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234DC48B" w:rsidR="00BA2732" w:rsidRDefault="00864A1D" w:rsidP="003D033A">
      <w:pPr>
        <w:pStyle w:val="Title"/>
      </w:pPr>
      <w:r w:rsidRPr="00864A1D">
        <w:t>Medicare Support for COVID-19 Vaccinations</w:t>
      </w:r>
    </w:p>
    <w:p w14:paraId="6EFD4B5B" w14:textId="2F42EBDE" w:rsidR="00064168" w:rsidRPr="00867595" w:rsidRDefault="00064168" w:rsidP="006F5073">
      <w:bookmarkStart w:id="0" w:name="_Hlk4568006"/>
      <w:r w:rsidRPr="00867595">
        <w:t xml:space="preserve">Last updated: </w:t>
      </w:r>
      <w:r w:rsidR="009A1CD1">
        <w:t>20 January 2023</w:t>
      </w:r>
    </w:p>
    <w:p w14:paraId="1CE94D1D" w14:textId="31279D2C" w:rsidR="001428E3" w:rsidRDefault="00864A1D" w:rsidP="006F5073">
      <w:pPr>
        <w:pStyle w:val="ListBullet"/>
      </w:pPr>
      <w:bookmarkStart w:id="1" w:name="_Hlk535506978"/>
      <w:bookmarkEnd w:id="0"/>
      <w:r>
        <w:t xml:space="preserve">From 1 February 2023 vaccine suitability assessment items will </w:t>
      </w:r>
      <w:r w:rsidR="001428E3">
        <w:t>be streamlined and simplified</w:t>
      </w:r>
      <w:r w:rsidR="00CF6690">
        <w:t xml:space="preserve"> to reflect integration of these services </w:t>
      </w:r>
      <w:r w:rsidR="00F711B9">
        <w:t>in</w:t>
      </w:r>
      <w:r w:rsidR="00CF6690">
        <w:t>to routine care</w:t>
      </w:r>
      <w:r w:rsidR="001428E3">
        <w:t xml:space="preserve">. </w:t>
      </w:r>
    </w:p>
    <w:p w14:paraId="14A7243F" w14:textId="6E88E90B" w:rsidR="00864A1D" w:rsidRDefault="001428E3" w:rsidP="006F5073">
      <w:pPr>
        <w:pStyle w:val="ListBullet"/>
      </w:pPr>
      <w:r>
        <w:t xml:space="preserve">There will </w:t>
      </w:r>
      <w:r w:rsidR="00864A1D">
        <w:t xml:space="preserve">no longer </w:t>
      </w:r>
      <w:r>
        <w:t>be different item</w:t>
      </w:r>
      <w:r w:rsidR="00F678C0">
        <w:t xml:space="preserve"> numbers</w:t>
      </w:r>
      <w:r>
        <w:t xml:space="preserve"> for </w:t>
      </w:r>
      <w:r w:rsidR="00864A1D">
        <w:t>first, and second and subsequent doses.</w:t>
      </w:r>
      <w:r>
        <w:t xml:space="preserve"> The booster incentive has been </w:t>
      </w:r>
      <w:r w:rsidR="00F678C0">
        <w:t>incorporated into the new fee.</w:t>
      </w:r>
    </w:p>
    <w:bookmarkEnd w:id="1"/>
    <w:p w14:paraId="24C2D88B" w14:textId="1F431A9D" w:rsidR="00064168" w:rsidRPr="00867595" w:rsidRDefault="00CF195A" w:rsidP="00864A1D">
      <w:pPr>
        <w:pStyle w:val="ListBullet"/>
      </w:pPr>
      <w:r>
        <w:t>Benefits have been adjusted</w:t>
      </w:r>
      <w:r w:rsidR="006C02B0">
        <w:t xml:space="preserve"> so that no vaccine suitability assessment service will receive a lower MBS benefit</w:t>
      </w:r>
      <w:r w:rsidR="00BB2F3E">
        <w:t xml:space="preserve"> than under the previous arrangements</w:t>
      </w:r>
      <w:r>
        <w:t>.</w:t>
      </w:r>
    </w:p>
    <w:p w14:paraId="44460BF5" w14:textId="77777777" w:rsidR="00064168" w:rsidRPr="00867595" w:rsidRDefault="00064168" w:rsidP="00064168">
      <w:pPr>
        <w:pStyle w:val="Heading2"/>
      </w:pPr>
      <w:r w:rsidRPr="00867595">
        <w:t>What are the changes?</w:t>
      </w:r>
    </w:p>
    <w:p w14:paraId="4E459E9A" w14:textId="0B665BE6" w:rsidR="00064168" w:rsidRPr="00867595" w:rsidRDefault="00064168" w:rsidP="00064168">
      <w:pPr>
        <w:rPr>
          <w:szCs w:val="22"/>
        </w:rPr>
      </w:pPr>
      <w:r w:rsidRPr="00867595">
        <w:rPr>
          <w:szCs w:val="22"/>
        </w:rPr>
        <w:t xml:space="preserve">Effective </w:t>
      </w:r>
      <w:r w:rsidR="00533D8A">
        <w:rPr>
          <w:szCs w:val="22"/>
        </w:rPr>
        <w:t>1 February 2023</w:t>
      </w:r>
      <w:r w:rsidRPr="00867595">
        <w:rPr>
          <w:szCs w:val="22"/>
        </w:rPr>
        <w:t xml:space="preserve">, there </w:t>
      </w:r>
      <w:bookmarkStart w:id="2" w:name="_Hlk535507068"/>
      <w:r w:rsidRPr="00867595">
        <w:rPr>
          <w:szCs w:val="22"/>
        </w:rPr>
        <w:t xml:space="preserve">will be a </w:t>
      </w:r>
      <w:bookmarkEnd w:id="2"/>
      <w:r w:rsidR="00F711B9">
        <w:rPr>
          <w:szCs w:val="22"/>
        </w:rPr>
        <w:t>simplified</w:t>
      </w:r>
      <w:r w:rsidR="00F711B9" w:rsidRPr="00867595">
        <w:rPr>
          <w:szCs w:val="22"/>
        </w:rPr>
        <w:t xml:space="preserve"> </w:t>
      </w:r>
      <w:r w:rsidRPr="00867595">
        <w:rPr>
          <w:szCs w:val="22"/>
        </w:rPr>
        <w:t xml:space="preserve">structure for </w:t>
      </w:r>
      <w:r w:rsidR="00533D8A">
        <w:rPr>
          <w:szCs w:val="22"/>
        </w:rPr>
        <w:t xml:space="preserve">COVID-19 vaccine suitability and associated </w:t>
      </w:r>
      <w:r w:rsidR="006077EC">
        <w:rPr>
          <w:szCs w:val="22"/>
        </w:rPr>
        <w:t xml:space="preserve">MBS </w:t>
      </w:r>
      <w:r w:rsidRPr="00867595">
        <w:rPr>
          <w:szCs w:val="22"/>
        </w:rPr>
        <w:t>item</w:t>
      </w:r>
      <w:r w:rsidR="00F678C0">
        <w:rPr>
          <w:szCs w:val="22"/>
        </w:rPr>
        <w:t xml:space="preserve"> numbers</w:t>
      </w:r>
      <w:r w:rsidRPr="00867595">
        <w:rPr>
          <w:szCs w:val="22"/>
        </w:rPr>
        <w:t>. The new structure:</w:t>
      </w:r>
    </w:p>
    <w:p w14:paraId="5FE269A9" w14:textId="70E04B56" w:rsidR="00064168" w:rsidRPr="00867595" w:rsidRDefault="006077EC" w:rsidP="006F5073">
      <w:pPr>
        <w:pStyle w:val="ListBullet"/>
      </w:pPr>
      <w:r>
        <w:t>c</w:t>
      </w:r>
      <w:r w:rsidR="00533D8A">
        <w:t>ombines vaccine suitability services for all</w:t>
      </w:r>
      <w:r w:rsidR="00F711B9">
        <w:t xml:space="preserve"> approved</w:t>
      </w:r>
      <w:r w:rsidR="00533D8A">
        <w:t xml:space="preserve"> COVID-19 vaccine doses into the </w:t>
      </w:r>
      <w:r w:rsidR="00BB2F3E">
        <w:t xml:space="preserve">corresponding </w:t>
      </w:r>
      <w:r w:rsidR="00533D8A">
        <w:t>item number that had been for second and subsequent COVID-19 doses</w:t>
      </w:r>
      <w:r w:rsidR="00F678C0">
        <w:t xml:space="preserve"> (93644 and equivalents)</w:t>
      </w:r>
      <w:r>
        <w:t>,</w:t>
      </w:r>
    </w:p>
    <w:p w14:paraId="0BFC71EF" w14:textId="67B718B4" w:rsidR="00064168" w:rsidRPr="00867595" w:rsidRDefault="00CF195A" w:rsidP="006F5073">
      <w:pPr>
        <w:pStyle w:val="ListBullet"/>
      </w:pPr>
      <w:r>
        <w:t xml:space="preserve">benefits have been </w:t>
      </w:r>
      <w:r w:rsidR="005F0AAD">
        <w:t xml:space="preserve">increased </w:t>
      </w:r>
      <w:r>
        <w:t>to incorporate the former booster incentive payment into the vaccine suitability assessment item</w:t>
      </w:r>
      <w:r w:rsidR="006077EC">
        <w:t>,</w:t>
      </w:r>
    </w:p>
    <w:p w14:paraId="6EAB82C3" w14:textId="763B91F8" w:rsidR="00064168" w:rsidRPr="00867595" w:rsidRDefault="006077EC" w:rsidP="006F5073">
      <w:pPr>
        <w:pStyle w:val="ListBullet"/>
      </w:pPr>
      <w:r>
        <w:t>t</w:t>
      </w:r>
      <w:r w:rsidR="00533D8A">
        <w:t xml:space="preserve">he flag-fall payment for vaccine suitability assessment services paid once for </w:t>
      </w:r>
      <w:r w:rsidR="00533D8A" w:rsidRPr="00823FBB">
        <w:rPr>
          <w:rFonts w:cstheme="minorHAnsi"/>
        </w:rPr>
        <w:t>each visit to a residential aged care facility, residential disability facility, or a patient’s home</w:t>
      </w:r>
      <w:r w:rsidR="00533D8A" w:rsidRPr="00867595">
        <w:t xml:space="preserve"> </w:t>
      </w:r>
      <w:r w:rsidR="00533D8A">
        <w:t xml:space="preserve">will be </w:t>
      </w:r>
      <w:r w:rsidR="00F711B9">
        <w:t>increased</w:t>
      </w:r>
      <w:r>
        <w:t>, and</w:t>
      </w:r>
    </w:p>
    <w:p w14:paraId="3A3BA7C7" w14:textId="665BDC77" w:rsidR="007E0068" w:rsidRDefault="006077EC" w:rsidP="00533D8A">
      <w:pPr>
        <w:pStyle w:val="ListBullet"/>
      </w:pPr>
      <w:r>
        <w:t>t</w:t>
      </w:r>
      <w:r w:rsidR="00533D8A">
        <w:t xml:space="preserve">he descriptors for the in-depth vaccine suitability assessment services have been adjusted </w:t>
      </w:r>
      <w:r w:rsidR="00853860">
        <w:t xml:space="preserve">in line with the </w:t>
      </w:r>
      <w:r w:rsidR="00533D8A">
        <w:t xml:space="preserve">removal of first dose vaccine suitability assessment </w:t>
      </w:r>
      <w:proofErr w:type="gramStart"/>
      <w:r w:rsidR="00533D8A">
        <w:t>services, but</w:t>
      </w:r>
      <w:proofErr w:type="gramEnd"/>
      <w:r w:rsidR="00533D8A">
        <w:t xml:space="preserve"> are otherwise unchanged.</w:t>
      </w:r>
    </w:p>
    <w:p w14:paraId="33490EDD" w14:textId="516FEF53" w:rsidR="00EA5827" w:rsidRPr="00867595" w:rsidRDefault="00EA5827" w:rsidP="00EA5827">
      <w:pPr>
        <w:pStyle w:val="Heading2"/>
      </w:pPr>
      <w:r w:rsidRPr="00867595">
        <w:t xml:space="preserve">What </w:t>
      </w:r>
      <w:r>
        <w:t>remains unchanged?</w:t>
      </w:r>
    </w:p>
    <w:p w14:paraId="34D845D4" w14:textId="6076856E" w:rsidR="00EA5827" w:rsidRPr="00EA5827" w:rsidRDefault="00EA5827" w:rsidP="00EA5827">
      <w:pPr>
        <w:rPr>
          <w:szCs w:val="22"/>
        </w:rPr>
      </w:pPr>
      <w:r>
        <w:rPr>
          <w:szCs w:val="22"/>
        </w:rPr>
        <w:t>It is important to note that other requirements for vaccine suitability assessment services remain unchanged. In particular:</w:t>
      </w:r>
    </w:p>
    <w:p w14:paraId="3C8F0213" w14:textId="6F728DDF" w:rsidR="00016AC1" w:rsidRDefault="00EA5827" w:rsidP="00016AC1">
      <w:pPr>
        <w:pStyle w:val="ListBullet"/>
      </w:pPr>
      <w:r>
        <w:t>COVID-19 vaccine assessment services must be bulk-billed and cannot be contingent on any other service which attracts an MBS benefit</w:t>
      </w:r>
      <w:r w:rsidR="00016AC1">
        <w:t>. Bulk billing incentives cannot be co</w:t>
      </w:r>
      <w:r w:rsidR="00016AC1">
        <w:noBreakHyphen/>
        <w:t>claimed</w:t>
      </w:r>
      <w:r w:rsidR="00107051">
        <w:t>,</w:t>
      </w:r>
    </w:p>
    <w:p w14:paraId="1D70B172" w14:textId="4B3A6223" w:rsidR="00EA5827" w:rsidRDefault="00EA5827" w:rsidP="00EA5827">
      <w:pPr>
        <w:pStyle w:val="ListBullet"/>
      </w:pPr>
      <w:r>
        <w:t>COVID-19 vaccine assessment services c</w:t>
      </w:r>
      <w:r w:rsidRPr="00823FBB">
        <w:t xml:space="preserve">an only be accessed by General Practitioners (GPs) and Other Medical Practitioners (OMPs) working at or from a medical </w:t>
      </w:r>
      <w:r w:rsidRPr="00823FBB">
        <w:rPr>
          <w:bCs/>
        </w:rPr>
        <w:t xml:space="preserve">practice that is </w:t>
      </w:r>
      <w:r w:rsidRPr="00823FBB">
        <w:t>participating in the Government</w:t>
      </w:r>
      <w:r>
        <w:t>’</w:t>
      </w:r>
      <w:r w:rsidRPr="00823FBB">
        <w:t xml:space="preserve">s COVID-19 vaccination roll-out. GPs or OMPs providing services to individuals at or from a practice that is not participating in the roll-out are </w:t>
      </w:r>
      <w:r w:rsidRPr="00823FBB">
        <w:rPr>
          <w:u w:val="single"/>
        </w:rPr>
        <w:t>not</w:t>
      </w:r>
      <w:r w:rsidRPr="00823FBB">
        <w:t xml:space="preserve"> eligible to use the COVID-19 vaccine items or to provide COVID-19 vaccinations</w:t>
      </w:r>
      <w:r w:rsidR="006077EC">
        <w:t>,</w:t>
      </w:r>
    </w:p>
    <w:p w14:paraId="2E139855" w14:textId="6ACBD3DE" w:rsidR="00DE1DC0" w:rsidRPr="00823FBB" w:rsidRDefault="00DE1DC0" w:rsidP="00DE1DC0">
      <w:pPr>
        <w:pStyle w:val="ListBullet"/>
      </w:pPr>
      <w:r>
        <w:lastRenderedPageBreak/>
        <w:t>COVID-19 vaccine assessment services c</w:t>
      </w:r>
      <w:r w:rsidRPr="00823FBB">
        <w:t xml:space="preserve">an </w:t>
      </w:r>
      <w:r>
        <w:t xml:space="preserve">only be used by </w:t>
      </w:r>
      <w:r w:rsidRPr="00823FBB">
        <w:t xml:space="preserve">GPs, OMPs and suitably qualified health professionals who </w:t>
      </w:r>
      <w:r>
        <w:t>are</w:t>
      </w:r>
      <w:r w:rsidRPr="00823FBB">
        <w:t xml:space="preserve"> appropriately qualified and trained to provide an immunisation to the patient. This includes having completed any mandatory Commonwealth training associated with the delivery of COVID-19 vaccination services, as well as meeting any state or territory legislative requirements</w:t>
      </w:r>
      <w:r w:rsidR="006077EC">
        <w:t>,</w:t>
      </w:r>
    </w:p>
    <w:p w14:paraId="6A5F8E40" w14:textId="7D616E39" w:rsidR="002C5B48" w:rsidRDefault="002C5B48" w:rsidP="00EA5827">
      <w:pPr>
        <w:pStyle w:val="ListBullet"/>
      </w:pPr>
      <w:r>
        <w:t>the vaccine must be available for administration immediately (though the items can be claimed if the patient is found to be ineligible or chooses not to have a vaccination at that time)</w:t>
      </w:r>
      <w:r w:rsidR="00016AC1">
        <w:t xml:space="preserve">. Any </w:t>
      </w:r>
      <w:r w:rsidR="00535A8B">
        <w:t xml:space="preserve">vaccine </w:t>
      </w:r>
      <w:r w:rsidR="00016AC1">
        <w:t>administration</w:t>
      </w:r>
      <w:r w:rsidR="00F678C0">
        <w:t xml:space="preserve"> </w:t>
      </w:r>
      <w:r w:rsidR="00016AC1">
        <w:t xml:space="preserve">should be </w:t>
      </w:r>
      <w:r w:rsidR="00107051">
        <w:t xml:space="preserve">in </w:t>
      </w:r>
      <w:r w:rsidR="00016AC1">
        <w:t>accordance with ATAGI guidance</w:t>
      </w:r>
      <w:r>
        <w:t>,</w:t>
      </w:r>
    </w:p>
    <w:p w14:paraId="0DF019F4" w14:textId="18B9A484" w:rsidR="00EA5827" w:rsidRDefault="006077EC" w:rsidP="00EA5827">
      <w:pPr>
        <w:pStyle w:val="ListBullet"/>
      </w:pPr>
      <w:r>
        <w:t>s</w:t>
      </w:r>
      <w:r w:rsidR="00D07C7D" w:rsidRPr="00823FBB">
        <w:t>ervices rendered under the COVID-19 vaccine suitability assessment items will only attract a Medicare rebate where the service is billed in the name of the supervising GP or OMP, who must be present at the location at which the vaccine suitability assessment service is undertaken (except for MBS items 93660 and 93661), and in all cases the GP or OMP must accept full responsibility for the service</w:t>
      </w:r>
      <w:r>
        <w:t>,</w:t>
      </w:r>
    </w:p>
    <w:p w14:paraId="75D47CEB" w14:textId="77777777" w:rsidR="00016AC1" w:rsidRDefault="006077EC" w:rsidP="00EA5827">
      <w:pPr>
        <w:pStyle w:val="ListBullet"/>
      </w:pPr>
      <w:r>
        <w:t>i</w:t>
      </w:r>
      <w:r w:rsidR="00D07C7D">
        <w:t>n-depth vaccine suitability assessment services can only be claimed once per patient</w:t>
      </w:r>
      <w:r w:rsidR="00016AC1">
        <w:t>, and</w:t>
      </w:r>
    </w:p>
    <w:p w14:paraId="7A934748" w14:textId="2A4F81C1" w:rsidR="00D07C7D" w:rsidRDefault="00016AC1" w:rsidP="00EA5827">
      <w:pPr>
        <w:pStyle w:val="ListBullet"/>
      </w:pPr>
      <w:r>
        <w:t>there are no changes to the remote supervision items</w:t>
      </w:r>
      <w:r w:rsidR="005F0AAD">
        <w:t xml:space="preserve"> (</w:t>
      </w:r>
      <w:proofErr w:type="spellStart"/>
      <w:r w:rsidR="005F0AAD">
        <w:t>ie</w:t>
      </w:r>
      <w:proofErr w:type="spellEnd"/>
      <w:r w:rsidR="005F0AAD">
        <w:t xml:space="preserve">, </w:t>
      </w:r>
      <w:r w:rsidR="005F0AAD" w:rsidRPr="00823FBB">
        <w:t>MBS items 93660 and 93661)</w:t>
      </w:r>
      <w:r w:rsidR="005F0AAD">
        <w:t>.</w:t>
      </w:r>
    </w:p>
    <w:p w14:paraId="42BD5171" w14:textId="77777777" w:rsidR="00064168" w:rsidRDefault="00064168" w:rsidP="00064168">
      <w:pPr>
        <w:pStyle w:val="Heading2"/>
      </w:pPr>
      <w:r>
        <w:t>Why are the changes being made?</w:t>
      </w:r>
    </w:p>
    <w:p w14:paraId="617E7397" w14:textId="28C799BF" w:rsidR="00064168" w:rsidRPr="00867595" w:rsidRDefault="00EB6B14" w:rsidP="00D07C7D">
      <w:pPr>
        <w:rPr>
          <w:szCs w:val="22"/>
        </w:rPr>
      </w:pPr>
      <w:r>
        <w:rPr>
          <w:szCs w:val="22"/>
        </w:rPr>
        <w:t>Th</w:t>
      </w:r>
      <w:r w:rsidR="00016AC1">
        <w:rPr>
          <w:szCs w:val="22"/>
        </w:rPr>
        <w:t>ese</w:t>
      </w:r>
      <w:r>
        <w:rPr>
          <w:szCs w:val="22"/>
        </w:rPr>
        <w:t xml:space="preserve"> change</w:t>
      </w:r>
      <w:r w:rsidR="003302D0">
        <w:rPr>
          <w:szCs w:val="22"/>
        </w:rPr>
        <w:t>s</w:t>
      </w:r>
      <w:r>
        <w:rPr>
          <w:szCs w:val="22"/>
        </w:rPr>
        <w:t xml:space="preserve"> simplif</w:t>
      </w:r>
      <w:r w:rsidR="00016AC1">
        <w:rPr>
          <w:szCs w:val="22"/>
        </w:rPr>
        <w:t>y and streamline</w:t>
      </w:r>
      <w:r>
        <w:rPr>
          <w:szCs w:val="22"/>
        </w:rPr>
        <w:t xml:space="preserve"> the claiming of COVID-19 vaccine suitability and associated services</w:t>
      </w:r>
      <w:r w:rsidR="005F0AAD">
        <w:rPr>
          <w:szCs w:val="22"/>
        </w:rPr>
        <w:t>.</w:t>
      </w:r>
    </w:p>
    <w:p w14:paraId="4B2559AC" w14:textId="526494E5" w:rsidR="00064168" w:rsidRDefault="00064168" w:rsidP="00064168">
      <w:pPr>
        <w:pStyle w:val="Heading2"/>
      </w:pPr>
      <w:r>
        <w:t>What does this mean for providers?</w:t>
      </w:r>
    </w:p>
    <w:p w14:paraId="0654D50A" w14:textId="7FC22ECC" w:rsidR="00064168" w:rsidRDefault="00E50EC0" w:rsidP="00064168">
      <w:pPr>
        <w:rPr>
          <w:szCs w:val="22"/>
        </w:rPr>
      </w:pPr>
      <w:r>
        <w:rPr>
          <w:szCs w:val="22"/>
        </w:rPr>
        <w:t>There is no change in the services eligible for MBS benefits but with fewer item numbers</w:t>
      </w:r>
      <w:r w:rsidR="00EB6B14">
        <w:rPr>
          <w:szCs w:val="22"/>
        </w:rPr>
        <w:t>,</w:t>
      </w:r>
      <w:r>
        <w:rPr>
          <w:szCs w:val="22"/>
        </w:rPr>
        <w:t xml:space="preserve"> administration of COVID-19 vaccine related services should be simpler. Co-claiming booster incentives will no longer be needed as the MBS benefit will incorporate it.</w:t>
      </w:r>
    </w:p>
    <w:p w14:paraId="04DDDD75" w14:textId="63523402" w:rsidR="00E50EC0" w:rsidRPr="00867595" w:rsidRDefault="00E50EC0" w:rsidP="00064168">
      <w:pPr>
        <w:rPr>
          <w:szCs w:val="22"/>
        </w:rPr>
      </w:pPr>
      <w:r>
        <w:rPr>
          <w:szCs w:val="22"/>
        </w:rPr>
        <w:t xml:space="preserve">The flag-fall payment </w:t>
      </w:r>
      <w:r w:rsidR="00016AC1">
        <w:rPr>
          <w:szCs w:val="22"/>
        </w:rPr>
        <w:t>has been</w:t>
      </w:r>
      <w:r>
        <w:rPr>
          <w:szCs w:val="22"/>
        </w:rPr>
        <w:t xml:space="preserve"> increased, so services at </w:t>
      </w:r>
      <w:r w:rsidRPr="00823FBB">
        <w:rPr>
          <w:rFonts w:cstheme="minorHAnsi"/>
        </w:rPr>
        <w:t>a residential aged care facility, residential disability facility, or a patient’s home</w:t>
      </w:r>
      <w:r>
        <w:rPr>
          <w:rFonts w:cstheme="minorHAnsi"/>
        </w:rPr>
        <w:t xml:space="preserve"> will receive a higher benefit.</w:t>
      </w:r>
    </w:p>
    <w:p w14:paraId="7F7DA4F7" w14:textId="77777777" w:rsidR="00064168" w:rsidRDefault="00064168" w:rsidP="00064168">
      <w:pPr>
        <w:pStyle w:val="Heading2"/>
      </w:pPr>
      <w:r>
        <w:t>How will these changes affect patients</w:t>
      </w:r>
      <w:r w:rsidRPr="001A7FB7">
        <w:t>?</w:t>
      </w:r>
    </w:p>
    <w:p w14:paraId="7BD2AA3C" w14:textId="5AB5ABC3" w:rsidR="00064168" w:rsidRDefault="00016AC1" w:rsidP="006F5073">
      <w:r>
        <w:t>All Medicare eligible p</w:t>
      </w:r>
      <w:r w:rsidR="00E50EC0">
        <w:t>atients are still eligible for COVID-19 vaccine suitability assessment services</w:t>
      </w:r>
      <w:r w:rsidR="00064168" w:rsidRPr="006F5073">
        <w:t>.</w:t>
      </w:r>
    </w:p>
    <w:p w14:paraId="5FC9E2FC" w14:textId="3DC4F500" w:rsidR="009D7E3C" w:rsidRDefault="009D7E3C" w:rsidP="006F5073">
      <w:r>
        <w:t>COVID-19 vaccine suitability assessments and associated services will still be bulk-billed, with no provider able to charge an additional fee for the service or require another service which has an out of pocket cost.</w:t>
      </w:r>
    </w:p>
    <w:p w14:paraId="09206C77" w14:textId="77777777" w:rsidR="00E57717" w:rsidRDefault="00E57717" w:rsidP="00E57717">
      <w:pPr>
        <w:pStyle w:val="Heading2"/>
      </w:pPr>
      <w:r>
        <w:t>Can a flu vaccine service be provided at the same time?</w:t>
      </w:r>
    </w:p>
    <w:p w14:paraId="47F7D12C" w14:textId="320DF2A0" w:rsidR="00E57717" w:rsidRDefault="00E57717" w:rsidP="006F5073">
      <w:r>
        <w:t>ATAGI has advised that a COVID-19 vaccination and an influenza vaccination can be</w:t>
      </w:r>
    </w:p>
    <w:p w14:paraId="0068C19A" w14:textId="2ABD0FA5" w:rsidR="003850E3" w:rsidRDefault="003850E3" w:rsidP="003850E3">
      <w:r>
        <w:lastRenderedPageBreak/>
        <w:t>administered at the same time. These services may be provided during the same attendance.</w:t>
      </w:r>
    </w:p>
    <w:p w14:paraId="4DD7DEA7" w14:textId="1DCE73F3" w:rsidR="003850E3" w:rsidRDefault="003850E3" w:rsidP="003850E3">
      <w:r>
        <w:t xml:space="preserve">A vaccine suitability assessment MBS item would be billed for the COVID-19 vaccination. Influenza vaccine </w:t>
      </w:r>
      <w:r w:rsidR="00F678C0">
        <w:t>may be administered under the applicable MBS attendance item.</w:t>
      </w:r>
    </w:p>
    <w:p w14:paraId="6D857EDD" w14:textId="6A56018C" w:rsidR="003850E3" w:rsidRDefault="003850E3" w:rsidP="003850E3">
      <w:r>
        <w:t>Note: There are no MBS items for administering an influenza vaccine for and on behalf of a medical practitioner.</w:t>
      </w:r>
    </w:p>
    <w:p w14:paraId="3560D67A" w14:textId="676AF978" w:rsidR="003850E3" w:rsidRDefault="003850E3" w:rsidP="003850E3">
      <w:r>
        <w:t xml:space="preserve">While a medical practitioner is </w:t>
      </w:r>
      <w:r w:rsidR="00F678C0">
        <w:t xml:space="preserve">not required under law </w:t>
      </w:r>
      <w:r>
        <w:t>to bulk-bill a</w:t>
      </w:r>
      <w:r w:rsidR="00F678C0">
        <w:t xml:space="preserve">n attendance for </w:t>
      </w:r>
      <w:r>
        <w:t>influenza vaccination, a patient who also receives a COVID-19 booster vaccination as part of the same occasion of care must be bulk billed for the MBS COVID-19 vaccine suitability assessment component of the overall service.</w:t>
      </w:r>
    </w:p>
    <w:p w14:paraId="5F10D944" w14:textId="3B356346" w:rsidR="003850E3" w:rsidRDefault="003850E3" w:rsidP="003850E3">
      <w:r>
        <w:t>Patients should be informed of any potential out of pocket costs before any service is provided, preferably when they book their appointment.</w:t>
      </w:r>
    </w:p>
    <w:p w14:paraId="1C6724A8" w14:textId="0DF168DB" w:rsidR="003850E3" w:rsidRPr="006F5073" w:rsidRDefault="003850E3" w:rsidP="003850E3">
      <w:r>
        <w:t>Medical practitioners administering influenza vaccinations should be aware of the</w:t>
      </w:r>
      <w:r w:rsidR="00F678C0">
        <w:t xml:space="preserve"> requirements of</w:t>
      </w:r>
      <w:r>
        <w:t xml:space="preserve"> the National Immunisation Program</w:t>
      </w:r>
      <w:r w:rsidR="00F678C0">
        <w:t xml:space="preserve"> including eligibility criteria</w:t>
      </w:r>
      <w:r w:rsidR="00C47B0C">
        <w:t xml:space="preserve"> for government funded vaccines</w:t>
      </w:r>
      <w:r>
        <w:t>.</w:t>
      </w:r>
    </w:p>
    <w:p w14:paraId="3C63E237" w14:textId="77777777" w:rsidR="00064168" w:rsidRDefault="00064168" w:rsidP="00064168">
      <w:pPr>
        <w:pStyle w:val="Heading2"/>
      </w:pPr>
      <w:r>
        <w:t>Where can I find more information?</w:t>
      </w:r>
    </w:p>
    <w:p w14:paraId="605031E9" w14:textId="77777777" w:rsidR="00E57717" w:rsidRPr="00867595" w:rsidRDefault="00E57717" w:rsidP="00E57717">
      <w:pPr>
        <w:rPr>
          <w:szCs w:val="22"/>
        </w:rPr>
      </w:pPr>
      <w:r w:rsidRPr="00867595">
        <w:rPr>
          <w:szCs w:val="22"/>
        </w:rPr>
        <w:t xml:space="preserve">The full item descriptor(s) and information on other changes to the MBS can be found on the MBS Online website at </w:t>
      </w:r>
      <w:hyperlink r:id="rId7"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8" w:history="1">
        <w:r w:rsidRPr="00867595">
          <w:rPr>
            <w:rStyle w:val="Hyperlink"/>
            <w:szCs w:val="22"/>
          </w:rPr>
          <w:t>MBS Online</w:t>
        </w:r>
      </w:hyperlink>
      <w:r w:rsidRPr="00867595">
        <w:rPr>
          <w:szCs w:val="22"/>
        </w:rPr>
        <w:t xml:space="preserve"> and clicking ‘Subscribe’. </w:t>
      </w:r>
    </w:p>
    <w:p w14:paraId="7F97AACE" w14:textId="77777777" w:rsidR="00E57717" w:rsidRDefault="00E57717" w:rsidP="00E57717">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9" w:history="1">
        <w:r w:rsidRPr="00867595">
          <w:rPr>
            <w:rStyle w:val="Hyperlink"/>
            <w:szCs w:val="22"/>
          </w:rPr>
          <w:t>askMBS@health.gov.au</w:t>
        </w:r>
      </w:hyperlink>
      <w:r w:rsidRPr="00867595">
        <w:rPr>
          <w:szCs w:val="22"/>
        </w:rPr>
        <w:t>.</w:t>
      </w:r>
    </w:p>
    <w:p w14:paraId="7ABA2246" w14:textId="77777777" w:rsidR="00E57717" w:rsidRPr="00867595" w:rsidRDefault="00E57717" w:rsidP="00E57717">
      <w:pPr>
        <w:rPr>
          <w:szCs w:val="22"/>
        </w:rPr>
      </w:pPr>
      <w:r w:rsidRPr="00867595">
        <w:rPr>
          <w:szCs w:val="22"/>
        </w:rPr>
        <w:t>Subscribe to ‘</w:t>
      </w:r>
      <w:hyperlink r:id="rId10" w:history="1">
        <w:r w:rsidRPr="00867595">
          <w:rPr>
            <w:rStyle w:val="Hyperlink"/>
            <w:szCs w:val="22"/>
          </w:rPr>
          <w:t>News for Health Professionals</w:t>
        </w:r>
      </w:hyperlink>
      <w:r w:rsidRPr="00867595">
        <w:rPr>
          <w:szCs w:val="22"/>
        </w:rPr>
        <w:t>’ on the Services Australia website and you will receive regular news highlights.</w:t>
      </w:r>
    </w:p>
    <w:p w14:paraId="51C1D7A2" w14:textId="77777777" w:rsidR="00E57717" w:rsidRDefault="00E57717" w:rsidP="00E57717">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147A339A" w14:textId="2F41FF40" w:rsidR="00E57717" w:rsidRDefault="00E57717" w:rsidP="00E57717">
      <w:pPr>
        <w:rPr>
          <w:szCs w:val="22"/>
        </w:rPr>
      </w:pPr>
      <w:r w:rsidRPr="00867595">
        <w:rPr>
          <w:szCs w:val="22"/>
        </w:rPr>
        <w:t xml:space="preserve">The data file for software vendors when available can be accessed via the </w:t>
      </w:r>
      <w:hyperlink r:id="rId11" w:history="1">
        <w:r w:rsidRPr="00867595">
          <w:rPr>
            <w:rStyle w:val="Hyperlink"/>
            <w:szCs w:val="22"/>
          </w:rPr>
          <w:t>Downloads</w:t>
        </w:r>
      </w:hyperlink>
      <w:r w:rsidRPr="00867595">
        <w:rPr>
          <w:szCs w:val="22"/>
        </w:rPr>
        <w:t xml:space="preserve"> page.</w:t>
      </w:r>
    </w:p>
    <w:p w14:paraId="11EA0329" w14:textId="5987E541" w:rsidR="00594AB1" w:rsidRDefault="00594AB1" w:rsidP="00E57717">
      <w:pPr>
        <w:rPr>
          <w:szCs w:val="22"/>
        </w:rPr>
      </w:pPr>
    </w:p>
    <w:p w14:paraId="4D72D2A4" w14:textId="4907CA39" w:rsidR="00594AB1" w:rsidRDefault="00594AB1" w:rsidP="00E57717">
      <w:pPr>
        <w:rPr>
          <w:szCs w:val="22"/>
        </w:rPr>
      </w:pPr>
    </w:p>
    <w:p w14:paraId="4AE5D515" w14:textId="6E2C6171" w:rsidR="00594AB1" w:rsidRDefault="00594AB1" w:rsidP="00E57717">
      <w:pPr>
        <w:rPr>
          <w:szCs w:val="22"/>
        </w:rPr>
      </w:pPr>
    </w:p>
    <w:p w14:paraId="37A30B96" w14:textId="050043C0" w:rsidR="00594AB1" w:rsidRDefault="00594AB1" w:rsidP="00E57717">
      <w:pPr>
        <w:rPr>
          <w:szCs w:val="22"/>
        </w:rPr>
      </w:pPr>
    </w:p>
    <w:p w14:paraId="7633D073" w14:textId="77777777" w:rsidR="00594AB1" w:rsidRDefault="00594AB1" w:rsidP="00E57717">
      <w:pPr>
        <w:rPr>
          <w:szCs w:val="22"/>
        </w:rPr>
      </w:pPr>
    </w:p>
    <w:p w14:paraId="3F227BE7" w14:textId="77777777" w:rsidR="00E57717" w:rsidRPr="00867595" w:rsidRDefault="00E57717" w:rsidP="00E57717">
      <w:pPr>
        <w:rPr>
          <w:szCs w:val="22"/>
        </w:rPr>
      </w:pPr>
    </w:p>
    <w:p w14:paraId="4562793F" w14:textId="52781A41" w:rsidR="002C5B48" w:rsidRPr="00E57717" w:rsidRDefault="00E57717" w:rsidP="00E57717">
      <w:pPr>
        <w:spacing w:before="0" w:after="0" w:line="240" w:lineRule="auto"/>
      </w:pPr>
      <w:r>
        <w:lastRenderedPageBreak/>
        <w:tab/>
      </w:r>
      <w:r>
        <w:tab/>
      </w:r>
      <w:r>
        <w:tab/>
      </w:r>
      <w:r>
        <w:tab/>
      </w:r>
      <w:r>
        <w:tab/>
      </w:r>
      <w:r>
        <w:tab/>
      </w:r>
      <w:r>
        <w:tab/>
      </w:r>
      <w:r>
        <w:tab/>
      </w:r>
      <w:r>
        <w:tab/>
      </w:r>
      <w:r>
        <w:rPr>
          <w:b/>
          <w:bCs/>
          <w:szCs w:val="22"/>
        </w:rPr>
        <w:tab/>
        <w:t xml:space="preserve">       </w:t>
      </w:r>
      <w:r w:rsidR="002C5B48" w:rsidRPr="00B722F3">
        <w:rPr>
          <w:b/>
          <w:bCs/>
          <w:szCs w:val="22"/>
        </w:rPr>
        <w:t>Attachment 1</w:t>
      </w:r>
    </w:p>
    <w:p w14:paraId="6DD236BB" w14:textId="31CDFB38" w:rsidR="002C5B48" w:rsidRPr="00B722F3" w:rsidRDefault="002C5B48" w:rsidP="00B722F3">
      <w:pPr>
        <w:pStyle w:val="Heading2"/>
      </w:pPr>
      <w:r w:rsidRPr="00B722F3">
        <w:t>MBS COVID-19 VACCINE SUPPPORT ITEMS</w:t>
      </w:r>
    </w:p>
    <w:tbl>
      <w:tblPr>
        <w:tblStyle w:val="TableGrid"/>
        <w:tblW w:w="0" w:type="auto"/>
        <w:tblLook w:val="04A0" w:firstRow="1" w:lastRow="0" w:firstColumn="1" w:lastColumn="0" w:noHBand="0" w:noVBand="1"/>
      </w:tblPr>
      <w:tblGrid>
        <w:gridCol w:w="9060"/>
      </w:tblGrid>
      <w:tr w:rsidR="00D64E68" w14:paraId="1A4B3D52" w14:textId="77777777" w:rsidTr="00D64E68">
        <w:tc>
          <w:tcPr>
            <w:tcW w:w="9060" w:type="dxa"/>
          </w:tcPr>
          <w:p w14:paraId="48D7CFC9" w14:textId="04169DF8" w:rsidR="00D64E68" w:rsidRDefault="00D64E68" w:rsidP="00AA7457">
            <w:pPr>
              <w:jc w:val="center"/>
              <w:rPr>
                <w:b/>
                <w:bCs/>
                <w:szCs w:val="22"/>
              </w:rPr>
            </w:pPr>
            <w:r w:rsidRPr="00D64E68">
              <w:rPr>
                <w:b/>
                <w:bCs/>
                <w:szCs w:val="22"/>
              </w:rPr>
              <w:t>Descript</w:t>
            </w:r>
            <w:r w:rsidR="00F02E71">
              <w:rPr>
                <w:b/>
                <w:bCs/>
                <w:szCs w:val="22"/>
              </w:rPr>
              <w:t>or</w:t>
            </w:r>
            <w:r w:rsidRPr="00D64E68">
              <w:rPr>
                <w:b/>
                <w:bCs/>
                <w:szCs w:val="22"/>
              </w:rPr>
              <w:t>s are simplified. Medical practitioners should familiarise themselves with the full requirements of MBS items before claiming.</w:t>
            </w:r>
          </w:p>
        </w:tc>
      </w:tr>
    </w:tbl>
    <w:p w14:paraId="0044EAD2" w14:textId="77777777" w:rsidR="00D64E68" w:rsidRDefault="00D64E68" w:rsidP="00D64E68">
      <w:pPr>
        <w:rPr>
          <w:b/>
          <w:bCs/>
          <w:szCs w:val="22"/>
        </w:rPr>
      </w:pPr>
    </w:p>
    <w:p w14:paraId="462B6D68" w14:textId="03B8E0A4" w:rsidR="00853860" w:rsidRPr="00B722F3" w:rsidRDefault="00853860" w:rsidP="00B722F3">
      <w:pPr>
        <w:rPr>
          <w:b/>
          <w:bCs/>
          <w:szCs w:val="22"/>
        </w:rPr>
      </w:pPr>
      <w:r w:rsidRPr="00B722F3">
        <w:rPr>
          <w:b/>
          <w:bCs/>
          <w:szCs w:val="22"/>
        </w:rPr>
        <w:t xml:space="preserve">GPs in Modified Monash Area 1 (simplified </w:t>
      </w:r>
      <w:r w:rsidR="00F678C0" w:rsidRPr="00B722F3">
        <w:rPr>
          <w:b/>
          <w:bCs/>
          <w:szCs w:val="22"/>
        </w:rPr>
        <w:t>descriptors</w:t>
      </w:r>
      <w:r w:rsidRPr="00B722F3">
        <w:rPr>
          <w:b/>
          <w:bCs/>
          <w:szCs w:val="22"/>
        </w:rPr>
        <w:t>)</w:t>
      </w:r>
    </w:p>
    <w:p w14:paraId="57C2A82B" w14:textId="634C7A10" w:rsidR="00853860" w:rsidRPr="00B722F3" w:rsidRDefault="00853860" w:rsidP="00B722F3">
      <w:pPr>
        <w:rPr>
          <w:szCs w:val="22"/>
        </w:rPr>
      </w:pPr>
      <w:r w:rsidRPr="00B722F3">
        <w:rPr>
          <w:szCs w:val="22"/>
        </w:rPr>
        <w:t>93644 – suitability assessment service during business hours</w:t>
      </w:r>
    </w:p>
    <w:p w14:paraId="61BA6AE9" w14:textId="4731873B" w:rsidR="00853860" w:rsidRPr="00B722F3" w:rsidRDefault="00853860" w:rsidP="00B722F3">
      <w:pPr>
        <w:rPr>
          <w:szCs w:val="22"/>
        </w:rPr>
      </w:pPr>
      <w:r w:rsidRPr="00B722F3">
        <w:rPr>
          <w:szCs w:val="22"/>
        </w:rPr>
        <w:t>93653 – suitability assessment service after-hours</w:t>
      </w:r>
    </w:p>
    <w:p w14:paraId="241DDB9D" w14:textId="2325D702" w:rsidR="00853860" w:rsidRPr="00B722F3" w:rsidRDefault="00853860" w:rsidP="00B722F3">
      <w:pPr>
        <w:rPr>
          <w:szCs w:val="22"/>
        </w:rPr>
      </w:pPr>
      <w:r w:rsidRPr="00B722F3">
        <w:rPr>
          <w:szCs w:val="22"/>
        </w:rPr>
        <w:t>93660 – suitability assessment service on behalf of a GP/OMP by a suitably qualified health professional on their behalf</w:t>
      </w:r>
    </w:p>
    <w:p w14:paraId="7DB62F34" w14:textId="159C4EE3" w:rsidR="003617FB" w:rsidRPr="00B722F3" w:rsidRDefault="00C23C81" w:rsidP="00B722F3">
      <w:pPr>
        <w:rPr>
          <w:szCs w:val="22"/>
        </w:rPr>
      </w:pPr>
      <w:r w:rsidRPr="00B722F3">
        <w:rPr>
          <w:szCs w:val="22"/>
        </w:rPr>
        <w:t xml:space="preserve">10660 - </w:t>
      </w:r>
      <w:r w:rsidR="005F0AAD" w:rsidRPr="00B722F3">
        <w:rPr>
          <w:szCs w:val="22"/>
        </w:rPr>
        <w:t>i</w:t>
      </w:r>
      <w:r w:rsidRPr="00B722F3">
        <w:rPr>
          <w:szCs w:val="22"/>
        </w:rPr>
        <w:t>n-</w:t>
      </w:r>
      <w:r w:rsidR="005F0AAD" w:rsidRPr="00B722F3">
        <w:rPr>
          <w:szCs w:val="22"/>
        </w:rPr>
        <w:t>d</w:t>
      </w:r>
      <w:r w:rsidRPr="00B722F3">
        <w:rPr>
          <w:szCs w:val="22"/>
        </w:rPr>
        <w:t xml:space="preserve">epth </w:t>
      </w:r>
      <w:r w:rsidR="005F0AAD" w:rsidRPr="00B722F3">
        <w:rPr>
          <w:szCs w:val="22"/>
        </w:rPr>
        <w:t>p</w:t>
      </w:r>
      <w:r w:rsidRPr="00B722F3">
        <w:rPr>
          <w:szCs w:val="22"/>
        </w:rPr>
        <w:t xml:space="preserve">atient </w:t>
      </w:r>
      <w:r w:rsidR="005F0AAD" w:rsidRPr="00B722F3">
        <w:rPr>
          <w:szCs w:val="22"/>
        </w:rPr>
        <w:t>a</w:t>
      </w:r>
      <w:r w:rsidRPr="00B722F3">
        <w:rPr>
          <w:szCs w:val="22"/>
        </w:rPr>
        <w:t>ssessment, co-claimed with 93644 or 93653</w:t>
      </w:r>
    </w:p>
    <w:p w14:paraId="1577756A" w14:textId="2AD47AAD" w:rsidR="00C23C81" w:rsidRPr="00B722F3" w:rsidRDefault="00C23C81" w:rsidP="00B722F3">
      <w:pPr>
        <w:rPr>
          <w:szCs w:val="22"/>
        </w:rPr>
      </w:pPr>
      <w:r w:rsidRPr="00B722F3">
        <w:rPr>
          <w:szCs w:val="22"/>
        </w:rPr>
        <w:t xml:space="preserve">90005 – </w:t>
      </w:r>
      <w:r w:rsidR="005F0AAD" w:rsidRPr="00B722F3">
        <w:rPr>
          <w:szCs w:val="22"/>
        </w:rPr>
        <w:t>f</w:t>
      </w:r>
      <w:r w:rsidRPr="00B722F3">
        <w:rPr>
          <w:szCs w:val="22"/>
        </w:rPr>
        <w:t xml:space="preserve">lag </w:t>
      </w:r>
      <w:r w:rsidR="005F0AAD" w:rsidRPr="00B722F3">
        <w:rPr>
          <w:szCs w:val="22"/>
        </w:rPr>
        <w:t>f</w:t>
      </w:r>
      <w:r w:rsidRPr="00B722F3">
        <w:rPr>
          <w:szCs w:val="22"/>
        </w:rPr>
        <w:t>all for services in a residential aged care facility, residential disability facility or patient’s home, co-claimed with 93644</w:t>
      </w:r>
      <w:r w:rsidR="00463D40">
        <w:rPr>
          <w:szCs w:val="22"/>
        </w:rPr>
        <w:t>,</w:t>
      </w:r>
      <w:r w:rsidRPr="00B722F3">
        <w:rPr>
          <w:szCs w:val="22"/>
        </w:rPr>
        <w:t xml:space="preserve"> 93653</w:t>
      </w:r>
      <w:r w:rsidR="00463D40">
        <w:rPr>
          <w:szCs w:val="22"/>
        </w:rPr>
        <w:t xml:space="preserve"> or </w:t>
      </w:r>
      <w:r w:rsidR="00463D40" w:rsidRPr="00B722F3">
        <w:rPr>
          <w:szCs w:val="22"/>
        </w:rPr>
        <w:t>93660</w:t>
      </w:r>
    </w:p>
    <w:p w14:paraId="7B6439BC" w14:textId="4F07DFED" w:rsidR="00DA3C40" w:rsidRDefault="00DA3C40" w:rsidP="00853860">
      <w:pPr>
        <w:spacing w:after="0" w:line="240" w:lineRule="auto"/>
        <w:ind w:right="1396"/>
        <w:rPr>
          <w:rFonts w:asciiTheme="majorHAnsi" w:eastAsiaTheme="minorEastAsia" w:hAnsiTheme="majorHAnsi" w:cstheme="majorHAnsi"/>
        </w:rPr>
      </w:pPr>
    </w:p>
    <w:p w14:paraId="11758311" w14:textId="12C08BF7" w:rsidR="00DA3C40" w:rsidRPr="00B722F3" w:rsidRDefault="00DA3C40" w:rsidP="00B722F3">
      <w:pPr>
        <w:rPr>
          <w:b/>
          <w:bCs/>
          <w:szCs w:val="22"/>
        </w:rPr>
      </w:pPr>
      <w:r w:rsidRPr="00B722F3">
        <w:rPr>
          <w:b/>
          <w:bCs/>
          <w:szCs w:val="22"/>
        </w:rPr>
        <w:t xml:space="preserve">GPs in Modified Monash Areas 2 to 7 (simplified </w:t>
      </w:r>
      <w:r w:rsidR="009B7C84" w:rsidRPr="00B722F3">
        <w:rPr>
          <w:b/>
          <w:bCs/>
          <w:szCs w:val="22"/>
        </w:rPr>
        <w:t>descriptors</w:t>
      </w:r>
      <w:r w:rsidRPr="00B722F3">
        <w:rPr>
          <w:b/>
          <w:bCs/>
          <w:szCs w:val="22"/>
        </w:rPr>
        <w:t>)</w:t>
      </w:r>
    </w:p>
    <w:p w14:paraId="6E8EAC49" w14:textId="0134ED07" w:rsidR="00DA3C40" w:rsidRPr="00B722F3" w:rsidRDefault="00DA3C40" w:rsidP="00B722F3">
      <w:pPr>
        <w:rPr>
          <w:szCs w:val="22"/>
        </w:rPr>
      </w:pPr>
      <w:r w:rsidRPr="00B722F3">
        <w:rPr>
          <w:szCs w:val="22"/>
        </w:rPr>
        <w:t>93645 – suitability assessment service during business hours</w:t>
      </w:r>
    </w:p>
    <w:p w14:paraId="72746214" w14:textId="0436E71A" w:rsidR="00DA3C40" w:rsidRPr="00B722F3" w:rsidRDefault="00DA3C40" w:rsidP="00B722F3">
      <w:pPr>
        <w:rPr>
          <w:szCs w:val="22"/>
        </w:rPr>
      </w:pPr>
      <w:r w:rsidRPr="00B722F3">
        <w:rPr>
          <w:szCs w:val="22"/>
        </w:rPr>
        <w:t>93654 – suitability assessment service after-hours</w:t>
      </w:r>
    </w:p>
    <w:p w14:paraId="75E39951" w14:textId="7115B1A3" w:rsidR="00DA3C40" w:rsidRPr="00B722F3" w:rsidRDefault="00DA3C40" w:rsidP="00B722F3">
      <w:pPr>
        <w:rPr>
          <w:szCs w:val="22"/>
        </w:rPr>
      </w:pPr>
      <w:r w:rsidRPr="00B722F3">
        <w:rPr>
          <w:szCs w:val="22"/>
        </w:rPr>
        <w:t>9366</w:t>
      </w:r>
      <w:r w:rsidR="0079334F" w:rsidRPr="00B722F3">
        <w:rPr>
          <w:szCs w:val="22"/>
        </w:rPr>
        <w:t>1</w:t>
      </w:r>
      <w:r w:rsidRPr="00B722F3">
        <w:rPr>
          <w:szCs w:val="22"/>
        </w:rPr>
        <w:t xml:space="preserve"> – suitability assessment service on behalf of a GP/OMP by a suitably qualified health professional on their behalf</w:t>
      </w:r>
    </w:p>
    <w:p w14:paraId="377DA29A" w14:textId="1C3264B9" w:rsidR="00DA3C40" w:rsidRPr="00B722F3" w:rsidRDefault="00DA3C40" w:rsidP="00B722F3">
      <w:pPr>
        <w:rPr>
          <w:szCs w:val="22"/>
        </w:rPr>
      </w:pPr>
      <w:r w:rsidRPr="00B722F3">
        <w:rPr>
          <w:szCs w:val="22"/>
        </w:rPr>
        <w:t>1066</w:t>
      </w:r>
      <w:r w:rsidR="008450DA" w:rsidRPr="00B722F3">
        <w:rPr>
          <w:szCs w:val="22"/>
        </w:rPr>
        <w:t>0</w:t>
      </w:r>
      <w:r w:rsidRPr="00B722F3">
        <w:rPr>
          <w:szCs w:val="22"/>
        </w:rPr>
        <w:t xml:space="preserve"> </w:t>
      </w:r>
      <w:r w:rsidR="005F0AAD" w:rsidRPr="00B722F3">
        <w:rPr>
          <w:szCs w:val="22"/>
        </w:rPr>
        <w:t>–</w:t>
      </w:r>
      <w:r w:rsidRPr="00B722F3">
        <w:rPr>
          <w:szCs w:val="22"/>
        </w:rPr>
        <w:t xml:space="preserve"> </w:t>
      </w:r>
      <w:r w:rsidR="005F0AAD" w:rsidRPr="00B722F3">
        <w:rPr>
          <w:szCs w:val="22"/>
        </w:rPr>
        <w:t>i</w:t>
      </w:r>
      <w:r w:rsidRPr="00B722F3">
        <w:rPr>
          <w:szCs w:val="22"/>
        </w:rPr>
        <w:t>n</w:t>
      </w:r>
      <w:r w:rsidR="005F0AAD" w:rsidRPr="00B722F3">
        <w:rPr>
          <w:szCs w:val="22"/>
        </w:rPr>
        <w:t>-d</w:t>
      </w:r>
      <w:r w:rsidRPr="00B722F3">
        <w:rPr>
          <w:szCs w:val="22"/>
        </w:rPr>
        <w:t xml:space="preserve">epth </w:t>
      </w:r>
      <w:r w:rsidR="005F0AAD" w:rsidRPr="00B722F3">
        <w:rPr>
          <w:szCs w:val="22"/>
        </w:rPr>
        <w:t>p</w:t>
      </w:r>
      <w:r w:rsidRPr="00B722F3">
        <w:rPr>
          <w:szCs w:val="22"/>
        </w:rPr>
        <w:t xml:space="preserve">atient </w:t>
      </w:r>
      <w:r w:rsidR="005F0AAD" w:rsidRPr="00B722F3">
        <w:rPr>
          <w:szCs w:val="22"/>
        </w:rPr>
        <w:t>a</w:t>
      </w:r>
      <w:r w:rsidRPr="00B722F3">
        <w:rPr>
          <w:szCs w:val="22"/>
        </w:rPr>
        <w:t>ssessment, co-claimed with 93645 or 93654</w:t>
      </w:r>
    </w:p>
    <w:p w14:paraId="69D3B041" w14:textId="34730AC0" w:rsidR="00DA3C40" w:rsidRPr="00B722F3" w:rsidRDefault="00DA3C40" w:rsidP="00B722F3">
      <w:pPr>
        <w:rPr>
          <w:szCs w:val="22"/>
        </w:rPr>
      </w:pPr>
      <w:r w:rsidRPr="00B722F3">
        <w:rPr>
          <w:szCs w:val="22"/>
        </w:rPr>
        <w:t xml:space="preserve">90005 – </w:t>
      </w:r>
      <w:r w:rsidR="005F0AAD" w:rsidRPr="00B722F3">
        <w:rPr>
          <w:szCs w:val="22"/>
        </w:rPr>
        <w:t xml:space="preserve">flag fall </w:t>
      </w:r>
      <w:r w:rsidRPr="00B722F3">
        <w:rPr>
          <w:szCs w:val="22"/>
        </w:rPr>
        <w:t>for services in a residential aged care facility, residential disability facility or patient’s home, co-claimed with 93645</w:t>
      </w:r>
      <w:r w:rsidR="00463D40">
        <w:rPr>
          <w:szCs w:val="22"/>
        </w:rPr>
        <w:t>,</w:t>
      </w:r>
      <w:r w:rsidRPr="00B722F3">
        <w:rPr>
          <w:szCs w:val="22"/>
        </w:rPr>
        <w:t xml:space="preserve"> 93654</w:t>
      </w:r>
      <w:r w:rsidR="00463D40">
        <w:rPr>
          <w:szCs w:val="22"/>
        </w:rPr>
        <w:t xml:space="preserve"> or </w:t>
      </w:r>
      <w:r w:rsidR="00463D40" w:rsidRPr="00B722F3">
        <w:rPr>
          <w:szCs w:val="22"/>
        </w:rPr>
        <w:t>93661</w:t>
      </w:r>
    </w:p>
    <w:p w14:paraId="7D4AE2C5" w14:textId="5E3B5BBD" w:rsidR="00DA3C40" w:rsidRDefault="00DA3C40" w:rsidP="00853860">
      <w:pPr>
        <w:spacing w:after="0" w:line="240" w:lineRule="auto"/>
        <w:ind w:right="1396"/>
        <w:rPr>
          <w:rFonts w:asciiTheme="majorHAnsi" w:eastAsiaTheme="minorEastAsia" w:hAnsiTheme="majorHAnsi" w:cstheme="majorHAnsi"/>
        </w:rPr>
      </w:pPr>
    </w:p>
    <w:p w14:paraId="49F068F7" w14:textId="10929CE6" w:rsidR="00DA3C40" w:rsidRPr="00B722F3" w:rsidRDefault="00DA3C40" w:rsidP="00B722F3">
      <w:pPr>
        <w:rPr>
          <w:b/>
          <w:bCs/>
          <w:szCs w:val="22"/>
        </w:rPr>
      </w:pPr>
      <w:r w:rsidRPr="00B722F3">
        <w:rPr>
          <w:b/>
          <w:bCs/>
          <w:szCs w:val="22"/>
        </w:rPr>
        <w:t xml:space="preserve">OMPs in Modified Monash Area 1 (simplified </w:t>
      </w:r>
      <w:r w:rsidR="009B7C84" w:rsidRPr="00B722F3">
        <w:rPr>
          <w:b/>
          <w:bCs/>
          <w:szCs w:val="22"/>
        </w:rPr>
        <w:t>descriptors</w:t>
      </w:r>
      <w:r w:rsidRPr="00B722F3">
        <w:rPr>
          <w:b/>
          <w:bCs/>
          <w:szCs w:val="22"/>
        </w:rPr>
        <w:t>)</w:t>
      </w:r>
    </w:p>
    <w:p w14:paraId="26F79F21" w14:textId="460AC3E6" w:rsidR="00DA3C40" w:rsidRPr="00B722F3" w:rsidRDefault="00DA3C40" w:rsidP="00B722F3">
      <w:pPr>
        <w:rPr>
          <w:szCs w:val="22"/>
        </w:rPr>
      </w:pPr>
      <w:r w:rsidRPr="00B722F3">
        <w:rPr>
          <w:szCs w:val="22"/>
        </w:rPr>
        <w:t>93646 – suitability assessment service during business hours</w:t>
      </w:r>
    </w:p>
    <w:p w14:paraId="04A06ED6" w14:textId="494C8F76" w:rsidR="00DA3C40" w:rsidRPr="00B722F3" w:rsidRDefault="00DA3C40" w:rsidP="00B722F3">
      <w:pPr>
        <w:rPr>
          <w:szCs w:val="22"/>
        </w:rPr>
      </w:pPr>
      <w:r w:rsidRPr="00B722F3">
        <w:rPr>
          <w:szCs w:val="22"/>
        </w:rPr>
        <w:t>93655 – suitability assessment service after-hours</w:t>
      </w:r>
    </w:p>
    <w:p w14:paraId="19C8C3EA" w14:textId="77777777" w:rsidR="00DA3C40" w:rsidRPr="00B722F3" w:rsidRDefault="00DA3C40" w:rsidP="00B722F3">
      <w:pPr>
        <w:rPr>
          <w:szCs w:val="22"/>
        </w:rPr>
      </w:pPr>
      <w:r w:rsidRPr="00B722F3">
        <w:rPr>
          <w:szCs w:val="22"/>
        </w:rPr>
        <w:t>93660 – suitability assessment service on behalf of a GP/OMP by a suitably qualified health professional on their behalf</w:t>
      </w:r>
    </w:p>
    <w:p w14:paraId="46109604" w14:textId="2BAA5B13" w:rsidR="00DA3C40" w:rsidRPr="00B722F3" w:rsidRDefault="00DA3C40" w:rsidP="00B722F3">
      <w:pPr>
        <w:rPr>
          <w:szCs w:val="22"/>
        </w:rPr>
      </w:pPr>
      <w:r w:rsidRPr="00B722F3">
        <w:rPr>
          <w:szCs w:val="22"/>
        </w:rPr>
        <w:t xml:space="preserve">10661 - </w:t>
      </w:r>
      <w:r w:rsidR="005F0AAD" w:rsidRPr="00B722F3">
        <w:rPr>
          <w:szCs w:val="22"/>
        </w:rPr>
        <w:t>i</w:t>
      </w:r>
      <w:r w:rsidRPr="00B722F3">
        <w:rPr>
          <w:szCs w:val="22"/>
        </w:rPr>
        <w:t>n-</w:t>
      </w:r>
      <w:r w:rsidR="005F0AAD" w:rsidRPr="00B722F3">
        <w:rPr>
          <w:szCs w:val="22"/>
        </w:rPr>
        <w:t>d</w:t>
      </w:r>
      <w:r w:rsidRPr="00B722F3">
        <w:rPr>
          <w:szCs w:val="22"/>
        </w:rPr>
        <w:t xml:space="preserve">epth </w:t>
      </w:r>
      <w:r w:rsidR="005F0AAD" w:rsidRPr="00B722F3">
        <w:rPr>
          <w:szCs w:val="22"/>
        </w:rPr>
        <w:t>p</w:t>
      </w:r>
      <w:r w:rsidRPr="00B722F3">
        <w:rPr>
          <w:szCs w:val="22"/>
        </w:rPr>
        <w:t xml:space="preserve">atient </w:t>
      </w:r>
      <w:r w:rsidR="005F0AAD" w:rsidRPr="00B722F3">
        <w:rPr>
          <w:szCs w:val="22"/>
        </w:rPr>
        <w:t>a</w:t>
      </w:r>
      <w:r w:rsidRPr="00B722F3">
        <w:rPr>
          <w:szCs w:val="22"/>
        </w:rPr>
        <w:t>ssessment, co-claimed with 93646 or 93655</w:t>
      </w:r>
    </w:p>
    <w:p w14:paraId="0557DF2A" w14:textId="3C7041AA" w:rsidR="00DA3C40" w:rsidRPr="00B722F3" w:rsidRDefault="00DA3C40" w:rsidP="00B722F3">
      <w:pPr>
        <w:rPr>
          <w:szCs w:val="22"/>
        </w:rPr>
      </w:pPr>
      <w:r w:rsidRPr="00B722F3">
        <w:rPr>
          <w:szCs w:val="22"/>
        </w:rPr>
        <w:t xml:space="preserve">90005 – </w:t>
      </w:r>
      <w:r w:rsidR="005F0AAD" w:rsidRPr="00B722F3">
        <w:rPr>
          <w:szCs w:val="22"/>
        </w:rPr>
        <w:t>f</w:t>
      </w:r>
      <w:r w:rsidRPr="00B722F3">
        <w:rPr>
          <w:szCs w:val="22"/>
        </w:rPr>
        <w:t xml:space="preserve">lag </w:t>
      </w:r>
      <w:r w:rsidR="005F0AAD" w:rsidRPr="00B722F3">
        <w:rPr>
          <w:szCs w:val="22"/>
        </w:rPr>
        <w:t>f</w:t>
      </w:r>
      <w:r w:rsidRPr="00B722F3">
        <w:rPr>
          <w:szCs w:val="22"/>
        </w:rPr>
        <w:t>all for services in a residential aged care facility, residential disability facility or patient’s home, co-claimed with 93646</w:t>
      </w:r>
      <w:r w:rsidR="00463D40">
        <w:rPr>
          <w:szCs w:val="22"/>
        </w:rPr>
        <w:t>,</w:t>
      </w:r>
      <w:r w:rsidRPr="00B722F3">
        <w:rPr>
          <w:szCs w:val="22"/>
        </w:rPr>
        <w:t xml:space="preserve"> 93655</w:t>
      </w:r>
      <w:r w:rsidR="00463D40">
        <w:rPr>
          <w:szCs w:val="22"/>
        </w:rPr>
        <w:t xml:space="preserve"> or </w:t>
      </w:r>
      <w:r w:rsidR="00463D40" w:rsidRPr="00B722F3">
        <w:rPr>
          <w:szCs w:val="22"/>
        </w:rPr>
        <w:t>93660</w:t>
      </w:r>
    </w:p>
    <w:p w14:paraId="1718FB38" w14:textId="77777777" w:rsidR="00DA3C40" w:rsidRPr="008450DA" w:rsidRDefault="00DA3C40" w:rsidP="00DA3C40">
      <w:pPr>
        <w:spacing w:after="0" w:line="240" w:lineRule="auto"/>
        <w:ind w:right="1396"/>
        <w:rPr>
          <w:rFonts w:asciiTheme="majorHAnsi" w:eastAsiaTheme="minorEastAsia" w:hAnsiTheme="majorHAnsi" w:cstheme="majorHAnsi"/>
        </w:rPr>
      </w:pPr>
    </w:p>
    <w:p w14:paraId="7F0B0A35" w14:textId="77777777" w:rsidR="00D022C6" w:rsidRDefault="00D022C6" w:rsidP="00E57717">
      <w:pPr>
        <w:spacing w:before="0" w:after="0" w:line="240" w:lineRule="auto"/>
        <w:rPr>
          <w:b/>
          <w:bCs/>
          <w:szCs w:val="22"/>
        </w:rPr>
      </w:pPr>
    </w:p>
    <w:p w14:paraId="346A4639" w14:textId="5EB91FEF" w:rsidR="00DA3C40" w:rsidRPr="00E57717" w:rsidRDefault="00DA3C40" w:rsidP="00E57717">
      <w:pPr>
        <w:spacing w:before="0" w:after="0" w:line="240" w:lineRule="auto"/>
        <w:rPr>
          <w:rFonts w:eastAsia="Arial" w:cs="Arial"/>
          <w:color w:val="002060"/>
          <w:sz w:val="24"/>
        </w:rPr>
      </w:pPr>
      <w:r w:rsidRPr="00B722F3">
        <w:rPr>
          <w:b/>
          <w:bCs/>
          <w:szCs w:val="22"/>
        </w:rPr>
        <w:lastRenderedPageBreak/>
        <w:t xml:space="preserve">OMPs in Modified Monash Areas 2 to 7 (simplified </w:t>
      </w:r>
      <w:r w:rsidR="009B7C84" w:rsidRPr="00B722F3">
        <w:rPr>
          <w:b/>
          <w:bCs/>
          <w:szCs w:val="22"/>
        </w:rPr>
        <w:t>descriptors</w:t>
      </w:r>
      <w:r w:rsidRPr="00B722F3">
        <w:rPr>
          <w:b/>
          <w:bCs/>
          <w:szCs w:val="22"/>
        </w:rPr>
        <w:t>)</w:t>
      </w:r>
    </w:p>
    <w:p w14:paraId="6C14B8FE" w14:textId="1AD248E2" w:rsidR="00DA3C40" w:rsidRPr="00B722F3" w:rsidRDefault="00DA3C40" w:rsidP="00B722F3">
      <w:pPr>
        <w:rPr>
          <w:szCs w:val="22"/>
        </w:rPr>
      </w:pPr>
      <w:r w:rsidRPr="00B722F3">
        <w:rPr>
          <w:szCs w:val="22"/>
        </w:rPr>
        <w:t>9364</w:t>
      </w:r>
      <w:r w:rsidR="008450DA" w:rsidRPr="00B722F3">
        <w:rPr>
          <w:szCs w:val="22"/>
        </w:rPr>
        <w:t>7</w:t>
      </w:r>
      <w:r w:rsidRPr="00B722F3">
        <w:rPr>
          <w:szCs w:val="22"/>
        </w:rPr>
        <w:t xml:space="preserve"> – suitability assessment service during business hours</w:t>
      </w:r>
    </w:p>
    <w:p w14:paraId="7209E2A1" w14:textId="1928727E" w:rsidR="00DA3C40" w:rsidRPr="00B722F3" w:rsidRDefault="00DA3C40" w:rsidP="00B722F3">
      <w:pPr>
        <w:rPr>
          <w:szCs w:val="22"/>
        </w:rPr>
      </w:pPr>
      <w:r w:rsidRPr="00B722F3">
        <w:rPr>
          <w:szCs w:val="22"/>
        </w:rPr>
        <w:t>9365</w:t>
      </w:r>
      <w:r w:rsidR="008450DA" w:rsidRPr="00B722F3">
        <w:rPr>
          <w:szCs w:val="22"/>
        </w:rPr>
        <w:t>6</w:t>
      </w:r>
      <w:r w:rsidRPr="00B722F3">
        <w:rPr>
          <w:szCs w:val="22"/>
        </w:rPr>
        <w:t xml:space="preserve"> – suitability assessment service after-hours</w:t>
      </w:r>
    </w:p>
    <w:p w14:paraId="00482C29" w14:textId="2A262B4A" w:rsidR="00DA3C40" w:rsidRPr="00B722F3" w:rsidRDefault="00DA3C40" w:rsidP="00B722F3">
      <w:pPr>
        <w:rPr>
          <w:szCs w:val="22"/>
        </w:rPr>
      </w:pPr>
      <w:r w:rsidRPr="00B722F3">
        <w:rPr>
          <w:szCs w:val="22"/>
        </w:rPr>
        <w:t>9366</w:t>
      </w:r>
      <w:r w:rsidR="008450DA" w:rsidRPr="00B722F3">
        <w:rPr>
          <w:szCs w:val="22"/>
        </w:rPr>
        <w:t>1</w:t>
      </w:r>
      <w:r w:rsidRPr="00B722F3">
        <w:rPr>
          <w:szCs w:val="22"/>
        </w:rPr>
        <w:t xml:space="preserve"> – suitability assessment service on behalf of a GP/OMP by a suitably qualified health professional on their behalf</w:t>
      </w:r>
    </w:p>
    <w:p w14:paraId="6BD2C322" w14:textId="1C9EE3F1" w:rsidR="00DA3C40" w:rsidRPr="00B722F3" w:rsidRDefault="00DA3C40" w:rsidP="00B722F3">
      <w:pPr>
        <w:rPr>
          <w:szCs w:val="22"/>
        </w:rPr>
      </w:pPr>
      <w:r w:rsidRPr="00B722F3">
        <w:rPr>
          <w:szCs w:val="22"/>
        </w:rPr>
        <w:t xml:space="preserve">10661 </w:t>
      </w:r>
      <w:r w:rsidR="005F0AAD" w:rsidRPr="00B722F3">
        <w:rPr>
          <w:szCs w:val="22"/>
        </w:rPr>
        <w:t>–</w:t>
      </w:r>
      <w:r w:rsidRPr="00B722F3">
        <w:rPr>
          <w:szCs w:val="22"/>
        </w:rPr>
        <w:t xml:space="preserve"> </w:t>
      </w:r>
      <w:r w:rsidR="005F0AAD" w:rsidRPr="00B722F3">
        <w:rPr>
          <w:szCs w:val="22"/>
        </w:rPr>
        <w:t>i</w:t>
      </w:r>
      <w:r w:rsidRPr="00B722F3">
        <w:rPr>
          <w:szCs w:val="22"/>
        </w:rPr>
        <w:t>n</w:t>
      </w:r>
      <w:r w:rsidR="005F0AAD" w:rsidRPr="00B722F3">
        <w:rPr>
          <w:szCs w:val="22"/>
        </w:rPr>
        <w:t>-d</w:t>
      </w:r>
      <w:r w:rsidRPr="00B722F3">
        <w:rPr>
          <w:szCs w:val="22"/>
        </w:rPr>
        <w:t xml:space="preserve">epth </w:t>
      </w:r>
      <w:r w:rsidR="005F0AAD" w:rsidRPr="00B722F3">
        <w:rPr>
          <w:szCs w:val="22"/>
        </w:rPr>
        <w:t>p</w:t>
      </w:r>
      <w:r w:rsidRPr="00B722F3">
        <w:rPr>
          <w:szCs w:val="22"/>
        </w:rPr>
        <w:t xml:space="preserve">atient </w:t>
      </w:r>
      <w:r w:rsidR="005F0AAD" w:rsidRPr="00B722F3">
        <w:rPr>
          <w:szCs w:val="22"/>
        </w:rPr>
        <w:t>a</w:t>
      </w:r>
      <w:r w:rsidRPr="00B722F3">
        <w:rPr>
          <w:szCs w:val="22"/>
        </w:rPr>
        <w:t>ssessment, co-claimed with 9364</w:t>
      </w:r>
      <w:r w:rsidR="008450DA" w:rsidRPr="00B722F3">
        <w:rPr>
          <w:szCs w:val="22"/>
        </w:rPr>
        <w:t>7</w:t>
      </w:r>
      <w:r w:rsidRPr="00B722F3">
        <w:rPr>
          <w:szCs w:val="22"/>
        </w:rPr>
        <w:t xml:space="preserve"> or 9365</w:t>
      </w:r>
      <w:r w:rsidR="008450DA" w:rsidRPr="00B722F3">
        <w:rPr>
          <w:szCs w:val="22"/>
        </w:rPr>
        <w:t>6</w:t>
      </w:r>
    </w:p>
    <w:p w14:paraId="0F94EFEF" w14:textId="3993EF66" w:rsidR="00DA3C40" w:rsidRPr="00B722F3" w:rsidRDefault="00DA3C40" w:rsidP="00B722F3">
      <w:pPr>
        <w:rPr>
          <w:szCs w:val="22"/>
        </w:rPr>
      </w:pPr>
      <w:r w:rsidRPr="00B722F3">
        <w:rPr>
          <w:szCs w:val="22"/>
        </w:rPr>
        <w:t xml:space="preserve">90005 – </w:t>
      </w:r>
      <w:r w:rsidR="005F0AAD" w:rsidRPr="00B722F3">
        <w:rPr>
          <w:szCs w:val="22"/>
        </w:rPr>
        <w:t>f</w:t>
      </w:r>
      <w:r w:rsidRPr="00B722F3">
        <w:rPr>
          <w:szCs w:val="22"/>
        </w:rPr>
        <w:t xml:space="preserve">lag </w:t>
      </w:r>
      <w:r w:rsidR="005F0AAD" w:rsidRPr="00B722F3">
        <w:rPr>
          <w:szCs w:val="22"/>
        </w:rPr>
        <w:t>f</w:t>
      </w:r>
      <w:r w:rsidRPr="00B722F3">
        <w:rPr>
          <w:szCs w:val="22"/>
        </w:rPr>
        <w:t xml:space="preserve">all for services in a residential aged care facility, residential disability facility or patient’s home, co-claimed with </w:t>
      </w:r>
      <w:r w:rsidR="008450DA" w:rsidRPr="00B722F3">
        <w:rPr>
          <w:szCs w:val="22"/>
        </w:rPr>
        <w:t>93647</w:t>
      </w:r>
      <w:r w:rsidR="00463D40">
        <w:rPr>
          <w:szCs w:val="22"/>
        </w:rPr>
        <w:t>,</w:t>
      </w:r>
      <w:r w:rsidR="008450DA" w:rsidRPr="00B722F3">
        <w:rPr>
          <w:szCs w:val="22"/>
        </w:rPr>
        <w:t xml:space="preserve"> 93656</w:t>
      </w:r>
      <w:r w:rsidR="00463D40">
        <w:rPr>
          <w:szCs w:val="22"/>
        </w:rPr>
        <w:t xml:space="preserve"> or </w:t>
      </w:r>
      <w:r w:rsidR="00463D40" w:rsidRPr="00B722F3">
        <w:rPr>
          <w:szCs w:val="22"/>
        </w:rPr>
        <w:t>93661</w:t>
      </w:r>
    </w:p>
    <w:p w14:paraId="5928EA61" w14:textId="77777777" w:rsidR="00107051" w:rsidRDefault="00107051" w:rsidP="008646CC">
      <w:pPr>
        <w:spacing w:before="0" w:after="0" w:line="240" w:lineRule="auto"/>
        <w:rPr>
          <w:b/>
        </w:rPr>
        <w:sectPr w:rsidR="00107051" w:rsidSect="00B53987">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pPr>
    </w:p>
    <w:p w14:paraId="7F442205" w14:textId="51E53733" w:rsidR="00D64E68" w:rsidRDefault="00D64E68" w:rsidP="00D64E68">
      <w:pPr>
        <w:rPr>
          <w:b/>
        </w:rPr>
        <w:sectPr w:rsidR="00D64E68" w:rsidSect="008646CC">
          <w:type w:val="continuous"/>
          <w:pgSz w:w="11906" w:h="16838"/>
          <w:pgMar w:top="1701" w:right="1418" w:bottom="1418" w:left="1418" w:header="709" w:footer="709" w:gutter="0"/>
          <w:cols w:num="2" w:space="708"/>
          <w:titlePg/>
          <w:docGrid w:linePitch="360"/>
        </w:sectPr>
      </w:pPr>
    </w:p>
    <w:p w14:paraId="46E0B9FD" w14:textId="01B45C43" w:rsidR="002C5B48" w:rsidRPr="00B722F3" w:rsidRDefault="002C5B48" w:rsidP="00B722F3">
      <w:pPr>
        <w:rPr>
          <w:b/>
          <w:bCs/>
          <w:szCs w:val="22"/>
        </w:rPr>
      </w:pPr>
      <w:r w:rsidRPr="00B722F3">
        <w:rPr>
          <w:b/>
          <w:bCs/>
          <w:szCs w:val="22"/>
        </w:rPr>
        <w:t xml:space="preserve">Services rendered in business hours: </w:t>
      </w:r>
    </w:p>
    <w:p w14:paraId="364BEBF0" w14:textId="77777777" w:rsidR="002C5B48" w:rsidRPr="00D64E68" w:rsidRDefault="002C5B48" w:rsidP="00B722F3">
      <w:pPr>
        <w:pStyle w:val="ListBullet"/>
      </w:pPr>
      <w:r w:rsidRPr="00D64E68">
        <w:t xml:space="preserve">after 8am or before 8pm on a weekday; </w:t>
      </w:r>
    </w:p>
    <w:p w14:paraId="19A7258A" w14:textId="77777777" w:rsidR="002C5B48" w:rsidRPr="00F02E71" w:rsidRDefault="002C5B48" w:rsidP="00B722F3">
      <w:pPr>
        <w:pStyle w:val="ListBullet"/>
      </w:pPr>
      <w:r w:rsidRPr="00AA7457">
        <w:t xml:space="preserve">after 8am or before 1.00pm on a Saturday. </w:t>
      </w:r>
    </w:p>
    <w:p w14:paraId="7E49F3FA" w14:textId="77777777" w:rsidR="00107051" w:rsidRPr="00B722F3" w:rsidRDefault="00107051" w:rsidP="00B722F3">
      <w:pPr>
        <w:rPr>
          <w:szCs w:val="22"/>
        </w:rPr>
      </w:pPr>
    </w:p>
    <w:p w14:paraId="3C57E052" w14:textId="3A2A27E9" w:rsidR="002C5B48" w:rsidRPr="00B722F3" w:rsidRDefault="002C5B48" w:rsidP="00B722F3">
      <w:pPr>
        <w:rPr>
          <w:b/>
          <w:bCs/>
          <w:szCs w:val="22"/>
        </w:rPr>
      </w:pPr>
      <w:r w:rsidRPr="00B722F3">
        <w:rPr>
          <w:b/>
          <w:bCs/>
          <w:szCs w:val="22"/>
        </w:rPr>
        <w:t xml:space="preserve">Services rendered after-hours: </w:t>
      </w:r>
    </w:p>
    <w:p w14:paraId="124584AE" w14:textId="77777777" w:rsidR="002C5B48" w:rsidRPr="00F02E71" w:rsidRDefault="002C5B48" w:rsidP="00B722F3">
      <w:pPr>
        <w:pStyle w:val="ListBullet"/>
      </w:pPr>
      <w:r w:rsidRPr="00AA7457">
        <w:t xml:space="preserve">on a public holiday. </w:t>
      </w:r>
    </w:p>
    <w:p w14:paraId="0FFFC75A" w14:textId="77777777" w:rsidR="002C5B48" w:rsidRPr="003302D0" w:rsidRDefault="002C5B48" w:rsidP="00B722F3">
      <w:pPr>
        <w:pStyle w:val="ListBullet"/>
      </w:pPr>
      <w:r w:rsidRPr="00F02E71">
        <w:t xml:space="preserve">on a Sunday. </w:t>
      </w:r>
    </w:p>
    <w:p w14:paraId="628F8DC0" w14:textId="77777777" w:rsidR="002C5B48" w:rsidRPr="003302D0" w:rsidRDefault="002C5B48" w:rsidP="00B722F3">
      <w:pPr>
        <w:pStyle w:val="ListBullet"/>
      </w:pPr>
      <w:r w:rsidRPr="003302D0">
        <w:t xml:space="preserve">before 8am, or after 1pm on a Saturday. </w:t>
      </w:r>
    </w:p>
    <w:p w14:paraId="383DF896" w14:textId="77777777" w:rsidR="002C5B48" w:rsidRPr="00B722F3" w:rsidRDefault="002C5B48" w:rsidP="00B722F3">
      <w:pPr>
        <w:pStyle w:val="ListBullet"/>
      </w:pPr>
      <w:r w:rsidRPr="00B722F3">
        <w:t xml:space="preserve">before 8am, or after 8pm on any day other than a Saturday, Sunday or public holiday.  </w:t>
      </w:r>
    </w:p>
    <w:p w14:paraId="52934B0C" w14:textId="77777777" w:rsidR="00107051" w:rsidRDefault="00107051">
      <w:pPr>
        <w:spacing w:before="0" w:after="0" w:line="240" w:lineRule="auto"/>
        <w:sectPr w:rsidR="00107051" w:rsidSect="00B722F3">
          <w:type w:val="continuous"/>
          <w:pgSz w:w="11906" w:h="16838"/>
          <w:pgMar w:top="1701" w:right="1418" w:bottom="1418" w:left="1418" w:header="709" w:footer="709" w:gutter="0"/>
          <w:cols w:space="708"/>
          <w:titlePg/>
          <w:docGrid w:linePitch="360"/>
        </w:sectPr>
      </w:pPr>
    </w:p>
    <w:p w14:paraId="46E9FE5B" w14:textId="684CB8C4" w:rsidR="00BE3ED5" w:rsidRDefault="00BE3ED5" w:rsidP="00BE3ED5"/>
    <w:p w14:paraId="28A1E823" w14:textId="77777777" w:rsidR="00E57717" w:rsidRDefault="00E57717">
      <w:pPr>
        <w:spacing w:before="0" w:after="0" w:line="240" w:lineRule="auto"/>
        <w:rPr>
          <w:rFonts w:eastAsia="Arial" w:cs="Arial"/>
          <w:color w:val="002060"/>
          <w:sz w:val="24"/>
        </w:rPr>
      </w:pPr>
    </w:p>
    <w:p w14:paraId="56597009" w14:textId="77777777" w:rsidR="00146CCC" w:rsidRDefault="00146CCC">
      <w:pPr>
        <w:spacing w:before="0" w:after="0" w:line="240" w:lineRule="auto"/>
        <w:rPr>
          <w:rFonts w:eastAsia="Arial" w:cs="Arial"/>
          <w:color w:val="002060"/>
          <w:sz w:val="24"/>
        </w:rPr>
      </w:pPr>
    </w:p>
    <w:p w14:paraId="72E1CABB" w14:textId="77777777" w:rsidR="00146CCC" w:rsidRDefault="00146CCC">
      <w:pPr>
        <w:spacing w:before="0" w:after="0" w:line="240" w:lineRule="auto"/>
        <w:rPr>
          <w:rFonts w:eastAsia="Arial" w:cs="Arial"/>
          <w:color w:val="002060"/>
          <w:sz w:val="24"/>
        </w:rPr>
      </w:pPr>
    </w:p>
    <w:p w14:paraId="2B6F16A7" w14:textId="77777777" w:rsidR="00146CCC" w:rsidRDefault="00146CCC">
      <w:pPr>
        <w:spacing w:before="0" w:after="0" w:line="240" w:lineRule="auto"/>
        <w:rPr>
          <w:rFonts w:eastAsia="Arial" w:cs="Arial"/>
          <w:color w:val="002060"/>
          <w:sz w:val="24"/>
        </w:rPr>
      </w:pPr>
    </w:p>
    <w:p w14:paraId="1CAD6904" w14:textId="77777777" w:rsidR="00146CCC" w:rsidRDefault="00146CCC">
      <w:pPr>
        <w:spacing w:before="0" w:after="0" w:line="240" w:lineRule="auto"/>
        <w:rPr>
          <w:rFonts w:eastAsia="Arial" w:cs="Arial"/>
          <w:color w:val="002060"/>
          <w:sz w:val="24"/>
        </w:rPr>
      </w:pPr>
    </w:p>
    <w:p w14:paraId="4C079177" w14:textId="77777777" w:rsidR="00146CCC" w:rsidRDefault="00146CCC">
      <w:pPr>
        <w:spacing w:before="0" w:after="0" w:line="240" w:lineRule="auto"/>
        <w:rPr>
          <w:rFonts w:eastAsia="Arial" w:cs="Arial"/>
          <w:color w:val="002060"/>
          <w:sz w:val="24"/>
        </w:rPr>
      </w:pPr>
    </w:p>
    <w:p w14:paraId="7C12BA5A" w14:textId="77777777" w:rsidR="00146CCC" w:rsidRDefault="00146CCC">
      <w:pPr>
        <w:spacing w:before="0" w:after="0" w:line="240" w:lineRule="auto"/>
        <w:rPr>
          <w:rFonts w:eastAsia="Arial" w:cs="Arial"/>
          <w:color w:val="002060"/>
          <w:sz w:val="24"/>
        </w:rPr>
      </w:pPr>
    </w:p>
    <w:p w14:paraId="65480A5E" w14:textId="77777777" w:rsidR="00146CCC" w:rsidRDefault="00146CCC">
      <w:pPr>
        <w:spacing w:before="0" w:after="0" w:line="240" w:lineRule="auto"/>
        <w:rPr>
          <w:rFonts w:eastAsia="Arial" w:cs="Arial"/>
          <w:color w:val="002060"/>
          <w:sz w:val="24"/>
        </w:rPr>
      </w:pPr>
    </w:p>
    <w:p w14:paraId="21304883" w14:textId="77777777" w:rsidR="00146CCC" w:rsidRDefault="00146CCC">
      <w:pPr>
        <w:spacing w:before="0" w:after="0" w:line="240" w:lineRule="auto"/>
        <w:rPr>
          <w:rFonts w:eastAsia="Arial" w:cs="Arial"/>
          <w:color w:val="002060"/>
          <w:sz w:val="24"/>
        </w:rPr>
      </w:pPr>
    </w:p>
    <w:p w14:paraId="307C6FD4" w14:textId="77777777" w:rsidR="00146CCC" w:rsidRDefault="00146CCC">
      <w:pPr>
        <w:spacing w:before="0" w:after="0" w:line="240" w:lineRule="auto"/>
        <w:rPr>
          <w:rFonts w:eastAsia="Arial" w:cs="Arial"/>
          <w:color w:val="002060"/>
          <w:sz w:val="24"/>
        </w:rPr>
      </w:pPr>
    </w:p>
    <w:p w14:paraId="59B9B906" w14:textId="77777777" w:rsidR="00146CCC" w:rsidRDefault="00146CCC">
      <w:pPr>
        <w:spacing w:before="0" w:after="0" w:line="240" w:lineRule="auto"/>
        <w:rPr>
          <w:rFonts w:eastAsia="Arial" w:cs="Arial"/>
          <w:color w:val="002060"/>
          <w:sz w:val="24"/>
        </w:rPr>
      </w:pPr>
    </w:p>
    <w:p w14:paraId="12A2BF18" w14:textId="77777777" w:rsidR="00146CCC" w:rsidRDefault="00146CCC">
      <w:pPr>
        <w:spacing w:before="0" w:after="0" w:line="240" w:lineRule="auto"/>
        <w:rPr>
          <w:rFonts w:eastAsia="Arial" w:cs="Arial"/>
          <w:color w:val="002060"/>
          <w:sz w:val="24"/>
        </w:rPr>
      </w:pPr>
    </w:p>
    <w:p w14:paraId="245AEB1D" w14:textId="77777777" w:rsidR="00146CCC" w:rsidRDefault="00146CCC">
      <w:pPr>
        <w:spacing w:before="0" w:after="0" w:line="240" w:lineRule="auto"/>
        <w:rPr>
          <w:rFonts w:eastAsia="Arial" w:cs="Arial"/>
          <w:color w:val="002060"/>
          <w:sz w:val="24"/>
        </w:rPr>
      </w:pPr>
    </w:p>
    <w:p w14:paraId="420E16D8" w14:textId="77777777" w:rsidR="00146CCC" w:rsidRDefault="00146CCC">
      <w:pPr>
        <w:spacing w:before="0" w:after="0" w:line="240" w:lineRule="auto"/>
        <w:rPr>
          <w:rFonts w:eastAsia="Arial" w:cs="Arial"/>
          <w:color w:val="002060"/>
          <w:sz w:val="24"/>
        </w:rPr>
      </w:pPr>
    </w:p>
    <w:p w14:paraId="5F317A36" w14:textId="77777777" w:rsidR="00146CCC" w:rsidRDefault="00146CCC">
      <w:pPr>
        <w:spacing w:before="0" w:after="0" w:line="240" w:lineRule="auto"/>
        <w:rPr>
          <w:rFonts w:eastAsia="Arial" w:cs="Arial"/>
          <w:color w:val="002060"/>
          <w:sz w:val="24"/>
        </w:rPr>
      </w:pPr>
    </w:p>
    <w:p w14:paraId="5D897634" w14:textId="77777777" w:rsidR="00146CCC" w:rsidRDefault="00146CCC">
      <w:pPr>
        <w:spacing w:before="0" w:after="0" w:line="240" w:lineRule="auto"/>
        <w:rPr>
          <w:rFonts w:eastAsia="Arial" w:cs="Arial"/>
          <w:color w:val="002060"/>
          <w:sz w:val="24"/>
        </w:rPr>
      </w:pPr>
    </w:p>
    <w:p w14:paraId="7911D158" w14:textId="77777777" w:rsidR="00146CCC" w:rsidRDefault="00146CCC">
      <w:pPr>
        <w:spacing w:before="0" w:after="0" w:line="240" w:lineRule="auto"/>
        <w:rPr>
          <w:rFonts w:eastAsia="Arial" w:cs="Arial"/>
          <w:color w:val="002060"/>
          <w:sz w:val="24"/>
        </w:rPr>
      </w:pPr>
    </w:p>
    <w:p w14:paraId="7AB381BB" w14:textId="77777777" w:rsidR="00146CCC" w:rsidRDefault="00146CCC">
      <w:pPr>
        <w:spacing w:before="0" w:after="0" w:line="240" w:lineRule="auto"/>
        <w:rPr>
          <w:rFonts w:eastAsia="Arial" w:cs="Arial"/>
          <w:color w:val="002060"/>
          <w:sz w:val="24"/>
        </w:rPr>
      </w:pPr>
    </w:p>
    <w:p w14:paraId="29EB3FFB" w14:textId="77777777" w:rsidR="00146CCC" w:rsidRDefault="00146CCC">
      <w:pPr>
        <w:spacing w:before="0" w:after="0" w:line="240" w:lineRule="auto"/>
        <w:rPr>
          <w:rFonts w:eastAsia="Arial" w:cs="Arial"/>
          <w:color w:val="002060"/>
          <w:sz w:val="24"/>
        </w:rPr>
      </w:pPr>
    </w:p>
    <w:p w14:paraId="24BC39D4" w14:textId="77777777" w:rsidR="00146CCC" w:rsidRDefault="00146CCC">
      <w:pPr>
        <w:spacing w:before="0" w:after="0" w:line="240" w:lineRule="auto"/>
        <w:rPr>
          <w:rFonts w:eastAsia="Arial" w:cs="Arial"/>
          <w:color w:val="002060"/>
          <w:sz w:val="24"/>
        </w:rPr>
      </w:pPr>
    </w:p>
    <w:p w14:paraId="108CC16C" w14:textId="26EE72F0" w:rsidR="00146CCC" w:rsidRDefault="00146CCC">
      <w:pPr>
        <w:spacing w:before="0" w:after="0" w:line="240" w:lineRule="auto"/>
        <w:rPr>
          <w:rFonts w:eastAsia="Arial" w:cs="Arial"/>
          <w:color w:val="002060"/>
          <w:sz w:val="24"/>
        </w:rPr>
        <w:sectPr w:rsidR="00146CCC" w:rsidSect="00AA7457">
          <w:type w:val="continuous"/>
          <w:pgSz w:w="11906" w:h="16838"/>
          <w:pgMar w:top="1560" w:right="1418" w:bottom="1418" w:left="1418" w:header="709" w:footer="709" w:gutter="0"/>
          <w:cols w:space="708"/>
          <w:titlePg/>
          <w:docGrid w:linePitch="360"/>
        </w:sectPr>
      </w:pPr>
    </w:p>
    <w:p w14:paraId="1A28ADCE" w14:textId="6DCA1B67" w:rsidR="0079334F" w:rsidRPr="00E57717" w:rsidRDefault="0079334F" w:rsidP="00E57717">
      <w:pPr>
        <w:spacing w:before="0" w:after="0" w:line="240" w:lineRule="auto"/>
        <w:ind w:left="7200"/>
        <w:rPr>
          <w:rFonts w:eastAsia="Arial" w:cs="Arial"/>
          <w:color w:val="002060"/>
          <w:sz w:val="24"/>
        </w:rPr>
      </w:pPr>
      <w:r w:rsidRPr="00B722F3">
        <w:rPr>
          <w:b/>
          <w:bCs/>
          <w:szCs w:val="22"/>
        </w:rPr>
        <w:t>Attachment 2</w:t>
      </w:r>
    </w:p>
    <w:p w14:paraId="25A07F8B" w14:textId="524A0D2E" w:rsidR="0079334F" w:rsidRPr="00B722F3" w:rsidRDefault="0079334F" w:rsidP="00B722F3">
      <w:pPr>
        <w:pStyle w:val="Heading2"/>
      </w:pPr>
      <w:r w:rsidRPr="00B722F3">
        <w:t>SCENARIOS DEMONSTRATING CHANGES IN BILLING</w:t>
      </w:r>
    </w:p>
    <w:p w14:paraId="0ACF5B36" w14:textId="6EA030E4" w:rsidR="00200E7F" w:rsidRPr="00B722F3" w:rsidRDefault="00D64E68" w:rsidP="00B722F3">
      <w:pPr>
        <w:rPr>
          <w:szCs w:val="22"/>
        </w:rPr>
      </w:pPr>
      <w:r>
        <w:t>All scenarios below use MMM1 GP items for in business hours. Equivalent items for after 1 February 2023 for MMM2-7, OMPs and after hours are listed at Attachment 1.</w:t>
      </w:r>
    </w:p>
    <w:p w14:paraId="029F6438" w14:textId="77777777" w:rsidR="00E57717" w:rsidRDefault="00E57717" w:rsidP="00B722F3">
      <w:pPr>
        <w:rPr>
          <w:b/>
          <w:bCs/>
          <w:szCs w:val="22"/>
        </w:rPr>
      </w:pPr>
    </w:p>
    <w:p w14:paraId="5B46F58A" w14:textId="2DA08873" w:rsidR="00612CD4" w:rsidRPr="00AA7457" w:rsidRDefault="00612CD4" w:rsidP="00B722F3">
      <w:pPr>
        <w:rPr>
          <w:b/>
          <w:bCs/>
          <w:szCs w:val="22"/>
        </w:rPr>
      </w:pPr>
      <w:r w:rsidRPr="00AA7457">
        <w:rPr>
          <w:b/>
          <w:bCs/>
          <w:szCs w:val="22"/>
        </w:rPr>
        <w:t>Routine first dose</w:t>
      </w:r>
      <w:r w:rsidR="00905DF5" w:rsidRPr="00AA7457">
        <w:rPr>
          <w:b/>
          <w:bCs/>
          <w:szCs w:val="22"/>
        </w:rPr>
        <w:t>,</w:t>
      </w:r>
      <w:r w:rsidRPr="00AA7457">
        <w:rPr>
          <w:b/>
          <w:bCs/>
          <w:szCs w:val="22"/>
        </w:rPr>
        <w:t xml:space="preserve"> suitability assessment</w:t>
      </w:r>
    </w:p>
    <w:p w14:paraId="1949CAD2" w14:textId="12808A2D" w:rsidR="0079334F" w:rsidRPr="00B722F3" w:rsidRDefault="005F0AAD" w:rsidP="00B722F3">
      <w:pPr>
        <w:rPr>
          <w:szCs w:val="22"/>
        </w:rPr>
      </w:pPr>
      <w:r w:rsidRPr="00B722F3">
        <w:rPr>
          <w:szCs w:val="22"/>
        </w:rPr>
        <w:t xml:space="preserve">Billy </w:t>
      </w:r>
      <w:r w:rsidR="00AA7457">
        <w:rPr>
          <w:szCs w:val="22"/>
        </w:rPr>
        <w:t>is</w:t>
      </w:r>
      <w:r w:rsidRPr="00B722F3">
        <w:rPr>
          <w:szCs w:val="22"/>
        </w:rPr>
        <w:t xml:space="preserve"> 5 years old and his mother has taken him to see Dr Turner for his first COVID-19 </w:t>
      </w:r>
      <w:r w:rsidR="00612CD4" w:rsidRPr="00B722F3">
        <w:rPr>
          <w:szCs w:val="22"/>
        </w:rPr>
        <w:t xml:space="preserve">vaccine </w:t>
      </w:r>
      <w:r w:rsidRPr="00B722F3">
        <w:rPr>
          <w:szCs w:val="22"/>
        </w:rPr>
        <w:t>dose. Dr Turner is a GP who works in MMM1 and the appointment is during business hours.</w:t>
      </w:r>
    </w:p>
    <w:p w14:paraId="7FD0C443" w14:textId="5EE861F0" w:rsidR="005F0AAD" w:rsidRPr="00B722F3" w:rsidRDefault="005F0AAD" w:rsidP="00B722F3">
      <w:pPr>
        <w:rPr>
          <w:szCs w:val="22"/>
        </w:rPr>
      </w:pPr>
      <w:r w:rsidRPr="00B722F3">
        <w:rPr>
          <w:szCs w:val="22"/>
        </w:rPr>
        <w:t>After 1 February 2023, Dr Turner would claim MBS item 93644 for a suitability assessment service during business hours.</w:t>
      </w:r>
    </w:p>
    <w:p w14:paraId="140221A9" w14:textId="32735305" w:rsidR="005F0AAD" w:rsidRPr="00B722F3" w:rsidRDefault="005F0AAD" w:rsidP="00B722F3">
      <w:pPr>
        <w:rPr>
          <w:szCs w:val="22"/>
        </w:rPr>
      </w:pPr>
      <w:r w:rsidRPr="00B722F3">
        <w:rPr>
          <w:szCs w:val="22"/>
        </w:rPr>
        <w:t xml:space="preserve">Before 1 February 2023, Dr Turner would </w:t>
      </w:r>
      <w:r w:rsidR="00612CD4" w:rsidRPr="00B722F3">
        <w:rPr>
          <w:szCs w:val="22"/>
        </w:rPr>
        <w:t>have claimed item 93624 for a first dose suitability assessment service during business hours.</w:t>
      </w:r>
    </w:p>
    <w:p w14:paraId="7EE64F2B" w14:textId="14DACD13" w:rsidR="00612CD4" w:rsidRPr="00AA7457" w:rsidRDefault="00612CD4" w:rsidP="00B722F3">
      <w:pPr>
        <w:rPr>
          <w:b/>
          <w:bCs/>
          <w:szCs w:val="22"/>
        </w:rPr>
      </w:pPr>
      <w:r w:rsidRPr="00AA7457">
        <w:rPr>
          <w:b/>
          <w:bCs/>
          <w:szCs w:val="22"/>
        </w:rPr>
        <w:t>Routine booster dose</w:t>
      </w:r>
      <w:r w:rsidR="00905DF5" w:rsidRPr="00AA7457">
        <w:rPr>
          <w:b/>
          <w:bCs/>
          <w:szCs w:val="22"/>
        </w:rPr>
        <w:t>,</w:t>
      </w:r>
      <w:r w:rsidRPr="00AA7457">
        <w:rPr>
          <w:b/>
          <w:bCs/>
          <w:szCs w:val="22"/>
        </w:rPr>
        <w:t xml:space="preserve"> suitability assessment</w:t>
      </w:r>
    </w:p>
    <w:p w14:paraId="64781097" w14:textId="49E0D8EA" w:rsidR="00612CD4" w:rsidRPr="00B722F3" w:rsidRDefault="00612CD4" w:rsidP="00B722F3">
      <w:pPr>
        <w:rPr>
          <w:szCs w:val="22"/>
        </w:rPr>
      </w:pPr>
      <w:r w:rsidRPr="00B722F3">
        <w:rPr>
          <w:szCs w:val="22"/>
        </w:rPr>
        <w:t xml:space="preserve">Omar </w:t>
      </w:r>
      <w:r w:rsidR="00AA7457">
        <w:rPr>
          <w:szCs w:val="22"/>
        </w:rPr>
        <w:t>is</w:t>
      </w:r>
      <w:r w:rsidRPr="00B722F3">
        <w:rPr>
          <w:szCs w:val="22"/>
        </w:rPr>
        <w:t xml:space="preserve"> 16 years old and </w:t>
      </w:r>
      <w:r w:rsidR="00AA7457">
        <w:rPr>
          <w:szCs w:val="22"/>
        </w:rPr>
        <w:t xml:space="preserve">is going for a booster dose </w:t>
      </w:r>
      <w:r w:rsidRPr="00B722F3">
        <w:rPr>
          <w:szCs w:val="22"/>
        </w:rPr>
        <w:t>of COVID-19 vaccine. Dr Mendez is a GP who works in MMM1 and the appointment is during business hours.</w:t>
      </w:r>
    </w:p>
    <w:p w14:paraId="6D216751" w14:textId="4A111633" w:rsidR="00612CD4" w:rsidRPr="00B722F3" w:rsidRDefault="00612CD4" w:rsidP="00B722F3">
      <w:pPr>
        <w:rPr>
          <w:szCs w:val="22"/>
        </w:rPr>
      </w:pPr>
      <w:r w:rsidRPr="00B722F3">
        <w:rPr>
          <w:szCs w:val="22"/>
        </w:rPr>
        <w:t>After 1 February 2023, Dr Mendez would claim MBS item 93644 for a suitability assessment service during business hours.</w:t>
      </w:r>
    </w:p>
    <w:p w14:paraId="35856EEF" w14:textId="51EE6E9C" w:rsidR="00612CD4" w:rsidRPr="00B722F3" w:rsidRDefault="00612CD4" w:rsidP="00B722F3">
      <w:pPr>
        <w:rPr>
          <w:szCs w:val="22"/>
        </w:rPr>
      </w:pPr>
      <w:r w:rsidRPr="00B722F3">
        <w:rPr>
          <w:szCs w:val="22"/>
        </w:rPr>
        <w:t xml:space="preserve">Before 1 February 2023, Dr Mendez would have claimed item 93644 for a second or subsequent dose suitability assessment service during business hours as well as item 93666 for a booster incentive. (Note </w:t>
      </w:r>
      <w:r w:rsidR="00F335F6" w:rsidRPr="00B722F3">
        <w:rPr>
          <w:szCs w:val="22"/>
        </w:rPr>
        <w:t>from 1 February 2023 the total MBS benefit payable will be unchanged</w:t>
      </w:r>
      <w:r w:rsidRPr="00B722F3">
        <w:rPr>
          <w:szCs w:val="22"/>
        </w:rPr>
        <w:t>).</w:t>
      </w:r>
    </w:p>
    <w:p w14:paraId="5ABC250D" w14:textId="77777777" w:rsidR="00612CD4" w:rsidRPr="00B722F3" w:rsidRDefault="00612CD4" w:rsidP="00B722F3">
      <w:pPr>
        <w:rPr>
          <w:szCs w:val="22"/>
        </w:rPr>
      </w:pPr>
    </w:p>
    <w:p w14:paraId="06AF465C" w14:textId="2D41170B" w:rsidR="00200E7F" w:rsidRPr="00AA7457" w:rsidRDefault="00905DF5" w:rsidP="00B722F3">
      <w:pPr>
        <w:rPr>
          <w:b/>
          <w:bCs/>
          <w:szCs w:val="22"/>
        </w:rPr>
      </w:pPr>
      <w:r w:rsidRPr="00AA7457">
        <w:rPr>
          <w:b/>
          <w:bCs/>
          <w:szCs w:val="22"/>
        </w:rPr>
        <w:t>B</w:t>
      </w:r>
      <w:r w:rsidR="00200E7F" w:rsidRPr="00AA7457">
        <w:rPr>
          <w:b/>
          <w:bCs/>
          <w:szCs w:val="22"/>
        </w:rPr>
        <w:t>ooster dose</w:t>
      </w:r>
      <w:r w:rsidRPr="00AA7457">
        <w:rPr>
          <w:b/>
          <w:bCs/>
          <w:szCs w:val="22"/>
        </w:rPr>
        <w:t xml:space="preserve"> suitability assessments on behalf of a GP at a RACF</w:t>
      </w:r>
      <w:r w:rsidR="00200E7F" w:rsidRPr="00AA7457">
        <w:rPr>
          <w:b/>
          <w:bCs/>
          <w:szCs w:val="22"/>
        </w:rPr>
        <w:t xml:space="preserve"> </w:t>
      </w:r>
    </w:p>
    <w:p w14:paraId="0D2AEC8D" w14:textId="43163C33" w:rsidR="00200E7F" w:rsidRPr="00B722F3" w:rsidRDefault="00200E7F" w:rsidP="00B722F3">
      <w:pPr>
        <w:rPr>
          <w:szCs w:val="22"/>
        </w:rPr>
      </w:pPr>
      <w:r w:rsidRPr="00B722F3">
        <w:rPr>
          <w:szCs w:val="22"/>
        </w:rPr>
        <w:t>A local Residential Aged Care Facility (RACF) has arranged COVID-19 vaccine</w:t>
      </w:r>
      <w:r w:rsidR="00905DF5" w:rsidRPr="00B722F3">
        <w:rPr>
          <w:szCs w:val="22"/>
        </w:rPr>
        <w:t xml:space="preserve"> booster dose</w:t>
      </w:r>
      <w:r w:rsidRPr="00B722F3">
        <w:rPr>
          <w:szCs w:val="22"/>
        </w:rPr>
        <w:t xml:space="preserve">s for the majority of </w:t>
      </w:r>
      <w:r w:rsidR="00F335F6" w:rsidRPr="00B722F3">
        <w:rPr>
          <w:szCs w:val="22"/>
        </w:rPr>
        <w:t>its</w:t>
      </w:r>
      <w:r w:rsidRPr="00B722F3">
        <w:rPr>
          <w:szCs w:val="22"/>
        </w:rPr>
        <w:t xml:space="preserve"> residents with a local GP clinic. Mr Anand is a nurse who travels from the local GP clinic to the RACF and provides suitability assessments for 20 patients</w:t>
      </w:r>
      <w:r w:rsidR="00905DF5" w:rsidRPr="00B722F3">
        <w:rPr>
          <w:szCs w:val="22"/>
        </w:rPr>
        <w:t xml:space="preserve"> on behalf of Dr Khatri</w:t>
      </w:r>
      <w:r w:rsidRPr="00B722F3">
        <w:rPr>
          <w:szCs w:val="22"/>
        </w:rPr>
        <w:t xml:space="preserve">. Mr Anand is supported and remotely </w:t>
      </w:r>
      <w:r w:rsidR="00905DF5" w:rsidRPr="00B722F3">
        <w:rPr>
          <w:szCs w:val="22"/>
        </w:rPr>
        <w:t>supervised by Dr Khatri</w:t>
      </w:r>
      <w:r w:rsidRPr="00B722F3">
        <w:rPr>
          <w:szCs w:val="22"/>
        </w:rPr>
        <w:t>.</w:t>
      </w:r>
    </w:p>
    <w:p w14:paraId="0E354F4B" w14:textId="7CC1BAC2" w:rsidR="00905DF5" w:rsidRPr="00B722F3" w:rsidRDefault="00905DF5" w:rsidP="00B722F3">
      <w:pPr>
        <w:rPr>
          <w:szCs w:val="22"/>
        </w:rPr>
      </w:pPr>
      <w:r w:rsidRPr="00B722F3">
        <w:rPr>
          <w:szCs w:val="22"/>
        </w:rPr>
        <w:t>After 1 February 2023, Dr Khatri would claim one MBS item 90005 as a “flag fall” and 20 MBS item 93660s for suitability assessment services on her behalf.</w:t>
      </w:r>
    </w:p>
    <w:p w14:paraId="2E2F9BC8" w14:textId="3CD0B25B" w:rsidR="00905DF5" w:rsidRDefault="00905DF5" w:rsidP="00B722F3">
      <w:pPr>
        <w:rPr>
          <w:szCs w:val="22"/>
        </w:rPr>
      </w:pPr>
      <w:r w:rsidRPr="00B722F3">
        <w:rPr>
          <w:szCs w:val="22"/>
        </w:rPr>
        <w:t>Before 1 February 2023, Dr Khatri would have claimed one MBS item 90005 as a “flag fall”; 20 MBS item 93660s for the suitability assessment services conducted on her behalf and 20 MBS item 93666s for booster incentives.</w:t>
      </w:r>
    </w:p>
    <w:p w14:paraId="2D571A29" w14:textId="77777777" w:rsidR="00594AB1" w:rsidRPr="00B722F3" w:rsidRDefault="00594AB1" w:rsidP="00B722F3">
      <w:pPr>
        <w:rPr>
          <w:szCs w:val="22"/>
        </w:rPr>
      </w:pPr>
    </w:p>
    <w:p w14:paraId="17BA7254" w14:textId="77777777" w:rsidR="00905DF5" w:rsidRPr="00905DF5" w:rsidRDefault="00905DF5" w:rsidP="00905DF5">
      <w:pPr>
        <w:spacing w:after="0" w:line="240" w:lineRule="auto"/>
        <w:ind w:right="1396"/>
        <w:rPr>
          <w:rFonts w:asciiTheme="majorHAnsi" w:eastAsiaTheme="minorEastAsia" w:hAnsiTheme="majorHAnsi" w:cstheme="majorHAnsi"/>
          <w:sz w:val="8"/>
          <w:szCs w:val="8"/>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24E3EF18" w:rsidR="007C31DD" w:rsidRDefault="007C31DD" w:rsidP="007C31DD">
      <w:pPr>
        <w:pStyle w:val="Disclaimer"/>
      </w:pPr>
      <w:r w:rsidRPr="0029176A">
        <w:t xml:space="preserve">This </w:t>
      </w:r>
      <w:r w:rsidR="00E57717">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905DF5">
      <w:type w:val="continuous"/>
      <w:pgSz w:w="11906" w:h="16838"/>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79FC" w14:textId="77777777" w:rsidR="0088281F" w:rsidRDefault="0088281F" w:rsidP="006B56BB">
      <w:r>
        <w:separator/>
      </w:r>
    </w:p>
    <w:p w14:paraId="523F978E" w14:textId="77777777" w:rsidR="0088281F" w:rsidRDefault="0088281F"/>
  </w:endnote>
  <w:endnote w:type="continuationSeparator" w:id="0">
    <w:p w14:paraId="38A91E10" w14:textId="77777777" w:rsidR="0088281F" w:rsidRDefault="0088281F" w:rsidP="006B56BB">
      <w:r>
        <w:continuationSeparator/>
      </w:r>
    </w:p>
    <w:p w14:paraId="4AF30DAD" w14:textId="77777777" w:rsidR="0088281F" w:rsidRDefault="0088281F"/>
  </w:endnote>
  <w:endnote w:type="continuationNotice" w:id="1">
    <w:p w14:paraId="341E0AFC" w14:textId="77777777" w:rsidR="0088281F" w:rsidRDefault="00882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A81A75"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5FA232BB" w:rsidR="00F51321" w:rsidRDefault="00905DF5" w:rsidP="00F51321">
    <w:pPr>
      <w:pStyle w:val="Footer"/>
      <w:tabs>
        <w:tab w:val="clear" w:pos="9026"/>
        <w:tab w:val="right" w:pos="10466"/>
      </w:tabs>
    </w:pPr>
    <w:r w:rsidRPr="00905DF5">
      <w:rPr>
        <w:b/>
      </w:rPr>
      <w:t xml:space="preserve">Medicare Support for COVID-19 Vaccinations </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A81A75" w:rsidP="00F51321">
    <w:pPr>
      <w:pStyle w:val="Footer"/>
      <w:jc w:val="left"/>
      <w:rPr>
        <w:rStyle w:val="Hyperlink"/>
        <w:szCs w:val="18"/>
      </w:rPr>
    </w:pPr>
    <w:hyperlink r:id="rId1" w:history="1">
      <w:r w:rsidR="00F51321" w:rsidRPr="00E863C4">
        <w:rPr>
          <w:rStyle w:val="Hyperlink"/>
          <w:szCs w:val="18"/>
        </w:rPr>
        <w:t>MBS Online</w:t>
      </w:r>
    </w:hyperlink>
  </w:p>
  <w:p w14:paraId="2A46AAC7" w14:textId="77777777" w:rsidR="00E57717" w:rsidRPr="009B32BA" w:rsidRDefault="00F51321" w:rsidP="00E57717">
    <w:pPr>
      <w:pStyle w:val="Footer"/>
      <w:jc w:val="left"/>
      <w:rPr>
        <w:szCs w:val="18"/>
      </w:rPr>
    </w:pPr>
    <w:r w:rsidRPr="00870B05">
      <w:t>Last updated</w:t>
    </w:r>
    <w:r>
      <w:t xml:space="preserve"> – </w:t>
    </w:r>
    <w:r w:rsidR="00E57717">
      <w:t>20 January 2023</w:t>
    </w:r>
  </w:p>
  <w:p w14:paraId="0D093570" w14:textId="7412563A" w:rsidR="00F51321" w:rsidRPr="009B32BA" w:rsidRDefault="00F51321" w:rsidP="00F51321">
    <w:pPr>
      <w:pStyle w:val="Footer"/>
      <w:jc w:val="left"/>
      <w:rPr>
        <w:szCs w:val="18"/>
      </w:rPr>
    </w:pP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A81A75"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19F3E67" w:rsidR="00064168" w:rsidRDefault="002356D9" w:rsidP="00064168">
    <w:pPr>
      <w:pStyle w:val="Footer"/>
      <w:tabs>
        <w:tab w:val="clear" w:pos="9026"/>
        <w:tab w:val="right" w:pos="10466"/>
      </w:tabs>
    </w:pPr>
    <w:r w:rsidRPr="002356D9">
      <w:rPr>
        <w:b/>
      </w:rPr>
      <w:t>Medicare Support for COVID-19 Vaccinations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A81A75" w:rsidP="00064168">
    <w:pPr>
      <w:pStyle w:val="Footer"/>
      <w:jc w:val="left"/>
      <w:rPr>
        <w:rStyle w:val="Hyperlink"/>
        <w:szCs w:val="18"/>
      </w:rPr>
    </w:pPr>
    <w:hyperlink r:id="rId1" w:history="1">
      <w:r w:rsidR="00064168" w:rsidRPr="00E863C4">
        <w:rPr>
          <w:rStyle w:val="Hyperlink"/>
          <w:szCs w:val="18"/>
        </w:rPr>
        <w:t>MBS Online</w:t>
      </w:r>
    </w:hyperlink>
  </w:p>
  <w:p w14:paraId="03585E81" w14:textId="53BB8019" w:rsidR="00064168" w:rsidRPr="009B32BA" w:rsidRDefault="00064168" w:rsidP="00064168">
    <w:pPr>
      <w:pStyle w:val="Footer"/>
      <w:jc w:val="left"/>
      <w:rPr>
        <w:szCs w:val="18"/>
      </w:rPr>
    </w:pPr>
    <w:r w:rsidRPr="00870B05">
      <w:t>Last updated</w:t>
    </w:r>
    <w:r>
      <w:t xml:space="preserve"> – </w:t>
    </w:r>
    <w:r w:rsidR="009A1CD1">
      <w:t>20 January 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2E28" w14:textId="77777777" w:rsidR="0088281F" w:rsidRDefault="0088281F" w:rsidP="006B56BB">
      <w:r>
        <w:separator/>
      </w:r>
    </w:p>
    <w:p w14:paraId="26F69A36" w14:textId="77777777" w:rsidR="0088281F" w:rsidRDefault="0088281F"/>
  </w:footnote>
  <w:footnote w:type="continuationSeparator" w:id="0">
    <w:p w14:paraId="17DFB310" w14:textId="77777777" w:rsidR="0088281F" w:rsidRDefault="0088281F" w:rsidP="006B56BB">
      <w:r>
        <w:continuationSeparator/>
      </w:r>
    </w:p>
    <w:p w14:paraId="7BE52561" w14:textId="77777777" w:rsidR="0088281F" w:rsidRDefault="0088281F"/>
  </w:footnote>
  <w:footnote w:type="continuationNotice" w:id="1">
    <w:p w14:paraId="197BA9B1" w14:textId="77777777" w:rsidR="0088281F" w:rsidRDefault="00882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B91B21"/>
    <w:multiLevelType w:val="hybridMultilevel"/>
    <w:tmpl w:val="114ABD8E"/>
    <w:lvl w:ilvl="0" w:tplc="82EAE346">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988F27E">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C4A577E">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E406536">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AF042A8">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1F01EF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4C8ED1C">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06E3D5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3D69D2E">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7D9A5C31"/>
    <w:multiLevelType w:val="hybridMultilevel"/>
    <w:tmpl w:val="10561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2"/>
  </w:num>
  <w:num w:numId="19">
    <w:abstractNumId w:val="14"/>
  </w:num>
  <w:num w:numId="20">
    <w:abstractNumId w:val="10"/>
  </w:num>
  <w:num w:numId="21">
    <w:abstractNumId w:val="14"/>
  </w:num>
  <w:num w:numId="22">
    <w:abstractNumId w:val="22"/>
  </w:num>
  <w:num w:numId="23">
    <w:abstractNumId w:val="17"/>
  </w:num>
  <w:num w:numId="24">
    <w:abstractNumId w:val="19"/>
  </w:num>
  <w:num w:numId="25">
    <w:abstractNumId w:val="8"/>
  </w:num>
  <w:num w:numId="26">
    <w:abstractNumId w:val="16"/>
  </w:num>
  <w:num w:numId="27">
    <w:abstractNumId w:val="11"/>
  </w:num>
  <w:num w:numId="28">
    <w:abstractNumId w:val="13"/>
  </w:num>
  <w:num w:numId="29">
    <w:abstractNumId w:val="11"/>
  </w:num>
  <w:num w:numId="30">
    <w:abstractNumId w:val="21"/>
  </w:num>
  <w:num w:numId="31">
    <w:abstractNumId w:val="20"/>
  </w:num>
  <w:num w:numId="32">
    <w:abstractNumId w:val="1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8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6AC1"/>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6499"/>
    <w:rsid w:val="0010616D"/>
    <w:rsid w:val="00107051"/>
    <w:rsid w:val="00110478"/>
    <w:rsid w:val="0011711B"/>
    <w:rsid w:val="00117F8A"/>
    <w:rsid w:val="00121B9B"/>
    <w:rsid w:val="00122ADC"/>
    <w:rsid w:val="001245EF"/>
    <w:rsid w:val="00130F59"/>
    <w:rsid w:val="00133EC0"/>
    <w:rsid w:val="00141CE5"/>
    <w:rsid w:val="001428E3"/>
    <w:rsid w:val="00144908"/>
    <w:rsid w:val="00145596"/>
    <w:rsid w:val="00146CCC"/>
    <w:rsid w:val="00156D96"/>
    <w:rsid w:val="001571C7"/>
    <w:rsid w:val="00161094"/>
    <w:rsid w:val="0017665C"/>
    <w:rsid w:val="00177AD2"/>
    <w:rsid w:val="001815A8"/>
    <w:rsid w:val="001840FA"/>
    <w:rsid w:val="00190079"/>
    <w:rsid w:val="0019622E"/>
    <w:rsid w:val="001966A7"/>
    <w:rsid w:val="001976BF"/>
    <w:rsid w:val="001A4627"/>
    <w:rsid w:val="001A4979"/>
    <w:rsid w:val="001B15D3"/>
    <w:rsid w:val="001B231E"/>
    <w:rsid w:val="001B3443"/>
    <w:rsid w:val="001C0326"/>
    <w:rsid w:val="001C192F"/>
    <w:rsid w:val="001C3C42"/>
    <w:rsid w:val="001D2FE3"/>
    <w:rsid w:val="001D7869"/>
    <w:rsid w:val="00200E7F"/>
    <w:rsid w:val="002026CD"/>
    <w:rsid w:val="002033FC"/>
    <w:rsid w:val="002044BB"/>
    <w:rsid w:val="00210B09"/>
    <w:rsid w:val="00210C9E"/>
    <w:rsid w:val="00211840"/>
    <w:rsid w:val="00220E5F"/>
    <w:rsid w:val="002212B5"/>
    <w:rsid w:val="00226668"/>
    <w:rsid w:val="00233809"/>
    <w:rsid w:val="002356D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C5B48"/>
    <w:rsid w:val="002E1A1D"/>
    <w:rsid w:val="002E4081"/>
    <w:rsid w:val="002E5B78"/>
    <w:rsid w:val="002F3AE3"/>
    <w:rsid w:val="0030464B"/>
    <w:rsid w:val="0030786C"/>
    <w:rsid w:val="003233DE"/>
    <w:rsid w:val="0032466B"/>
    <w:rsid w:val="003302D0"/>
    <w:rsid w:val="003330EB"/>
    <w:rsid w:val="003415FD"/>
    <w:rsid w:val="003429F0"/>
    <w:rsid w:val="00345A82"/>
    <w:rsid w:val="0035097A"/>
    <w:rsid w:val="003540A4"/>
    <w:rsid w:val="00357BCC"/>
    <w:rsid w:val="00360E4E"/>
    <w:rsid w:val="003617FB"/>
    <w:rsid w:val="00370AAA"/>
    <w:rsid w:val="00375F77"/>
    <w:rsid w:val="00381BBE"/>
    <w:rsid w:val="00382903"/>
    <w:rsid w:val="003846FF"/>
    <w:rsid w:val="003850E3"/>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3D40"/>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33D8A"/>
    <w:rsid w:val="00535A8B"/>
    <w:rsid w:val="00545EE6"/>
    <w:rsid w:val="005550E7"/>
    <w:rsid w:val="005564FB"/>
    <w:rsid w:val="005572C7"/>
    <w:rsid w:val="005647AF"/>
    <w:rsid w:val="005650ED"/>
    <w:rsid w:val="00575754"/>
    <w:rsid w:val="00581FBA"/>
    <w:rsid w:val="00591E20"/>
    <w:rsid w:val="00594AB1"/>
    <w:rsid w:val="00595408"/>
    <w:rsid w:val="00595E84"/>
    <w:rsid w:val="005A0C59"/>
    <w:rsid w:val="005A48EB"/>
    <w:rsid w:val="005A6CFB"/>
    <w:rsid w:val="005C5AEB"/>
    <w:rsid w:val="005D01CA"/>
    <w:rsid w:val="005D5F4E"/>
    <w:rsid w:val="005E0A3F"/>
    <w:rsid w:val="005E1AF9"/>
    <w:rsid w:val="005E2D76"/>
    <w:rsid w:val="005E6883"/>
    <w:rsid w:val="005E772F"/>
    <w:rsid w:val="005F0AAD"/>
    <w:rsid w:val="005F4ECA"/>
    <w:rsid w:val="006041BE"/>
    <w:rsid w:val="006043C7"/>
    <w:rsid w:val="006077EC"/>
    <w:rsid w:val="00612CD4"/>
    <w:rsid w:val="00623D42"/>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2B0"/>
    <w:rsid w:val="006C085B"/>
    <w:rsid w:val="006C77A8"/>
    <w:rsid w:val="006D4098"/>
    <w:rsid w:val="006D7681"/>
    <w:rsid w:val="006D7B2E"/>
    <w:rsid w:val="006E02EA"/>
    <w:rsid w:val="006E0968"/>
    <w:rsid w:val="006E2AF6"/>
    <w:rsid w:val="006F5073"/>
    <w:rsid w:val="00701275"/>
    <w:rsid w:val="00703591"/>
    <w:rsid w:val="00707F56"/>
    <w:rsid w:val="00713558"/>
    <w:rsid w:val="00720D08"/>
    <w:rsid w:val="007263B9"/>
    <w:rsid w:val="007334F8"/>
    <w:rsid w:val="007339CD"/>
    <w:rsid w:val="007359D8"/>
    <w:rsid w:val="007362D4"/>
    <w:rsid w:val="0076672A"/>
    <w:rsid w:val="00775E45"/>
    <w:rsid w:val="00776E74"/>
    <w:rsid w:val="00785169"/>
    <w:rsid w:val="0079334F"/>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070FC"/>
    <w:rsid w:val="008127AF"/>
    <w:rsid w:val="00812B46"/>
    <w:rsid w:val="00815700"/>
    <w:rsid w:val="0082246B"/>
    <w:rsid w:val="008264EB"/>
    <w:rsid w:val="00826B8F"/>
    <w:rsid w:val="00831E8A"/>
    <w:rsid w:val="00835C76"/>
    <w:rsid w:val="008376E2"/>
    <w:rsid w:val="00843049"/>
    <w:rsid w:val="008437CA"/>
    <w:rsid w:val="008450DA"/>
    <w:rsid w:val="0085209B"/>
    <w:rsid w:val="00853860"/>
    <w:rsid w:val="00856B66"/>
    <w:rsid w:val="008601AC"/>
    <w:rsid w:val="00861A5F"/>
    <w:rsid w:val="008644AD"/>
    <w:rsid w:val="008646CC"/>
    <w:rsid w:val="00864A1D"/>
    <w:rsid w:val="00865735"/>
    <w:rsid w:val="00865DDB"/>
    <w:rsid w:val="00867538"/>
    <w:rsid w:val="00873AA4"/>
    <w:rsid w:val="00873D90"/>
    <w:rsid w:val="00873FC8"/>
    <w:rsid w:val="0088281F"/>
    <w:rsid w:val="00884C63"/>
    <w:rsid w:val="00885908"/>
    <w:rsid w:val="008864B7"/>
    <w:rsid w:val="0089677E"/>
    <w:rsid w:val="008A7438"/>
    <w:rsid w:val="008B1334"/>
    <w:rsid w:val="008B25C7"/>
    <w:rsid w:val="008C0278"/>
    <w:rsid w:val="008C1A0E"/>
    <w:rsid w:val="008C24E9"/>
    <w:rsid w:val="008D0533"/>
    <w:rsid w:val="008D42CB"/>
    <w:rsid w:val="008D48C9"/>
    <w:rsid w:val="008D6381"/>
    <w:rsid w:val="008E0C77"/>
    <w:rsid w:val="008E625F"/>
    <w:rsid w:val="008F264D"/>
    <w:rsid w:val="008F4103"/>
    <w:rsid w:val="0090259D"/>
    <w:rsid w:val="009040E9"/>
    <w:rsid w:val="00905DF5"/>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A1CD1"/>
    <w:rsid w:val="009B1570"/>
    <w:rsid w:val="009B36E6"/>
    <w:rsid w:val="009B7C84"/>
    <w:rsid w:val="009C6F10"/>
    <w:rsid w:val="009D148F"/>
    <w:rsid w:val="009D3D70"/>
    <w:rsid w:val="009D7E3C"/>
    <w:rsid w:val="009E6F7E"/>
    <w:rsid w:val="009E7A57"/>
    <w:rsid w:val="009F4803"/>
    <w:rsid w:val="009F4F6A"/>
    <w:rsid w:val="00A13EB5"/>
    <w:rsid w:val="00A16E36"/>
    <w:rsid w:val="00A2342C"/>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7457"/>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7E7F"/>
    <w:rsid w:val="00B722F3"/>
    <w:rsid w:val="00B76DB3"/>
    <w:rsid w:val="00B839B2"/>
    <w:rsid w:val="00B94252"/>
    <w:rsid w:val="00B9715A"/>
    <w:rsid w:val="00BA14BE"/>
    <w:rsid w:val="00BA2732"/>
    <w:rsid w:val="00BA293D"/>
    <w:rsid w:val="00BA49BC"/>
    <w:rsid w:val="00BA56B7"/>
    <w:rsid w:val="00BA7A1E"/>
    <w:rsid w:val="00BB2F3E"/>
    <w:rsid w:val="00BB2F6C"/>
    <w:rsid w:val="00BB3875"/>
    <w:rsid w:val="00BB5860"/>
    <w:rsid w:val="00BB6AAD"/>
    <w:rsid w:val="00BC4A19"/>
    <w:rsid w:val="00BC4E6D"/>
    <w:rsid w:val="00BD0617"/>
    <w:rsid w:val="00BD0A9E"/>
    <w:rsid w:val="00BD2E9B"/>
    <w:rsid w:val="00BD7FB2"/>
    <w:rsid w:val="00BE3ED5"/>
    <w:rsid w:val="00C00930"/>
    <w:rsid w:val="00C03347"/>
    <w:rsid w:val="00C060AD"/>
    <w:rsid w:val="00C113BF"/>
    <w:rsid w:val="00C2176E"/>
    <w:rsid w:val="00C22AFE"/>
    <w:rsid w:val="00C23430"/>
    <w:rsid w:val="00C23C81"/>
    <w:rsid w:val="00C27D67"/>
    <w:rsid w:val="00C435AF"/>
    <w:rsid w:val="00C4631F"/>
    <w:rsid w:val="00C47B0C"/>
    <w:rsid w:val="00C47CDE"/>
    <w:rsid w:val="00C507C2"/>
    <w:rsid w:val="00C50E16"/>
    <w:rsid w:val="00C55258"/>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195A"/>
    <w:rsid w:val="00CF6690"/>
    <w:rsid w:val="00CF7D3C"/>
    <w:rsid w:val="00D01F09"/>
    <w:rsid w:val="00D022C6"/>
    <w:rsid w:val="00D03527"/>
    <w:rsid w:val="00D07C7D"/>
    <w:rsid w:val="00D147EB"/>
    <w:rsid w:val="00D34667"/>
    <w:rsid w:val="00D401E1"/>
    <w:rsid w:val="00D408B4"/>
    <w:rsid w:val="00D44330"/>
    <w:rsid w:val="00D524C8"/>
    <w:rsid w:val="00D64E68"/>
    <w:rsid w:val="00D70E24"/>
    <w:rsid w:val="00D72B61"/>
    <w:rsid w:val="00D90FD8"/>
    <w:rsid w:val="00DA3C40"/>
    <w:rsid w:val="00DA3D1D"/>
    <w:rsid w:val="00DB6286"/>
    <w:rsid w:val="00DB645F"/>
    <w:rsid w:val="00DB76E9"/>
    <w:rsid w:val="00DC0A67"/>
    <w:rsid w:val="00DC1D5E"/>
    <w:rsid w:val="00DC5220"/>
    <w:rsid w:val="00DD2061"/>
    <w:rsid w:val="00DD4EE1"/>
    <w:rsid w:val="00DD7DAB"/>
    <w:rsid w:val="00DE1DC0"/>
    <w:rsid w:val="00DE3355"/>
    <w:rsid w:val="00DF0C60"/>
    <w:rsid w:val="00DF486F"/>
    <w:rsid w:val="00DF5B5B"/>
    <w:rsid w:val="00DF7619"/>
    <w:rsid w:val="00E042D8"/>
    <w:rsid w:val="00E07EE7"/>
    <w:rsid w:val="00E1103B"/>
    <w:rsid w:val="00E168E8"/>
    <w:rsid w:val="00E17B44"/>
    <w:rsid w:val="00E20F27"/>
    <w:rsid w:val="00E22443"/>
    <w:rsid w:val="00E25B1F"/>
    <w:rsid w:val="00E27FEA"/>
    <w:rsid w:val="00E4086F"/>
    <w:rsid w:val="00E41AD4"/>
    <w:rsid w:val="00E43B3C"/>
    <w:rsid w:val="00E50188"/>
    <w:rsid w:val="00E50BB3"/>
    <w:rsid w:val="00E50EC0"/>
    <w:rsid w:val="00E515CB"/>
    <w:rsid w:val="00E52260"/>
    <w:rsid w:val="00E57717"/>
    <w:rsid w:val="00E639B6"/>
    <w:rsid w:val="00E6434B"/>
    <w:rsid w:val="00E6463D"/>
    <w:rsid w:val="00E71492"/>
    <w:rsid w:val="00E72E9B"/>
    <w:rsid w:val="00E850C3"/>
    <w:rsid w:val="00E87DF2"/>
    <w:rsid w:val="00E9462E"/>
    <w:rsid w:val="00EA470E"/>
    <w:rsid w:val="00EA47A7"/>
    <w:rsid w:val="00EA57EB"/>
    <w:rsid w:val="00EA5827"/>
    <w:rsid w:val="00EB3226"/>
    <w:rsid w:val="00EB6B14"/>
    <w:rsid w:val="00EC213A"/>
    <w:rsid w:val="00EC7744"/>
    <w:rsid w:val="00ED0DAD"/>
    <w:rsid w:val="00ED0F46"/>
    <w:rsid w:val="00ED2373"/>
    <w:rsid w:val="00ED24F9"/>
    <w:rsid w:val="00ED2E38"/>
    <w:rsid w:val="00EE3E8A"/>
    <w:rsid w:val="00EF58B8"/>
    <w:rsid w:val="00EF6ECA"/>
    <w:rsid w:val="00F024E1"/>
    <w:rsid w:val="00F02E71"/>
    <w:rsid w:val="00F06C10"/>
    <w:rsid w:val="00F1096F"/>
    <w:rsid w:val="00F12589"/>
    <w:rsid w:val="00F12595"/>
    <w:rsid w:val="00F134D9"/>
    <w:rsid w:val="00F1403D"/>
    <w:rsid w:val="00F1463F"/>
    <w:rsid w:val="00F21302"/>
    <w:rsid w:val="00F2430D"/>
    <w:rsid w:val="00F321DE"/>
    <w:rsid w:val="00F335F6"/>
    <w:rsid w:val="00F33777"/>
    <w:rsid w:val="00F40648"/>
    <w:rsid w:val="00F47DA2"/>
    <w:rsid w:val="00F51321"/>
    <w:rsid w:val="00F519FC"/>
    <w:rsid w:val="00F6239D"/>
    <w:rsid w:val="00F678C0"/>
    <w:rsid w:val="00F711B9"/>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D7B5A"/>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E1DC0"/>
    <w:pPr>
      <w:spacing w:before="0" w:after="200"/>
      <w:ind w:left="720"/>
      <w:contextualSpacing/>
    </w:pPr>
    <w:rPr>
      <w:rFonts w:asciiTheme="minorHAnsi" w:eastAsiaTheme="minorHAnsi" w:hAnsiTheme="minorHAnsi" w:cstheme="minorBidi"/>
      <w:color w:val="auto"/>
      <w:szCs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E1DC0"/>
    <w:rPr>
      <w:rFonts w:asciiTheme="minorHAnsi" w:eastAsiaTheme="minorHAnsi" w:hAnsiTheme="minorHAnsi" w:cstheme="minorBidi"/>
      <w:sz w:val="22"/>
      <w:szCs w:val="22"/>
      <w:lang w:eastAsia="en-US"/>
    </w:rPr>
  </w:style>
  <w:style w:type="table" w:customStyle="1" w:styleId="TableGrid0">
    <w:name w:val="TableGrid"/>
    <w:rsid w:val="002C5B4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CF195A"/>
    <w:rPr>
      <w:sz w:val="16"/>
      <w:szCs w:val="16"/>
    </w:rPr>
  </w:style>
  <w:style w:type="paragraph" w:styleId="CommentSubject">
    <w:name w:val="annotation subject"/>
    <w:basedOn w:val="CommentText"/>
    <w:next w:val="CommentText"/>
    <w:link w:val="CommentSubjectChar"/>
    <w:semiHidden/>
    <w:unhideWhenUsed/>
    <w:rsid w:val="00CF195A"/>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F195A"/>
    <w:rPr>
      <w:rFonts w:ascii="Arial" w:eastAsiaTheme="minorEastAsia" w:hAnsi="Arial" w:cstheme="minorBidi"/>
      <w:b/>
      <w:bCs/>
      <w:color w:val="000000" w:themeColor="text1"/>
      <w:lang w:eastAsia="en-US"/>
    </w:rPr>
  </w:style>
  <w:style w:type="character" w:styleId="FootnoteReference">
    <w:name w:val="footnote reference"/>
    <w:basedOn w:val="DefaultParagraphFont"/>
    <w:semiHidden/>
    <w:unhideWhenUsed/>
    <w:rsid w:val="00C23C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88816093">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2736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downloa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1794</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2023-01-20T00:03:00Z</dcterms:created>
  <dcterms:modified xsi:type="dcterms:W3CDTF">2023-01-20T05:52:00Z</dcterms:modified>
</cp:coreProperties>
</file>