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AC06" w14:textId="77777777" w:rsidR="00BA2732" w:rsidRDefault="007C703B" w:rsidP="003D033A">
      <w:pPr>
        <w:pStyle w:val="Title"/>
      </w:pPr>
      <w:r>
        <w:t>Continuing MBS Telehealth Services</w:t>
      </w:r>
    </w:p>
    <w:p w14:paraId="3FC82457" w14:textId="77777777" w:rsidR="007C703B" w:rsidRPr="007C703B" w:rsidRDefault="007C703B" w:rsidP="007C703B">
      <w:pPr>
        <w:pStyle w:val="Heading2"/>
      </w:pPr>
      <w:r>
        <w:t>Obstetric Attendances</w:t>
      </w:r>
    </w:p>
    <w:p w14:paraId="7C27065A" w14:textId="189B54B3" w:rsidR="00064168" w:rsidRPr="00867595" w:rsidRDefault="00064168" w:rsidP="006F5073">
      <w:bookmarkStart w:id="0" w:name="_Hlk4568006"/>
      <w:r w:rsidRPr="00867595">
        <w:t xml:space="preserve">Last updated: </w:t>
      </w:r>
      <w:r w:rsidR="00073109">
        <w:t>18 June</w:t>
      </w:r>
      <w:r w:rsidR="000E791C">
        <w:t xml:space="preserve"> </w:t>
      </w:r>
      <w:r w:rsidR="00CE23BB">
        <w:t>202</w:t>
      </w:r>
      <w:r w:rsidR="00136B4D">
        <w:t>4</w:t>
      </w:r>
    </w:p>
    <w:p w14:paraId="54C9D637" w14:textId="45B5B8D0" w:rsidR="00087B5A" w:rsidRPr="0040069D" w:rsidRDefault="00087B5A" w:rsidP="00087B5A">
      <w:pPr>
        <w:pStyle w:val="ListBullet"/>
        <w:rPr>
          <w:strike/>
        </w:rPr>
      </w:pPr>
      <w:bookmarkStart w:id="1" w:name="_Hlk535506978"/>
      <w:bookmarkEnd w:id="0"/>
      <w:r w:rsidRPr="003243AA">
        <w:t>MBS</w:t>
      </w:r>
      <w:r>
        <w:t xml:space="preserve"> Telehealth</w:t>
      </w:r>
      <w:r w:rsidRPr="003243AA">
        <w:t xml:space="preserve"> </w:t>
      </w:r>
      <w:r>
        <w:t>(</w:t>
      </w:r>
      <w:r w:rsidRPr="003243AA">
        <w:t>video</w:t>
      </w:r>
      <w:r>
        <w:t xml:space="preserve"> </w:t>
      </w:r>
      <w:r w:rsidRPr="003243AA">
        <w:t>and phone</w:t>
      </w:r>
      <w:r>
        <w:t>)</w:t>
      </w:r>
      <w:r w:rsidRPr="003243AA">
        <w:t xml:space="preserve"> items are permanent</w:t>
      </w:r>
      <w:r w:rsidR="00AA7E17">
        <w:t xml:space="preserve"> and available nationally</w:t>
      </w:r>
      <w:r w:rsidRPr="003243AA">
        <w:t xml:space="preserve">. </w:t>
      </w:r>
    </w:p>
    <w:bookmarkEnd w:id="1"/>
    <w:p w14:paraId="25E64FB3" w14:textId="6C661470" w:rsidR="007C703B" w:rsidRPr="00083B42" w:rsidRDefault="007C703B" w:rsidP="006F5073">
      <w:pPr>
        <w:pStyle w:val="ListBullet"/>
      </w:pPr>
      <w:r w:rsidRPr="00083B42">
        <w:t xml:space="preserve">A service may only </w:t>
      </w:r>
      <w:proofErr w:type="gramStart"/>
      <w:r w:rsidRPr="00083B42">
        <w:t>be provided</w:t>
      </w:r>
      <w:proofErr w:type="gramEnd"/>
      <w:r w:rsidRPr="00083B42">
        <w:t xml:space="preserve"> by telehealth where it is safe and clinically appropriate.</w:t>
      </w:r>
    </w:p>
    <w:p w14:paraId="0F8C590D" w14:textId="439AAF98" w:rsidR="007C703B" w:rsidRPr="00083B42" w:rsidRDefault="00AA7E17" w:rsidP="006F5073">
      <w:pPr>
        <w:pStyle w:val="ListBullet"/>
      </w:pPr>
      <w:r>
        <w:t xml:space="preserve">MBS </w:t>
      </w:r>
      <w:r w:rsidR="0095704F">
        <w:t xml:space="preserve">obstetric </w:t>
      </w:r>
      <w:r w:rsidR="007C703B" w:rsidRPr="00083B42">
        <w:t xml:space="preserve">telehealth items are for </w:t>
      </w:r>
      <w:r w:rsidR="00890E1F">
        <w:t xml:space="preserve">patients who </w:t>
      </w:r>
      <w:proofErr w:type="gramStart"/>
      <w:r w:rsidR="00890E1F">
        <w:t>are not admitted</w:t>
      </w:r>
      <w:proofErr w:type="gramEnd"/>
      <w:r w:rsidR="00890E1F">
        <w:t xml:space="preserve"> into hospital</w:t>
      </w:r>
      <w:r w:rsidR="007C703B" w:rsidRPr="00083B42">
        <w:t>.</w:t>
      </w:r>
    </w:p>
    <w:p w14:paraId="5994FB4C" w14:textId="6F7C5C58" w:rsidR="006F2186" w:rsidRPr="00083B42" w:rsidRDefault="0020668F" w:rsidP="006F5073">
      <w:pPr>
        <w:pStyle w:val="ListBullet"/>
      </w:pPr>
      <w:r w:rsidRPr="00083B42">
        <w:t>W</w:t>
      </w:r>
      <w:r w:rsidR="006F2186" w:rsidRPr="00083B42">
        <w:t>hen GPs</w:t>
      </w:r>
      <w:r w:rsidR="00EA3ED8" w:rsidRPr="00083B42">
        <w:t xml:space="preserve"> </w:t>
      </w:r>
      <w:r w:rsidRPr="00083B42">
        <w:t xml:space="preserve">or prescribed medical practitioners claim obstetric telehealth items for which they are eligible, they </w:t>
      </w:r>
      <w:r w:rsidR="006F2186" w:rsidRPr="00083B42">
        <w:t>are not subject to the established</w:t>
      </w:r>
      <w:r w:rsidR="00DD0016" w:rsidRPr="00083B42">
        <w:t xml:space="preserve"> clinical </w:t>
      </w:r>
      <w:r w:rsidR="006F2186" w:rsidRPr="00083B42">
        <w:t>relationship criteria</w:t>
      </w:r>
      <w:r w:rsidR="00C653D8" w:rsidRPr="00083B42">
        <w:t xml:space="preserve">. Further information </w:t>
      </w:r>
      <w:r w:rsidR="00C80241">
        <w:t xml:space="preserve">about the established </w:t>
      </w:r>
      <w:r w:rsidR="005D200D">
        <w:t xml:space="preserve">clinical </w:t>
      </w:r>
      <w:r w:rsidR="00C80241">
        <w:t xml:space="preserve">relationship criteria </w:t>
      </w:r>
      <w:r w:rsidR="00C653D8" w:rsidRPr="00083B42">
        <w:t xml:space="preserve">is available on the </w:t>
      </w:r>
      <w:r w:rsidR="00170160" w:rsidRPr="00083B42">
        <w:t xml:space="preserve">MBS Telehealth Services </w:t>
      </w:r>
      <w:r w:rsidR="00170160" w:rsidRPr="00083B42">
        <w:t>page</w:t>
      </w:r>
      <w:r w:rsidR="00C80241">
        <w:t>, Medical Practitioners in General Practice Factsheet</w:t>
      </w:r>
      <w:r w:rsidR="00170160" w:rsidRPr="00083B42">
        <w:t>.</w:t>
      </w:r>
      <w:r w:rsidR="00DD0016" w:rsidRPr="00083B42">
        <w:t xml:space="preserve"> </w:t>
      </w:r>
    </w:p>
    <w:p w14:paraId="1BE37BE4" w14:textId="77777777" w:rsidR="007C703B" w:rsidRPr="00544EB2" w:rsidRDefault="007C703B" w:rsidP="006F5073">
      <w:pPr>
        <w:pStyle w:val="ListBullet"/>
      </w:pPr>
      <w:r w:rsidRPr="00083B42">
        <w:t xml:space="preserve">Providers </w:t>
      </w:r>
      <w:proofErr w:type="gramStart"/>
      <w:r w:rsidRPr="00083B42">
        <w:t>are expected</w:t>
      </w:r>
      <w:proofErr w:type="gramEnd"/>
      <w:r w:rsidRPr="00083B42">
        <w:t xml:space="preserve"> to </w:t>
      </w:r>
      <w:r w:rsidRPr="00544EB2">
        <w:t>obtain informed financial consent from patients prior to providing the service; providing details regarding their fees, including any out-of-pocket costs.</w:t>
      </w:r>
    </w:p>
    <w:p w14:paraId="0114A4E9" w14:textId="77777777" w:rsidR="00064168" w:rsidRPr="00544EB2" w:rsidRDefault="00064168" w:rsidP="00064168">
      <w:pPr>
        <w:pStyle w:val="Heading2"/>
      </w:pPr>
      <w:r w:rsidRPr="00544EB2">
        <w:t>What are the changes?</w:t>
      </w:r>
    </w:p>
    <w:p w14:paraId="10073246" w14:textId="1CC829AC" w:rsidR="00064168" w:rsidRPr="00544EB2" w:rsidRDefault="007C703B" w:rsidP="00FE1476">
      <w:pPr>
        <w:pStyle w:val="ListBullet"/>
        <w:numPr>
          <w:ilvl w:val="0"/>
          <w:numId w:val="0"/>
        </w:numPr>
      </w:pPr>
      <w:r w:rsidRPr="00544EB2">
        <w:t>From 1 January 2022</w:t>
      </w:r>
      <w:r w:rsidR="00A708ED" w:rsidRPr="00544EB2">
        <w:t xml:space="preserve">, </w:t>
      </w:r>
      <w:r w:rsidRPr="00544EB2">
        <w:t xml:space="preserve">obstetric attendance telehealth </w:t>
      </w:r>
      <w:r w:rsidR="00B51823" w:rsidRPr="00544EB2">
        <w:t xml:space="preserve">items </w:t>
      </w:r>
      <w:r w:rsidR="00087B5A" w:rsidRPr="00544EB2">
        <w:t>includ</w:t>
      </w:r>
      <w:r w:rsidR="00501D8A" w:rsidRPr="00544EB2">
        <w:t>e</w:t>
      </w:r>
      <w:r w:rsidRPr="00544EB2">
        <w:t>:</w:t>
      </w:r>
    </w:p>
    <w:p w14:paraId="7F2060AC" w14:textId="45F37F54" w:rsidR="00064168" w:rsidRPr="00544EB2" w:rsidRDefault="00FE1476" w:rsidP="006F5073">
      <w:pPr>
        <w:pStyle w:val="ListBullet"/>
      </w:pPr>
      <w:proofErr w:type="gramStart"/>
      <w:r w:rsidRPr="00544EB2">
        <w:t>4</w:t>
      </w:r>
      <w:proofErr w:type="gramEnd"/>
      <w:r w:rsidRPr="00544EB2">
        <w:t xml:space="preserve"> video items for obstetric telehealth services – MBS items 91850, 91851, 91852 and 91853.</w:t>
      </w:r>
    </w:p>
    <w:p w14:paraId="1829A980" w14:textId="29689D2C" w:rsidR="00FE1476" w:rsidRPr="00544EB2" w:rsidRDefault="00FE1476" w:rsidP="006F5073">
      <w:pPr>
        <w:pStyle w:val="ListBullet"/>
      </w:pPr>
      <w:proofErr w:type="gramStart"/>
      <w:r w:rsidRPr="00544EB2">
        <w:t>4</w:t>
      </w:r>
      <w:proofErr w:type="gramEnd"/>
      <w:r w:rsidRPr="00544EB2">
        <w:t xml:space="preserve"> phone items for obstetric telehealth services – MBS items 91855, 91856, 91857 and 91858.</w:t>
      </w:r>
    </w:p>
    <w:p w14:paraId="11584AE0" w14:textId="77777777" w:rsidR="00064168" w:rsidRPr="00544EB2" w:rsidRDefault="00064168" w:rsidP="00064168">
      <w:pPr>
        <w:pStyle w:val="Heading2"/>
      </w:pPr>
      <w:r w:rsidRPr="00544EB2">
        <w:t xml:space="preserve">Why are the changes </w:t>
      </w:r>
      <w:proofErr w:type="gramStart"/>
      <w:r w:rsidRPr="00544EB2">
        <w:t>being made</w:t>
      </w:r>
      <w:proofErr w:type="gramEnd"/>
      <w:r w:rsidRPr="00544EB2">
        <w:t>?</w:t>
      </w:r>
    </w:p>
    <w:p w14:paraId="033D2FC5" w14:textId="5B966F05" w:rsidR="00064168" w:rsidRPr="00867595" w:rsidRDefault="007C033B" w:rsidP="00064168">
      <w:pPr>
        <w:rPr>
          <w:szCs w:val="22"/>
        </w:rPr>
      </w:pPr>
      <w:r w:rsidRPr="00544EB2">
        <w:rPr>
          <w:szCs w:val="22"/>
        </w:rPr>
        <w:t xml:space="preserve">On </w:t>
      </w:r>
      <w:proofErr w:type="gramStart"/>
      <w:r w:rsidRPr="00544EB2">
        <w:rPr>
          <w:szCs w:val="22"/>
        </w:rPr>
        <w:t>13 December 2021</w:t>
      </w:r>
      <w:proofErr w:type="gramEnd"/>
      <w:r w:rsidRPr="00544EB2">
        <w:rPr>
          <w:szCs w:val="22"/>
        </w:rPr>
        <w:t xml:space="preserve"> t</w:t>
      </w:r>
      <w:r w:rsidR="00FE1476" w:rsidRPr="00544EB2">
        <w:rPr>
          <w:szCs w:val="22"/>
        </w:rPr>
        <w:t>he Australian Government committed to mak</w:t>
      </w:r>
      <w:r w:rsidR="00E56430" w:rsidRPr="00544EB2">
        <w:rPr>
          <w:szCs w:val="22"/>
        </w:rPr>
        <w:t>ing</w:t>
      </w:r>
      <w:r w:rsidR="00FE1476" w:rsidRPr="00544EB2">
        <w:rPr>
          <w:szCs w:val="22"/>
        </w:rPr>
        <w:t xml:space="preserve"> telehealth services introduced in response to</w:t>
      </w:r>
      <w:r w:rsidR="005F1CE0">
        <w:rPr>
          <w:szCs w:val="22"/>
        </w:rPr>
        <w:t xml:space="preserve"> the</w:t>
      </w:r>
      <w:r w:rsidR="00FE1476" w:rsidRPr="00FE1476">
        <w:rPr>
          <w:szCs w:val="22"/>
        </w:rPr>
        <w:t xml:space="preserve"> COVID-19</w:t>
      </w:r>
      <w:r w:rsidR="005F1CE0">
        <w:rPr>
          <w:szCs w:val="22"/>
        </w:rPr>
        <w:t xml:space="preserve"> pandemic</w:t>
      </w:r>
      <w:r w:rsidR="00FE1476" w:rsidRPr="00FE1476">
        <w:rPr>
          <w:szCs w:val="22"/>
        </w:rPr>
        <w:t xml:space="preserve"> a permanent part of Medicare. The introduction of these telehealth services </w:t>
      </w:r>
      <w:r w:rsidR="005E3425">
        <w:rPr>
          <w:szCs w:val="22"/>
        </w:rPr>
        <w:t>was</w:t>
      </w:r>
      <w:r w:rsidR="00FE1476" w:rsidRPr="00FE1476">
        <w:rPr>
          <w:szCs w:val="22"/>
        </w:rPr>
        <w:t xml:space="preserve"> a critical part of the COVID-19 National Health Plan. </w:t>
      </w:r>
    </w:p>
    <w:p w14:paraId="5D5E5B7A" w14:textId="5EDAED89" w:rsidR="00FE1476" w:rsidRDefault="00FE1476" w:rsidP="00FE1476">
      <w:r w:rsidRPr="00FE1476">
        <w:t xml:space="preserve">MBS telehealth items are available </w:t>
      </w:r>
      <w:r w:rsidR="0057452C">
        <w:t>to all</w:t>
      </w:r>
      <w:r w:rsidRPr="00FE1476">
        <w:t xml:space="preserve"> Medicare eligible Australians</w:t>
      </w:r>
      <w:r w:rsidR="00870AD4">
        <w:t xml:space="preserve"> and </w:t>
      </w:r>
      <w:r w:rsidR="00870AD4" w:rsidRPr="00FE1476">
        <w:rPr>
          <w:szCs w:val="22"/>
        </w:rPr>
        <w:t xml:space="preserve">will continue to offer greater flexibility to patients and </w:t>
      </w:r>
      <w:r w:rsidR="00870AD4" w:rsidRPr="00FE1476">
        <w:rPr>
          <w:szCs w:val="22"/>
        </w:rPr>
        <w:t>health care providers</w:t>
      </w:r>
      <w:r w:rsidR="00870AD4" w:rsidRPr="00867595">
        <w:rPr>
          <w:szCs w:val="22"/>
        </w:rPr>
        <w:t>.</w:t>
      </w:r>
    </w:p>
    <w:p w14:paraId="07E83908" w14:textId="5178C571" w:rsidR="00FE1476" w:rsidRDefault="00C20F9A" w:rsidP="00FE1476">
      <w:r>
        <w:t xml:space="preserve">The Government provides a bulk billing incentive for services for patients with a Commonwealth Concession Card and children under 16 years of age. This supports </w:t>
      </w:r>
      <w:r w:rsidR="00D82CD7">
        <w:t xml:space="preserve">relevant providers </w:t>
      </w:r>
      <w:r>
        <w:t>to bulk bill their patients.</w:t>
      </w:r>
    </w:p>
    <w:p w14:paraId="72E0ACFD" w14:textId="77777777" w:rsidR="00FE1476" w:rsidRDefault="00FE1476" w:rsidP="00FE1476">
      <w:pPr>
        <w:pStyle w:val="Heading2"/>
      </w:pPr>
      <w:r>
        <w:lastRenderedPageBreak/>
        <w:t>What telehealth options are available?</w:t>
      </w:r>
    </w:p>
    <w:p w14:paraId="305951E2" w14:textId="3B406A49" w:rsidR="00FE1476" w:rsidRPr="005D6100" w:rsidRDefault="00FE1476" w:rsidP="00FE1476">
      <w:r w:rsidRPr="00FE1476">
        <w:t>Video</w:t>
      </w:r>
      <w:r w:rsidR="00F00A06">
        <w:t xml:space="preserve"> </w:t>
      </w:r>
      <w:r w:rsidRPr="00FE1476">
        <w:t xml:space="preserve">services are the preferred approach for substituting a face-to-face consultation. However, providers will also be able to offer audio-only </w:t>
      </w:r>
      <w:r w:rsidRPr="005D6100">
        <w:t>services via phone if video is not available. There are separate items available for the audio-only services.</w:t>
      </w:r>
    </w:p>
    <w:p w14:paraId="6DA71B33" w14:textId="21C7572B" w:rsidR="00FE1476" w:rsidRPr="005D6100" w:rsidRDefault="00FE1476" w:rsidP="00FE1476">
      <w:r w:rsidRPr="005D6100">
        <w:t xml:space="preserve">It </w:t>
      </w:r>
      <w:proofErr w:type="gramStart"/>
      <w:r w:rsidRPr="005D6100">
        <w:t>is recommended</w:t>
      </w:r>
      <w:proofErr w:type="gramEnd"/>
      <w:r w:rsidRPr="005D6100">
        <w:t xml:space="preserve"> that the obstetric ongoing phone services provided under items 91855, 91856, 91857 or 91858 are performed in cases where the practitioner and patient do not have the capacity to undertake an attendance by video.</w:t>
      </w:r>
    </w:p>
    <w:p w14:paraId="3ECB5409" w14:textId="7B81614E" w:rsidR="00FE1476" w:rsidRPr="00FE1476" w:rsidRDefault="00FE1476" w:rsidP="00FE1476">
      <w:r w:rsidRPr="005D6100">
        <w:t xml:space="preserve">No specific equipment </w:t>
      </w:r>
      <w:proofErr w:type="gramStart"/>
      <w:r w:rsidRPr="005D6100">
        <w:t>is required</w:t>
      </w:r>
      <w:proofErr w:type="gramEnd"/>
      <w:r w:rsidRPr="005D6100">
        <w:t xml:space="preserve"> to provide Medicare-compliant telehealth services</w:t>
      </w:r>
      <w:r w:rsidRPr="00FE1476">
        <w:t>. Practitioners must ensure that their chosen telecommunications solution meets their clinical requirements and satisfies privacy laws. To assist providers with their privacy obligations, a privacy checklist for telehealth services has been made available on MBS</w:t>
      </w:r>
      <w:r w:rsidR="005D6100">
        <w:t xml:space="preserve"> </w:t>
      </w:r>
      <w:r w:rsidRPr="00FE1476">
        <w:t xml:space="preserve">Online: </w:t>
      </w:r>
      <w:hyperlink r:id="rId8" w:history="1">
        <w:r w:rsidRPr="00FE1476">
          <w:rPr>
            <w:rStyle w:val="Hyperlink"/>
          </w:rPr>
          <w:t>http://www.mbsonline.gov.au/internet/mbsonline/publishing.nsf/Content/Factsheet-TelehealthPrivChecklist</w:t>
        </w:r>
      </w:hyperlink>
      <w:r w:rsidRPr="00FE1476">
        <w:t xml:space="preserve">. Further information can </w:t>
      </w:r>
      <w:proofErr w:type="gramStart"/>
      <w:r w:rsidRPr="00FE1476">
        <w:t>be found</w:t>
      </w:r>
      <w:proofErr w:type="gramEnd"/>
      <w:r w:rsidRPr="00FE1476">
        <w:t xml:space="preserve"> on the </w:t>
      </w:r>
      <w:hyperlink r:id="rId9" w:history="1">
        <w:r w:rsidRPr="00FE1476">
          <w:rPr>
            <w:rStyle w:val="Hyperlink"/>
          </w:rPr>
          <w:t>Australian Cyber Security Centre website</w:t>
        </w:r>
      </w:hyperlink>
      <w:r w:rsidRPr="00FE1476">
        <w:t>.</w:t>
      </w:r>
    </w:p>
    <w:p w14:paraId="1963B550" w14:textId="77777777" w:rsidR="00064168" w:rsidRDefault="00064168" w:rsidP="00064168">
      <w:pPr>
        <w:pStyle w:val="Heading2"/>
      </w:pPr>
      <w:r>
        <w:t>What does this mean for providers?</w:t>
      </w:r>
    </w:p>
    <w:p w14:paraId="212F81F3" w14:textId="71DD4958" w:rsidR="006B6078" w:rsidRDefault="006B6078" w:rsidP="00064168">
      <w:pPr>
        <w:rPr>
          <w:szCs w:val="22"/>
        </w:rPr>
      </w:pPr>
      <w:r w:rsidRPr="006B6078">
        <w:rPr>
          <w:szCs w:val="22"/>
        </w:rPr>
        <w:t>MBS telehealth items allow providers to continue to deliver essential health care services to patients within their care</w:t>
      </w:r>
      <w:r w:rsidR="00E21E74">
        <w:rPr>
          <w:szCs w:val="22"/>
        </w:rPr>
        <w:t>, and compliment</w:t>
      </w:r>
      <w:r w:rsidR="00E21E74" w:rsidRPr="006B6078">
        <w:rPr>
          <w:szCs w:val="22"/>
        </w:rPr>
        <w:t xml:space="preserve"> current face-to-face consultations where it</w:t>
      </w:r>
      <w:r w:rsidR="00E21E74">
        <w:rPr>
          <w:szCs w:val="22"/>
        </w:rPr>
        <w:t xml:space="preserve"> is</w:t>
      </w:r>
      <w:r w:rsidR="00E21E74" w:rsidRPr="006B6078">
        <w:rPr>
          <w:szCs w:val="22"/>
        </w:rPr>
        <w:t xml:space="preserve"> clinically appropriate and safe to do so. </w:t>
      </w:r>
      <w:r w:rsidR="00F642F5">
        <w:rPr>
          <w:szCs w:val="22"/>
        </w:rPr>
        <w:t>Face-to-face</w:t>
      </w:r>
      <w:r w:rsidR="00E21E74">
        <w:rPr>
          <w:szCs w:val="22"/>
        </w:rPr>
        <w:t xml:space="preserve"> remains the preferred mode of care. </w:t>
      </w:r>
      <w:r w:rsidR="00E21E74" w:rsidRPr="006B6078">
        <w:rPr>
          <w:szCs w:val="22"/>
        </w:rPr>
        <w:t>Providers should use their provider number for their primary location and must provide safe services in accordance with normal professional standards.</w:t>
      </w:r>
    </w:p>
    <w:p w14:paraId="5650AEF8" w14:textId="701F859B" w:rsidR="0049416E" w:rsidRPr="00F907F0" w:rsidRDefault="0049416E" w:rsidP="0049416E">
      <w:pPr>
        <w:rPr>
          <w:szCs w:val="22"/>
        </w:rPr>
      </w:pPr>
      <w:r w:rsidRPr="00357665">
        <w:rPr>
          <w:szCs w:val="22"/>
        </w:rPr>
        <w:t xml:space="preserve">MBS telehealth items have the same clinical requirements as the corresponding face-to-face consultation items. As Medicare regulations </w:t>
      </w:r>
      <w:proofErr w:type="gramStart"/>
      <w:r w:rsidRPr="00357665">
        <w:rPr>
          <w:szCs w:val="22"/>
        </w:rPr>
        <w:t>are progressively updated</w:t>
      </w:r>
      <w:proofErr w:type="gramEnd"/>
      <w:r w:rsidRPr="00357665">
        <w:rPr>
          <w:szCs w:val="22"/>
        </w:rPr>
        <w:t xml:space="preserve">, telehealth items for GP and prescribed medical practitioners will list a benefit that is the </w:t>
      </w:r>
      <w:r w:rsidRPr="00F907F0">
        <w:rPr>
          <w:szCs w:val="22"/>
        </w:rPr>
        <w:t>equivalent face-to-face fee.</w:t>
      </w:r>
    </w:p>
    <w:p w14:paraId="3699107C" w14:textId="13C6FD64" w:rsidR="00064168" w:rsidRPr="00F907F0" w:rsidRDefault="00501D8A" w:rsidP="00064168">
      <w:pPr>
        <w:rPr>
          <w:szCs w:val="22"/>
        </w:rPr>
      </w:pPr>
      <w:r w:rsidRPr="00F907F0">
        <w:rPr>
          <w:szCs w:val="22"/>
        </w:rPr>
        <w:t>Providers do not need to be in their regular practice to provide video or phone services.</w:t>
      </w:r>
      <w:r w:rsidR="00A83A4A" w:rsidRPr="00F907F0">
        <w:rPr>
          <w:szCs w:val="22"/>
        </w:rPr>
        <w:t xml:space="preserve"> </w:t>
      </w:r>
      <w:r w:rsidRPr="00F907F0">
        <w:rPr>
          <w:szCs w:val="22"/>
        </w:rPr>
        <w:t>When providing a video or phone service outside a practice, providers should use their provider number relevant to the appropriate practice and must provide safe services in accordance with normal professional standards.</w:t>
      </w:r>
    </w:p>
    <w:p w14:paraId="6096C42C" w14:textId="77777777" w:rsidR="00064168" w:rsidRPr="00F907F0" w:rsidRDefault="00064168" w:rsidP="00064168">
      <w:pPr>
        <w:pStyle w:val="Heading2"/>
      </w:pPr>
      <w:r w:rsidRPr="00F907F0">
        <w:t>How will these changes affect patients?</w:t>
      </w:r>
    </w:p>
    <w:p w14:paraId="12F0A66D" w14:textId="5D0D8D89" w:rsidR="006B6078" w:rsidRDefault="00D5245B" w:rsidP="00064168">
      <w:pPr>
        <w:rPr>
          <w:rFonts w:cs="Arial"/>
          <w:szCs w:val="22"/>
        </w:rPr>
      </w:pPr>
      <w:r w:rsidRPr="00F907F0">
        <w:t xml:space="preserve">Patients will receive Medicare </w:t>
      </w:r>
      <w:r w:rsidR="003B09D1" w:rsidRPr="00F907F0">
        <w:t>benefits</w:t>
      </w:r>
      <w:r w:rsidRPr="00F907F0">
        <w:t xml:space="preserve"> for </w:t>
      </w:r>
      <w:r w:rsidR="00A15340" w:rsidRPr="00F907F0">
        <w:t>obstetric telehealth</w:t>
      </w:r>
      <w:r w:rsidRPr="00F907F0">
        <w:t xml:space="preserve"> services that are clinically appropriate and reflect modern clinical practice. </w:t>
      </w:r>
      <w:r w:rsidR="006B6078" w:rsidRPr="00F907F0">
        <w:rPr>
          <w:rFonts w:cs="Arial"/>
          <w:szCs w:val="22"/>
        </w:rPr>
        <w:t>Patients should ask their service providers about their telehealth options, where clinically appropriate.</w:t>
      </w:r>
    </w:p>
    <w:p w14:paraId="28D3D5AB" w14:textId="77777777" w:rsidR="00064168" w:rsidRDefault="00064168" w:rsidP="00064168">
      <w:pPr>
        <w:pStyle w:val="Heading2"/>
      </w:pPr>
      <w:r w:rsidRPr="001A7FB7">
        <w:t xml:space="preserve">Who </w:t>
      </w:r>
      <w:proofErr w:type="gramStart"/>
      <w:r w:rsidRPr="001A7FB7">
        <w:t>was consulted</w:t>
      </w:r>
      <w:proofErr w:type="gramEnd"/>
      <w:r w:rsidRPr="001A7FB7">
        <w:t xml:space="preserve"> on the changes?</w:t>
      </w:r>
    </w:p>
    <w:p w14:paraId="61B8D257" w14:textId="77777777" w:rsidR="006B6078" w:rsidRDefault="006B6078" w:rsidP="00064168">
      <w:pPr>
        <w:rPr>
          <w:szCs w:val="22"/>
          <w:highlight w:val="yellow"/>
        </w:rPr>
      </w:pPr>
      <w:r w:rsidRPr="006B6078">
        <w:rPr>
          <w:szCs w:val="22"/>
        </w:rPr>
        <w:t xml:space="preserve">Consultation with stakeholders has informed the introduction and refinement of MBS telehealth items. The transition to permanent arrangements has also </w:t>
      </w:r>
      <w:proofErr w:type="gramStart"/>
      <w:r w:rsidRPr="006B6078">
        <w:rPr>
          <w:szCs w:val="22"/>
        </w:rPr>
        <w:t>been informed</w:t>
      </w:r>
      <w:proofErr w:type="gramEnd"/>
      <w:r w:rsidRPr="006B6078">
        <w:rPr>
          <w:szCs w:val="22"/>
        </w:rPr>
        <w:t xml:space="preserve"> by medical experts and key stakeholders within the health sector.</w:t>
      </w:r>
      <w:r w:rsidRPr="006B6078">
        <w:rPr>
          <w:szCs w:val="22"/>
          <w:highlight w:val="yellow"/>
        </w:rPr>
        <w:t xml:space="preserve"> </w:t>
      </w:r>
    </w:p>
    <w:p w14:paraId="0A6A4FEA" w14:textId="77777777" w:rsidR="00064168" w:rsidRDefault="00064168" w:rsidP="00064168">
      <w:pPr>
        <w:pStyle w:val="Heading2"/>
      </w:pPr>
      <w:r w:rsidRPr="001A7FB7">
        <w:lastRenderedPageBreak/>
        <w:t xml:space="preserve">How will the changes </w:t>
      </w:r>
      <w:proofErr w:type="gramStart"/>
      <w:r w:rsidRPr="001A7FB7">
        <w:t>be monitored</w:t>
      </w:r>
      <w:proofErr w:type="gramEnd"/>
      <w:r>
        <w:t xml:space="preserve"> and reviewed</w:t>
      </w:r>
      <w:r w:rsidRPr="001A7FB7">
        <w:t>?</w:t>
      </w:r>
    </w:p>
    <w:p w14:paraId="387482E9" w14:textId="3E6AAD86" w:rsidR="006B58A4" w:rsidRDefault="006B6078" w:rsidP="0040069D">
      <w:r w:rsidRPr="00F53C3E">
        <w:t>The Department of Health</w:t>
      </w:r>
      <w:r w:rsidR="0091653E" w:rsidRPr="00F53C3E">
        <w:t xml:space="preserve"> and Aged Care</w:t>
      </w:r>
      <w:r w:rsidRPr="00F53C3E">
        <w:t xml:space="preserve"> continues to monitor the use of the MBS telehealth</w:t>
      </w:r>
      <w:r w:rsidR="00F53C3E">
        <w:t xml:space="preserve"> </w:t>
      </w:r>
      <w:r w:rsidRPr="00F53C3E">
        <w:t>items. Use of the items that does not seem to be in accordance with the relevant Medicare guidelines and legislation will be actioned appropriately</w:t>
      </w:r>
      <w:r w:rsidR="00064168" w:rsidRPr="00F53C3E">
        <w:t xml:space="preserve">. </w:t>
      </w:r>
    </w:p>
    <w:p w14:paraId="2B888499" w14:textId="28558CC7" w:rsidR="00064168" w:rsidRPr="00C02DA3" w:rsidRDefault="006B58A4" w:rsidP="006B58A4">
      <w:r w:rsidRPr="00F47B45">
        <w:t>Providers are responsible for ensuring services claimed from Medicare using their provider</w:t>
      </w:r>
      <w:r>
        <w:t xml:space="preserve"> </w:t>
      </w:r>
      <w:r w:rsidRPr="00F47B45">
        <w:t>number meet all legislative requirements.</w:t>
      </w:r>
      <w:r w:rsidR="00C02DA3">
        <w:t xml:space="preserve"> </w:t>
      </w:r>
      <w:r w:rsidRPr="00F47B45">
        <w:t xml:space="preserve">These changes are subject to MBS compliance checks and providers may </w:t>
      </w:r>
      <w:proofErr w:type="gramStart"/>
      <w:r w:rsidRPr="00F47B45">
        <w:t>be required</w:t>
      </w:r>
      <w:proofErr w:type="gramEnd"/>
      <w:r w:rsidRPr="00F47B45">
        <w:t xml:space="preserve"> to submit evidence about the services claimed</w:t>
      </w:r>
      <w:r>
        <w:t>.</w:t>
      </w:r>
    </w:p>
    <w:p w14:paraId="2F53AB17" w14:textId="77777777" w:rsidR="00064168" w:rsidRDefault="00064168" w:rsidP="00064168">
      <w:pPr>
        <w:pStyle w:val="Heading2"/>
      </w:pPr>
      <w:r>
        <w:t>Where can I find more information?</w:t>
      </w:r>
    </w:p>
    <w:p w14:paraId="37D74C1A" w14:textId="2C9C68E5" w:rsidR="00064168" w:rsidRPr="00867595" w:rsidRDefault="000B155C" w:rsidP="00064168">
      <w:pPr>
        <w:rPr>
          <w:szCs w:val="22"/>
        </w:rPr>
      </w:pPr>
      <w:r w:rsidRPr="00867595">
        <w:rPr>
          <w:szCs w:val="22"/>
        </w:rPr>
        <w:t xml:space="preserve">The full item descriptor(s) and information on other changes to the MBS can </w:t>
      </w:r>
      <w:proofErr w:type="gramStart"/>
      <w:r w:rsidRPr="00867595">
        <w:rPr>
          <w:szCs w:val="22"/>
        </w:rPr>
        <w:t>be found</w:t>
      </w:r>
      <w:proofErr w:type="gramEnd"/>
      <w:r w:rsidRPr="00867595">
        <w:rPr>
          <w:szCs w:val="22"/>
        </w:rPr>
        <w:t xml:space="preserve"> on the </w:t>
      </w:r>
      <w:hyperlink r:id="rId10" w:history="1">
        <w:r w:rsidRPr="0019761F">
          <w:rPr>
            <w:rStyle w:val="Hyperlink"/>
            <w:szCs w:val="22"/>
          </w:rPr>
          <w:t>MBS Online website</w:t>
        </w:r>
      </w:hyperlink>
      <w:r w:rsidRPr="00867595">
        <w:rPr>
          <w:rStyle w:val="Hyperlink"/>
          <w:szCs w:val="22"/>
        </w:rPr>
        <w:t>.</w:t>
      </w:r>
      <w:r w:rsidRPr="00867595">
        <w:rPr>
          <w:szCs w:val="22"/>
        </w:rPr>
        <w:t xml:space="preserve"> </w:t>
      </w:r>
      <w:r w:rsidR="00064168" w:rsidRPr="00867595">
        <w:rPr>
          <w:szCs w:val="22"/>
        </w:rPr>
        <w:t xml:space="preserve">You can also subscribe to future MBS updates by visiting </w:t>
      </w:r>
      <w:hyperlink r:id="rId11" w:history="1">
        <w:r w:rsidR="00064168" w:rsidRPr="00867595">
          <w:rPr>
            <w:rStyle w:val="Hyperlink"/>
            <w:szCs w:val="22"/>
          </w:rPr>
          <w:t>MBS Online</w:t>
        </w:r>
      </w:hyperlink>
      <w:r w:rsidR="00064168" w:rsidRPr="00867595">
        <w:rPr>
          <w:szCs w:val="22"/>
        </w:rPr>
        <w:t xml:space="preserve"> and clicking ‘Subscribe</w:t>
      </w:r>
      <w:proofErr w:type="gramStart"/>
      <w:r w:rsidR="00064168" w:rsidRPr="00867595">
        <w:rPr>
          <w:szCs w:val="22"/>
        </w:rPr>
        <w:t>’.</w:t>
      </w:r>
      <w:proofErr w:type="gramEnd"/>
      <w:r w:rsidR="00064168" w:rsidRPr="00867595">
        <w:rPr>
          <w:szCs w:val="22"/>
        </w:rPr>
        <w:t xml:space="preserve"> </w:t>
      </w:r>
    </w:p>
    <w:p w14:paraId="598F4481" w14:textId="77777777"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2" w:history="1">
        <w:r w:rsidRPr="00867595">
          <w:rPr>
            <w:rStyle w:val="Hyperlink"/>
            <w:szCs w:val="22"/>
          </w:rPr>
          <w:t>askMBS@health.gov.au</w:t>
        </w:r>
      </w:hyperlink>
      <w:r w:rsidRPr="00867595">
        <w:rPr>
          <w:szCs w:val="22"/>
        </w:rPr>
        <w:t>.</w:t>
      </w:r>
    </w:p>
    <w:p w14:paraId="6843F881" w14:textId="77777777" w:rsidR="001245EF" w:rsidRDefault="001245EF" w:rsidP="001245EF">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5"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6" w:history="1">
        <w:r>
          <w:rPr>
            <w:rStyle w:val="Hyperlink"/>
          </w:rPr>
          <w:t>PHI@health.gov.au</w:t>
        </w:r>
      </w:hyperlink>
      <w:r>
        <w:t>.</w:t>
      </w:r>
    </w:p>
    <w:p w14:paraId="12A15F6F" w14:textId="77777777" w:rsidR="00064168" w:rsidRPr="00867595" w:rsidRDefault="00064168" w:rsidP="00064168">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53D6CE62" w14:textId="77777777"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72B8741E" w14:textId="77777777" w:rsidR="00064168" w:rsidRDefault="00064168" w:rsidP="00064168">
      <w:pPr>
        <w:rPr>
          <w:szCs w:val="22"/>
        </w:rPr>
      </w:pPr>
      <w:r w:rsidRPr="00867595">
        <w:rPr>
          <w:szCs w:val="22"/>
        </w:rPr>
        <w:t xml:space="preserve">The data file for software vendors when available can be accessed via the </w:t>
      </w:r>
      <w:hyperlink r:id="rId18" w:history="1">
        <w:r w:rsidRPr="00867595">
          <w:rPr>
            <w:rStyle w:val="Hyperlink"/>
            <w:szCs w:val="22"/>
          </w:rPr>
          <w:t>Downloads</w:t>
        </w:r>
      </w:hyperlink>
      <w:r w:rsidRPr="00867595">
        <w:rPr>
          <w:szCs w:val="22"/>
        </w:rPr>
        <w:t xml:space="preserve"> page.</w:t>
      </w:r>
    </w:p>
    <w:p w14:paraId="13EB8385" w14:textId="77777777" w:rsidR="00B77179" w:rsidRPr="00867595" w:rsidRDefault="00B77179" w:rsidP="00064168">
      <w:pPr>
        <w:rPr>
          <w:szCs w:val="22"/>
        </w:rPr>
      </w:pPr>
    </w:p>
    <w:p w14:paraId="6B1A4F1C" w14:textId="77777777" w:rsidR="00B77179" w:rsidRDefault="00B77179" w:rsidP="00B77179">
      <w:pPr>
        <w:pStyle w:val="Disclaimer"/>
      </w:pPr>
      <w:r w:rsidRPr="0029176A">
        <w:t xml:space="preserve">Please note that the information provided is a general guide only. It is </w:t>
      </w:r>
      <w:proofErr w:type="gramStart"/>
      <w:r w:rsidRPr="0029176A">
        <w:t>ultimately the</w:t>
      </w:r>
      <w:proofErr w:type="gramEnd"/>
      <w:r w:rsidRPr="0029176A">
        <w:t xml:space="preserv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B59D1D1" w14:textId="77777777" w:rsidR="00B77179" w:rsidRDefault="00B77179" w:rsidP="00B77179">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294BA008" w14:textId="77777777" w:rsidR="007B562B" w:rsidRDefault="007B562B">
      <w:pPr>
        <w:spacing w:before="0" w:after="0" w:line="240" w:lineRule="auto"/>
      </w:pPr>
      <w:r>
        <w:br w:type="page"/>
      </w:r>
    </w:p>
    <w:p w14:paraId="55471392" w14:textId="77777777" w:rsidR="008D6C72" w:rsidRPr="00501D8A" w:rsidRDefault="008D6C72" w:rsidP="008D6C72">
      <w:pPr>
        <w:pStyle w:val="Title"/>
        <w:rPr>
          <w:rFonts w:eastAsia="Times New Roman" w:cs="Arial"/>
          <w:bCs/>
          <w:iCs/>
          <w:color w:val="358189"/>
          <w:kern w:val="0"/>
          <w:sz w:val="36"/>
          <w:szCs w:val="28"/>
        </w:rPr>
      </w:pPr>
      <w:r w:rsidRPr="00501D8A">
        <w:rPr>
          <w:rFonts w:eastAsia="Times New Roman" w:cs="Arial"/>
          <w:bCs/>
          <w:iCs/>
          <w:color w:val="358189"/>
          <w:kern w:val="0"/>
          <w:sz w:val="36"/>
          <w:szCs w:val="28"/>
        </w:rPr>
        <w:lastRenderedPageBreak/>
        <w:t>Obstetric Attendance Telehealth Services</w:t>
      </w:r>
    </w:p>
    <w:p w14:paraId="22C69884" w14:textId="77777777" w:rsidR="008D6C72" w:rsidRPr="00501D8A" w:rsidRDefault="008D6C72" w:rsidP="00BE3ED5">
      <w:pPr>
        <w:rPr>
          <w:b/>
          <w:bCs/>
        </w:rPr>
      </w:pPr>
      <w:r w:rsidRPr="00501D8A">
        <w:rPr>
          <w:b/>
          <w:bCs/>
        </w:rPr>
        <w:t xml:space="preserve">Table 1: Obstetricians, GPs, Midwives, Nurses or Aboriginal and Torres Strait Islander health practitioner continuing telehealth </w:t>
      </w:r>
      <w:proofErr w:type="gramStart"/>
      <w:r w:rsidRPr="00501D8A">
        <w:rPr>
          <w:b/>
          <w:bCs/>
        </w:rPr>
        <w:t>services</w:t>
      </w:r>
      <w:proofErr w:type="gramEnd"/>
    </w:p>
    <w:tbl>
      <w:tblPr>
        <w:tblStyle w:val="GridTable4-Accent2"/>
        <w:tblW w:w="0" w:type="auto"/>
        <w:tblLook w:val="04A0" w:firstRow="1" w:lastRow="0" w:firstColumn="1" w:lastColumn="0" w:noHBand="0" w:noVBand="1"/>
        <w:tblCaption w:val="Obstetricians, GP, Midwives, Nurses, or Aboriginal and Torres Strait Islander health practitioner telehealth services. "/>
        <w:tblDescription w:val="Additional face to face, video telehealth, and telephone items. "/>
      </w:tblPr>
      <w:tblGrid>
        <w:gridCol w:w="3681"/>
        <w:gridCol w:w="1559"/>
        <w:gridCol w:w="1843"/>
        <w:gridCol w:w="1977"/>
      </w:tblGrid>
      <w:tr w:rsidR="008D6C72" w14:paraId="530B5458" w14:textId="77777777" w:rsidTr="008D6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7D5B694" w14:textId="77777777" w:rsidR="008D6C72" w:rsidRPr="008D6C72" w:rsidRDefault="008D6C72" w:rsidP="00BE3ED5">
            <w:pPr>
              <w:rPr>
                <w:color w:val="FFFFFF" w:themeColor="background1"/>
                <w:sz w:val="20"/>
                <w:szCs w:val="20"/>
              </w:rPr>
            </w:pPr>
            <w:r w:rsidRPr="008D6C72">
              <w:rPr>
                <w:color w:val="FFFFFF" w:themeColor="background1"/>
                <w:sz w:val="20"/>
                <w:szCs w:val="20"/>
              </w:rPr>
              <w:t>Service</w:t>
            </w:r>
          </w:p>
        </w:tc>
        <w:tc>
          <w:tcPr>
            <w:tcW w:w="1559" w:type="dxa"/>
          </w:tcPr>
          <w:p w14:paraId="1CCA0F34" w14:textId="77777777" w:rsidR="008D6C72" w:rsidRPr="008D6C72" w:rsidRDefault="008D6C72" w:rsidP="00BE3ED5">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8D6C72">
              <w:rPr>
                <w:color w:val="FFFFFF" w:themeColor="background1"/>
                <w:sz w:val="20"/>
                <w:szCs w:val="20"/>
              </w:rPr>
              <w:t>Existing Items</w:t>
            </w:r>
          </w:p>
          <w:p w14:paraId="0EB603A7" w14:textId="518F881D" w:rsidR="008D6C72" w:rsidRPr="008D6C72" w:rsidRDefault="00F642F5" w:rsidP="00BE3ED5">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Face-to-face</w:t>
            </w:r>
          </w:p>
        </w:tc>
        <w:tc>
          <w:tcPr>
            <w:tcW w:w="1843" w:type="dxa"/>
          </w:tcPr>
          <w:p w14:paraId="77B6D543" w14:textId="77777777" w:rsidR="008D6C72" w:rsidRPr="008D6C72" w:rsidRDefault="008D6C72" w:rsidP="00BE3ED5">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8D6C72">
              <w:rPr>
                <w:color w:val="FFFFFF" w:themeColor="background1"/>
                <w:sz w:val="20"/>
                <w:szCs w:val="20"/>
              </w:rPr>
              <w:t>Telehealth items</w:t>
            </w:r>
          </w:p>
          <w:p w14:paraId="3C206300" w14:textId="771C83D4" w:rsidR="008D6C72" w:rsidRPr="008D6C72" w:rsidRDefault="008D6C72" w:rsidP="00BE3ED5">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8D6C72">
              <w:rPr>
                <w:color w:val="FFFFFF" w:themeColor="background1"/>
                <w:sz w:val="20"/>
                <w:szCs w:val="20"/>
              </w:rPr>
              <w:t>via video</w:t>
            </w:r>
          </w:p>
        </w:tc>
        <w:tc>
          <w:tcPr>
            <w:tcW w:w="1977" w:type="dxa"/>
          </w:tcPr>
          <w:p w14:paraId="4182D3FC" w14:textId="1BFA51F5" w:rsidR="008D6C72" w:rsidRPr="008D6C72" w:rsidRDefault="007C4DA8" w:rsidP="00BE3ED5">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P</w:t>
            </w:r>
            <w:r w:rsidR="008D6C72" w:rsidRPr="008D6C72">
              <w:rPr>
                <w:color w:val="FFFFFF" w:themeColor="background1"/>
                <w:sz w:val="20"/>
                <w:szCs w:val="20"/>
              </w:rPr>
              <w:t>hone items</w:t>
            </w:r>
          </w:p>
        </w:tc>
      </w:tr>
      <w:tr w:rsidR="008D6C72" w14:paraId="3CEF7783" w14:textId="77777777" w:rsidTr="008D6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4AFA016" w14:textId="77777777" w:rsidR="008D6C72" w:rsidRPr="008D6C72" w:rsidRDefault="008D6C72" w:rsidP="00BE3ED5">
            <w:pPr>
              <w:rPr>
                <w:sz w:val="20"/>
                <w:szCs w:val="20"/>
              </w:rPr>
            </w:pPr>
            <w:r w:rsidRPr="008D6C72">
              <w:rPr>
                <w:sz w:val="20"/>
                <w:szCs w:val="20"/>
              </w:rPr>
              <w:t xml:space="preserve">Antenatal Service provided by a Nurse, </w:t>
            </w:r>
            <w:proofErr w:type="gramStart"/>
            <w:r w:rsidRPr="008D6C72">
              <w:rPr>
                <w:sz w:val="20"/>
                <w:szCs w:val="20"/>
              </w:rPr>
              <w:t>Midwife</w:t>
            </w:r>
            <w:proofErr w:type="gramEnd"/>
            <w:r w:rsidRPr="008D6C72">
              <w:rPr>
                <w:sz w:val="20"/>
                <w:szCs w:val="20"/>
              </w:rPr>
              <w:t xml:space="preserve"> or an Aboriginal and Torres Strait Islander health practitioner on behalf of, and under the supervision of, a medical practitioner</w:t>
            </w:r>
          </w:p>
        </w:tc>
        <w:tc>
          <w:tcPr>
            <w:tcW w:w="1559" w:type="dxa"/>
          </w:tcPr>
          <w:p w14:paraId="109D7052" w14:textId="77777777" w:rsidR="008D6C72" w:rsidRPr="008D6C72" w:rsidRDefault="007650B1"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16400</w:t>
            </w:r>
          </w:p>
        </w:tc>
        <w:tc>
          <w:tcPr>
            <w:tcW w:w="1843" w:type="dxa"/>
          </w:tcPr>
          <w:p w14:paraId="02EAA4E0" w14:textId="77777777" w:rsidR="008D6C72" w:rsidRPr="008D6C72" w:rsidRDefault="002B3E5F"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91850</w:t>
            </w:r>
          </w:p>
        </w:tc>
        <w:tc>
          <w:tcPr>
            <w:tcW w:w="1977" w:type="dxa"/>
          </w:tcPr>
          <w:p w14:paraId="7EC3E9DB" w14:textId="77777777" w:rsidR="008D6C72" w:rsidRPr="008D6C72" w:rsidRDefault="002B3E5F"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91855</w:t>
            </w:r>
          </w:p>
        </w:tc>
      </w:tr>
      <w:tr w:rsidR="008D6C72" w14:paraId="24AEFEE2" w14:textId="77777777" w:rsidTr="008D6C72">
        <w:tc>
          <w:tcPr>
            <w:cnfStyle w:val="001000000000" w:firstRow="0" w:lastRow="0" w:firstColumn="1" w:lastColumn="0" w:oddVBand="0" w:evenVBand="0" w:oddHBand="0" w:evenHBand="0" w:firstRowFirstColumn="0" w:firstRowLastColumn="0" w:lastRowFirstColumn="0" w:lastRowLastColumn="0"/>
            <w:tcW w:w="3681" w:type="dxa"/>
          </w:tcPr>
          <w:p w14:paraId="49C8BE39" w14:textId="77777777" w:rsidR="008D6C72" w:rsidRPr="008D6C72" w:rsidRDefault="008D6C72" w:rsidP="00BE3ED5">
            <w:pPr>
              <w:rPr>
                <w:sz w:val="20"/>
                <w:szCs w:val="20"/>
              </w:rPr>
            </w:pPr>
            <w:r w:rsidRPr="008D6C72">
              <w:rPr>
                <w:sz w:val="20"/>
                <w:szCs w:val="20"/>
              </w:rPr>
              <w:t>Postnatal attendance by an obstetrician or GP</w:t>
            </w:r>
          </w:p>
        </w:tc>
        <w:tc>
          <w:tcPr>
            <w:tcW w:w="1559" w:type="dxa"/>
          </w:tcPr>
          <w:p w14:paraId="35365E2F" w14:textId="77777777" w:rsidR="008D6C72" w:rsidRPr="008D6C72" w:rsidRDefault="002B3E5F"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16407</w:t>
            </w:r>
          </w:p>
        </w:tc>
        <w:tc>
          <w:tcPr>
            <w:tcW w:w="1843" w:type="dxa"/>
          </w:tcPr>
          <w:p w14:paraId="01C803E0" w14:textId="77777777" w:rsidR="008D6C72" w:rsidRPr="008D6C72" w:rsidRDefault="002B3E5F"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91851</w:t>
            </w:r>
          </w:p>
        </w:tc>
        <w:tc>
          <w:tcPr>
            <w:tcW w:w="1977" w:type="dxa"/>
          </w:tcPr>
          <w:p w14:paraId="714950D5" w14:textId="77777777" w:rsidR="008D6C72" w:rsidRPr="008D6C72" w:rsidRDefault="002B3E5F"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91856</w:t>
            </w:r>
          </w:p>
        </w:tc>
      </w:tr>
      <w:tr w:rsidR="008D6C72" w14:paraId="59ED93A1" w14:textId="77777777" w:rsidTr="008D6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874E61C" w14:textId="77777777" w:rsidR="008D6C72" w:rsidRDefault="008D6C72" w:rsidP="00BE3ED5">
            <w:pPr>
              <w:rPr>
                <w:b w:val="0"/>
                <w:bCs w:val="0"/>
                <w:sz w:val="20"/>
                <w:szCs w:val="20"/>
              </w:rPr>
            </w:pPr>
            <w:r>
              <w:rPr>
                <w:sz w:val="20"/>
                <w:szCs w:val="20"/>
              </w:rPr>
              <w:t>Postnatal attendance by:</w:t>
            </w:r>
          </w:p>
          <w:p w14:paraId="67ACC159" w14:textId="77777777" w:rsidR="008D6C72" w:rsidRPr="008D6C72" w:rsidRDefault="008D6C72" w:rsidP="008D6C72">
            <w:pPr>
              <w:rPr>
                <w:b w:val="0"/>
                <w:bCs w:val="0"/>
                <w:sz w:val="20"/>
                <w:szCs w:val="20"/>
              </w:rPr>
            </w:pPr>
            <w:r w:rsidRPr="008D6C72">
              <w:rPr>
                <w:b w:val="0"/>
                <w:bCs w:val="0"/>
                <w:sz w:val="20"/>
                <w:szCs w:val="20"/>
              </w:rPr>
              <w:t>(i</w:t>
            </w:r>
            <w:r>
              <w:rPr>
                <w:sz w:val="20"/>
                <w:szCs w:val="20"/>
              </w:rPr>
              <w:t xml:space="preserve">) </w:t>
            </w:r>
            <w:r w:rsidRPr="008D6C72">
              <w:rPr>
                <w:sz w:val="20"/>
                <w:szCs w:val="20"/>
              </w:rPr>
              <w:t>a midwife (on behalf of and under the supervision of the medical practitioner who attended the birth); or</w:t>
            </w:r>
          </w:p>
          <w:p w14:paraId="698252DD" w14:textId="77777777" w:rsidR="008D6C72" w:rsidRPr="008D6C72" w:rsidRDefault="008D6C72" w:rsidP="008D6C72">
            <w:pPr>
              <w:rPr>
                <w:sz w:val="20"/>
                <w:szCs w:val="20"/>
              </w:rPr>
            </w:pPr>
            <w:r>
              <w:rPr>
                <w:sz w:val="20"/>
                <w:szCs w:val="20"/>
              </w:rPr>
              <w:t xml:space="preserve">(ii) </w:t>
            </w:r>
            <w:r w:rsidRPr="008D6C72">
              <w:rPr>
                <w:sz w:val="20"/>
                <w:szCs w:val="20"/>
              </w:rPr>
              <w:t>an obstetrician; or</w:t>
            </w:r>
          </w:p>
          <w:p w14:paraId="47B1D8D4" w14:textId="77777777" w:rsidR="008D6C72" w:rsidRPr="008D6C72" w:rsidRDefault="008D6C72" w:rsidP="008D6C72">
            <w:pPr>
              <w:rPr>
                <w:sz w:val="20"/>
                <w:szCs w:val="20"/>
              </w:rPr>
            </w:pPr>
            <w:r>
              <w:rPr>
                <w:sz w:val="20"/>
                <w:szCs w:val="20"/>
              </w:rPr>
              <w:t xml:space="preserve">(iii) </w:t>
            </w:r>
            <w:r w:rsidRPr="008D6C72">
              <w:rPr>
                <w:sz w:val="20"/>
                <w:szCs w:val="20"/>
              </w:rPr>
              <w:t>a general practitioner</w:t>
            </w:r>
          </w:p>
        </w:tc>
        <w:tc>
          <w:tcPr>
            <w:tcW w:w="1559" w:type="dxa"/>
          </w:tcPr>
          <w:p w14:paraId="0CD8101D" w14:textId="77777777" w:rsidR="008D6C72" w:rsidRPr="008D6C72" w:rsidRDefault="002B3E5F"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16408</w:t>
            </w:r>
          </w:p>
        </w:tc>
        <w:tc>
          <w:tcPr>
            <w:tcW w:w="1843" w:type="dxa"/>
          </w:tcPr>
          <w:p w14:paraId="57EEECDE" w14:textId="77777777" w:rsidR="008D6C72" w:rsidRPr="008D6C72" w:rsidRDefault="002B3E5F"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91852</w:t>
            </w:r>
          </w:p>
        </w:tc>
        <w:tc>
          <w:tcPr>
            <w:tcW w:w="1977" w:type="dxa"/>
          </w:tcPr>
          <w:p w14:paraId="0401F3AB" w14:textId="77777777" w:rsidR="008D6C72" w:rsidRPr="008D6C72" w:rsidRDefault="002B3E5F" w:rsidP="00BE3ED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91857</w:t>
            </w:r>
          </w:p>
        </w:tc>
      </w:tr>
      <w:tr w:rsidR="008D6C72" w14:paraId="3BB4225A" w14:textId="77777777" w:rsidTr="008D6C72">
        <w:tc>
          <w:tcPr>
            <w:cnfStyle w:val="001000000000" w:firstRow="0" w:lastRow="0" w:firstColumn="1" w:lastColumn="0" w:oddVBand="0" w:evenVBand="0" w:oddHBand="0" w:evenHBand="0" w:firstRowFirstColumn="0" w:firstRowLastColumn="0" w:lastRowFirstColumn="0" w:lastRowLastColumn="0"/>
            <w:tcW w:w="3681" w:type="dxa"/>
          </w:tcPr>
          <w:p w14:paraId="0A455D49" w14:textId="77777777" w:rsidR="008D6C72" w:rsidRPr="008D6C72" w:rsidRDefault="008D6C72" w:rsidP="00BE3ED5">
            <w:pPr>
              <w:rPr>
                <w:sz w:val="20"/>
                <w:szCs w:val="20"/>
              </w:rPr>
            </w:pPr>
            <w:r>
              <w:rPr>
                <w:sz w:val="20"/>
                <w:szCs w:val="20"/>
              </w:rPr>
              <w:t>Antenatal attendance</w:t>
            </w:r>
          </w:p>
        </w:tc>
        <w:tc>
          <w:tcPr>
            <w:tcW w:w="1559" w:type="dxa"/>
          </w:tcPr>
          <w:p w14:paraId="22186C2C" w14:textId="77777777" w:rsidR="008D6C72" w:rsidRPr="008D6C72" w:rsidRDefault="002B3E5F"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16500</w:t>
            </w:r>
          </w:p>
        </w:tc>
        <w:tc>
          <w:tcPr>
            <w:tcW w:w="1843" w:type="dxa"/>
          </w:tcPr>
          <w:p w14:paraId="1DFAA5BC" w14:textId="77777777" w:rsidR="008D6C72" w:rsidRPr="008D6C72" w:rsidRDefault="002B3E5F"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91853</w:t>
            </w:r>
          </w:p>
        </w:tc>
        <w:tc>
          <w:tcPr>
            <w:tcW w:w="1977" w:type="dxa"/>
          </w:tcPr>
          <w:p w14:paraId="33B4D74B" w14:textId="77777777" w:rsidR="008D6C72" w:rsidRPr="008D6C72" w:rsidRDefault="002B3E5F" w:rsidP="00BE3E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91858</w:t>
            </w:r>
          </w:p>
        </w:tc>
      </w:tr>
    </w:tbl>
    <w:p w14:paraId="0896A2D3" w14:textId="77777777" w:rsidR="008D6C72" w:rsidRDefault="008D6C72" w:rsidP="00BE3ED5"/>
    <w:p w14:paraId="4C67612B" w14:textId="77777777" w:rsidR="007C31DD" w:rsidRPr="00BE3ED5" w:rsidRDefault="007C31DD" w:rsidP="00BE3ED5"/>
    <w:sectPr w:rsidR="007C31DD" w:rsidRPr="00BE3ED5"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61CB" w14:textId="77777777" w:rsidR="00EE682B" w:rsidRDefault="00EE682B" w:rsidP="006B56BB">
      <w:r>
        <w:separator/>
      </w:r>
    </w:p>
    <w:p w14:paraId="3FDD6BF5" w14:textId="77777777" w:rsidR="00EE682B" w:rsidRDefault="00EE682B"/>
  </w:endnote>
  <w:endnote w:type="continuationSeparator" w:id="0">
    <w:p w14:paraId="4901E7AB" w14:textId="77777777" w:rsidR="00EE682B" w:rsidRDefault="00EE682B" w:rsidP="006B56BB">
      <w:r>
        <w:continuationSeparator/>
      </w:r>
    </w:p>
    <w:p w14:paraId="69215B4B" w14:textId="77777777" w:rsidR="00EE682B" w:rsidRDefault="00EE682B"/>
  </w:endnote>
  <w:endnote w:type="continuationNotice" w:id="1">
    <w:p w14:paraId="18A51421" w14:textId="77777777" w:rsidR="00EE682B" w:rsidRDefault="00EE6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C2E1" w14:textId="77777777" w:rsidR="00F51321" w:rsidRDefault="00000000" w:rsidP="00F51321">
    <w:pPr>
      <w:pStyle w:val="Footer"/>
      <w:jc w:val="left"/>
    </w:pPr>
    <w:r>
      <w:rPr>
        <w:rStyle w:val="BookTitle"/>
        <w:rFonts w:eastAsiaTheme="minorEastAsia"/>
        <w:noProof/>
      </w:rPr>
      <w:pict w14:anchorId="2BF9448E">
        <v:rect id="_x0000_i1025" style="width:523.3pt;height:1.9pt" o:hralign="center" o:hrstd="t" o:hr="t" fillcolor="#a0a0a0" stroked="f"/>
      </w:pict>
    </w:r>
    <w:r w:rsidR="00F51321">
      <w:t>Medicare Benefits Schedule</w:t>
    </w:r>
  </w:p>
  <w:p w14:paraId="3028EF2C" w14:textId="78B145E9" w:rsidR="00F51321" w:rsidRDefault="006B6078" w:rsidP="00F51321">
    <w:pPr>
      <w:pStyle w:val="Footer"/>
      <w:tabs>
        <w:tab w:val="clear" w:pos="9026"/>
        <w:tab w:val="right" w:pos="10466"/>
      </w:tabs>
    </w:pPr>
    <w:r>
      <w:rPr>
        <w:b/>
      </w:rPr>
      <w:t>Continuing MBS Telehealth Services</w:t>
    </w:r>
    <w:r w:rsidR="00F51321" w:rsidRPr="00E863C4">
      <w:rPr>
        <w:b/>
      </w:rPr>
      <w:t xml:space="preserve"> – </w:t>
    </w:r>
    <w:r w:rsidR="007C4DA8">
      <w:rPr>
        <w:b/>
      </w:rPr>
      <w:t xml:space="preserve">Obstetric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5C695E">
                  <w:rPr>
                    <w:bCs/>
                    <w:noProof/>
                  </w:rPr>
                  <w:t>4</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5C695E">
                  <w:rPr>
                    <w:bCs/>
                    <w:noProof/>
                  </w:rPr>
                  <w:t>4</w:t>
                </w:r>
                <w:r w:rsidR="00F51321" w:rsidRPr="00F546CA">
                  <w:rPr>
                    <w:bCs/>
                    <w:sz w:val="24"/>
                  </w:rPr>
                  <w:fldChar w:fldCharType="end"/>
                </w:r>
              </w:sdtContent>
            </w:sdt>
          </w:sdtContent>
        </w:sdt>
        <w:r w:rsidR="00F51321">
          <w:t xml:space="preserve"> </w:t>
        </w:r>
      </w:sdtContent>
    </w:sdt>
  </w:p>
  <w:p w14:paraId="2D6C3378"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2AFF564A" w14:textId="2377F2BA" w:rsidR="00F51321" w:rsidRPr="009B32BA" w:rsidRDefault="00F51321" w:rsidP="00F51321">
    <w:pPr>
      <w:pStyle w:val="Footer"/>
      <w:jc w:val="left"/>
      <w:rPr>
        <w:szCs w:val="18"/>
      </w:rPr>
    </w:pPr>
    <w:r w:rsidRPr="00870B05">
      <w:t>Last updated</w:t>
    </w:r>
    <w:r>
      <w:t xml:space="preserve"> – </w:t>
    </w:r>
    <w:r w:rsidR="00F200A8">
      <w:t>18 June</w:t>
    </w:r>
    <w:r w:rsidR="000E791C">
      <w:t xml:space="preserve"> 2024</w:t>
    </w:r>
  </w:p>
  <w:p w14:paraId="209E2A9A"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5D30" w14:textId="77777777" w:rsidR="00064168" w:rsidRDefault="00000000" w:rsidP="00064168">
    <w:pPr>
      <w:pStyle w:val="Footer"/>
      <w:jc w:val="left"/>
    </w:pPr>
    <w:r>
      <w:rPr>
        <w:rStyle w:val="BookTitle"/>
        <w:rFonts w:eastAsiaTheme="minorEastAsia"/>
        <w:noProof/>
      </w:rPr>
      <w:pict w14:anchorId="35E68DF9">
        <v:rect id="_x0000_i1026" style="width:523.3pt;height:1.9pt" o:hralign="center" o:hrstd="t" o:hr="t" fillcolor="#a0a0a0" stroked="f"/>
      </w:pict>
    </w:r>
    <w:r w:rsidR="00064168">
      <w:t>Medicare Benefits Schedule</w:t>
    </w:r>
  </w:p>
  <w:p w14:paraId="436F9D32" w14:textId="12F324C8" w:rsidR="00064168" w:rsidRDefault="006B6078" w:rsidP="00064168">
    <w:pPr>
      <w:pStyle w:val="Footer"/>
      <w:tabs>
        <w:tab w:val="clear" w:pos="9026"/>
        <w:tab w:val="right" w:pos="10466"/>
      </w:tabs>
    </w:pPr>
    <w:r>
      <w:rPr>
        <w:b/>
      </w:rPr>
      <w:t>Continuing MBS Telehealth Services</w:t>
    </w:r>
    <w:r w:rsidR="00064168" w:rsidRPr="00E863C4">
      <w:rPr>
        <w:b/>
      </w:rPr>
      <w:t xml:space="preserve"> – </w:t>
    </w:r>
    <w:r w:rsidR="006B58A4">
      <w:rPr>
        <w:b/>
      </w:rPr>
      <w:t xml:space="preserve">Obstetric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F651F3">
                  <w:rPr>
                    <w:bCs/>
                    <w:noProof/>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F651F3">
                  <w:rPr>
                    <w:bCs/>
                    <w:noProof/>
                  </w:rPr>
                  <w:t>4</w:t>
                </w:r>
                <w:r w:rsidR="00064168" w:rsidRPr="00F546CA">
                  <w:rPr>
                    <w:bCs/>
                    <w:sz w:val="24"/>
                  </w:rPr>
                  <w:fldChar w:fldCharType="end"/>
                </w:r>
              </w:sdtContent>
            </w:sdt>
          </w:sdtContent>
        </w:sdt>
        <w:r w:rsidR="00064168">
          <w:t xml:space="preserve"> </w:t>
        </w:r>
      </w:sdtContent>
    </w:sdt>
  </w:p>
  <w:p w14:paraId="2BEE5C89"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7260D0C1" w14:textId="6A0D8DF2" w:rsidR="00064168" w:rsidRPr="009B32BA" w:rsidRDefault="00064168" w:rsidP="00064168">
    <w:pPr>
      <w:pStyle w:val="Footer"/>
      <w:jc w:val="left"/>
      <w:rPr>
        <w:szCs w:val="18"/>
      </w:rPr>
    </w:pPr>
    <w:r w:rsidRPr="00870B05">
      <w:t>Last updated</w:t>
    </w:r>
    <w:r>
      <w:t xml:space="preserve"> – </w:t>
    </w:r>
    <w:r w:rsidR="00F200A8">
      <w:t>18 June</w:t>
    </w:r>
    <w:r w:rsidR="0044212D">
      <w:t xml:space="preserve"> 2024</w:t>
    </w:r>
  </w:p>
  <w:p w14:paraId="073565EA"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D8D7" w14:textId="77777777" w:rsidR="00EE682B" w:rsidRDefault="00EE682B" w:rsidP="006B56BB">
      <w:r>
        <w:separator/>
      </w:r>
    </w:p>
    <w:p w14:paraId="1F2A77E4" w14:textId="77777777" w:rsidR="00EE682B" w:rsidRDefault="00EE682B"/>
  </w:footnote>
  <w:footnote w:type="continuationSeparator" w:id="0">
    <w:p w14:paraId="0B56D63C" w14:textId="77777777" w:rsidR="00EE682B" w:rsidRDefault="00EE682B" w:rsidP="006B56BB">
      <w:r>
        <w:continuationSeparator/>
      </w:r>
    </w:p>
    <w:p w14:paraId="1D657C76" w14:textId="77777777" w:rsidR="00EE682B" w:rsidRDefault="00EE682B"/>
  </w:footnote>
  <w:footnote w:type="continuationNotice" w:id="1">
    <w:p w14:paraId="01426598" w14:textId="77777777" w:rsidR="00EE682B" w:rsidRDefault="00EE6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1125" w14:textId="77777777" w:rsidR="00B53987" w:rsidRDefault="00B53987">
    <w:pPr>
      <w:pStyle w:val="Header"/>
    </w:pPr>
    <w:r>
      <w:rPr>
        <w:noProof/>
        <w:lang w:eastAsia="en-AU"/>
      </w:rPr>
      <w:drawing>
        <wp:inline distT="0" distB="0" distL="0" distR="0" wp14:anchorId="14C7D880" wp14:editId="51C962F7">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4B579B"/>
    <w:multiLevelType w:val="hybridMultilevel"/>
    <w:tmpl w:val="DFFA3452"/>
    <w:lvl w:ilvl="0" w:tplc="73AAA5B6">
      <w:start w:val="1"/>
      <w:numFmt w:val="lowerRoman"/>
      <w:lvlText w:val="(%1)"/>
      <w:lvlJc w:val="left"/>
      <w:pPr>
        <w:ind w:left="1080" w:hanging="72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AC66F8"/>
    <w:multiLevelType w:val="hybridMultilevel"/>
    <w:tmpl w:val="772088FA"/>
    <w:lvl w:ilvl="0" w:tplc="94F4F8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13D3CC9"/>
    <w:multiLevelType w:val="hybridMultilevel"/>
    <w:tmpl w:val="3ADA41F0"/>
    <w:lvl w:ilvl="0" w:tplc="16729896">
      <w:start w:val="1"/>
      <w:numFmt w:val="bullet"/>
      <w:lvlText w:val=""/>
      <w:lvlJc w:val="left"/>
      <w:pPr>
        <w:ind w:left="1080" w:hanging="360"/>
      </w:pPr>
      <w:rPr>
        <w:rFonts w:ascii="Symbol" w:hAnsi="Symbol"/>
      </w:rPr>
    </w:lvl>
    <w:lvl w:ilvl="1" w:tplc="5858AEA4">
      <w:start w:val="1"/>
      <w:numFmt w:val="bullet"/>
      <w:lvlText w:val=""/>
      <w:lvlJc w:val="left"/>
      <w:pPr>
        <w:ind w:left="1080" w:hanging="360"/>
      </w:pPr>
      <w:rPr>
        <w:rFonts w:ascii="Symbol" w:hAnsi="Symbol"/>
      </w:rPr>
    </w:lvl>
    <w:lvl w:ilvl="2" w:tplc="75B07858">
      <w:start w:val="1"/>
      <w:numFmt w:val="bullet"/>
      <w:lvlText w:val=""/>
      <w:lvlJc w:val="left"/>
      <w:pPr>
        <w:ind w:left="1080" w:hanging="360"/>
      </w:pPr>
      <w:rPr>
        <w:rFonts w:ascii="Symbol" w:hAnsi="Symbol"/>
      </w:rPr>
    </w:lvl>
    <w:lvl w:ilvl="3" w:tplc="68AC201E">
      <w:start w:val="1"/>
      <w:numFmt w:val="bullet"/>
      <w:lvlText w:val=""/>
      <w:lvlJc w:val="left"/>
      <w:pPr>
        <w:ind w:left="1080" w:hanging="360"/>
      </w:pPr>
      <w:rPr>
        <w:rFonts w:ascii="Symbol" w:hAnsi="Symbol"/>
      </w:rPr>
    </w:lvl>
    <w:lvl w:ilvl="4" w:tplc="6616B3F0">
      <w:start w:val="1"/>
      <w:numFmt w:val="bullet"/>
      <w:lvlText w:val=""/>
      <w:lvlJc w:val="left"/>
      <w:pPr>
        <w:ind w:left="1080" w:hanging="360"/>
      </w:pPr>
      <w:rPr>
        <w:rFonts w:ascii="Symbol" w:hAnsi="Symbol"/>
      </w:rPr>
    </w:lvl>
    <w:lvl w:ilvl="5" w:tplc="B524D6BE">
      <w:start w:val="1"/>
      <w:numFmt w:val="bullet"/>
      <w:lvlText w:val=""/>
      <w:lvlJc w:val="left"/>
      <w:pPr>
        <w:ind w:left="1080" w:hanging="360"/>
      </w:pPr>
      <w:rPr>
        <w:rFonts w:ascii="Symbol" w:hAnsi="Symbol"/>
      </w:rPr>
    </w:lvl>
    <w:lvl w:ilvl="6" w:tplc="D7C07A8E">
      <w:start w:val="1"/>
      <w:numFmt w:val="bullet"/>
      <w:lvlText w:val=""/>
      <w:lvlJc w:val="left"/>
      <w:pPr>
        <w:ind w:left="1080" w:hanging="360"/>
      </w:pPr>
      <w:rPr>
        <w:rFonts w:ascii="Symbol" w:hAnsi="Symbol"/>
      </w:rPr>
    </w:lvl>
    <w:lvl w:ilvl="7" w:tplc="24F40462">
      <w:start w:val="1"/>
      <w:numFmt w:val="bullet"/>
      <w:lvlText w:val=""/>
      <w:lvlJc w:val="left"/>
      <w:pPr>
        <w:ind w:left="1080" w:hanging="360"/>
      </w:pPr>
      <w:rPr>
        <w:rFonts w:ascii="Symbol" w:hAnsi="Symbol"/>
      </w:rPr>
    </w:lvl>
    <w:lvl w:ilvl="8" w:tplc="8C948F84">
      <w:start w:val="1"/>
      <w:numFmt w:val="bullet"/>
      <w:lvlText w:val=""/>
      <w:lvlJc w:val="left"/>
      <w:pPr>
        <w:ind w:left="1080" w:hanging="360"/>
      </w:pPr>
      <w:rPr>
        <w:rFonts w:ascii="Symbol" w:hAnsi="Symbol"/>
      </w:rPr>
    </w:lvl>
  </w:abstractNum>
  <w:abstractNum w:abstractNumId="17" w15:restartNumberingAfterBreak="0">
    <w:nsid w:val="32423C04"/>
    <w:multiLevelType w:val="hybridMultilevel"/>
    <w:tmpl w:val="792E5E1E"/>
    <w:lvl w:ilvl="0" w:tplc="31329FC6">
      <w:start w:val="1"/>
      <w:numFmt w:val="lowerRoman"/>
      <w:lvlText w:val="(%1)"/>
      <w:lvlJc w:val="left"/>
      <w:pPr>
        <w:ind w:left="1080" w:hanging="72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8D7529B"/>
    <w:multiLevelType w:val="hybridMultilevel"/>
    <w:tmpl w:val="1570DAAC"/>
    <w:lvl w:ilvl="0" w:tplc="3836D8C8">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D75B1E"/>
    <w:multiLevelType w:val="hybridMultilevel"/>
    <w:tmpl w:val="197CED1C"/>
    <w:lvl w:ilvl="0" w:tplc="DA30EAF6">
      <w:start w:val="1"/>
      <w:numFmt w:val="lowerRoman"/>
      <w:lvlText w:val="(%1)"/>
      <w:lvlJc w:val="left"/>
      <w:pPr>
        <w:ind w:left="1080" w:hanging="72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5313449">
    <w:abstractNumId w:val="7"/>
  </w:num>
  <w:num w:numId="2" w16cid:durableId="2000648718">
    <w:abstractNumId w:val="23"/>
  </w:num>
  <w:num w:numId="3" w16cid:durableId="1014963342">
    <w:abstractNumId w:val="25"/>
  </w:num>
  <w:num w:numId="4" w16cid:durableId="1847398218">
    <w:abstractNumId w:val="9"/>
  </w:num>
  <w:num w:numId="5" w16cid:durableId="652637254">
    <w:abstractNumId w:val="9"/>
    <w:lvlOverride w:ilvl="0">
      <w:startOverride w:val="1"/>
    </w:lvlOverride>
  </w:num>
  <w:num w:numId="6" w16cid:durableId="1653833468">
    <w:abstractNumId w:val="10"/>
  </w:num>
  <w:num w:numId="7" w16cid:durableId="1491212495">
    <w:abstractNumId w:val="20"/>
  </w:num>
  <w:num w:numId="8" w16cid:durableId="1809473348">
    <w:abstractNumId w:val="24"/>
  </w:num>
  <w:num w:numId="9" w16cid:durableId="109249088">
    <w:abstractNumId w:val="5"/>
  </w:num>
  <w:num w:numId="10" w16cid:durableId="850215910">
    <w:abstractNumId w:val="4"/>
  </w:num>
  <w:num w:numId="11" w16cid:durableId="569732986">
    <w:abstractNumId w:val="3"/>
  </w:num>
  <w:num w:numId="12" w16cid:durableId="743068543">
    <w:abstractNumId w:val="2"/>
  </w:num>
  <w:num w:numId="13" w16cid:durableId="1276641760">
    <w:abstractNumId w:val="6"/>
  </w:num>
  <w:num w:numId="14" w16cid:durableId="2037727288">
    <w:abstractNumId w:val="1"/>
  </w:num>
  <w:num w:numId="15" w16cid:durableId="357001732">
    <w:abstractNumId w:val="0"/>
  </w:num>
  <w:num w:numId="16" w16cid:durableId="1522208338">
    <w:abstractNumId w:val="26"/>
  </w:num>
  <w:num w:numId="17" w16cid:durableId="1843280744">
    <w:abstractNumId w:val="11"/>
  </w:num>
  <w:num w:numId="18" w16cid:durableId="1014456327">
    <w:abstractNumId w:val="13"/>
  </w:num>
  <w:num w:numId="19" w16cid:durableId="822431594">
    <w:abstractNumId w:val="18"/>
  </w:num>
  <w:num w:numId="20" w16cid:durableId="313609216">
    <w:abstractNumId w:val="11"/>
  </w:num>
  <w:num w:numId="21" w16cid:durableId="451823664">
    <w:abstractNumId w:val="18"/>
  </w:num>
  <w:num w:numId="22" w16cid:durableId="1607806636">
    <w:abstractNumId w:val="26"/>
  </w:num>
  <w:num w:numId="23" w16cid:durableId="1579434708">
    <w:abstractNumId w:val="23"/>
  </w:num>
  <w:num w:numId="24" w16cid:durableId="451289996">
    <w:abstractNumId w:val="25"/>
  </w:num>
  <w:num w:numId="25" w16cid:durableId="1573806959">
    <w:abstractNumId w:val="9"/>
  </w:num>
  <w:num w:numId="26" w16cid:durableId="1975406143">
    <w:abstractNumId w:val="21"/>
  </w:num>
  <w:num w:numId="27" w16cid:durableId="1517577093">
    <w:abstractNumId w:val="12"/>
  </w:num>
  <w:num w:numId="28" w16cid:durableId="967933395">
    <w:abstractNumId w:val="15"/>
  </w:num>
  <w:num w:numId="29" w16cid:durableId="1484271767">
    <w:abstractNumId w:val="14"/>
  </w:num>
  <w:num w:numId="30" w16cid:durableId="2066368082">
    <w:abstractNumId w:val="22"/>
  </w:num>
  <w:num w:numId="31" w16cid:durableId="142552649">
    <w:abstractNumId w:val="17"/>
  </w:num>
  <w:num w:numId="32" w16cid:durableId="831456621">
    <w:abstractNumId w:val="8"/>
  </w:num>
  <w:num w:numId="33" w16cid:durableId="2037347166">
    <w:abstractNumId w:val="19"/>
  </w:num>
  <w:num w:numId="34" w16cid:durableId="562253403">
    <w:abstractNumId w:val="12"/>
  </w:num>
  <w:num w:numId="35" w16cid:durableId="7688894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68"/>
    <w:rsid w:val="00000FC7"/>
    <w:rsid w:val="00003743"/>
    <w:rsid w:val="000047B4"/>
    <w:rsid w:val="00005712"/>
    <w:rsid w:val="00007FD8"/>
    <w:rsid w:val="000117F8"/>
    <w:rsid w:val="0001460F"/>
    <w:rsid w:val="000176F1"/>
    <w:rsid w:val="00022629"/>
    <w:rsid w:val="00024DFE"/>
    <w:rsid w:val="00026139"/>
    <w:rsid w:val="000271C9"/>
    <w:rsid w:val="00027601"/>
    <w:rsid w:val="00033321"/>
    <w:rsid w:val="000338E5"/>
    <w:rsid w:val="00033ECC"/>
    <w:rsid w:val="0003422F"/>
    <w:rsid w:val="00046FF0"/>
    <w:rsid w:val="00047C6A"/>
    <w:rsid w:val="00050176"/>
    <w:rsid w:val="00050342"/>
    <w:rsid w:val="00064168"/>
    <w:rsid w:val="00067456"/>
    <w:rsid w:val="00071506"/>
    <w:rsid w:val="0007154F"/>
    <w:rsid w:val="00073109"/>
    <w:rsid w:val="00080BAC"/>
    <w:rsid w:val="00081AB1"/>
    <w:rsid w:val="00083B42"/>
    <w:rsid w:val="00087B5A"/>
    <w:rsid w:val="00090316"/>
    <w:rsid w:val="00093981"/>
    <w:rsid w:val="000B067A"/>
    <w:rsid w:val="000B0DA8"/>
    <w:rsid w:val="000B1540"/>
    <w:rsid w:val="000B155C"/>
    <w:rsid w:val="000B1E53"/>
    <w:rsid w:val="000B33FD"/>
    <w:rsid w:val="000B4ABA"/>
    <w:rsid w:val="000B4C6D"/>
    <w:rsid w:val="000C397A"/>
    <w:rsid w:val="000C4B16"/>
    <w:rsid w:val="000C50C3"/>
    <w:rsid w:val="000C5E14"/>
    <w:rsid w:val="000D21F6"/>
    <w:rsid w:val="000D4500"/>
    <w:rsid w:val="000D5D6B"/>
    <w:rsid w:val="000D77DB"/>
    <w:rsid w:val="000D7AEA"/>
    <w:rsid w:val="000E2C66"/>
    <w:rsid w:val="000E69E1"/>
    <w:rsid w:val="000E791C"/>
    <w:rsid w:val="000F123C"/>
    <w:rsid w:val="000F2FED"/>
    <w:rsid w:val="0010616D"/>
    <w:rsid w:val="00110478"/>
    <w:rsid w:val="00115FD1"/>
    <w:rsid w:val="0011711B"/>
    <w:rsid w:val="00117F8A"/>
    <w:rsid w:val="00121B9B"/>
    <w:rsid w:val="00122ADC"/>
    <w:rsid w:val="001245EF"/>
    <w:rsid w:val="00130F59"/>
    <w:rsid w:val="00133EC0"/>
    <w:rsid w:val="00136B4D"/>
    <w:rsid w:val="00141CE5"/>
    <w:rsid w:val="00144908"/>
    <w:rsid w:val="00145E57"/>
    <w:rsid w:val="00156D96"/>
    <w:rsid w:val="00156F90"/>
    <w:rsid w:val="001571C7"/>
    <w:rsid w:val="00161094"/>
    <w:rsid w:val="00170160"/>
    <w:rsid w:val="0017665C"/>
    <w:rsid w:val="00177AD2"/>
    <w:rsid w:val="001815A8"/>
    <w:rsid w:val="00182FCD"/>
    <w:rsid w:val="001840FA"/>
    <w:rsid w:val="001845EC"/>
    <w:rsid w:val="00190079"/>
    <w:rsid w:val="001901D7"/>
    <w:rsid w:val="00193F99"/>
    <w:rsid w:val="0019622E"/>
    <w:rsid w:val="001966A7"/>
    <w:rsid w:val="001A4627"/>
    <w:rsid w:val="001A4979"/>
    <w:rsid w:val="001A552D"/>
    <w:rsid w:val="001B15D3"/>
    <w:rsid w:val="001B3443"/>
    <w:rsid w:val="001C0326"/>
    <w:rsid w:val="001C192F"/>
    <w:rsid w:val="001C24F3"/>
    <w:rsid w:val="001C3C42"/>
    <w:rsid w:val="001C514A"/>
    <w:rsid w:val="001D6ED8"/>
    <w:rsid w:val="001D7869"/>
    <w:rsid w:val="001E378B"/>
    <w:rsid w:val="001E5FFC"/>
    <w:rsid w:val="001F1553"/>
    <w:rsid w:val="001F27C3"/>
    <w:rsid w:val="001F506A"/>
    <w:rsid w:val="001F6948"/>
    <w:rsid w:val="00200B23"/>
    <w:rsid w:val="002026CD"/>
    <w:rsid w:val="002033FC"/>
    <w:rsid w:val="002044BB"/>
    <w:rsid w:val="0020668F"/>
    <w:rsid w:val="00210B09"/>
    <w:rsid w:val="00210C9E"/>
    <w:rsid w:val="00211840"/>
    <w:rsid w:val="002136A3"/>
    <w:rsid w:val="00214637"/>
    <w:rsid w:val="00220E5F"/>
    <w:rsid w:val="002212B5"/>
    <w:rsid w:val="00223AF9"/>
    <w:rsid w:val="00226668"/>
    <w:rsid w:val="0023177A"/>
    <w:rsid w:val="00233809"/>
    <w:rsid w:val="002349A1"/>
    <w:rsid w:val="00240046"/>
    <w:rsid w:val="0024797F"/>
    <w:rsid w:val="0025119E"/>
    <w:rsid w:val="00251269"/>
    <w:rsid w:val="002535C0"/>
    <w:rsid w:val="002579FE"/>
    <w:rsid w:val="00260552"/>
    <w:rsid w:val="002616FE"/>
    <w:rsid w:val="0026311C"/>
    <w:rsid w:val="0026668C"/>
    <w:rsid w:val="00266AC1"/>
    <w:rsid w:val="0027178C"/>
    <w:rsid w:val="00271954"/>
    <w:rsid w:val="002719FA"/>
    <w:rsid w:val="00272668"/>
    <w:rsid w:val="0027330B"/>
    <w:rsid w:val="002803AD"/>
    <w:rsid w:val="00282052"/>
    <w:rsid w:val="002831A3"/>
    <w:rsid w:val="00283E14"/>
    <w:rsid w:val="0028519E"/>
    <w:rsid w:val="002856A5"/>
    <w:rsid w:val="002872ED"/>
    <w:rsid w:val="002905C2"/>
    <w:rsid w:val="00292231"/>
    <w:rsid w:val="00295AF2"/>
    <w:rsid w:val="00295C91"/>
    <w:rsid w:val="00297151"/>
    <w:rsid w:val="002A2134"/>
    <w:rsid w:val="002A7030"/>
    <w:rsid w:val="002B20E6"/>
    <w:rsid w:val="002B3E5F"/>
    <w:rsid w:val="002B42A3"/>
    <w:rsid w:val="002C0CDD"/>
    <w:rsid w:val="002C38C4"/>
    <w:rsid w:val="002C46AA"/>
    <w:rsid w:val="002D54CB"/>
    <w:rsid w:val="002E1A1D"/>
    <w:rsid w:val="002E4081"/>
    <w:rsid w:val="002E5B78"/>
    <w:rsid w:val="002F3AE3"/>
    <w:rsid w:val="0030464B"/>
    <w:rsid w:val="0030786C"/>
    <w:rsid w:val="00311BE3"/>
    <w:rsid w:val="00314F50"/>
    <w:rsid w:val="003233DE"/>
    <w:rsid w:val="0032466B"/>
    <w:rsid w:val="003330EB"/>
    <w:rsid w:val="003415FD"/>
    <w:rsid w:val="003429F0"/>
    <w:rsid w:val="00345A82"/>
    <w:rsid w:val="0035097A"/>
    <w:rsid w:val="003540A4"/>
    <w:rsid w:val="00357665"/>
    <w:rsid w:val="00357BCC"/>
    <w:rsid w:val="00360E4E"/>
    <w:rsid w:val="0036181B"/>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09D1"/>
    <w:rsid w:val="003B213A"/>
    <w:rsid w:val="003B43AD"/>
    <w:rsid w:val="003C0FEC"/>
    <w:rsid w:val="003C2AC8"/>
    <w:rsid w:val="003D033A"/>
    <w:rsid w:val="003D17F9"/>
    <w:rsid w:val="003D2D88"/>
    <w:rsid w:val="003D41EA"/>
    <w:rsid w:val="003D4850"/>
    <w:rsid w:val="003D535A"/>
    <w:rsid w:val="003E5265"/>
    <w:rsid w:val="003E5C59"/>
    <w:rsid w:val="003F0955"/>
    <w:rsid w:val="003F0E0C"/>
    <w:rsid w:val="003F5F4D"/>
    <w:rsid w:val="003F646F"/>
    <w:rsid w:val="0040069D"/>
    <w:rsid w:val="00400F00"/>
    <w:rsid w:val="00404F8B"/>
    <w:rsid w:val="00405256"/>
    <w:rsid w:val="00405ADD"/>
    <w:rsid w:val="00410031"/>
    <w:rsid w:val="004117B1"/>
    <w:rsid w:val="0041311A"/>
    <w:rsid w:val="00415C81"/>
    <w:rsid w:val="00421178"/>
    <w:rsid w:val="00432378"/>
    <w:rsid w:val="00432759"/>
    <w:rsid w:val="00440D65"/>
    <w:rsid w:val="0044212D"/>
    <w:rsid w:val="004435E6"/>
    <w:rsid w:val="00447E31"/>
    <w:rsid w:val="00453923"/>
    <w:rsid w:val="00454B9B"/>
    <w:rsid w:val="00456F8B"/>
    <w:rsid w:val="00457858"/>
    <w:rsid w:val="00460B0B"/>
    <w:rsid w:val="00461023"/>
    <w:rsid w:val="00462FAC"/>
    <w:rsid w:val="00464631"/>
    <w:rsid w:val="00464B79"/>
    <w:rsid w:val="00464E92"/>
    <w:rsid w:val="0046773F"/>
    <w:rsid w:val="00467BBF"/>
    <w:rsid w:val="004724E1"/>
    <w:rsid w:val="0047377B"/>
    <w:rsid w:val="00480421"/>
    <w:rsid w:val="0048593C"/>
    <w:rsid w:val="004867E2"/>
    <w:rsid w:val="00486C5F"/>
    <w:rsid w:val="00490F9F"/>
    <w:rsid w:val="004929A9"/>
    <w:rsid w:val="0049416E"/>
    <w:rsid w:val="00496D84"/>
    <w:rsid w:val="004A6D27"/>
    <w:rsid w:val="004A78D9"/>
    <w:rsid w:val="004B1235"/>
    <w:rsid w:val="004B588E"/>
    <w:rsid w:val="004C1BCD"/>
    <w:rsid w:val="004C6BCF"/>
    <w:rsid w:val="004D58BF"/>
    <w:rsid w:val="004E4335"/>
    <w:rsid w:val="004E5226"/>
    <w:rsid w:val="004F13EE"/>
    <w:rsid w:val="004F2022"/>
    <w:rsid w:val="004F7C05"/>
    <w:rsid w:val="005015F3"/>
    <w:rsid w:val="00501C94"/>
    <w:rsid w:val="00501D8A"/>
    <w:rsid w:val="00506432"/>
    <w:rsid w:val="00506E82"/>
    <w:rsid w:val="0052051D"/>
    <w:rsid w:val="005326BD"/>
    <w:rsid w:val="00541667"/>
    <w:rsid w:val="00544EB2"/>
    <w:rsid w:val="00545EE6"/>
    <w:rsid w:val="005550E7"/>
    <w:rsid w:val="005564FB"/>
    <w:rsid w:val="005572C7"/>
    <w:rsid w:val="005650ED"/>
    <w:rsid w:val="005659DB"/>
    <w:rsid w:val="0057452C"/>
    <w:rsid w:val="00575754"/>
    <w:rsid w:val="00581FBA"/>
    <w:rsid w:val="00582178"/>
    <w:rsid w:val="005858A4"/>
    <w:rsid w:val="00591E20"/>
    <w:rsid w:val="00595408"/>
    <w:rsid w:val="00595E84"/>
    <w:rsid w:val="005A0C59"/>
    <w:rsid w:val="005A48EB"/>
    <w:rsid w:val="005A66C4"/>
    <w:rsid w:val="005A6CFB"/>
    <w:rsid w:val="005C3793"/>
    <w:rsid w:val="005C3B93"/>
    <w:rsid w:val="005C457B"/>
    <w:rsid w:val="005C5AEB"/>
    <w:rsid w:val="005C695E"/>
    <w:rsid w:val="005D1225"/>
    <w:rsid w:val="005D200D"/>
    <w:rsid w:val="005D5F4E"/>
    <w:rsid w:val="005D6100"/>
    <w:rsid w:val="005E0A3F"/>
    <w:rsid w:val="005E1AF9"/>
    <w:rsid w:val="005E2D76"/>
    <w:rsid w:val="005E3425"/>
    <w:rsid w:val="005E6701"/>
    <w:rsid w:val="005E6883"/>
    <w:rsid w:val="005E772F"/>
    <w:rsid w:val="005F1CE0"/>
    <w:rsid w:val="005F27F0"/>
    <w:rsid w:val="005F4ECA"/>
    <w:rsid w:val="006041BE"/>
    <w:rsid w:val="006043C7"/>
    <w:rsid w:val="00614550"/>
    <w:rsid w:val="00616FE4"/>
    <w:rsid w:val="00620445"/>
    <w:rsid w:val="00624B52"/>
    <w:rsid w:val="00630794"/>
    <w:rsid w:val="00631DF4"/>
    <w:rsid w:val="00634175"/>
    <w:rsid w:val="0063574E"/>
    <w:rsid w:val="006408AC"/>
    <w:rsid w:val="00642F20"/>
    <w:rsid w:val="00644F9A"/>
    <w:rsid w:val="006511B6"/>
    <w:rsid w:val="00652B6A"/>
    <w:rsid w:val="00654049"/>
    <w:rsid w:val="00656055"/>
    <w:rsid w:val="00657FF8"/>
    <w:rsid w:val="006606E1"/>
    <w:rsid w:val="00670D99"/>
    <w:rsid w:val="00670E2B"/>
    <w:rsid w:val="006734BB"/>
    <w:rsid w:val="0067697A"/>
    <w:rsid w:val="00676FD5"/>
    <w:rsid w:val="006807CB"/>
    <w:rsid w:val="006821EB"/>
    <w:rsid w:val="00695A54"/>
    <w:rsid w:val="006A2192"/>
    <w:rsid w:val="006A7BDF"/>
    <w:rsid w:val="006B2286"/>
    <w:rsid w:val="006B56BB"/>
    <w:rsid w:val="006B58A4"/>
    <w:rsid w:val="006B6078"/>
    <w:rsid w:val="006C085B"/>
    <w:rsid w:val="006C271C"/>
    <w:rsid w:val="006C77A8"/>
    <w:rsid w:val="006D4098"/>
    <w:rsid w:val="006D7681"/>
    <w:rsid w:val="006D7B2E"/>
    <w:rsid w:val="006E02EA"/>
    <w:rsid w:val="006E0968"/>
    <w:rsid w:val="006E2AF6"/>
    <w:rsid w:val="006F2186"/>
    <w:rsid w:val="006F5073"/>
    <w:rsid w:val="006F5140"/>
    <w:rsid w:val="00700371"/>
    <w:rsid w:val="00701275"/>
    <w:rsid w:val="00707F56"/>
    <w:rsid w:val="00713558"/>
    <w:rsid w:val="00717E66"/>
    <w:rsid w:val="00720D08"/>
    <w:rsid w:val="007263B9"/>
    <w:rsid w:val="007334F8"/>
    <w:rsid w:val="007339CD"/>
    <w:rsid w:val="007359D8"/>
    <w:rsid w:val="007362D4"/>
    <w:rsid w:val="00753455"/>
    <w:rsid w:val="00753AD5"/>
    <w:rsid w:val="007616EB"/>
    <w:rsid w:val="0076382C"/>
    <w:rsid w:val="007650B1"/>
    <w:rsid w:val="0076672A"/>
    <w:rsid w:val="00775E45"/>
    <w:rsid w:val="00776429"/>
    <w:rsid w:val="00776E74"/>
    <w:rsid w:val="00785169"/>
    <w:rsid w:val="00790A39"/>
    <w:rsid w:val="007954AB"/>
    <w:rsid w:val="007A14C5"/>
    <w:rsid w:val="007A14EA"/>
    <w:rsid w:val="007A2D78"/>
    <w:rsid w:val="007A4A10"/>
    <w:rsid w:val="007B1750"/>
    <w:rsid w:val="007B1760"/>
    <w:rsid w:val="007B54EF"/>
    <w:rsid w:val="007B562B"/>
    <w:rsid w:val="007B6CF9"/>
    <w:rsid w:val="007C033B"/>
    <w:rsid w:val="007C1FDC"/>
    <w:rsid w:val="007C31DD"/>
    <w:rsid w:val="007C4DA8"/>
    <w:rsid w:val="007C5FDD"/>
    <w:rsid w:val="007C6D9C"/>
    <w:rsid w:val="007C703B"/>
    <w:rsid w:val="007C7DDB"/>
    <w:rsid w:val="007D2CC7"/>
    <w:rsid w:val="007D673D"/>
    <w:rsid w:val="007E0068"/>
    <w:rsid w:val="007E0FB8"/>
    <w:rsid w:val="007E4D09"/>
    <w:rsid w:val="007F2220"/>
    <w:rsid w:val="007F4B3E"/>
    <w:rsid w:val="00802DF8"/>
    <w:rsid w:val="008127AF"/>
    <w:rsid w:val="00812B46"/>
    <w:rsid w:val="00815700"/>
    <w:rsid w:val="00821293"/>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0AD4"/>
    <w:rsid w:val="00873D90"/>
    <w:rsid w:val="00873FC8"/>
    <w:rsid w:val="00883C34"/>
    <w:rsid w:val="00883F87"/>
    <w:rsid w:val="00884C63"/>
    <w:rsid w:val="00885908"/>
    <w:rsid w:val="008864B7"/>
    <w:rsid w:val="00890E1F"/>
    <w:rsid w:val="0089677E"/>
    <w:rsid w:val="008A0425"/>
    <w:rsid w:val="008A7438"/>
    <w:rsid w:val="008B1334"/>
    <w:rsid w:val="008B25C7"/>
    <w:rsid w:val="008C0278"/>
    <w:rsid w:val="008C24E9"/>
    <w:rsid w:val="008D0533"/>
    <w:rsid w:val="008D42CB"/>
    <w:rsid w:val="008D48C9"/>
    <w:rsid w:val="008D6381"/>
    <w:rsid w:val="008D6C72"/>
    <w:rsid w:val="008E0C77"/>
    <w:rsid w:val="008E625F"/>
    <w:rsid w:val="008F264D"/>
    <w:rsid w:val="009040E9"/>
    <w:rsid w:val="009062E7"/>
    <w:rsid w:val="009074E1"/>
    <w:rsid w:val="009112F7"/>
    <w:rsid w:val="009122AF"/>
    <w:rsid w:val="00912D54"/>
    <w:rsid w:val="0091389F"/>
    <w:rsid w:val="0091653E"/>
    <w:rsid w:val="009208F7"/>
    <w:rsid w:val="00921649"/>
    <w:rsid w:val="00922517"/>
    <w:rsid w:val="00922722"/>
    <w:rsid w:val="009261E6"/>
    <w:rsid w:val="009268E1"/>
    <w:rsid w:val="00926EE7"/>
    <w:rsid w:val="009271EE"/>
    <w:rsid w:val="00932F7C"/>
    <w:rsid w:val="009344AE"/>
    <w:rsid w:val="009344DE"/>
    <w:rsid w:val="00945E7F"/>
    <w:rsid w:val="009466DB"/>
    <w:rsid w:val="009557C1"/>
    <w:rsid w:val="0095704F"/>
    <w:rsid w:val="00960D6E"/>
    <w:rsid w:val="00972349"/>
    <w:rsid w:val="00974B59"/>
    <w:rsid w:val="00976F97"/>
    <w:rsid w:val="0098340B"/>
    <w:rsid w:val="009836F7"/>
    <w:rsid w:val="00986830"/>
    <w:rsid w:val="009903BF"/>
    <w:rsid w:val="009924C3"/>
    <w:rsid w:val="00993102"/>
    <w:rsid w:val="00993AEC"/>
    <w:rsid w:val="009A413B"/>
    <w:rsid w:val="009B1570"/>
    <w:rsid w:val="009B1E73"/>
    <w:rsid w:val="009C6F10"/>
    <w:rsid w:val="009D148F"/>
    <w:rsid w:val="009D3D70"/>
    <w:rsid w:val="009E470D"/>
    <w:rsid w:val="009E6F7E"/>
    <w:rsid w:val="009E7A57"/>
    <w:rsid w:val="009F4803"/>
    <w:rsid w:val="009F4F6A"/>
    <w:rsid w:val="00A04E5F"/>
    <w:rsid w:val="00A13EB5"/>
    <w:rsid w:val="00A15340"/>
    <w:rsid w:val="00A1561A"/>
    <w:rsid w:val="00A16E36"/>
    <w:rsid w:val="00A24961"/>
    <w:rsid w:val="00A24B10"/>
    <w:rsid w:val="00A277EF"/>
    <w:rsid w:val="00A30E9B"/>
    <w:rsid w:val="00A4512D"/>
    <w:rsid w:val="00A50103"/>
    <w:rsid w:val="00A50244"/>
    <w:rsid w:val="00A627D7"/>
    <w:rsid w:val="00A656C7"/>
    <w:rsid w:val="00A705AF"/>
    <w:rsid w:val="00A708ED"/>
    <w:rsid w:val="00A719F6"/>
    <w:rsid w:val="00A72454"/>
    <w:rsid w:val="00A77696"/>
    <w:rsid w:val="00A77D02"/>
    <w:rsid w:val="00A80557"/>
    <w:rsid w:val="00A81D33"/>
    <w:rsid w:val="00A8341C"/>
    <w:rsid w:val="00A83A4A"/>
    <w:rsid w:val="00A86249"/>
    <w:rsid w:val="00A930AE"/>
    <w:rsid w:val="00AA1A95"/>
    <w:rsid w:val="00AA260F"/>
    <w:rsid w:val="00AA7E17"/>
    <w:rsid w:val="00AB1EE7"/>
    <w:rsid w:val="00AB3459"/>
    <w:rsid w:val="00AB4B37"/>
    <w:rsid w:val="00AB5762"/>
    <w:rsid w:val="00AC25B4"/>
    <w:rsid w:val="00AC2679"/>
    <w:rsid w:val="00AC4BE4"/>
    <w:rsid w:val="00AC4F12"/>
    <w:rsid w:val="00AC6323"/>
    <w:rsid w:val="00AD05E6"/>
    <w:rsid w:val="00AD0D3F"/>
    <w:rsid w:val="00AD63CA"/>
    <w:rsid w:val="00AE1CAC"/>
    <w:rsid w:val="00AE1D7D"/>
    <w:rsid w:val="00AE2A8B"/>
    <w:rsid w:val="00AE3F64"/>
    <w:rsid w:val="00AF110D"/>
    <w:rsid w:val="00AF7386"/>
    <w:rsid w:val="00AF7934"/>
    <w:rsid w:val="00B00B81"/>
    <w:rsid w:val="00B04580"/>
    <w:rsid w:val="00B04B09"/>
    <w:rsid w:val="00B16A51"/>
    <w:rsid w:val="00B23DDC"/>
    <w:rsid w:val="00B32222"/>
    <w:rsid w:val="00B32B3E"/>
    <w:rsid w:val="00B34410"/>
    <w:rsid w:val="00B3618D"/>
    <w:rsid w:val="00B36233"/>
    <w:rsid w:val="00B42851"/>
    <w:rsid w:val="00B45350"/>
    <w:rsid w:val="00B45AC7"/>
    <w:rsid w:val="00B51823"/>
    <w:rsid w:val="00B52C9C"/>
    <w:rsid w:val="00B5372F"/>
    <w:rsid w:val="00B53987"/>
    <w:rsid w:val="00B5659B"/>
    <w:rsid w:val="00B61129"/>
    <w:rsid w:val="00B67E7F"/>
    <w:rsid w:val="00B76DB3"/>
    <w:rsid w:val="00B77179"/>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3761"/>
    <w:rsid w:val="00BD50E6"/>
    <w:rsid w:val="00BD7FB2"/>
    <w:rsid w:val="00BE06E7"/>
    <w:rsid w:val="00BE3ED5"/>
    <w:rsid w:val="00C00930"/>
    <w:rsid w:val="00C02DA3"/>
    <w:rsid w:val="00C04CE3"/>
    <w:rsid w:val="00C060AD"/>
    <w:rsid w:val="00C113BF"/>
    <w:rsid w:val="00C14024"/>
    <w:rsid w:val="00C16CC1"/>
    <w:rsid w:val="00C20F9A"/>
    <w:rsid w:val="00C2176E"/>
    <w:rsid w:val="00C23430"/>
    <w:rsid w:val="00C27D67"/>
    <w:rsid w:val="00C435AF"/>
    <w:rsid w:val="00C446D8"/>
    <w:rsid w:val="00C44C52"/>
    <w:rsid w:val="00C4631F"/>
    <w:rsid w:val="00C47CDE"/>
    <w:rsid w:val="00C50E16"/>
    <w:rsid w:val="00C55258"/>
    <w:rsid w:val="00C653D8"/>
    <w:rsid w:val="00C66A5C"/>
    <w:rsid w:val="00C7178F"/>
    <w:rsid w:val="00C75FA3"/>
    <w:rsid w:val="00C80241"/>
    <w:rsid w:val="00C8089E"/>
    <w:rsid w:val="00C82EEB"/>
    <w:rsid w:val="00C94068"/>
    <w:rsid w:val="00C96BE2"/>
    <w:rsid w:val="00C96E85"/>
    <w:rsid w:val="00C971DC"/>
    <w:rsid w:val="00CA1054"/>
    <w:rsid w:val="00CA16B7"/>
    <w:rsid w:val="00CA62AE"/>
    <w:rsid w:val="00CB03B8"/>
    <w:rsid w:val="00CB5B1A"/>
    <w:rsid w:val="00CB62C0"/>
    <w:rsid w:val="00CC220B"/>
    <w:rsid w:val="00CC5C43"/>
    <w:rsid w:val="00CD02AE"/>
    <w:rsid w:val="00CD1FAC"/>
    <w:rsid w:val="00CD2A4F"/>
    <w:rsid w:val="00CE03CA"/>
    <w:rsid w:val="00CE22F1"/>
    <w:rsid w:val="00CE23BB"/>
    <w:rsid w:val="00CE50F2"/>
    <w:rsid w:val="00CE6502"/>
    <w:rsid w:val="00CF7D3C"/>
    <w:rsid w:val="00D01F09"/>
    <w:rsid w:val="00D03059"/>
    <w:rsid w:val="00D03527"/>
    <w:rsid w:val="00D10D39"/>
    <w:rsid w:val="00D147EB"/>
    <w:rsid w:val="00D157D6"/>
    <w:rsid w:val="00D15991"/>
    <w:rsid w:val="00D23414"/>
    <w:rsid w:val="00D34667"/>
    <w:rsid w:val="00D401E1"/>
    <w:rsid w:val="00D408B4"/>
    <w:rsid w:val="00D44330"/>
    <w:rsid w:val="00D5245B"/>
    <w:rsid w:val="00D524C8"/>
    <w:rsid w:val="00D61626"/>
    <w:rsid w:val="00D618DB"/>
    <w:rsid w:val="00D674EC"/>
    <w:rsid w:val="00D70E24"/>
    <w:rsid w:val="00D72B61"/>
    <w:rsid w:val="00D81235"/>
    <w:rsid w:val="00D82CD7"/>
    <w:rsid w:val="00D86928"/>
    <w:rsid w:val="00D91DCE"/>
    <w:rsid w:val="00D94EB9"/>
    <w:rsid w:val="00DA1D3C"/>
    <w:rsid w:val="00DA3D1D"/>
    <w:rsid w:val="00DA4F4E"/>
    <w:rsid w:val="00DB56E4"/>
    <w:rsid w:val="00DB6286"/>
    <w:rsid w:val="00DB645F"/>
    <w:rsid w:val="00DB76E9"/>
    <w:rsid w:val="00DC0A67"/>
    <w:rsid w:val="00DC1D5E"/>
    <w:rsid w:val="00DC464C"/>
    <w:rsid w:val="00DC5220"/>
    <w:rsid w:val="00DD0016"/>
    <w:rsid w:val="00DD2061"/>
    <w:rsid w:val="00DD7DAB"/>
    <w:rsid w:val="00DE3355"/>
    <w:rsid w:val="00DF0C60"/>
    <w:rsid w:val="00DF486F"/>
    <w:rsid w:val="00DF5B5B"/>
    <w:rsid w:val="00DF7619"/>
    <w:rsid w:val="00E042D8"/>
    <w:rsid w:val="00E0453F"/>
    <w:rsid w:val="00E07EE7"/>
    <w:rsid w:val="00E1103B"/>
    <w:rsid w:val="00E17B44"/>
    <w:rsid w:val="00E20F27"/>
    <w:rsid w:val="00E21E74"/>
    <w:rsid w:val="00E22443"/>
    <w:rsid w:val="00E25B1F"/>
    <w:rsid w:val="00E26969"/>
    <w:rsid w:val="00E27FEA"/>
    <w:rsid w:val="00E338D3"/>
    <w:rsid w:val="00E4086F"/>
    <w:rsid w:val="00E43B3C"/>
    <w:rsid w:val="00E50188"/>
    <w:rsid w:val="00E50A96"/>
    <w:rsid w:val="00E50BB3"/>
    <w:rsid w:val="00E515CB"/>
    <w:rsid w:val="00E52260"/>
    <w:rsid w:val="00E56430"/>
    <w:rsid w:val="00E639B6"/>
    <w:rsid w:val="00E6434B"/>
    <w:rsid w:val="00E6463D"/>
    <w:rsid w:val="00E700FB"/>
    <w:rsid w:val="00E71492"/>
    <w:rsid w:val="00E72E9B"/>
    <w:rsid w:val="00E850C3"/>
    <w:rsid w:val="00E87DF2"/>
    <w:rsid w:val="00E9462E"/>
    <w:rsid w:val="00EA1F95"/>
    <w:rsid w:val="00EA3ED8"/>
    <w:rsid w:val="00EA470E"/>
    <w:rsid w:val="00EA47A7"/>
    <w:rsid w:val="00EA57EB"/>
    <w:rsid w:val="00EA5DD0"/>
    <w:rsid w:val="00EB1242"/>
    <w:rsid w:val="00EB3226"/>
    <w:rsid w:val="00EB7081"/>
    <w:rsid w:val="00EB7764"/>
    <w:rsid w:val="00EC213A"/>
    <w:rsid w:val="00EC2B11"/>
    <w:rsid w:val="00EC2C5D"/>
    <w:rsid w:val="00EC7744"/>
    <w:rsid w:val="00ED0DAD"/>
    <w:rsid w:val="00ED0F46"/>
    <w:rsid w:val="00ED2373"/>
    <w:rsid w:val="00ED24F9"/>
    <w:rsid w:val="00ED2E38"/>
    <w:rsid w:val="00EE0E45"/>
    <w:rsid w:val="00EE1F2E"/>
    <w:rsid w:val="00EE2514"/>
    <w:rsid w:val="00EE3E8A"/>
    <w:rsid w:val="00EE682B"/>
    <w:rsid w:val="00EF58B8"/>
    <w:rsid w:val="00EF6ECA"/>
    <w:rsid w:val="00F00A06"/>
    <w:rsid w:val="00F024E1"/>
    <w:rsid w:val="00F06C10"/>
    <w:rsid w:val="00F1096F"/>
    <w:rsid w:val="00F12589"/>
    <w:rsid w:val="00F12595"/>
    <w:rsid w:val="00F134D9"/>
    <w:rsid w:val="00F1403D"/>
    <w:rsid w:val="00F1463F"/>
    <w:rsid w:val="00F200A8"/>
    <w:rsid w:val="00F21302"/>
    <w:rsid w:val="00F2430D"/>
    <w:rsid w:val="00F321DE"/>
    <w:rsid w:val="00F33777"/>
    <w:rsid w:val="00F40648"/>
    <w:rsid w:val="00F47DA2"/>
    <w:rsid w:val="00F51321"/>
    <w:rsid w:val="00F519FC"/>
    <w:rsid w:val="00F53C3E"/>
    <w:rsid w:val="00F6239D"/>
    <w:rsid w:val="00F642F5"/>
    <w:rsid w:val="00F64CAF"/>
    <w:rsid w:val="00F651F3"/>
    <w:rsid w:val="00F715D2"/>
    <w:rsid w:val="00F7274F"/>
    <w:rsid w:val="00F74E84"/>
    <w:rsid w:val="00F76FA8"/>
    <w:rsid w:val="00F80ADC"/>
    <w:rsid w:val="00F85AFE"/>
    <w:rsid w:val="00F907F0"/>
    <w:rsid w:val="00F93F08"/>
    <w:rsid w:val="00F94CED"/>
    <w:rsid w:val="00F96A29"/>
    <w:rsid w:val="00FA02BB"/>
    <w:rsid w:val="00FA2CEE"/>
    <w:rsid w:val="00FA318C"/>
    <w:rsid w:val="00FA6F0A"/>
    <w:rsid w:val="00FB169E"/>
    <w:rsid w:val="00FB3AC5"/>
    <w:rsid w:val="00FB6F92"/>
    <w:rsid w:val="00FC026E"/>
    <w:rsid w:val="00FC5124"/>
    <w:rsid w:val="00FD4731"/>
    <w:rsid w:val="00FD6768"/>
    <w:rsid w:val="00FE1476"/>
    <w:rsid w:val="00FF0AB0"/>
    <w:rsid w:val="00FF23F8"/>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A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UnresolvedMention1">
    <w:name w:val="Unresolved Mention1"/>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8D6C72"/>
    <w:pPr>
      <w:ind w:left="720"/>
      <w:contextualSpacing/>
    </w:pPr>
  </w:style>
  <w:style w:type="paragraph" w:styleId="Revision">
    <w:name w:val="Revision"/>
    <w:hidden/>
    <w:uiPriority w:val="99"/>
    <w:semiHidden/>
    <w:rsid w:val="006F218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6F2186"/>
    <w:rPr>
      <w:sz w:val="16"/>
      <w:szCs w:val="16"/>
    </w:rPr>
  </w:style>
  <w:style w:type="paragraph" w:styleId="CommentSubject">
    <w:name w:val="annotation subject"/>
    <w:basedOn w:val="CommentText"/>
    <w:next w:val="CommentText"/>
    <w:link w:val="CommentSubjectChar"/>
    <w:semiHidden/>
    <w:unhideWhenUsed/>
    <w:rsid w:val="006F2186"/>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6F2186"/>
    <w:rPr>
      <w:rFonts w:ascii="Arial" w:eastAsiaTheme="minorEastAsia" w:hAnsi="Arial" w:cstheme="minorBidi"/>
      <w:b/>
      <w:bCs/>
      <w:color w:val="000000" w:themeColor="text1"/>
      <w:lang w:eastAsia="en-US"/>
    </w:rPr>
  </w:style>
  <w:style w:type="character" w:styleId="UnresolvedMention">
    <w:name w:val="Unresolved Mention"/>
    <w:basedOn w:val="DefaultParagraphFont"/>
    <w:uiPriority w:val="99"/>
    <w:semiHidden/>
    <w:unhideWhenUsed/>
    <w:rsid w:val="00DA4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0436220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Factsheet-TelehealthPrivChecklist"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s://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yber.gov.au/"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6EEE-8864-45BD-BF1E-EFD1E1C6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2024-06-19T03:36:00Z</dcterms:created>
  <dcterms:modified xsi:type="dcterms:W3CDTF">2024-06-19T03:36:00Z</dcterms:modified>
</cp:coreProperties>
</file>