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458B5" w14:textId="432D918C" w:rsidR="004C3BDA" w:rsidRDefault="00162162" w:rsidP="004C3BDA">
      <w:pPr>
        <w:pStyle w:val="Title"/>
      </w:pPr>
      <w:bookmarkStart w:id="0" w:name="_Hlk115872627"/>
      <w:r>
        <w:t>Genetic testing changes for Pharmaceutical Benefits Scheme (PBS) immunotherapy</w:t>
      </w:r>
    </w:p>
    <w:p w14:paraId="344BC40A" w14:textId="77777777" w:rsidR="004C3BDA" w:rsidRPr="00867595" w:rsidRDefault="004C3BDA" w:rsidP="004C3BDA">
      <w:pPr>
        <w:rPr>
          <w:szCs w:val="22"/>
        </w:rPr>
      </w:pPr>
      <w:bookmarkStart w:id="1" w:name="_Hlk4568006"/>
      <w:bookmarkEnd w:id="0"/>
      <w:r w:rsidRPr="00867595">
        <w:rPr>
          <w:szCs w:val="22"/>
        </w:rPr>
        <w:t xml:space="preserve">Last updated: </w:t>
      </w:r>
      <w:r>
        <w:rPr>
          <w:szCs w:val="22"/>
        </w:rPr>
        <w:t>20 October 2022</w:t>
      </w:r>
    </w:p>
    <w:bookmarkEnd w:id="1"/>
    <w:p w14:paraId="59AC7485" w14:textId="77777777" w:rsidR="004C3BDA" w:rsidRPr="00867595" w:rsidRDefault="004C3BDA" w:rsidP="004C3BDA">
      <w:pPr>
        <w:pStyle w:val="Heading2"/>
      </w:pPr>
      <w:r w:rsidRPr="00867595">
        <w:t>What are the changes?</w:t>
      </w:r>
    </w:p>
    <w:p w14:paraId="47FEF7B2" w14:textId="77777777" w:rsidR="004C3BDA" w:rsidRPr="00093601" w:rsidRDefault="004C3BDA" w:rsidP="004C3BDA">
      <w:pPr>
        <w:rPr>
          <w:bCs/>
          <w:iCs/>
          <w:szCs w:val="22"/>
        </w:rPr>
      </w:pPr>
      <w:r>
        <w:rPr>
          <w:szCs w:val="22"/>
        </w:rPr>
        <w:t xml:space="preserve">From 1 November 2022, pathology Medicare Benefits Schedule (MBS) items 73337, 73341 and 73344 will be amended </w:t>
      </w:r>
      <w:r w:rsidRPr="00093601">
        <w:rPr>
          <w:bCs/>
          <w:iCs/>
          <w:szCs w:val="22"/>
        </w:rPr>
        <w:t xml:space="preserve">to replace the reference to the specific drug ‘pembrolizumab’ with a general reference to ‘immunotherapy’. </w:t>
      </w:r>
    </w:p>
    <w:p w14:paraId="1B71384A" w14:textId="77777777" w:rsidR="004C3BDA" w:rsidRDefault="004C3BDA" w:rsidP="004C3BDA">
      <w:r>
        <w:t>For private health insurance purposes, MBS items 73337, 73341 and 73344 will continue to be listed under the following clinical category and procedure type:</w:t>
      </w:r>
    </w:p>
    <w:p w14:paraId="61893371" w14:textId="77777777" w:rsidR="004C3BDA" w:rsidRDefault="004C3BDA" w:rsidP="004C3BDA">
      <w:pPr>
        <w:pStyle w:val="ListParagraph"/>
        <w:numPr>
          <w:ilvl w:val="0"/>
          <w:numId w:val="1"/>
        </w:numPr>
        <w:spacing w:before="0" w:after="60" w:line="280" w:lineRule="exact"/>
      </w:pPr>
      <w:r>
        <w:t>Clinical category: Support list (pathology)</w:t>
      </w:r>
    </w:p>
    <w:p w14:paraId="6787579B" w14:textId="77777777" w:rsidR="004C3BDA" w:rsidRPr="007E0068" w:rsidRDefault="004C3BDA" w:rsidP="004C3BDA">
      <w:pPr>
        <w:pStyle w:val="ListParagraph"/>
        <w:numPr>
          <w:ilvl w:val="0"/>
          <w:numId w:val="1"/>
        </w:numPr>
        <w:spacing w:before="0" w:after="60" w:line="280" w:lineRule="exact"/>
      </w:pPr>
      <w:r>
        <w:t>Procedure type: Type C</w:t>
      </w:r>
    </w:p>
    <w:p w14:paraId="4E38C22E" w14:textId="77777777" w:rsidR="004C3BDA" w:rsidRDefault="004C3BDA" w:rsidP="004C3BDA">
      <w:pPr>
        <w:pStyle w:val="Heading2"/>
      </w:pPr>
      <w:r>
        <w:t>Why are the changes being made?</w:t>
      </w:r>
    </w:p>
    <w:p w14:paraId="727E35A0" w14:textId="77777777" w:rsidR="004C3BDA" w:rsidRPr="0045447B" w:rsidRDefault="004C3BDA" w:rsidP="004C3BDA">
      <w:pPr>
        <w:rPr>
          <w:rFonts w:cs="Arial"/>
          <w:bCs/>
          <w:iCs/>
          <w:szCs w:val="22"/>
        </w:rPr>
      </w:pPr>
      <w:r w:rsidRPr="004A62AD">
        <w:rPr>
          <w:bCs/>
          <w:iCs/>
          <w:szCs w:val="22"/>
        </w:rPr>
        <w:t xml:space="preserve">At its November 2021 meeting, the Pharmaceutical Benefits Advisory Committee (PBAC) supported the listing of </w:t>
      </w:r>
      <w:proofErr w:type="spellStart"/>
      <w:r w:rsidRPr="004A62AD">
        <w:rPr>
          <w:bCs/>
          <w:iCs/>
          <w:szCs w:val="22"/>
        </w:rPr>
        <w:t>cemiplimab</w:t>
      </w:r>
      <w:proofErr w:type="spellEnd"/>
      <w:r w:rsidRPr="004A62AD">
        <w:rPr>
          <w:bCs/>
          <w:iCs/>
          <w:szCs w:val="22"/>
        </w:rPr>
        <w:t xml:space="preserve"> on the Pharmaceutical Benefits Scheme (PBS) </w:t>
      </w:r>
      <w:r>
        <w:rPr>
          <w:bCs/>
          <w:iCs/>
          <w:szCs w:val="22"/>
        </w:rPr>
        <w:t xml:space="preserve">to treat </w:t>
      </w:r>
      <w:r w:rsidRPr="004A62AD">
        <w:rPr>
          <w:bCs/>
          <w:iCs/>
          <w:szCs w:val="22"/>
        </w:rPr>
        <w:t>patients with previously untreated metastatic</w:t>
      </w:r>
      <w:r>
        <w:rPr>
          <w:bCs/>
          <w:iCs/>
          <w:szCs w:val="22"/>
        </w:rPr>
        <w:t xml:space="preserve"> </w:t>
      </w:r>
      <w:r w:rsidRPr="00DD08A8">
        <w:rPr>
          <w:bCs/>
          <w:iCs/>
          <w:szCs w:val="22"/>
        </w:rPr>
        <w:t>non-small cell lung cancer</w:t>
      </w:r>
      <w:r w:rsidRPr="004A62AD">
        <w:rPr>
          <w:bCs/>
          <w:iCs/>
          <w:szCs w:val="22"/>
        </w:rPr>
        <w:t xml:space="preserve"> </w:t>
      </w:r>
      <w:r>
        <w:rPr>
          <w:bCs/>
          <w:iCs/>
          <w:szCs w:val="22"/>
        </w:rPr>
        <w:t>(</w:t>
      </w:r>
      <w:r w:rsidRPr="004A62AD">
        <w:rPr>
          <w:bCs/>
          <w:iCs/>
          <w:szCs w:val="22"/>
        </w:rPr>
        <w:t>NSCLC</w:t>
      </w:r>
      <w:r>
        <w:rPr>
          <w:bCs/>
          <w:iCs/>
          <w:szCs w:val="22"/>
        </w:rPr>
        <w:t>)</w:t>
      </w:r>
      <w:r w:rsidRPr="004A62AD">
        <w:rPr>
          <w:bCs/>
          <w:iCs/>
          <w:szCs w:val="22"/>
        </w:rPr>
        <w:t xml:space="preserve">. Further information </w:t>
      </w:r>
      <w:r w:rsidRPr="0045447B">
        <w:rPr>
          <w:rFonts w:cs="Arial"/>
          <w:bCs/>
          <w:iCs/>
          <w:szCs w:val="22"/>
        </w:rPr>
        <w:t>regarding the PBAC decision can be found in the PBAC</w:t>
      </w:r>
      <w:r>
        <w:rPr>
          <w:rFonts w:cs="Arial"/>
          <w:bCs/>
          <w:iCs/>
          <w:szCs w:val="22"/>
        </w:rPr>
        <w:t xml:space="preserve"> Public Summary Document</w:t>
      </w:r>
      <w:r w:rsidRPr="0045447B">
        <w:rPr>
          <w:rFonts w:cs="Arial"/>
          <w:bCs/>
          <w:iCs/>
          <w:szCs w:val="22"/>
        </w:rPr>
        <w:t xml:space="preserve"> </w:t>
      </w:r>
      <w:r>
        <w:rPr>
          <w:rFonts w:cs="Arial"/>
          <w:bCs/>
          <w:iCs/>
          <w:szCs w:val="22"/>
        </w:rPr>
        <w:t>(</w:t>
      </w:r>
      <w:r w:rsidRPr="0045447B">
        <w:rPr>
          <w:rFonts w:cs="Arial"/>
          <w:bCs/>
          <w:iCs/>
          <w:szCs w:val="22"/>
        </w:rPr>
        <w:t>PSD</w:t>
      </w:r>
      <w:r>
        <w:rPr>
          <w:rFonts w:cs="Arial"/>
          <w:bCs/>
          <w:iCs/>
          <w:szCs w:val="22"/>
        </w:rPr>
        <w:t>)</w:t>
      </w:r>
      <w:r w:rsidRPr="0045447B">
        <w:rPr>
          <w:rFonts w:cs="Arial"/>
          <w:bCs/>
          <w:iCs/>
          <w:szCs w:val="22"/>
        </w:rPr>
        <w:t xml:space="preserve"> under </w:t>
      </w:r>
      <w:hyperlink r:id="rId7" w:history="1">
        <w:r w:rsidRPr="00162162">
          <w:rPr>
            <w:rStyle w:val="Hyperlink"/>
            <w:rFonts w:cs="Arial"/>
            <w:color w:val="0000FF"/>
          </w:rPr>
          <w:t>PBAC item 5.06</w:t>
        </w:r>
        <w:r w:rsidRPr="00D27084">
          <w:rPr>
            <w:rStyle w:val="Hyperlink"/>
            <w:rFonts w:cs="Arial"/>
            <w:bCs/>
            <w:iCs/>
            <w:szCs w:val="22"/>
          </w:rPr>
          <w:t>.</w:t>
        </w:r>
      </w:hyperlink>
      <w:r w:rsidRPr="0045447B">
        <w:rPr>
          <w:rFonts w:cs="Arial"/>
          <w:bCs/>
          <w:iCs/>
          <w:szCs w:val="22"/>
        </w:rPr>
        <w:t xml:space="preserve">  </w:t>
      </w:r>
    </w:p>
    <w:p w14:paraId="6EDC2FF0" w14:textId="77777777" w:rsidR="004C3BDA" w:rsidRPr="00D27084" w:rsidRDefault="004C3BDA" w:rsidP="004C3BDA">
      <w:pPr>
        <w:pStyle w:val="CommentText"/>
        <w:spacing w:before="120" w:after="120" w:line="276" w:lineRule="auto"/>
        <w:rPr>
          <w:rFonts w:eastAsia="Times New Roman" w:cs="Arial"/>
          <w:bCs/>
          <w:iCs/>
          <w:color w:val="000000" w:themeColor="text1"/>
          <w:sz w:val="22"/>
          <w:szCs w:val="22"/>
        </w:rPr>
      </w:pPr>
      <w:r w:rsidRPr="00D27084">
        <w:rPr>
          <w:rFonts w:eastAsia="Times New Roman" w:cs="Arial"/>
          <w:bCs/>
          <w:iCs/>
          <w:color w:val="000000" w:themeColor="text1"/>
          <w:sz w:val="22"/>
          <w:szCs w:val="22"/>
        </w:rPr>
        <w:t xml:space="preserve">As part of its decision, PBAC recommended that </w:t>
      </w:r>
      <w:proofErr w:type="spellStart"/>
      <w:r w:rsidRPr="00D27084">
        <w:rPr>
          <w:rFonts w:eastAsia="Times New Roman" w:cs="Arial"/>
          <w:bCs/>
          <w:iCs/>
          <w:color w:val="000000" w:themeColor="text1"/>
          <w:sz w:val="22"/>
          <w:szCs w:val="22"/>
        </w:rPr>
        <w:t>cemiplimab</w:t>
      </w:r>
      <w:proofErr w:type="spellEnd"/>
      <w:r w:rsidRPr="00D27084">
        <w:rPr>
          <w:rFonts w:eastAsia="Times New Roman" w:cs="Arial"/>
          <w:bCs/>
          <w:iCs/>
          <w:color w:val="000000" w:themeColor="text1"/>
          <w:sz w:val="22"/>
          <w:szCs w:val="22"/>
        </w:rPr>
        <w:t xml:space="preserve"> should only be used for patients with a programmed cell death ligand 1 (PD-L1) tumour proportion score ≥50% with no evidence of an activating </w:t>
      </w:r>
      <w:r w:rsidRPr="00D27084">
        <w:rPr>
          <w:rFonts w:cs="Arial"/>
          <w:bCs/>
          <w:iCs/>
          <w:sz w:val="22"/>
          <w:szCs w:val="22"/>
        </w:rPr>
        <w:t>epidermal growth factor receptor </w:t>
      </w:r>
      <w:r w:rsidRPr="00D27084">
        <w:rPr>
          <w:rFonts w:eastAsia="Times New Roman" w:cs="Arial"/>
          <w:bCs/>
          <w:iCs/>
          <w:color w:val="000000" w:themeColor="text1"/>
          <w:sz w:val="22"/>
          <w:szCs w:val="22"/>
        </w:rPr>
        <w:t xml:space="preserve">(EGFR) gene, an </w:t>
      </w:r>
      <w:r w:rsidRPr="00D27084">
        <w:rPr>
          <w:rFonts w:cs="Arial"/>
          <w:bCs/>
          <w:iCs/>
          <w:sz w:val="22"/>
          <w:szCs w:val="22"/>
        </w:rPr>
        <w:t>anaplastic lymphoma kinase</w:t>
      </w:r>
      <w:r w:rsidRPr="00D27084">
        <w:rPr>
          <w:rFonts w:eastAsia="Times New Roman" w:cs="Arial"/>
          <w:bCs/>
          <w:iCs/>
          <w:color w:val="000000" w:themeColor="text1"/>
          <w:sz w:val="22"/>
          <w:szCs w:val="22"/>
        </w:rPr>
        <w:t xml:space="preserve"> (ALK) gene rearrangement or a </w:t>
      </w:r>
      <w:r w:rsidRPr="00D27084">
        <w:rPr>
          <w:rFonts w:cs="Arial"/>
          <w:color w:val="222222"/>
          <w:sz w:val="22"/>
          <w:szCs w:val="22"/>
          <w:shd w:val="clear" w:color="auto" w:fill="FBFBFB"/>
        </w:rPr>
        <w:t>ROS proto</w:t>
      </w:r>
      <w:r w:rsidRPr="00D27084">
        <w:rPr>
          <w:rFonts w:cs="Arial"/>
          <w:color w:val="222222"/>
          <w:sz w:val="22"/>
          <w:szCs w:val="22"/>
          <w:shd w:val="clear" w:color="auto" w:fill="FBFBFB"/>
        </w:rPr>
        <w:noBreakHyphen/>
        <w:t>oncogene 1 (</w:t>
      </w:r>
      <w:r w:rsidRPr="00D27084">
        <w:rPr>
          <w:rFonts w:eastAsia="Times New Roman" w:cs="Arial"/>
          <w:bCs/>
          <w:iCs/>
          <w:color w:val="000000" w:themeColor="text1"/>
          <w:sz w:val="22"/>
          <w:szCs w:val="22"/>
        </w:rPr>
        <w:t xml:space="preserve">ROS1) gene arrangement in tumour materials. </w:t>
      </w:r>
    </w:p>
    <w:p w14:paraId="1027EAEC" w14:textId="77777777" w:rsidR="004C3BDA" w:rsidRPr="005E3436" w:rsidRDefault="004C3BDA" w:rsidP="004C3BDA">
      <w:pPr>
        <w:rPr>
          <w:bCs/>
          <w:iCs/>
          <w:szCs w:val="22"/>
        </w:rPr>
      </w:pPr>
      <w:bookmarkStart w:id="2" w:name="_Hlk116391369"/>
      <w:r w:rsidRPr="004A62AD">
        <w:rPr>
          <w:rFonts w:cs="Arial"/>
          <w:bCs/>
          <w:iCs/>
          <w:szCs w:val="22"/>
        </w:rPr>
        <w:t>At its November 2021 meeting, the Medical Services Advisory Committee (MSAC) supported amendments to MBS items 73337, 73341 and 73344 to enable Medicare benefits to be payable for</w:t>
      </w:r>
      <w:r>
        <w:rPr>
          <w:rFonts w:cs="Arial"/>
          <w:bCs/>
          <w:iCs/>
          <w:szCs w:val="22"/>
        </w:rPr>
        <w:t xml:space="preserve"> biomarker</w:t>
      </w:r>
      <w:r w:rsidRPr="004A62AD">
        <w:rPr>
          <w:rFonts w:cs="Arial"/>
          <w:bCs/>
          <w:iCs/>
          <w:szCs w:val="22"/>
        </w:rPr>
        <w:t xml:space="preserve"> testing to</w:t>
      </w:r>
      <w:r>
        <w:rPr>
          <w:rFonts w:cs="Arial"/>
          <w:bCs/>
          <w:iCs/>
          <w:szCs w:val="22"/>
        </w:rPr>
        <w:t xml:space="preserve"> </w:t>
      </w:r>
      <w:r w:rsidRPr="002449AB">
        <w:rPr>
          <w:rFonts w:cs="Arial"/>
          <w:bCs/>
          <w:iCs/>
          <w:szCs w:val="22"/>
        </w:rPr>
        <w:t xml:space="preserve">determine if </w:t>
      </w:r>
      <w:r>
        <w:rPr>
          <w:rFonts w:cs="Arial"/>
          <w:bCs/>
          <w:iCs/>
          <w:szCs w:val="22"/>
        </w:rPr>
        <w:t xml:space="preserve">the PBS </w:t>
      </w:r>
      <w:r w:rsidRPr="002449AB">
        <w:rPr>
          <w:rFonts w:cs="Arial"/>
          <w:bCs/>
          <w:iCs/>
          <w:szCs w:val="22"/>
        </w:rPr>
        <w:t>requirements</w:t>
      </w:r>
      <w:r>
        <w:rPr>
          <w:rFonts w:cs="Arial"/>
          <w:bCs/>
          <w:iCs/>
          <w:szCs w:val="22"/>
        </w:rPr>
        <w:t xml:space="preserve"> for </w:t>
      </w:r>
      <w:proofErr w:type="spellStart"/>
      <w:r>
        <w:rPr>
          <w:rFonts w:cs="Arial"/>
          <w:bCs/>
          <w:iCs/>
          <w:szCs w:val="22"/>
        </w:rPr>
        <w:t>cemiplimab</w:t>
      </w:r>
      <w:proofErr w:type="spellEnd"/>
      <w:r w:rsidRPr="002449AB">
        <w:rPr>
          <w:rFonts w:cs="Arial"/>
          <w:bCs/>
          <w:iCs/>
          <w:szCs w:val="22"/>
        </w:rPr>
        <w:t xml:space="preserve"> relating to EGFR</w:t>
      </w:r>
      <w:r>
        <w:rPr>
          <w:rFonts w:cs="Arial"/>
          <w:bCs/>
          <w:iCs/>
          <w:szCs w:val="22"/>
        </w:rPr>
        <w:t xml:space="preserve">, </w:t>
      </w:r>
      <w:r w:rsidRPr="002449AB">
        <w:rPr>
          <w:rFonts w:cs="Arial"/>
          <w:bCs/>
          <w:iCs/>
          <w:szCs w:val="22"/>
        </w:rPr>
        <w:t>ALK</w:t>
      </w:r>
      <w:r>
        <w:rPr>
          <w:rFonts w:cs="Arial"/>
          <w:bCs/>
          <w:iCs/>
          <w:szCs w:val="22"/>
        </w:rPr>
        <w:t xml:space="preserve"> </w:t>
      </w:r>
      <w:r w:rsidRPr="002449AB">
        <w:rPr>
          <w:rFonts w:cs="Arial"/>
          <w:bCs/>
          <w:iCs/>
          <w:szCs w:val="22"/>
        </w:rPr>
        <w:t>or ROS1</w:t>
      </w:r>
      <w:r>
        <w:rPr>
          <w:rFonts w:cs="Arial"/>
          <w:bCs/>
          <w:iCs/>
          <w:szCs w:val="22"/>
        </w:rPr>
        <w:t xml:space="preserve"> </w:t>
      </w:r>
      <w:r w:rsidRPr="002C7C27">
        <w:rPr>
          <w:rFonts w:cs="Arial"/>
          <w:bCs/>
          <w:iCs/>
          <w:szCs w:val="22"/>
        </w:rPr>
        <w:t xml:space="preserve">gene </w:t>
      </w:r>
      <w:r>
        <w:rPr>
          <w:rFonts w:cs="Arial"/>
          <w:bCs/>
          <w:iCs/>
          <w:szCs w:val="22"/>
        </w:rPr>
        <w:t xml:space="preserve">status </w:t>
      </w:r>
      <w:r>
        <w:rPr>
          <w:bCs/>
          <w:iCs/>
          <w:szCs w:val="22"/>
        </w:rPr>
        <w:t>are met</w:t>
      </w:r>
      <w:r w:rsidRPr="00093601">
        <w:rPr>
          <w:bCs/>
          <w:iCs/>
          <w:szCs w:val="22"/>
        </w:rPr>
        <w:t xml:space="preserve">. </w:t>
      </w:r>
      <w:r>
        <w:rPr>
          <w:bCs/>
          <w:iCs/>
          <w:szCs w:val="22"/>
        </w:rPr>
        <w:t xml:space="preserve">MSAC also supported </w:t>
      </w:r>
      <w:r>
        <w:rPr>
          <w:rFonts w:cs="Arial"/>
          <w:bCs/>
          <w:iCs/>
          <w:szCs w:val="22"/>
        </w:rPr>
        <w:t>the</w:t>
      </w:r>
      <w:r w:rsidRPr="004A62AD">
        <w:rPr>
          <w:rFonts w:cs="Arial"/>
          <w:bCs/>
          <w:iCs/>
          <w:szCs w:val="22"/>
        </w:rPr>
        <w:t xml:space="preserve"> term ‘immunotherapy’ </w:t>
      </w:r>
      <w:r>
        <w:rPr>
          <w:rFonts w:cs="Arial"/>
          <w:bCs/>
          <w:iCs/>
          <w:szCs w:val="22"/>
        </w:rPr>
        <w:t xml:space="preserve">to replace ‘pembrolizumab’ in the MBS items </w:t>
      </w:r>
      <w:r w:rsidRPr="004A62AD">
        <w:rPr>
          <w:rFonts w:cs="Arial"/>
          <w:bCs/>
          <w:iCs/>
          <w:szCs w:val="22"/>
        </w:rPr>
        <w:t xml:space="preserve">73337, 73341 and 73344 to cover both pembrolizumab and </w:t>
      </w:r>
      <w:proofErr w:type="spellStart"/>
      <w:r w:rsidRPr="004A62AD">
        <w:rPr>
          <w:rFonts w:cs="Arial"/>
          <w:bCs/>
          <w:iCs/>
          <w:szCs w:val="22"/>
        </w:rPr>
        <w:t>cemiplimab</w:t>
      </w:r>
      <w:proofErr w:type="spellEnd"/>
      <w:r>
        <w:rPr>
          <w:rFonts w:cs="Arial"/>
          <w:bCs/>
          <w:iCs/>
          <w:szCs w:val="22"/>
        </w:rPr>
        <w:t xml:space="preserve">. Testing to determine </w:t>
      </w:r>
      <w:r w:rsidRPr="004A62AD">
        <w:rPr>
          <w:rFonts w:cs="Arial"/>
          <w:bCs/>
          <w:iCs/>
          <w:szCs w:val="22"/>
        </w:rPr>
        <w:t xml:space="preserve">PDL-1 </w:t>
      </w:r>
      <w:r>
        <w:rPr>
          <w:rFonts w:cs="Arial"/>
          <w:bCs/>
          <w:iCs/>
          <w:szCs w:val="22"/>
        </w:rPr>
        <w:t xml:space="preserve">status </w:t>
      </w:r>
      <w:r w:rsidRPr="004A62AD">
        <w:rPr>
          <w:rFonts w:cs="Arial"/>
          <w:bCs/>
          <w:iCs/>
          <w:szCs w:val="22"/>
        </w:rPr>
        <w:t>may be performed under MBS item</w:t>
      </w:r>
      <w:hyperlink r:id="rId8" w:history="1">
        <w:r w:rsidRPr="00162162">
          <w:rPr>
            <w:rStyle w:val="Hyperlink"/>
            <w:rFonts w:cs="Arial"/>
            <w:bCs/>
            <w:iCs/>
            <w:color w:val="0000FF"/>
            <w:szCs w:val="22"/>
          </w:rPr>
          <w:t xml:space="preserve"> 72814</w:t>
        </w:r>
      </w:hyperlink>
      <w:r w:rsidRPr="004A62AD">
        <w:rPr>
          <w:rFonts w:cs="Arial"/>
          <w:bCs/>
          <w:iCs/>
          <w:szCs w:val="22"/>
        </w:rPr>
        <w:t>.</w:t>
      </w:r>
    </w:p>
    <w:bookmarkEnd w:id="2"/>
    <w:p w14:paraId="666C2664" w14:textId="77777777" w:rsidR="004C3BDA" w:rsidRPr="004A62AD" w:rsidRDefault="004C3BDA" w:rsidP="004C3BDA">
      <w:pPr>
        <w:rPr>
          <w:bCs/>
          <w:iCs/>
          <w:szCs w:val="22"/>
        </w:rPr>
      </w:pPr>
      <w:r w:rsidRPr="004A62AD">
        <w:rPr>
          <w:bCs/>
          <w:iCs/>
          <w:szCs w:val="22"/>
        </w:rPr>
        <w:t xml:space="preserve">Further information about the MSAC decision can be found in the MSAC PSD under </w:t>
      </w:r>
      <w:hyperlink r:id="rId9" w:anchor=":~:text=MSAC%20%2D%201642%20%E2%80%93%20Programmed%20Death%20Ligand,non%2Dsmall%20cell%20lung%20cancer" w:history="1">
        <w:r w:rsidRPr="00162162">
          <w:rPr>
            <w:rStyle w:val="Hyperlink"/>
            <w:iCs/>
            <w:color w:val="0000FF"/>
            <w:szCs w:val="22"/>
          </w:rPr>
          <w:t>MSAC application 1642</w:t>
        </w:r>
      </w:hyperlink>
      <w:r w:rsidRPr="004A62AD">
        <w:rPr>
          <w:bCs/>
          <w:iCs/>
          <w:szCs w:val="22"/>
        </w:rPr>
        <w:t xml:space="preserve">. </w:t>
      </w:r>
    </w:p>
    <w:p w14:paraId="5E09AF2E" w14:textId="77777777" w:rsidR="004C3BDA" w:rsidRDefault="004C3BDA" w:rsidP="004C3BDA">
      <w:pPr>
        <w:pStyle w:val="Heading2"/>
      </w:pPr>
      <w:r>
        <w:lastRenderedPageBreak/>
        <w:t>What does this mean for referrers and providers?</w:t>
      </w:r>
    </w:p>
    <w:p w14:paraId="34926448" w14:textId="77777777" w:rsidR="004C3BDA" w:rsidRPr="00093601" w:rsidRDefault="004C3BDA" w:rsidP="004C3BDA">
      <w:pPr>
        <w:rPr>
          <w:bCs/>
          <w:iCs/>
          <w:szCs w:val="22"/>
        </w:rPr>
      </w:pPr>
      <w:r>
        <w:rPr>
          <w:rFonts w:cs="Arial"/>
          <w:bCs/>
          <w:iCs/>
          <w:szCs w:val="22"/>
        </w:rPr>
        <w:t xml:space="preserve">Medicare funded biomarker testing as described in MBS items 73337, 73341 and 73344 may be requested by a specialist or consultant physician </w:t>
      </w:r>
      <w:r w:rsidRPr="002449AB">
        <w:rPr>
          <w:rFonts w:cs="Arial"/>
          <w:bCs/>
          <w:iCs/>
          <w:szCs w:val="22"/>
        </w:rPr>
        <w:t>to determine if requirements relating to EGFR, ALK or ROS1</w:t>
      </w:r>
      <w:r>
        <w:rPr>
          <w:rFonts w:cs="Arial"/>
          <w:bCs/>
          <w:iCs/>
          <w:szCs w:val="22"/>
        </w:rPr>
        <w:t xml:space="preserve"> gen status for access </w:t>
      </w:r>
      <w:r>
        <w:rPr>
          <w:bCs/>
          <w:iCs/>
          <w:szCs w:val="22"/>
        </w:rPr>
        <w:t xml:space="preserve">to </w:t>
      </w:r>
      <w:proofErr w:type="spellStart"/>
      <w:r>
        <w:rPr>
          <w:bCs/>
          <w:iCs/>
          <w:szCs w:val="22"/>
        </w:rPr>
        <w:t>cemiplimab</w:t>
      </w:r>
      <w:proofErr w:type="spellEnd"/>
      <w:r>
        <w:rPr>
          <w:bCs/>
          <w:iCs/>
          <w:szCs w:val="22"/>
        </w:rPr>
        <w:t xml:space="preserve"> or pembrolizumab under the PBS are fulfilled</w:t>
      </w:r>
      <w:r w:rsidRPr="00093601">
        <w:rPr>
          <w:bCs/>
          <w:iCs/>
          <w:szCs w:val="22"/>
        </w:rPr>
        <w:t xml:space="preserve">. </w:t>
      </w:r>
    </w:p>
    <w:p w14:paraId="6F1DFF8F" w14:textId="15E2197A" w:rsidR="004C3BDA" w:rsidRDefault="00162162" w:rsidP="004C3BDA">
      <w:pPr>
        <w:pStyle w:val="Heading2"/>
      </w:pPr>
      <w:r>
        <w:t xml:space="preserve">How will these changes affect </w:t>
      </w:r>
      <w:r w:rsidR="004C3BDA">
        <w:t>patients?</w:t>
      </w:r>
    </w:p>
    <w:p w14:paraId="6CE2163F" w14:textId="77777777" w:rsidR="004C3BDA" w:rsidRDefault="004C3BDA" w:rsidP="004C3BDA">
      <w:pPr>
        <w:rPr>
          <w:bCs/>
          <w:iCs/>
          <w:szCs w:val="22"/>
        </w:rPr>
      </w:pPr>
      <w:r>
        <w:t xml:space="preserve">Eligible patients will have access to Medicare funded biomarker testing to determine if requirements related to EGFR, ALK or ROS1 for access to an immunotherapy, </w:t>
      </w:r>
      <w:r>
        <w:rPr>
          <w:bCs/>
          <w:iCs/>
          <w:szCs w:val="22"/>
        </w:rPr>
        <w:t xml:space="preserve">such as </w:t>
      </w:r>
      <w:proofErr w:type="spellStart"/>
      <w:r>
        <w:rPr>
          <w:bCs/>
          <w:iCs/>
          <w:szCs w:val="22"/>
        </w:rPr>
        <w:t>cemiplimab</w:t>
      </w:r>
      <w:proofErr w:type="spellEnd"/>
      <w:r>
        <w:rPr>
          <w:bCs/>
          <w:iCs/>
          <w:szCs w:val="22"/>
        </w:rPr>
        <w:t xml:space="preserve"> or pembrolizumab, under the PBS are fulfilled</w:t>
      </w:r>
      <w:r w:rsidRPr="00093601">
        <w:rPr>
          <w:bCs/>
          <w:iCs/>
          <w:szCs w:val="22"/>
        </w:rPr>
        <w:t>.</w:t>
      </w:r>
    </w:p>
    <w:p w14:paraId="387C4E1F" w14:textId="77777777" w:rsidR="004C3BDA" w:rsidRPr="000F55ED" w:rsidRDefault="004C3BDA" w:rsidP="004C3BDA">
      <w:pPr>
        <w:rPr>
          <w:bCs/>
          <w:iCs/>
          <w:szCs w:val="22"/>
        </w:rPr>
      </w:pPr>
      <w:r>
        <w:rPr>
          <w:bCs/>
          <w:iCs/>
          <w:szCs w:val="22"/>
        </w:rPr>
        <w:t>Immunotherapy drugs, such as p</w:t>
      </w:r>
      <w:r w:rsidRPr="00093601">
        <w:rPr>
          <w:bCs/>
          <w:iCs/>
          <w:szCs w:val="22"/>
        </w:rPr>
        <w:t xml:space="preserve">embrolizumab and </w:t>
      </w:r>
      <w:proofErr w:type="spellStart"/>
      <w:r w:rsidRPr="00093601">
        <w:rPr>
          <w:bCs/>
          <w:iCs/>
          <w:szCs w:val="22"/>
        </w:rPr>
        <w:t>cemiplimab</w:t>
      </w:r>
      <w:proofErr w:type="spellEnd"/>
      <w:r>
        <w:rPr>
          <w:bCs/>
          <w:iCs/>
          <w:szCs w:val="22"/>
        </w:rPr>
        <w:t xml:space="preserve">, are </w:t>
      </w:r>
      <w:r w:rsidRPr="00093601">
        <w:rPr>
          <w:bCs/>
          <w:iCs/>
          <w:szCs w:val="22"/>
        </w:rPr>
        <w:t xml:space="preserve">drugs that are used to treat </w:t>
      </w:r>
      <w:proofErr w:type="gramStart"/>
      <w:r w:rsidRPr="00093601">
        <w:rPr>
          <w:bCs/>
          <w:iCs/>
          <w:szCs w:val="22"/>
        </w:rPr>
        <w:t>a number of</w:t>
      </w:r>
      <w:proofErr w:type="gramEnd"/>
      <w:r w:rsidRPr="00093601">
        <w:rPr>
          <w:bCs/>
          <w:iCs/>
          <w:szCs w:val="22"/>
        </w:rPr>
        <w:t xml:space="preserve"> cancers.   </w:t>
      </w:r>
    </w:p>
    <w:p w14:paraId="7EC8DC49" w14:textId="77777777" w:rsidR="004C3BDA" w:rsidRDefault="004C3BDA" w:rsidP="004C3BDA">
      <w:pPr>
        <w:pStyle w:val="Heading2"/>
      </w:pPr>
      <w:r w:rsidRPr="001A7FB7">
        <w:t>Who was consulted on the changes?</w:t>
      </w:r>
    </w:p>
    <w:p w14:paraId="7AB7D3BA" w14:textId="77777777" w:rsidR="004C3BDA" w:rsidRPr="007F6465" w:rsidRDefault="004C3BDA" w:rsidP="004C3BDA">
      <w:pPr>
        <w:rPr>
          <w:szCs w:val="22"/>
        </w:rPr>
      </w:pPr>
      <w:r w:rsidRPr="007F6465">
        <w:rPr>
          <w:szCs w:val="22"/>
        </w:rPr>
        <w:t>MSAC reviews new or existing medical services or technology, and the circumstances under which public funding should be supported through listing on the MBS. This includes the listing of new items, or amendments to existing items on the MBS.</w:t>
      </w:r>
    </w:p>
    <w:p w14:paraId="79428678" w14:textId="77777777" w:rsidR="004C3BDA" w:rsidRDefault="004C3BDA" w:rsidP="004C3BDA">
      <w:pPr>
        <w:pStyle w:val="Heading2"/>
      </w:pPr>
      <w:r w:rsidRPr="001A7FB7">
        <w:t>How will the changes be monitored</w:t>
      </w:r>
      <w:r>
        <w:t xml:space="preserve"> and reviewed</w:t>
      </w:r>
      <w:r w:rsidRPr="001A7FB7">
        <w:t>?</w:t>
      </w:r>
    </w:p>
    <w:p w14:paraId="082DAC33" w14:textId="77777777" w:rsidR="004C3BDA" w:rsidRDefault="004C3BDA" w:rsidP="004C3BDA">
      <w:r>
        <w:t xml:space="preserve">All MBS items are subject to </w:t>
      </w:r>
      <w:r w:rsidRPr="001A5EF6">
        <w:t>compliance processes and activities, including random and targeted audits which may require a provider to submit evidence about the services claimed.</w:t>
      </w:r>
      <w:r w:rsidRPr="00644250">
        <w:t xml:space="preserve"> </w:t>
      </w:r>
    </w:p>
    <w:p w14:paraId="5B33C4B7" w14:textId="77777777" w:rsidR="004C3BDA" w:rsidRDefault="004C3BDA" w:rsidP="004C3BDA">
      <w:pPr>
        <w:pStyle w:val="Heading2"/>
      </w:pPr>
      <w:r>
        <w:t>Where can I find more information?</w:t>
      </w:r>
    </w:p>
    <w:p w14:paraId="6C0E966A" w14:textId="77777777" w:rsidR="004C3BDA" w:rsidRPr="00867595" w:rsidRDefault="004C3BDA" w:rsidP="004C3BDA">
      <w:pPr>
        <w:rPr>
          <w:szCs w:val="22"/>
        </w:rPr>
      </w:pPr>
      <w:r w:rsidRPr="00867595">
        <w:rPr>
          <w:szCs w:val="22"/>
        </w:rPr>
        <w:t xml:space="preserve">The </w:t>
      </w:r>
      <w:r>
        <w:rPr>
          <w:szCs w:val="22"/>
        </w:rPr>
        <w:t>current</w:t>
      </w:r>
      <w:r w:rsidRPr="00867595">
        <w:rPr>
          <w:szCs w:val="22"/>
        </w:rPr>
        <w:t xml:space="preserve"> item descriptors and information on other changes to the MBS can be found on the MBS Online website at </w:t>
      </w:r>
      <w:hyperlink r:id="rId10" w:history="1">
        <w:r w:rsidRPr="00162162">
          <w:rPr>
            <w:rStyle w:val="Hyperlink"/>
            <w:color w:val="0000FF"/>
            <w:szCs w:val="22"/>
          </w:rPr>
          <w:t>www.mbsonline.gov.au</w:t>
        </w:r>
      </w:hyperlink>
      <w:r w:rsidRPr="00867595">
        <w:rPr>
          <w:szCs w:val="22"/>
        </w:rPr>
        <w:t xml:space="preserve"> </w:t>
      </w:r>
      <w:r>
        <w:rPr>
          <w:szCs w:val="22"/>
        </w:rPr>
        <w:t xml:space="preserve">with these amendments becoming available on 1 November 2022. </w:t>
      </w:r>
      <w:r w:rsidRPr="00867595">
        <w:rPr>
          <w:szCs w:val="22"/>
        </w:rPr>
        <w:t xml:space="preserve">You can also subscribe to future MBS updates by visiting </w:t>
      </w:r>
      <w:hyperlink r:id="rId11" w:history="1">
        <w:r w:rsidRPr="00162162">
          <w:rPr>
            <w:rStyle w:val="Hyperlink"/>
            <w:color w:val="0000FF"/>
            <w:szCs w:val="22"/>
          </w:rPr>
          <w:t>MBS Online</w:t>
        </w:r>
      </w:hyperlink>
      <w:r w:rsidRPr="00867595">
        <w:rPr>
          <w:szCs w:val="22"/>
        </w:rPr>
        <w:t xml:space="preserve"> and clicking ‘Subscribe’. </w:t>
      </w:r>
    </w:p>
    <w:p w14:paraId="06AD5CF8" w14:textId="450484EF" w:rsidR="004C3BDA" w:rsidRDefault="004C3BDA" w:rsidP="004C3BDA">
      <w:pPr>
        <w:rPr>
          <w:szCs w:val="22"/>
        </w:rPr>
      </w:pPr>
      <w:r w:rsidRPr="00867595">
        <w:rPr>
          <w:szCs w:val="22"/>
        </w:rPr>
        <w:t>The Department of Health</w:t>
      </w:r>
      <w:r>
        <w:rPr>
          <w:szCs w:val="22"/>
        </w:rPr>
        <w:t xml:space="preserve"> and Aged Care</w:t>
      </w:r>
      <w:r w:rsidRPr="00867595">
        <w:rPr>
          <w:szCs w:val="22"/>
        </w:rPr>
        <w:t xml:space="preserve"> provides an email advice service for providers seeking advice on interpretation of the MBS items and rules and the </w:t>
      </w:r>
      <w:hyperlink r:id="rId12" w:history="1">
        <w:r w:rsidRPr="00162162">
          <w:rPr>
            <w:rStyle w:val="Hyperlink"/>
            <w:i/>
            <w:iCs/>
            <w:color w:val="0000FF"/>
            <w:szCs w:val="22"/>
          </w:rPr>
          <w:t>Health Insurance Act 1973</w:t>
        </w:r>
      </w:hyperlink>
      <w:r w:rsidRPr="00162162">
        <w:rPr>
          <w:color w:val="0000FF"/>
          <w:szCs w:val="22"/>
        </w:rPr>
        <w:t xml:space="preserve"> </w:t>
      </w:r>
      <w:r w:rsidRPr="00867595">
        <w:rPr>
          <w:szCs w:val="22"/>
        </w:rPr>
        <w:t xml:space="preserve">and associated regulations. If you have a query relating exclusively to interpretation of the Schedule, </w:t>
      </w:r>
      <w:r>
        <w:rPr>
          <w:szCs w:val="22"/>
        </w:rPr>
        <w:t xml:space="preserve">please </w:t>
      </w:r>
      <w:r w:rsidRPr="00867595">
        <w:rPr>
          <w:szCs w:val="22"/>
        </w:rPr>
        <w:t xml:space="preserve">email </w:t>
      </w:r>
      <w:hyperlink r:id="rId13" w:history="1">
        <w:r w:rsidRPr="00162162">
          <w:rPr>
            <w:rStyle w:val="Hyperlink"/>
            <w:color w:val="0000FF"/>
            <w:szCs w:val="22"/>
          </w:rPr>
          <w:t>askMBS@health.gov.au</w:t>
        </w:r>
      </w:hyperlink>
      <w:r w:rsidRPr="00867595">
        <w:rPr>
          <w:szCs w:val="22"/>
        </w:rPr>
        <w:t>.</w:t>
      </w:r>
    </w:p>
    <w:p w14:paraId="43D43E55" w14:textId="77777777" w:rsidR="004C3BDA" w:rsidRPr="00867595" w:rsidRDefault="004C3BDA" w:rsidP="004C3BDA">
      <w:pPr>
        <w:rPr>
          <w:szCs w:val="22"/>
        </w:rPr>
      </w:pPr>
      <w:r w:rsidRPr="00867595">
        <w:rPr>
          <w:szCs w:val="22"/>
        </w:rPr>
        <w:t>Subscribe to ‘</w:t>
      </w:r>
      <w:hyperlink r:id="rId14" w:history="1">
        <w:r w:rsidRPr="00162162">
          <w:rPr>
            <w:rStyle w:val="Hyperlink"/>
            <w:color w:val="0000FF"/>
            <w:szCs w:val="22"/>
          </w:rPr>
          <w:t>News for Health Professionals</w:t>
        </w:r>
      </w:hyperlink>
      <w:r w:rsidRPr="00867595">
        <w:rPr>
          <w:szCs w:val="22"/>
        </w:rPr>
        <w:t>’ on the Services Australia website and you will receive regular news highlights.</w:t>
      </w:r>
    </w:p>
    <w:p w14:paraId="40680B1C" w14:textId="77777777" w:rsidR="004C3BDA" w:rsidRPr="00867595" w:rsidRDefault="004C3BDA" w:rsidP="004C3BDA">
      <w:pPr>
        <w:rPr>
          <w:szCs w:val="22"/>
        </w:rPr>
      </w:pPr>
      <w:r w:rsidRPr="00867595">
        <w:rPr>
          <w:szCs w:val="22"/>
        </w:rPr>
        <w:t xml:space="preserve">If you are seeking advice in relation to Medicare billing, claiming, payments, or obtaining a provider number, please </w:t>
      </w:r>
      <w:bookmarkStart w:id="3" w:name="_Hlk7773414"/>
      <w:r w:rsidRPr="00867595">
        <w:rPr>
          <w:szCs w:val="22"/>
        </w:rPr>
        <w:t xml:space="preserve">go to the Health Professionals page on the Services Australia website or </w:t>
      </w:r>
      <w:bookmarkEnd w:id="3"/>
      <w:r w:rsidRPr="00867595">
        <w:rPr>
          <w:szCs w:val="22"/>
        </w:rPr>
        <w:t xml:space="preserve">contact the Services Australia on the Provider Enquiry Line – 13 21 50. </w:t>
      </w:r>
    </w:p>
    <w:p w14:paraId="0AB6B12B" w14:textId="77777777" w:rsidR="00162162" w:rsidRPr="00162162" w:rsidRDefault="00162162" w:rsidP="00162162">
      <w:pPr>
        <w:rPr>
          <w:color w:val="000000"/>
          <w:szCs w:val="22"/>
        </w:rPr>
      </w:pPr>
      <w:r w:rsidRPr="00162162">
        <w:rPr>
          <w:color w:val="000000"/>
          <w:szCs w:val="22"/>
        </w:rPr>
        <w:t xml:space="preserve">The data file for software vendors when available can be accessed via the </w:t>
      </w:r>
      <w:hyperlink r:id="rId15" w:history="1">
        <w:r w:rsidRPr="00162162">
          <w:rPr>
            <w:color w:val="0000FF"/>
            <w:szCs w:val="22"/>
            <w:u w:val="single"/>
          </w:rPr>
          <w:t>Downloads</w:t>
        </w:r>
      </w:hyperlink>
      <w:r w:rsidRPr="00162162">
        <w:rPr>
          <w:color w:val="000000"/>
          <w:szCs w:val="22"/>
        </w:rPr>
        <w:t xml:space="preserve"> page.</w:t>
      </w:r>
    </w:p>
    <w:p w14:paraId="1DB77F36" w14:textId="77777777" w:rsidR="00162162" w:rsidRPr="00162162" w:rsidRDefault="00162162" w:rsidP="00162162">
      <w:pPr>
        <w:pBdr>
          <w:top w:val="single" w:sz="12" w:space="1" w:color="358189"/>
          <w:bottom w:val="single" w:sz="12" w:space="1" w:color="358189"/>
        </w:pBdr>
        <w:shd w:val="clear" w:color="auto" w:fill="D0EAED"/>
        <w:spacing w:before="0" w:after="160" w:line="280" w:lineRule="exact"/>
        <w:ind w:left="567" w:right="1394"/>
        <w:rPr>
          <w:b/>
          <w:color w:val="auto"/>
          <w:sz w:val="16"/>
          <w:szCs w:val="16"/>
        </w:rPr>
      </w:pPr>
      <w:r w:rsidRPr="00162162">
        <w:rPr>
          <w:b/>
          <w:color w:val="auto"/>
          <w:sz w:val="16"/>
          <w:szCs w:val="16"/>
        </w:rPr>
        <w:lastRenderedPageBreak/>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335F09B4" w14:textId="633BE8F0" w:rsidR="00162162" w:rsidRPr="006A0313" w:rsidRDefault="00162162" w:rsidP="006A0313">
      <w:pPr>
        <w:pBdr>
          <w:top w:val="single" w:sz="12" w:space="1" w:color="358189"/>
          <w:bottom w:val="single" w:sz="12" w:space="1" w:color="358189"/>
        </w:pBdr>
        <w:shd w:val="clear" w:color="auto" w:fill="D0EAED"/>
        <w:spacing w:before="0" w:after="160" w:line="280" w:lineRule="exact"/>
        <w:ind w:left="567" w:right="1394"/>
        <w:rPr>
          <w:b/>
          <w:color w:val="auto"/>
          <w:sz w:val="16"/>
          <w:szCs w:val="16"/>
        </w:rPr>
      </w:pPr>
      <w:r w:rsidRPr="00162162">
        <w:rPr>
          <w:b/>
          <w:color w:val="auto"/>
          <w:sz w:val="16"/>
          <w:szCs w:val="16"/>
        </w:rPr>
        <w:t>This sheet is current as of the Last updated date shown above and does not account for MBS changes since that date.</w:t>
      </w:r>
    </w:p>
    <w:p w14:paraId="006CBDF8" w14:textId="2E45BB31" w:rsidR="00162162" w:rsidRDefault="00162162" w:rsidP="00162162">
      <w:pPr>
        <w:pStyle w:val="Heading2"/>
      </w:pPr>
      <w:r>
        <w:t>Amended MBS item descriptors (effective from 1 November 2022)</w:t>
      </w:r>
    </w:p>
    <w:p w14:paraId="4893312C" w14:textId="77777777" w:rsidR="00162162" w:rsidRPr="007100E7" w:rsidRDefault="00162162" w:rsidP="00162162">
      <w:pPr>
        <w:rPr>
          <w:rFonts w:cs="Arial"/>
          <w:b/>
          <w:bCs/>
          <w:szCs w:val="22"/>
        </w:rPr>
      </w:pPr>
      <w:r w:rsidRPr="007100E7">
        <w:rPr>
          <w:rFonts w:cs="Arial"/>
          <w:b/>
          <w:bCs/>
          <w:szCs w:val="22"/>
        </w:rPr>
        <w:t>Item:</w:t>
      </w:r>
      <w:r w:rsidRPr="007100E7">
        <w:rPr>
          <w:rFonts w:cs="Arial"/>
          <w:szCs w:val="22"/>
        </w:rPr>
        <w:t xml:space="preserve"> 73337</w:t>
      </w:r>
    </w:p>
    <w:p w14:paraId="51D23528" w14:textId="77777777" w:rsidR="00162162" w:rsidRPr="007100E7" w:rsidRDefault="00162162" w:rsidP="00162162">
      <w:pPr>
        <w:shd w:val="clear" w:color="auto" w:fill="FFFFFF"/>
        <w:spacing w:after="0" w:line="260" w:lineRule="atLeast"/>
        <w:rPr>
          <w:rFonts w:cs="Arial"/>
          <w:color w:val="000000"/>
        </w:rPr>
      </w:pPr>
      <w:r w:rsidRPr="007100E7">
        <w:rPr>
          <w:rFonts w:cs="Arial"/>
          <w:b/>
          <w:bCs/>
          <w:szCs w:val="22"/>
        </w:rPr>
        <w:t>Amended item descriptor</w:t>
      </w:r>
      <w:r w:rsidRPr="007100E7">
        <w:rPr>
          <w:rFonts w:cs="Arial"/>
          <w:szCs w:val="22"/>
        </w:rPr>
        <w:t>:</w:t>
      </w:r>
      <w:r w:rsidRPr="007100E7">
        <w:rPr>
          <w:rFonts w:cs="Arial"/>
          <w:color w:val="000000"/>
        </w:rPr>
        <w:t xml:space="preserve"> A test of tumour tissue from a patient diagnosed with non</w:t>
      </w:r>
      <w:r w:rsidRPr="007100E7">
        <w:rPr>
          <w:rFonts w:cs="Arial"/>
          <w:color w:val="000000"/>
        </w:rPr>
        <w:noBreakHyphen/>
        <w:t>small cell lung cancer, shown to have non</w:t>
      </w:r>
      <w:r w:rsidRPr="007100E7">
        <w:rPr>
          <w:rFonts w:cs="Arial"/>
          <w:color w:val="000000"/>
        </w:rPr>
        <w:noBreakHyphen/>
        <w:t>squamous histology or histology not otherwise specified, requested by, or on behalf of, a specialist or consultant physician, to determine:</w:t>
      </w:r>
    </w:p>
    <w:p w14:paraId="084E2703" w14:textId="77777777" w:rsidR="00162162" w:rsidRPr="007100E7" w:rsidRDefault="00162162" w:rsidP="00162162">
      <w:pPr>
        <w:shd w:val="clear" w:color="auto" w:fill="FFFFFF"/>
        <w:spacing w:before="80" w:after="0" w:line="240" w:lineRule="auto"/>
        <w:ind w:left="342" w:hanging="356"/>
        <w:rPr>
          <w:rFonts w:cs="Arial"/>
          <w:color w:val="000000"/>
        </w:rPr>
      </w:pPr>
      <w:r w:rsidRPr="007100E7">
        <w:rPr>
          <w:rFonts w:cs="Arial"/>
          <w:color w:val="000000"/>
        </w:rPr>
        <w:t>(a)  if the requirements relating to epidermal growth factor receptor (EGFR) gene status for access to an EGFR tyrosine kinase inhibitor under the Pharmaceutical Benefits Scheme are fulfilled; or</w:t>
      </w:r>
    </w:p>
    <w:p w14:paraId="393B4BA6" w14:textId="77777777" w:rsidR="00162162" w:rsidRPr="007100E7" w:rsidRDefault="00162162" w:rsidP="00162162">
      <w:pPr>
        <w:shd w:val="clear" w:color="auto" w:fill="FFFFFF"/>
        <w:spacing w:before="80" w:after="0" w:line="240" w:lineRule="auto"/>
        <w:ind w:left="342" w:hanging="356"/>
        <w:rPr>
          <w:rFonts w:cs="Arial"/>
          <w:color w:val="000000"/>
        </w:rPr>
      </w:pPr>
      <w:r w:rsidRPr="007100E7">
        <w:rPr>
          <w:rFonts w:cs="Arial"/>
          <w:color w:val="000000"/>
        </w:rPr>
        <w:t xml:space="preserve">(b)  if the requirements relating to EGFR status for access to </w:t>
      </w:r>
      <w:r w:rsidRPr="00162162">
        <w:rPr>
          <w:rFonts w:cs="Arial"/>
          <w:b/>
          <w:bCs/>
          <w:strike/>
          <w:color w:val="auto"/>
        </w:rPr>
        <w:t xml:space="preserve">pembrolizumab </w:t>
      </w:r>
      <w:r w:rsidRPr="00162162">
        <w:rPr>
          <w:rFonts w:cs="Arial"/>
          <w:b/>
          <w:bCs/>
          <w:color w:val="auto"/>
        </w:rPr>
        <w:t xml:space="preserve">an immunotherapy listed </w:t>
      </w:r>
      <w:r w:rsidRPr="007100E7">
        <w:rPr>
          <w:rFonts w:cs="Arial"/>
          <w:color w:val="000000"/>
        </w:rPr>
        <w:t>under the Pharmaceutical Benefits Scheme are fulfilled.</w:t>
      </w:r>
    </w:p>
    <w:p w14:paraId="32D1E391" w14:textId="77777777" w:rsidR="00162162" w:rsidRPr="007100E7" w:rsidRDefault="00162162" w:rsidP="00162162">
      <w:pPr>
        <w:rPr>
          <w:rFonts w:cs="Arial"/>
          <w:szCs w:val="22"/>
        </w:rPr>
      </w:pPr>
      <w:r w:rsidRPr="007100E7">
        <w:rPr>
          <w:rFonts w:cs="Arial"/>
          <w:b/>
          <w:bCs/>
          <w:szCs w:val="22"/>
        </w:rPr>
        <w:t>Fee</w:t>
      </w:r>
      <w:r w:rsidRPr="007100E7">
        <w:rPr>
          <w:rFonts w:cs="Arial"/>
          <w:szCs w:val="22"/>
        </w:rPr>
        <w:t>:</w:t>
      </w:r>
      <w:r>
        <w:rPr>
          <w:rFonts w:cs="Arial"/>
          <w:szCs w:val="22"/>
        </w:rPr>
        <w:t xml:space="preserve"> $397.</w:t>
      </w:r>
      <w:proofErr w:type="gramStart"/>
      <w:r>
        <w:rPr>
          <w:rFonts w:cs="Arial"/>
          <w:szCs w:val="22"/>
        </w:rPr>
        <w:t>35</w:t>
      </w:r>
      <w:r w:rsidRPr="007100E7">
        <w:rPr>
          <w:rFonts w:cs="Arial"/>
          <w:szCs w:val="22"/>
        </w:rPr>
        <w:t>  </w:t>
      </w:r>
      <w:r w:rsidRPr="007100E7">
        <w:rPr>
          <w:rFonts w:cs="Arial"/>
          <w:b/>
          <w:bCs/>
          <w:szCs w:val="22"/>
        </w:rPr>
        <w:t>Benefit</w:t>
      </w:r>
      <w:proofErr w:type="gramEnd"/>
      <w:r w:rsidRPr="007100E7">
        <w:rPr>
          <w:rFonts w:cs="Arial"/>
          <w:szCs w:val="22"/>
        </w:rPr>
        <w:t>: </w:t>
      </w:r>
      <w:r w:rsidRPr="007100E7">
        <w:rPr>
          <w:rFonts w:cs="Arial"/>
          <w:b/>
          <w:bCs/>
          <w:szCs w:val="22"/>
        </w:rPr>
        <w:t>75%</w:t>
      </w:r>
      <w:r w:rsidRPr="007100E7">
        <w:rPr>
          <w:rFonts w:cs="Arial"/>
          <w:szCs w:val="22"/>
        </w:rPr>
        <w:t xml:space="preserve"> =</w:t>
      </w:r>
      <w:r>
        <w:rPr>
          <w:rFonts w:cs="Arial"/>
          <w:szCs w:val="22"/>
        </w:rPr>
        <w:t xml:space="preserve"> $298.05</w:t>
      </w:r>
      <w:r w:rsidRPr="007100E7">
        <w:rPr>
          <w:rFonts w:cs="Arial"/>
          <w:szCs w:val="22"/>
        </w:rPr>
        <w:t xml:space="preserve">  </w:t>
      </w:r>
      <w:r w:rsidRPr="007100E7">
        <w:rPr>
          <w:rFonts w:cs="Arial"/>
          <w:b/>
          <w:bCs/>
          <w:szCs w:val="22"/>
        </w:rPr>
        <w:t>85%</w:t>
      </w:r>
      <w:r w:rsidRPr="007100E7">
        <w:rPr>
          <w:rFonts w:cs="Arial"/>
          <w:szCs w:val="22"/>
        </w:rPr>
        <w:t xml:space="preserve"> = </w:t>
      </w:r>
      <w:r>
        <w:rPr>
          <w:rFonts w:cs="Arial"/>
          <w:szCs w:val="22"/>
        </w:rPr>
        <w:t>$337.75</w:t>
      </w:r>
    </w:p>
    <w:p w14:paraId="3913F75C" w14:textId="77777777" w:rsidR="00162162" w:rsidRPr="007100E7" w:rsidRDefault="00162162" w:rsidP="00162162">
      <w:pPr>
        <w:rPr>
          <w:rFonts w:cs="Arial"/>
          <w:b/>
          <w:bCs/>
          <w:szCs w:val="22"/>
        </w:rPr>
      </w:pPr>
      <w:r w:rsidRPr="007100E7">
        <w:rPr>
          <w:rFonts w:cs="Arial"/>
          <w:b/>
          <w:bCs/>
          <w:szCs w:val="22"/>
        </w:rPr>
        <w:t>Item:</w:t>
      </w:r>
      <w:r>
        <w:rPr>
          <w:rFonts w:cs="Arial"/>
          <w:b/>
          <w:bCs/>
          <w:szCs w:val="22"/>
        </w:rPr>
        <w:t xml:space="preserve"> </w:t>
      </w:r>
      <w:r w:rsidRPr="007100E7">
        <w:rPr>
          <w:rFonts w:cs="Arial"/>
          <w:szCs w:val="22"/>
        </w:rPr>
        <w:t>73341</w:t>
      </w:r>
    </w:p>
    <w:p w14:paraId="4E055B6A" w14:textId="77777777" w:rsidR="00162162" w:rsidRPr="007100E7" w:rsidRDefault="00162162" w:rsidP="00162162">
      <w:pPr>
        <w:shd w:val="clear" w:color="auto" w:fill="FFFFFF"/>
        <w:spacing w:after="0" w:line="260" w:lineRule="atLeast"/>
        <w:rPr>
          <w:rFonts w:cs="Arial"/>
          <w:color w:val="000000"/>
        </w:rPr>
      </w:pPr>
      <w:r w:rsidRPr="007100E7">
        <w:rPr>
          <w:rFonts w:cs="Arial"/>
          <w:b/>
          <w:bCs/>
          <w:szCs w:val="22"/>
        </w:rPr>
        <w:t>Amended item descriptor</w:t>
      </w:r>
      <w:r w:rsidRPr="007100E7">
        <w:rPr>
          <w:rFonts w:cs="Arial"/>
          <w:szCs w:val="22"/>
        </w:rPr>
        <w:t>:</w:t>
      </w:r>
      <w:r>
        <w:rPr>
          <w:rFonts w:cs="Arial"/>
          <w:szCs w:val="22"/>
        </w:rPr>
        <w:t xml:space="preserve"> </w:t>
      </w:r>
      <w:r w:rsidRPr="007100E7">
        <w:rPr>
          <w:rFonts w:cs="Arial"/>
          <w:color w:val="000000"/>
        </w:rPr>
        <w:t>Fluorescence in situ hybridisation (FISH) test of tumour tissue from a patient with locally advanced or metastatic non</w:t>
      </w:r>
      <w:r w:rsidRPr="007100E7">
        <w:rPr>
          <w:rFonts w:cs="Arial"/>
          <w:color w:val="000000"/>
        </w:rPr>
        <w:noBreakHyphen/>
        <w:t>small cell lung cancer, which is of non</w:t>
      </w:r>
      <w:r w:rsidRPr="007100E7">
        <w:rPr>
          <w:rFonts w:cs="Arial"/>
          <w:color w:val="000000"/>
        </w:rPr>
        <w:noBreakHyphen/>
        <w:t>squamous histology or histology not otherwise specified, with documented evidence of anaplastic lymphoma kinase (ALK) immunoreactivity by immunohistochemical (IHC) examination giving a staining intensity score &gt; 0, and with documented absence of activating mutations of the epidermal growth factor receptor (EGFR) gene, requested by a specialist or consultant physician, to determine:</w:t>
      </w:r>
    </w:p>
    <w:p w14:paraId="3E90C6ED" w14:textId="77777777" w:rsidR="00162162" w:rsidRPr="007100E7" w:rsidRDefault="00162162" w:rsidP="00162162">
      <w:pPr>
        <w:shd w:val="clear" w:color="auto" w:fill="FFFFFF"/>
        <w:spacing w:before="80" w:after="0" w:line="240" w:lineRule="auto"/>
        <w:ind w:left="342" w:hanging="342"/>
        <w:rPr>
          <w:rFonts w:cs="Arial"/>
          <w:color w:val="000000"/>
        </w:rPr>
      </w:pPr>
      <w:r w:rsidRPr="007100E7">
        <w:rPr>
          <w:rFonts w:cs="Arial"/>
          <w:color w:val="000000"/>
        </w:rPr>
        <w:t>(a)  if requirements relating to ALK gene rearrangement status for access to an anaplastic lymphoma kinase inhibitor under the Pharmaceutical Benefits Scheme are fulfilled; or</w:t>
      </w:r>
    </w:p>
    <w:p w14:paraId="532C4EA2" w14:textId="77777777" w:rsidR="00162162" w:rsidRPr="00724DB3" w:rsidRDefault="00162162" w:rsidP="00162162">
      <w:pPr>
        <w:shd w:val="clear" w:color="auto" w:fill="FFFFFF"/>
        <w:spacing w:before="80" w:after="0" w:line="240" w:lineRule="auto"/>
        <w:ind w:left="342" w:hanging="342"/>
        <w:rPr>
          <w:rFonts w:cs="Arial"/>
          <w:color w:val="000000"/>
        </w:rPr>
      </w:pPr>
      <w:r w:rsidRPr="007100E7">
        <w:rPr>
          <w:rFonts w:cs="Arial"/>
          <w:color w:val="000000"/>
        </w:rPr>
        <w:t xml:space="preserve">(b) if requirements relating to ALK status for access to </w:t>
      </w:r>
      <w:r w:rsidRPr="00162162">
        <w:rPr>
          <w:rFonts w:cs="Arial"/>
          <w:b/>
          <w:bCs/>
          <w:strike/>
          <w:color w:val="auto"/>
        </w:rPr>
        <w:t>pembrolizumab</w:t>
      </w:r>
      <w:r w:rsidRPr="00162162">
        <w:rPr>
          <w:rFonts w:cs="Arial"/>
          <w:b/>
          <w:bCs/>
          <w:color w:val="auto"/>
        </w:rPr>
        <w:t xml:space="preserve"> an immunotherapy listed</w:t>
      </w:r>
      <w:r w:rsidRPr="00162162">
        <w:rPr>
          <w:rFonts w:cs="Arial"/>
          <w:color w:val="auto"/>
        </w:rPr>
        <w:t xml:space="preserve"> </w:t>
      </w:r>
      <w:r w:rsidRPr="007100E7">
        <w:rPr>
          <w:rFonts w:cs="Arial"/>
          <w:color w:val="000000"/>
        </w:rPr>
        <w:t>under the Pharmaceutical Benefits Scheme are fulfilled.</w:t>
      </w:r>
    </w:p>
    <w:p w14:paraId="65D18334" w14:textId="77777777" w:rsidR="00162162" w:rsidRPr="007100E7" w:rsidRDefault="00162162" w:rsidP="00162162">
      <w:pPr>
        <w:rPr>
          <w:rFonts w:cs="Arial"/>
        </w:rPr>
      </w:pPr>
      <w:r w:rsidRPr="007100E7">
        <w:rPr>
          <w:rFonts w:cs="Arial"/>
          <w:b/>
          <w:bCs/>
          <w:szCs w:val="22"/>
        </w:rPr>
        <w:t>Fee</w:t>
      </w:r>
      <w:r w:rsidRPr="007100E7">
        <w:rPr>
          <w:rFonts w:cs="Arial"/>
          <w:szCs w:val="22"/>
        </w:rPr>
        <w:t>:</w:t>
      </w:r>
      <w:r>
        <w:rPr>
          <w:rFonts w:cs="Arial"/>
          <w:szCs w:val="22"/>
        </w:rPr>
        <w:t xml:space="preserve"> $400.</w:t>
      </w:r>
      <w:proofErr w:type="gramStart"/>
      <w:r>
        <w:rPr>
          <w:rFonts w:cs="Arial"/>
          <w:szCs w:val="22"/>
        </w:rPr>
        <w:t>00</w:t>
      </w:r>
      <w:r w:rsidRPr="007100E7">
        <w:rPr>
          <w:rFonts w:cs="Arial"/>
          <w:szCs w:val="22"/>
        </w:rPr>
        <w:t>  </w:t>
      </w:r>
      <w:r w:rsidRPr="007100E7">
        <w:rPr>
          <w:rFonts w:cs="Arial"/>
          <w:b/>
          <w:bCs/>
          <w:szCs w:val="22"/>
        </w:rPr>
        <w:t>Benefit</w:t>
      </w:r>
      <w:proofErr w:type="gramEnd"/>
      <w:r w:rsidRPr="007100E7">
        <w:rPr>
          <w:rFonts w:cs="Arial"/>
          <w:szCs w:val="22"/>
        </w:rPr>
        <w:t>: </w:t>
      </w:r>
      <w:r w:rsidRPr="007100E7">
        <w:rPr>
          <w:rFonts w:cs="Arial"/>
          <w:b/>
          <w:bCs/>
          <w:szCs w:val="22"/>
        </w:rPr>
        <w:t>75%</w:t>
      </w:r>
      <w:r w:rsidRPr="007100E7">
        <w:rPr>
          <w:rFonts w:cs="Arial"/>
          <w:szCs w:val="22"/>
        </w:rPr>
        <w:t xml:space="preserve"> = $</w:t>
      </w:r>
      <w:r>
        <w:rPr>
          <w:rFonts w:cs="Arial"/>
          <w:szCs w:val="22"/>
        </w:rPr>
        <w:t>$300.00</w:t>
      </w:r>
      <w:r w:rsidRPr="007100E7">
        <w:rPr>
          <w:rFonts w:cs="Arial"/>
          <w:szCs w:val="22"/>
        </w:rPr>
        <w:t xml:space="preserve"> </w:t>
      </w:r>
      <w:r w:rsidRPr="007100E7">
        <w:rPr>
          <w:rFonts w:cs="Arial"/>
          <w:b/>
          <w:bCs/>
          <w:szCs w:val="22"/>
        </w:rPr>
        <w:t>85%</w:t>
      </w:r>
      <w:r w:rsidRPr="007100E7">
        <w:rPr>
          <w:rFonts w:cs="Arial"/>
          <w:szCs w:val="22"/>
        </w:rPr>
        <w:t xml:space="preserve"> = </w:t>
      </w:r>
      <w:r>
        <w:rPr>
          <w:rFonts w:cs="Arial"/>
          <w:szCs w:val="22"/>
        </w:rPr>
        <w:t>$340.00</w:t>
      </w:r>
    </w:p>
    <w:p w14:paraId="5EE97E96" w14:textId="786B8457" w:rsidR="00162162" w:rsidRPr="007100E7" w:rsidRDefault="00162162" w:rsidP="006A0313">
      <w:pPr>
        <w:spacing w:before="0" w:after="0" w:line="240" w:lineRule="auto"/>
        <w:rPr>
          <w:rFonts w:cs="Arial"/>
          <w:b/>
          <w:bCs/>
          <w:szCs w:val="22"/>
        </w:rPr>
      </w:pPr>
      <w:r w:rsidRPr="007100E7">
        <w:rPr>
          <w:rFonts w:cs="Arial"/>
          <w:b/>
          <w:bCs/>
          <w:szCs w:val="22"/>
        </w:rPr>
        <w:t>Item:</w:t>
      </w:r>
      <w:r>
        <w:rPr>
          <w:rFonts w:cs="Arial"/>
          <w:b/>
          <w:bCs/>
          <w:szCs w:val="22"/>
        </w:rPr>
        <w:t xml:space="preserve"> </w:t>
      </w:r>
      <w:r w:rsidRPr="007100E7">
        <w:rPr>
          <w:rFonts w:cs="Arial"/>
          <w:szCs w:val="22"/>
        </w:rPr>
        <w:t>73344</w:t>
      </w:r>
    </w:p>
    <w:p w14:paraId="3EAA26EB" w14:textId="77777777" w:rsidR="00162162" w:rsidRPr="007100E7" w:rsidRDefault="00162162" w:rsidP="00162162">
      <w:pPr>
        <w:shd w:val="clear" w:color="auto" w:fill="FFFFFF"/>
        <w:spacing w:after="0" w:line="260" w:lineRule="atLeast"/>
        <w:rPr>
          <w:rFonts w:cs="Arial"/>
          <w:color w:val="000000"/>
        </w:rPr>
      </w:pPr>
      <w:r w:rsidRPr="007100E7">
        <w:rPr>
          <w:rFonts w:cs="Arial"/>
          <w:b/>
          <w:bCs/>
          <w:szCs w:val="22"/>
        </w:rPr>
        <w:t>Amended item descriptor</w:t>
      </w:r>
      <w:r w:rsidRPr="007100E7">
        <w:rPr>
          <w:rFonts w:cs="Arial"/>
          <w:szCs w:val="22"/>
        </w:rPr>
        <w:t>:</w:t>
      </w:r>
      <w:r w:rsidRPr="007100E7">
        <w:rPr>
          <w:rFonts w:cs="Arial"/>
          <w:color w:val="000000"/>
        </w:rPr>
        <w:t xml:space="preserve"> Fluorescence in situ hybridization (FISH) test of tumour tissue from a patient with locally advanced or metastatic non</w:t>
      </w:r>
      <w:r w:rsidRPr="007100E7">
        <w:rPr>
          <w:rFonts w:cs="Arial"/>
          <w:color w:val="000000"/>
        </w:rPr>
        <w:noBreakHyphen/>
        <w:t>small</w:t>
      </w:r>
      <w:r w:rsidRPr="007100E7">
        <w:rPr>
          <w:rFonts w:cs="Arial"/>
          <w:color w:val="000000"/>
        </w:rPr>
        <w:noBreakHyphen/>
        <w:t>cell lung cancer, which is of non</w:t>
      </w:r>
      <w:r w:rsidRPr="007100E7">
        <w:rPr>
          <w:rFonts w:cs="Arial"/>
          <w:color w:val="000000"/>
        </w:rPr>
        <w:noBreakHyphen/>
        <w:t>squamous histology or histology not otherwise specified, with documented evidence of ROS proto</w:t>
      </w:r>
      <w:r w:rsidRPr="007100E7">
        <w:rPr>
          <w:rFonts w:cs="Arial"/>
          <w:color w:val="000000"/>
        </w:rPr>
        <w:noBreakHyphen/>
        <w:t>oncogene 1 (ROS1)  immunoreactivity by immunohistochemical (IHC) examination giving a staining intensity score of 2+ or 3+; and with documented absence of both activating mutations of the epidermal growth factor receptor (EGFR) gene and anaplastic lymphoma kinase (ALK) immunoreactivity by IHC, requested by a specialist or consultant physician, to determine:</w:t>
      </w:r>
    </w:p>
    <w:p w14:paraId="20A3EAD4" w14:textId="77777777" w:rsidR="00162162" w:rsidRPr="007100E7" w:rsidRDefault="00162162" w:rsidP="00162162">
      <w:pPr>
        <w:shd w:val="clear" w:color="auto" w:fill="FFFFFF"/>
        <w:spacing w:before="80" w:after="0" w:line="240" w:lineRule="auto"/>
        <w:ind w:left="342" w:hanging="356"/>
        <w:rPr>
          <w:rFonts w:cs="Arial"/>
          <w:color w:val="000000"/>
        </w:rPr>
      </w:pPr>
      <w:r w:rsidRPr="007100E7">
        <w:rPr>
          <w:rFonts w:cs="Arial"/>
          <w:color w:val="000000"/>
        </w:rPr>
        <w:lastRenderedPageBreak/>
        <w:t xml:space="preserve">(a)  if requirements relating to ROS1 gene arrangement status for access to </w:t>
      </w:r>
      <w:proofErr w:type="spellStart"/>
      <w:r w:rsidRPr="007100E7">
        <w:rPr>
          <w:rFonts w:cs="Arial"/>
          <w:color w:val="000000"/>
        </w:rPr>
        <w:t>crizotinib</w:t>
      </w:r>
      <w:proofErr w:type="spellEnd"/>
      <w:r w:rsidRPr="007100E7">
        <w:rPr>
          <w:rFonts w:cs="Arial"/>
          <w:color w:val="000000"/>
        </w:rPr>
        <w:t xml:space="preserve"> or </w:t>
      </w:r>
      <w:proofErr w:type="spellStart"/>
      <w:r w:rsidRPr="007100E7">
        <w:rPr>
          <w:rFonts w:cs="Arial"/>
          <w:color w:val="000000"/>
        </w:rPr>
        <w:t>entrectinib</w:t>
      </w:r>
      <w:proofErr w:type="spellEnd"/>
      <w:r w:rsidRPr="007100E7">
        <w:rPr>
          <w:rFonts w:cs="Arial"/>
          <w:color w:val="000000"/>
        </w:rPr>
        <w:t xml:space="preserve"> under the Pharmaceutical Benefits Scheme are fulfilled; or</w:t>
      </w:r>
    </w:p>
    <w:p w14:paraId="4B74783E" w14:textId="77777777" w:rsidR="00162162" w:rsidRPr="00724DB3" w:rsidRDefault="00162162" w:rsidP="00162162">
      <w:pPr>
        <w:shd w:val="clear" w:color="auto" w:fill="FFFFFF"/>
        <w:spacing w:before="80" w:after="0" w:line="240" w:lineRule="auto"/>
        <w:ind w:left="342" w:hanging="356"/>
        <w:rPr>
          <w:rFonts w:cs="Arial"/>
          <w:color w:val="000000"/>
        </w:rPr>
      </w:pPr>
      <w:r w:rsidRPr="007100E7">
        <w:rPr>
          <w:rFonts w:cs="Arial"/>
          <w:color w:val="000000"/>
        </w:rPr>
        <w:t xml:space="preserve">(b)  if requirements relating to ROS1 status for access to </w:t>
      </w:r>
      <w:r w:rsidRPr="00162162">
        <w:rPr>
          <w:rFonts w:cs="Arial"/>
          <w:b/>
          <w:bCs/>
          <w:strike/>
          <w:color w:val="auto"/>
        </w:rPr>
        <w:t>pembrolizumab</w:t>
      </w:r>
      <w:r w:rsidRPr="00162162">
        <w:rPr>
          <w:rFonts w:cs="Arial"/>
          <w:b/>
          <w:bCs/>
          <w:color w:val="auto"/>
        </w:rPr>
        <w:t xml:space="preserve"> an immunotherapy listed</w:t>
      </w:r>
      <w:r w:rsidRPr="00162162">
        <w:rPr>
          <w:rFonts w:cs="Arial"/>
          <w:color w:val="auto"/>
        </w:rPr>
        <w:t xml:space="preserve"> </w:t>
      </w:r>
      <w:r w:rsidRPr="007100E7">
        <w:rPr>
          <w:rFonts w:cs="Arial"/>
          <w:color w:val="000000"/>
        </w:rPr>
        <w:t>under the Pharmaceutical Benefits Scheme are fulfilled.</w:t>
      </w:r>
    </w:p>
    <w:p w14:paraId="4E35C953" w14:textId="77777777" w:rsidR="00162162" w:rsidRDefault="00162162" w:rsidP="00162162">
      <w:pPr>
        <w:rPr>
          <w:rFonts w:cs="Arial"/>
          <w:szCs w:val="22"/>
        </w:rPr>
      </w:pPr>
      <w:r w:rsidRPr="007100E7">
        <w:rPr>
          <w:rFonts w:cs="Arial"/>
          <w:b/>
          <w:bCs/>
          <w:szCs w:val="22"/>
        </w:rPr>
        <w:t>Fee</w:t>
      </w:r>
      <w:r w:rsidRPr="007100E7">
        <w:rPr>
          <w:rFonts w:cs="Arial"/>
          <w:szCs w:val="22"/>
        </w:rPr>
        <w:t>:</w:t>
      </w:r>
      <w:r>
        <w:rPr>
          <w:rFonts w:cs="Arial"/>
          <w:szCs w:val="22"/>
        </w:rPr>
        <w:t xml:space="preserve"> $400.</w:t>
      </w:r>
      <w:proofErr w:type="gramStart"/>
      <w:r>
        <w:rPr>
          <w:rFonts w:cs="Arial"/>
          <w:szCs w:val="22"/>
        </w:rPr>
        <w:t>00</w:t>
      </w:r>
      <w:r w:rsidRPr="007100E7">
        <w:rPr>
          <w:rFonts w:cs="Arial"/>
          <w:szCs w:val="22"/>
        </w:rPr>
        <w:t>  </w:t>
      </w:r>
      <w:r w:rsidRPr="007100E7">
        <w:rPr>
          <w:rFonts w:cs="Arial"/>
          <w:b/>
          <w:bCs/>
          <w:szCs w:val="22"/>
        </w:rPr>
        <w:t>Benefit</w:t>
      </w:r>
      <w:proofErr w:type="gramEnd"/>
      <w:r w:rsidRPr="007100E7">
        <w:rPr>
          <w:rFonts w:cs="Arial"/>
          <w:szCs w:val="22"/>
        </w:rPr>
        <w:t>: </w:t>
      </w:r>
      <w:r w:rsidRPr="007100E7">
        <w:rPr>
          <w:rFonts w:cs="Arial"/>
          <w:b/>
          <w:bCs/>
          <w:szCs w:val="22"/>
        </w:rPr>
        <w:t>75%</w:t>
      </w:r>
      <w:r w:rsidRPr="007100E7">
        <w:rPr>
          <w:rFonts w:cs="Arial"/>
          <w:szCs w:val="22"/>
        </w:rPr>
        <w:t xml:space="preserve"> = $</w:t>
      </w:r>
      <w:r>
        <w:rPr>
          <w:rFonts w:cs="Arial"/>
          <w:szCs w:val="22"/>
        </w:rPr>
        <w:t>300.00</w:t>
      </w:r>
      <w:r w:rsidRPr="007100E7">
        <w:rPr>
          <w:rFonts w:cs="Arial"/>
          <w:szCs w:val="22"/>
        </w:rPr>
        <w:t xml:space="preserve"> </w:t>
      </w:r>
      <w:r w:rsidRPr="007100E7">
        <w:rPr>
          <w:rFonts w:cs="Arial"/>
          <w:b/>
          <w:bCs/>
          <w:szCs w:val="22"/>
        </w:rPr>
        <w:t>85%</w:t>
      </w:r>
      <w:r w:rsidRPr="007100E7">
        <w:rPr>
          <w:rFonts w:cs="Arial"/>
          <w:szCs w:val="22"/>
        </w:rPr>
        <w:t xml:space="preserve"> = </w:t>
      </w:r>
      <w:r>
        <w:rPr>
          <w:rFonts w:cs="Arial"/>
          <w:szCs w:val="22"/>
        </w:rPr>
        <w:t>$340.00</w:t>
      </w:r>
    </w:p>
    <w:p w14:paraId="1693141E" w14:textId="77777777" w:rsidR="004C3BDA" w:rsidRPr="009040E9" w:rsidRDefault="004C3BDA" w:rsidP="004C3BDA">
      <w:pPr>
        <w:pStyle w:val="Tabletextleft"/>
      </w:pPr>
    </w:p>
    <w:p w14:paraId="23779253" w14:textId="77777777" w:rsidR="004C3BDA" w:rsidRPr="009040E9" w:rsidRDefault="004C3BDA" w:rsidP="004C3BDA">
      <w:pPr>
        <w:pStyle w:val="Tabletextleft"/>
      </w:pPr>
    </w:p>
    <w:p w14:paraId="6830F43C" w14:textId="77777777" w:rsidR="00280050" w:rsidRDefault="00280050"/>
    <w:sectPr w:rsidR="00280050" w:rsidSect="004C3BDA">
      <w:headerReference w:type="default" r:id="rId16"/>
      <w:footerReference w:type="default" r:id="rId17"/>
      <w:headerReference w:type="first" r:id="rId18"/>
      <w:footerReference w:type="first" r:id="rId19"/>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9913F" w14:textId="77777777" w:rsidR="00BC1FAC" w:rsidRDefault="00BC1FAC" w:rsidP="00BC1FAC">
      <w:pPr>
        <w:spacing w:before="0" w:after="0" w:line="240" w:lineRule="auto"/>
      </w:pPr>
      <w:r>
        <w:separator/>
      </w:r>
    </w:p>
  </w:endnote>
  <w:endnote w:type="continuationSeparator" w:id="0">
    <w:p w14:paraId="44E6C584" w14:textId="77777777" w:rsidR="00BC1FAC" w:rsidRDefault="00BC1FAC" w:rsidP="00BC1FA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7913D" w14:textId="77777777" w:rsidR="00F51321" w:rsidRDefault="00596442" w:rsidP="00F51321">
    <w:pPr>
      <w:pStyle w:val="Footer"/>
      <w:jc w:val="left"/>
    </w:pPr>
    <w:r>
      <w:rPr>
        <w:rStyle w:val="BookTitle"/>
        <w:rFonts w:eastAsiaTheme="minorEastAsia"/>
        <w:noProof/>
      </w:rPr>
      <w:pict w14:anchorId="3D35424F">
        <v:rect id="_x0000_i1025" style="width:523.3pt;height:1.9pt" o:hralign="center" o:hrstd="t" o:hr="t" fillcolor="#a0a0a0" stroked="f"/>
      </w:pict>
    </w:r>
    <w:r w:rsidR="00CA5C35">
      <w:t>Medicare Benefits Schedule</w:t>
    </w:r>
  </w:p>
  <w:p w14:paraId="0E1B779A" w14:textId="77777777" w:rsidR="00F51321" w:rsidRDefault="00CA5C35" w:rsidP="002B339B">
    <w:pPr>
      <w:pStyle w:val="Footer"/>
      <w:tabs>
        <w:tab w:val="clear" w:pos="9026"/>
        <w:tab w:val="right" w:pos="10466"/>
      </w:tabs>
      <w:jc w:val="left"/>
    </w:pPr>
    <w:r w:rsidRPr="008A3107">
      <w:rPr>
        <w:b/>
      </w:rPr>
      <w:t xml:space="preserve">1 November 2022 amendments to MBS items 73337, 73341 and </w:t>
    </w:r>
    <w:proofErr w:type="gramStart"/>
    <w:r w:rsidRPr="008A3107">
      <w:rPr>
        <w:b/>
      </w:rPr>
      <w:t xml:space="preserve">73344 </w:t>
    </w:r>
    <w:r w:rsidRPr="00E863C4">
      <w:rPr>
        <w:b/>
      </w:rPr>
      <w:t xml:space="preserve"> –</w:t>
    </w:r>
    <w:proofErr w:type="gramEnd"/>
    <w:r w:rsidRPr="00E863C4">
      <w:rPr>
        <w:b/>
      </w:rPr>
      <w:t xml:space="preserve"> </w:t>
    </w:r>
    <w:r>
      <w:rPr>
        <w:b/>
      </w:rPr>
      <w:t>Factsheet</w:t>
    </w:r>
    <w:r w:rsidRPr="00E863C4">
      <w:t xml:space="preserve"> </w:t>
    </w:r>
    <w:sdt>
      <w:sdtPr>
        <w:id w:val="-1817632189"/>
        <w:docPartObj>
          <w:docPartGallery w:val="Page Numbers (Bottom of Page)"/>
          <w:docPartUnique/>
        </w:docPartObj>
      </w:sdtPr>
      <w:sdtEndPr>
        <w:rPr>
          <w:noProof/>
        </w:rPr>
      </w:sdtEndPr>
      <w:sdtContent>
        <w:r>
          <w:tab/>
        </w:r>
        <w:sdt>
          <w:sdtPr>
            <w:id w:val="-1127629339"/>
            <w:docPartObj>
              <w:docPartGallery w:val="Page Numbers (Bottom of Page)"/>
              <w:docPartUnique/>
            </w:docPartObj>
          </w:sdtPr>
          <w:sdtEndPr/>
          <w:sdtContent>
            <w:sdt>
              <w:sdtPr>
                <w:id w:val="1762873439"/>
                <w:docPartObj>
                  <w:docPartGallery w:val="Page Numbers (Top of Page)"/>
                  <w:docPartUnique/>
                </w:docPartObj>
              </w:sdtPr>
              <w:sdtEndPr/>
              <w:sdtContent>
                <w:r w:rsidRPr="00F546CA">
                  <w:t xml:space="preserve">Page </w:t>
                </w:r>
                <w:r w:rsidRPr="00F546CA">
                  <w:rPr>
                    <w:bCs/>
                    <w:sz w:val="24"/>
                  </w:rPr>
                  <w:fldChar w:fldCharType="begin"/>
                </w:r>
                <w:r w:rsidRPr="00F546CA">
                  <w:rPr>
                    <w:bCs/>
                  </w:rPr>
                  <w:instrText xml:space="preserve"> PAGE </w:instrText>
                </w:r>
                <w:r w:rsidRPr="00F546CA">
                  <w:rPr>
                    <w:bCs/>
                    <w:sz w:val="24"/>
                  </w:rPr>
                  <w:fldChar w:fldCharType="separate"/>
                </w:r>
                <w:r>
                  <w:rPr>
                    <w:bCs/>
                    <w:sz w:val="24"/>
                  </w:rPr>
                  <w:t>1</w:t>
                </w:r>
                <w:r w:rsidRPr="00F546CA">
                  <w:rPr>
                    <w:bCs/>
                    <w:sz w:val="24"/>
                  </w:rPr>
                  <w:fldChar w:fldCharType="end"/>
                </w:r>
                <w:r w:rsidRPr="00F546CA">
                  <w:t xml:space="preserve"> of </w:t>
                </w:r>
                <w:r w:rsidRPr="00F546CA">
                  <w:rPr>
                    <w:bCs/>
                    <w:sz w:val="24"/>
                  </w:rPr>
                  <w:fldChar w:fldCharType="begin"/>
                </w:r>
                <w:r w:rsidRPr="00F546CA">
                  <w:rPr>
                    <w:bCs/>
                  </w:rPr>
                  <w:instrText xml:space="preserve"> NUMPAGES  </w:instrText>
                </w:r>
                <w:r w:rsidRPr="00F546CA">
                  <w:rPr>
                    <w:bCs/>
                    <w:sz w:val="24"/>
                  </w:rPr>
                  <w:fldChar w:fldCharType="separate"/>
                </w:r>
                <w:r>
                  <w:rPr>
                    <w:bCs/>
                    <w:sz w:val="24"/>
                  </w:rPr>
                  <w:t>1</w:t>
                </w:r>
                <w:r w:rsidRPr="00F546CA">
                  <w:rPr>
                    <w:bCs/>
                    <w:sz w:val="24"/>
                  </w:rPr>
                  <w:fldChar w:fldCharType="end"/>
                </w:r>
              </w:sdtContent>
            </w:sdt>
          </w:sdtContent>
        </w:sdt>
        <w:r>
          <w:t xml:space="preserve"> </w:t>
        </w:r>
      </w:sdtContent>
    </w:sdt>
  </w:p>
  <w:p w14:paraId="4EC80964" w14:textId="77777777" w:rsidR="00F51321" w:rsidRDefault="00596442" w:rsidP="00F51321">
    <w:pPr>
      <w:pStyle w:val="Footer"/>
      <w:jc w:val="left"/>
      <w:rPr>
        <w:rStyle w:val="Hyperlink"/>
        <w:szCs w:val="18"/>
      </w:rPr>
    </w:pPr>
    <w:hyperlink r:id="rId1" w:history="1">
      <w:r w:rsidR="00CA5C35" w:rsidRPr="00E863C4">
        <w:rPr>
          <w:rStyle w:val="Hyperlink"/>
          <w:szCs w:val="18"/>
        </w:rPr>
        <w:t>MBS Online</w:t>
      </w:r>
    </w:hyperlink>
  </w:p>
  <w:p w14:paraId="6B1D0EE0" w14:textId="77777777" w:rsidR="00F51321" w:rsidRPr="009B32BA" w:rsidRDefault="00CA5C35" w:rsidP="00F51321">
    <w:pPr>
      <w:pStyle w:val="Footer"/>
      <w:jc w:val="left"/>
      <w:rPr>
        <w:szCs w:val="18"/>
      </w:rPr>
    </w:pPr>
    <w:r w:rsidRPr="00870B05">
      <w:t>Last updated</w:t>
    </w:r>
    <w:r>
      <w:t xml:space="preserve"> – 20 October 2022</w:t>
    </w:r>
  </w:p>
  <w:p w14:paraId="54D0A780" w14:textId="77777777" w:rsidR="00CB03B8" w:rsidRPr="00F51321" w:rsidRDefault="00596442"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173A3" w14:textId="77777777" w:rsidR="00064168" w:rsidRDefault="00596442" w:rsidP="00064168">
    <w:pPr>
      <w:pStyle w:val="Footer"/>
      <w:jc w:val="left"/>
    </w:pPr>
    <w:r>
      <w:rPr>
        <w:rStyle w:val="BookTitle"/>
        <w:rFonts w:eastAsiaTheme="minorEastAsia"/>
        <w:noProof/>
      </w:rPr>
      <w:pict w14:anchorId="3F3DA777">
        <v:rect id="_x0000_i1026" style="width:523.3pt;height:1.9pt" o:hralign="center" o:hrstd="t" o:hr="t" fillcolor="#a0a0a0" stroked="f"/>
      </w:pict>
    </w:r>
    <w:r w:rsidR="00CA5C35">
      <w:t>Medicare Benefits Schedule</w:t>
    </w:r>
  </w:p>
  <w:p w14:paraId="5D0E14B9" w14:textId="77777777" w:rsidR="00064168" w:rsidRDefault="00CA5C35" w:rsidP="002B339B">
    <w:pPr>
      <w:pStyle w:val="Footer"/>
      <w:tabs>
        <w:tab w:val="clear" w:pos="9026"/>
        <w:tab w:val="right" w:pos="10466"/>
      </w:tabs>
      <w:jc w:val="left"/>
    </w:pPr>
    <w:r w:rsidRPr="008A3107">
      <w:rPr>
        <w:b/>
      </w:rPr>
      <w:t>1 November 2022 amendments to MBS items 73337, 73341 and 73344</w:t>
    </w:r>
    <w:r w:rsidRPr="00E863C4">
      <w:rPr>
        <w:b/>
      </w:rPr>
      <w:t xml:space="preserve"> – </w:t>
    </w:r>
    <w:r>
      <w:rPr>
        <w:b/>
      </w:rPr>
      <w:t>Factsheet</w:t>
    </w:r>
    <w:r w:rsidRPr="00E863C4">
      <w:t xml:space="preserve"> </w:t>
    </w:r>
    <w:sdt>
      <w:sdtPr>
        <w:id w:val="960607005"/>
        <w:docPartObj>
          <w:docPartGallery w:val="Page Numbers (Bottom of Page)"/>
          <w:docPartUnique/>
        </w:docPartObj>
      </w:sdtPr>
      <w:sdtEndPr>
        <w:rPr>
          <w:noProof/>
        </w:rPr>
      </w:sdtEndPr>
      <w:sdtContent>
        <w:r>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Pr="00F546CA">
                  <w:t xml:space="preserve">Page </w:t>
                </w:r>
                <w:r w:rsidRPr="00F546CA">
                  <w:rPr>
                    <w:bCs/>
                    <w:sz w:val="24"/>
                  </w:rPr>
                  <w:fldChar w:fldCharType="begin"/>
                </w:r>
                <w:r w:rsidRPr="00F546CA">
                  <w:rPr>
                    <w:bCs/>
                  </w:rPr>
                  <w:instrText xml:space="preserve"> PAGE </w:instrText>
                </w:r>
                <w:r w:rsidRPr="00F546CA">
                  <w:rPr>
                    <w:bCs/>
                    <w:sz w:val="24"/>
                  </w:rPr>
                  <w:fldChar w:fldCharType="separate"/>
                </w:r>
                <w:r>
                  <w:rPr>
                    <w:bCs/>
                    <w:sz w:val="24"/>
                  </w:rPr>
                  <w:t>1</w:t>
                </w:r>
                <w:r w:rsidRPr="00F546CA">
                  <w:rPr>
                    <w:bCs/>
                    <w:sz w:val="24"/>
                  </w:rPr>
                  <w:fldChar w:fldCharType="end"/>
                </w:r>
                <w:r w:rsidRPr="00F546CA">
                  <w:t xml:space="preserve"> of </w:t>
                </w:r>
                <w:r w:rsidRPr="00F546CA">
                  <w:rPr>
                    <w:bCs/>
                    <w:sz w:val="24"/>
                  </w:rPr>
                  <w:fldChar w:fldCharType="begin"/>
                </w:r>
                <w:r w:rsidRPr="00F546CA">
                  <w:rPr>
                    <w:bCs/>
                  </w:rPr>
                  <w:instrText xml:space="preserve"> NUMPAGES  </w:instrText>
                </w:r>
                <w:r w:rsidRPr="00F546CA">
                  <w:rPr>
                    <w:bCs/>
                    <w:sz w:val="24"/>
                  </w:rPr>
                  <w:fldChar w:fldCharType="separate"/>
                </w:r>
                <w:r>
                  <w:rPr>
                    <w:bCs/>
                    <w:sz w:val="24"/>
                  </w:rPr>
                  <w:t>1</w:t>
                </w:r>
                <w:r w:rsidRPr="00F546CA">
                  <w:rPr>
                    <w:bCs/>
                    <w:sz w:val="24"/>
                  </w:rPr>
                  <w:fldChar w:fldCharType="end"/>
                </w:r>
              </w:sdtContent>
            </w:sdt>
          </w:sdtContent>
        </w:sdt>
        <w:r>
          <w:t xml:space="preserve"> </w:t>
        </w:r>
      </w:sdtContent>
    </w:sdt>
  </w:p>
  <w:p w14:paraId="003DD541" w14:textId="77777777" w:rsidR="00064168" w:rsidRDefault="00596442" w:rsidP="00064168">
    <w:pPr>
      <w:pStyle w:val="Footer"/>
      <w:jc w:val="left"/>
      <w:rPr>
        <w:rStyle w:val="Hyperlink"/>
        <w:szCs w:val="18"/>
      </w:rPr>
    </w:pPr>
    <w:hyperlink r:id="rId1" w:history="1">
      <w:r w:rsidR="00CA5C35" w:rsidRPr="00E863C4">
        <w:rPr>
          <w:rStyle w:val="Hyperlink"/>
          <w:szCs w:val="18"/>
        </w:rPr>
        <w:t>MBS Online</w:t>
      </w:r>
    </w:hyperlink>
  </w:p>
  <w:p w14:paraId="5F2ABC22" w14:textId="77777777" w:rsidR="00064168" w:rsidRPr="009B32BA" w:rsidRDefault="00CA5C35" w:rsidP="00064168">
    <w:pPr>
      <w:pStyle w:val="Footer"/>
      <w:jc w:val="left"/>
      <w:rPr>
        <w:szCs w:val="18"/>
      </w:rPr>
    </w:pPr>
    <w:r w:rsidRPr="00870B05">
      <w:t>Last updated</w:t>
    </w:r>
    <w:r>
      <w:t xml:space="preserve"> – 20 October 2022</w:t>
    </w:r>
  </w:p>
  <w:p w14:paraId="058053ED" w14:textId="77777777" w:rsidR="00CB03B8" w:rsidRPr="00064168" w:rsidRDefault="00596442"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70BFE" w14:textId="77777777" w:rsidR="00BC1FAC" w:rsidRDefault="00BC1FAC" w:rsidP="00BC1FAC">
      <w:pPr>
        <w:spacing w:before="0" w:after="0" w:line="240" w:lineRule="auto"/>
      </w:pPr>
      <w:r>
        <w:separator/>
      </w:r>
    </w:p>
  </w:footnote>
  <w:footnote w:type="continuationSeparator" w:id="0">
    <w:p w14:paraId="7500252F" w14:textId="77777777" w:rsidR="00BC1FAC" w:rsidRDefault="00BC1FAC" w:rsidP="00BC1FA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E671C" w14:textId="77777777" w:rsidR="008E0C77" w:rsidRDefault="00596442" w:rsidP="008E0C77">
    <w:pPr>
      <w:pStyle w:val="Headertext"/>
      <w:spacing w:after="180"/>
      <w:jc w:val="left"/>
    </w:pPr>
  </w:p>
  <w:p w14:paraId="49D65FB5" w14:textId="77777777" w:rsidR="00CB03B8" w:rsidRDefault="005964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BB9ED" w14:textId="77777777" w:rsidR="00B53987" w:rsidRDefault="00CA5C35">
    <w:pPr>
      <w:pStyle w:val="Header"/>
    </w:pPr>
    <w:r>
      <w:rPr>
        <w:noProof/>
        <w:lang w:eastAsia="en-AU"/>
      </w:rPr>
      <w:drawing>
        <wp:inline distT="0" distB="0" distL="0" distR="0" wp14:anchorId="1EEA69D0" wp14:editId="21EA005E">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BDA"/>
    <w:rsid w:val="00162162"/>
    <w:rsid w:val="00280050"/>
    <w:rsid w:val="004C3BDA"/>
    <w:rsid w:val="006A0313"/>
    <w:rsid w:val="00A357B2"/>
    <w:rsid w:val="00BC1FAC"/>
    <w:rsid w:val="00C67042"/>
    <w:rsid w:val="00CA5C35"/>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4:docId w14:val="2FA8C1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C3BDA"/>
    <w:pPr>
      <w:spacing w:before="120" w:after="120" w:line="276" w:lineRule="auto"/>
    </w:pPr>
    <w:rPr>
      <w:rFonts w:ascii="Arial" w:eastAsia="Times New Roman" w:hAnsi="Arial"/>
      <w:color w:val="000000" w:themeColor="text1"/>
      <w:sz w:val="22"/>
    </w:rPr>
  </w:style>
  <w:style w:type="paragraph" w:styleId="Heading2">
    <w:name w:val="heading 2"/>
    <w:next w:val="Normal"/>
    <w:link w:val="Heading2Char"/>
    <w:uiPriority w:val="9"/>
    <w:qFormat/>
    <w:rsid w:val="004C3BDA"/>
    <w:pPr>
      <w:keepNext/>
      <w:spacing w:before="240" w:after="60" w:line="240" w:lineRule="auto"/>
      <w:outlineLvl w:val="1"/>
    </w:pPr>
    <w:rPr>
      <w:rFonts w:ascii="Arial" w:eastAsia="Times New Roman" w:hAnsi="Arial" w:cs="Arial"/>
      <w:b/>
      <w:bCs/>
      <w:iCs/>
      <w:color w:val="358189"/>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3BDA"/>
    <w:rPr>
      <w:rFonts w:ascii="Arial" w:eastAsia="Times New Roman" w:hAnsi="Arial" w:cs="Arial"/>
      <w:b/>
      <w:bCs/>
      <w:iCs/>
      <w:color w:val="358189"/>
      <w:sz w:val="36"/>
      <w:szCs w:val="28"/>
    </w:rPr>
  </w:style>
  <w:style w:type="paragraph" w:styleId="Title">
    <w:name w:val="Title"/>
    <w:next w:val="Normal"/>
    <w:link w:val="TitleChar"/>
    <w:qFormat/>
    <w:rsid w:val="004C3BDA"/>
    <w:pPr>
      <w:spacing w:before="360" w:after="120" w:line="240" w:lineRule="auto"/>
      <w:contextualSpacing/>
    </w:pPr>
    <w:rPr>
      <w:rFonts w:ascii="Arial" w:eastAsiaTheme="majorEastAsia" w:hAnsi="Arial" w:cstheme="majorBidi"/>
      <w:b/>
      <w:color w:val="3F4A75"/>
      <w:kern w:val="28"/>
      <w:sz w:val="48"/>
      <w:szCs w:val="52"/>
    </w:rPr>
  </w:style>
  <w:style w:type="character" w:customStyle="1" w:styleId="TitleChar">
    <w:name w:val="Title Char"/>
    <w:basedOn w:val="DefaultParagraphFont"/>
    <w:link w:val="Title"/>
    <w:rsid w:val="004C3BDA"/>
    <w:rPr>
      <w:rFonts w:ascii="Arial" w:eastAsiaTheme="majorEastAsia" w:hAnsi="Arial" w:cstheme="majorBidi"/>
      <w:b/>
      <w:color w:val="3F4A75"/>
      <w:kern w:val="28"/>
      <w:sz w:val="48"/>
      <w:szCs w:val="52"/>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4C3BDA"/>
    <w:pPr>
      <w:ind w:left="720"/>
      <w:contextualSpacing/>
    </w:pPr>
  </w:style>
  <w:style w:type="paragraph" w:styleId="Header">
    <w:name w:val="header"/>
    <w:link w:val="HeaderChar"/>
    <w:qFormat/>
    <w:rsid w:val="004C3BDA"/>
    <w:pPr>
      <w:tabs>
        <w:tab w:val="center" w:pos="4513"/>
        <w:tab w:val="right" w:pos="9026"/>
      </w:tabs>
      <w:spacing w:after="0" w:line="240" w:lineRule="auto"/>
    </w:pPr>
    <w:rPr>
      <w:rFonts w:ascii="Arial" w:eastAsia="Times New Roman" w:hAnsi="Arial"/>
      <w:sz w:val="22"/>
    </w:rPr>
  </w:style>
  <w:style w:type="character" w:customStyle="1" w:styleId="HeaderChar">
    <w:name w:val="Header Char"/>
    <w:basedOn w:val="DefaultParagraphFont"/>
    <w:link w:val="Header"/>
    <w:rsid w:val="004C3BDA"/>
    <w:rPr>
      <w:rFonts w:ascii="Arial" w:eastAsia="Times New Roman" w:hAnsi="Arial"/>
      <w:sz w:val="22"/>
    </w:rPr>
  </w:style>
  <w:style w:type="paragraph" w:styleId="Footer">
    <w:name w:val="footer"/>
    <w:link w:val="FooterChar"/>
    <w:uiPriority w:val="99"/>
    <w:qFormat/>
    <w:rsid w:val="004C3BDA"/>
    <w:pPr>
      <w:tabs>
        <w:tab w:val="center" w:pos="0"/>
        <w:tab w:val="right" w:pos="9026"/>
      </w:tabs>
      <w:spacing w:after="0" w:line="240" w:lineRule="auto"/>
      <w:jc w:val="right"/>
    </w:pPr>
    <w:rPr>
      <w:rFonts w:ascii="Arial" w:eastAsia="Times New Roman" w:hAnsi="Arial"/>
      <w:sz w:val="20"/>
    </w:rPr>
  </w:style>
  <w:style w:type="character" w:customStyle="1" w:styleId="FooterChar">
    <w:name w:val="Footer Char"/>
    <w:basedOn w:val="DefaultParagraphFont"/>
    <w:link w:val="Footer"/>
    <w:uiPriority w:val="99"/>
    <w:rsid w:val="004C3BDA"/>
    <w:rPr>
      <w:rFonts w:ascii="Arial" w:eastAsia="Times New Roman" w:hAnsi="Arial"/>
      <w:sz w:val="20"/>
    </w:rPr>
  </w:style>
  <w:style w:type="paragraph" w:customStyle="1" w:styleId="Headertext">
    <w:name w:val="Header text"/>
    <w:rsid w:val="004C3BDA"/>
    <w:pPr>
      <w:spacing w:after="0" w:line="240" w:lineRule="auto"/>
      <w:jc w:val="right"/>
    </w:pPr>
    <w:rPr>
      <w:rFonts w:ascii="Arial" w:eastAsia="Times New Roman" w:hAnsi="Arial"/>
      <w:sz w:val="20"/>
    </w:rPr>
  </w:style>
  <w:style w:type="character" w:styleId="Hyperlink">
    <w:name w:val="Hyperlink"/>
    <w:basedOn w:val="DefaultParagraphFont"/>
    <w:uiPriority w:val="99"/>
    <w:qFormat/>
    <w:rsid w:val="004C3BDA"/>
    <w:rPr>
      <w:color w:val="0563C1" w:themeColor="hyperlink"/>
      <w:u w:val="single"/>
    </w:rPr>
  </w:style>
  <w:style w:type="paragraph" w:customStyle="1" w:styleId="Tabletextleft">
    <w:name w:val="Table text left"/>
    <w:autoRedefine/>
    <w:qFormat/>
    <w:rsid w:val="004C3BDA"/>
    <w:pPr>
      <w:spacing w:before="60" w:after="60" w:line="240" w:lineRule="auto"/>
    </w:pPr>
    <w:rPr>
      <w:rFonts w:ascii="Arial" w:eastAsia="Times New Roman" w:hAnsi="Arial"/>
      <w:color w:val="000000" w:themeColor="text1"/>
      <w:sz w:val="21"/>
    </w:rPr>
  </w:style>
  <w:style w:type="paragraph" w:styleId="CommentText">
    <w:name w:val="annotation text"/>
    <w:basedOn w:val="Normal"/>
    <w:link w:val="CommentTextChar"/>
    <w:uiPriority w:val="99"/>
    <w:unhideWhenUsed/>
    <w:rsid w:val="004C3BDA"/>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4C3BDA"/>
    <w:rPr>
      <w:rFonts w:ascii="Arial" w:eastAsiaTheme="minorEastAsia" w:hAnsi="Arial" w:cstheme="minorBidi"/>
      <w:sz w:val="20"/>
      <w:szCs w:val="20"/>
    </w:rPr>
  </w:style>
  <w:style w:type="paragraph" w:customStyle="1" w:styleId="Disclaimer">
    <w:name w:val="Disclaimer"/>
    <w:basedOn w:val="Normal"/>
    <w:uiPriority w:val="10"/>
    <w:qFormat/>
    <w:rsid w:val="004C3BDA"/>
    <w:pPr>
      <w:spacing w:before="0" w:after="160" w:line="280" w:lineRule="exact"/>
      <w:ind w:left="567" w:right="1394"/>
    </w:pPr>
    <w:rPr>
      <w:rFonts w:eastAsiaTheme="minorEastAsia" w:cstheme="minorBidi"/>
      <w:i/>
      <w:color w:val="auto"/>
      <w:sz w:val="16"/>
      <w:szCs w:val="16"/>
    </w:rPr>
  </w:style>
  <w:style w:type="character" w:styleId="BookTitle">
    <w:name w:val="Book Title"/>
    <w:aliases w:val="Description"/>
    <w:basedOn w:val="DefaultParagraphFont"/>
    <w:uiPriority w:val="33"/>
    <w:rsid w:val="004C3BDA"/>
    <w:rPr>
      <w:rFonts w:asciiTheme="minorHAnsi" w:hAnsiTheme="minorHAnsi"/>
      <w:b/>
      <w:bCs/>
      <w:i/>
      <w:iCs/>
      <w:spacing w:val="5"/>
      <w:sz w:val="22"/>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locked/>
    <w:rsid w:val="004C3BDA"/>
    <w:rPr>
      <w:rFonts w:ascii="Arial" w:eastAsia="Times New Roman" w:hAnsi="Arial"/>
      <w:color w:val="000000" w:themeColor="text1"/>
      <w:sz w:val="22"/>
    </w:rPr>
  </w:style>
  <w:style w:type="character" w:styleId="FollowedHyperlink">
    <w:name w:val="FollowedHyperlink"/>
    <w:basedOn w:val="DefaultParagraphFont"/>
    <w:uiPriority w:val="99"/>
    <w:semiHidden/>
    <w:unhideWhenUsed/>
    <w:rsid w:val="00162162"/>
    <w:rPr>
      <w:color w:val="954F72" w:themeColor="followedHyperlink"/>
      <w:u w:val="single"/>
    </w:rPr>
  </w:style>
  <w:style w:type="table" w:customStyle="1" w:styleId="GridTable4-Accent21">
    <w:name w:val="Grid Table 4 - Accent 21"/>
    <w:basedOn w:val="TableNormal"/>
    <w:next w:val="GridTable4-Accent2"/>
    <w:uiPriority w:val="49"/>
    <w:rsid w:val="00162162"/>
    <w:pPr>
      <w:spacing w:after="0" w:line="240" w:lineRule="auto"/>
    </w:pPr>
    <w:rPr>
      <w:rFonts w:eastAsia="Times New Roman"/>
      <w:sz w:val="20"/>
      <w:szCs w:val="20"/>
      <w:lang w:eastAsia="en-AU"/>
    </w:rPr>
    <w:tblPr>
      <w:tblStyleRowBandSize w:val="1"/>
      <w:tblStyleColBandSize w:val="1"/>
      <w:tblBorders>
        <w:top w:val="single" w:sz="4" w:space="0" w:color="74C1C9"/>
        <w:left w:val="single" w:sz="4" w:space="0" w:color="74C1C9"/>
        <w:bottom w:val="single" w:sz="4" w:space="0" w:color="74C1C9"/>
        <w:right w:val="single" w:sz="4" w:space="0" w:color="74C1C9"/>
        <w:insideH w:val="single" w:sz="4" w:space="0" w:color="74C1C9"/>
        <w:insideV w:val="single" w:sz="4" w:space="0" w:color="74C1C9"/>
      </w:tblBorders>
    </w:tblPr>
    <w:tblStylePr w:type="firstRow">
      <w:rPr>
        <w:b/>
        <w:bCs/>
        <w:color w:val="FFFFFF"/>
      </w:rPr>
      <w:tblPr/>
      <w:tcPr>
        <w:tcBorders>
          <w:top w:val="single" w:sz="4" w:space="0" w:color="358189"/>
          <w:left w:val="single" w:sz="4" w:space="0" w:color="358189"/>
          <w:bottom w:val="single" w:sz="4" w:space="0" w:color="358189"/>
          <w:right w:val="single" w:sz="4" w:space="0" w:color="358189"/>
          <w:insideH w:val="nil"/>
          <w:insideV w:val="nil"/>
        </w:tcBorders>
        <w:shd w:val="clear" w:color="auto" w:fill="358189"/>
      </w:tcPr>
    </w:tblStylePr>
    <w:tblStylePr w:type="lastRow">
      <w:rPr>
        <w:b/>
        <w:bCs/>
      </w:rPr>
      <w:tblPr/>
      <w:tcPr>
        <w:tcBorders>
          <w:top w:val="double" w:sz="4" w:space="0" w:color="358189"/>
        </w:tcBorders>
      </w:tcPr>
    </w:tblStylePr>
    <w:tblStylePr w:type="firstCol">
      <w:rPr>
        <w:b/>
        <w:bCs/>
      </w:rPr>
    </w:tblStylePr>
    <w:tblStylePr w:type="lastCol">
      <w:rPr>
        <w:b/>
        <w:bCs/>
      </w:rPr>
    </w:tblStylePr>
    <w:tblStylePr w:type="band1Vert">
      <w:tblPr/>
      <w:tcPr>
        <w:shd w:val="clear" w:color="auto" w:fill="D0EAED"/>
      </w:tcPr>
    </w:tblStylePr>
    <w:tblStylePr w:type="band1Horz">
      <w:tblPr/>
      <w:tcPr>
        <w:shd w:val="clear" w:color="auto" w:fill="D0EAED"/>
      </w:tcPr>
    </w:tblStylePr>
  </w:style>
  <w:style w:type="table" w:styleId="GridTable4-Accent2">
    <w:name w:val="Grid Table 4 Accent 2"/>
    <w:basedOn w:val="TableNormal"/>
    <w:uiPriority w:val="49"/>
    <w:rsid w:val="0016216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UnresolvedMention">
    <w:name w:val="Unresolved Mention"/>
    <w:basedOn w:val="DefaultParagraphFont"/>
    <w:uiPriority w:val="99"/>
    <w:semiHidden/>
    <w:unhideWhenUsed/>
    <w:rsid w:val="00162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9.health.gov.au/mbs/search.cfm?q=72814&amp;Submit=&amp;sopt=S" TargetMode="External"/><Relationship Id="rId13" Type="http://schemas.openxmlformats.org/officeDocument/2006/relationships/hyperlink" Target="mailto:askMBS@health.gov.au"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pbs.gov.au/industry/listing/elements/pbac-meetings/psd/2021-11/files/cemiplimab-psd-nov-2021.pdf" TargetMode="External"/><Relationship Id="rId12" Type="http://schemas.openxmlformats.org/officeDocument/2006/relationships/hyperlink" Target="https://www.legislation.gov.au/Details/C2022C0017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bsonline.gov.au/" TargetMode="External"/><Relationship Id="rId5" Type="http://schemas.openxmlformats.org/officeDocument/2006/relationships/footnotes" Target="footnotes.xml"/><Relationship Id="rId15" Type="http://schemas.openxmlformats.org/officeDocument/2006/relationships/hyperlink" Target="http://www.mbsonline.gov.au/internet/mbsonline/publishing.nsf/Content/downloads" TargetMode="External"/><Relationship Id="rId10" Type="http://schemas.openxmlformats.org/officeDocument/2006/relationships/hyperlink" Target="http://www.mbsonline.gov.a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msac.gov.au/internet/msac/publishing.nsf/Content/1642-public" TargetMode="External"/><Relationship Id="rId14" Type="http://schemas.openxmlformats.org/officeDocument/2006/relationships/hyperlink" Target="https://www.servicesaustralia.gov.au/organisations/health-professionals/news/al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1242</Words>
  <Characters>7085</Characters>
  <Application>Microsoft Office Word</Application>
  <DocSecurity>0</DocSecurity>
  <Lines>59</Lines>
  <Paragraphs>16</Paragraphs>
  <ScaleCrop>false</ScaleCrop>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2022-10-25T02:47:00Z</dcterms:created>
  <dcterms:modified xsi:type="dcterms:W3CDTF">2022-10-25T02:48:00Z</dcterms:modified>
</cp:coreProperties>
</file>