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7CE895A" w:rsidR="00BA2732" w:rsidRDefault="00FB457A" w:rsidP="003D033A">
      <w:pPr>
        <w:pStyle w:val="Title"/>
      </w:pPr>
      <w:r>
        <w:t>Orthopaedic surgery – minor amendment to MBS item 49706</w:t>
      </w:r>
    </w:p>
    <w:p w14:paraId="6EFD4B5B" w14:textId="1B6B7375" w:rsidR="00064168" w:rsidRPr="00867595" w:rsidRDefault="00064168" w:rsidP="006F5073">
      <w:bookmarkStart w:id="0" w:name="_Hlk4568006"/>
      <w:r w:rsidRPr="00867595">
        <w:t xml:space="preserve">Last updated: </w:t>
      </w:r>
      <w:r w:rsidR="00AA30F1">
        <w:t>28 April</w:t>
      </w:r>
      <w:r w:rsidR="005C675B">
        <w:t xml:space="preserve"> </w:t>
      </w:r>
      <w:r w:rsidRPr="00867595">
        <w:t>20</w:t>
      </w:r>
      <w:r w:rsidR="000F60FB">
        <w:t>23</w:t>
      </w:r>
    </w:p>
    <w:bookmarkEnd w:id="0"/>
    <w:p w14:paraId="7F88D4DD" w14:textId="075F0ED6" w:rsidR="00064168" w:rsidRPr="006F5073" w:rsidRDefault="00064168" w:rsidP="006F5073">
      <w:pPr>
        <w:pStyle w:val="ListBullet"/>
      </w:pPr>
      <w:r w:rsidRPr="006F5073">
        <w:t xml:space="preserve">From </w:t>
      </w:r>
      <w:r w:rsidR="000F60FB">
        <w:t xml:space="preserve">1 July 2023, </w:t>
      </w:r>
      <w:r w:rsidRPr="006F5073">
        <w:t xml:space="preserve">MBS item </w:t>
      </w:r>
      <w:r w:rsidR="000F60FB">
        <w:t xml:space="preserve">49706 </w:t>
      </w:r>
      <w:r w:rsidRPr="006F5073">
        <w:t xml:space="preserve">for </w:t>
      </w:r>
      <w:r w:rsidR="000F60FB">
        <w:t>ankle arthrotomy</w:t>
      </w:r>
      <w:r w:rsidRPr="006F5073">
        <w:t xml:space="preserve"> </w:t>
      </w:r>
      <w:r w:rsidR="000F60FB">
        <w:t>is</w:t>
      </w:r>
      <w:r w:rsidRPr="006F5073">
        <w:t xml:space="preserve"> changing to </w:t>
      </w:r>
      <w:r w:rsidR="000F60FB">
        <w:t>restore patient access where infection is not indicated</w:t>
      </w:r>
      <w:r w:rsidRPr="006F5073">
        <w:t>.</w:t>
      </w:r>
    </w:p>
    <w:p w14:paraId="3F5B185F" w14:textId="3DE81548" w:rsidR="00064168" w:rsidRPr="00E40D2A" w:rsidRDefault="000F60FB" w:rsidP="006F5073">
      <w:pPr>
        <w:pStyle w:val="ListBullet"/>
      </w:pPr>
      <w:r>
        <w:t xml:space="preserve">This change is relevant for orthopaedic surgeons, patients receiving these services, </w:t>
      </w:r>
      <w:r w:rsidRPr="00E40D2A">
        <w:t xml:space="preserve">private </w:t>
      </w:r>
      <w:proofErr w:type="gramStart"/>
      <w:r w:rsidRPr="00E40D2A">
        <w:t>hospitals</w:t>
      </w:r>
      <w:proofErr w:type="gramEnd"/>
      <w:r w:rsidRPr="00E40D2A">
        <w:t xml:space="preserve"> and private health insurers.</w:t>
      </w:r>
    </w:p>
    <w:p w14:paraId="24C2D88B" w14:textId="29BDE516" w:rsidR="00064168" w:rsidRPr="00E40D2A" w:rsidRDefault="00E40D2A" w:rsidP="006F5073">
      <w:pPr>
        <w:pStyle w:val="ListBullet"/>
      </w:pPr>
      <w:r w:rsidRPr="00E40D2A">
        <w:t xml:space="preserve">Medical specialists will need to familiarise themselves with the removal of infection as a requirement in the amended item descriptor. </w:t>
      </w:r>
    </w:p>
    <w:p w14:paraId="44460BF5" w14:textId="77777777" w:rsidR="00064168" w:rsidRPr="00867595" w:rsidRDefault="00064168" w:rsidP="00064168">
      <w:pPr>
        <w:pStyle w:val="Heading2"/>
      </w:pPr>
      <w:r w:rsidRPr="00E40D2A">
        <w:t>W</w:t>
      </w:r>
      <w:r w:rsidRPr="00867595">
        <w:t>hat are the changes?</w:t>
      </w:r>
    </w:p>
    <w:p w14:paraId="4E459E9A" w14:textId="6F320ACA" w:rsidR="00064168" w:rsidRPr="00867595" w:rsidRDefault="00064168" w:rsidP="00064168">
      <w:pPr>
        <w:rPr>
          <w:szCs w:val="22"/>
        </w:rPr>
      </w:pPr>
      <w:r w:rsidRPr="00867595">
        <w:rPr>
          <w:szCs w:val="22"/>
        </w:rPr>
        <w:t xml:space="preserve">Effective </w:t>
      </w:r>
      <w:r w:rsidR="00802655">
        <w:rPr>
          <w:szCs w:val="22"/>
        </w:rPr>
        <w:t>1</w:t>
      </w:r>
      <w:r w:rsidRPr="00867595">
        <w:rPr>
          <w:szCs w:val="22"/>
        </w:rPr>
        <w:t> </w:t>
      </w:r>
      <w:r w:rsidR="000F60FB">
        <w:rPr>
          <w:szCs w:val="22"/>
        </w:rPr>
        <w:t>July 2023</w:t>
      </w:r>
      <w:r w:rsidRPr="00867595">
        <w:rPr>
          <w:szCs w:val="22"/>
        </w:rPr>
        <w:t xml:space="preserve">, there </w:t>
      </w:r>
      <w:bookmarkStart w:id="1" w:name="_Hlk535507068"/>
      <w:r w:rsidRPr="00867595">
        <w:rPr>
          <w:szCs w:val="22"/>
        </w:rPr>
        <w:t xml:space="preserve">will be a </w:t>
      </w:r>
      <w:bookmarkEnd w:id="1"/>
      <w:r w:rsidRPr="00867595">
        <w:rPr>
          <w:szCs w:val="22"/>
        </w:rPr>
        <w:t xml:space="preserve">revised structure for items for </w:t>
      </w:r>
      <w:r w:rsidR="000F60FB">
        <w:rPr>
          <w:szCs w:val="22"/>
        </w:rPr>
        <w:t>orthopaedic surgery</w:t>
      </w:r>
      <w:r w:rsidRPr="00867595">
        <w:rPr>
          <w:szCs w:val="22"/>
        </w:rPr>
        <w:t>. The new structure includes:</w:t>
      </w:r>
    </w:p>
    <w:p w14:paraId="07FF70DA" w14:textId="120655E5" w:rsidR="005C675B" w:rsidRDefault="00064168" w:rsidP="00AA30F1">
      <w:pPr>
        <w:pStyle w:val="ListBullet"/>
      </w:pPr>
      <w:r w:rsidRPr="00867595">
        <w:t>An amended item (</w:t>
      </w:r>
      <w:r w:rsidR="000F60FB">
        <w:t>49706)</w:t>
      </w:r>
      <w:r w:rsidRPr="00867595">
        <w:t xml:space="preserve"> </w:t>
      </w:r>
      <w:r w:rsidR="000F60FB">
        <w:t>for ankle arthrotomy</w:t>
      </w:r>
    </w:p>
    <w:p w14:paraId="1819E31F" w14:textId="77777777" w:rsidR="00AA30F1" w:rsidRDefault="00AA30F1" w:rsidP="00AA30F1">
      <w:pPr>
        <w:pStyle w:val="ListBullet"/>
        <w:numPr>
          <w:ilvl w:val="0"/>
          <w:numId w:val="0"/>
        </w:numPr>
        <w:spacing w:after="0"/>
        <w:ind w:left="360"/>
      </w:pPr>
    </w:p>
    <w:p w14:paraId="14CB6C78" w14:textId="07DEC385" w:rsidR="007E0068" w:rsidRDefault="007E0068" w:rsidP="000F60FB">
      <w:pPr>
        <w:pStyle w:val="ListBullet"/>
        <w:numPr>
          <w:ilvl w:val="0"/>
          <w:numId w:val="0"/>
        </w:numPr>
      </w:pPr>
      <w:r>
        <w:t xml:space="preserve">For private health insurance purposes, item </w:t>
      </w:r>
      <w:r w:rsidR="000F60FB">
        <w:t>49706</w:t>
      </w:r>
      <w:r>
        <w:t xml:space="preserve"> will continue to be listed under the following clinical category and procedure type:</w:t>
      </w:r>
    </w:p>
    <w:p w14:paraId="5B0D04C5" w14:textId="1A576ABD" w:rsidR="007E0068" w:rsidRDefault="007E0068" w:rsidP="006F5073">
      <w:pPr>
        <w:pStyle w:val="ListBullet"/>
      </w:pPr>
      <w:r>
        <w:t xml:space="preserve">Clinical category: </w:t>
      </w:r>
      <w:r w:rsidR="000F60FB">
        <w:t>Joint reconstructions</w:t>
      </w:r>
    </w:p>
    <w:p w14:paraId="0F393FB5" w14:textId="15709816" w:rsidR="007E0068" w:rsidRPr="007E0068" w:rsidRDefault="007E0068" w:rsidP="006F5073">
      <w:pPr>
        <w:pStyle w:val="ListBullet"/>
      </w:pPr>
      <w:r>
        <w:t xml:space="preserve">Procedure type: Type </w:t>
      </w:r>
      <w:r w:rsidR="000F60FB">
        <w:t>A Surgical</w:t>
      </w:r>
    </w:p>
    <w:p w14:paraId="42BD5171" w14:textId="77777777" w:rsidR="00064168" w:rsidRDefault="00064168" w:rsidP="00064168">
      <w:pPr>
        <w:pStyle w:val="Heading2"/>
      </w:pPr>
      <w:r>
        <w:t>Why are the changes being made?</w:t>
      </w:r>
    </w:p>
    <w:p w14:paraId="0D27F77B" w14:textId="4A401413" w:rsidR="00FB6A2C" w:rsidRDefault="00FB6A2C" w:rsidP="00064168">
      <w:pPr>
        <w:rPr>
          <w:szCs w:val="22"/>
        </w:rPr>
      </w:pPr>
      <w:bookmarkStart w:id="2" w:name="_Hlk535386664"/>
      <w:r>
        <w:rPr>
          <w:szCs w:val="22"/>
        </w:rPr>
        <w:t xml:space="preserve">On </w:t>
      </w:r>
      <w:r w:rsidRPr="00FB6A2C">
        <w:rPr>
          <w:szCs w:val="22"/>
        </w:rPr>
        <w:t xml:space="preserve">July 2021, changes were made to 599 orthopaedic surgery MBS items </w:t>
      </w:r>
      <w:r w:rsidR="001133C7">
        <w:rPr>
          <w:szCs w:val="22"/>
        </w:rPr>
        <w:t>in response to the</w:t>
      </w:r>
      <w:r w:rsidRPr="00FB6A2C">
        <w:rPr>
          <w:szCs w:val="22"/>
        </w:rPr>
        <w:t xml:space="preserve"> MBS Review Taskforce recommendations and </w:t>
      </w:r>
      <w:r w:rsidR="001133C7">
        <w:rPr>
          <w:szCs w:val="22"/>
        </w:rPr>
        <w:t xml:space="preserve">following </w:t>
      </w:r>
      <w:r w:rsidRPr="00FB6A2C">
        <w:rPr>
          <w:szCs w:val="22"/>
        </w:rPr>
        <w:t>extensive consultation with key stakeholders.</w:t>
      </w:r>
    </w:p>
    <w:p w14:paraId="617E7397" w14:textId="648B4F27" w:rsidR="00064168" w:rsidRPr="00867595" w:rsidRDefault="00FB6A2C" w:rsidP="00FB6A2C">
      <w:pPr>
        <w:rPr>
          <w:szCs w:val="22"/>
        </w:rPr>
      </w:pPr>
      <w:r>
        <w:rPr>
          <w:szCs w:val="22"/>
        </w:rPr>
        <w:t xml:space="preserve">From 1 July 2023, an additional amendment will be made to one item for ankle arthrotomy (49706) in response to feedback from key stakeholders as part of the early post-implementation review. These amendments restore appropriate access for patients in the absence of an infection, better aligning the items with modern clinical practice. </w:t>
      </w:r>
      <w:bookmarkEnd w:id="2"/>
    </w:p>
    <w:p w14:paraId="4B2559AC" w14:textId="6EDD5027" w:rsidR="00064168" w:rsidRDefault="00064168" w:rsidP="00064168">
      <w:pPr>
        <w:pStyle w:val="Heading2"/>
      </w:pPr>
      <w:r>
        <w:t>What does this mean for providers</w:t>
      </w:r>
      <w:r w:rsidR="00FB6A2C">
        <w:t>?</w:t>
      </w:r>
    </w:p>
    <w:p w14:paraId="59601304" w14:textId="77777777" w:rsidR="00FB6A2C" w:rsidRDefault="00FB6A2C" w:rsidP="00064168">
      <w:pPr>
        <w:rPr>
          <w:szCs w:val="22"/>
        </w:rPr>
      </w:pPr>
      <w:r>
        <w:rPr>
          <w:szCs w:val="22"/>
        </w:rPr>
        <w:t>The changes correct an unintended consequence to address patient service gaps arising from the MBS Review Taskforce changes implemented on 1 July 2021.</w:t>
      </w:r>
    </w:p>
    <w:p w14:paraId="0654D50A" w14:textId="2A0A3507" w:rsidR="00064168" w:rsidRPr="00867595" w:rsidRDefault="00FB6A2C" w:rsidP="00FB6A2C">
      <w:pPr>
        <w:rPr>
          <w:szCs w:val="22"/>
        </w:rPr>
      </w:pPr>
      <w:r>
        <w:rPr>
          <w:szCs w:val="22"/>
        </w:rPr>
        <w:t>Providers will need to familiarise themselves with the descriptor changes for item 49706.</w:t>
      </w:r>
    </w:p>
    <w:p w14:paraId="7F7DA4F7" w14:textId="77777777" w:rsidR="00064168" w:rsidRDefault="00064168" w:rsidP="00064168">
      <w:pPr>
        <w:pStyle w:val="Heading2"/>
      </w:pPr>
      <w:r>
        <w:lastRenderedPageBreak/>
        <w:t>How will these changes affect patients</w:t>
      </w:r>
      <w:r w:rsidRPr="001A7FB7">
        <w:t>?</w:t>
      </w:r>
    </w:p>
    <w:p w14:paraId="7BD2AA3C" w14:textId="715E3CAA" w:rsidR="00064168" w:rsidRPr="006F5073" w:rsidRDefault="00FB6A2C" w:rsidP="00FB6A2C">
      <w:r w:rsidRPr="00FB6A2C">
        <w:rPr>
          <w:rFonts w:cs="Arial"/>
          <w:szCs w:val="22"/>
        </w:rPr>
        <w:t>Patients will receive Medicare rebates for services that are clinically appropriate and reflect modern clinical practice</w:t>
      </w:r>
      <w:r>
        <w:rPr>
          <w:rFonts w:cs="Arial"/>
          <w:szCs w:val="22"/>
        </w:rPr>
        <w:t xml:space="preserve">. </w:t>
      </w:r>
    </w:p>
    <w:p w14:paraId="5BD9BE80" w14:textId="77777777" w:rsidR="00064168" w:rsidRDefault="00064168" w:rsidP="00064168">
      <w:pPr>
        <w:pStyle w:val="Heading2"/>
      </w:pPr>
      <w:r w:rsidRPr="001A7FB7">
        <w:t>Who was consulted on the changes?</w:t>
      </w:r>
    </w:p>
    <w:p w14:paraId="7ADE080F" w14:textId="79AA3C98" w:rsidR="00064168" w:rsidRPr="00867595" w:rsidRDefault="00766501" w:rsidP="00766501">
      <w:pPr>
        <w:rPr>
          <w:szCs w:val="22"/>
        </w:rPr>
      </w:pPr>
      <w:r>
        <w:rPr>
          <w:szCs w:val="22"/>
        </w:rPr>
        <w:t xml:space="preserve">This change is being made in response to feedback from the Australian Orthopaedic Association (AOA) and the Australian Orthopaedic Foot &amp; Ankle Society (AOFAS) as part of </w:t>
      </w:r>
      <w:r w:rsidR="00567A73">
        <w:rPr>
          <w:szCs w:val="22"/>
        </w:rPr>
        <w:t>an</w:t>
      </w:r>
      <w:r>
        <w:rPr>
          <w:szCs w:val="22"/>
        </w:rPr>
        <w:t xml:space="preserve"> early post-implementation review following the introduction of the broader orthopaedic changes on 1 July 2021. The early-post implementation review was established following discussions with the Australian Medical Association (AMA) and the Australian Orthopaedic Association (AOA). The Department is continuing to work with the AOA and the orthopaedic sub-specialty societies to consider feedback regarding the 1 July 2021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79420D70" w:rsidR="00064168" w:rsidRDefault="00830940" w:rsidP="00830940">
      <w:r>
        <w:rPr>
          <w:szCs w:val="22"/>
        </w:rPr>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6D6EB19D" w14:textId="4A2883C3" w:rsidR="00BE3ED5" w:rsidRDefault="00BE3ED5" w:rsidP="00BE3ED5">
      <w:pPr>
        <w:pStyle w:val="Heading2"/>
      </w:pPr>
      <w:r w:rsidRPr="007A32E7">
        <w:lastRenderedPageBreak/>
        <w:t xml:space="preserve">Amended item descriptor (to take effect </w:t>
      </w:r>
      <w:r w:rsidR="00567A73">
        <w:t>01 July 2023)</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D53FC6" w:rsidR="00BE3ED5" w:rsidRDefault="008437CA" w:rsidP="000F29A4">
            <w:pPr>
              <w:rPr>
                <w:b w:val="0"/>
                <w:bCs w:val="0"/>
                <w:lang w:eastAsia="en-AU"/>
              </w:rPr>
            </w:pPr>
            <w:bookmarkStart w:id="4" w:name="_Hlk118987208"/>
            <w:r>
              <w:rPr>
                <w:lang w:eastAsia="en-AU"/>
              </w:rPr>
              <w:t>Category</w:t>
            </w:r>
            <w:r w:rsidR="00D35338">
              <w:rPr>
                <w:lang w:eastAsia="en-AU"/>
              </w:rPr>
              <w:t xml:space="preserve"> 3 – THERAPEUTIC PROCEDURES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B0182E7" w:rsidR="00BE3ED5" w:rsidRDefault="008437CA" w:rsidP="000F29A4">
            <w:pPr>
              <w:rPr>
                <w:b w:val="0"/>
                <w:bCs w:val="0"/>
                <w:lang w:eastAsia="en-AU"/>
              </w:rPr>
            </w:pPr>
            <w:r>
              <w:rPr>
                <w:lang w:eastAsia="en-AU"/>
              </w:rPr>
              <w:t>Group</w:t>
            </w:r>
            <w:r w:rsidR="00D35338">
              <w:rPr>
                <w:lang w:eastAsia="en-AU"/>
              </w:rPr>
              <w:t xml:space="preserve"> T8 – Surgical Operations</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BEE7D35" w:rsidR="00642F20" w:rsidRPr="00642F20" w:rsidRDefault="00642F20" w:rsidP="00642F20">
            <w:pPr>
              <w:pStyle w:val="Tabletextleft"/>
              <w:rPr>
                <w:b/>
              </w:rPr>
            </w:pPr>
            <w:r w:rsidRPr="00642F20">
              <w:rPr>
                <w:b/>
              </w:rPr>
              <w:t>Subgroup</w:t>
            </w:r>
            <w:r w:rsidR="00D35338">
              <w:rPr>
                <w:b/>
              </w:rPr>
              <w:t xml:space="preserve"> 15 - Orthopaedic</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3AFCE547" w:rsidR="00642F20" w:rsidRPr="00FB6A2C" w:rsidRDefault="00FB6A2C" w:rsidP="00642F20">
            <w:r w:rsidRPr="00FB6A2C">
              <w:t>49706</w:t>
            </w:r>
          </w:p>
          <w:p w14:paraId="0854C84B" w14:textId="4ED31AA7" w:rsidR="00642F20" w:rsidRPr="00642F20" w:rsidRDefault="00FB6A2C" w:rsidP="00642F20">
            <w:pPr>
              <w:rPr>
                <w:b w:val="0"/>
                <w:bCs w:val="0"/>
              </w:rPr>
            </w:pPr>
            <w:r w:rsidRPr="00FB6A2C">
              <w:rPr>
                <w:b w:val="0"/>
                <w:bCs w:val="0"/>
              </w:rPr>
              <w:t xml:space="preserve">Arthrotomy of joint of ankle, </w:t>
            </w:r>
            <w:r w:rsidRPr="00FB6A2C">
              <w:rPr>
                <w:b w:val="0"/>
                <w:bCs w:val="0"/>
                <w:strike/>
              </w:rPr>
              <w:t>for infection,</w:t>
            </w:r>
            <w:r w:rsidRPr="00FB6A2C">
              <w:rPr>
                <w:b w:val="0"/>
                <w:bCs w:val="0"/>
              </w:rPr>
              <w:t xml:space="preserve"> including removal of loose bodies and joint debridement, including release of joint contracture (if performed) (H) (</w:t>
            </w:r>
            <w:proofErr w:type="spellStart"/>
            <w:r w:rsidRPr="00FB6A2C">
              <w:rPr>
                <w:b w:val="0"/>
                <w:bCs w:val="0"/>
              </w:rPr>
              <w:t>Anaes</w:t>
            </w:r>
            <w:proofErr w:type="spellEnd"/>
            <w:r w:rsidRPr="00FB6A2C">
              <w:rPr>
                <w:b w:val="0"/>
                <w:bCs w:val="0"/>
              </w:rPr>
              <w:t>.) (Assist.)</w:t>
            </w:r>
          </w:p>
          <w:p w14:paraId="3794883D" w14:textId="4E4EDD3C" w:rsidR="00642F20" w:rsidRPr="00642F20" w:rsidRDefault="00642F20" w:rsidP="00642F20">
            <w:pPr>
              <w:pStyle w:val="ListBullet"/>
              <w:rPr>
                <w:b w:val="0"/>
                <w:bCs w:val="0"/>
              </w:rPr>
            </w:pPr>
            <w:r w:rsidRPr="00642F20">
              <w:rPr>
                <w:b w:val="0"/>
                <w:bCs w:val="0"/>
              </w:rPr>
              <w:t>Private Health Insurance Classification:</w:t>
            </w:r>
            <w:r w:rsidR="00102E67">
              <w:rPr>
                <w:b w:val="0"/>
                <w:bCs w:val="0"/>
              </w:rPr>
              <w:t xml:space="preserve"> (No change)</w:t>
            </w:r>
          </w:p>
          <w:p w14:paraId="583B5F54" w14:textId="113EB200" w:rsidR="00642F20" w:rsidRPr="00642F20" w:rsidRDefault="00642F20" w:rsidP="00642F20">
            <w:pPr>
              <w:pStyle w:val="ListBullet"/>
              <w:rPr>
                <w:b w:val="0"/>
                <w:bCs w:val="0"/>
              </w:rPr>
            </w:pPr>
            <w:r w:rsidRPr="00642F20">
              <w:rPr>
                <w:b w:val="0"/>
                <w:bCs w:val="0"/>
              </w:rPr>
              <w:t xml:space="preserve">Clinical category: </w:t>
            </w:r>
            <w:r w:rsidR="00102E67">
              <w:rPr>
                <w:b w:val="0"/>
                <w:bCs w:val="0"/>
              </w:rPr>
              <w:t>Joint reconstructions</w:t>
            </w:r>
          </w:p>
          <w:p w14:paraId="2BDF063F" w14:textId="2A41A389" w:rsidR="00642F20" w:rsidRPr="00AA6575" w:rsidRDefault="00642F20" w:rsidP="00642F20">
            <w:pPr>
              <w:pStyle w:val="ListBullet"/>
            </w:pPr>
            <w:r w:rsidRPr="00642F20">
              <w:rPr>
                <w:b w:val="0"/>
                <w:bCs w:val="0"/>
              </w:rPr>
              <w:t xml:space="preserve">Procedure type: Type </w:t>
            </w:r>
            <w:r w:rsidR="00102E67">
              <w:rPr>
                <w:b w:val="0"/>
                <w:bCs w:val="0"/>
              </w:rPr>
              <w:t>A surgical</w:t>
            </w: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DAD9" w14:textId="77777777" w:rsidR="00C75FA3" w:rsidRDefault="00C75FA3" w:rsidP="006B56BB">
      <w:r>
        <w:separator/>
      </w:r>
    </w:p>
    <w:p w14:paraId="1CB9B58A" w14:textId="77777777" w:rsidR="00C75FA3" w:rsidRDefault="00C75FA3"/>
  </w:endnote>
  <w:endnote w:type="continuationSeparator" w:id="0">
    <w:p w14:paraId="1F008200" w14:textId="77777777" w:rsidR="00C75FA3" w:rsidRDefault="00C75FA3" w:rsidP="006B56BB">
      <w:r>
        <w:continuationSeparator/>
      </w:r>
    </w:p>
    <w:p w14:paraId="7187FC9C" w14:textId="77777777" w:rsidR="00C75FA3" w:rsidRDefault="00C75FA3"/>
  </w:endnote>
  <w:endnote w:type="continuationNotice" w:id="1">
    <w:p w14:paraId="6776A193" w14:textId="77777777" w:rsidR="00C75FA3" w:rsidRDefault="00C7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9C146C"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8EC6848" w:rsidR="00F51321" w:rsidRDefault="00567A73" w:rsidP="00F51321">
    <w:pPr>
      <w:pStyle w:val="Footer"/>
      <w:tabs>
        <w:tab w:val="clear" w:pos="9026"/>
        <w:tab w:val="right" w:pos="10466"/>
      </w:tabs>
    </w:pPr>
    <w:r>
      <w:rPr>
        <w:b/>
      </w:rPr>
      <w:t>Orthopaedic surgery – minor amendment to MBS item 49706</w:t>
    </w:r>
    <w:r w:rsidRPr="00E863C4">
      <w:rPr>
        <w:b/>
      </w:rPr>
      <w:t xml:space="preserve"> – </w:t>
    </w:r>
    <w:r>
      <w:rPr>
        <w:b/>
      </w:rPr>
      <w:t>Factsheet</w:t>
    </w:r>
    <w:r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9C146C" w:rsidP="00F51321">
    <w:pPr>
      <w:pStyle w:val="Footer"/>
      <w:jc w:val="left"/>
      <w:rPr>
        <w:rStyle w:val="Hyperlink"/>
        <w:szCs w:val="18"/>
      </w:rPr>
    </w:pPr>
    <w:hyperlink r:id="rId1" w:history="1">
      <w:r w:rsidR="00F51321" w:rsidRPr="00E863C4">
        <w:rPr>
          <w:rStyle w:val="Hyperlink"/>
          <w:szCs w:val="18"/>
        </w:rPr>
        <w:t>MBS Online</w:t>
      </w:r>
    </w:hyperlink>
  </w:p>
  <w:p w14:paraId="0D093570" w14:textId="34E7718A" w:rsidR="00F51321" w:rsidRPr="009B32BA" w:rsidRDefault="00F51321" w:rsidP="00F51321">
    <w:pPr>
      <w:pStyle w:val="Footer"/>
      <w:jc w:val="left"/>
      <w:rPr>
        <w:szCs w:val="18"/>
      </w:rPr>
    </w:pPr>
    <w:r w:rsidRPr="00870B05">
      <w:t>Last updated</w:t>
    </w:r>
    <w:r>
      <w:t xml:space="preserve"> – </w:t>
    </w:r>
    <w:r w:rsidR="00753838">
      <w:t>28 April</w:t>
    </w:r>
    <w:r>
      <w:t xml:space="preserve"> 20</w:t>
    </w:r>
    <w:r w:rsidR="00567A73">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9C146C"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2B2FDB7" w:rsidR="00064168" w:rsidRDefault="00E40D2A" w:rsidP="00064168">
    <w:pPr>
      <w:pStyle w:val="Footer"/>
      <w:tabs>
        <w:tab w:val="clear" w:pos="9026"/>
        <w:tab w:val="right" w:pos="10466"/>
      </w:tabs>
    </w:pPr>
    <w:r>
      <w:rPr>
        <w:b/>
      </w:rPr>
      <w:t>Orthopaedic surgery – minor amendment to MBS item 49706</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9C146C" w:rsidP="00064168">
    <w:pPr>
      <w:pStyle w:val="Footer"/>
      <w:jc w:val="left"/>
      <w:rPr>
        <w:rStyle w:val="Hyperlink"/>
        <w:szCs w:val="18"/>
      </w:rPr>
    </w:pPr>
    <w:hyperlink r:id="rId1" w:history="1">
      <w:r w:rsidR="00064168" w:rsidRPr="00E863C4">
        <w:rPr>
          <w:rStyle w:val="Hyperlink"/>
          <w:szCs w:val="18"/>
        </w:rPr>
        <w:t>MBS Online</w:t>
      </w:r>
    </w:hyperlink>
  </w:p>
  <w:p w14:paraId="03585E81" w14:textId="3F039291" w:rsidR="00064168" w:rsidRPr="009B32BA" w:rsidRDefault="00064168" w:rsidP="00064168">
    <w:pPr>
      <w:pStyle w:val="Footer"/>
      <w:jc w:val="left"/>
      <w:rPr>
        <w:szCs w:val="18"/>
      </w:rPr>
    </w:pPr>
    <w:r w:rsidRPr="00870B05">
      <w:t>Last updated</w:t>
    </w:r>
    <w:r>
      <w:t xml:space="preserve"> – </w:t>
    </w:r>
    <w:r w:rsidR="00753838">
      <w:t>28 April</w:t>
    </w:r>
    <w:r>
      <w:t xml:space="preserve"> 20</w:t>
    </w:r>
    <w:r w:rsidR="00567A73">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4236" w14:textId="77777777" w:rsidR="00C75FA3" w:rsidRDefault="00C75FA3" w:rsidP="006B56BB">
      <w:r>
        <w:separator/>
      </w:r>
    </w:p>
    <w:p w14:paraId="1C93F07B" w14:textId="77777777" w:rsidR="00C75FA3" w:rsidRDefault="00C75FA3"/>
  </w:footnote>
  <w:footnote w:type="continuationSeparator" w:id="0">
    <w:p w14:paraId="4C868369" w14:textId="77777777" w:rsidR="00C75FA3" w:rsidRDefault="00C75FA3" w:rsidP="006B56BB">
      <w:r>
        <w:continuationSeparator/>
      </w:r>
    </w:p>
    <w:p w14:paraId="5F6C3A78" w14:textId="77777777" w:rsidR="00C75FA3" w:rsidRDefault="00C75FA3"/>
  </w:footnote>
  <w:footnote w:type="continuationNotice" w:id="1">
    <w:p w14:paraId="24805F0E" w14:textId="77777777" w:rsidR="00C75FA3" w:rsidRDefault="00C75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253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B68FA"/>
    <w:rsid w:val="000C4B16"/>
    <w:rsid w:val="000C50C3"/>
    <w:rsid w:val="000C5E14"/>
    <w:rsid w:val="000D21F6"/>
    <w:rsid w:val="000D4500"/>
    <w:rsid w:val="000D7AEA"/>
    <w:rsid w:val="000E2C66"/>
    <w:rsid w:val="000F123C"/>
    <w:rsid w:val="000F2FED"/>
    <w:rsid w:val="000F60FB"/>
    <w:rsid w:val="000F630A"/>
    <w:rsid w:val="00102E67"/>
    <w:rsid w:val="0010616D"/>
    <w:rsid w:val="00110478"/>
    <w:rsid w:val="001133C7"/>
    <w:rsid w:val="0011711B"/>
    <w:rsid w:val="00117F8A"/>
    <w:rsid w:val="00121B9B"/>
    <w:rsid w:val="00122ADC"/>
    <w:rsid w:val="001245EF"/>
    <w:rsid w:val="00130F59"/>
    <w:rsid w:val="00133EC0"/>
    <w:rsid w:val="00141CE5"/>
    <w:rsid w:val="00144908"/>
    <w:rsid w:val="00146B7F"/>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20798"/>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45EE6"/>
    <w:rsid w:val="005550E7"/>
    <w:rsid w:val="005564FB"/>
    <w:rsid w:val="005572C7"/>
    <w:rsid w:val="005650ED"/>
    <w:rsid w:val="00567A73"/>
    <w:rsid w:val="00575754"/>
    <w:rsid w:val="00581FBA"/>
    <w:rsid w:val="005858A4"/>
    <w:rsid w:val="00591E20"/>
    <w:rsid w:val="00595408"/>
    <w:rsid w:val="00595E84"/>
    <w:rsid w:val="005A0C59"/>
    <w:rsid w:val="005A48EB"/>
    <w:rsid w:val="005A6CFB"/>
    <w:rsid w:val="005C5AEB"/>
    <w:rsid w:val="005C675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53838"/>
    <w:rsid w:val="00766501"/>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02655"/>
    <w:rsid w:val="008127AF"/>
    <w:rsid w:val="00812B46"/>
    <w:rsid w:val="00815700"/>
    <w:rsid w:val="0082246B"/>
    <w:rsid w:val="008264EB"/>
    <w:rsid w:val="00826B8F"/>
    <w:rsid w:val="00830940"/>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146C"/>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30F1"/>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60AD"/>
    <w:rsid w:val="00C113BF"/>
    <w:rsid w:val="00C2176E"/>
    <w:rsid w:val="00C23430"/>
    <w:rsid w:val="00C27D67"/>
    <w:rsid w:val="00C435AF"/>
    <w:rsid w:val="00C4631F"/>
    <w:rsid w:val="00C47CDE"/>
    <w:rsid w:val="00C50E16"/>
    <w:rsid w:val="00C55258"/>
    <w:rsid w:val="00C75FA3"/>
    <w:rsid w:val="00C82EEB"/>
    <w:rsid w:val="00C971DC"/>
    <w:rsid w:val="00CA16B7"/>
    <w:rsid w:val="00CA50EE"/>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35338"/>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0D2A"/>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289C"/>
    <w:rsid w:val="00F85AFE"/>
    <w:rsid w:val="00F93F08"/>
    <w:rsid w:val="00F94CED"/>
    <w:rsid w:val="00FA02BB"/>
    <w:rsid w:val="00FA2CEE"/>
    <w:rsid w:val="00FA318C"/>
    <w:rsid w:val="00FB457A"/>
    <w:rsid w:val="00FB6A2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766501"/>
    <w:rPr>
      <w:sz w:val="16"/>
      <w:szCs w:val="16"/>
    </w:rPr>
  </w:style>
  <w:style w:type="paragraph" w:styleId="CommentSubject">
    <w:name w:val="annotation subject"/>
    <w:basedOn w:val="CommentText"/>
    <w:next w:val="CommentText"/>
    <w:link w:val="CommentSubjectChar"/>
    <w:semiHidden/>
    <w:unhideWhenUsed/>
    <w:rsid w:val="00766501"/>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66501"/>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5155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2023-06-13T23:35:00Z</dcterms:created>
  <dcterms:modified xsi:type="dcterms:W3CDTF">2023-06-13T23:36:00Z</dcterms:modified>
</cp:coreProperties>
</file>