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3424" w:rsidRPr="00643424" w:rsidRDefault="00EC73C4" w:rsidP="00C440C3">
      <w:pPr>
        <w:pStyle w:val="Heading1"/>
        <w:spacing w:before="360"/>
      </w:pPr>
      <w:bookmarkStart w:id="0" w:name="_Ref394501517"/>
      <w:r>
        <w:t xml:space="preserve">Changes to </w:t>
      </w:r>
      <w:r w:rsidR="008217C0">
        <w:t>Renal</w:t>
      </w:r>
      <w:r>
        <w:t xml:space="preserve"> </w:t>
      </w:r>
      <w:r w:rsidR="00C440C3">
        <w:t>Medicine items</w:t>
      </w:r>
      <w:bookmarkEnd w:id="0"/>
    </w:p>
    <w:p w:rsidR="006D0E0F" w:rsidRDefault="00B16F94" w:rsidP="00743091">
      <w:pPr>
        <w:pStyle w:val="Footnote"/>
      </w:pPr>
      <w:r w:rsidRPr="00990076">
        <w:t xml:space="preserve">Last updated: </w:t>
      </w:r>
      <w:r w:rsidR="00E63085">
        <w:t>26</w:t>
      </w:r>
      <w:r w:rsidR="008217C0" w:rsidRPr="00C440C3">
        <w:t>/</w:t>
      </w:r>
      <w:r w:rsidR="00E63085">
        <w:t>06</w:t>
      </w:r>
      <w:r w:rsidR="008217C0" w:rsidRPr="00C440C3">
        <w:t>/20</w:t>
      </w:r>
      <w:r w:rsidR="00E63085">
        <w:t>20</w:t>
      </w:r>
      <w:bookmarkStart w:id="1" w:name="_GoBack"/>
      <w:bookmarkEnd w:id="1"/>
    </w:p>
    <w:p w:rsidR="00C440C3" w:rsidRDefault="00C440C3" w:rsidP="00C440C3">
      <w:pPr>
        <w:pStyle w:val="Heading3"/>
      </w:pPr>
      <w:r w:rsidRPr="00FD12DE">
        <w:t>What are the changes?</w:t>
      </w:r>
    </w:p>
    <w:p w:rsidR="00E27AE9" w:rsidRPr="00E27AE9" w:rsidRDefault="00E27AE9" w:rsidP="00E27AE9">
      <w:r>
        <w:t>From 1 November 2018:</w:t>
      </w:r>
    </w:p>
    <w:p w:rsidR="00C440C3" w:rsidRPr="00302ABB" w:rsidRDefault="00C440C3" w:rsidP="00C440C3">
      <w:pPr>
        <w:rPr>
          <w:u w:val="single"/>
        </w:rPr>
      </w:pPr>
      <w:r>
        <w:rPr>
          <w:u w:val="single"/>
        </w:rPr>
        <w:t>N</w:t>
      </w:r>
      <w:r w:rsidRPr="00302ABB">
        <w:rPr>
          <w:u w:val="single"/>
        </w:rPr>
        <w:t>ew item</w:t>
      </w:r>
      <w:r>
        <w:rPr>
          <w:u w:val="single"/>
        </w:rPr>
        <w:t xml:space="preserve"> for dialysis supervision in very remote areas (Item 13105)</w:t>
      </w:r>
      <w:r w:rsidRPr="00302ABB">
        <w:rPr>
          <w:u w:val="single"/>
        </w:rPr>
        <w:t>:</w:t>
      </w:r>
    </w:p>
    <w:p w:rsidR="00C440C3" w:rsidRPr="006B5261" w:rsidRDefault="00A8422E" w:rsidP="00C440C3">
      <w:pPr>
        <w:pStyle w:val="ListParagraph"/>
        <w:numPr>
          <w:ilvl w:val="0"/>
          <w:numId w:val="24"/>
        </w:numPr>
        <w:spacing w:before="0" w:after="0"/>
      </w:pPr>
      <w:r w:rsidRPr="006B5261">
        <w:t>Registered nurses, Aboriginal Health workers and Aboriginal and Torres Strait Islander health p</w:t>
      </w:r>
      <w:r w:rsidR="00C440C3" w:rsidRPr="006B5261">
        <w:t>ractiti</w:t>
      </w:r>
      <w:r w:rsidRPr="006B5261">
        <w:t>oners will be able to bill item 13105 for the</w:t>
      </w:r>
      <w:r w:rsidR="00C440C3" w:rsidRPr="006B5261">
        <w:t xml:space="preserve"> </w:t>
      </w:r>
      <w:r w:rsidRPr="006B5261">
        <w:t>supervision of dialysis in very remote areas of Australia defined as Modified Monash Model 7.</w:t>
      </w:r>
    </w:p>
    <w:p w:rsidR="00C440C3" w:rsidRPr="006B5261" w:rsidRDefault="00A8422E" w:rsidP="00C440C3">
      <w:pPr>
        <w:pStyle w:val="ListParagraph"/>
        <w:numPr>
          <w:ilvl w:val="0"/>
          <w:numId w:val="24"/>
        </w:numPr>
        <w:spacing w:before="0" w:after="0"/>
      </w:pPr>
      <w:r w:rsidRPr="006B5261">
        <w:t>The service must be supervised by a medical practitioner, either in person or remotely.</w:t>
      </w:r>
    </w:p>
    <w:p w:rsidR="00A8422E" w:rsidRPr="006B5261" w:rsidRDefault="00A8422E" w:rsidP="00C440C3">
      <w:pPr>
        <w:pStyle w:val="ListParagraph"/>
        <w:numPr>
          <w:ilvl w:val="0"/>
          <w:numId w:val="24"/>
        </w:numPr>
        <w:spacing w:before="0" w:after="0"/>
      </w:pPr>
      <w:r w:rsidRPr="006B5261">
        <w:t xml:space="preserve">The patient’s care must be managed by a nephrologist, who must treat or review </w:t>
      </w:r>
      <w:r w:rsidR="006B5261" w:rsidRPr="006B5261">
        <w:t xml:space="preserve">the patient </w:t>
      </w:r>
      <w:r w:rsidRPr="006B5261">
        <w:t>in person or remotely every 3 to 6 months.</w:t>
      </w:r>
    </w:p>
    <w:p w:rsidR="00A8422E" w:rsidRPr="006B5261" w:rsidRDefault="00A8422E" w:rsidP="00C440C3">
      <w:pPr>
        <w:pStyle w:val="ListParagraph"/>
        <w:numPr>
          <w:ilvl w:val="0"/>
          <w:numId w:val="24"/>
        </w:numPr>
        <w:spacing w:before="0" w:after="0"/>
      </w:pPr>
      <w:r w:rsidRPr="006B5261">
        <w:t>The patient cannot be an admitted patient of a hospital.</w:t>
      </w:r>
    </w:p>
    <w:p w:rsidR="00C440C3" w:rsidRPr="00C440C3" w:rsidRDefault="00C440C3" w:rsidP="00C440C3">
      <w:pPr>
        <w:rPr>
          <w:u w:val="single"/>
        </w:rPr>
      </w:pPr>
      <w:r w:rsidRPr="00C440C3">
        <w:rPr>
          <w:u w:val="single"/>
        </w:rPr>
        <w:t xml:space="preserve">Amendments to indwelling peritoneal catheter for dialysis (Items 13109 and 13110): </w:t>
      </w:r>
    </w:p>
    <w:p w:rsidR="00C440C3" w:rsidRPr="00C440C3" w:rsidRDefault="00C440C3" w:rsidP="00C440C3">
      <w:pPr>
        <w:numPr>
          <w:ilvl w:val="0"/>
          <w:numId w:val="26"/>
        </w:numPr>
        <w:rPr>
          <w:b/>
        </w:rPr>
      </w:pPr>
      <w:r w:rsidRPr="00C440C3">
        <w:t>The descriptor for item 13110 has been amended to align with the descriptor for item 13109.</w:t>
      </w:r>
    </w:p>
    <w:p w:rsidR="00C440C3" w:rsidRPr="003670CE" w:rsidRDefault="00C440C3" w:rsidP="00C440C3">
      <w:pPr>
        <w:rPr>
          <w:u w:val="single"/>
        </w:rPr>
      </w:pPr>
      <w:r w:rsidRPr="00C440C3">
        <w:rPr>
          <w:u w:val="single"/>
        </w:rPr>
        <w:t>Removal of insertion of temporary catheter for peritoneal dialysis item (Item 13112)</w:t>
      </w:r>
      <w:r w:rsidRPr="003670CE">
        <w:rPr>
          <w:u w:val="single"/>
        </w:rPr>
        <w:t>:</w:t>
      </w:r>
    </w:p>
    <w:p w:rsidR="00C440C3" w:rsidRPr="003670CE" w:rsidRDefault="00C440C3" w:rsidP="00C440C3">
      <w:pPr>
        <w:numPr>
          <w:ilvl w:val="0"/>
          <w:numId w:val="24"/>
        </w:numPr>
        <w:spacing w:before="0" w:after="0"/>
        <w:contextualSpacing/>
      </w:pPr>
      <w:r w:rsidRPr="003670CE">
        <w:t>Item 13112 for the establishment of peritoneal dialysis by abdominal puncture and insertion of a temporary catheter removed from the MBS.</w:t>
      </w:r>
    </w:p>
    <w:p w:rsidR="00C440C3" w:rsidRDefault="00C440C3" w:rsidP="00C440C3">
      <w:pPr>
        <w:pStyle w:val="Heading3"/>
      </w:pPr>
      <w:r>
        <w:t>Why are the changes being made?</w:t>
      </w:r>
    </w:p>
    <w:p w:rsidR="00E27AE9" w:rsidRDefault="00C440C3" w:rsidP="00C440C3">
      <w:r w:rsidRPr="00EC73C4">
        <w:t xml:space="preserve">These changes are </w:t>
      </w:r>
      <w:r>
        <w:t xml:space="preserve">a result </w:t>
      </w:r>
      <w:r w:rsidRPr="00EC73C4">
        <w:t xml:space="preserve">of </w:t>
      </w:r>
      <w:r>
        <w:t xml:space="preserve">a review by MBS </w:t>
      </w:r>
      <w:r w:rsidRPr="00EC73C4">
        <w:t>Review Taskforce</w:t>
      </w:r>
      <w:r>
        <w:t>, which was informed by the Renal Clinical Committee (RCC)</w:t>
      </w:r>
      <w:r w:rsidRPr="00EC73C4">
        <w:t>.</w:t>
      </w:r>
      <w:r>
        <w:t xml:space="preserve"> More information about the Taskforce and associated committees is available at </w:t>
      </w:r>
      <w:hyperlink r:id="rId8" w:history="1">
        <w:r w:rsidRPr="005A1B83">
          <w:rPr>
            <w:rStyle w:val="Hyperlink"/>
          </w:rPr>
          <w:t>MBS Review Taskforce</w:t>
        </w:r>
      </w:hyperlink>
      <w:r>
        <w:t xml:space="preserve"> website. </w:t>
      </w:r>
    </w:p>
    <w:p w:rsidR="00C440C3" w:rsidRDefault="00E27AE9" w:rsidP="00C440C3">
      <w:r>
        <w:t xml:space="preserve">A complete copy of the RCC’s final report can be found </w:t>
      </w:r>
      <w:r w:rsidR="00C440C3">
        <w:t xml:space="preserve">at the </w:t>
      </w:r>
      <w:hyperlink r:id="rId9" w:history="1">
        <w:r w:rsidR="00C440C3">
          <w:rPr>
            <w:rStyle w:val="Hyperlink"/>
          </w:rPr>
          <w:t>Renal</w:t>
        </w:r>
        <w:r w:rsidR="00C440C3" w:rsidRPr="005A1B83">
          <w:rPr>
            <w:rStyle w:val="Hyperlink"/>
          </w:rPr>
          <w:t xml:space="preserve"> Clinical Committee</w:t>
        </w:r>
      </w:hyperlink>
      <w:r w:rsidR="00C440C3">
        <w:t xml:space="preserve"> website.</w:t>
      </w:r>
    </w:p>
    <w:p w:rsidR="002A22C7" w:rsidRDefault="002A22C7" w:rsidP="00C440C3">
      <w:r>
        <w:t xml:space="preserve">Implementation of changes to items for weekly dialysis and the insertion and removal of arteriovenous shunts, also recommended as part of this review, have been deferred pending further consultation with providers in the first instance and consultation by the vascular clinical committee of the taskforce for arteriovenous shunts. </w:t>
      </w:r>
    </w:p>
    <w:p w:rsidR="002A22C7" w:rsidRDefault="002A22C7" w:rsidP="00C440C3">
      <w:r>
        <w:t xml:space="preserve">Further information on these changes will be provided in due course. </w:t>
      </w:r>
    </w:p>
    <w:p w:rsidR="005B0FF3" w:rsidRPr="005B0FF3" w:rsidRDefault="005B0FF3" w:rsidP="005B0FF3">
      <w:pPr>
        <w:pStyle w:val="Heading3"/>
      </w:pPr>
      <w:r w:rsidRPr="005B0FF3">
        <w:t xml:space="preserve">What does this mean for </w:t>
      </w:r>
      <w:r w:rsidR="00E27AE9">
        <w:t>providers</w:t>
      </w:r>
      <w:r w:rsidRPr="005B0FF3">
        <w:t>?</w:t>
      </w:r>
    </w:p>
    <w:p w:rsidR="004B2657" w:rsidRPr="006B5261" w:rsidRDefault="004B2657" w:rsidP="005B0FF3">
      <w:r w:rsidRPr="006B5261">
        <w:t>Registered nurses, Aboriginal Health workers and Aboriginal and Torres Strait Islander health practitioners delivering dialysis services in very remote communities defined by Modified Monash Model 7 will now be able to utilise a new MBS item, provided they meet the other requirements of the item descriptor.</w:t>
      </w:r>
    </w:p>
    <w:p w:rsidR="00EC73C4" w:rsidRPr="006B5261" w:rsidRDefault="00E27AE9" w:rsidP="00EC73C4">
      <w:pPr>
        <w:pStyle w:val="Heading3"/>
      </w:pPr>
      <w:r>
        <w:t>What does this mean for patients</w:t>
      </w:r>
      <w:r w:rsidR="00643424" w:rsidRPr="006B5261">
        <w:t xml:space="preserve">? </w:t>
      </w:r>
    </w:p>
    <w:p w:rsidR="002A22C7" w:rsidRPr="006B5261" w:rsidRDefault="002A22C7" w:rsidP="002A22C7">
      <w:r w:rsidRPr="006B5261">
        <w:t>Having dialysis funding available for services in very remote areas will provide greater access for patients, leading to better attendance for dialysis and improved health outcomes.</w:t>
      </w:r>
    </w:p>
    <w:p w:rsidR="002A22C7" w:rsidRDefault="002A22C7" w:rsidP="002A22C7">
      <w:r w:rsidRPr="006B5261">
        <w:t>This change will also help address the economic, cultural and social impacts on Indigenous Australian renal patients by providing greater access for these services on country.</w:t>
      </w:r>
    </w:p>
    <w:p w:rsidR="0036382A" w:rsidRDefault="0036382A" w:rsidP="0036382A">
      <w:r>
        <w:lastRenderedPageBreak/>
        <w:t>Patients should not be negatively affected by removed or amended items, and will have continued access to clinically relevant services.</w:t>
      </w:r>
    </w:p>
    <w:p w:rsidR="00C440C3" w:rsidRDefault="00E27AE9" w:rsidP="00C440C3">
      <w:pPr>
        <w:pStyle w:val="Heading3"/>
      </w:pPr>
      <w:r>
        <w:t>When will this change be reviewed</w:t>
      </w:r>
      <w:r w:rsidR="00C440C3">
        <w:t xml:space="preserve">? </w:t>
      </w:r>
    </w:p>
    <w:p w:rsidR="00E27AE9" w:rsidRDefault="00E27AE9" w:rsidP="00E27AE9">
      <w:r>
        <w:t xml:space="preserve">The Department of Health </w:t>
      </w:r>
      <w:r w:rsidRPr="007E14C4">
        <w:t xml:space="preserve">regularly </w:t>
      </w:r>
      <w:r>
        <w:t xml:space="preserve">reviews </w:t>
      </w:r>
      <w:r w:rsidRPr="007E14C4">
        <w:t>the usage of new and amended MBS items</w:t>
      </w:r>
      <w:r>
        <w:t xml:space="preserve"> in consultation with the profession. </w:t>
      </w:r>
    </w:p>
    <w:p w:rsidR="00E27AE9" w:rsidRDefault="00E27AE9" w:rsidP="00E27AE9">
      <w:r>
        <w:t>All MBS</w:t>
      </w:r>
      <w:r w:rsidRPr="007E14C4">
        <w:t xml:space="preserve"> items</w:t>
      </w:r>
      <w:r>
        <w:t xml:space="preserve"> may be subject to compliance processes and activities, including random and targeted audits which may require a provider to submit information about the services claimed. </w:t>
      </w:r>
    </w:p>
    <w:p w:rsidR="00E27AE9" w:rsidRDefault="00E27AE9" w:rsidP="00E27AE9">
      <w:r>
        <w:t>Significant variation from forecasted expenditure may warrant review and amendment of fees, and incorrect use of MBS items can result in penalties including the health professional being asked to repay monies that have been incorrectly received.</w:t>
      </w:r>
    </w:p>
    <w:p w:rsidR="005B0FF3" w:rsidRPr="004C4DD0" w:rsidRDefault="005B0FF3" w:rsidP="005B0FF3">
      <w:pPr>
        <w:pStyle w:val="Heading3"/>
      </w:pPr>
      <w:r w:rsidRPr="004C4DD0">
        <w:t>Where can I find more information?</w:t>
      </w:r>
    </w:p>
    <w:p w:rsidR="00E27AE9" w:rsidRPr="002A22C7" w:rsidRDefault="00E27AE9" w:rsidP="00E27AE9">
      <w:pPr>
        <w:rPr>
          <w:rFonts w:eastAsiaTheme="minorHAnsi" w:cstheme="minorBidi"/>
        </w:rPr>
      </w:pPr>
      <w:r>
        <w:t>The full item descriptor and</w:t>
      </w:r>
      <w:r w:rsidRPr="007E14C4">
        <w:t xml:space="preserve"> information on other changes to the MBS</w:t>
      </w:r>
      <w:r>
        <w:t xml:space="preserve"> can be found at the </w:t>
      </w:r>
      <w:hyperlink r:id="rId10" w:history="1">
        <w:r w:rsidRPr="00E50D29">
          <w:rPr>
            <w:rStyle w:val="Hyperlink"/>
            <w:rFonts w:eastAsiaTheme="majorEastAsia"/>
          </w:rPr>
          <w:t>MBS Online website</w:t>
        </w:r>
      </w:hyperlink>
      <w:r>
        <w:t xml:space="preserve"> or by calling the Department of Human Services on 132 150. </w:t>
      </w:r>
    </w:p>
    <w:p w:rsidR="003266AD" w:rsidRPr="00E27AE9" w:rsidRDefault="00E27AE9" w:rsidP="00E27AE9">
      <w:r>
        <w:rPr>
          <w:rFonts w:eastAsiaTheme="majorEastAsia" w:cs="Arial"/>
          <w:bCs/>
          <w:color w:val="117254"/>
          <w:sz w:val="28"/>
          <w:szCs w:val="28"/>
        </w:rPr>
        <w:t>New and amended items</w:t>
      </w:r>
    </w:p>
    <w:p w:rsidR="00E27AE9" w:rsidRPr="00075577" w:rsidRDefault="000D306A" w:rsidP="00E27AE9">
      <w:pPr>
        <w:rPr>
          <w:lang w:eastAsia="en-AU"/>
        </w:rPr>
      </w:pPr>
      <w:r>
        <w:t>(Draft wording of items to be finalised through regulatory amendments)</w:t>
      </w:r>
    </w:p>
    <w:tbl>
      <w:tblPr>
        <w:tblW w:w="9639" w:type="dxa"/>
        <w:tblInd w:w="-459" w:type="dxa"/>
        <w:tblCellMar>
          <w:left w:w="0" w:type="dxa"/>
          <w:right w:w="0" w:type="dxa"/>
        </w:tblCellMar>
        <w:tblLook w:val="04A0" w:firstRow="1" w:lastRow="0" w:firstColumn="1" w:lastColumn="0" w:noHBand="0" w:noVBand="1"/>
      </w:tblPr>
      <w:tblGrid>
        <w:gridCol w:w="1048"/>
        <w:gridCol w:w="7396"/>
        <w:gridCol w:w="1195"/>
      </w:tblGrid>
      <w:tr w:rsidR="00295663" w:rsidRPr="00AF68DF" w:rsidTr="00295663">
        <w:tc>
          <w:tcPr>
            <w:tcW w:w="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95663" w:rsidRPr="00E27AE9" w:rsidRDefault="00295663" w:rsidP="00CC7AFE">
            <w:pPr>
              <w:rPr>
                <w:rFonts w:eastAsia="Calibri" w:cs="Arial"/>
                <w:b/>
                <w:bCs/>
                <w:szCs w:val="22"/>
              </w:rPr>
            </w:pPr>
            <w:r w:rsidRPr="00E27AE9">
              <w:rPr>
                <w:rFonts w:eastAsia="Calibri" w:cs="Arial"/>
                <w:b/>
                <w:bCs/>
                <w:szCs w:val="22"/>
              </w:rPr>
              <w:t>Item Number</w:t>
            </w:r>
          </w:p>
        </w:tc>
        <w:tc>
          <w:tcPr>
            <w:tcW w:w="7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95663" w:rsidRPr="00E27AE9" w:rsidRDefault="00295663" w:rsidP="00CC7AFE">
            <w:pPr>
              <w:rPr>
                <w:rFonts w:eastAsia="Calibri" w:cs="Arial"/>
                <w:b/>
                <w:bCs/>
                <w:szCs w:val="22"/>
              </w:rPr>
            </w:pPr>
            <w:r w:rsidRPr="00E27AE9">
              <w:rPr>
                <w:rFonts w:eastAsia="Calibri" w:cs="Arial"/>
                <w:b/>
                <w:bCs/>
                <w:szCs w:val="22"/>
              </w:rPr>
              <w:t>Descriptor</w:t>
            </w:r>
          </w:p>
        </w:tc>
        <w:tc>
          <w:tcPr>
            <w:tcW w:w="9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95663" w:rsidRPr="00E27AE9" w:rsidRDefault="00295663" w:rsidP="00CC7AFE">
            <w:pPr>
              <w:rPr>
                <w:rFonts w:eastAsia="Calibri" w:cs="Arial"/>
                <w:b/>
                <w:bCs/>
                <w:szCs w:val="22"/>
              </w:rPr>
            </w:pPr>
            <w:r w:rsidRPr="00E27AE9">
              <w:rPr>
                <w:rFonts w:eastAsia="Calibri" w:cs="Arial"/>
                <w:b/>
                <w:bCs/>
                <w:szCs w:val="22"/>
              </w:rPr>
              <w:t>Schedule fee</w:t>
            </w:r>
          </w:p>
        </w:tc>
      </w:tr>
      <w:tr w:rsidR="00295663" w:rsidRPr="00AF68DF" w:rsidTr="00295663">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5663" w:rsidRPr="00E27AE9" w:rsidRDefault="00295663" w:rsidP="00CC7AFE">
            <w:pPr>
              <w:rPr>
                <w:rFonts w:eastAsia="Calibri" w:cs="Arial"/>
                <w:b/>
                <w:bCs/>
                <w:color w:val="000000"/>
                <w:szCs w:val="22"/>
                <w:lang w:eastAsia="en-AU"/>
              </w:rPr>
            </w:pPr>
            <w:r w:rsidRPr="00E27AE9">
              <w:rPr>
                <w:rFonts w:eastAsia="Calibri" w:cs="Arial"/>
                <w:b/>
                <w:bCs/>
                <w:color w:val="000000"/>
                <w:szCs w:val="22"/>
                <w:lang w:eastAsia="en-AU"/>
              </w:rPr>
              <w:t>13105</w:t>
            </w:r>
          </w:p>
          <w:p w:rsidR="00295663" w:rsidRPr="00E27AE9" w:rsidRDefault="00295663" w:rsidP="00CC7AFE">
            <w:pPr>
              <w:rPr>
                <w:rFonts w:eastAsia="Calibri" w:cs="Arial"/>
                <w:bCs/>
                <w:color w:val="000000"/>
                <w:szCs w:val="22"/>
                <w:lang w:eastAsia="en-AU"/>
              </w:rPr>
            </w:pPr>
            <w:r w:rsidRPr="00E27AE9">
              <w:rPr>
                <w:rFonts w:eastAsia="Calibri" w:cs="Arial"/>
                <w:bCs/>
                <w:color w:val="000000"/>
                <w:szCs w:val="22"/>
                <w:lang w:eastAsia="en-AU"/>
              </w:rPr>
              <w:t>NEW ITEM</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rsidR="00295663" w:rsidRPr="00E27AE9" w:rsidRDefault="00295663" w:rsidP="00A8422E">
            <w:pPr>
              <w:pStyle w:val="NormalWeb"/>
              <w:rPr>
                <w:rFonts w:ascii="Arial" w:eastAsiaTheme="minorHAnsi" w:hAnsi="Arial" w:cstheme="minorBidi"/>
                <w:sz w:val="22"/>
                <w:lang w:eastAsia="en-US"/>
              </w:rPr>
            </w:pPr>
            <w:r w:rsidRPr="00E27AE9">
              <w:rPr>
                <w:rFonts w:ascii="Arial" w:eastAsiaTheme="minorHAnsi" w:hAnsi="Arial" w:cstheme="minorBidi"/>
                <w:sz w:val="22"/>
                <w:lang w:eastAsia="en-US"/>
              </w:rPr>
              <w:t>Haemodialysis for a patient with end</w:t>
            </w:r>
            <w:r w:rsidRPr="00E27AE9">
              <w:rPr>
                <w:rFonts w:ascii="Arial" w:eastAsiaTheme="minorHAnsi" w:hAnsi="Arial" w:cstheme="minorBidi"/>
                <w:sz w:val="22"/>
                <w:lang w:eastAsia="en-US"/>
              </w:rPr>
              <w:noBreakHyphen/>
              <w:t>stage renal disease if:</w:t>
            </w:r>
          </w:p>
          <w:p w:rsidR="00295663" w:rsidRPr="00E27AE9" w:rsidRDefault="00295663" w:rsidP="00A8422E">
            <w:pPr>
              <w:pStyle w:val="NormalWeb"/>
              <w:rPr>
                <w:rFonts w:ascii="Arial" w:eastAsiaTheme="minorHAnsi" w:hAnsi="Arial" w:cstheme="minorBidi"/>
                <w:sz w:val="22"/>
                <w:lang w:eastAsia="en-US"/>
              </w:rPr>
            </w:pPr>
            <w:r w:rsidRPr="00E27AE9">
              <w:rPr>
                <w:rFonts w:ascii="Arial" w:eastAsiaTheme="minorHAnsi" w:hAnsi="Arial" w:cstheme="minorBidi"/>
                <w:sz w:val="22"/>
                <w:lang w:eastAsia="en-US"/>
              </w:rPr>
              <w:t>(a) the service is provided by a registered nurse, an Aboriginal health worker or an Aboriginal and Torres Strait Islander health practitioner on behalf of a medical practitioner; and</w:t>
            </w:r>
          </w:p>
          <w:p w:rsidR="00295663" w:rsidRPr="00E27AE9" w:rsidRDefault="00295663" w:rsidP="00A8422E">
            <w:pPr>
              <w:pStyle w:val="NormalWeb"/>
              <w:rPr>
                <w:rFonts w:ascii="Arial" w:eastAsiaTheme="minorHAnsi" w:hAnsi="Arial" w:cstheme="minorBidi"/>
                <w:sz w:val="22"/>
                <w:lang w:eastAsia="en-US"/>
              </w:rPr>
            </w:pPr>
            <w:r w:rsidRPr="00E27AE9">
              <w:rPr>
                <w:rFonts w:ascii="Arial" w:eastAsiaTheme="minorHAnsi" w:hAnsi="Arial" w:cstheme="minorBidi"/>
                <w:sz w:val="22"/>
                <w:lang w:eastAsia="en-US"/>
              </w:rPr>
              <w:t>(b) the service is supervised by the medical practitioner (either in person or remotely); and</w:t>
            </w:r>
          </w:p>
          <w:p w:rsidR="00295663" w:rsidRPr="00E27AE9" w:rsidRDefault="00295663" w:rsidP="00A8422E">
            <w:pPr>
              <w:pStyle w:val="NormalWeb"/>
              <w:rPr>
                <w:rFonts w:ascii="Arial" w:eastAsiaTheme="minorHAnsi" w:hAnsi="Arial" w:cstheme="minorBidi"/>
                <w:sz w:val="22"/>
                <w:lang w:eastAsia="en-US"/>
              </w:rPr>
            </w:pPr>
            <w:r w:rsidRPr="00E27AE9">
              <w:rPr>
                <w:rFonts w:ascii="Arial" w:eastAsiaTheme="minorHAnsi" w:hAnsi="Arial" w:cstheme="minorBidi"/>
                <w:sz w:val="22"/>
                <w:lang w:eastAsia="en-US"/>
              </w:rPr>
              <w:t>(c) the patient’s care is managed by a nephrologist; and</w:t>
            </w:r>
          </w:p>
          <w:p w:rsidR="00295663" w:rsidRPr="00E27AE9" w:rsidRDefault="00295663" w:rsidP="00A8422E">
            <w:pPr>
              <w:pStyle w:val="NormalWeb"/>
              <w:rPr>
                <w:rFonts w:ascii="Arial" w:eastAsiaTheme="minorHAnsi" w:hAnsi="Arial" w:cstheme="minorBidi"/>
                <w:sz w:val="22"/>
                <w:lang w:eastAsia="en-US"/>
              </w:rPr>
            </w:pPr>
            <w:r w:rsidRPr="00E27AE9">
              <w:rPr>
                <w:rFonts w:ascii="Arial" w:eastAsiaTheme="minorHAnsi" w:hAnsi="Arial" w:cstheme="minorBidi"/>
                <w:sz w:val="22"/>
                <w:lang w:eastAsia="en-US"/>
              </w:rPr>
              <w:t>(d) the patient is treated or reviewed by the nephrologist every 3 to 6 months (either in person or remotely); and</w:t>
            </w:r>
          </w:p>
          <w:p w:rsidR="00295663" w:rsidRPr="00E27AE9" w:rsidRDefault="00295663" w:rsidP="00A8422E">
            <w:pPr>
              <w:pStyle w:val="NormalWeb"/>
              <w:rPr>
                <w:rFonts w:ascii="Arial" w:eastAsiaTheme="minorHAnsi" w:hAnsi="Arial" w:cstheme="minorBidi"/>
                <w:sz w:val="22"/>
                <w:lang w:eastAsia="en-US"/>
              </w:rPr>
            </w:pPr>
            <w:r w:rsidRPr="00E27AE9">
              <w:rPr>
                <w:rFonts w:ascii="Arial" w:eastAsiaTheme="minorHAnsi" w:hAnsi="Arial" w:cstheme="minorBidi"/>
                <w:sz w:val="22"/>
                <w:lang w:eastAsia="en-US"/>
              </w:rPr>
              <w:t>(e) the patient is not an admitted patient of a hospital; and</w:t>
            </w:r>
          </w:p>
          <w:p w:rsidR="00295663" w:rsidRPr="00E27AE9" w:rsidRDefault="00295663" w:rsidP="00A8422E">
            <w:pPr>
              <w:pStyle w:val="NormalWeb"/>
              <w:rPr>
                <w:rFonts w:ascii="Arial" w:eastAsiaTheme="minorHAnsi" w:hAnsi="Arial" w:cstheme="minorBidi"/>
                <w:sz w:val="22"/>
                <w:lang w:eastAsia="en-US"/>
              </w:rPr>
            </w:pPr>
            <w:r w:rsidRPr="00E27AE9">
              <w:rPr>
                <w:rFonts w:ascii="Arial" w:eastAsiaTheme="minorHAnsi" w:hAnsi="Arial" w:cstheme="minorBidi"/>
                <w:sz w:val="22"/>
                <w:lang w:eastAsia="en-US"/>
              </w:rPr>
              <w:t>(f) the service is provided in a Modified Monash 7 area</w:t>
            </w:r>
          </w:p>
          <w:p w:rsidR="00295663" w:rsidRPr="00E27AE9" w:rsidRDefault="00295663" w:rsidP="00A8422E">
            <w:pPr>
              <w:pStyle w:val="NormalWeb"/>
              <w:rPr>
                <w:rFonts w:ascii="Arial" w:eastAsiaTheme="minorHAnsi" w:hAnsi="Arial" w:cstheme="minorBidi"/>
                <w:sz w:val="22"/>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95663" w:rsidRPr="00E27AE9" w:rsidRDefault="00295663" w:rsidP="00A8422E">
            <w:pPr>
              <w:rPr>
                <w:rFonts w:eastAsiaTheme="minorHAnsi" w:cstheme="minorBidi"/>
              </w:rPr>
            </w:pPr>
            <w:r w:rsidRPr="00E27AE9">
              <w:rPr>
                <w:rFonts w:eastAsiaTheme="minorHAnsi" w:cstheme="minorBidi"/>
              </w:rPr>
              <w:t>$592.00</w:t>
            </w:r>
          </w:p>
        </w:tc>
      </w:tr>
      <w:tr w:rsidR="00295663" w:rsidRPr="00AF68DF" w:rsidTr="00295663">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5663" w:rsidRPr="00E27AE9" w:rsidRDefault="00295663" w:rsidP="00CC7AFE">
            <w:pPr>
              <w:rPr>
                <w:rFonts w:eastAsia="Calibri" w:cs="Arial"/>
                <w:b/>
                <w:bCs/>
                <w:szCs w:val="22"/>
              </w:rPr>
            </w:pPr>
            <w:r w:rsidRPr="00E27AE9">
              <w:rPr>
                <w:rFonts w:eastAsia="Calibri" w:cs="Arial"/>
                <w:b/>
                <w:bCs/>
                <w:szCs w:val="22"/>
              </w:rPr>
              <w:t>13110</w:t>
            </w:r>
          </w:p>
          <w:p w:rsidR="00295663" w:rsidRPr="00E27AE9" w:rsidRDefault="00295663" w:rsidP="00CC7AFE">
            <w:pPr>
              <w:rPr>
                <w:rFonts w:eastAsia="Calibri" w:cs="Arial"/>
                <w:bCs/>
                <w:szCs w:val="22"/>
              </w:rPr>
            </w:pPr>
            <w:r w:rsidRPr="00E27AE9">
              <w:rPr>
                <w:rFonts w:eastAsia="Calibri" w:cs="Arial"/>
                <w:bCs/>
                <w:szCs w:val="22"/>
              </w:rPr>
              <w:t>AMEND ITEM</w:t>
            </w:r>
          </w:p>
        </w:tc>
        <w:tc>
          <w:tcPr>
            <w:tcW w:w="7710" w:type="dxa"/>
            <w:tcBorders>
              <w:top w:val="nil"/>
              <w:left w:val="nil"/>
              <w:bottom w:val="single" w:sz="8" w:space="0" w:color="auto"/>
              <w:right w:val="single" w:sz="8" w:space="0" w:color="auto"/>
            </w:tcBorders>
            <w:tcMar>
              <w:top w:w="0" w:type="dxa"/>
              <w:left w:w="108" w:type="dxa"/>
              <w:bottom w:w="0" w:type="dxa"/>
              <w:right w:w="108" w:type="dxa"/>
            </w:tcMar>
          </w:tcPr>
          <w:p w:rsidR="00295663" w:rsidRPr="00E27AE9" w:rsidRDefault="00295663" w:rsidP="00F825A5">
            <w:pPr>
              <w:spacing w:before="100" w:beforeAutospacing="1" w:after="200" w:line="161" w:lineRule="atLeast"/>
              <w:rPr>
                <w:rFonts w:eastAsiaTheme="minorHAnsi" w:cstheme="minorBidi"/>
              </w:rPr>
            </w:pPr>
            <w:r w:rsidRPr="00E27AE9">
              <w:rPr>
                <w:rFonts w:eastAsiaTheme="minorHAnsi" w:cstheme="minorBidi"/>
              </w:rPr>
              <w:t>Indwelling peritoneal catheter (Tenckhoff or similar) for dialysis, removal of (including catheter cuffs).  (Anaes.)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295663" w:rsidRPr="00E27AE9" w:rsidRDefault="00295663" w:rsidP="00CC7AFE">
            <w:pPr>
              <w:rPr>
                <w:rFonts w:eastAsiaTheme="minorHAnsi" w:cstheme="minorBidi"/>
              </w:rPr>
            </w:pPr>
            <w:r w:rsidRPr="00E27AE9">
              <w:rPr>
                <w:rFonts w:eastAsiaTheme="minorHAnsi" w:cstheme="minorBidi"/>
              </w:rPr>
              <w:t>$228.50</w:t>
            </w:r>
          </w:p>
        </w:tc>
      </w:tr>
    </w:tbl>
    <w:p w:rsidR="00050BD1" w:rsidRDefault="00050BD1" w:rsidP="00295663">
      <w:pPr>
        <w:pStyle w:val="Heading3"/>
        <w:spacing w:before="360"/>
        <w:rPr>
          <w:bCs w:val="0"/>
          <w:sz w:val="20"/>
          <w:szCs w:val="20"/>
        </w:rPr>
      </w:pPr>
    </w:p>
    <w:p w:rsidR="000D306A" w:rsidRPr="000D306A" w:rsidRDefault="000D306A" w:rsidP="000D306A"/>
    <w:tbl>
      <w:tblPr>
        <w:tblW w:w="544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573"/>
      </w:tblGrid>
      <w:tr w:rsidR="000D306A" w:rsidRPr="00583607" w:rsidTr="000D306A">
        <w:tc>
          <w:tcPr>
            <w:tcW w:w="634" w:type="pct"/>
            <w:tcBorders>
              <w:top w:val="single" w:sz="4" w:space="0" w:color="auto"/>
              <w:left w:val="single" w:sz="4" w:space="0" w:color="auto"/>
              <w:bottom w:val="single" w:sz="4" w:space="0" w:color="auto"/>
              <w:right w:val="single" w:sz="4" w:space="0" w:color="auto"/>
            </w:tcBorders>
            <w:hideMark/>
          </w:tcPr>
          <w:p w:rsidR="000D306A" w:rsidRPr="000D306A" w:rsidRDefault="000D306A" w:rsidP="00A22565">
            <w:pPr>
              <w:rPr>
                <w:b/>
                <w:szCs w:val="22"/>
              </w:rPr>
            </w:pPr>
            <w:r w:rsidRPr="000D306A">
              <w:rPr>
                <w:b/>
                <w:szCs w:val="22"/>
              </w:rPr>
              <w:lastRenderedPageBreak/>
              <w:t>Number</w:t>
            </w:r>
          </w:p>
        </w:tc>
        <w:tc>
          <w:tcPr>
            <w:tcW w:w="4366" w:type="pct"/>
            <w:tcBorders>
              <w:top w:val="single" w:sz="4" w:space="0" w:color="auto"/>
              <w:left w:val="single" w:sz="4" w:space="0" w:color="auto"/>
              <w:bottom w:val="single" w:sz="4" w:space="0" w:color="auto"/>
              <w:right w:val="single" w:sz="4" w:space="0" w:color="auto"/>
            </w:tcBorders>
            <w:hideMark/>
          </w:tcPr>
          <w:p w:rsidR="000D306A" w:rsidRPr="000D306A" w:rsidRDefault="000D306A" w:rsidP="00A22565">
            <w:pPr>
              <w:rPr>
                <w:b/>
                <w:szCs w:val="22"/>
              </w:rPr>
            </w:pPr>
            <w:r w:rsidRPr="000D306A">
              <w:rPr>
                <w:b/>
                <w:szCs w:val="22"/>
              </w:rPr>
              <w:t xml:space="preserve">Explanatory Note </w:t>
            </w:r>
          </w:p>
        </w:tc>
      </w:tr>
      <w:tr w:rsidR="000D306A" w:rsidRPr="00583607" w:rsidTr="000D306A">
        <w:tc>
          <w:tcPr>
            <w:tcW w:w="634" w:type="pct"/>
            <w:tcBorders>
              <w:top w:val="single" w:sz="4" w:space="0" w:color="auto"/>
              <w:left w:val="single" w:sz="4" w:space="0" w:color="auto"/>
              <w:bottom w:val="single" w:sz="4" w:space="0" w:color="auto"/>
              <w:right w:val="single" w:sz="4" w:space="0" w:color="auto"/>
            </w:tcBorders>
            <w:hideMark/>
          </w:tcPr>
          <w:p w:rsidR="000D306A" w:rsidRPr="000D306A" w:rsidRDefault="000D306A" w:rsidP="00A22565">
            <w:pPr>
              <w:rPr>
                <w:szCs w:val="22"/>
              </w:rPr>
            </w:pPr>
            <w:r w:rsidRPr="000D306A">
              <w:rPr>
                <w:szCs w:val="22"/>
              </w:rPr>
              <w:t>TN.1.23</w:t>
            </w:r>
          </w:p>
          <w:p w:rsidR="000D306A" w:rsidRPr="000D306A" w:rsidRDefault="000D306A" w:rsidP="00A22565">
            <w:pPr>
              <w:rPr>
                <w:szCs w:val="22"/>
              </w:rPr>
            </w:pPr>
            <w:r w:rsidRPr="000D306A">
              <w:rPr>
                <w:b/>
                <w:szCs w:val="22"/>
              </w:rPr>
              <w:t>New note</w:t>
            </w:r>
          </w:p>
        </w:tc>
        <w:tc>
          <w:tcPr>
            <w:tcW w:w="4366" w:type="pct"/>
            <w:tcBorders>
              <w:top w:val="single" w:sz="4" w:space="0" w:color="auto"/>
              <w:left w:val="single" w:sz="4" w:space="0" w:color="auto"/>
              <w:bottom w:val="single" w:sz="4" w:space="0" w:color="auto"/>
              <w:right w:val="single" w:sz="4" w:space="0" w:color="auto"/>
            </w:tcBorders>
            <w:hideMark/>
          </w:tcPr>
          <w:p w:rsidR="000D306A" w:rsidRPr="000D306A" w:rsidRDefault="000D306A" w:rsidP="00A22565">
            <w:pPr>
              <w:rPr>
                <w:iCs/>
                <w:szCs w:val="22"/>
              </w:rPr>
            </w:pPr>
            <w:r w:rsidRPr="000D306A">
              <w:rPr>
                <w:bCs/>
                <w:iCs/>
                <w:szCs w:val="22"/>
              </w:rPr>
              <w:t xml:space="preserve">Haemodialysis in very remote areas (Item 13105) </w:t>
            </w:r>
          </w:p>
          <w:p w:rsidR="000D306A" w:rsidRPr="000D306A" w:rsidRDefault="000D306A" w:rsidP="00A22565">
            <w:pPr>
              <w:rPr>
                <w:iCs/>
                <w:szCs w:val="22"/>
              </w:rPr>
            </w:pPr>
            <w:r w:rsidRPr="000D306A">
              <w:rPr>
                <w:iCs/>
                <w:szCs w:val="22"/>
              </w:rPr>
              <w:t>The purpose of item 13105 is for the management of haemodialysis to a person with end-stage renal disease. The service is provided in very remote areas (defined as Modified Monash 7) by a registered nurse, an Aboriginal health worker or an Aboriginal and Torres Strait Islander health practitioner on behalf of a medical practitioner. The service is supervised by a medical practitioner (either in person or remotely).</w:t>
            </w:r>
          </w:p>
          <w:p w:rsidR="000D306A" w:rsidRPr="000D306A" w:rsidRDefault="000D306A" w:rsidP="00A22565">
            <w:pPr>
              <w:rPr>
                <w:iCs/>
                <w:szCs w:val="22"/>
              </w:rPr>
            </w:pPr>
            <w:r w:rsidRPr="000D306A">
              <w:rPr>
                <w:iCs/>
                <w:szCs w:val="22"/>
              </w:rPr>
              <w:t>As a condition of receiving the Medicare-funded dialysis treatment, the patient’s care  must be managed by a nephrologist, with the patient being treated or reviewed by the nephrologist every 3 to 6 months (either in person or remotely).</w:t>
            </w:r>
          </w:p>
          <w:p w:rsidR="000D306A" w:rsidRPr="000D306A" w:rsidRDefault="000D306A" w:rsidP="00A22565">
            <w:pPr>
              <w:rPr>
                <w:iCs/>
                <w:szCs w:val="22"/>
              </w:rPr>
            </w:pPr>
            <w:r w:rsidRPr="000D306A">
              <w:rPr>
                <w:iCs/>
                <w:szCs w:val="22"/>
              </w:rPr>
              <w:t>The patient is not an admitted patient of a hospital and the service is provided in a primary care setting.</w:t>
            </w:r>
          </w:p>
          <w:p w:rsidR="000D306A" w:rsidRPr="000D306A" w:rsidRDefault="000D306A" w:rsidP="00A22565">
            <w:pPr>
              <w:rPr>
                <w:iCs/>
                <w:szCs w:val="22"/>
              </w:rPr>
            </w:pPr>
            <w:r w:rsidRPr="000D306A">
              <w:rPr>
                <w:iCs/>
                <w:szCs w:val="22"/>
              </w:rPr>
              <w:t>Item 13104 should not be claimed if item 13105 is claimed</w:t>
            </w:r>
          </w:p>
          <w:p w:rsidR="000D306A" w:rsidRPr="000D306A" w:rsidRDefault="000D306A" w:rsidP="00A22565">
            <w:pPr>
              <w:rPr>
                <w:szCs w:val="22"/>
              </w:rPr>
            </w:pPr>
            <w:r w:rsidRPr="000D306A">
              <w:rPr>
                <w:szCs w:val="22"/>
              </w:rPr>
              <w:t>Item links: 13104</w:t>
            </w:r>
          </w:p>
        </w:tc>
      </w:tr>
    </w:tbl>
    <w:p w:rsidR="000D306A" w:rsidRPr="000D306A" w:rsidRDefault="000D306A" w:rsidP="000D306A"/>
    <w:sectPr w:rsidR="000D306A" w:rsidRPr="000D306A" w:rsidSect="00D56BF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A5" w:rsidRDefault="00F825A5" w:rsidP="00743091">
      <w:r>
        <w:separator/>
      </w:r>
    </w:p>
    <w:p w:rsidR="00F825A5" w:rsidRDefault="00F825A5" w:rsidP="00743091"/>
    <w:p w:rsidR="00F825A5" w:rsidRDefault="00F825A5" w:rsidP="00743091"/>
  </w:endnote>
  <w:endnote w:type="continuationSeparator" w:id="0">
    <w:p w:rsidR="00F825A5" w:rsidRDefault="00F825A5" w:rsidP="00743091">
      <w:r>
        <w:continuationSeparator/>
      </w:r>
    </w:p>
    <w:p w:rsidR="00F825A5" w:rsidRDefault="00F825A5" w:rsidP="00743091"/>
    <w:p w:rsidR="00F825A5" w:rsidRDefault="00F825A5"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A5" w:rsidRDefault="00F825A5" w:rsidP="00743091"/>
  <w:p w:rsidR="00F825A5" w:rsidRDefault="00F825A5" w:rsidP="007430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A5" w:rsidRPr="00A563EC" w:rsidRDefault="00F825A5"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b w:val="0"/>
      </w:rPr>
      <w:instrText xml:space="preserve"> REF _Ref394501517 </w:instrText>
    </w:r>
    <w:r>
      <w:rPr>
        <w:rStyle w:val="Strong"/>
        <w:b w:val="0"/>
      </w:rPr>
      <w:instrText xml:space="preserve"> \* MERGEFORMAT </w:instrText>
    </w:r>
    <w:r w:rsidRPr="00743091">
      <w:rPr>
        <w:rStyle w:val="Strong"/>
        <w:b w:val="0"/>
      </w:rPr>
      <w:fldChar w:fldCharType="separate"/>
    </w:r>
    <w:r w:rsidR="00E27AE9" w:rsidRPr="00E27AE9">
      <w:rPr>
        <w:b/>
      </w:rPr>
      <w:t>Changes to Renal Medicine items</w:t>
    </w:r>
    <w:r w:rsidRPr="00743091">
      <w:rPr>
        <w:rStyle w:val="Strong"/>
        <w:b w:val="0"/>
      </w:rPr>
      <w:fldChar w:fldCharType="end"/>
    </w:r>
    <w:r w:rsidRPr="00A563EC">
      <w:tab/>
      <w:t xml:space="preserve">Page </w:t>
    </w:r>
    <w:r w:rsidRPr="00A563EC">
      <w:fldChar w:fldCharType="begin"/>
    </w:r>
    <w:r w:rsidRPr="00A563EC">
      <w:instrText xml:space="preserve"> PAGE  \* Arabic  \* MERGEFORMAT </w:instrText>
    </w:r>
    <w:r w:rsidRPr="00A563EC">
      <w:fldChar w:fldCharType="separate"/>
    </w:r>
    <w:r w:rsidR="00E63085">
      <w:rPr>
        <w:noProof/>
      </w:rPr>
      <w:t>3</w:t>
    </w:r>
    <w:r w:rsidRPr="00A563EC">
      <w:fldChar w:fldCharType="end"/>
    </w:r>
    <w:r w:rsidRPr="00A563EC">
      <w:t xml:space="preserve"> of </w:t>
    </w:r>
    <w:r w:rsidR="002A22C7">
      <w:rPr>
        <w:noProof/>
      </w:rPr>
      <w:fldChar w:fldCharType="begin"/>
    </w:r>
    <w:r w:rsidR="002A22C7">
      <w:rPr>
        <w:noProof/>
      </w:rPr>
      <w:instrText xml:space="preserve"> NUMPAGES  \* Arabic  \* MERGEFORMAT </w:instrText>
    </w:r>
    <w:r w:rsidR="002A22C7">
      <w:rPr>
        <w:noProof/>
      </w:rPr>
      <w:fldChar w:fldCharType="separate"/>
    </w:r>
    <w:r w:rsidR="00E63085">
      <w:rPr>
        <w:noProof/>
      </w:rPr>
      <w:t>3</w:t>
    </w:r>
    <w:r w:rsidR="002A22C7">
      <w:rPr>
        <w:noProof/>
      </w:rPr>
      <w:fldChar w:fldCharType="end"/>
    </w:r>
    <w:r>
      <w:br/>
    </w:r>
    <w:hyperlink r:id="rId1" w:history="1">
      <w:r w:rsidRPr="006F4D33">
        <w:rPr>
          <w:rStyle w:val="Hyperlink"/>
        </w:rPr>
        <w:t>MBSOnline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A5" w:rsidRDefault="00F825A5">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A5" w:rsidRDefault="00F825A5" w:rsidP="00743091">
      <w:r>
        <w:separator/>
      </w:r>
    </w:p>
    <w:p w:rsidR="00F825A5" w:rsidRDefault="00F825A5" w:rsidP="00743091"/>
    <w:p w:rsidR="00F825A5" w:rsidRDefault="00F825A5" w:rsidP="00743091"/>
  </w:footnote>
  <w:footnote w:type="continuationSeparator" w:id="0">
    <w:p w:rsidR="00F825A5" w:rsidRDefault="00F825A5" w:rsidP="00743091">
      <w:r>
        <w:continuationSeparator/>
      </w:r>
    </w:p>
    <w:p w:rsidR="00F825A5" w:rsidRDefault="00F825A5" w:rsidP="00743091"/>
    <w:p w:rsidR="00F825A5" w:rsidRDefault="00F825A5" w:rsidP="007430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A5" w:rsidRDefault="00F825A5" w:rsidP="00743091"/>
  <w:p w:rsidR="00F825A5" w:rsidRDefault="00F825A5" w:rsidP="007430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A5" w:rsidRDefault="00F825A5" w:rsidP="00743091">
    <w:pPr>
      <w:pBdr>
        <w:bottom w:val="single" w:sz="12" w:space="12" w:color="117254"/>
      </w:pBdr>
    </w:pPr>
    <w:r>
      <w:rPr>
        <w:noProof/>
        <w:lang w:eastAsia="en-AU"/>
      </w:rPr>
      <w:drawing>
        <wp:inline distT="0" distB="0" distL="0" distR="0" wp14:anchorId="069AD7A5" wp14:editId="7D4F97C6">
          <wp:extent cx="2496820" cy="604520"/>
          <wp:effectExtent l="0" t="0" r="0" b="0"/>
          <wp:docPr id="3" name="Picture 3"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6045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A5" w:rsidRDefault="00F825A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3304"/>
    <w:multiLevelType w:val="hybridMultilevel"/>
    <w:tmpl w:val="E056B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BF6918"/>
    <w:multiLevelType w:val="hybridMultilevel"/>
    <w:tmpl w:val="FCDAE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3471B6"/>
    <w:multiLevelType w:val="hybridMultilevel"/>
    <w:tmpl w:val="3272C312"/>
    <w:lvl w:ilvl="0" w:tplc="C4EE6EC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114DAC"/>
    <w:multiLevelType w:val="hybridMultilevel"/>
    <w:tmpl w:val="4C42DDFC"/>
    <w:lvl w:ilvl="0" w:tplc="91ACD5C6">
      <w:start w:val="1"/>
      <w:numFmt w:val="bullet"/>
      <w:lvlText w:val=""/>
      <w:lvlJc w:val="left"/>
      <w:pPr>
        <w:ind w:left="431" w:hanging="431"/>
      </w:pPr>
      <w:rPr>
        <w:rFonts w:ascii="Symbol" w:hAnsi="Symbol" w:hint="default"/>
        <w:color w:val="auto"/>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C158C"/>
    <w:multiLevelType w:val="hybridMultilevel"/>
    <w:tmpl w:val="7BA0225E"/>
    <w:lvl w:ilvl="0" w:tplc="74B6F98C">
      <w:numFmt w:val="bullet"/>
      <w:lvlText w:val="-"/>
      <w:lvlJc w:val="left"/>
      <w:pPr>
        <w:ind w:left="720" w:hanging="360"/>
      </w:pPr>
      <w:rPr>
        <w:rFonts w:ascii="Calibri" w:eastAsia="Times New Roman" w:hAnsi="Calibri" w:hint="default"/>
      </w:rPr>
    </w:lvl>
    <w:lvl w:ilvl="1" w:tplc="016AB9E8">
      <w:start w:val="1"/>
      <w:numFmt w:val="bullet"/>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EE0B68"/>
    <w:multiLevelType w:val="hybridMultilevel"/>
    <w:tmpl w:val="7922A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E14C4"/>
    <w:multiLevelType w:val="hybridMultilevel"/>
    <w:tmpl w:val="C766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C0175E"/>
    <w:multiLevelType w:val="hybridMultilevel"/>
    <w:tmpl w:val="44FE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15"/>
  </w:num>
  <w:num w:numId="5">
    <w:abstractNumId w:val="25"/>
  </w:num>
  <w:num w:numId="6">
    <w:abstractNumId w:val="26"/>
  </w:num>
  <w:num w:numId="7">
    <w:abstractNumId w:val="2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0"/>
  </w:num>
  <w:num w:numId="19">
    <w:abstractNumId w:val="0"/>
  </w:num>
  <w:num w:numId="20">
    <w:abstractNumId w:val="18"/>
  </w:num>
  <w:num w:numId="21">
    <w:abstractNumId w:val="19"/>
  </w:num>
  <w:num w:numId="22">
    <w:abstractNumId w:val="14"/>
  </w:num>
  <w:num w:numId="23">
    <w:abstractNumId w:val="22"/>
  </w:num>
  <w:num w:numId="24">
    <w:abstractNumId w:val="21"/>
  </w:num>
  <w:num w:numId="25">
    <w:abstractNumId w:val="17"/>
  </w:num>
  <w:num w:numId="26">
    <w:abstractNumId w:val="23"/>
  </w:num>
  <w:num w:numId="27">
    <w:abstractNumId w:val="10"/>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efaultTableStyle w:val="MBSOnlineTable"/>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0B"/>
    <w:rsid w:val="00004E74"/>
    <w:rsid w:val="00013DB5"/>
    <w:rsid w:val="00050BD1"/>
    <w:rsid w:val="00052C0E"/>
    <w:rsid w:val="00056E36"/>
    <w:rsid w:val="00073FB4"/>
    <w:rsid w:val="000A6119"/>
    <w:rsid w:val="000C4981"/>
    <w:rsid w:val="000C6EE2"/>
    <w:rsid w:val="000C708F"/>
    <w:rsid w:val="000D1791"/>
    <w:rsid w:val="000D306A"/>
    <w:rsid w:val="000F0DE8"/>
    <w:rsid w:val="00100EDF"/>
    <w:rsid w:val="00105BA7"/>
    <w:rsid w:val="00116839"/>
    <w:rsid w:val="00123C0D"/>
    <w:rsid w:val="00135571"/>
    <w:rsid w:val="00137EF1"/>
    <w:rsid w:val="00151905"/>
    <w:rsid w:val="00171A57"/>
    <w:rsid w:val="001747C2"/>
    <w:rsid w:val="00181212"/>
    <w:rsid w:val="00185CA9"/>
    <w:rsid w:val="00192CF5"/>
    <w:rsid w:val="001A38D2"/>
    <w:rsid w:val="001B6841"/>
    <w:rsid w:val="001C0470"/>
    <w:rsid w:val="001C2CD9"/>
    <w:rsid w:val="001C612D"/>
    <w:rsid w:val="001D5264"/>
    <w:rsid w:val="001D71E7"/>
    <w:rsid w:val="001E3926"/>
    <w:rsid w:val="002045FA"/>
    <w:rsid w:val="00205F75"/>
    <w:rsid w:val="0021311A"/>
    <w:rsid w:val="00223D7B"/>
    <w:rsid w:val="002262F7"/>
    <w:rsid w:val="00227A2F"/>
    <w:rsid w:val="00233471"/>
    <w:rsid w:val="00256128"/>
    <w:rsid w:val="002740C0"/>
    <w:rsid w:val="00274A34"/>
    <w:rsid w:val="00280DDE"/>
    <w:rsid w:val="002914D4"/>
    <w:rsid w:val="002929AE"/>
    <w:rsid w:val="00293ABC"/>
    <w:rsid w:val="00295663"/>
    <w:rsid w:val="00296E45"/>
    <w:rsid w:val="002A22C7"/>
    <w:rsid w:val="002A6EE1"/>
    <w:rsid w:val="002C49D7"/>
    <w:rsid w:val="002C63D9"/>
    <w:rsid w:val="002F7E49"/>
    <w:rsid w:val="0030083D"/>
    <w:rsid w:val="00302ABB"/>
    <w:rsid w:val="0030428E"/>
    <w:rsid w:val="0031142C"/>
    <w:rsid w:val="00311639"/>
    <w:rsid w:val="00316D24"/>
    <w:rsid w:val="003266AD"/>
    <w:rsid w:val="00350791"/>
    <w:rsid w:val="00352590"/>
    <w:rsid w:val="0036148C"/>
    <w:rsid w:val="00361E5A"/>
    <w:rsid w:val="0036382A"/>
    <w:rsid w:val="003670CE"/>
    <w:rsid w:val="00376693"/>
    <w:rsid w:val="00376C22"/>
    <w:rsid w:val="0038206A"/>
    <w:rsid w:val="003976E2"/>
    <w:rsid w:val="003A56D6"/>
    <w:rsid w:val="003B5606"/>
    <w:rsid w:val="003C029B"/>
    <w:rsid w:val="003C56C9"/>
    <w:rsid w:val="003C7AED"/>
    <w:rsid w:val="003D7B3F"/>
    <w:rsid w:val="003E604B"/>
    <w:rsid w:val="003F3B22"/>
    <w:rsid w:val="00405C84"/>
    <w:rsid w:val="00406A6D"/>
    <w:rsid w:val="00415BE0"/>
    <w:rsid w:val="00421CA9"/>
    <w:rsid w:val="00423096"/>
    <w:rsid w:val="00427F62"/>
    <w:rsid w:val="00436448"/>
    <w:rsid w:val="00442D6A"/>
    <w:rsid w:val="004549DA"/>
    <w:rsid w:val="00457276"/>
    <w:rsid w:val="00475405"/>
    <w:rsid w:val="004A71BD"/>
    <w:rsid w:val="004A7E02"/>
    <w:rsid w:val="004B1170"/>
    <w:rsid w:val="004B2657"/>
    <w:rsid w:val="004B27AD"/>
    <w:rsid w:val="004B2C3D"/>
    <w:rsid w:val="004B2C82"/>
    <w:rsid w:val="004C6119"/>
    <w:rsid w:val="004E59A6"/>
    <w:rsid w:val="004F357C"/>
    <w:rsid w:val="00505603"/>
    <w:rsid w:val="00505CF3"/>
    <w:rsid w:val="00563A66"/>
    <w:rsid w:val="00575480"/>
    <w:rsid w:val="00581D74"/>
    <w:rsid w:val="005A59BE"/>
    <w:rsid w:val="005B0FF3"/>
    <w:rsid w:val="005C6819"/>
    <w:rsid w:val="005C6CB1"/>
    <w:rsid w:val="005D21B1"/>
    <w:rsid w:val="005E7304"/>
    <w:rsid w:val="005F6B5C"/>
    <w:rsid w:val="005F7BBA"/>
    <w:rsid w:val="0060482F"/>
    <w:rsid w:val="0061439C"/>
    <w:rsid w:val="00617870"/>
    <w:rsid w:val="006238C7"/>
    <w:rsid w:val="00630F99"/>
    <w:rsid w:val="00631E45"/>
    <w:rsid w:val="006377FF"/>
    <w:rsid w:val="00643424"/>
    <w:rsid w:val="00666566"/>
    <w:rsid w:val="0067159C"/>
    <w:rsid w:val="00674C43"/>
    <w:rsid w:val="006753DE"/>
    <w:rsid w:val="00690C0B"/>
    <w:rsid w:val="00697964"/>
    <w:rsid w:val="006A1F26"/>
    <w:rsid w:val="006A387F"/>
    <w:rsid w:val="006B5261"/>
    <w:rsid w:val="006C4456"/>
    <w:rsid w:val="006C5B4A"/>
    <w:rsid w:val="006C5E28"/>
    <w:rsid w:val="006C6AF3"/>
    <w:rsid w:val="006D0E0F"/>
    <w:rsid w:val="006D49E7"/>
    <w:rsid w:val="006E1DAF"/>
    <w:rsid w:val="006E52CE"/>
    <w:rsid w:val="006F4B69"/>
    <w:rsid w:val="006F4D33"/>
    <w:rsid w:val="00702D3B"/>
    <w:rsid w:val="00706F8F"/>
    <w:rsid w:val="00707C36"/>
    <w:rsid w:val="00720224"/>
    <w:rsid w:val="00722CB4"/>
    <w:rsid w:val="00725E6A"/>
    <w:rsid w:val="00727D33"/>
    <w:rsid w:val="007313AE"/>
    <w:rsid w:val="00743091"/>
    <w:rsid w:val="007443D4"/>
    <w:rsid w:val="0075120C"/>
    <w:rsid w:val="00751355"/>
    <w:rsid w:val="0075509E"/>
    <w:rsid w:val="007629CF"/>
    <w:rsid w:val="00772786"/>
    <w:rsid w:val="007760E1"/>
    <w:rsid w:val="007779DF"/>
    <w:rsid w:val="00782C31"/>
    <w:rsid w:val="00783DC8"/>
    <w:rsid w:val="007A2CE1"/>
    <w:rsid w:val="007A4C9E"/>
    <w:rsid w:val="007C27C8"/>
    <w:rsid w:val="007D1963"/>
    <w:rsid w:val="007D3BC0"/>
    <w:rsid w:val="007D61F4"/>
    <w:rsid w:val="007F21A5"/>
    <w:rsid w:val="007F4E20"/>
    <w:rsid w:val="008217C0"/>
    <w:rsid w:val="00830641"/>
    <w:rsid w:val="00844130"/>
    <w:rsid w:val="00845F79"/>
    <w:rsid w:val="008563C1"/>
    <w:rsid w:val="008602CE"/>
    <w:rsid w:val="0086368E"/>
    <w:rsid w:val="00867170"/>
    <w:rsid w:val="008778DF"/>
    <w:rsid w:val="008A4DF4"/>
    <w:rsid w:val="008C5D70"/>
    <w:rsid w:val="008C7810"/>
    <w:rsid w:val="008D5321"/>
    <w:rsid w:val="008F42A2"/>
    <w:rsid w:val="008F5352"/>
    <w:rsid w:val="008F76CC"/>
    <w:rsid w:val="0091062C"/>
    <w:rsid w:val="00914E38"/>
    <w:rsid w:val="00915F9D"/>
    <w:rsid w:val="00917289"/>
    <w:rsid w:val="0092706E"/>
    <w:rsid w:val="009368EE"/>
    <w:rsid w:val="00945371"/>
    <w:rsid w:val="0095226B"/>
    <w:rsid w:val="009542C6"/>
    <w:rsid w:val="009556B0"/>
    <w:rsid w:val="00974DCD"/>
    <w:rsid w:val="00977A67"/>
    <w:rsid w:val="00984C27"/>
    <w:rsid w:val="00990076"/>
    <w:rsid w:val="00990F01"/>
    <w:rsid w:val="009B2746"/>
    <w:rsid w:val="009B699D"/>
    <w:rsid w:val="009F19E6"/>
    <w:rsid w:val="00A07C59"/>
    <w:rsid w:val="00A13865"/>
    <w:rsid w:val="00A15DD9"/>
    <w:rsid w:val="00A37CC5"/>
    <w:rsid w:val="00A55D34"/>
    <w:rsid w:val="00A563EC"/>
    <w:rsid w:val="00A600AF"/>
    <w:rsid w:val="00A67F4F"/>
    <w:rsid w:val="00A70004"/>
    <w:rsid w:val="00A75945"/>
    <w:rsid w:val="00A77F50"/>
    <w:rsid w:val="00A8422E"/>
    <w:rsid w:val="00A84D23"/>
    <w:rsid w:val="00A87435"/>
    <w:rsid w:val="00A94CC2"/>
    <w:rsid w:val="00AB3BC0"/>
    <w:rsid w:val="00AB3F67"/>
    <w:rsid w:val="00AD017D"/>
    <w:rsid w:val="00AE05A9"/>
    <w:rsid w:val="00AE4490"/>
    <w:rsid w:val="00B030DC"/>
    <w:rsid w:val="00B12EFD"/>
    <w:rsid w:val="00B16F94"/>
    <w:rsid w:val="00B23BE2"/>
    <w:rsid w:val="00B27E90"/>
    <w:rsid w:val="00B3179A"/>
    <w:rsid w:val="00B41811"/>
    <w:rsid w:val="00B5028B"/>
    <w:rsid w:val="00B55D37"/>
    <w:rsid w:val="00B569FB"/>
    <w:rsid w:val="00B80BC0"/>
    <w:rsid w:val="00B83E6A"/>
    <w:rsid w:val="00B85079"/>
    <w:rsid w:val="00B90C49"/>
    <w:rsid w:val="00B95F70"/>
    <w:rsid w:val="00B96EEE"/>
    <w:rsid w:val="00BC77A3"/>
    <w:rsid w:val="00BD128B"/>
    <w:rsid w:val="00BD2196"/>
    <w:rsid w:val="00BD7D10"/>
    <w:rsid w:val="00BE1257"/>
    <w:rsid w:val="00BF72A1"/>
    <w:rsid w:val="00BF7993"/>
    <w:rsid w:val="00C177CE"/>
    <w:rsid w:val="00C27BD7"/>
    <w:rsid w:val="00C31C4E"/>
    <w:rsid w:val="00C440C3"/>
    <w:rsid w:val="00C5040C"/>
    <w:rsid w:val="00C6461E"/>
    <w:rsid w:val="00C65161"/>
    <w:rsid w:val="00C74324"/>
    <w:rsid w:val="00C75F37"/>
    <w:rsid w:val="00C8069E"/>
    <w:rsid w:val="00C90304"/>
    <w:rsid w:val="00C9290F"/>
    <w:rsid w:val="00C941B6"/>
    <w:rsid w:val="00C97A78"/>
    <w:rsid w:val="00CA11E2"/>
    <w:rsid w:val="00CB1ACE"/>
    <w:rsid w:val="00CB316D"/>
    <w:rsid w:val="00CC45A3"/>
    <w:rsid w:val="00CC7AFE"/>
    <w:rsid w:val="00CD08D1"/>
    <w:rsid w:val="00CD5592"/>
    <w:rsid w:val="00CE0021"/>
    <w:rsid w:val="00CE137A"/>
    <w:rsid w:val="00CE1CCC"/>
    <w:rsid w:val="00CE4611"/>
    <w:rsid w:val="00CF28D9"/>
    <w:rsid w:val="00CF7021"/>
    <w:rsid w:val="00D00836"/>
    <w:rsid w:val="00D14460"/>
    <w:rsid w:val="00D16DBD"/>
    <w:rsid w:val="00D53359"/>
    <w:rsid w:val="00D56BF5"/>
    <w:rsid w:val="00D712ED"/>
    <w:rsid w:val="00D95BF8"/>
    <w:rsid w:val="00DA4463"/>
    <w:rsid w:val="00DA7B04"/>
    <w:rsid w:val="00DB259A"/>
    <w:rsid w:val="00DB611B"/>
    <w:rsid w:val="00DB6C17"/>
    <w:rsid w:val="00DC6936"/>
    <w:rsid w:val="00DD7657"/>
    <w:rsid w:val="00DE0F5F"/>
    <w:rsid w:val="00DF0E3C"/>
    <w:rsid w:val="00DF3D7F"/>
    <w:rsid w:val="00E02140"/>
    <w:rsid w:val="00E139B7"/>
    <w:rsid w:val="00E152E4"/>
    <w:rsid w:val="00E209C5"/>
    <w:rsid w:val="00E251D5"/>
    <w:rsid w:val="00E27AE9"/>
    <w:rsid w:val="00E3311F"/>
    <w:rsid w:val="00E42F6A"/>
    <w:rsid w:val="00E43A41"/>
    <w:rsid w:val="00E471AE"/>
    <w:rsid w:val="00E54CD1"/>
    <w:rsid w:val="00E63085"/>
    <w:rsid w:val="00E647C8"/>
    <w:rsid w:val="00E6638F"/>
    <w:rsid w:val="00E675F3"/>
    <w:rsid w:val="00E829F7"/>
    <w:rsid w:val="00E85579"/>
    <w:rsid w:val="00E93737"/>
    <w:rsid w:val="00EA5DB4"/>
    <w:rsid w:val="00EB575C"/>
    <w:rsid w:val="00EB5897"/>
    <w:rsid w:val="00EC73C4"/>
    <w:rsid w:val="00F06BFE"/>
    <w:rsid w:val="00F15E78"/>
    <w:rsid w:val="00F26D81"/>
    <w:rsid w:val="00F30833"/>
    <w:rsid w:val="00F31812"/>
    <w:rsid w:val="00F3600A"/>
    <w:rsid w:val="00F37667"/>
    <w:rsid w:val="00F432C6"/>
    <w:rsid w:val="00F53332"/>
    <w:rsid w:val="00F64317"/>
    <w:rsid w:val="00F706DE"/>
    <w:rsid w:val="00F754E2"/>
    <w:rsid w:val="00F760F5"/>
    <w:rsid w:val="00F825A5"/>
    <w:rsid w:val="00F971C6"/>
    <w:rsid w:val="00FB1701"/>
    <w:rsid w:val="00FB260E"/>
    <w:rsid w:val="00FD70C7"/>
    <w:rsid w:val="00FE3A5E"/>
    <w:rsid w:val="00FE5BD6"/>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4C81A43"/>
  <w14:defaultImageDpi w14:val="0"/>
  <w15:docId w15:val="{14D3E972-499C-4841-B7B9-3B16FC66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670CE"/>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iPriority w:val="99"/>
    <w:semiHidden/>
    <w:unhideWhenUsed/>
    <w:locked/>
    <w:rsid w:val="00666566"/>
    <w:rPr>
      <w:sz w:val="16"/>
      <w:szCs w:val="16"/>
    </w:rPr>
  </w:style>
  <w:style w:type="paragraph" w:styleId="CommentText">
    <w:name w:val="annotation text"/>
    <w:basedOn w:val="Normal"/>
    <w:link w:val="CommentTextChar"/>
    <w:uiPriority w:val="99"/>
    <w:semiHidden/>
    <w:unhideWhenUsed/>
    <w:locked/>
    <w:rsid w:val="00666566"/>
    <w:rPr>
      <w:sz w:val="20"/>
      <w:szCs w:val="20"/>
    </w:rPr>
  </w:style>
  <w:style w:type="character" w:customStyle="1" w:styleId="CommentTextChar">
    <w:name w:val="Comment Text Char"/>
    <w:basedOn w:val="DefaultParagraphFont"/>
    <w:link w:val="CommentText"/>
    <w:uiPriority w:val="99"/>
    <w:semiHidden/>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 w:type="paragraph" w:customStyle="1" w:styleId="Default">
    <w:name w:val="Default"/>
    <w:rsid w:val="00643424"/>
    <w:pPr>
      <w:autoSpaceDE w:val="0"/>
      <w:autoSpaceDN w:val="0"/>
      <w:adjustRightInd w:val="0"/>
      <w:spacing w:before="0" w:after="0"/>
    </w:pPr>
    <w:rPr>
      <w:rFonts w:ascii="Times New Roman" w:hAnsi="Times New Roman" w:cs="Times New Roman"/>
      <w:color w:val="000000"/>
      <w:lang w:eastAsia="en-AU"/>
    </w:rPr>
  </w:style>
  <w:style w:type="paragraph" w:customStyle="1" w:styleId="Tablea">
    <w:name w:val="Table(a)"/>
    <w:aliases w:val="ta"/>
    <w:basedOn w:val="Normal"/>
    <w:rsid w:val="00643424"/>
    <w:pPr>
      <w:spacing w:before="60" w:after="0"/>
      <w:ind w:left="284" w:hanging="284"/>
    </w:pPr>
    <w:rPr>
      <w:rFonts w:ascii="Times New Roman" w:hAnsi="Times New Roman"/>
      <w:sz w:val="20"/>
      <w:szCs w:val="20"/>
      <w:lang w:eastAsia="en-AU"/>
    </w:rPr>
  </w:style>
  <w:style w:type="paragraph" w:customStyle="1" w:styleId="Tablei">
    <w:name w:val="Table(i)"/>
    <w:aliases w:val="taa"/>
    <w:basedOn w:val="Normal"/>
    <w:rsid w:val="00643424"/>
    <w:pPr>
      <w:tabs>
        <w:tab w:val="left" w:pos="-6543"/>
        <w:tab w:val="left" w:pos="-6260"/>
        <w:tab w:val="right" w:pos="970"/>
      </w:tabs>
      <w:spacing w:before="0" w:after="0" w:line="240" w:lineRule="exact"/>
      <w:ind w:left="828" w:hanging="284"/>
    </w:pPr>
    <w:rPr>
      <w:rFonts w:ascii="Times New Roman" w:hAnsi="Times New Roman"/>
      <w:sz w:val="20"/>
      <w:szCs w:val="20"/>
      <w:lang w:eastAsia="en-AU"/>
    </w:rPr>
  </w:style>
  <w:style w:type="paragraph" w:customStyle="1" w:styleId="Tabletext">
    <w:name w:val="Tabletext"/>
    <w:aliases w:val="tt"/>
    <w:basedOn w:val="Normal"/>
    <w:rsid w:val="00720224"/>
    <w:pPr>
      <w:spacing w:before="60" w:after="0" w:line="240" w:lineRule="atLeast"/>
    </w:pPr>
    <w:rPr>
      <w:rFonts w:ascii="Times New Roman" w:hAnsi="Times New Roman"/>
      <w:sz w:val="20"/>
      <w:szCs w:val="20"/>
      <w:lang w:eastAsia="en-AU"/>
    </w:rPr>
  </w:style>
  <w:style w:type="character" w:customStyle="1" w:styleId="apple-converted-space">
    <w:name w:val="apple-converted-space"/>
    <w:basedOn w:val="DefaultParagraphFont"/>
    <w:rsid w:val="00720224"/>
  </w:style>
  <w:style w:type="paragraph" w:styleId="NormalWeb">
    <w:name w:val="Normal (Web)"/>
    <w:basedOn w:val="Normal"/>
    <w:uiPriority w:val="99"/>
    <w:unhideWhenUsed/>
    <w:locked/>
    <w:rsid w:val="00A8422E"/>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4171">
      <w:bodyDiv w:val="1"/>
      <w:marLeft w:val="0"/>
      <w:marRight w:val="0"/>
      <w:marTop w:val="0"/>
      <w:marBottom w:val="0"/>
      <w:divBdr>
        <w:top w:val="none" w:sz="0" w:space="0" w:color="auto"/>
        <w:left w:val="none" w:sz="0" w:space="0" w:color="auto"/>
        <w:bottom w:val="none" w:sz="0" w:space="0" w:color="auto"/>
        <w:right w:val="none" w:sz="0" w:space="0" w:color="auto"/>
      </w:divBdr>
    </w:div>
    <w:div w:id="588349446">
      <w:marLeft w:val="0"/>
      <w:marRight w:val="0"/>
      <w:marTop w:val="0"/>
      <w:marBottom w:val="0"/>
      <w:divBdr>
        <w:top w:val="none" w:sz="0" w:space="0" w:color="auto"/>
        <w:left w:val="none" w:sz="0" w:space="0" w:color="auto"/>
        <w:bottom w:val="none" w:sz="0" w:space="0" w:color="auto"/>
        <w:right w:val="none" w:sz="0" w:space="0" w:color="auto"/>
      </w:divBdr>
    </w:div>
    <w:div w:id="588349448">
      <w:marLeft w:val="0"/>
      <w:marRight w:val="0"/>
      <w:marTop w:val="0"/>
      <w:marBottom w:val="0"/>
      <w:divBdr>
        <w:top w:val="none" w:sz="0" w:space="0" w:color="auto"/>
        <w:left w:val="none" w:sz="0" w:space="0" w:color="auto"/>
        <w:bottom w:val="none" w:sz="0" w:space="0" w:color="auto"/>
        <w:right w:val="none" w:sz="0" w:space="0" w:color="auto"/>
      </w:divBdr>
      <w:divsChild>
        <w:div w:id="588349441">
          <w:marLeft w:val="0"/>
          <w:marRight w:val="0"/>
          <w:marTop w:val="240"/>
          <w:marBottom w:val="0"/>
          <w:divBdr>
            <w:top w:val="none" w:sz="0" w:space="0" w:color="auto"/>
            <w:left w:val="none" w:sz="0" w:space="0" w:color="auto"/>
            <w:bottom w:val="none" w:sz="0" w:space="0" w:color="auto"/>
            <w:right w:val="none" w:sz="0" w:space="0" w:color="auto"/>
          </w:divBdr>
          <w:divsChild>
            <w:div w:id="588349444">
              <w:marLeft w:val="0"/>
              <w:marRight w:val="0"/>
              <w:marTop w:val="0"/>
              <w:marBottom w:val="0"/>
              <w:divBdr>
                <w:top w:val="none" w:sz="0" w:space="0" w:color="auto"/>
                <w:left w:val="none" w:sz="0" w:space="0" w:color="auto"/>
                <w:bottom w:val="none" w:sz="0" w:space="0" w:color="auto"/>
                <w:right w:val="none" w:sz="0" w:space="0" w:color="auto"/>
              </w:divBdr>
              <w:divsChild>
                <w:div w:id="588349447">
                  <w:marLeft w:val="0"/>
                  <w:marRight w:val="0"/>
                  <w:marTop w:val="0"/>
                  <w:marBottom w:val="0"/>
                  <w:divBdr>
                    <w:top w:val="none" w:sz="0" w:space="0" w:color="auto"/>
                    <w:left w:val="none" w:sz="0" w:space="0" w:color="auto"/>
                    <w:bottom w:val="none" w:sz="0" w:space="0" w:color="auto"/>
                    <w:right w:val="none" w:sz="0" w:space="0" w:color="auto"/>
                  </w:divBdr>
                  <w:divsChild>
                    <w:div w:id="588349443">
                      <w:marLeft w:val="0"/>
                      <w:marRight w:val="0"/>
                      <w:marTop w:val="0"/>
                      <w:marBottom w:val="0"/>
                      <w:divBdr>
                        <w:top w:val="none" w:sz="0" w:space="0" w:color="auto"/>
                        <w:left w:val="none" w:sz="0" w:space="0" w:color="auto"/>
                        <w:bottom w:val="none" w:sz="0" w:space="0" w:color="auto"/>
                        <w:right w:val="none" w:sz="0" w:space="0" w:color="auto"/>
                      </w:divBdr>
                      <w:divsChild>
                        <w:div w:id="588349445">
                          <w:marLeft w:val="0"/>
                          <w:marRight w:val="0"/>
                          <w:marTop w:val="0"/>
                          <w:marBottom w:val="0"/>
                          <w:divBdr>
                            <w:top w:val="none" w:sz="0" w:space="0" w:color="auto"/>
                            <w:left w:val="none" w:sz="0" w:space="0" w:color="auto"/>
                            <w:bottom w:val="none" w:sz="0" w:space="0" w:color="auto"/>
                            <w:right w:val="none" w:sz="0" w:space="0" w:color="auto"/>
                          </w:divBdr>
                          <w:divsChild>
                            <w:div w:id="588349440">
                              <w:marLeft w:val="0"/>
                              <w:marRight w:val="0"/>
                              <w:marTop w:val="0"/>
                              <w:marBottom w:val="0"/>
                              <w:divBdr>
                                <w:top w:val="none" w:sz="0" w:space="0" w:color="auto"/>
                                <w:left w:val="none" w:sz="0" w:space="0" w:color="auto"/>
                                <w:bottom w:val="none" w:sz="0" w:space="0" w:color="auto"/>
                                <w:right w:val="none" w:sz="0" w:space="0" w:color="auto"/>
                              </w:divBdr>
                              <w:divsChild>
                                <w:div w:id="588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688534">
      <w:bodyDiv w:val="1"/>
      <w:marLeft w:val="0"/>
      <w:marRight w:val="0"/>
      <w:marTop w:val="0"/>
      <w:marBottom w:val="0"/>
      <w:divBdr>
        <w:top w:val="none" w:sz="0" w:space="0" w:color="auto"/>
        <w:left w:val="none" w:sz="0" w:space="0" w:color="auto"/>
        <w:bottom w:val="none" w:sz="0" w:space="0" w:color="auto"/>
        <w:right w:val="none" w:sz="0" w:space="0" w:color="auto"/>
      </w:divBdr>
    </w:div>
    <w:div w:id="1562401142">
      <w:bodyDiv w:val="1"/>
      <w:marLeft w:val="0"/>
      <w:marRight w:val="0"/>
      <w:marTop w:val="0"/>
      <w:marBottom w:val="0"/>
      <w:divBdr>
        <w:top w:val="none" w:sz="0" w:space="0" w:color="auto"/>
        <w:left w:val="none" w:sz="0" w:space="0" w:color="auto"/>
        <w:bottom w:val="none" w:sz="0" w:space="0" w:color="auto"/>
        <w:right w:val="none" w:sz="0" w:space="0" w:color="auto"/>
      </w:divBdr>
    </w:div>
    <w:div w:id="1696345631">
      <w:bodyDiv w:val="1"/>
      <w:marLeft w:val="0"/>
      <w:marRight w:val="0"/>
      <w:marTop w:val="0"/>
      <w:marBottom w:val="0"/>
      <w:divBdr>
        <w:top w:val="none" w:sz="0" w:space="0" w:color="auto"/>
        <w:left w:val="none" w:sz="0" w:space="0" w:color="auto"/>
        <w:bottom w:val="none" w:sz="0" w:space="0" w:color="auto"/>
        <w:right w:val="none" w:sz="0" w:space="0" w:color="auto"/>
      </w:divBdr>
    </w:div>
    <w:div w:id="19564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MBSReviewTaskfor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bsonline.gov.au/" TargetMode="External"/><Relationship Id="rId4" Type="http://schemas.openxmlformats.org/officeDocument/2006/relationships/settings" Target="settings.xml"/><Relationship Id="rId9" Type="http://schemas.openxmlformats.org/officeDocument/2006/relationships/hyperlink" Target="https://www1.health.gov.au/internet/main/publishing.nsf/Content/MBSR-committees-rena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A639D1-BA03-425D-B128-BAF4F4E1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2018-10-09T23:30:00Z</cp:lastPrinted>
  <dcterms:created xsi:type="dcterms:W3CDTF">2020-06-26T00:36:00Z</dcterms:created>
  <dcterms:modified xsi:type="dcterms:W3CDTF">2020-06-26T00:36:00Z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