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218AF" w14:textId="7D4AF304" w:rsidR="00C02C9B" w:rsidRDefault="00C02C9B" w:rsidP="00C02C9B">
      <w:pPr>
        <w:pStyle w:val="Heading1"/>
      </w:pPr>
      <w:bookmarkStart w:id="0" w:name="_Hlk4568006"/>
      <w:r>
        <w:t xml:space="preserve">New MBS Item </w:t>
      </w:r>
      <w:r w:rsidR="006C5690">
        <w:t xml:space="preserve">32230 </w:t>
      </w:r>
      <w:r>
        <w:t>for Endoscopic Mucosal Resection (EMR)</w:t>
      </w:r>
      <w:r w:rsidR="001268A3">
        <w:t xml:space="preserve"> </w:t>
      </w:r>
    </w:p>
    <w:p w14:paraId="5BF4F1B0" w14:textId="64A72BCE" w:rsidR="00907B4A" w:rsidRPr="00AB53A4" w:rsidRDefault="00907B4A" w:rsidP="00AB53A4">
      <w:r>
        <w:t xml:space="preserve">Last updated: </w:t>
      </w:r>
      <w:r w:rsidR="00566384">
        <w:t xml:space="preserve">27 </w:t>
      </w:r>
      <w:r w:rsidR="00F10D1A" w:rsidRPr="001268A3">
        <w:t>September</w:t>
      </w:r>
      <w:r w:rsidR="00D66E9F" w:rsidRPr="001268A3">
        <w:t xml:space="preserve"> 2021</w:t>
      </w:r>
    </w:p>
    <w:bookmarkEnd w:id="0"/>
    <w:p w14:paraId="5A9D9EA8" w14:textId="77777777" w:rsidR="00C02C9B" w:rsidRDefault="00C02C9B" w:rsidP="00C02C9B">
      <w:pPr>
        <w:pStyle w:val="ListParagraph"/>
      </w:pPr>
      <w:r>
        <w:t xml:space="preserve">From 1 November 2021, a new item for endoscopic mucosal resection will be available on the MBS. </w:t>
      </w:r>
    </w:p>
    <w:p w14:paraId="7681E09F" w14:textId="77777777" w:rsidR="00C02C9B" w:rsidRDefault="00C02C9B" w:rsidP="00C02C9B">
      <w:pPr>
        <w:pStyle w:val="ListParagraph"/>
      </w:pPr>
      <w:r>
        <w:t>This change is relevant to specialist gastroenterologists and surgical endoscopists.</w:t>
      </w:r>
    </w:p>
    <w:p w14:paraId="177AE678" w14:textId="77777777" w:rsidR="0017279A" w:rsidRDefault="004C0396" w:rsidP="00AB53A4">
      <w:pPr>
        <w:sectPr w:rsidR="0017279A" w:rsidSect="00D3629F">
          <w:headerReference w:type="default" r:id="rId8"/>
          <w:footerReference w:type="default" r:id="rId9"/>
          <w:type w:val="continuous"/>
          <w:pgSz w:w="11906" w:h="16838" w:code="9"/>
          <w:pgMar w:top="3260"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0E849F5" w14:textId="77777777" w:rsidR="00F074CE" w:rsidRPr="00AB53A4" w:rsidRDefault="00F074CE" w:rsidP="00AB53A4">
      <w:pPr>
        <w:pStyle w:val="Heading2"/>
      </w:pPr>
      <w:r w:rsidRPr="00AB53A4">
        <w:t>What are the changes</w:t>
      </w:r>
      <w:r w:rsidR="002A3C7C" w:rsidRPr="00AB53A4">
        <w:t>?</w:t>
      </w:r>
    </w:p>
    <w:p w14:paraId="44D69970" w14:textId="77777777" w:rsidR="00C02C9B" w:rsidRDefault="00C02C9B" w:rsidP="00C02C9B">
      <w:r>
        <w:t>From 1 November 2021:</w:t>
      </w:r>
    </w:p>
    <w:p w14:paraId="77C9313B" w14:textId="6D64AD7B" w:rsidR="00C02C9B" w:rsidRDefault="00C02C9B" w:rsidP="00C02C9B">
      <w:pPr>
        <w:pStyle w:val="ListParagraph"/>
        <w:numPr>
          <w:ilvl w:val="0"/>
          <w:numId w:val="1"/>
        </w:numPr>
      </w:pPr>
      <w:r w:rsidRPr="001268A3">
        <w:t xml:space="preserve">A new MBS item 32230 for endoscopic mucosal resection (EMR) will be available for patients with large (≥25mm) sessile </w:t>
      </w:r>
      <w:r w:rsidR="00F10D1A" w:rsidRPr="001268A3">
        <w:t xml:space="preserve">or flat </w:t>
      </w:r>
      <w:r w:rsidRPr="001268A3">
        <w:t xml:space="preserve">colorectal polyps. </w:t>
      </w:r>
    </w:p>
    <w:p w14:paraId="7152D8A3" w14:textId="77777777" w:rsidR="00135417" w:rsidRDefault="00135417" w:rsidP="00AB53A4">
      <w:pPr>
        <w:pStyle w:val="Heading2"/>
      </w:pPr>
      <w:r>
        <w:t xml:space="preserve">Why </w:t>
      </w:r>
      <w:r w:rsidR="009F52D4">
        <w:t>are the changes being made</w:t>
      </w:r>
      <w:r>
        <w:t>?</w:t>
      </w:r>
    </w:p>
    <w:p w14:paraId="6B63C395" w14:textId="77777777" w:rsidR="00C02C9B" w:rsidRDefault="00C02C9B" w:rsidP="00C02C9B">
      <w:bookmarkStart w:id="1" w:name="_Hlk535386664"/>
      <w:r>
        <w:t xml:space="preserve">The listing of an item for EMR </w:t>
      </w:r>
      <w:r w:rsidRPr="00CE1541">
        <w:t xml:space="preserve">was recommended by the Medical Services Advisory Committee (MSAC) in </w:t>
      </w:r>
      <w:r>
        <w:t xml:space="preserve">July 2020. </w:t>
      </w:r>
    </w:p>
    <w:p w14:paraId="6D5321AA" w14:textId="77777777" w:rsidR="00C02C9B" w:rsidRDefault="00C02C9B" w:rsidP="00C02C9B">
      <w:r>
        <w:t xml:space="preserve">EMR is currently performed as standard care in public hospitals and has previously been claimed on the MBS as a combination of colonoscopy and polypectomy (items 32222-32226, 32228 and 32229). </w:t>
      </w:r>
    </w:p>
    <w:p w14:paraId="293F5E63" w14:textId="77777777" w:rsidR="00C02C9B" w:rsidRDefault="00C02C9B" w:rsidP="00C02C9B">
      <w:r>
        <w:t>The change will provide for EMR as a standalone procedure and improve access to a safe and effective treatment. It is expected to reduce the proportion of patients, affected by colorectal polyps, who require surgery.</w:t>
      </w:r>
    </w:p>
    <w:p w14:paraId="7F14B788" w14:textId="77777777" w:rsidR="00C02C9B" w:rsidRDefault="00C02C9B" w:rsidP="00C02C9B">
      <w:r w:rsidRPr="00CE1541">
        <w:t xml:space="preserve">Further details about MSAC </w:t>
      </w:r>
      <w:r>
        <w:t>a</w:t>
      </w:r>
      <w:r w:rsidRPr="00CE1541">
        <w:t>pplication</w:t>
      </w:r>
      <w:r>
        <w:t>s</w:t>
      </w:r>
      <w:r w:rsidRPr="00CE1541">
        <w:t xml:space="preserve"> can be found </w:t>
      </w:r>
      <w:r>
        <w:t xml:space="preserve">on the </w:t>
      </w:r>
      <w:r w:rsidRPr="00B06E28">
        <w:t>MSAC website</w:t>
      </w:r>
      <w:r>
        <w:t xml:space="preserve"> (</w:t>
      </w:r>
      <w:hyperlink w:history="1">
        <w:r w:rsidRPr="003C0CBD">
          <w:rPr>
            <w:rStyle w:val="Hyperlink"/>
          </w:rPr>
          <w:t xml:space="preserve">www.msac.gov.au </w:t>
        </w:r>
      </w:hyperlink>
      <w:r>
        <w:t xml:space="preserve">- search under </w:t>
      </w:r>
      <w:hyperlink r:id="rId10" w:history="1">
        <w:r w:rsidRPr="00FE50B6">
          <w:rPr>
            <w:rStyle w:val="Hyperlink"/>
          </w:rPr>
          <w:t>MSAC Applications</w:t>
        </w:r>
      </w:hyperlink>
      <w:r>
        <w:rPr>
          <w:rStyle w:val="Hyperlink"/>
        </w:rPr>
        <w:t>).</w:t>
      </w:r>
    </w:p>
    <w:bookmarkEnd w:id="1"/>
    <w:p w14:paraId="4AA530A5" w14:textId="35E44DEC" w:rsidR="00425089" w:rsidRDefault="00425089" w:rsidP="00AB53A4">
      <w:pPr>
        <w:pStyle w:val="Heading2"/>
      </w:pPr>
      <w:r>
        <w:t xml:space="preserve">What does this mean for </w:t>
      </w:r>
      <w:r w:rsidR="00135417">
        <w:t>providers</w:t>
      </w:r>
      <w:r w:rsidR="00C02C9B">
        <w:t>?</w:t>
      </w:r>
    </w:p>
    <w:p w14:paraId="7420E69D" w14:textId="49341DBB" w:rsidR="00C02C9B" w:rsidRDefault="00C02C9B" w:rsidP="00C02C9B">
      <w:r>
        <w:t xml:space="preserve">Specialist gastroenterologists and surgical endoscopists with will now be able to perform EMR as a standalone procedure for patients </w:t>
      </w:r>
      <w:r w:rsidRPr="00D854B6">
        <w:t>with large (</w:t>
      </w:r>
      <w:r>
        <w:t>≥</w:t>
      </w:r>
      <w:r w:rsidRPr="00D854B6">
        <w:t>25mm) sessile</w:t>
      </w:r>
      <w:r w:rsidR="00566384">
        <w:t xml:space="preserve"> or flat</w:t>
      </w:r>
      <w:r w:rsidRPr="00D854B6">
        <w:t xml:space="preserve"> colorectal polyps</w:t>
      </w:r>
      <w:r>
        <w:t xml:space="preserve">. </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4CC23724" w14:textId="28168B77" w:rsidR="00D66E9F" w:rsidRPr="00D66E9F" w:rsidRDefault="00D66E9F" w:rsidP="00D66E9F">
      <w:pPr>
        <w:pStyle w:val="CommentText"/>
        <w:rPr>
          <w:rFonts w:ascii="Helvetica" w:hAnsi="Helvetica"/>
          <w:color w:val="222222"/>
        </w:rPr>
      </w:pPr>
      <w:r>
        <w:rPr>
          <w:rFonts w:ascii="Helvetica" w:hAnsi="Helvetica"/>
          <w:color w:val="222222"/>
        </w:rPr>
        <w:t>Eligible patients will receive Medicare rebates for a service that is clinically appropriate and reflects modern clinical practice.</w:t>
      </w:r>
    </w:p>
    <w:p w14:paraId="4B7905A1" w14:textId="5987E0A6" w:rsidR="00595BBD" w:rsidRDefault="00595BBD" w:rsidP="00AB53A4">
      <w:pPr>
        <w:pStyle w:val="Heading2"/>
      </w:pPr>
      <w:r w:rsidRPr="001A7FB7">
        <w:t>Who was consulted on the changes?</w:t>
      </w:r>
    </w:p>
    <w:p w14:paraId="26DDF592" w14:textId="6F6574C2" w:rsidR="00D66E9F" w:rsidRPr="001268A3" w:rsidRDefault="001268A3" w:rsidP="00D66E9F">
      <w:pPr>
        <w:rPr>
          <w:rFonts w:cs="Arial"/>
          <w:szCs w:val="20"/>
          <w:shd w:val="clear" w:color="auto" w:fill="FFFFFF"/>
        </w:rPr>
      </w:pPr>
      <w:r w:rsidRPr="001268A3">
        <w:t xml:space="preserve">A number of peak bodies were contacted during the targeted MSAC consultation process. </w:t>
      </w:r>
      <w:r w:rsidR="00D66E9F" w:rsidRPr="001268A3">
        <w:rPr>
          <w:rFonts w:cs="Arial"/>
          <w:szCs w:val="20"/>
          <w:shd w:val="clear" w:color="auto" w:fill="FFFFFF"/>
        </w:rPr>
        <w:t xml:space="preserve">The Department has </w:t>
      </w:r>
      <w:r w:rsidR="006C5690">
        <w:rPr>
          <w:rFonts w:cs="Arial"/>
          <w:szCs w:val="20"/>
          <w:shd w:val="clear" w:color="auto" w:fill="FFFFFF"/>
        </w:rPr>
        <w:t xml:space="preserve">also </w:t>
      </w:r>
      <w:r w:rsidRPr="001268A3">
        <w:rPr>
          <w:rFonts w:cs="Arial"/>
          <w:szCs w:val="20"/>
          <w:shd w:val="clear" w:color="auto" w:fill="FFFFFF"/>
        </w:rPr>
        <w:t>consulted with</w:t>
      </w:r>
      <w:r w:rsidR="00D66E9F" w:rsidRPr="001268A3">
        <w:rPr>
          <w:rFonts w:cs="Arial"/>
          <w:szCs w:val="20"/>
          <w:shd w:val="clear" w:color="auto" w:fill="FFFFFF"/>
        </w:rPr>
        <w:t xml:space="preserve"> relevant stakeholders, including the Gastroenterological Society of Australia (GESA) and the Australian Medical Association (AMA).</w:t>
      </w:r>
    </w:p>
    <w:p w14:paraId="18E96197" w14:textId="77777777" w:rsidR="00595BBD" w:rsidRDefault="00595BBD" w:rsidP="00AB53A4">
      <w:pPr>
        <w:pStyle w:val="Heading2"/>
      </w:pPr>
      <w:r w:rsidRPr="001A7FB7">
        <w:lastRenderedPageBreak/>
        <w:t>How will the changes be monitored</w:t>
      </w:r>
      <w:r w:rsidR="000367AA">
        <w:t xml:space="preserve"> and reviewed</w:t>
      </w:r>
      <w:r w:rsidRPr="001A7FB7">
        <w:t>?</w:t>
      </w:r>
    </w:p>
    <w:p w14:paraId="043CC85C" w14:textId="77777777" w:rsidR="00B848AA" w:rsidRDefault="00B848AA" w:rsidP="00047BED">
      <w:pPr>
        <w:pStyle w:val="Heading2"/>
        <w:rPr>
          <w:rFonts w:ascii="Arial" w:hAnsi="Arial"/>
          <w:color w:val="auto"/>
          <w:sz w:val="20"/>
        </w:rPr>
      </w:pPr>
      <w:r>
        <w:rPr>
          <w:rFonts w:ascii="Arial" w:hAnsi="Arial"/>
          <w:color w:val="auto"/>
          <w:sz w:val="20"/>
        </w:rPr>
        <w:t>MBS item 32230 will be</w:t>
      </w:r>
      <w:r w:rsidR="00D66E9F" w:rsidRPr="0063748F">
        <w:rPr>
          <w:rFonts w:ascii="Arial" w:hAnsi="Arial"/>
          <w:color w:val="auto"/>
          <w:sz w:val="20"/>
        </w:rPr>
        <w:t xml:space="preserve"> subject to compliance processes and activities, including random and targeted audits which may require a provider to submit evidence about the services claimed.</w:t>
      </w:r>
    </w:p>
    <w:p w14:paraId="3404F760" w14:textId="3A279EE8" w:rsidR="00171CB6" w:rsidRPr="00047BED" w:rsidRDefault="00B848AA" w:rsidP="00047BED">
      <w:pPr>
        <w:pStyle w:val="Heading2"/>
        <w:rPr>
          <w:rFonts w:ascii="Arial" w:hAnsi="Arial"/>
          <w:color w:val="auto"/>
          <w:sz w:val="20"/>
        </w:rPr>
      </w:pPr>
      <w:r>
        <w:rPr>
          <w:rFonts w:ascii="Arial" w:hAnsi="Arial"/>
          <w:color w:val="auto"/>
          <w:sz w:val="20"/>
        </w:rPr>
        <w:t>MBS item 32230</w:t>
      </w:r>
      <w:r w:rsidR="00D66E9F" w:rsidRPr="0063748F">
        <w:rPr>
          <w:rFonts w:ascii="Arial" w:hAnsi="Arial"/>
          <w:color w:val="auto"/>
          <w:sz w:val="20"/>
        </w:rPr>
        <w:t xml:space="preserve"> will be reviewed approximately 24 months post-implementation</w:t>
      </w:r>
      <w:r>
        <w:rPr>
          <w:rFonts w:ascii="Arial" w:hAnsi="Arial"/>
          <w:color w:val="auto"/>
          <w:sz w:val="20"/>
        </w:rPr>
        <w:t>.</w:t>
      </w:r>
    </w:p>
    <w:p w14:paraId="0D64E49E" w14:textId="77777777" w:rsidR="00171CB6" w:rsidRPr="00645737" w:rsidRDefault="00171CB6" w:rsidP="00171CB6">
      <w:pPr>
        <w:pStyle w:val="Heading2"/>
        <w:rPr>
          <w:rFonts w:ascii="Arial" w:hAnsi="Arial" w:cs="Arial"/>
          <w:color w:val="002060"/>
        </w:rPr>
      </w:pPr>
      <w:r w:rsidRPr="00645737">
        <w:rPr>
          <w:rFonts w:ascii="Arial" w:hAnsi="Arial" w:cs="Arial"/>
          <w:color w:val="002060"/>
        </w:rPr>
        <w:t>Item Descriptor</w:t>
      </w:r>
    </w:p>
    <w:tbl>
      <w:tblPr>
        <w:tblStyle w:val="TableGrid"/>
        <w:tblW w:w="10285" w:type="dxa"/>
        <w:tblInd w:w="-5" w:type="dxa"/>
        <w:tblLayout w:type="fixed"/>
        <w:tblLook w:val="01E0" w:firstRow="1" w:lastRow="1" w:firstColumn="1" w:lastColumn="1" w:noHBand="0" w:noVBand="0"/>
      </w:tblPr>
      <w:tblGrid>
        <w:gridCol w:w="1000"/>
        <w:gridCol w:w="9285"/>
      </w:tblGrid>
      <w:tr w:rsidR="00171CB6" w:rsidRPr="003357BC" w14:paraId="6D15DD04" w14:textId="77777777" w:rsidTr="00171CB6">
        <w:trPr>
          <w:trHeight w:val="2674"/>
        </w:trPr>
        <w:tc>
          <w:tcPr>
            <w:tcW w:w="1000" w:type="dxa"/>
          </w:tcPr>
          <w:p w14:paraId="72A33F10" w14:textId="0E4ED9B3" w:rsidR="00171CB6" w:rsidRPr="003E60B1" w:rsidRDefault="00171CB6" w:rsidP="000C3454">
            <w:pPr>
              <w:rPr>
                <w:rFonts w:eastAsia="Times New Roman" w:cs="Arial"/>
                <w:b/>
                <w:bCs/>
                <w:szCs w:val="20"/>
              </w:rPr>
            </w:pPr>
            <w:r>
              <w:rPr>
                <w:rFonts w:eastAsia="Times New Roman" w:cs="Arial"/>
                <w:b/>
                <w:bCs/>
                <w:szCs w:val="20"/>
              </w:rPr>
              <w:t>32230</w:t>
            </w:r>
          </w:p>
        </w:tc>
        <w:tc>
          <w:tcPr>
            <w:tcW w:w="9285" w:type="dxa"/>
          </w:tcPr>
          <w:p w14:paraId="75B982D4" w14:textId="77777777" w:rsidR="00171CB6" w:rsidRPr="00171CB6" w:rsidRDefault="00171CB6" w:rsidP="00171CB6">
            <w:pPr>
              <w:spacing w:after="160"/>
              <w:rPr>
                <w:rFonts w:cs="Arial"/>
              </w:rPr>
            </w:pPr>
            <w:r w:rsidRPr="00171CB6">
              <w:rPr>
                <w:rFonts w:cs="Arial"/>
              </w:rPr>
              <w:t>Endoscopic mucosal resection using electrocautery of a non</w:t>
            </w:r>
            <w:r w:rsidRPr="00171CB6">
              <w:rPr>
                <w:rFonts w:cs="Arial"/>
              </w:rPr>
              <w:noBreakHyphen/>
              <w:t>invasive sessile or flat superficial colorectal neoplasm which is at least 25mm in diameter, if the service is:</w:t>
            </w:r>
          </w:p>
          <w:p w14:paraId="68DCF447" w14:textId="77777777" w:rsidR="00171CB6" w:rsidRPr="00171CB6" w:rsidRDefault="00171CB6" w:rsidP="00171CB6">
            <w:pPr>
              <w:spacing w:after="160"/>
              <w:rPr>
                <w:rFonts w:cs="Arial"/>
              </w:rPr>
            </w:pPr>
            <w:r w:rsidRPr="00171CB6">
              <w:rPr>
                <w:rFonts w:cs="Arial"/>
              </w:rPr>
              <w:t>(a) provided by a specialist gastroenterologist or surgical endoscopist; and</w:t>
            </w:r>
          </w:p>
          <w:p w14:paraId="7F942BF8" w14:textId="77777777" w:rsidR="00171CB6" w:rsidRPr="00171CB6" w:rsidRDefault="00171CB6" w:rsidP="00171CB6">
            <w:pPr>
              <w:spacing w:after="160"/>
              <w:rPr>
                <w:rFonts w:cs="Arial"/>
              </w:rPr>
            </w:pPr>
            <w:r w:rsidRPr="00171CB6">
              <w:rPr>
                <w:rFonts w:cs="Arial"/>
              </w:rPr>
              <w:t>(b) supported by photographic evidence to confirm the size of the polyp in situ, and</w:t>
            </w:r>
          </w:p>
          <w:p w14:paraId="11CAA3FC" w14:textId="25A25B4B" w:rsidR="00171CB6" w:rsidRPr="00171CB6" w:rsidRDefault="00171CB6" w:rsidP="00171CB6">
            <w:pPr>
              <w:spacing w:after="160"/>
              <w:rPr>
                <w:rFonts w:cs="Arial"/>
              </w:rPr>
            </w:pPr>
            <w:r w:rsidRPr="00171CB6">
              <w:rPr>
                <w:rFonts w:cs="Arial"/>
              </w:rPr>
              <w:t>(c) performed in association with a service to which item 32222, 32223, 32224, 32225, 32226 or 32228 applies.</w:t>
            </w:r>
          </w:p>
          <w:p w14:paraId="2601AFD3" w14:textId="77777777" w:rsidR="00171CB6" w:rsidRPr="00171CB6" w:rsidRDefault="00171CB6" w:rsidP="00171CB6">
            <w:pPr>
              <w:spacing w:after="160"/>
              <w:rPr>
                <w:rFonts w:cs="Arial"/>
              </w:rPr>
            </w:pPr>
            <w:r w:rsidRPr="00171CB6">
              <w:rPr>
                <w:rFonts w:cs="Arial"/>
              </w:rPr>
              <w:t>Applicable only once per polyp (H) (Anaes.)</w:t>
            </w:r>
          </w:p>
          <w:p w14:paraId="6665DE81" w14:textId="227DA6E9" w:rsidR="00171CB6" w:rsidRPr="003E60B1" w:rsidRDefault="00171CB6" w:rsidP="000C3454">
            <w:pPr>
              <w:spacing w:after="160"/>
              <w:ind w:right="-535"/>
              <w:rPr>
                <w:rFonts w:cs="Arial"/>
              </w:rPr>
            </w:pPr>
            <w:r>
              <w:rPr>
                <w:rFonts w:cs="Arial"/>
              </w:rPr>
              <w:t>Fee: $695.25</w:t>
            </w:r>
            <w:r w:rsidR="00B07006">
              <w:rPr>
                <w:rFonts w:cs="Arial"/>
              </w:rPr>
              <w:t xml:space="preserve"> Benefit: 75% = $521.45</w:t>
            </w:r>
          </w:p>
        </w:tc>
      </w:tr>
    </w:tbl>
    <w:p w14:paraId="1ED9E6E9" w14:textId="77777777" w:rsidR="00F93F71" w:rsidRDefault="00F93F71" w:rsidP="00AB53A4">
      <w:pPr>
        <w:pStyle w:val="Heading2"/>
      </w:pPr>
      <w:r>
        <w:t>Where can I find more information?</w:t>
      </w:r>
    </w:p>
    <w:p w14:paraId="287C30D8" w14:textId="7FD872F8" w:rsidR="00D6302E" w:rsidRDefault="00D6302E" w:rsidP="00151636">
      <w:r w:rsidRPr="001268A3">
        <w:t>The full item descriptor</w:t>
      </w:r>
      <w:r w:rsidR="005E1472" w:rsidRPr="001268A3">
        <w:t>(s)</w:t>
      </w:r>
      <w:r w:rsidRPr="001268A3">
        <w:t xml:space="preserve"> and information on other changes to the MBS can be found</w:t>
      </w:r>
      <w:r w:rsidR="005E1472" w:rsidRPr="001268A3">
        <w:t xml:space="preserve"> </w:t>
      </w:r>
      <w:r w:rsidR="00ED1055" w:rsidRPr="001268A3">
        <w:t>on the</w:t>
      </w:r>
      <w:r w:rsidR="0018507E" w:rsidRPr="001268A3">
        <w:t xml:space="preserve"> </w:t>
      </w:r>
      <w:r w:rsidR="00141BC3" w:rsidRPr="001268A3">
        <w:t>MBS Online</w:t>
      </w:r>
      <w:r w:rsidR="0018507E" w:rsidRPr="001268A3">
        <w:t xml:space="preserve"> </w:t>
      </w:r>
      <w:r w:rsidR="00ED1055" w:rsidRPr="001268A3">
        <w:t xml:space="preserve">website at </w:t>
      </w:r>
      <w:hyperlink r:id="rId11" w:history="1">
        <w:r w:rsidR="00BC66F1" w:rsidRPr="001268A3">
          <w:rPr>
            <w:rStyle w:val="Hyperlink"/>
          </w:rPr>
          <w:t>www.mbsonline.gov.au</w:t>
        </w:r>
      </w:hyperlink>
      <w:r w:rsidR="00BC66F1" w:rsidRPr="001268A3">
        <w:t xml:space="preserve">. </w:t>
      </w:r>
      <w:r w:rsidR="0018507E" w:rsidRPr="001268A3">
        <w:t>You</w:t>
      </w:r>
      <w:r w:rsidR="0018507E">
        <w:t xml:space="preserve"> can also </w:t>
      </w:r>
      <w:r w:rsidR="00D16EF3">
        <w:t xml:space="preserve">subscribe to </w:t>
      </w:r>
      <w:r w:rsidR="00D16EF3" w:rsidRPr="00C812D8">
        <w:t>future</w:t>
      </w:r>
      <w:r w:rsidR="00D16EF3" w:rsidRPr="00215118">
        <w:t xml:space="preserve"> MBS updates </w:t>
      </w:r>
      <w:r w:rsidR="00D16EF3">
        <w:t xml:space="preserve">by visiting </w:t>
      </w:r>
      <w:hyperlink r:id="rId12" w:history="1">
        <w:r w:rsidR="00ED1055" w:rsidRPr="00420023">
          <w:rPr>
            <w:rStyle w:val="Hyperlink"/>
          </w:rPr>
          <w:t>MBS Online</w:t>
        </w:r>
      </w:hyperlink>
      <w:r w:rsidR="00ED1055">
        <w:t xml:space="preserve"> a</w:t>
      </w:r>
      <w:r w:rsidR="00D62923">
        <w:t>nd clicking</w:t>
      </w:r>
      <w:r w:rsidR="00D16EF3">
        <w:t xml:space="preserve"> ‘Subscribe’.</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3" w:history="1">
        <w:r w:rsidRPr="00AF4D21">
          <w:rPr>
            <w:rStyle w:val="Hyperlink"/>
          </w:rPr>
          <w:t>askMBS@health.gov.au</w:t>
        </w:r>
      </w:hyperlink>
      <w:r>
        <w:t>.</w:t>
      </w:r>
    </w:p>
    <w:p w14:paraId="755B2353" w14:textId="22D8E72E" w:rsidR="00B378D4" w:rsidRDefault="00B378D4">
      <w:r>
        <w:t>Subscribe to ‘</w:t>
      </w:r>
      <w:hyperlink r:id="rId14"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35F6E8AE" w14:textId="2AEF31A6" w:rsidR="00656F11" w:rsidRDefault="00ED1055" w:rsidP="005E1472">
      <w:r>
        <w:t xml:space="preserve">If you are seeking advice in relation to Medicare billing, claiming, payments, or obtaining a provider number, please </w:t>
      </w:r>
      <w:bookmarkStart w:id="2" w:name="_Hlk7773414"/>
      <w:r w:rsidR="00B378D4">
        <w:t>go to the Health Professionals page on the Services</w:t>
      </w:r>
      <w:r w:rsidR="001C7BC5">
        <w:t xml:space="preserve"> Australia</w:t>
      </w:r>
      <w:r w:rsidR="00B378D4">
        <w:t xml:space="preserve"> website or </w:t>
      </w:r>
      <w:bookmarkEnd w:id="2"/>
      <w:r>
        <w:t>contact the Services</w:t>
      </w:r>
      <w:r w:rsidR="00787CD1">
        <w:t xml:space="preserve"> Australia</w:t>
      </w:r>
      <w:r>
        <w:t xml:space="preserve"> on the Provider Enquiry Line </w:t>
      </w:r>
      <w:r w:rsidR="00E7460D">
        <w:t>–</w:t>
      </w:r>
      <w:r>
        <w:t xml:space="preserve"> 13 21 50.</w:t>
      </w:r>
    </w:p>
    <w:p w14:paraId="35508100" w14:textId="6C71B2B7" w:rsidR="00FC18C6" w:rsidRDefault="00FC18C6" w:rsidP="005E1472">
      <w:bookmarkStart w:id="3" w:name="_Hlk82952008"/>
      <w:r>
        <w:t xml:space="preserve">The data file for software vendors will be available via the MBS Online website under the </w:t>
      </w:r>
      <w:hyperlink r:id="rId15" w:history="1">
        <w:r w:rsidRPr="002427E0">
          <w:rPr>
            <w:rStyle w:val="Hyperlink"/>
          </w:rPr>
          <w:t>Downloads</w:t>
        </w:r>
      </w:hyperlink>
      <w:r>
        <w:t xml:space="preserve"> page.</w:t>
      </w:r>
      <w:bookmarkEnd w:id="3"/>
    </w:p>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6A1108D" w14:textId="7FAB5444" w:rsidR="00656F11" w:rsidRPr="00257536" w:rsidRDefault="00656F11" w:rsidP="00257536">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257536"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AC0AB" w14:textId="77777777" w:rsidR="00C650EB" w:rsidRDefault="00C650EB" w:rsidP="006D1088">
      <w:pPr>
        <w:spacing w:after="0" w:line="240" w:lineRule="auto"/>
      </w:pPr>
      <w:r>
        <w:separator/>
      </w:r>
    </w:p>
  </w:endnote>
  <w:endnote w:type="continuationSeparator" w:id="0">
    <w:p w14:paraId="50341FA4" w14:textId="77777777" w:rsidR="00C650EB" w:rsidRDefault="00C650EB"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4C0396"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2FB7F398" w:rsidR="009B32BA" w:rsidRDefault="00D66E9F" w:rsidP="009B32BA">
    <w:pPr>
      <w:pStyle w:val="Footer"/>
      <w:tabs>
        <w:tab w:val="clear" w:pos="9026"/>
        <w:tab w:val="right" w:pos="10466"/>
      </w:tabs>
    </w:pPr>
    <w:r w:rsidRPr="00D66E9F">
      <w:rPr>
        <w:b/>
      </w:rPr>
      <w:t>New MBS Item</w:t>
    </w:r>
    <w:r w:rsidR="006C5690">
      <w:rPr>
        <w:b/>
      </w:rPr>
      <w:t xml:space="preserve"> 322</w:t>
    </w:r>
    <w:r w:rsidR="00171CB6">
      <w:rPr>
        <w:b/>
      </w:rPr>
      <w:t>3</w:t>
    </w:r>
    <w:r w:rsidR="006C5690">
      <w:rPr>
        <w:b/>
      </w:rPr>
      <w:t>0</w:t>
    </w:r>
    <w:r w:rsidRPr="00D66E9F">
      <w:rPr>
        <w:b/>
      </w:rPr>
      <w:t xml:space="preserve"> for Endoscopic Mucosal Resection (EMR)</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4C0396">
    <w:pPr>
      <w:pStyle w:val="Footer"/>
      <w:rPr>
        <w:rStyle w:val="Hyperlink"/>
        <w:szCs w:val="18"/>
      </w:rPr>
    </w:pPr>
    <w:hyperlink r:id="rId1" w:history="1">
      <w:r w:rsidR="009B32BA" w:rsidRPr="00E863C4">
        <w:rPr>
          <w:rStyle w:val="Hyperlink"/>
          <w:szCs w:val="18"/>
        </w:rPr>
        <w:t>MBS Online</w:t>
      </w:r>
    </w:hyperlink>
  </w:p>
  <w:p w14:paraId="300F6065" w14:textId="587EE01F" w:rsidR="00570B62" w:rsidRPr="009B32BA" w:rsidRDefault="00570B62">
    <w:pPr>
      <w:pStyle w:val="Footer"/>
      <w:rPr>
        <w:szCs w:val="18"/>
      </w:rPr>
    </w:pPr>
    <w:r w:rsidRPr="00870B05">
      <w:t>Last updated</w:t>
    </w:r>
    <w:r>
      <w:t xml:space="preserve"> – </w:t>
    </w:r>
    <w:r w:rsidR="00171CB6">
      <w:t xml:space="preserve">27 </w:t>
    </w:r>
    <w:r w:rsidR="001268A3">
      <w:t>September</w:t>
    </w:r>
    <w:r>
      <w:t xml:space="preserve"> 20</w:t>
    </w:r>
    <w:r w:rsidR="00D66E9F">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233B3" w14:textId="77777777" w:rsidR="00C650EB" w:rsidRDefault="00C650EB" w:rsidP="006D1088">
      <w:pPr>
        <w:spacing w:after="0" w:line="240" w:lineRule="auto"/>
      </w:pPr>
      <w:r>
        <w:separator/>
      </w:r>
    </w:p>
  </w:footnote>
  <w:footnote w:type="continuationSeparator" w:id="0">
    <w:p w14:paraId="2DFB0F3E" w14:textId="77777777" w:rsidR="00C650EB" w:rsidRDefault="00C650EB"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58E1"/>
    <w:rsid w:val="000074DD"/>
    <w:rsid w:val="00022530"/>
    <w:rsid w:val="000367AA"/>
    <w:rsid w:val="00045810"/>
    <w:rsid w:val="00047BED"/>
    <w:rsid w:val="00081B97"/>
    <w:rsid w:val="000A2F0A"/>
    <w:rsid w:val="000A39B6"/>
    <w:rsid w:val="000B01AE"/>
    <w:rsid w:val="000B2A1B"/>
    <w:rsid w:val="000C2143"/>
    <w:rsid w:val="000C3B83"/>
    <w:rsid w:val="000D1778"/>
    <w:rsid w:val="001014EB"/>
    <w:rsid w:val="00102885"/>
    <w:rsid w:val="00121100"/>
    <w:rsid w:val="00124E0B"/>
    <w:rsid w:val="001268A3"/>
    <w:rsid w:val="00130343"/>
    <w:rsid w:val="00135417"/>
    <w:rsid w:val="00141BC3"/>
    <w:rsid w:val="001432AF"/>
    <w:rsid w:val="00151636"/>
    <w:rsid w:val="00155BD4"/>
    <w:rsid w:val="00167446"/>
    <w:rsid w:val="00171CB6"/>
    <w:rsid w:val="0017279A"/>
    <w:rsid w:val="00181B52"/>
    <w:rsid w:val="0018507E"/>
    <w:rsid w:val="0019170A"/>
    <w:rsid w:val="001A4AFC"/>
    <w:rsid w:val="001A6FE6"/>
    <w:rsid w:val="001A7FB7"/>
    <w:rsid w:val="001C5C56"/>
    <w:rsid w:val="001C7BC5"/>
    <w:rsid w:val="001E6F63"/>
    <w:rsid w:val="001F49E8"/>
    <w:rsid w:val="00200902"/>
    <w:rsid w:val="00203F3E"/>
    <w:rsid w:val="00221334"/>
    <w:rsid w:val="002427E0"/>
    <w:rsid w:val="00243D1C"/>
    <w:rsid w:val="00257536"/>
    <w:rsid w:val="0026502E"/>
    <w:rsid w:val="00276A29"/>
    <w:rsid w:val="00281820"/>
    <w:rsid w:val="00291041"/>
    <w:rsid w:val="002A3C7C"/>
    <w:rsid w:val="002A5A70"/>
    <w:rsid w:val="002B3FCB"/>
    <w:rsid w:val="002B70AC"/>
    <w:rsid w:val="002D2CC5"/>
    <w:rsid w:val="002E6682"/>
    <w:rsid w:val="003122B4"/>
    <w:rsid w:val="00337919"/>
    <w:rsid w:val="003402B3"/>
    <w:rsid w:val="00345DC5"/>
    <w:rsid w:val="00352174"/>
    <w:rsid w:val="00355E8A"/>
    <w:rsid w:val="00363819"/>
    <w:rsid w:val="00374AE3"/>
    <w:rsid w:val="003A52BA"/>
    <w:rsid w:val="003B56AD"/>
    <w:rsid w:val="003D5CEF"/>
    <w:rsid w:val="003E0945"/>
    <w:rsid w:val="003E6457"/>
    <w:rsid w:val="003F6682"/>
    <w:rsid w:val="00405506"/>
    <w:rsid w:val="00420023"/>
    <w:rsid w:val="00425089"/>
    <w:rsid w:val="00427D7F"/>
    <w:rsid w:val="004324B6"/>
    <w:rsid w:val="00433682"/>
    <w:rsid w:val="0043744D"/>
    <w:rsid w:val="00445086"/>
    <w:rsid w:val="004511F2"/>
    <w:rsid w:val="004866FF"/>
    <w:rsid w:val="004933FA"/>
    <w:rsid w:val="00494B72"/>
    <w:rsid w:val="00496081"/>
    <w:rsid w:val="004A1348"/>
    <w:rsid w:val="004B243F"/>
    <w:rsid w:val="004C0396"/>
    <w:rsid w:val="004C2B08"/>
    <w:rsid w:val="004D2C7C"/>
    <w:rsid w:val="004D71C4"/>
    <w:rsid w:val="004E52A2"/>
    <w:rsid w:val="004F0AA6"/>
    <w:rsid w:val="00510063"/>
    <w:rsid w:val="005261D0"/>
    <w:rsid w:val="0053197C"/>
    <w:rsid w:val="0054242B"/>
    <w:rsid w:val="00542F07"/>
    <w:rsid w:val="00543427"/>
    <w:rsid w:val="00550525"/>
    <w:rsid w:val="00566384"/>
    <w:rsid w:val="00570B62"/>
    <w:rsid w:val="00595BBD"/>
    <w:rsid w:val="0059641E"/>
    <w:rsid w:val="005E1472"/>
    <w:rsid w:val="005F226C"/>
    <w:rsid w:val="006173AC"/>
    <w:rsid w:val="0062100F"/>
    <w:rsid w:val="00634880"/>
    <w:rsid w:val="006425BA"/>
    <w:rsid w:val="00650B9A"/>
    <w:rsid w:val="00653345"/>
    <w:rsid w:val="00655D74"/>
    <w:rsid w:val="00656F11"/>
    <w:rsid w:val="00684D37"/>
    <w:rsid w:val="00694030"/>
    <w:rsid w:val="006961D6"/>
    <w:rsid w:val="006A175B"/>
    <w:rsid w:val="006C5690"/>
    <w:rsid w:val="006D04CC"/>
    <w:rsid w:val="006D1088"/>
    <w:rsid w:val="006D2A35"/>
    <w:rsid w:val="006F5785"/>
    <w:rsid w:val="007255A0"/>
    <w:rsid w:val="00726103"/>
    <w:rsid w:val="00727F4C"/>
    <w:rsid w:val="00734F6B"/>
    <w:rsid w:val="00736D31"/>
    <w:rsid w:val="0077741D"/>
    <w:rsid w:val="00781867"/>
    <w:rsid w:val="00787CD1"/>
    <w:rsid w:val="007D1D3A"/>
    <w:rsid w:val="007E2604"/>
    <w:rsid w:val="007E33D2"/>
    <w:rsid w:val="00814F52"/>
    <w:rsid w:val="00834903"/>
    <w:rsid w:val="008352AC"/>
    <w:rsid w:val="00852651"/>
    <w:rsid w:val="008553F7"/>
    <w:rsid w:val="00864E28"/>
    <w:rsid w:val="008766AD"/>
    <w:rsid w:val="00876A59"/>
    <w:rsid w:val="00881219"/>
    <w:rsid w:val="008957B9"/>
    <w:rsid w:val="008A6F4F"/>
    <w:rsid w:val="008B25F2"/>
    <w:rsid w:val="008E258C"/>
    <w:rsid w:val="008E4C9B"/>
    <w:rsid w:val="008E7B7C"/>
    <w:rsid w:val="008F1594"/>
    <w:rsid w:val="008F4B45"/>
    <w:rsid w:val="009000AA"/>
    <w:rsid w:val="00907B4A"/>
    <w:rsid w:val="0091706C"/>
    <w:rsid w:val="00942A31"/>
    <w:rsid w:val="009542F2"/>
    <w:rsid w:val="009562F4"/>
    <w:rsid w:val="00977405"/>
    <w:rsid w:val="009858E2"/>
    <w:rsid w:val="009A6B12"/>
    <w:rsid w:val="009B0901"/>
    <w:rsid w:val="009B32BA"/>
    <w:rsid w:val="009B51E7"/>
    <w:rsid w:val="009B5206"/>
    <w:rsid w:val="009B7859"/>
    <w:rsid w:val="009C742B"/>
    <w:rsid w:val="009D0B98"/>
    <w:rsid w:val="009E4A9E"/>
    <w:rsid w:val="009E66EE"/>
    <w:rsid w:val="009E6DE2"/>
    <w:rsid w:val="009F52D4"/>
    <w:rsid w:val="00A26321"/>
    <w:rsid w:val="00A3287F"/>
    <w:rsid w:val="00A34384"/>
    <w:rsid w:val="00A37CE3"/>
    <w:rsid w:val="00A51FC5"/>
    <w:rsid w:val="00A5641C"/>
    <w:rsid w:val="00A60FB7"/>
    <w:rsid w:val="00A64177"/>
    <w:rsid w:val="00A7172E"/>
    <w:rsid w:val="00A91196"/>
    <w:rsid w:val="00AA41CD"/>
    <w:rsid w:val="00AA5232"/>
    <w:rsid w:val="00AA69A9"/>
    <w:rsid w:val="00AB53A4"/>
    <w:rsid w:val="00AE2F7E"/>
    <w:rsid w:val="00AE53A3"/>
    <w:rsid w:val="00B06E28"/>
    <w:rsid w:val="00B07006"/>
    <w:rsid w:val="00B15CE8"/>
    <w:rsid w:val="00B2044B"/>
    <w:rsid w:val="00B23A4C"/>
    <w:rsid w:val="00B31FBA"/>
    <w:rsid w:val="00B378D4"/>
    <w:rsid w:val="00B3793F"/>
    <w:rsid w:val="00B542FB"/>
    <w:rsid w:val="00B714E8"/>
    <w:rsid w:val="00B83E3D"/>
    <w:rsid w:val="00B848AA"/>
    <w:rsid w:val="00B90DB5"/>
    <w:rsid w:val="00BA0109"/>
    <w:rsid w:val="00BA7CA8"/>
    <w:rsid w:val="00BB25DE"/>
    <w:rsid w:val="00BB7C0E"/>
    <w:rsid w:val="00BC50C1"/>
    <w:rsid w:val="00BC66F1"/>
    <w:rsid w:val="00BD1C20"/>
    <w:rsid w:val="00BD2649"/>
    <w:rsid w:val="00BE2018"/>
    <w:rsid w:val="00BE505F"/>
    <w:rsid w:val="00BF00A9"/>
    <w:rsid w:val="00BF426F"/>
    <w:rsid w:val="00C0126E"/>
    <w:rsid w:val="00C02C9B"/>
    <w:rsid w:val="00C11326"/>
    <w:rsid w:val="00C131D7"/>
    <w:rsid w:val="00C13ABA"/>
    <w:rsid w:val="00C4491F"/>
    <w:rsid w:val="00C61A31"/>
    <w:rsid w:val="00C650EB"/>
    <w:rsid w:val="00C66700"/>
    <w:rsid w:val="00C91F3B"/>
    <w:rsid w:val="00CA5F76"/>
    <w:rsid w:val="00CC39C8"/>
    <w:rsid w:val="00CF45CC"/>
    <w:rsid w:val="00CF51BF"/>
    <w:rsid w:val="00D11EDB"/>
    <w:rsid w:val="00D16EF3"/>
    <w:rsid w:val="00D3244E"/>
    <w:rsid w:val="00D3629F"/>
    <w:rsid w:val="00D36F35"/>
    <w:rsid w:val="00D37294"/>
    <w:rsid w:val="00D3741F"/>
    <w:rsid w:val="00D422E5"/>
    <w:rsid w:val="00D51364"/>
    <w:rsid w:val="00D62923"/>
    <w:rsid w:val="00D6302E"/>
    <w:rsid w:val="00D66E9F"/>
    <w:rsid w:val="00D67E9A"/>
    <w:rsid w:val="00D76659"/>
    <w:rsid w:val="00DA50D6"/>
    <w:rsid w:val="00DB54A4"/>
    <w:rsid w:val="00DC127A"/>
    <w:rsid w:val="00DC356C"/>
    <w:rsid w:val="00DE22E2"/>
    <w:rsid w:val="00DF7606"/>
    <w:rsid w:val="00DF7C32"/>
    <w:rsid w:val="00E43F82"/>
    <w:rsid w:val="00E7403A"/>
    <w:rsid w:val="00E7460D"/>
    <w:rsid w:val="00EA2C47"/>
    <w:rsid w:val="00EA2CDC"/>
    <w:rsid w:val="00EC2DBE"/>
    <w:rsid w:val="00ED1055"/>
    <w:rsid w:val="00ED2B70"/>
    <w:rsid w:val="00ED60EE"/>
    <w:rsid w:val="00F074CE"/>
    <w:rsid w:val="00F07E89"/>
    <w:rsid w:val="00F10D1A"/>
    <w:rsid w:val="00F33D07"/>
    <w:rsid w:val="00F50491"/>
    <w:rsid w:val="00F50994"/>
    <w:rsid w:val="00F74AD4"/>
    <w:rsid w:val="00F74DFC"/>
    <w:rsid w:val="00F93F71"/>
    <w:rsid w:val="00FB4DEF"/>
    <w:rsid w:val="00FC18C6"/>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BC66F1"/>
    <w:rPr>
      <w:color w:val="605E5C"/>
      <w:shd w:val="clear" w:color="auto" w:fill="E1DFDD"/>
    </w:rPr>
  </w:style>
  <w:style w:type="table" w:styleId="TableGrid">
    <w:name w:val="Table Grid"/>
    <w:basedOn w:val="TableNormal"/>
    <w:rsid w:val="00171CB6"/>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skMBS@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s://protect-au.mimecast.com/s/YGuBCWLVnwSNGEDUxwHa2?domain=mbsonline.gov.au" TargetMode="External"/><Relationship Id="rId10" Type="http://schemas.openxmlformats.org/officeDocument/2006/relationships/hyperlink" Target="http://www.msac.gov.au/internet/msac/publishing.nsf/Content/application-pa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rvicesaustralia.gov.au/organisations/health-professionals/news/al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6157B-48B8-44F2-BCC0-6668B911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3930</Characters>
  <Application>Microsoft Office Word</Application>
  <DocSecurity>0</DocSecurity>
  <Lines>60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2021-10-07T22:07:00Z</dcterms:created>
  <dcterms:modified xsi:type="dcterms:W3CDTF">2021-10-07T22:07:00Z</dcterms:modified>
</cp:coreProperties>
</file>