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972F" w14:textId="74BDEB5D" w:rsidR="00464D88" w:rsidRDefault="00084D71" w:rsidP="00464D88">
      <w:pPr>
        <w:pStyle w:val="Title"/>
      </w:pPr>
      <w:bookmarkStart w:id="0" w:name="_Hlk4568006"/>
      <w:r>
        <w:t xml:space="preserve">Spinal </w:t>
      </w:r>
      <w:r w:rsidR="00950A05">
        <w:t>surgery MBS item changes</w:t>
      </w:r>
      <w:r w:rsidR="00464D88">
        <w:t xml:space="preserve"> to exclude use for Vertebral Body Tethering (VBT) </w:t>
      </w:r>
    </w:p>
    <w:p w14:paraId="6EFD4B5B" w14:textId="1571B49F" w:rsidR="00064168" w:rsidRPr="00867595" w:rsidRDefault="00064168" w:rsidP="006F5073">
      <w:r w:rsidRPr="00867595">
        <w:t xml:space="preserve">Last updated: </w:t>
      </w:r>
      <w:r w:rsidR="00464D88">
        <w:t>1</w:t>
      </w:r>
      <w:r w:rsidR="00667874">
        <w:t>7</w:t>
      </w:r>
      <w:r w:rsidR="00464D88">
        <w:t xml:space="preserve"> January 2024</w:t>
      </w:r>
    </w:p>
    <w:p w14:paraId="2A24262C" w14:textId="11D5FA38" w:rsidR="009E21CA" w:rsidRPr="00867595" w:rsidRDefault="009E21CA" w:rsidP="009E21CA">
      <w:pPr>
        <w:pStyle w:val="ListParagraph"/>
        <w:numPr>
          <w:ilvl w:val="0"/>
          <w:numId w:val="27"/>
        </w:numPr>
        <w:spacing w:before="0" w:after="60" w:line="280" w:lineRule="exact"/>
        <w:contextualSpacing w:val="0"/>
        <w:rPr>
          <w:szCs w:val="22"/>
        </w:rPr>
      </w:pPr>
      <w:bookmarkStart w:id="1" w:name="_Hlk535506978"/>
      <w:bookmarkEnd w:id="0"/>
      <w:r>
        <w:rPr>
          <w:szCs w:val="22"/>
        </w:rPr>
        <w:t xml:space="preserve">From 1 March 2024, spinal instrumentation items 51021 to 51026 and </w:t>
      </w:r>
      <w:r w:rsidR="009D2BD9">
        <w:rPr>
          <w:szCs w:val="22"/>
        </w:rPr>
        <w:t xml:space="preserve">51165 </w:t>
      </w:r>
      <w:r>
        <w:rPr>
          <w:szCs w:val="22"/>
        </w:rPr>
        <w:t xml:space="preserve">for anterior exposure of the spine will be amended to exclude </w:t>
      </w:r>
      <w:r w:rsidR="00B971DF">
        <w:rPr>
          <w:szCs w:val="22"/>
        </w:rPr>
        <w:t xml:space="preserve">their </w:t>
      </w:r>
      <w:r>
        <w:rPr>
          <w:szCs w:val="22"/>
        </w:rPr>
        <w:t>use for Vertebral Body Tethering (VBT) for the treatment of scoliosis</w:t>
      </w:r>
      <w:r w:rsidRPr="00867595">
        <w:rPr>
          <w:szCs w:val="22"/>
        </w:rPr>
        <w:t>.</w:t>
      </w:r>
    </w:p>
    <w:bookmarkEnd w:id="1"/>
    <w:p w14:paraId="47D924D9" w14:textId="77D920B1" w:rsidR="009E21CA" w:rsidRPr="00867595" w:rsidRDefault="009E21CA" w:rsidP="009E21CA">
      <w:pPr>
        <w:pStyle w:val="ListParagraph"/>
        <w:numPr>
          <w:ilvl w:val="0"/>
          <w:numId w:val="27"/>
        </w:numPr>
        <w:spacing w:before="0" w:after="60" w:line="280" w:lineRule="exact"/>
        <w:contextualSpacing w:val="0"/>
        <w:rPr>
          <w:szCs w:val="22"/>
        </w:rPr>
      </w:pPr>
      <w:r w:rsidRPr="00867595">
        <w:rPr>
          <w:szCs w:val="22"/>
        </w:rPr>
        <w:t xml:space="preserve">These changes are relevant </w:t>
      </w:r>
      <w:r w:rsidR="00D518A2">
        <w:rPr>
          <w:szCs w:val="22"/>
        </w:rPr>
        <w:t>to all</w:t>
      </w:r>
      <w:r w:rsidR="003D0AB6">
        <w:rPr>
          <w:szCs w:val="22"/>
        </w:rPr>
        <w:t xml:space="preserve"> medical practitioners who provide spinal surgery services</w:t>
      </w:r>
      <w:r w:rsidRPr="00867595">
        <w:rPr>
          <w:szCs w:val="22"/>
        </w:rPr>
        <w:t>.</w:t>
      </w:r>
    </w:p>
    <w:p w14:paraId="706781E1" w14:textId="31D6EFBE" w:rsidR="009E21CA" w:rsidRPr="00F57A32" w:rsidRDefault="009E21CA" w:rsidP="009E21CA">
      <w:pPr>
        <w:pStyle w:val="Default"/>
        <w:numPr>
          <w:ilvl w:val="0"/>
          <w:numId w:val="27"/>
        </w:numPr>
        <w:rPr>
          <w:rFonts w:cs="Times New Roman"/>
          <w:color w:val="000000" w:themeColor="text1"/>
          <w:sz w:val="22"/>
          <w:szCs w:val="22"/>
          <w:lang w:eastAsia="en-US"/>
        </w:rPr>
      </w:pPr>
      <w:r w:rsidRPr="009A1BB9">
        <w:rPr>
          <w:rFonts w:cs="Times New Roman"/>
          <w:color w:val="000000" w:themeColor="text1"/>
          <w:sz w:val="22"/>
          <w:szCs w:val="22"/>
          <w:lang w:eastAsia="en-US"/>
        </w:rPr>
        <w:t xml:space="preserve">Eligible patients for these items will continue to receive a Medicare </w:t>
      </w:r>
      <w:r w:rsidR="00240DC2">
        <w:rPr>
          <w:rFonts w:cs="Times New Roman"/>
          <w:color w:val="000000" w:themeColor="text1"/>
          <w:sz w:val="22"/>
          <w:szCs w:val="22"/>
          <w:lang w:eastAsia="en-US"/>
        </w:rPr>
        <w:t>benefit</w:t>
      </w:r>
      <w:r w:rsidRPr="009A1BB9">
        <w:rPr>
          <w:rFonts w:cs="Times New Roman"/>
          <w:color w:val="000000" w:themeColor="text1"/>
          <w:sz w:val="22"/>
          <w:szCs w:val="22"/>
          <w:lang w:eastAsia="en-US"/>
        </w:rPr>
        <w:t xml:space="preserve"> for clinically relevant services, and providers will benefit from </w:t>
      </w:r>
      <w:r>
        <w:rPr>
          <w:rFonts w:cs="Times New Roman"/>
          <w:color w:val="000000" w:themeColor="text1"/>
          <w:sz w:val="22"/>
          <w:szCs w:val="22"/>
          <w:lang w:eastAsia="en-US"/>
        </w:rPr>
        <w:t>clarification on the</w:t>
      </w:r>
      <w:r w:rsidRPr="009A1BB9">
        <w:rPr>
          <w:rFonts w:cs="Times New Roman"/>
          <w:color w:val="000000" w:themeColor="text1"/>
          <w:sz w:val="22"/>
          <w:szCs w:val="22"/>
          <w:lang w:eastAsia="en-US"/>
        </w:rPr>
        <w:t xml:space="preserve"> appropriate claiming of these items. </w:t>
      </w:r>
    </w:p>
    <w:p w14:paraId="44460BF5" w14:textId="77777777" w:rsidR="00064168" w:rsidRPr="00867595" w:rsidRDefault="00064168" w:rsidP="00064168">
      <w:pPr>
        <w:pStyle w:val="Heading2"/>
      </w:pPr>
      <w:r w:rsidRPr="00867595">
        <w:t>What are the changes?</w:t>
      </w:r>
    </w:p>
    <w:p w14:paraId="13C991BD" w14:textId="58887B5E" w:rsidR="000F07D4" w:rsidRDefault="00FE45AD" w:rsidP="00815EB1">
      <w:pPr>
        <w:rPr>
          <w:szCs w:val="22"/>
        </w:rPr>
      </w:pPr>
      <w:r>
        <w:rPr>
          <w:szCs w:val="22"/>
        </w:rPr>
        <w:t xml:space="preserve">Effective </w:t>
      </w:r>
      <w:r w:rsidR="00815EB1">
        <w:rPr>
          <w:szCs w:val="22"/>
        </w:rPr>
        <w:t xml:space="preserve">1 March 2024, </w:t>
      </w:r>
      <w:r w:rsidR="00F97F0E">
        <w:rPr>
          <w:szCs w:val="22"/>
        </w:rPr>
        <w:t>six</w:t>
      </w:r>
      <w:r w:rsidR="00D078D1">
        <w:rPr>
          <w:szCs w:val="22"/>
        </w:rPr>
        <w:t xml:space="preserve"> </w:t>
      </w:r>
      <w:r>
        <w:rPr>
          <w:szCs w:val="22"/>
        </w:rPr>
        <w:t>MBS items for</w:t>
      </w:r>
      <w:r w:rsidR="00815EB1">
        <w:rPr>
          <w:szCs w:val="22"/>
        </w:rPr>
        <w:t xml:space="preserve"> spinal instrumentation (51021 to 51026) and </w:t>
      </w:r>
      <w:r w:rsidR="00F97F0E">
        <w:rPr>
          <w:szCs w:val="22"/>
        </w:rPr>
        <w:t xml:space="preserve">one item </w:t>
      </w:r>
      <w:r w:rsidR="00815EB1">
        <w:rPr>
          <w:szCs w:val="22"/>
        </w:rPr>
        <w:t>for anterior exposure of the spine</w:t>
      </w:r>
      <w:r w:rsidR="00F97F0E">
        <w:rPr>
          <w:szCs w:val="22"/>
        </w:rPr>
        <w:t xml:space="preserve"> (51165) </w:t>
      </w:r>
      <w:r w:rsidR="00815EB1">
        <w:rPr>
          <w:szCs w:val="22"/>
        </w:rPr>
        <w:t xml:space="preserve">will be amended to make it more transparent to practitioners on the clinical circumstances for which these items can be </w:t>
      </w:r>
      <w:r w:rsidR="00CA0933">
        <w:rPr>
          <w:szCs w:val="22"/>
        </w:rPr>
        <w:t>claimed</w:t>
      </w:r>
      <w:r w:rsidR="00815EB1">
        <w:rPr>
          <w:szCs w:val="22"/>
        </w:rPr>
        <w:t>, provide clarity on the intent of these items,</w:t>
      </w:r>
      <w:r w:rsidR="00815EB1" w:rsidRPr="00967F3F">
        <w:rPr>
          <w:szCs w:val="22"/>
        </w:rPr>
        <w:t xml:space="preserve"> </w:t>
      </w:r>
      <w:r w:rsidR="00815EB1">
        <w:rPr>
          <w:szCs w:val="22"/>
        </w:rPr>
        <w:t xml:space="preserve">and exclude their use for VBT for the treatment of scoliosis. </w:t>
      </w:r>
    </w:p>
    <w:p w14:paraId="720354F3" w14:textId="785B2017" w:rsidR="00815EB1" w:rsidRDefault="00815EB1" w:rsidP="00815EB1">
      <w:pPr>
        <w:rPr>
          <w:szCs w:val="22"/>
        </w:rPr>
      </w:pPr>
      <w:r>
        <w:rPr>
          <w:szCs w:val="22"/>
        </w:rPr>
        <w:t>The</w:t>
      </w:r>
      <w:r w:rsidR="000F07D4">
        <w:rPr>
          <w:szCs w:val="22"/>
        </w:rPr>
        <w:t>se</w:t>
      </w:r>
      <w:r>
        <w:rPr>
          <w:szCs w:val="22"/>
        </w:rPr>
        <w:t xml:space="preserve"> </w:t>
      </w:r>
      <w:r w:rsidR="00921D1A">
        <w:rPr>
          <w:szCs w:val="22"/>
        </w:rPr>
        <w:t>amendment</w:t>
      </w:r>
      <w:r>
        <w:rPr>
          <w:szCs w:val="22"/>
        </w:rPr>
        <w:t xml:space="preserve">s are </w:t>
      </w:r>
      <w:r w:rsidR="000F07D4">
        <w:rPr>
          <w:szCs w:val="22"/>
        </w:rPr>
        <w:t xml:space="preserve">outlined </w:t>
      </w:r>
      <w:r>
        <w:rPr>
          <w:szCs w:val="22"/>
        </w:rPr>
        <w:t>on page</w:t>
      </w:r>
      <w:r w:rsidR="000F07D4">
        <w:rPr>
          <w:szCs w:val="22"/>
        </w:rPr>
        <w:t>s</w:t>
      </w:r>
      <w:r>
        <w:rPr>
          <w:szCs w:val="22"/>
        </w:rPr>
        <w:t xml:space="preserve"> </w:t>
      </w:r>
      <w:r w:rsidR="00DB4FFA">
        <w:rPr>
          <w:szCs w:val="22"/>
        </w:rPr>
        <w:t>3</w:t>
      </w:r>
      <w:r>
        <w:rPr>
          <w:szCs w:val="22"/>
        </w:rPr>
        <w:t xml:space="preserve"> to </w:t>
      </w:r>
      <w:r w:rsidR="00DB4FFA">
        <w:rPr>
          <w:szCs w:val="22"/>
        </w:rPr>
        <w:t>5</w:t>
      </w:r>
      <w:r>
        <w:rPr>
          <w:szCs w:val="22"/>
        </w:rPr>
        <w:t xml:space="preserve"> of this factsheet.</w:t>
      </w:r>
    </w:p>
    <w:p w14:paraId="63CB30AD" w14:textId="77777777" w:rsidR="009C3D0E" w:rsidRDefault="009C3D0E" w:rsidP="009C3D0E">
      <w:r>
        <w:t>For private health insurance purposes, these items will continue to be listed under the following clinical category and procedure type:</w:t>
      </w:r>
    </w:p>
    <w:p w14:paraId="05174C7F" w14:textId="5B4350C8" w:rsidR="009C3D0E" w:rsidRDefault="009C3D0E" w:rsidP="009C3D0E">
      <w:pPr>
        <w:pStyle w:val="ListBullet"/>
        <w:numPr>
          <w:ilvl w:val="0"/>
          <w:numId w:val="36"/>
        </w:numPr>
      </w:pPr>
      <w:r>
        <w:t xml:space="preserve">Clinical category: </w:t>
      </w:r>
      <w:r w:rsidR="000A62B6">
        <w:t>Back, neck and spine</w:t>
      </w:r>
    </w:p>
    <w:p w14:paraId="53D381FA" w14:textId="2934C864" w:rsidR="00587F43" w:rsidRPr="009C3D0E" w:rsidRDefault="009C3D0E" w:rsidP="00815EB1">
      <w:pPr>
        <w:pStyle w:val="ListBullet"/>
        <w:numPr>
          <w:ilvl w:val="0"/>
          <w:numId w:val="36"/>
        </w:numPr>
      </w:pPr>
      <w:r>
        <w:t xml:space="preserve">Procedure type: Type </w:t>
      </w:r>
      <w:r w:rsidR="000A62B6">
        <w:t>A Advanced Surgical</w:t>
      </w:r>
    </w:p>
    <w:p w14:paraId="42BD5171" w14:textId="77777777" w:rsidR="00064168" w:rsidRDefault="00064168" w:rsidP="00064168">
      <w:pPr>
        <w:pStyle w:val="Heading2"/>
      </w:pPr>
      <w:r>
        <w:t>Why are the changes being made?</w:t>
      </w:r>
    </w:p>
    <w:p w14:paraId="014BB523" w14:textId="3DBD3BAF" w:rsidR="00BD4DE8" w:rsidRPr="004B3946" w:rsidRDefault="00BD4DE8" w:rsidP="00BD4DE8">
      <w:pPr>
        <w:rPr>
          <w:szCs w:val="22"/>
        </w:rPr>
      </w:pPr>
      <w:bookmarkStart w:id="2" w:name="_Hlk535386664"/>
      <w:r w:rsidRPr="00867595">
        <w:rPr>
          <w:szCs w:val="22"/>
        </w:rPr>
        <w:t xml:space="preserve">The </w:t>
      </w:r>
      <w:r>
        <w:rPr>
          <w:szCs w:val="22"/>
        </w:rPr>
        <w:t>amendments were</w:t>
      </w:r>
      <w:r w:rsidRPr="00867595">
        <w:rPr>
          <w:szCs w:val="22"/>
        </w:rPr>
        <w:t xml:space="preserve"> recommended by the Medical Services Advisory Committee (MSAC) in </w:t>
      </w:r>
      <w:r>
        <w:rPr>
          <w:szCs w:val="22"/>
        </w:rPr>
        <w:t xml:space="preserve">November 2021 under application 1656. </w:t>
      </w:r>
      <w:r w:rsidR="00CA0933">
        <w:rPr>
          <w:szCs w:val="22"/>
        </w:rPr>
        <w:t xml:space="preserve">Under this application, </w:t>
      </w:r>
      <w:r w:rsidRPr="004B3946">
        <w:rPr>
          <w:szCs w:val="22"/>
        </w:rPr>
        <w:t xml:space="preserve">MSAC did not support public funding of VBT for the treatment of adolescent idiopathic scoliosis (AIS). MSAC accepted there was a clinical need for VBT but considered the evidence for comparative safety, clinical </w:t>
      </w:r>
      <w:proofErr w:type="gramStart"/>
      <w:r w:rsidRPr="004B3946">
        <w:rPr>
          <w:szCs w:val="22"/>
        </w:rPr>
        <w:t>effectiveness</w:t>
      </w:r>
      <w:proofErr w:type="gramEnd"/>
      <w:r w:rsidRPr="004B3946">
        <w:rPr>
          <w:szCs w:val="22"/>
        </w:rPr>
        <w:t xml:space="preserve"> and cost-effectiveness for VBT compared with posterior spinal fusion (PSF) was uncertain. </w:t>
      </w:r>
    </w:p>
    <w:p w14:paraId="144C3AE2" w14:textId="17364FC0" w:rsidR="00064168" w:rsidRPr="00867595" w:rsidRDefault="00BD4DE8" w:rsidP="00BD4DE8">
      <w:pPr>
        <w:rPr>
          <w:szCs w:val="22"/>
        </w:rPr>
      </w:pPr>
      <w:r w:rsidRPr="004B3946">
        <w:rPr>
          <w:szCs w:val="22"/>
        </w:rPr>
        <w:t xml:space="preserve">MSAC further noted that the current MBS spinal instrumentation items intended for use for spinal fusion were strongly believed to be being used to claim VBT (51021-51026 and </w:t>
      </w:r>
      <w:r w:rsidRPr="004B3946">
        <w:rPr>
          <w:szCs w:val="22"/>
        </w:rPr>
        <w:lastRenderedPageBreak/>
        <w:t xml:space="preserve">51165) and needed to be revised to exclude this use. </w:t>
      </w:r>
      <w:r>
        <w:rPr>
          <w:szCs w:val="22"/>
        </w:rPr>
        <w:t xml:space="preserve">These amendments clarify the intent of the items and supports appropriate claiming. </w:t>
      </w:r>
      <w:r w:rsidR="00064168" w:rsidRPr="00867595">
        <w:rPr>
          <w:szCs w:val="22"/>
        </w:rPr>
        <w:t xml:space="preserve">Further details about MSAC applications can be found under </w:t>
      </w:r>
      <w:hyperlink r:id="rId8" w:history="1">
        <w:r w:rsidR="00064168" w:rsidRPr="00867595">
          <w:rPr>
            <w:rStyle w:val="Hyperlink"/>
            <w:szCs w:val="22"/>
          </w:rPr>
          <w:t>MSAC Applications</w:t>
        </w:r>
      </w:hyperlink>
      <w:r w:rsidR="00064168" w:rsidRPr="00867595">
        <w:rPr>
          <w:szCs w:val="22"/>
        </w:rPr>
        <w:t xml:space="preserve"> on the MSAC website (</w:t>
      </w:r>
      <w:hyperlink r:id="rId9" w:history="1">
        <w:r w:rsidR="00064168" w:rsidRPr="00867595">
          <w:rPr>
            <w:rStyle w:val="Hyperlink"/>
            <w:szCs w:val="22"/>
          </w:rPr>
          <w:t>Medical Services Advisory Committee</w:t>
        </w:r>
      </w:hyperlink>
      <w:r w:rsidR="00064168" w:rsidRPr="00867595">
        <w:rPr>
          <w:szCs w:val="22"/>
        </w:rPr>
        <w:t>).</w:t>
      </w:r>
    </w:p>
    <w:bookmarkEnd w:id="2"/>
    <w:p w14:paraId="4B2559AC" w14:textId="6AD2CDE6" w:rsidR="00064168" w:rsidRDefault="00064168" w:rsidP="00064168">
      <w:pPr>
        <w:pStyle w:val="Heading2"/>
      </w:pPr>
      <w:r>
        <w:t>What does this mean for providers?</w:t>
      </w:r>
    </w:p>
    <w:p w14:paraId="175CDBE2" w14:textId="531677A5" w:rsidR="000417DC" w:rsidRPr="00DE31C6" w:rsidRDefault="00DE31C6" w:rsidP="000417DC">
      <w:pPr>
        <w:rPr>
          <w:szCs w:val="22"/>
        </w:rPr>
      </w:pPr>
      <w:r>
        <w:rPr>
          <w:szCs w:val="22"/>
        </w:rPr>
        <w:t>Providers will need to familiarise themselves with these changes and any associated rules and explanatory notes. Providers have a responsibility to ensure that any services they bill to Medicare fully meet the eligibility requirements outlined in the legislation.</w:t>
      </w:r>
    </w:p>
    <w:p w14:paraId="7F7DA4F7" w14:textId="77777777" w:rsidR="00064168" w:rsidRDefault="00064168" w:rsidP="00064168">
      <w:pPr>
        <w:pStyle w:val="Heading2"/>
      </w:pPr>
      <w:r>
        <w:t>How will these changes affect patients</w:t>
      </w:r>
      <w:r w:rsidRPr="001A7FB7">
        <w:t>?</w:t>
      </w:r>
    </w:p>
    <w:p w14:paraId="338D7C61" w14:textId="6E3BD781" w:rsidR="00F379DC" w:rsidRPr="00867595" w:rsidRDefault="00F379DC" w:rsidP="00F379DC">
      <w:pPr>
        <w:pStyle w:val="CommentText"/>
        <w:rPr>
          <w:rFonts w:cs="Arial"/>
          <w:sz w:val="22"/>
          <w:szCs w:val="22"/>
        </w:rPr>
      </w:pPr>
      <w:r w:rsidRPr="00867595">
        <w:rPr>
          <w:rFonts w:cs="Arial"/>
          <w:color w:val="222222"/>
          <w:sz w:val="22"/>
          <w:szCs w:val="22"/>
        </w:rPr>
        <w:t xml:space="preserve">Patients will </w:t>
      </w:r>
      <w:r w:rsidR="00F97F0E">
        <w:rPr>
          <w:rFonts w:cs="Arial"/>
          <w:color w:val="222222"/>
          <w:sz w:val="22"/>
          <w:szCs w:val="22"/>
        </w:rPr>
        <w:t xml:space="preserve">continue to </w:t>
      </w:r>
      <w:r w:rsidRPr="00867595">
        <w:rPr>
          <w:rFonts w:cs="Arial"/>
          <w:color w:val="222222"/>
          <w:sz w:val="22"/>
          <w:szCs w:val="22"/>
        </w:rPr>
        <w:t xml:space="preserve">receive Medicare </w:t>
      </w:r>
      <w:r w:rsidR="00DC6696">
        <w:rPr>
          <w:rFonts w:cs="Arial"/>
          <w:color w:val="222222"/>
          <w:sz w:val="22"/>
          <w:szCs w:val="22"/>
        </w:rPr>
        <w:t>benefits</w:t>
      </w:r>
      <w:r w:rsidRPr="00867595">
        <w:rPr>
          <w:rFonts w:cs="Arial"/>
          <w:color w:val="222222"/>
          <w:sz w:val="22"/>
          <w:szCs w:val="22"/>
        </w:rPr>
        <w:t xml:space="preserve"> for services that are clinically appropriate. </w:t>
      </w:r>
    </w:p>
    <w:p w14:paraId="5BD9BE80" w14:textId="77777777" w:rsidR="00064168" w:rsidRDefault="00064168" w:rsidP="00064168">
      <w:pPr>
        <w:pStyle w:val="Heading2"/>
      </w:pPr>
      <w:r w:rsidRPr="001A7FB7">
        <w:t>Who was consulted on the changes?</w:t>
      </w:r>
    </w:p>
    <w:p w14:paraId="7AD2755A" w14:textId="77777777" w:rsidR="008858D2" w:rsidRDefault="008858D2" w:rsidP="008858D2">
      <w:pPr>
        <w:rPr>
          <w:szCs w:val="22"/>
        </w:rPr>
      </w:pPr>
      <w:r>
        <w:rPr>
          <w:szCs w:val="22"/>
        </w:rPr>
        <w:t>The Spine Society of Australia and Scoliosis Australia have been consulted on the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674DA046" w14:textId="223F0AD5" w:rsidR="00A069AA" w:rsidRDefault="00964321" w:rsidP="00A069AA">
      <w:pPr>
        <w:pStyle w:val="Heading2"/>
        <w:rPr>
          <w:sz w:val="20"/>
          <w:szCs w:val="20"/>
        </w:rPr>
      </w:pPr>
      <w:r>
        <w:rPr>
          <w:rFonts w:cs="Times New Roman"/>
          <w:b w:val="0"/>
          <w:bCs w:val="0"/>
          <w:iCs w:val="0"/>
          <w:color w:val="000000" w:themeColor="text1"/>
          <w:sz w:val="22"/>
          <w:szCs w:val="22"/>
        </w:rPr>
        <w:t>These</w:t>
      </w:r>
      <w:r w:rsidR="00A069AA" w:rsidRPr="00CA193B">
        <w:rPr>
          <w:rFonts w:cs="Times New Roman"/>
          <w:b w:val="0"/>
          <w:bCs w:val="0"/>
          <w:iCs w:val="0"/>
          <w:color w:val="000000" w:themeColor="text1"/>
          <w:sz w:val="22"/>
          <w:szCs w:val="22"/>
        </w:rPr>
        <w:t xml:space="preserve"> items will continue to be subject to compliance processes and activities, including random and targeted audits which may require a provider to submit information about the services claimed.</w:t>
      </w:r>
      <w:r w:rsidR="00A069AA">
        <w:rPr>
          <w:sz w:val="20"/>
          <w:szCs w:val="20"/>
        </w:rPr>
        <w:t xml:space="preserve"> </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6D6EB19D" w14:textId="5E7A32F6" w:rsidR="00BE3ED5" w:rsidRDefault="00BE3ED5" w:rsidP="00BE3ED5">
      <w:pPr>
        <w:pStyle w:val="Heading2"/>
      </w:pPr>
      <w:r w:rsidRPr="007A32E7">
        <w:t xml:space="preserve">Amended item descriptors (to take effect </w:t>
      </w:r>
      <w:r w:rsidR="00B35BBC">
        <w:t>1</w:t>
      </w:r>
      <w:r w:rsidRPr="007A32E7">
        <w:t xml:space="preserve"> </w:t>
      </w:r>
      <w:r w:rsidR="00B35BBC">
        <w:t>March</w:t>
      </w:r>
      <w:r w:rsidRPr="007A32E7">
        <w:t xml:space="preserve"> 20</w:t>
      </w:r>
      <w:r w:rsidR="00B35BBC">
        <w:t>24</w:t>
      </w:r>
      <w:r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B272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E2DFADC" w:rsidR="00BE3ED5" w:rsidRDefault="00B62202" w:rsidP="000F29A4">
            <w:pPr>
              <w:rPr>
                <w:b w:val="0"/>
                <w:bCs w:val="0"/>
                <w:lang w:eastAsia="en-AU"/>
              </w:rPr>
            </w:pPr>
            <w:bookmarkStart w:id="4" w:name="_Hlk118987208"/>
            <w:r>
              <w:t>Category</w:t>
            </w:r>
            <w:r>
              <w:rPr>
                <w:spacing w:val="-6"/>
              </w:rPr>
              <w:t xml:space="preserve"> </w:t>
            </w:r>
            <w:r>
              <w:t>3:</w:t>
            </w:r>
            <w:r>
              <w:rPr>
                <w:spacing w:val="-7"/>
              </w:rPr>
              <w:t xml:space="preserve"> </w:t>
            </w:r>
            <w:r>
              <w:t>THERAPEUTIC</w:t>
            </w:r>
            <w:r>
              <w:rPr>
                <w:spacing w:val="-8"/>
              </w:rPr>
              <w:t xml:space="preserve"> </w:t>
            </w:r>
            <w:r>
              <w:rPr>
                <w:spacing w:val="-2"/>
              </w:rPr>
              <w:t>PROCEDURES</w:t>
            </w:r>
          </w:p>
        </w:tc>
      </w:tr>
      <w:tr w:rsidR="00BE3ED5" w14:paraId="4C44E092" w14:textId="77777777" w:rsidTr="00B27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0D10062" w:rsidR="00BE3ED5" w:rsidRDefault="007D362B" w:rsidP="000F29A4">
            <w:pPr>
              <w:rPr>
                <w:b w:val="0"/>
                <w:bCs w:val="0"/>
                <w:lang w:eastAsia="en-AU"/>
              </w:rPr>
            </w:pPr>
            <w:r>
              <w:t>Group:</w:t>
            </w:r>
            <w:r>
              <w:rPr>
                <w:spacing w:val="-5"/>
              </w:rPr>
              <w:t xml:space="preserve"> </w:t>
            </w:r>
            <w:r>
              <w:t>T8</w:t>
            </w:r>
            <w:r>
              <w:rPr>
                <w:spacing w:val="-4"/>
              </w:rPr>
              <w:t xml:space="preserve"> </w:t>
            </w:r>
            <w:r>
              <w:t>-</w:t>
            </w:r>
            <w:r>
              <w:rPr>
                <w:spacing w:val="-3"/>
              </w:rPr>
              <w:t xml:space="preserve"> </w:t>
            </w:r>
            <w:r>
              <w:t>Surgical</w:t>
            </w:r>
            <w:r>
              <w:rPr>
                <w:spacing w:val="-2"/>
              </w:rPr>
              <w:t xml:space="preserve"> Operations</w:t>
            </w:r>
          </w:p>
        </w:tc>
      </w:tr>
      <w:tr w:rsidR="00642F20" w14:paraId="3DDFF680" w14:textId="77777777" w:rsidTr="00B2722A">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467240B" w:rsidR="00642F20" w:rsidRPr="00642F20" w:rsidRDefault="008277D7" w:rsidP="00642F20">
            <w:pPr>
              <w:pStyle w:val="Tabletextleft"/>
              <w:rPr>
                <w:b/>
              </w:rPr>
            </w:pPr>
            <w:r>
              <w:rPr>
                <w:b/>
              </w:rPr>
              <w:t>Subgroup 17:</w:t>
            </w:r>
            <w:r>
              <w:rPr>
                <w:b/>
                <w:spacing w:val="-5"/>
              </w:rPr>
              <w:t xml:space="preserve"> </w:t>
            </w:r>
            <w:r>
              <w:rPr>
                <w:b/>
                <w:spacing w:val="-2"/>
              </w:rPr>
              <w:t>Spinal Surgery</w:t>
            </w:r>
          </w:p>
        </w:tc>
      </w:tr>
      <w:tr w:rsidR="00642F20" w14:paraId="25FF7AAD" w14:textId="77777777" w:rsidTr="00B27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65721BC" w14:textId="77777777" w:rsidR="007538C6" w:rsidRDefault="007538C6" w:rsidP="00642F20">
            <w:pPr>
              <w:rPr>
                <w:b w:val="0"/>
                <w:bCs w:val="0"/>
                <w:spacing w:val="-2"/>
              </w:rPr>
            </w:pPr>
            <w:r>
              <w:rPr>
                <w:spacing w:val="-2"/>
              </w:rPr>
              <w:t>51021</w:t>
            </w:r>
          </w:p>
          <w:p w14:paraId="6FFBE8C2" w14:textId="77777777" w:rsidR="00E958CB" w:rsidRPr="00DB14D1" w:rsidRDefault="00E958CB" w:rsidP="00E958CB">
            <w:pPr>
              <w:spacing w:line="221" w:lineRule="atLeast"/>
              <w:rPr>
                <w:rFonts w:cstheme="minorHAnsi"/>
                <w:b w:val="0"/>
                <w:bCs w:val="0"/>
                <w:sz w:val="24"/>
              </w:rPr>
            </w:pPr>
            <w:r w:rsidRPr="00DB14D1">
              <w:rPr>
                <w:rFonts w:cs="Arial"/>
                <w:b w:val="0"/>
                <w:bCs w:val="0"/>
              </w:rPr>
              <w:t>Fixation of motion segment with vertebral body screw, pedicle screw or hook instrumentation including sublaminar tapes or wires, one motion segment,</w:t>
            </w:r>
            <w:r w:rsidRPr="00DB14D1">
              <w:rPr>
                <w:rFonts w:cs="Arial"/>
                <w:b w:val="0"/>
                <w:bCs w:val="0"/>
                <w:color w:val="auto"/>
              </w:rPr>
              <w:t xml:space="preserve"> excluding vertebral body tethering for the treatment of scoliosis and</w:t>
            </w:r>
            <w:r w:rsidRPr="00DB14D1">
              <w:rPr>
                <w:rFonts w:cs="Arial"/>
                <w:b w:val="0"/>
                <w:bCs w:val="0"/>
              </w:rPr>
              <w:t xml:space="preserve"> not being a service associated with a service to which item 51020, 51022, 51023, 51024, 51025 or 51026 applies</w:t>
            </w:r>
            <w:r w:rsidRPr="00DB14D1">
              <w:rPr>
                <w:rFonts w:cstheme="minorHAnsi"/>
                <w:b w:val="0"/>
                <w:bCs w:val="0"/>
                <w:sz w:val="24"/>
              </w:rPr>
              <w:t xml:space="preserve"> (H)</w:t>
            </w:r>
          </w:p>
          <w:p w14:paraId="2E1D57FC" w14:textId="77777777" w:rsidR="00E958CB" w:rsidRPr="000E06A5" w:rsidRDefault="00E958CB" w:rsidP="00E958CB">
            <w:pPr>
              <w:spacing w:after="0" w:line="221" w:lineRule="atLeast"/>
              <w:rPr>
                <w:rFonts w:ascii="Times New Roman" w:hAnsi="Times New Roman"/>
                <w:szCs w:val="22"/>
              </w:rPr>
            </w:pPr>
            <w:r w:rsidRPr="00DB14D1">
              <w:rPr>
                <w:rFonts w:cstheme="minorHAnsi"/>
                <w:b w:val="0"/>
                <w:bCs w:val="0"/>
                <w:szCs w:val="22"/>
              </w:rPr>
              <w:t>(</w:t>
            </w:r>
            <w:proofErr w:type="spellStart"/>
            <w:r w:rsidRPr="00DB14D1">
              <w:rPr>
                <w:rFonts w:cstheme="minorHAnsi"/>
                <w:b w:val="0"/>
                <w:bCs w:val="0"/>
                <w:szCs w:val="22"/>
              </w:rPr>
              <w:t>Anaes</w:t>
            </w:r>
            <w:proofErr w:type="spellEnd"/>
            <w:r w:rsidRPr="00DB14D1">
              <w:rPr>
                <w:rFonts w:cstheme="minorHAnsi"/>
                <w:b w:val="0"/>
                <w:bCs w:val="0"/>
                <w:szCs w:val="22"/>
              </w:rPr>
              <w:t>.) (Assist.)</w:t>
            </w:r>
          </w:p>
          <w:p w14:paraId="36C51B9D" w14:textId="77777777" w:rsidR="00E958CB" w:rsidRDefault="00E958CB" w:rsidP="00E958CB">
            <w:pPr>
              <w:pStyle w:val="TableParagraph"/>
              <w:ind w:left="149"/>
              <w:rPr>
                <w:b w:val="0"/>
              </w:rPr>
            </w:pPr>
          </w:p>
          <w:p w14:paraId="42C1314C" w14:textId="77777777" w:rsidR="00E958CB" w:rsidRDefault="00E958CB" w:rsidP="00E958CB">
            <w:pPr>
              <w:pStyle w:val="TableParagraph"/>
              <w:ind w:left="0"/>
              <w:rPr>
                <w:b w:val="0"/>
                <w:bCs w:val="0"/>
                <w:spacing w:val="-2"/>
              </w:rPr>
            </w:pPr>
            <w:r>
              <w:t>Fee:</w:t>
            </w:r>
            <w:r>
              <w:rPr>
                <w:spacing w:val="-3"/>
              </w:rPr>
              <w:t xml:space="preserve"> </w:t>
            </w:r>
            <w:r w:rsidRPr="00DB14D1">
              <w:rPr>
                <w:b w:val="0"/>
                <w:bCs w:val="0"/>
              </w:rPr>
              <w:t>$1,410.25</w:t>
            </w:r>
            <w:r>
              <w:t xml:space="preserve"> Benefit:</w:t>
            </w:r>
            <w:r>
              <w:rPr>
                <w:spacing w:val="-5"/>
              </w:rPr>
              <w:t xml:space="preserve"> </w:t>
            </w:r>
            <w:r w:rsidRPr="00DB14D1">
              <w:rPr>
                <w:b w:val="0"/>
                <w:bCs w:val="0"/>
              </w:rPr>
              <w:t>75%</w:t>
            </w:r>
            <w:r w:rsidRPr="00DB14D1">
              <w:rPr>
                <w:b w:val="0"/>
                <w:bCs w:val="0"/>
                <w:spacing w:val="-3"/>
              </w:rPr>
              <w:t xml:space="preserve"> </w:t>
            </w:r>
            <w:r w:rsidRPr="00DB14D1">
              <w:rPr>
                <w:b w:val="0"/>
                <w:bCs w:val="0"/>
              </w:rPr>
              <w:t>=</w:t>
            </w:r>
            <w:r w:rsidRPr="00DB14D1">
              <w:rPr>
                <w:b w:val="0"/>
                <w:bCs w:val="0"/>
                <w:spacing w:val="-5"/>
              </w:rPr>
              <w:t xml:space="preserve"> </w:t>
            </w:r>
            <w:r w:rsidRPr="00DB14D1">
              <w:rPr>
                <w:b w:val="0"/>
                <w:bCs w:val="0"/>
                <w:spacing w:val="-2"/>
              </w:rPr>
              <w:t>$1,057.70</w:t>
            </w:r>
          </w:p>
          <w:p w14:paraId="662CEB08" w14:textId="77777777" w:rsidR="00E958CB" w:rsidRDefault="00E958CB" w:rsidP="00E958CB">
            <w:pPr>
              <w:pStyle w:val="TableParagraph"/>
              <w:ind w:left="0"/>
            </w:pPr>
          </w:p>
          <w:p w14:paraId="3F08BD11" w14:textId="77777777" w:rsidR="00E21C62" w:rsidRPr="00E21C62" w:rsidRDefault="00642F20" w:rsidP="00E21C62">
            <w:pPr>
              <w:pStyle w:val="ListBullet"/>
              <w:rPr>
                <w:b w:val="0"/>
                <w:bCs w:val="0"/>
              </w:rPr>
            </w:pPr>
            <w:r w:rsidRPr="00642F20">
              <w:rPr>
                <w:b w:val="0"/>
                <w:bCs w:val="0"/>
              </w:rPr>
              <w:t>Private Health Insurance Classification:</w:t>
            </w:r>
          </w:p>
          <w:p w14:paraId="654F0A6A" w14:textId="2AE8C636" w:rsidR="00E21C62" w:rsidRPr="00E21C62" w:rsidRDefault="00642F20" w:rsidP="00E21C62">
            <w:pPr>
              <w:pStyle w:val="ListBullet"/>
              <w:rPr>
                <w:b w:val="0"/>
                <w:bCs w:val="0"/>
              </w:rPr>
            </w:pPr>
            <w:r w:rsidRPr="00642F20">
              <w:rPr>
                <w:b w:val="0"/>
                <w:bCs w:val="0"/>
              </w:rPr>
              <w:t xml:space="preserve">Clinical category: </w:t>
            </w:r>
            <w:r w:rsidR="00E21C62" w:rsidRPr="00E21C62">
              <w:rPr>
                <w:b w:val="0"/>
                <w:bCs w:val="0"/>
              </w:rPr>
              <w:t>Back, neck and spine</w:t>
            </w:r>
          </w:p>
          <w:p w14:paraId="2BDF063F" w14:textId="74095616" w:rsidR="00642F20" w:rsidRPr="00AA6575" w:rsidRDefault="00642F20" w:rsidP="00642F20">
            <w:pPr>
              <w:pStyle w:val="ListBullet"/>
            </w:pPr>
            <w:r w:rsidRPr="00642F20">
              <w:rPr>
                <w:b w:val="0"/>
                <w:bCs w:val="0"/>
              </w:rPr>
              <w:t xml:space="preserve">Procedure type: Type </w:t>
            </w:r>
            <w:r w:rsidR="00E21C62">
              <w:rPr>
                <w:b w:val="0"/>
                <w:bCs w:val="0"/>
              </w:rPr>
              <w:t>A Advanced Surgical</w:t>
            </w:r>
          </w:p>
        </w:tc>
      </w:tr>
      <w:tr w:rsidR="00642F20" w14:paraId="398A0C81" w14:textId="77777777" w:rsidTr="00B2722A">
        <w:tc>
          <w:tcPr>
            <w:cnfStyle w:val="001000000000" w:firstRow="0" w:lastRow="0" w:firstColumn="1" w:lastColumn="0" w:oddVBand="0" w:evenVBand="0" w:oddHBand="0" w:evenHBand="0" w:firstRowFirstColumn="0" w:firstRowLastColumn="0" w:lastRowFirstColumn="0" w:lastRowLastColumn="0"/>
            <w:tcW w:w="9060" w:type="dxa"/>
            <w:hideMark/>
          </w:tcPr>
          <w:p w14:paraId="2D1664B1" w14:textId="3EE47B94" w:rsidR="00F70199" w:rsidRDefault="00F70199" w:rsidP="005B17A4">
            <w:pPr>
              <w:pStyle w:val="TableParagraph"/>
              <w:spacing w:before="1"/>
              <w:ind w:left="26"/>
              <w:rPr>
                <w:b w:val="0"/>
              </w:rPr>
            </w:pPr>
            <w:r>
              <w:rPr>
                <w:spacing w:val="-2"/>
              </w:rPr>
              <w:t>51022</w:t>
            </w:r>
          </w:p>
          <w:p w14:paraId="4F21AC59" w14:textId="77777777" w:rsidR="00F70199" w:rsidRPr="00F70199" w:rsidRDefault="00F70199" w:rsidP="00F70199">
            <w:pPr>
              <w:spacing w:line="221" w:lineRule="atLeast"/>
              <w:ind w:left="26"/>
              <w:rPr>
                <w:rFonts w:cs="Arial"/>
                <w:b w:val="0"/>
                <w:bCs w:val="0"/>
              </w:rPr>
            </w:pPr>
            <w:r w:rsidRPr="00F70199">
              <w:rPr>
                <w:rFonts w:cs="Arial"/>
                <w:b w:val="0"/>
                <w:bCs w:val="0"/>
              </w:rPr>
              <w:t xml:space="preserve">Fixation of motion segment with vertebral body screw, pedicle screw or hook instrumentation including sublaminar tapes or wires, 2 motion segments, </w:t>
            </w:r>
            <w:r w:rsidRPr="00F70199">
              <w:rPr>
                <w:rFonts w:cs="Arial"/>
                <w:b w:val="0"/>
                <w:bCs w:val="0"/>
                <w:color w:val="auto"/>
              </w:rPr>
              <w:t xml:space="preserve">excluding vertebral body tethering for the treatment of scoliosis and </w:t>
            </w:r>
            <w:r w:rsidRPr="00F70199">
              <w:rPr>
                <w:rFonts w:cs="Arial"/>
                <w:b w:val="0"/>
                <w:bCs w:val="0"/>
              </w:rPr>
              <w:t>not being a service associated with a service to which item 51020, 51021, 51023, 51024, 51025 or 51026 applies (H)</w:t>
            </w:r>
          </w:p>
          <w:p w14:paraId="59DDA833" w14:textId="77777777" w:rsidR="00F70199" w:rsidRPr="00F70199" w:rsidRDefault="00F70199" w:rsidP="00F70199">
            <w:pPr>
              <w:spacing w:after="0" w:line="221" w:lineRule="atLeast"/>
              <w:ind w:left="26"/>
              <w:rPr>
                <w:rFonts w:cstheme="minorHAnsi"/>
                <w:b w:val="0"/>
                <w:bCs w:val="0"/>
                <w:szCs w:val="22"/>
              </w:rPr>
            </w:pPr>
            <w:r w:rsidRPr="00F70199">
              <w:rPr>
                <w:rFonts w:cstheme="minorHAnsi"/>
                <w:b w:val="0"/>
                <w:bCs w:val="0"/>
                <w:szCs w:val="22"/>
              </w:rPr>
              <w:t>(</w:t>
            </w:r>
            <w:proofErr w:type="spellStart"/>
            <w:r w:rsidRPr="00F70199">
              <w:rPr>
                <w:rFonts w:cstheme="minorHAnsi"/>
                <w:b w:val="0"/>
                <w:bCs w:val="0"/>
                <w:szCs w:val="22"/>
              </w:rPr>
              <w:t>Anaes</w:t>
            </w:r>
            <w:proofErr w:type="spellEnd"/>
            <w:r w:rsidRPr="00F70199">
              <w:rPr>
                <w:rFonts w:cstheme="minorHAnsi"/>
                <w:b w:val="0"/>
                <w:bCs w:val="0"/>
                <w:szCs w:val="22"/>
              </w:rPr>
              <w:t>.) (Assist.)</w:t>
            </w:r>
          </w:p>
          <w:p w14:paraId="278A8C83" w14:textId="77777777" w:rsidR="00F70199" w:rsidRDefault="00F70199" w:rsidP="00F70199">
            <w:pPr>
              <w:pStyle w:val="TableParagraph"/>
              <w:spacing w:before="46"/>
              <w:ind w:left="26"/>
              <w:rPr>
                <w:b w:val="0"/>
              </w:rPr>
            </w:pPr>
          </w:p>
          <w:p w14:paraId="093D4B38" w14:textId="6157DDCB" w:rsidR="00F70199" w:rsidRDefault="00F70199" w:rsidP="00F70199">
            <w:pPr>
              <w:pStyle w:val="TableParagraph"/>
              <w:spacing w:before="46"/>
              <w:ind w:left="26"/>
              <w:rPr>
                <w:b w:val="0"/>
                <w:bCs w:val="0"/>
              </w:rPr>
            </w:pPr>
            <w:r>
              <w:t>Fee:</w:t>
            </w:r>
            <w:r w:rsidRPr="000E06A5">
              <w:t xml:space="preserve"> </w:t>
            </w:r>
            <w:r w:rsidRPr="00F70199">
              <w:rPr>
                <w:b w:val="0"/>
                <w:bCs w:val="0"/>
              </w:rPr>
              <w:t>$1,754.25</w:t>
            </w:r>
            <w:r>
              <w:t xml:space="preserve"> Benefit:</w:t>
            </w:r>
            <w:r w:rsidRPr="000E06A5">
              <w:t xml:space="preserve"> </w:t>
            </w:r>
            <w:r w:rsidRPr="00F70199">
              <w:rPr>
                <w:b w:val="0"/>
                <w:bCs w:val="0"/>
              </w:rPr>
              <w:t>75% = $1</w:t>
            </w:r>
            <w:r w:rsidR="00C767B0">
              <w:rPr>
                <w:b w:val="0"/>
                <w:bCs w:val="0"/>
              </w:rPr>
              <w:t>,</w:t>
            </w:r>
            <w:r w:rsidRPr="00F70199">
              <w:rPr>
                <w:b w:val="0"/>
                <w:bCs w:val="0"/>
              </w:rPr>
              <w:t>315.70</w:t>
            </w:r>
            <w:r>
              <w:t xml:space="preserve"> </w:t>
            </w:r>
          </w:p>
          <w:p w14:paraId="2E7BA6CD" w14:textId="77777777" w:rsidR="00F70199" w:rsidRPr="000E06A5" w:rsidRDefault="00F70199" w:rsidP="00F70199">
            <w:pPr>
              <w:pStyle w:val="TableParagraph"/>
              <w:spacing w:before="46"/>
              <w:ind w:left="26"/>
              <w:rPr>
                <w:b w:val="0"/>
              </w:rPr>
            </w:pPr>
          </w:p>
          <w:p w14:paraId="70F8A429" w14:textId="77777777" w:rsidR="00642F20" w:rsidRPr="00642F20" w:rsidRDefault="00642F20" w:rsidP="00642F20">
            <w:pPr>
              <w:pStyle w:val="ListBullet"/>
              <w:rPr>
                <w:b w:val="0"/>
                <w:bCs w:val="0"/>
              </w:rPr>
            </w:pPr>
            <w:r w:rsidRPr="00642F20">
              <w:rPr>
                <w:b w:val="0"/>
                <w:bCs w:val="0"/>
              </w:rPr>
              <w:t>Private Health Insurance Classification:</w:t>
            </w:r>
          </w:p>
          <w:p w14:paraId="14C0195D" w14:textId="60E573F0" w:rsidR="00642F20" w:rsidRPr="00642F20" w:rsidRDefault="00642F20" w:rsidP="00642F20">
            <w:pPr>
              <w:pStyle w:val="ListBullet"/>
              <w:rPr>
                <w:b w:val="0"/>
                <w:bCs w:val="0"/>
              </w:rPr>
            </w:pPr>
            <w:r w:rsidRPr="00642F20">
              <w:rPr>
                <w:b w:val="0"/>
                <w:bCs w:val="0"/>
              </w:rPr>
              <w:t xml:space="preserve">Clinical category: </w:t>
            </w:r>
            <w:r w:rsidR="009B724A" w:rsidRPr="009B724A">
              <w:rPr>
                <w:b w:val="0"/>
                <w:bCs w:val="0"/>
              </w:rPr>
              <w:t>Back, neck and spine</w:t>
            </w:r>
          </w:p>
          <w:p w14:paraId="2F786A12" w14:textId="44C841E7" w:rsidR="00642F20" w:rsidRPr="00642F20" w:rsidRDefault="00642F20" w:rsidP="00642F20">
            <w:pPr>
              <w:pStyle w:val="ListBullet"/>
            </w:pPr>
            <w:r w:rsidRPr="00642F20">
              <w:rPr>
                <w:b w:val="0"/>
                <w:bCs w:val="0"/>
              </w:rPr>
              <w:t xml:space="preserve">Procedure type: </w:t>
            </w:r>
            <w:r w:rsidR="0039598E" w:rsidRPr="0039598E">
              <w:rPr>
                <w:b w:val="0"/>
                <w:bCs w:val="0"/>
              </w:rPr>
              <w:t>Type A Advanced Surgical</w:t>
            </w:r>
          </w:p>
        </w:tc>
      </w:tr>
    </w:tbl>
    <w:p w14:paraId="5626CCA7" w14:textId="77777777" w:rsidR="00EE1B6A" w:rsidRDefault="00EE1B6A">
      <w:r>
        <w:rPr>
          <w:b/>
          <w:bCs/>
        </w:rPr>
        <w:br w:type="page"/>
      </w:r>
    </w:p>
    <w:tbl>
      <w:tblPr>
        <w:tblStyle w:val="GridTable4-Accent2"/>
        <w:tblW w:w="0" w:type="auto"/>
        <w:tblLook w:val="04A0" w:firstRow="1" w:lastRow="0" w:firstColumn="1" w:lastColumn="0" w:noHBand="0" w:noVBand="1"/>
      </w:tblPr>
      <w:tblGrid>
        <w:gridCol w:w="9060"/>
      </w:tblGrid>
      <w:tr w:rsidR="0039598E" w14:paraId="3D9645D2" w14:textId="77777777" w:rsidTr="00B35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4EA56F7F" w14:textId="423A4AA3" w:rsidR="00F75A4F" w:rsidRPr="0022454C" w:rsidRDefault="00F75A4F" w:rsidP="005B17A4">
            <w:pPr>
              <w:pStyle w:val="TableParagraph"/>
              <w:spacing w:before="120"/>
              <w:ind w:left="26"/>
              <w:rPr>
                <w:b w:val="0"/>
                <w:spacing w:val="-2"/>
              </w:rPr>
            </w:pPr>
            <w:r w:rsidRPr="0022454C">
              <w:rPr>
                <w:spacing w:val="-2"/>
              </w:rPr>
              <w:lastRenderedPageBreak/>
              <w:t>51023</w:t>
            </w:r>
          </w:p>
          <w:p w14:paraId="3BB33952" w14:textId="77777777" w:rsidR="00F75A4F" w:rsidRPr="00F75A4F" w:rsidRDefault="00F75A4F" w:rsidP="00F75A4F">
            <w:pPr>
              <w:spacing w:line="221" w:lineRule="atLeast"/>
              <w:ind w:left="26"/>
              <w:rPr>
                <w:rFonts w:eastAsia="Arial" w:cs="Arial"/>
                <w:b w:val="0"/>
                <w:bCs w:val="0"/>
                <w:color w:val="auto"/>
                <w:spacing w:val="-2"/>
                <w:szCs w:val="22"/>
                <w:lang w:val="en-US"/>
              </w:rPr>
            </w:pPr>
            <w:r w:rsidRPr="00F75A4F">
              <w:rPr>
                <w:rFonts w:eastAsia="Arial" w:cs="Arial"/>
                <w:b w:val="0"/>
                <w:bCs w:val="0"/>
                <w:color w:val="auto"/>
                <w:spacing w:val="-2"/>
                <w:szCs w:val="22"/>
                <w:lang w:val="en-US"/>
              </w:rPr>
              <w:t>Fixation of motion segment with vertebral body screw, pedicle screw or hook instrumentation including sublaminar tapes or wires, 3 or 4 motion segments, excluding vertebral body tethering for the treatment of scoliosis and not being a service associated with a service to which item 51020, 51021, 51022, 51024, 51025 or 51026 applies (H)</w:t>
            </w:r>
          </w:p>
          <w:p w14:paraId="65AAE4FD" w14:textId="77777777" w:rsidR="00F75A4F" w:rsidRPr="00F75A4F" w:rsidRDefault="00F75A4F" w:rsidP="00F75A4F">
            <w:pPr>
              <w:spacing w:after="0" w:line="221" w:lineRule="atLeast"/>
              <w:ind w:left="26"/>
              <w:rPr>
                <w:rFonts w:eastAsia="Arial" w:cs="Arial"/>
                <w:b w:val="0"/>
                <w:bCs w:val="0"/>
                <w:color w:val="auto"/>
                <w:spacing w:val="-2"/>
                <w:szCs w:val="22"/>
                <w:lang w:val="en-US"/>
              </w:rPr>
            </w:pPr>
            <w:r w:rsidRPr="00F75A4F">
              <w:rPr>
                <w:rFonts w:eastAsia="Arial" w:cs="Arial"/>
                <w:b w:val="0"/>
                <w:bCs w:val="0"/>
                <w:color w:val="auto"/>
                <w:spacing w:val="-2"/>
                <w:szCs w:val="22"/>
                <w:lang w:val="en-US"/>
              </w:rPr>
              <w:t>(</w:t>
            </w:r>
            <w:proofErr w:type="spellStart"/>
            <w:r w:rsidRPr="00F75A4F">
              <w:rPr>
                <w:rFonts w:eastAsia="Arial" w:cs="Arial"/>
                <w:b w:val="0"/>
                <w:bCs w:val="0"/>
                <w:color w:val="auto"/>
                <w:spacing w:val="-2"/>
                <w:szCs w:val="22"/>
                <w:lang w:val="en-US"/>
              </w:rPr>
              <w:t>Anaes</w:t>
            </w:r>
            <w:proofErr w:type="spellEnd"/>
            <w:r w:rsidRPr="00F75A4F">
              <w:rPr>
                <w:rFonts w:eastAsia="Arial" w:cs="Arial"/>
                <w:b w:val="0"/>
                <w:bCs w:val="0"/>
                <w:color w:val="auto"/>
                <w:spacing w:val="-2"/>
                <w:szCs w:val="22"/>
                <w:lang w:val="en-US"/>
              </w:rPr>
              <w:t>.) (Assist.)</w:t>
            </w:r>
          </w:p>
          <w:p w14:paraId="0CD12AAC" w14:textId="77777777" w:rsidR="003E54C1" w:rsidRDefault="003E54C1" w:rsidP="00F75A4F">
            <w:pPr>
              <w:pStyle w:val="TableParagraph"/>
              <w:spacing w:before="120"/>
              <w:ind w:left="0"/>
              <w:rPr>
                <w:b w:val="0"/>
                <w:bCs w:val="0"/>
                <w:spacing w:val="-2"/>
              </w:rPr>
            </w:pPr>
            <w:r>
              <w:rPr>
                <w:spacing w:val="-2"/>
              </w:rPr>
              <w:t xml:space="preserve"> </w:t>
            </w:r>
          </w:p>
          <w:p w14:paraId="2368C03F" w14:textId="533E01A0" w:rsidR="00F75A4F" w:rsidRPr="0022454C" w:rsidRDefault="003E54C1" w:rsidP="00F75A4F">
            <w:pPr>
              <w:pStyle w:val="TableParagraph"/>
              <w:spacing w:before="120"/>
              <w:ind w:left="0"/>
              <w:rPr>
                <w:bCs w:val="0"/>
                <w:spacing w:val="-2"/>
              </w:rPr>
            </w:pPr>
            <w:r>
              <w:rPr>
                <w:spacing w:val="-2"/>
              </w:rPr>
              <w:t>F</w:t>
            </w:r>
            <w:r w:rsidR="00F75A4F" w:rsidRPr="0022454C">
              <w:rPr>
                <w:spacing w:val="-2"/>
              </w:rPr>
              <w:t xml:space="preserve">ee: </w:t>
            </w:r>
            <w:r w:rsidR="00F75A4F" w:rsidRPr="00E61A07">
              <w:rPr>
                <w:b w:val="0"/>
                <w:bCs w:val="0"/>
                <w:spacing w:val="-2"/>
              </w:rPr>
              <w:t>$2,087.65</w:t>
            </w:r>
            <w:r w:rsidR="00F75A4F" w:rsidRPr="0022454C">
              <w:rPr>
                <w:spacing w:val="-2"/>
              </w:rPr>
              <w:t xml:space="preserve"> Benefit: </w:t>
            </w:r>
            <w:r w:rsidR="00F75A4F" w:rsidRPr="00E61A07">
              <w:rPr>
                <w:b w:val="0"/>
                <w:bCs w:val="0"/>
                <w:spacing w:val="-2"/>
              </w:rPr>
              <w:t>75% = $1,565.75</w:t>
            </w:r>
          </w:p>
          <w:p w14:paraId="04A3F034" w14:textId="77777777" w:rsidR="00F75A4F" w:rsidRPr="0022454C" w:rsidRDefault="00F75A4F" w:rsidP="00F75A4F">
            <w:pPr>
              <w:pStyle w:val="TableParagraph"/>
              <w:spacing w:before="120"/>
              <w:ind w:left="26"/>
              <w:rPr>
                <w:b w:val="0"/>
                <w:spacing w:val="-2"/>
              </w:rPr>
            </w:pPr>
          </w:p>
          <w:p w14:paraId="2042C107" w14:textId="77777777" w:rsidR="00F75A4F" w:rsidRPr="00F75A4F" w:rsidRDefault="00F75A4F" w:rsidP="00F75A4F">
            <w:pPr>
              <w:pStyle w:val="ListBullet"/>
              <w:rPr>
                <w:b w:val="0"/>
                <w:bCs w:val="0"/>
              </w:rPr>
            </w:pPr>
            <w:r w:rsidRPr="00F75A4F">
              <w:rPr>
                <w:b w:val="0"/>
                <w:bCs w:val="0"/>
              </w:rPr>
              <w:t>Private Health Insurance Classification:</w:t>
            </w:r>
          </w:p>
          <w:p w14:paraId="3BF3DD9E" w14:textId="77777777" w:rsidR="00F75A4F" w:rsidRPr="00F75A4F" w:rsidRDefault="00F75A4F" w:rsidP="00F75A4F">
            <w:pPr>
              <w:pStyle w:val="ListBullet"/>
              <w:rPr>
                <w:b w:val="0"/>
                <w:bCs w:val="0"/>
              </w:rPr>
            </w:pPr>
            <w:r w:rsidRPr="00F75A4F">
              <w:rPr>
                <w:b w:val="0"/>
                <w:bCs w:val="0"/>
              </w:rPr>
              <w:t>Clinical category: Back, neck and spine</w:t>
            </w:r>
          </w:p>
          <w:p w14:paraId="31D46E3F" w14:textId="1589D975" w:rsidR="0039598E" w:rsidRDefault="00F75A4F" w:rsidP="00F75A4F">
            <w:pPr>
              <w:pStyle w:val="ListBullet"/>
              <w:rPr>
                <w:b w:val="0"/>
                <w:spacing w:val="-2"/>
              </w:rPr>
            </w:pPr>
            <w:r w:rsidRPr="00F75A4F">
              <w:rPr>
                <w:b w:val="0"/>
                <w:bCs w:val="0"/>
              </w:rPr>
              <w:t>Procedure type: Type A Advanced Surgical</w:t>
            </w:r>
          </w:p>
        </w:tc>
      </w:tr>
      <w:tr w:rsidR="00E61A07" w14:paraId="0F88FC58" w14:textId="77777777" w:rsidTr="00B35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60654747" w14:textId="348432D4" w:rsidR="00B57C26" w:rsidRDefault="00B57C26" w:rsidP="00B57C26">
            <w:pPr>
              <w:pStyle w:val="TableParagraph"/>
              <w:spacing w:before="46"/>
              <w:ind w:left="0"/>
              <w:rPr>
                <w:b w:val="0"/>
              </w:rPr>
            </w:pPr>
            <w:r>
              <w:t>51024</w:t>
            </w:r>
          </w:p>
          <w:p w14:paraId="286C5320" w14:textId="77777777" w:rsidR="00B57C26" w:rsidRPr="00B57C26" w:rsidRDefault="00B57C26" w:rsidP="00B57C26">
            <w:pPr>
              <w:spacing w:line="221" w:lineRule="atLeast"/>
              <w:rPr>
                <w:b w:val="0"/>
                <w:bCs w:val="0"/>
              </w:rPr>
            </w:pPr>
            <w:r w:rsidRPr="00B57C26">
              <w:rPr>
                <w:rFonts w:cs="Arial"/>
                <w:b w:val="0"/>
                <w:bCs w:val="0"/>
              </w:rPr>
              <w:t xml:space="preserve">Fixation of motion segment with vertebral body screw, pedicle screw or hook instrumentation including sublaminar tapes or wires, 5 or 6 motion segments, </w:t>
            </w:r>
            <w:r w:rsidRPr="00B57C26">
              <w:rPr>
                <w:rFonts w:cs="Arial"/>
                <w:b w:val="0"/>
                <w:bCs w:val="0"/>
                <w:color w:val="auto"/>
              </w:rPr>
              <w:t xml:space="preserve">excluding vertebral body tethering for the treatment of scoliosis and </w:t>
            </w:r>
            <w:r w:rsidRPr="00B57C26">
              <w:rPr>
                <w:rFonts w:cs="Arial"/>
                <w:b w:val="0"/>
                <w:bCs w:val="0"/>
              </w:rPr>
              <w:t>not being a service associated with</w:t>
            </w:r>
            <w:r w:rsidRPr="00B57C26">
              <w:rPr>
                <w:rFonts w:cs="Arial"/>
                <w:b w:val="0"/>
                <w:bCs w:val="0"/>
                <w:color w:val="auto"/>
              </w:rPr>
              <w:t xml:space="preserve"> </w:t>
            </w:r>
            <w:r w:rsidRPr="00B57C26">
              <w:rPr>
                <w:rFonts w:cs="Arial"/>
                <w:b w:val="0"/>
                <w:bCs w:val="0"/>
              </w:rPr>
              <w:t xml:space="preserve">a service to which item 51020, 51021, 51022, 51023, 51025 or 51026 applies </w:t>
            </w:r>
            <w:r w:rsidRPr="00B57C26">
              <w:rPr>
                <w:b w:val="0"/>
                <w:bCs w:val="0"/>
              </w:rPr>
              <w:t>(H)</w:t>
            </w:r>
          </w:p>
          <w:p w14:paraId="5EBDAE6B" w14:textId="77777777" w:rsidR="00B57C26" w:rsidRPr="00B57C26" w:rsidRDefault="00B57C26" w:rsidP="00B57C26">
            <w:pPr>
              <w:spacing w:after="0" w:line="221" w:lineRule="atLeast"/>
              <w:rPr>
                <w:rFonts w:cs="Arial"/>
                <w:b w:val="0"/>
                <w:bCs w:val="0"/>
              </w:rPr>
            </w:pPr>
            <w:r w:rsidRPr="00B57C26">
              <w:rPr>
                <w:rFonts w:cs="Arial"/>
                <w:b w:val="0"/>
                <w:bCs w:val="0"/>
              </w:rPr>
              <w:t>(</w:t>
            </w:r>
            <w:proofErr w:type="spellStart"/>
            <w:r w:rsidRPr="00B57C26">
              <w:rPr>
                <w:rFonts w:cs="Arial"/>
                <w:b w:val="0"/>
                <w:bCs w:val="0"/>
              </w:rPr>
              <w:t>Anaes</w:t>
            </w:r>
            <w:proofErr w:type="spellEnd"/>
            <w:r w:rsidRPr="00B57C26">
              <w:rPr>
                <w:rFonts w:cs="Arial"/>
                <w:b w:val="0"/>
                <w:bCs w:val="0"/>
              </w:rPr>
              <w:t>.)</w:t>
            </w:r>
            <w:r w:rsidRPr="00B57C26">
              <w:rPr>
                <w:b w:val="0"/>
                <w:bCs w:val="0"/>
              </w:rPr>
              <w:t xml:space="preserve"> </w:t>
            </w:r>
            <w:r w:rsidRPr="00B57C26">
              <w:rPr>
                <w:rFonts w:cs="Arial"/>
                <w:b w:val="0"/>
                <w:bCs w:val="0"/>
              </w:rPr>
              <w:t>(Assist.)</w:t>
            </w:r>
          </w:p>
          <w:p w14:paraId="2DD916C3" w14:textId="77777777" w:rsidR="00B57C26" w:rsidRPr="00B57C26" w:rsidRDefault="00B57C26" w:rsidP="00B57C26">
            <w:pPr>
              <w:pStyle w:val="TableParagraph"/>
              <w:spacing w:before="46"/>
              <w:ind w:left="0"/>
              <w:rPr>
                <w:b w:val="0"/>
                <w:bCs w:val="0"/>
              </w:rPr>
            </w:pPr>
          </w:p>
          <w:p w14:paraId="7C4B1326" w14:textId="77777777" w:rsidR="00B57C26" w:rsidRPr="000E06A5" w:rsidRDefault="00B57C26" w:rsidP="00B57C26">
            <w:pPr>
              <w:pStyle w:val="TableParagraph"/>
              <w:spacing w:before="46"/>
              <w:ind w:left="0"/>
              <w:rPr>
                <w:bCs w:val="0"/>
              </w:rPr>
            </w:pPr>
            <w:r>
              <w:t>Fee:</w:t>
            </w:r>
            <w:r w:rsidRPr="000E06A5">
              <w:t xml:space="preserve"> </w:t>
            </w:r>
            <w:r w:rsidRPr="00B57C26">
              <w:rPr>
                <w:b w:val="0"/>
                <w:bCs w:val="0"/>
              </w:rPr>
              <w:t>$2,410.10</w:t>
            </w:r>
            <w:r w:rsidRPr="000E06A5">
              <w:t xml:space="preserve"> </w:t>
            </w:r>
            <w:r>
              <w:t>Benefit:</w:t>
            </w:r>
            <w:r w:rsidRPr="000E06A5">
              <w:t xml:space="preserve"> </w:t>
            </w:r>
            <w:r w:rsidRPr="00B57C26">
              <w:rPr>
                <w:b w:val="0"/>
                <w:bCs w:val="0"/>
              </w:rPr>
              <w:t>75% = $1,807.60</w:t>
            </w:r>
          </w:p>
          <w:p w14:paraId="672A909D" w14:textId="77777777" w:rsidR="00B57C26" w:rsidRDefault="00B57C26" w:rsidP="00B57C26">
            <w:pPr>
              <w:pStyle w:val="TableParagraph"/>
              <w:spacing w:before="46"/>
              <w:ind w:left="0"/>
              <w:rPr>
                <w:b w:val="0"/>
              </w:rPr>
            </w:pPr>
          </w:p>
          <w:p w14:paraId="66FAC1F5" w14:textId="77777777" w:rsidR="00B57C26" w:rsidRPr="00B2722A" w:rsidRDefault="00B57C26" w:rsidP="00B2722A">
            <w:pPr>
              <w:pStyle w:val="ListBullet"/>
              <w:rPr>
                <w:b w:val="0"/>
                <w:bCs w:val="0"/>
              </w:rPr>
            </w:pPr>
            <w:r w:rsidRPr="00B2722A">
              <w:rPr>
                <w:b w:val="0"/>
                <w:bCs w:val="0"/>
              </w:rPr>
              <w:t>Private Health Insurance Classification:</w:t>
            </w:r>
          </w:p>
          <w:p w14:paraId="3CEFB590" w14:textId="77777777" w:rsidR="00B57C26" w:rsidRPr="00B2722A" w:rsidRDefault="00B57C26" w:rsidP="00B2722A">
            <w:pPr>
              <w:pStyle w:val="ListBullet"/>
              <w:rPr>
                <w:b w:val="0"/>
                <w:bCs w:val="0"/>
              </w:rPr>
            </w:pPr>
            <w:r w:rsidRPr="00B2722A">
              <w:rPr>
                <w:b w:val="0"/>
                <w:bCs w:val="0"/>
              </w:rPr>
              <w:t>Clinical category: Back, neck and spine</w:t>
            </w:r>
          </w:p>
          <w:p w14:paraId="01ED8160" w14:textId="53151BD2" w:rsidR="00E61A07" w:rsidRPr="0022454C" w:rsidRDefault="00B57C26" w:rsidP="00B2722A">
            <w:pPr>
              <w:pStyle w:val="ListBullet"/>
              <w:rPr>
                <w:b w:val="0"/>
                <w:spacing w:val="-2"/>
              </w:rPr>
            </w:pPr>
            <w:r w:rsidRPr="00B2722A">
              <w:rPr>
                <w:b w:val="0"/>
                <w:bCs w:val="0"/>
              </w:rPr>
              <w:t>Procedure type: Type A Advanced Surgical</w:t>
            </w:r>
          </w:p>
        </w:tc>
      </w:tr>
      <w:tr w:rsidR="00B2722A" w14:paraId="1D31565B" w14:textId="77777777" w:rsidTr="00B35BBC">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54110737" w14:textId="561E04D7" w:rsidR="00EA50B2" w:rsidRDefault="00EA50B2" w:rsidP="00EA50B2">
            <w:pPr>
              <w:pStyle w:val="TableParagraph"/>
              <w:spacing w:before="46"/>
              <w:ind w:left="0"/>
              <w:rPr>
                <w:b w:val="0"/>
              </w:rPr>
            </w:pPr>
            <w:r>
              <w:t>51025</w:t>
            </w:r>
          </w:p>
          <w:p w14:paraId="2C4EBACC" w14:textId="77777777" w:rsidR="00EA50B2" w:rsidRPr="00EA50B2" w:rsidRDefault="00EA50B2" w:rsidP="00EA50B2">
            <w:pPr>
              <w:spacing w:line="221" w:lineRule="atLeast"/>
              <w:rPr>
                <w:b w:val="0"/>
                <w:bCs w:val="0"/>
              </w:rPr>
            </w:pPr>
            <w:r w:rsidRPr="00EA50B2">
              <w:rPr>
                <w:rFonts w:cs="Arial"/>
                <w:b w:val="0"/>
                <w:bCs w:val="0"/>
              </w:rPr>
              <w:t xml:space="preserve">Fixation of motion segment with vertebral body screw, pedicle screw or hook instrumentation including sublaminar tapes or wires, 7 to 12 motion segments, </w:t>
            </w:r>
            <w:r w:rsidRPr="00EA50B2">
              <w:rPr>
                <w:rFonts w:cs="Arial"/>
                <w:b w:val="0"/>
                <w:bCs w:val="0"/>
                <w:color w:val="auto"/>
              </w:rPr>
              <w:t xml:space="preserve">excluding vertebral body tethering for the treatment of scoliosis and </w:t>
            </w:r>
            <w:r w:rsidRPr="00EA50B2">
              <w:rPr>
                <w:rFonts w:cs="Arial"/>
                <w:b w:val="0"/>
                <w:bCs w:val="0"/>
              </w:rPr>
              <w:t xml:space="preserve">not being a service associated with a service to which item 51020, 51021, 51022, 51023, 51024 or 51026 applies </w:t>
            </w:r>
            <w:r w:rsidRPr="00EA50B2">
              <w:rPr>
                <w:b w:val="0"/>
                <w:bCs w:val="0"/>
              </w:rPr>
              <w:t>(H)</w:t>
            </w:r>
          </w:p>
          <w:p w14:paraId="6360FA93" w14:textId="77777777" w:rsidR="00EA50B2" w:rsidRPr="00EA50B2" w:rsidRDefault="00EA50B2" w:rsidP="00EA50B2">
            <w:pPr>
              <w:spacing w:after="0" w:line="221" w:lineRule="atLeast"/>
              <w:rPr>
                <w:rFonts w:cs="Arial"/>
                <w:b w:val="0"/>
                <w:bCs w:val="0"/>
              </w:rPr>
            </w:pPr>
            <w:r w:rsidRPr="00EA50B2">
              <w:rPr>
                <w:rFonts w:cs="Arial"/>
                <w:b w:val="0"/>
                <w:bCs w:val="0"/>
              </w:rPr>
              <w:t>(</w:t>
            </w:r>
            <w:proofErr w:type="spellStart"/>
            <w:r w:rsidRPr="00EA50B2">
              <w:rPr>
                <w:rFonts w:cs="Arial"/>
                <w:b w:val="0"/>
                <w:bCs w:val="0"/>
              </w:rPr>
              <w:t>Anaes</w:t>
            </w:r>
            <w:proofErr w:type="spellEnd"/>
            <w:r w:rsidRPr="00EA50B2">
              <w:rPr>
                <w:rFonts w:cs="Arial"/>
                <w:b w:val="0"/>
                <w:bCs w:val="0"/>
              </w:rPr>
              <w:t>.) (Assist.)</w:t>
            </w:r>
          </w:p>
          <w:p w14:paraId="1A79CAC5" w14:textId="77777777" w:rsidR="00EA50B2" w:rsidRDefault="00EA50B2" w:rsidP="00EA50B2">
            <w:pPr>
              <w:pStyle w:val="TableParagraph"/>
              <w:spacing w:before="46"/>
              <w:ind w:left="0"/>
              <w:rPr>
                <w:b w:val="0"/>
              </w:rPr>
            </w:pPr>
          </w:p>
          <w:p w14:paraId="4D64BA96" w14:textId="77777777" w:rsidR="00EA50B2" w:rsidRPr="00EA50B2" w:rsidRDefault="00EA50B2" w:rsidP="00EA50B2">
            <w:pPr>
              <w:pStyle w:val="TableParagraph"/>
              <w:spacing w:before="46"/>
              <w:ind w:left="0"/>
              <w:rPr>
                <w:b w:val="0"/>
                <w:bCs w:val="0"/>
              </w:rPr>
            </w:pPr>
            <w:r>
              <w:t>Fee:</w:t>
            </w:r>
            <w:r w:rsidRPr="000E06A5">
              <w:t xml:space="preserve"> </w:t>
            </w:r>
            <w:r w:rsidRPr="00EA50B2">
              <w:rPr>
                <w:b w:val="0"/>
                <w:bCs w:val="0"/>
              </w:rPr>
              <w:t>$2,816.90</w:t>
            </w:r>
            <w:r w:rsidRPr="000E06A5">
              <w:t xml:space="preserve"> </w:t>
            </w:r>
            <w:r>
              <w:t>Benefit:</w:t>
            </w:r>
            <w:r w:rsidRPr="000E06A5">
              <w:t xml:space="preserve"> </w:t>
            </w:r>
            <w:r w:rsidRPr="00EA50B2">
              <w:rPr>
                <w:b w:val="0"/>
                <w:bCs w:val="0"/>
              </w:rPr>
              <w:t>75% = $2,112.70</w:t>
            </w:r>
          </w:p>
          <w:p w14:paraId="2C56F039" w14:textId="77777777" w:rsidR="00EA50B2" w:rsidRDefault="00EA50B2" w:rsidP="00EA50B2">
            <w:pPr>
              <w:pStyle w:val="TableParagraph"/>
              <w:spacing w:before="46"/>
              <w:ind w:left="0"/>
              <w:rPr>
                <w:b w:val="0"/>
              </w:rPr>
            </w:pPr>
          </w:p>
          <w:p w14:paraId="1E4A8B7B" w14:textId="77777777" w:rsidR="00EA50B2" w:rsidRPr="00EA50B2" w:rsidRDefault="00EA50B2" w:rsidP="00EA50B2">
            <w:pPr>
              <w:pStyle w:val="ListBullet"/>
              <w:rPr>
                <w:b w:val="0"/>
                <w:bCs w:val="0"/>
              </w:rPr>
            </w:pPr>
            <w:r w:rsidRPr="00EA50B2">
              <w:rPr>
                <w:b w:val="0"/>
                <w:bCs w:val="0"/>
              </w:rPr>
              <w:t>Private Health Insurance Classification:</w:t>
            </w:r>
          </w:p>
          <w:p w14:paraId="2CD5C02E" w14:textId="77777777" w:rsidR="00EA50B2" w:rsidRPr="00EA50B2" w:rsidRDefault="00EA50B2" w:rsidP="00EA50B2">
            <w:pPr>
              <w:pStyle w:val="ListBullet"/>
              <w:rPr>
                <w:b w:val="0"/>
                <w:bCs w:val="0"/>
              </w:rPr>
            </w:pPr>
            <w:r w:rsidRPr="00EA50B2">
              <w:rPr>
                <w:b w:val="0"/>
                <w:bCs w:val="0"/>
              </w:rPr>
              <w:t>Clinical category: Back, neck and spine</w:t>
            </w:r>
          </w:p>
          <w:p w14:paraId="106210F6" w14:textId="1F3A7E07" w:rsidR="00B2722A" w:rsidRDefault="00EA50B2" w:rsidP="00EA50B2">
            <w:pPr>
              <w:pStyle w:val="ListBullet"/>
              <w:rPr>
                <w:b w:val="0"/>
              </w:rPr>
            </w:pPr>
            <w:r w:rsidRPr="00EA50B2">
              <w:rPr>
                <w:b w:val="0"/>
                <w:bCs w:val="0"/>
              </w:rPr>
              <w:t>Procedure type: Type A Advanced Surgical</w:t>
            </w:r>
          </w:p>
        </w:tc>
      </w:tr>
    </w:tbl>
    <w:p w14:paraId="045A5284" w14:textId="77777777" w:rsidR="00B35BBC" w:rsidRDefault="00B35BBC">
      <w:r>
        <w:rPr>
          <w:b/>
          <w:bCs/>
        </w:rPr>
        <w:br w:type="page"/>
      </w:r>
    </w:p>
    <w:tbl>
      <w:tblPr>
        <w:tblStyle w:val="GridTable4-Accent2"/>
        <w:tblW w:w="0" w:type="auto"/>
        <w:tblLook w:val="04A0" w:firstRow="1" w:lastRow="0" w:firstColumn="1" w:lastColumn="0" w:noHBand="0" w:noVBand="1"/>
      </w:tblPr>
      <w:tblGrid>
        <w:gridCol w:w="9060"/>
      </w:tblGrid>
      <w:tr w:rsidR="00EA50B2" w14:paraId="7E14F7AA" w14:textId="77777777" w:rsidTr="00B35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1203909D" w14:textId="7913CE01" w:rsidR="00F0659C" w:rsidRDefault="00F0659C" w:rsidP="005B17A4">
            <w:pPr>
              <w:pStyle w:val="TableParagraph"/>
              <w:spacing w:before="46"/>
              <w:ind w:left="26"/>
              <w:rPr>
                <w:b w:val="0"/>
              </w:rPr>
            </w:pPr>
            <w:r>
              <w:lastRenderedPageBreak/>
              <w:t>51026</w:t>
            </w:r>
          </w:p>
          <w:p w14:paraId="2DCF81BF" w14:textId="77777777" w:rsidR="00F0659C" w:rsidRPr="00F0659C" w:rsidRDefault="00F0659C" w:rsidP="00F0659C">
            <w:pPr>
              <w:spacing w:line="221" w:lineRule="atLeast"/>
              <w:ind w:left="26"/>
              <w:rPr>
                <w:b w:val="0"/>
                <w:bCs w:val="0"/>
              </w:rPr>
            </w:pPr>
            <w:r w:rsidRPr="00F0659C">
              <w:rPr>
                <w:rFonts w:cs="Arial"/>
                <w:b w:val="0"/>
                <w:bCs w:val="0"/>
              </w:rPr>
              <w:t xml:space="preserve">Fixation of motion segment with vertebral body screw, pedicle screw or hook instrumentation including sublaminar tapes or wires, more than 12 motion segments, </w:t>
            </w:r>
            <w:r w:rsidRPr="00F0659C">
              <w:rPr>
                <w:rFonts w:cs="Arial"/>
                <w:b w:val="0"/>
                <w:bCs w:val="0"/>
                <w:color w:val="auto"/>
              </w:rPr>
              <w:t>excluding vertebral body tethering for the treatment of scoliosis and</w:t>
            </w:r>
            <w:r w:rsidRPr="00F0659C">
              <w:rPr>
                <w:rFonts w:cs="Arial"/>
                <w:b w:val="0"/>
                <w:bCs w:val="0"/>
              </w:rPr>
              <w:t xml:space="preserve"> not being a service associated with a service to which item 51020, 51021, 51022, 51023, 51024 or 51025 applies </w:t>
            </w:r>
            <w:r w:rsidRPr="00F0659C">
              <w:rPr>
                <w:b w:val="0"/>
                <w:bCs w:val="0"/>
              </w:rPr>
              <w:t>(H)</w:t>
            </w:r>
          </w:p>
          <w:p w14:paraId="0CB14465" w14:textId="77777777" w:rsidR="00F0659C" w:rsidRPr="00F0659C" w:rsidRDefault="00F0659C" w:rsidP="00F0659C">
            <w:pPr>
              <w:spacing w:after="0" w:line="221" w:lineRule="atLeast"/>
              <w:ind w:left="26"/>
              <w:rPr>
                <w:rFonts w:cs="Arial"/>
                <w:b w:val="0"/>
                <w:bCs w:val="0"/>
              </w:rPr>
            </w:pPr>
            <w:r w:rsidRPr="00F0659C">
              <w:rPr>
                <w:rFonts w:cs="Arial"/>
                <w:b w:val="0"/>
                <w:bCs w:val="0"/>
              </w:rPr>
              <w:t>(</w:t>
            </w:r>
            <w:proofErr w:type="spellStart"/>
            <w:r w:rsidRPr="00F0659C">
              <w:rPr>
                <w:rFonts w:cs="Arial"/>
                <w:b w:val="0"/>
                <w:bCs w:val="0"/>
              </w:rPr>
              <w:t>Anaes</w:t>
            </w:r>
            <w:proofErr w:type="spellEnd"/>
            <w:r w:rsidRPr="00F0659C">
              <w:rPr>
                <w:rFonts w:cs="Arial"/>
                <w:b w:val="0"/>
                <w:bCs w:val="0"/>
              </w:rPr>
              <w:t>.) (Assist.)</w:t>
            </w:r>
          </w:p>
          <w:p w14:paraId="03689AFF" w14:textId="77777777" w:rsidR="003E54C1" w:rsidRDefault="003E54C1" w:rsidP="00F0659C">
            <w:pPr>
              <w:pStyle w:val="TableParagraph"/>
              <w:spacing w:before="46"/>
              <w:ind w:left="0"/>
              <w:rPr>
                <w:b w:val="0"/>
                <w:bCs w:val="0"/>
              </w:rPr>
            </w:pPr>
          </w:p>
          <w:p w14:paraId="2B89A070" w14:textId="4F5ED044" w:rsidR="00F0659C" w:rsidRPr="000E06A5" w:rsidRDefault="00F0659C" w:rsidP="00F0659C">
            <w:pPr>
              <w:pStyle w:val="TableParagraph"/>
              <w:spacing w:before="46"/>
              <w:ind w:left="0"/>
              <w:rPr>
                <w:b w:val="0"/>
              </w:rPr>
            </w:pPr>
            <w:r>
              <w:t>Fee:</w:t>
            </w:r>
            <w:r w:rsidRPr="000E06A5">
              <w:t xml:space="preserve"> </w:t>
            </w:r>
            <w:r w:rsidRPr="00F0659C">
              <w:rPr>
                <w:b w:val="0"/>
                <w:bCs w:val="0"/>
              </w:rPr>
              <w:t>$3,084.10</w:t>
            </w:r>
            <w:r w:rsidRPr="000E06A5">
              <w:t xml:space="preserve"> </w:t>
            </w:r>
            <w:r>
              <w:t>Benefit:</w:t>
            </w:r>
            <w:r w:rsidRPr="000E06A5">
              <w:t xml:space="preserve"> </w:t>
            </w:r>
            <w:r w:rsidRPr="00F0659C">
              <w:rPr>
                <w:b w:val="0"/>
                <w:bCs w:val="0"/>
              </w:rPr>
              <w:t>75% = $2,313.10</w:t>
            </w:r>
          </w:p>
          <w:p w14:paraId="59DCAA79" w14:textId="77777777" w:rsidR="00F0659C" w:rsidRDefault="00F0659C" w:rsidP="00F0659C">
            <w:pPr>
              <w:pStyle w:val="TableParagraph"/>
              <w:spacing w:before="46"/>
              <w:ind w:left="149"/>
              <w:rPr>
                <w:b w:val="0"/>
              </w:rPr>
            </w:pPr>
          </w:p>
          <w:p w14:paraId="0184D03C" w14:textId="77777777" w:rsidR="00F0659C" w:rsidRPr="00F0659C" w:rsidRDefault="00F0659C" w:rsidP="00F0659C">
            <w:pPr>
              <w:pStyle w:val="ListBullet"/>
              <w:rPr>
                <w:b w:val="0"/>
                <w:bCs w:val="0"/>
              </w:rPr>
            </w:pPr>
            <w:r w:rsidRPr="00F0659C">
              <w:rPr>
                <w:b w:val="0"/>
                <w:bCs w:val="0"/>
              </w:rPr>
              <w:t>Private Health Insurance Classification:</w:t>
            </w:r>
          </w:p>
          <w:p w14:paraId="5F352CF7" w14:textId="77777777" w:rsidR="00F0659C" w:rsidRPr="00F0659C" w:rsidRDefault="00F0659C" w:rsidP="00F0659C">
            <w:pPr>
              <w:pStyle w:val="ListBullet"/>
              <w:rPr>
                <w:b w:val="0"/>
                <w:bCs w:val="0"/>
              </w:rPr>
            </w:pPr>
            <w:r w:rsidRPr="00F0659C">
              <w:rPr>
                <w:b w:val="0"/>
                <w:bCs w:val="0"/>
              </w:rPr>
              <w:t>Clinical category: Back, neck and spine</w:t>
            </w:r>
          </w:p>
          <w:p w14:paraId="418A9F7B" w14:textId="160AEF27" w:rsidR="00EA50B2" w:rsidRDefault="00F0659C" w:rsidP="00F0659C">
            <w:pPr>
              <w:pStyle w:val="ListBullet"/>
              <w:rPr>
                <w:b w:val="0"/>
              </w:rPr>
            </w:pPr>
            <w:r w:rsidRPr="00F0659C">
              <w:rPr>
                <w:b w:val="0"/>
                <w:bCs w:val="0"/>
              </w:rPr>
              <w:t>Procedure type: Type A Advanced Surgical</w:t>
            </w:r>
          </w:p>
        </w:tc>
      </w:tr>
      <w:tr w:rsidR="00F0659C" w14:paraId="3899D064" w14:textId="77777777" w:rsidTr="00B35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225EAA5" w14:textId="74EEA714" w:rsidR="00812430" w:rsidRDefault="00812430" w:rsidP="005B17A4">
            <w:pPr>
              <w:pStyle w:val="TableParagraph"/>
              <w:spacing w:before="46"/>
              <w:ind w:left="26"/>
              <w:rPr>
                <w:b w:val="0"/>
              </w:rPr>
            </w:pPr>
            <w:r>
              <w:t>51165</w:t>
            </w:r>
          </w:p>
          <w:p w14:paraId="03A760E3" w14:textId="77777777" w:rsidR="00812430" w:rsidRPr="00812430" w:rsidRDefault="00812430" w:rsidP="00812430">
            <w:pPr>
              <w:spacing w:line="221" w:lineRule="atLeast"/>
              <w:ind w:left="26"/>
              <w:rPr>
                <w:rFonts w:cs="Arial"/>
                <w:b w:val="0"/>
                <w:bCs w:val="0"/>
              </w:rPr>
            </w:pPr>
            <w:r w:rsidRPr="00812430">
              <w:rPr>
                <w:rFonts w:cs="Arial"/>
                <w:b w:val="0"/>
                <w:bCs w:val="0"/>
              </w:rPr>
              <w:t>Anterior exposure of thoracic or lumbar spine, more than one motion segment, excluding vertebral body tethering for the treatment of scoliosis and not being a service to which item 51160 applies (H)</w:t>
            </w:r>
          </w:p>
          <w:p w14:paraId="473C86A2" w14:textId="77777777" w:rsidR="00812430" w:rsidRPr="00812430" w:rsidRDefault="00812430" w:rsidP="00812430">
            <w:pPr>
              <w:spacing w:line="221" w:lineRule="atLeast"/>
              <w:ind w:left="26"/>
              <w:rPr>
                <w:rFonts w:cs="Arial"/>
                <w:b w:val="0"/>
                <w:bCs w:val="0"/>
              </w:rPr>
            </w:pPr>
            <w:r w:rsidRPr="00812430">
              <w:rPr>
                <w:rFonts w:cs="Arial"/>
                <w:b w:val="0"/>
                <w:bCs w:val="0"/>
              </w:rPr>
              <w:t>(</w:t>
            </w:r>
            <w:proofErr w:type="spellStart"/>
            <w:r w:rsidRPr="00812430">
              <w:rPr>
                <w:rFonts w:cs="Arial"/>
                <w:b w:val="0"/>
                <w:bCs w:val="0"/>
              </w:rPr>
              <w:t>Anaes</w:t>
            </w:r>
            <w:proofErr w:type="spellEnd"/>
            <w:r w:rsidRPr="00812430">
              <w:rPr>
                <w:rFonts w:cs="Arial"/>
                <w:b w:val="0"/>
                <w:bCs w:val="0"/>
              </w:rPr>
              <w:t>.) (Assist.)</w:t>
            </w:r>
          </w:p>
          <w:p w14:paraId="7805DF16" w14:textId="77777777" w:rsidR="00812430" w:rsidRPr="0064724A" w:rsidRDefault="00812430" w:rsidP="00812430">
            <w:pPr>
              <w:pStyle w:val="TableParagraph"/>
              <w:spacing w:before="46"/>
              <w:ind w:left="26"/>
              <w:rPr>
                <w:b w:val="0"/>
              </w:rPr>
            </w:pPr>
          </w:p>
          <w:p w14:paraId="144C55A4" w14:textId="0DFD89B8" w:rsidR="00812430" w:rsidRPr="00812430" w:rsidRDefault="00812430" w:rsidP="00812430">
            <w:pPr>
              <w:pStyle w:val="TableParagraph"/>
              <w:spacing w:before="46"/>
              <w:ind w:left="26"/>
              <w:rPr>
                <w:b w:val="0"/>
                <w:bCs w:val="0"/>
              </w:rPr>
            </w:pPr>
            <w:r>
              <w:t>Fee:</w:t>
            </w:r>
            <w:r w:rsidRPr="000E06A5">
              <w:t xml:space="preserve"> </w:t>
            </w:r>
            <w:r w:rsidRPr="00812430">
              <w:rPr>
                <w:b w:val="0"/>
                <w:bCs w:val="0"/>
              </w:rPr>
              <w:t>$1,596.05</w:t>
            </w:r>
            <w:r w:rsidRPr="000E06A5">
              <w:t xml:space="preserve"> </w:t>
            </w:r>
            <w:r>
              <w:t>Benefit:</w:t>
            </w:r>
            <w:r w:rsidRPr="000E06A5">
              <w:t xml:space="preserve"> </w:t>
            </w:r>
            <w:r w:rsidRPr="00812430">
              <w:rPr>
                <w:b w:val="0"/>
                <w:bCs w:val="0"/>
              </w:rPr>
              <w:t>75% = $1,197.05</w:t>
            </w:r>
          </w:p>
          <w:p w14:paraId="4F7E37CA" w14:textId="77777777" w:rsidR="00812430" w:rsidRDefault="00812430" w:rsidP="00812430">
            <w:pPr>
              <w:pStyle w:val="TableParagraph"/>
              <w:spacing w:before="46"/>
              <w:ind w:left="149"/>
              <w:rPr>
                <w:b w:val="0"/>
              </w:rPr>
            </w:pPr>
          </w:p>
          <w:p w14:paraId="382F179A" w14:textId="77777777" w:rsidR="00812430" w:rsidRPr="00812430" w:rsidRDefault="00812430" w:rsidP="00812430">
            <w:pPr>
              <w:pStyle w:val="ListBullet"/>
              <w:rPr>
                <w:b w:val="0"/>
                <w:bCs w:val="0"/>
              </w:rPr>
            </w:pPr>
            <w:r w:rsidRPr="00812430">
              <w:rPr>
                <w:b w:val="0"/>
                <w:bCs w:val="0"/>
              </w:rPr>
              <w:t>Private Health Insurance Classification:</w:t>
            </w:r>
          </w:p>
          <w:p w14:paraId="01A932E9" w14:textId="77777777" w:rsidR="00812430" w:rsidRPr="00812430" w:rsidRDefault="00812430" w:rsidP="00812430">
            <w:pPr>
              <w:pStyle w:val="ListBullet"/>
              <w:rPr>
                <w:b w:val="0"/>
                <w:bCs w:val="0"/>
              </w:rPr>
            </w:pPr>
            <w:r w:rsidRPr="00812430">
              <w:rPr>
                <w:b w:val="0"/>
                <w:bCs w:val="0"/>
              </w:rPr>
              <w:t>Clinical category: Back, neck and spine</w:t>
            </w:r>
          </w:p>
          <w:p w14:paraId="4B5936D8" w14:textId="5312BE74" w:rsidR="00F0659C" w:rsidRDefault="00812430" w:rsidP="00812430">
            <w:pPr>
              <w:pStyle w:val="ListBullet"/>
              <w:rPr>
                <w:b w:val="0"/>
              </w:rPr>
            </w:pPr>
            <w:r w:rsidRPr="00812430">
              <w:rPr>
                <w:b w:val="0"/>
                <w:bCs w:val="0"/>
              </w:rPr>
              <w:t>Procedure type: Type A Advanced Surgical</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49D4" w14:textId="77777777" w:rsidR="00110BEC" w:rsidRDefault="00110BEC" w:rsidP="006B56BB">
      <w:r>
        <w:separator/>
      </w:r>
    </w:p>
    <w:p w14:paraId="19D81FD0" w14:textId="77777777" w:rsidR="00110BEC" w:rsidRDefault="00110BEC"/>
  </w:endnote>
  <w:endnote w:type="continuationSeparator" w:id="0">
    <w:p w14:paraId="778C0CB9" w14:textId="77777777" w:rsidR="00110BEC" w:rsidRDefault="00110BEC" w:rsidP="006B56BB">
      <w:r>
        <w:continuationSeparator/>
      </w:r>
    </w:p>
    <w:p w14:paraId="52D11BED" w14:textId="77777777" w:rsidR="00110BEC" w:rsidRDefault="00110BEC"/>
  </w:endnote>
  <w:endnote w:type="continuationNotice" w:id="1">
    <w:p w14:paraId="39179D8C" w14:textId="77777777" w:rsidR="00110BEC" w:rsidRDefault="00110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220DB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8417555" w:rsidR="00F51321" w:rsidRDefault="00D1357E" w:rsidP="00DB2EB7">
    <w:pPr>
      <w:pStyle w:val="Footer"/>
      <w:tabs>
        <w:tab w:val="clear" w:pos="9026"/>
        <w:tab w:val="right" w:pos="10466"/>
      </w:tabs>
      <w:jc w:val="left"/>
    </w:pPr>
    <w:r>
      <w:rPr>
        <w:b/>
      </w:rPr>
      <w:t xml:space="preserve">Spinal surgery MBS item changes to exclude use for Vertebral Body Tethering (VBT) </w:t>
    </w:r>
    <w:r w:rsidRPr="00E863C4">
      <w:rPr>
        <w:b/>
      </w:rPr>
      <w:t xml:space="preserve">– </w:t>
    </w:r>
    <w:r>
      <w:rPr>
        <w:b/>
      </w:rPr>
      <w:t>Factsheet</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220DB9" w:rsidP="00F51321">
    <w:pPr>
      <w:pStyle w:val="Footer"/>
      <w:jc w:val="left"/>
      <w:rPr>
        <w:rStyle w:val="Hyperlink"/>
        <w:szCs w:val="18"/>
      </w:rPr>
    </w:pPr>
    <w:hyperlink r:id="rId1" w:history="1">
      <w:r w:rsidR="00F51321" w:rsidRPr="00E863C4">
        <w:rPr>
          <w:rStyle w:val="Hyperlink"/>
          <w:szCs w:val="18"/>
        </w:rPr>
        <w:t>MBS Online</w:t>
      </w:r>
    </w:hyperlink>
  </w:p>
  <w:p w14:paraId="0D093570" w14:textId="533979CA" w:rsidR="00F51321" w:rsidRPr="009B32BA" w:rsidRDefault="00F51321" w:rsidP="00F51321">
    <w:pPr>
      <w:pStyle w:val="Footer"/>
      <w:jc w:val="left"/>
      <w:rPr>
        <w:szCs w:val="18"/>
      </w:rPr>
    </w:pPr>
    <w:r w:rsidRPr="00870B05">
      <w:t>Last updated</w:t>
    </w:r>
    <w:r>
      <w:t xml:space="preserve"> –</w:t>
    </w:r>
    <w:r w:rsidR="00DB2EB7">
      <w:t xml:space="preserve"> 1</w:t>
    </w:r>
    <w:r w:rsidR="00667874">
      <w:t>7</w:t>
    </w:r>
    <w:r>
      <w:t xml:space="preserve"> </w:t>
    </w:r>
    <w:r w:rsidR="00DB2EB7">
      <w:t>January</w:t>
    </w:r>
    <w:r>
      <w:t xml:space="preserve"> 20</w:t>
    </w:r>
    <w:r w:rsidR="00DB2EB7">
      <w:t>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220DB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6D659D7" w:rsidR="00064168" w:rsidRDefault="00D1357E" w:rsidP="00DB2EB7">
    <w:pPr>
      <w:pStyle w:val="Footer"/>
      <w:tabs>
        <w:tab w:val="clear" w:pos="9026"/>
        <w:tab w:val="right" w:pos="10466"/>
      </w:tabs>
      <w:jc w:val="left"/>
    </w:pPr>
    <w:r>
      <w:rPr>
        <w:b/>
      </w:rPr>
      <w:t xml:space="preserve">Spinal surgery MBS item changes </w:t>
    </w:r>
    <w:r w:rsidR="00DB2EB7">
      <w:rPr>
        <w:b/>
      </w:rPr>
      <w:t xml:space="preserve">to exclude use for Vertebral Body Tethering (VBT)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220DB9" w:rsidP="00064168">
    <w:pPr>
      <w:pStyle w:val="Footer"/>
      <w:jc w:val="left"/>
      <w:rPr>
        <w:rStyle w:val="Hyperlink"/>
        <w:szCs w:val="18"/>
      </w:rPr>
    </w:pPr>
    <w:hyperlink r:id="rId1" w:history="1">
      <w:r w:rsidR="00064168" w:rsidRPr="00E863C4">
        <w:rPr>
          <w:rStyle w:val="Hyperlink"/>
          <w:szCs w:val="18"/>
        </w:rPr>
        <w:t>MBS Online</w:t>
      </w:r>
    </w:hyperlink>
  </w:p>
  <w:p w14:paraId="03585E81" w14:textId="71766A88" w:rsidR="00064168" w:rsidRPr="009B32BA" w:rsidRDefault="00064168" w:rsidP="00064168">
    <w:pPr>
      <w:pStyle w:val="Footer"/>
      <w:jc w:val="left"/>
      <w:rPr>
        <w:szCs w:val="18"/>
      </w:rPr>
    </w:pPr>
    <w:r w:rsidRPr="00870B05">
      <w:t>Last updated</w:t>
    </w:r>
    <w:r>
      <w:t xml:space="preserve"> –</w:t>
    </w:r>
    <w:r w:rsidR="00DB2EB7">
      <w:t xml:space="preserve"> 1</w:t>
    </w:r>
    <w:r w:rsidR="00667874">
      <w:t>7</w:t>
    </w:r>
    <w:r>
      <w:t xml:space="preserve"> </w:t>
    </w:r>
    <w:r w:rsidR="00DB2EB7">
      <w:t>January</w:t>
    </w:r>
    <w:r>
      <w:t xml:space="preserve"> 20</w:t>
    </w:r>
    <w:r w:rsidR="00DB2EB7">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946B" w14:textId="77777777" w:rsidR="00110BEC" w:rsidRDefault="00110BEC" w:rsidP="006B56BB">
      <w:r>
        <w:separator/>
      </w:r>
    </w:p>
    <w:p w14:paraId="656A79AD" w14:textId="77777777" w:rsidR="00110BEC" w:rsidRDefault="00110BEC"/>
  </w:footnote>
  <w:footnote w:type="continuationSeparator" w:id="0">
    <w:p w14:paraId="40214E7D" w14:textId="77777777" w:rsidR="00110BEC" w:rsidRDefault="00110BEC" w:rsidP="006B56BB">
      <w:r>
        <w:continuationSeparator/>
      </w:r>
    </w:p>
    <w:p w14:paraId="58CCDB97" w14:textId="77777777" w:rsidR="00110BEC" w:rsidRDefault="00110BEC"/>
  </w:footnote>
  <w:footnote w:type="continuationNotice" w:id="1">
    <w:p w14:paraId="15AB0EFA" w14:textId="77777777" w:rsidR="00110BEC" w:rsidRDefault="00110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CB5A35"/>
    <w:multiLevelType w:val="hybridMultilevel"/>
    <w:tmpl w:val="B3C88396"/>
    <w:lvl w:ilvl="0" w:tplc="94EEDEB0">
      <w:numFmt w:val="bullet"/>
      <w:lvlText w:val=""/>
      <w:lvlJc w:val="left"/>
      <w:pPr>
        <w:ind w:left="467" w:hanging="360"/>
      </w:pPr>
      <w:rPr>
        <w:rFonts w:ascii="Symbol" w:eastAsia="Symbol" w:hAnsi="Symbol" w:cs="Symbol" w:hint="default"/>
        <w:b w:val="0"/>
        <w:bCs w:val="0"/>
        <w:i w:val="0"/>
        <w:iCs w:val="0"/>
        <w:color w:val="358188"/>
        <w:spacing w:val="0"/>
        <w:w w:val="100"/>
        <w:sz w:val="24"/>
        <w:szCs w:val="24"/>
        <w:lang w:val="en-US" w:eastAsia="en-US" w:bidi="ar-SA"/>
      </w:rPr>
    </w:lvl>
    <w:lvl w:ilvl="1" w:tplc="B324176E">
      <w:numFmt w:val="bullet"/>
      <w:lvlText w:val="•"/>
      <w:lvlJc w:val="left"/>
      <w:pPr>
        <w:ind w:left="1319" w:hanging="360"/>
      </w:pPr>
      <w:rPr>
        <w:rFonts w:hint="default"/>
        <w:lang w:val="en-US" w:eastAsia="en-US" w:bidi="ar-SA"/>
      </w:rPr>
    </w:lvl>
    <w:lvl w:ilvl="2" w:tplc="4A9A780C">
      <w:numFmt w:val="bullet"/>
      <w:lvlText w:val="•"/>
      <w:lvlJc w:val="left"/>
      <w:pPr>
        <w:ind w:left="2178" w:hanging="360"/>
      </w:pPr>
      <w:rPr>
        <w:rFonts w:hint="default"/>
        <w:lang w:val="en-US" w:eastAsia="en-US" w:bidi="ar-SA"/>
      </w:rPr>
    </w:lvl>
    <w:lvl w:ilvl="3" w:tplc="03088228">
      <w:numFmt w:val="bullet"/>
      <w:lvlText w:val="•"/>
      <w:lvlJc w:val="left"/>
      <w:pPr>
        <w:ind w:left="3037" w:hanging="360"/>
      </w:pPr>
      <w:rPr>
        <w:rFonts w:hint="default"/>
        <w:lang w:val="en-US" w:eastAsia="en-US" w:bidi="ar-SA"/>
      </w:rPr>
    </w:lvl>
    <w:lvl w:ilvl="4" w:tplc="BABEA12A">
      <w:numFmt w:val="bullet"/>
      <w:lvlText w:val="•"/>
      <w:lvlJc w:val="left"/>
      <w:pPr>
        <w:ind w:left="3896" w:hanging="360"/>
      </w:pPr>
      <w:rPr>
        <w:rFonts w:hint="default"/>
        <w:lang w:val="en-US" w:eastAsia="en-US" w:bidi="ar-SA"/>
      </w:rPr>
    </w:lvl>
    <w:lvl w:ilvl="5" w:tplc="6F92B934">
      <w:numFmt w:val="bullet"/>
      <w:lvlText w:val="•"/>
      <w:lvlJc w:val="left"/>
      <w:pPr>
        <w:ind w:left="4755" w:hanging="360"/>
      </w:pPr>
      <w:rPr>
        <w:rFonts w:hint="default"/>
        <w:lang w:val="en-US" w:eastAsia="en-US" w:bidi="ar-SA"/>
      </w:rPr>
    </w:lvl>
    <w:lvl w:ilvl="6" w:tplc="90FC8C42">
      <w:numFmt w:val="bullet"/>
      <w:lvlText w:val="•"/>
      <w:lvlJc w:val="left"/>
      <w:pPr>
        <w:ind w:left="5614" w:hanging="360"/>
      </w:pPr>
      <w:rPr>
        <w:rFonts w:hint="default"/>
        <w:lang w:val="en-US" w:eastAsia="en-US" w:bidi="ar-SA"/>
      </w:rPr>
    </w:lvl>
    <w:lvl w:ilvl="7" w:tplc="3EBAB030">
      <w:numFmt w:val="bullet"/>
      <w:lvlText w:val="•"/>
      <w:lvlJc w:val="left"/>
      <w:pPr>
        <w:ind w:left="6473" w:hanging="360"/>
      </w:pPr>
      <w:rPr>
        <w:rFonts w:hint="default"/>
        <w:lang w:val="en-US" w:eastAsia="en-US" w:bidi="ar-SA"/>
      </w:rPr>
    </w:lvl>
    <w:lvl w:ilvl="8" w:tplc="C0B22200">
      <w:numFmt w:val="bullet"/>
      <w:lvlText w:val="•"/>
      <w:lvlJc w:val="left"/>
      <w:pPr>
        <w:ind w:left="7332" w:hanging="360"/>
      </w:pPr>
      <w:rPr>
        <w:rFonts w:hint="default"/>
        <w:lang w:val="en-US" w:eastAsia="en-US" w:bidi="ar-SA"/>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B5E27"/>
    <w:multiLevelType w:val="hybridMultilevel"/>
    <w:tmpl w:val="A17478C6"/>
    <w:lvl w:ilvl="0" w:tplc="0C090001">
      <w:start w:val="1"/>
      <w:numFmt w:val="bullet"/>
      <w:lvlText w:val=""/>
      <w:lvlJc w:val="left"/>
      <w:pPr>
        <w:ind w:left="467" w:hanging="360"/>
      </w:pPr>
      <w:rPr>
        <w:rFonts w:ascii="Symbol" w:hAnsi="Symbol" w:hint="default"/>
        <w:b w:val="0"/>
        <w:bCs w:val="0"/>
        <w:i w:val="0"/>
        <w:iCs w:val="0"/>
        <w:color w:val="358188"/>
        <w:spacing w:val="0"/>
        <w:w w:val="100"/>
        <w:sz w:val="24"/>
        <w:szCs w:val="24"/>
        <w:lang w:val="en-US" w:eastAsia="en-US" w:bidi="ar-SA"/>
      </w:rPr>
    </w:lvl>
    <w:lvl w:ilvl="1" w:tplc="FFFFFFFF">
      <w:numFmt w:val="bullet"/>
      <w:lvlText w:val="•"/>
      <w:lvlJc w:val="left"/>
      <w:pPr>
        <w:ind w:left="1319" w:hanging="360"/>
      </w:pPr>
      <w:rPr>
        <w:rFonts w:hint="default"/>
        <w:lang w:val="en-US" w:eastAsia="en-US" w:bidi="ar-SA"/>
      </w:rPr>
    </w:lvl>
    <w:lvl w:ilvl="2" w:tplc="FFFFFFFF">
      <w:numFmt w:val="bullet"/>
      <w:lvlText w:val="•"/>
      <w:lvlJc w:val="left"/>
      <w:pPr>
        <w:ind w:left="2178" w:hanging="360"/>
      </w:pPr>
      <w:rPr>
        <w:rFonts w:hint="default"/>
        <w:lang w:val="en-US" w:eastAsia="en-US" w:bidi="ar-SA"/>
      </w:rPr>
    </w:lvl>
    <w:lvl w:ilvl="3" w:tplc="FFFFFFFF">
      <w:numFmt w:val="bullet"/>
      <w:lvlText w:val="•"/>
      <w:lvlJc w:val="left"/>
      <w:pPr>
        <w:ind w:left="3037" w:hanging="360"/>
      </w:pPr>
      <w:rPr>
        <w:rFonts w:hint="default"/>
        <w:lang w:val="en-US" w:eastAsia="en-US" w:bidi="ar-SA"/>
      </w:rPr>
    </w:lvl>
    <w:lvl w:ilvl="4" w:tplc="FFFFFFFF">
      <w:numFmt w:val="bullet"/>
      <w:lvlText w:val="•"/>
      <w:lvlJc w:val="left"/>
      <w:pPr>
        <w:ind w:left="3896" w:hanging="360"/>
      </w:pPr>
      <w:rPr>
        <w:rFonts w:hint="default"/>
        <w:lang w:val="en-US" w:eastAsia="en-US" w:bidi="ar-SA"/>
      </w:rPr>
    </w:lvl>
    <w:lvl w:ilvl="5" w:tplc="FFFFFFFF">
      <w:numFmt w:val="bullet"/>
      <w:lvlText w:val="•"/>
      <w:lvlJc w:val="left"/>
      <w:pPr>
        <w:ind w:left="4755" w:hanging="360"/>
      </w:pPr>
      <w:rPr>
        <w:rFonts w:hint="default"/>
        <w:lang w:val="en-US" w:eastAsia="en-US" w:bidi="ar-SA"/>
      </w:rPr>
    </w:lvl>
    <w:lvl w:ilvl="6" w:tplc="FFFFFFFF">
      <w:numFmt w:val="bullet"/>
      <w:lvlText w:val="•"/>
      <w:lvlJc w:val="left"/>
      <w:pPr>
        <w:ind w:left="5614" w:hanging="360"/>
      </w:pPr>
      <w:rPr>
        <w:rFonts w:hint="default"/>
        <w:lang w:val="en-US" w:eastAsia="en-US" w:bidi="ar-SA"/>
      </w:rPr>
    </w:lvl>
    <w:lvl w:ilvl="7" w:tplc="FFFFFFFF">
      <w:numFmt w:val="bullet"/>
      <w:lvlText w:val="•"/>
      <w:lvlJc w:val="left"/>
      <w:pPr>
        <w:ind w:left="6473" w:hanging="360"/>
      </w:pPr>
      <w:rPr>
        <w:rFonts w:hint="default"/>
        <w:lang w:val="en-US" w:eastAsia="en-US" w:bidi="ar-SA"/>
      </w:rPr>
    </w:lvl>
    <w:lvl w:ilvl="8" w:tplc="FFFFFFFF">
      <w:numFmt w:val="bullet"/>
      <w:lvlText w:val="•"/>
      <w:lvlJc w:val="left"/>
      <w:pPr>
        <w:ind w:left="7332" w:hanging="360"/>
      </w:pPr>
      <w:rPr>
        <w:rFonts w:hint="default"/>
        <w:lang w:val="en-US" w:eastAsia="en-US" w:bidi="ar-SA"/>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5"/>
  </w:num>
  <w:num w:numId="29" w16cid:durableId="306789149">
    <w:abstractNumId w:val="9"/>
  </w:num>
  <w:num w:numId="30" w16cid:durableId="924143414">
    <w:abstractNumId w:val="14"/>
  </w:num>
  <w:num w:numId="31" w16cid:durableId="1659387100">
    <w:abstractNumId w:val="12"/>
  </w:num>
  <w:num w:numId="32" w16cid:durableId="1851793319">
    <w:abstractNumId w:val="12"/>
  </w:num>
  <w:num w:numId="33" w16cid:durableId="1141968566">
    <w:abstractNumId w:val="12"/>
  </w:num>
  <w:num w:numId="34" w16cid:durableId="1444611653">
    <w:abstractNumId w:val="12"/>
  </w:num>
  <w:num w:numId="35" w16cid:durableId="1138375619">
    <w:abstractNumId w:val="12"/>
  </w:num>
  <w:num w:numId="36" w16cid:durableId="555626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17DC"/>
    <w:rsid w:val="00046FF0"/>
    <w:rsid w:val="00050176"/>
    <w:rsid w:val="00050342"/>
    <w:rsid w:val="00064168"/>
    <w:rsid w:val="00067456"/>
    <w:rsid w:val="00071506"/>
    <w:rsid w:val="0007154F"/>
    <w:rsid w:val="00080BAC"/>
    <w:rsid w:val="00081AB1"/>
    <w:rsid w:val="00084D71"/>
    <w:rsid w:val="00090316"/>
    <w:rsid w:val="00093981"/>
    <w:rsid w:val="000A62B6"/>
    <w:rsid w:val="000B067A"/>
    <w:rsid w:val="000B1540"/>
    <w:rsid w:val="000B1E53"/>
    <w:rsid w:val="000B33FD"/>
    <w:rsid w:val="000B4ABA"/>
    <w:rsid w:val="000C4B16"/>
    <w:rsid w:val="000C50C3"/>
    <w:rsid w:val="000C5E14"/>
    <w:rsid w:val="000D21F6"/>
    <w:rsid w:val="000D4500"/>
    <w:rsid w:val="000D7AEA"/>
    <w:rsid w:val="000E2C66"/>
    <w:rsid w:val="000F07D4"/>
    <w:rsid w:val="000F123C"/>
    <w:rsid w:val="000F2FED"/>
    <w:rsid w:val="0010616D"/>
    <w:rsid w:val="00110478"/>
    <w:rsid w:val="001109A3"/>
    <w:rsid w:val="00110BEC"/>
    <w:rsid w:val="0011138C"/>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2"/>
    <w:rsid w:val="001840FA"/>
    <w:rsid w:val="00190079"/>
    <w:rsid w:val="00194DF0"/>
    <w:rsid w:val="0019622E"/>
    <w:rsid w:val="001966A7"/>
    <w:rsid w:val="001A4627"/>
    <w:rsid w:val="001A4979"/>
    <w:rsid w:val="001B15D3"/>
    <w:rsid w:val="001B3443"/>
    <w:rsid w:val="001C0326"/>
    <w:rsid w:val="001C192F"/>
    <w:rsid w:val="001C3C42"/>
    <w:rsid w:val="001D6642"/>
    <w:rsid w:val="001D7869"/>
    <w:rsid w:val="002026CD"/>
    <w:rsid w:val="002033FC"/>
    <w:rsid w:val="002044BB"/>
    <w:rsid w:val="00210B09"/>
    <w:rsid w:val="00210C9E"/>
    <w:rsid w:val="00211840"/>
    <w:rsid w:val="00220E5F"/>
    <w:rsid w:val="002212B5"/>
    <w:rsid w:val="00226668"/>
    <w:rsid w:val="00233809"/>
    <w:rsid w:val="00240046"/>
    <w:rsid w:val="00240DC2"/>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98E"/>
    <w:rsid w:val="00395C23"/>
    <w:rsid w:val="003A29A9"/>
    <w:rsid w:val="003A2E4F"/>
    <w:rsid w:val="003A4438"/>
    <w:rsid w:val="003A5013"/>
    <w:rsid w:val="003A5078"/>
    <w:rsid w:val="003A62DD"/>
    <w:rsid w:val="003A775A"/>
    <w:rsid w:val="003B213A"/>
    <w:rsid w:val="003B43AD"/>
    <w:rsid w:val="003C0FEC"/>
    <w:rsid w:val="003C2AC8"/>
    <w:rsid w:val="003D033A"/>
    <w:rsid w:val="003D0AB6"/>
    <w:rsid w:val="003D17F9"/>
    <w:rsid w:val="003D2D88"/>
    <w:rsid w:val="003D41EA"/>
    <w:rsid w:val="003D4850"/>
    <w:rsid w:val="003D535A"/>
    <w:rsid w:val="003E5265"/>
    <w:rsid w:val="003E54C1"/>
    <w:rsid w:val="003F0955"/>
    <w:rsid w:val="003F5F4D"/>
    <w:rsid w:val="003F646F"/>
    <w:rsid w:val="00400F00"/>
    <w:rsid w:val="00404F8B"/>
    <w:rsid w:val="00405256"/>
    <w:rsid w:val="00405ADD"/>
    <w:rsid w:val="00410031"/>
    <w:rsid w:val="00415C81"/>
    <w:rsid w:val="00417956"/>
    <w:rsid w:val="004224D0"/>
    <w:rsid w:val="00432378"/>
    <w:rsid w:val="00440D65"/>
    <w:rsid w:val="004435E6"/>
    <w:rsid w:val="00447E31"/>
    <w:rsid w:val="004504CE"/>
    <w:rsid w:val="00453923"/>
    <w:rsid w:val="00454B9B"/>
    <w:rsid w:val="00457858"/>
    <w:rsid w:val="00460B0B"/>
    <w:rsid w:val="00461023"/>
    <w:rsid w:val="00462FAC"/>
    <w:rsid w:val="00464631"/>
    <w:rsid w:val="00464B79"/>
    <w:rsid w:val="00464D88"/>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58A4"/>
    <w:rsid w:val="00587F43"/>
    <w:rsid w:val="00591E20"/>
    <w:rsid w:val="00595408"/>
    <w:rsid w:val="00595E84"/>
    <w:rsid w:val="005A0C59"/>
    <w:rsid w:val="005A48EB"/>
    <w:rsid w:val="005A6CFB"/>
    <w:rsid w:val="005B17A4"/>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67874"/>
    <w:rsid w:val="00670D99"/>
    <w:rsid w:val="00670E2B"/>
    <w:rsid w:val="006734BB"/>
    <w:rsid w:val="0067697A"/>
    <w:rsid w:val="006821EB"/>
    <w:rsid w:val="006A268A"/>
    <w:rsid w:val="006B2286"/>
    <w:rsid w:val="006B56BB"/>
    <w:rsid w:val="006C085B"/>
    <w:rsid w:val="006C77A8"/>
    <w:rsid w:val="006D298C"/>
    <w:rsid w:val="006D3087"/>
    <w:rsid w:val="006D4098"/>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538C6"/>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362B"/>
    <w:rsid w:val="007D4313"/>
    <w:rsid w:val="007D673D"/>
    <w:rsid w:val="007E0068"/>
    <w:rsid w:val="007E0FB8"/>
    <w:rsid w:val="007E4D09"/>
    <w:rsid w:val="007F2220"/>
    <w:rsid w:val="007F4B3E"/>
    <w:rsid w:val="007F5E15"/>
    <w:rsid w:val="00800A57"/>
    <w:rsid w:val="00812430"/>
    <w:rsid w:val="008127AF"/>
    <w:rsid w:val="00812B46"/>
    <w:rsid w:val="00815700"/>
    <w:rsid w:val="00815EB1"/>
    <w:rsid w:val="0082246B"/>
    <w:rsid w:val="008264EB"/>
    <w:rsid w:val="00826B8F"/>
    <w:rsid w:val="008277D7"/>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8D2"/>
    <w:rsid w:val="00885908"/>
    <w:rsid w:val="008864B7"/>
    <w:rsid w:val="00886DA8"/>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1D1A"/>
    <w:rsid w:val="00922517"/>
    <w:rsid w:val="00922722"/>
    <w:rsid w:val="009261E6"/>
    <w:rsid w:val="009268E1"/>
    <w:rsid w:val="009271EE"/>
    <w:rsid w:val="009344AE"/>
    <w:rsid w:val="009344DE"/>
    <w:rsid w:val="00945E7F"/>
    <w:rsid w:val="00950A05"/>
    <w:rsid w:val="009557C1"/>
    <w:rsid w:val="00960D6E"/>
    <w:rsid w:val="00964321"/>
    <w:rsid w:val="00974B59"/>
    <w:rsid w:val="0098340B"/>
    <w:rsid w:val="00986830"/>
    <w:rsid w:val="009924C3"/>
    <w:rsid w:val="00993102"/>
    <w:rsid w:val="009B1570"/>
    <w:rsid w:val="009B724A"/>
    <w:rsid w:val="009C3D0E"/>
    <w:rsid w:val="009C6F10"/>
    <w:rsid w:val="009D148F"/>
    <w:rsid w:val="009D2BD9"/>
    <w:rsid w:val="009D3D70"/>
    <w:rsid w:val="009E21CA"/>
    <w:rsid w:val="009E6F7E"/>
    <w:rsid w:val="009E7A57"/>
    <w:rsid w:val="009F4803"/>
    <w:rsid w:val="009F4F6A"/>
    <w:rsid w:val="00A01ACF"/>
    <w:rsid w:val="00A069AA"/>
    <w:rsid w:val="00A13EB5"/>
    <w:rsid w:val="00A16E36"/>
    <w:rsid w:val="00A24961"/>
    <w:rsid w:val="00A24B10"/>
    <w:rsid w:val="00A277EF"/>
    <w:rsid w:val="00A30E9B"/>
    <w:rsid w:val="00A4512D"/>
    <w:rsid w:val="00A50244"/>
    <w:rsid w:val="00A627D7"/>
    <w:rsid w:val="00A656C7"/>
    <w:rsid w:val="00A705AF"/>
    <w:rsid w:val="00A719F6"/>
    <w:rsid w:val="00A72454"/>
    <w:rsid w:val="00A771B5"/>
    <w:rsid w:val="00A77696"/>
    <w:rsid w:val="00A80557"/>
    <w:rsid w:val="00A81D33"/>
    <w:rsid w:val="00A8341C"/>
    <w:rsid w:val="00A930AE"/>
    <w:rsid w:val="00AA1A95"/>
    <w:rsid w:val="00AA260F"/>
    <w:rsid w:val="00AB1EE7"/>
    <w:rsid w:val="00AB2E83"/>
    <w:rsid w:val="00AB4B37"/>
    <w:rsid w:val="00AB5762"/>
    <w:rsid w:val="00AC2679"/>
    <w:rsid w:val="00AC4BE4"/>
    <w:rsid w:val="00AD05E6"/>
    <w:rsid w:val="00AD0D3F"/>
    <w:rsid w:val="00AE00A6"/>
    <w:rsid w:val="00AE1D7D"/>
    <w:rsid w:val="00AE2A8B"/>
    <w:rsid w:val="00AE3F64"/>
    <w:rsid w:val="00AF7386"/>
    <w:rsid w:val="00AF7934"/>
    <w:rsid w:val="00B00B81"/>
    <w:rsid w:val="00B04580"/>
    <w:rsid w:val="00B04B09"/>
    <w:rsid w:val="00B16A51"/>
    <w:rsid w:val="00B2722A"/>
    <w:rsid w:val="00B32222"/>
    <w:rsid w:val="00B35BBC"/>
    <w:rsid w:val="00B3618D"/>
    <w:rsid w:val="00B36233"/>
    <w:rsid w:val="00B42851"/>
    <w:rsid w:val="00B45350"/>
    <w:rsid w:val="00B45AC7"/>
    <w:rsid w:val="00B5372F"/>
    <w:rsid w:val="00B53987"/>
    <w:rsid w:val="00B57C26"/>
    <w:rsid w:val="00B61129"/>
    <w:rsid w:val="00B62202"/>
    <w:rsid w:val="00B67E7F"/>
    <w:rsid w:val="00B72BB7"/>
    <w:rsid w:val="00B76DB3"/>
    <w:rsid w:val="00B839B2"/>
    <w:rsid w:val="00B94252"/>
    <w:rsid w:val="00B9715A"/>
    <w:rsid w:val="00B971DF"/>
    <w:rsid w:val="00BA14BE"/>
    <w:rsid w:val="00BA2732"/>
    <w:rsid w:val="00BA293D"/>
    <w:rsid w:val="00BA49BC"/>
    <w:rsid w:val="00BA56B7"/>
    <w:rsid w:val="00BA7A1E"/>
    <w:rsid w:val="00BB2F6C"/>
    <w:rsid w:val="00BB3875"/>
    <w:rsid w:val="00BB5860"/>
    <w:rsid w:val="00BB6AAD"/>
    <w:rsid w:val="00BC4A19"/>
    <w:rsid w:val="00BC4E6D"/>
    <w:rsid w:val="00BC5EA4"/>
    <w:rsid w:val="00BD0617"/>
    <w:rsid w:val="00BD0A9E"/>
    <w:rsid w:val="00BD2E9B"/>
    <w:rsid w:val="00BD4DE8"/>
    <w:rsid w:val="00BD4FD4"/>
    <w:rsid w:val="00BD7FB2"/>
    <w:rsid w:val="00BE3ED5"/>
    <w:rsid w:val="00BF5EE4"/>
    <w:rsid w:val="00C00930"/>
    <w:rsid w:val="00C060AD"/>
    <w:rsid w:val="00C113BF"/>
    <w:rsid w:val="00C2176E"/>
    <w:rsid w:val="00C23430"/>
    <w:rsid w:val="00C27D67"/>
    <w:rsid w:val="00C435AF"/>
    <w:rsid w:val="00C4631F"/>
    <w:rsid w:val="00C47CDE"/>
    <w:rsid w:val="00C50E16"/>
    <w:rsid w:val="00C55258"/>
    <w:rsid w:val="00C75FA3"/>
    <w:rsid w:val="00C767B0"/>
    <w:rsid w:val="00C82EEB"/>
    <w:rsid w:val="00C971DC"/>
    <w:rsid w:val="00CA0933"/>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078D1"/>
    <w:rsid w:val="00D1357E"/>
    <w:rsid w:val="00D147EB"/>
    <w:rsid w:val="00D20561"/>
    <w:rsid w:val="00D34667"/>
    <w:rsid w:val="00D401E1"/>
    <w:rsid w:val="00D408B4"/>
    <w:rsid w:val="00D44330"/>
    <w:rsid w:val="00D518A2"/>
    <w:rsid w:val="00D524C8"/>
    <w:rsid w:val="00D70E24"/>
    <w:rsid w:val="00D72B61"/>
    <w:rsid w:val="00DA3D1D"/>
    <w:rsid w:val="00DB14D1"/>
    <w:rsid w:val="00DB2EB7"/>
    <w:rsid w:val="00DB4FFA"/>
    <w:rsid w:val="00DB6286"/>
    <w:rsid w:val="00DB645F"/>
    <w:rsid w:val="00DB76E9"/>
    <w:rsid w:val="00DC0A67"/>
    <w:rsid w:val="00DC1D5E"/>
    <w:rsid w:val="00DC5220"/>
    <w:rsid w:val="00DC6696"/>
    <w:rsid w:val="00DD2061"/>
    <w:rsid w:val="00DD7DAB"/>
    <w:rsid w:val="00DE31C6"/>
    <w:rsid w:val="00DE3355"/>
    <w:rsid w:val="00DF0C60"/>
    <w:rsid w:val="00DF486F"/>
    <w:rsid w:val="00DF5B5B"/>
    <w:rsid w:val="00DF7619"/>
    <w:rsid w:val="00E042D8"/>
    <w:rsid w:val="00E07EE7"/>
    <w:rsid w:val="00E1103B"/>
    <w:rsid w:val="00E17B44"/>
    <w:rsid w:val="00E20F27"/>
    <w:rsid w:val="00E21C62"/>
    <w:rsid w:val="00E22443"/>
    <w:rsid w:val="00E25B1F"/>
    <w:rsid w:val="00E27FEA"/>
    <w:rsid w:val="00E37C62"/>
    <w:rsid w:val="00E4086F"/>
    <w:rsid w:val="00E43B3C"/>
    <w:rsid w:val="00E50188"/>
    <w:rsid w:val="00E50BB3"/>
    <w:rsid w:val="00E515CB"/>
    <w:rsid w:val="00E52260"/>
    <w:rsid w:val="00E61A07"/>
    <w:rsid w:val="00E639B6"/>
    <w:rsid w:val="00E6434B"/>
    <w:rsid w:val="00E6463D"/>
    <w:rsid w:val="00E71492"/>
    <w:rsid w:val="00E72E9B"/>
    <w:rsid w:val="00E84F91"/>
    <w:rsid w:val="00E850C3"/>
    <w:rsid w:val="00E87DF2"/>
    <w:rsid w:val="00E9462E"/>
    <w:rsid w:val="00E958CB"/>
    <w:rsid w:val="00EA470E"/>
    <w:rsid w:val="00EA47A7"/>
    <w:rsid w:val="00EA50B2"/>
    <w:rsid w:val="00EA57EB"/>
    <w:rsid w:val="00EB3226"/>
    <w:rsid w:val="00EC213A"/>
    <w:rsid w:val="00EC21D1"/>
    <w:rsid w:val="00EC7744"/>
    <w:rsid w:val="00ED0DAD"/>
    <w:rsid w:val="00ED0F46"/>
    <w:rsid w:val="00ED2373"/>
    <w:rsid w:val="00ED24F9"/>
    <w:rsid w:val="00ED2E38"/>
    <w:rsid w:val="00EE1B6A"/>
    <w:rsid w:val="00EE3E8A"/>
    <w:rsid w:val="00EE6657"/>
    <w:rsid w:val="00EF58B8"/>
    <w:rsid w:val="00EF6ECA"/>
    <w:rsid w:val="00F024E1"/>
    <w:rsid w:val="00F0659C"/>
    <w:rsid w:val="00F06C10"/>
    <w:rsid w:val="00F1096F"/>
    <w:rsid w:val="00F12589"/>
    <w:rsid w:val="00F12595"/>
    <w:rsid w:val="00F134D9"/>
    <w:rsid w:val="00F1403D"/>
    <w:rsid w:val="00F1463F"/>
    <w:rsid w:val="00F21302"/>
    <w:rsid w:val="00F2430D"/>
    <w:rsid w:val="00F30368"/>
    <w:rsid w:val="00F321DE"/>
    <w:rsid w:val="00F33777"/>
    <w:rsid w:val="00F379DC"/>
    <w:rsid w:val="00F40648"/>
    <w:rsid w:val="00F47DA2"/>
    <w:rsid w:val="00F51321"/>
    <w:rsid w:val="00F519FC"/>
    <w:rsid w:val="00F6239D"/>
    <w:rsid w:val="00F70199"/>
    <w:rsid w:val="00F715D2"/>
    <w:rsid w:val="00F7274F"/>
    <w:rsid w:val="00F74E84"/>
    <w:rsid w:val="00F75A4F"/>
    <w:rsid w:val="00F76FA8"/>
    <w:rsid w:val="00F85AFE"/>
    <w:rsid w:val="00F93F08"/>
    <w:rsid w:val="00F94CED"/>
    <w:rsid w:val="00F97F0E"/>
    <w:rsid w:val="00FA02BB"/>
    <w:rsid w:val="00FA2CEE"/>
    <w:rsid w:val="00FA318C"/>
    <w:rsid w:val="00FB6F92"/>
    <w:rsid w:val="00FC026E"/>
    <w:rsid w:val="00FC5124"/>
    <w:rsid w:val="00FD4731"/>
    <w:rsid w:val="00FD6768"/>
    <w:rsid w:val="00FE45AD"/>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qFormat/>
    <w:rsid w:val="009E21CA"/>
    <w:pPr>
      <w:ind w:left="720"/>
      <w:contextualSpacing/>
    </w:pPr>
  </w:style>
  <w:style w:type="paragraph" w:customStyle="1" w:styleId="Default">
    <w:name w:val="Default"/>
    <w:rsid w:val="009E21CA"/>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E958CB"/>
    <w:pPr>
      <w:widowControl w:val="0"/>
      <w:autoSpaceDE w:val="0"/>
      <w:autoSpaceDN w:val="0"/>
      <w:spacing w:before="0" w:after="0" w:line="240" w:lineRule="auto"/>
      <w:ind w:left="107"/>
    </w:pPr>
    <w:rPr>
      <w:rFonts w:eastAsia="Arial" w:cs="Arial"/>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1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586886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2024-01-31T00:06:00Z</dcterms:created>
  <dcterms:modified xsi:type="dcterms:W3CDTF">2024-02-08T21:51:00Z</dcterms:modified>
</cp:coreProperties>
</file>