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4B54" w14:textId="28E1EB83" w:rsidR="00AB2158" w:rsidRPr="00AB2158" w:rsidRDefault="009130EA" w:rsidP="00516323">
      <w:pPr>
        <w:pStyle w:val="Title"/>
        <w:rPr>
          <w:rFonts w:ascii="Arial" w:hAnsi="Arial"/>
          <w:spacing w:val="0"/>
          <w:sz w:val="48"/>
          <w:szCs w:val="52"/>
        </w:rPr>
      </w:pPr>
      <w:bookmarkStart w:id="0" w:name="_Hlk106632607"/>
      <w:r w:rsidRPr="00AB2158">
        <w:t>C</w:t>
      </w:r>
      <w:r w:rsidR="00A8030B" w:rsidRPr="00AB2158">
        <w:t xml:space="preserve">hanges to </w:t>
      </w:r>
      <w:r w:rsidR="00CE2902" w:rsidRPr="00AB2158">
        <w:t xml:space="preserve">eligibility for </w:t>
      </w:r>
      <w:r w:rsidR="00A8030B" w:rsidRPr="00AB2158">
        <w:t>magnetic resonance imaging (MRI</w:t>
      </w:r>
      <w:r w:rsidR="00FB07E4" w:rsidRPr="00AB2158">
        <w:t>)</w:t>
      </w:r>
      <w:r w:rsidR="00A8030B" w:rsidRPr="00AB2158">
        <w:t xml:space="preserve"> </w:t>
      </w:r>
      <w:r w:rsidR="0025466D">
        <w:t>machine</w:t>
      </w:r>
      <w:r w:rsidR="00DE4390">
        <w:t>s</w:t>
      </w:r>
      <w:r w:rsidR="00A8030B" w:rsidRPr="00AB2158">
        <w:t xml:space="preserve"> </w:t>
      </w:r>
      <w:bookmarkEnd w:id="0"/>
      <w:r w:rsidR="00CE2902" w:rsidRPr="00AB2158">
        <w:t>from 1</w:t>
      </w:r>
      <w:r w:rsidRPr="00AB2158">
        <w:t> </w:t>
      </w:r>
      <w:r w:rsidR="009E4819" w:rsidRPr="00AB2158">
        <w:t>July</w:t>
      </w:r>
      <w:r w:rsidRPr="00AB2158">
        <w:t> </w:t>
      </w:r>
      <w:r w:rsidR="00CE2902" w:rsidRPr="00AB2158">
        <w:t>202</w:t>
      </w:r>
      <w:r w:rsidR="009E4819" w:rsidRPr="00AB2158">
        <w:t>5</w:t>
      </w:r>
      <w:r w:rsidR="00AB2158" w:rsidRPr="00AB2158">
        <w:t xml:space="preserve">: </w:t>
      </w:r>
      <w:r w:rsidR="00AB2158" w:rsidRPr="00AB2158">
        <w:rPr>
          <w:rFonts w:ascii="Arial" w:hAnsi="Arial"/>
          <w:spacing w:val="0"/>
          <w:sz w:val="48"/>
          <w:szCs w:val="52"/>
        </w:rPr>
        <w:t>Frequently Asked Questions</w:t>
      </w:r>
    </w:p>
    <w:p w14:paraId="5BF4F1B0" w14:textId="22D7866A" w:rsidR="00907B4A" w:rsidRPr="009157D6" w:rsidRDefault="00907B4A" w:rsidP="00AB53A4">
      <w:pPr>
        <w:rPr>
          <w:sz w:val="22"/>
          <w:szCs w:val="22"/>
        </w:rPr>
      </w:pPr>
      <w:bookmarkStart w:id="1" w:name="_Hlk4568006"/>
      <w:r w:rsidRPr="009157D6">
        <w:rPr>
          <w:sz w:val="22"/>
          <w:szCs w:val="22"/>
        </w:rPr>
        <w:t xml:space="preserve">Last updated: </w:t>
      </w:r>
      <w:r w:rsidR="00462EF6">
        <w:rPr>
          <w:sz w:val="22"/>
          <w:szCs w:val="22"/>
        </w:rPr>
        <w:t xml:space="preserve">16 September </w:t>
      </w:r>
      <w:r w:rsidR="00A8030B" w:rsidRPr="009157D6">
        <w:rPr>
          <w:sz w:val="22"/>
          <w:szCs w:val="22"/>
        </w:rPr>
        <w:t>202</w:t>
      </w:r>
      <w:r w:rsidR="00A81E05" w:rsidRPr="009157D6">
        <w:rPr>
          <w:sz w:val="22"/>
          <w:szCs w:val="22"/>
        </w:rPr>
        <w:t>4</w:t>
      </w:r>
    </w:p>
    <w:p w14:paraId="525F431B" w14:textId="7FDD8BBE" w:rsidR="00AB2158" w:rsidRPr="009157D6" w:rsidRDefault="00AB2158" w:rsidP="00AB2158">
      <w:pPr>
        <w:spacing w:line="259" w:lineRule="auto"/>
        <w:rPr>
          <w:sz w:val="22"/>
          <w:szCs w:val="22"/>
        </w:rPr>
      </w:pPr>
      <w:r w:rsidRPr="009157D6">
        <w:rPr>
          <w:sz w:val="22"/>
          <w:szCs w:val="22"/>
        </w:rPr>
        <w:t xml:space="preserve">Below are answers to </w:t>
      </w:r>
      <w:r w:rsidR="002E3201" w:rsidRPr="009157D6">
        <w:rPr>
          <w:sz w:val="22"/>
          <w:szCs w:val="22"/>
        </w:rPr>
        <w:t xml:space="preserve">frequently </w:t>
      </w:r>
      <w:r w:rsidR="009C6DB8" w:rsidRPr="009157D6">
        <w:rPr>
          <w:sz w:val="22"/>
          <w:szCs w:val="22"/>
        </w:rPr>
        <w:t>asked question</w:t>
      </w:r>
      <w:r w:rsidR="002E3201" w:rsidRPr="009157D6">
        <w:rPr>
          <w:sz w:val="22"/>
          <w:szCs w:val="22"/>
        </w:rPr>
        <w:t xml:space="preserve">s </w:t>
      </w:r>
      <w:r w:rsidRPr="009157D6">
        <w:rPr>
          <w:sz w:val="22"/>
          <w:szCs w:val="22"/>
        </w:rPr>
        <w:t xml:space="preserve">associated with impacts of both stages of the licensing arrangement changes for </w:t>
      </w:r>
      <w:r w:rsidR="00B64782" w:rsidRPr="009157D6">
        <w:rPr>
          <w:sz w:val="22"/>
          <w:szCs w:val="22"/>
        </w:rPr>
        <w:t>magnetic resonance imaging (</w:t>
      </w:r>
      <w:r w:rsidRPr="009157D6">
        <w:rPr>
          <w:sz w:val="22"/>
          <w:szCs w:val="22"/>
        </w:rPr>
        <w:t>MRI</w:t>
      </w:r>
      <w:r w:rsidR="00B64782" w:rsidRPr="009157D6">
        <w:rPr>
          <w:sz w:val="22"/>
          <w:szCs w:val="22"/>
        </w:rPr>
        <w:t>)</w:t>
      </w:r>
      <w:r w:rsidRPr="009157D6">
        <w:rPr>
          <w:sz w:val="22"/>
          <w:szCs w:val="22"/>
        </w:rPr>
        <w:t xml:space="preserve"> machines located in M</w:t>
      </w:r>
      <w:r w:rsidR="00A54DB7" w:rsidRPr="009157D6">
        <w:rPr>
          <w:sz w:val="22"/>
          <w:szCs w:val="22"/>
        </w:rPr>
        <w:t xml:space="preserve">odified </w:t>
      </w:r>
      <w:r w:rsidRPr="009157D6">
        <w:rPr>
          <w:sz w:val="22"/>
          <w:szCs w:val="22"/>
        </w:rPr>
        <w:t>M</w:t>
      </w:r>
      <w:r w:rsidR="00A54DB7" w:rsidRPr="009157D6">
        <w:rPr>
          <w:sz w:val="22"/>
          <w:szCs w:val="22"/>
        </w:rPr>
        <w:t>onash</w:t>
      </w:r>
      <w:r w:rsidRPr="009157D6">
        <w:rPr>
          <w:sz w:val="22"/>
          <w:szCs w:val="22"/>
        </w:rPr>
        <w:t xml:space="preserve"> 1 areas that</w:t>
      </w:r>
      <w:r w:rsidR="00D24248">
        <w:rPr>
          <w:sz w:val="22"/>
          <w:szCs w:val="22"/>
        </w:rPr>
        <w:t>, subject to the passage of legislation,</w:t>
      </w:r>
      <w:r w:rsidRPr="009157D6">
        <w:rPr>
          <w:sz w:val="22"/>
          <w:szCs w:val="22"/>
        </w:rPr>
        <w:t xml:space="preserve"> begin from 1</w:t>
      </w:r>
      <w:r w:rsidR="00D24248">
        <w:rPr>
          <w:sz w:val="22"/>
          <w:szCs w:val="22"/>
        </w:rPr>
        <w:t> </w:t>
      </w:r>
      <w:r w:rsidRPr="009157D6">
        <w:rPr>
          <w:sz w:val="22"/>
          <w:szCs w:val="22"/>
        </w:rPr>
        <w:t>July 2025</w:t>
      </w:r>
      <w:r w:rsidR="0047297E" w:rsidRPr="009157D6">
        <w:rPr>
          <w:sz w:val="22"/>
          <w:szCs w:val="22"/>
        </w:rPr>
        <w:t xml:space="preserve"> and continue on 1</w:t>
      </w:r>
      <w:r w:rsidR="00D36571" w:rsidRPr="009157D6">
        <w:rPr>
          <w:sz w:val="22"/>
          <w:szCs w:val="22"/>
        </w:rPr>
        <w:t> </w:t>
      </w:r>
      <w:r w:rsidR="0047297E" w:rsidRPr="009157D6">
        <w:rPr>
          <w:sz w:val="22"/>
          <w:szCs w:val="22"/>
        </w:rPr>
        <w:t>July 2027</w:t>
      </w:r>
      <w:r w:rsidRPr="009157D6">
        <w:rPr>
          <w:sz w:val="22"/>
          <w:szCs w:val="22"/>
        </w:rPr>
        <w:t>. The changes are explained in</w:t>
      </w:r>
      <w:r w:rsidR="0047297E" w:rsidRPr="009157D6">
        <w:rPr>
          <w:sz w:val="22"/>
          <w:szCs w:val="22"/>
        </w:rPr>
        <w:t xml:space="preserve"> more detail in</w:t>
      </w:r>
      <w:r w:rsidRPr="009157D6">
        <w:rPr>
          <w:sz w:val="22"/>
          <w:szCs w:val="22"/>
        </w:rPr>
        <w:t xml:space="preserve"> the associated fact sheet.</w:t>
      </w:r>
      <w:r w:rsidR="0025466D" w:rsidRPr="009157D6">
        <w:rPr>
          <w:sz w:val="22"/>
          <w:szCs w:val="22"/>
        </w:rPr>
        <w:t xml:space="preserve"> Practices will need to meet all other </w:t>
      </w:r>
      <w:r w:rsidR="00B64782" w:rsidRPr="009157D6">
        <w:rPr>
          <w:sz w:val="22"/>
          <w:szCs w:val="22"/>
        </w:rPr>
        <w:t>Medicare Benefits Schedule (</w:t>
      </w:r>
      <w:r w:rsidR="0025466D" w:rsidRPr="009157D6">
        <w:rPr>
          <w:sz w:val="22"/>
          <w:szCs w:val="22"/>
        </w:rPr>
        <w:t>MBS</w:t>
      </w:r>
      <w:r w:rsidR="00B64782" w:rsidRPr="009157D6">
        <w:rPr>
          <w:sz w:val="22"/>
          <w:szCs w:val="22"/>
        </w:rPr>
        <w:t>)</w:t>
      </w:r>
      <w:r w:rsidR="0025466D" w:rsidRPr="009157D6">
        <w:rPr>
          <w:sz w:val="22"/>
          <w:szCs w:val="22"/>
        </w:rPr>
        <w:t xml:space="preserve"> requirements to provide Medicare</w:t>
      </w:r>
      <w:r w:rsidR="005A59DE" w:rsidRPr="009157D6">
        <w:rPr>
          <w:sz w:val="22"/>
          <w:szCs w:val="22"/>
        </w:rPr>
        <w:t>-</w:t>
      </w:r>
      <w:r w:rsidR="0025466D" w:rsidRPr="009157D6">
        <w:rPr>
          <w:sz w:val="22"/>
          <w:szCs w:val="22"/>
        </w:rPr>
        <w:t>eligible services.</w:t>
      </w:r>
    </w:p>
    <w:bookmarkEnd w:id="1" w:displacedByCustomXml="next"/>
    <w:sdt>
      <w:sdtPr>
        <w:rPr>
          <w:rFonts w:ascii="Arial" w:eastAsiaTheme="minorEastAsia" w:hAnsi="Arial" w:cstheme="minorBidi"/>
          <w:color w:val="auto"/>
          <w:sz w:val="20"/>
          <w:szCs w:val="21"/>
          <w:lang w:val="en-AU"/>
        </w:rPr>
        <w:id w:val="-637496126"/>
        <w:docPartObj>
          <w:docPartGallery w:val="Table of Contents"/>
          <w:docPartUnique/>
        </w:docPartObj>
      </w:sdtPr>
      <w:sdtEndPr>
        <w:rPr>
          <w:b/>
          <w:bCs/>
          <w:noProof/>
        </w:rPr>
      </w:sdtEndPr>
      <w:sdtContent>
        <w:p w14:paraId="40BBA0BD" w14:textId="28212B40" w:rsidR="00AB2158" w:rsidRDefault="00AB2158">
          <w:pPr>
            <w:pStyle w:val="TOCHeading"/>
          </w:pPr>
          <w:r>
            <w:t>Contents</w:t>
          </w:r>
        </w:p>
        <w:p w14:paraId="7E22C39E" w14:textId="342F1C85" w:rsidR="00EC7BFD" w:rsidRDefault="00AB2158">
          <w:pPr>
            <w:pStyle w:val="TOC1"/>
            <w:tabs>
              <w:tab w:val="left" w:pos="440"/>
              <w:tab w:val="right" w:leader="dot" w:pos="9060"/>
            </w:tabs>
            <w:rPr>
              <w:rFonts w:asciiTheme="minorHAnsi" w:hAnsiTheme="minorHAnsi"/>
              <w:noProof/>
              <w:kern w:val="2"/>
              <w:sz w:val="22"/>
              <w:szCs w:val="22"/>
              <w:lang w:eastAsia="en-AU"/>
              <w14:ligatures w14:val="standardContextual"/>
            </w:rPr>
          </w:pPr>
          <w:r>
            <w:fldChar w:fldCharType="begin"/>
          </w:r>
          <w:r>
            <w:instrText xml:space="preserve"> TOC \o "1-3" \h \z \u </w:instrText>
          </w:r>
          <w:r>
            <w:fldChar w:fldCharType="separate"/>
          </w:r>
          <w:hyperlink w:anchor="_Toc173933163" w:history="1">
            <w:r w:rsidR="00EC7BFD" w:rsidRPr="00ED7B8A">
              <w:rPr>
                <w:rStyle w:val="Hyperlink"/>
                <w:noProof/>
              </w:rPr>
              <w:t>1.</w:t>
            </w:r>
            <w:r w:rsidR="00EC7BFD">
              <w:rPr>
                <w:rFonts w:asciiTheme="minorHAnsi" w:hAnsiTheme="minorHAnsi"/>
                <w:noProof/>
                <w:kern w:val="2"/>
                <w:sz w:val="22"/>
                <w:szCs w:val="22"/>
                <w:lang w:eastAsia="en-AU"/>
                <w14:ligatures w14:val="standardContextual"/>
              </w:rPr>
              <w:tab/>
            </w:r>
            <w:r w:rsidR="00EC7BFD" w:rsidRPr="00ED7B8A">
              <w:rPr>
                <w:rStyle w:val="Hyperlink"/>
                <w:noProof/>
              </w:rPr>
              <w:t>1 July 2025 changes</w:t>
            </w:r>
            <w:r w:rsidR="00EC7BFD">
              <w:rPr>
                <w:noProof/>
                <w:webHidden/>
              </w:rPr>
              <w:tab/>
            </w:r>
            <w:r w:rsidR="00EC7BFD">
              <w:rPr>
                <w:noProof/>
                <w:webHidden/>
              </w:rPr>
              <w:fldChar w:fldCharType="begin"/>
            </w:r>
            <w:r w:rsidR="00EC7BFD">
              <w:rPr>
                <w:noProof/>
                <w:webHidden/>
              </w:rPr>
              <w:instrText xml:space="preserve"> PAGEREF _Toc173933163 \h </w:instrText>
            </w:r>
            <w:r w:rsidR="00EC7BFD">
              <w:rPr>
                <w:noProof/>
                <w:webHidden/>
              </w:rPr>
            </w:r>
            <w:r w:rsidR="00EC7BFD">
              <w:rPr>
                <w:noProof/>
                <w:webHidden/>
              </w:rPr>
              <w:fldChar w:fldCharType="separate"/>
            </w:r>
            <w:r w:rsidR="00AC3E09">
              <w:rPr>
                <w:noProof/>
                <w:webHidden/>
              </w:rPr>
              <w:t>2</w:t>
            </w:r>
            <w:r w:rsidR="00EC7BFD">
              <w:rPr>
                <w:noProof/>
                <w:webHidden/>
              </w:rPr>
              <w:fldChar w:fldCharType="end"/>
            </w:r>
          </w:hyperlink>
        </w:p>
        <w:p w14:paraId="16B778C4" w14:textId="7654CB38" w:rsidR="00EC7BFD" w:rsidRDefault="00000000">
          <w:pPr>
            <w:pStyle w:val="TOC2"/>
            <w:rPr>
              <w:rFonts w:asciiTheme="minorHAnsi" w:hAnsiTheme="minorHAnsi"/>
              <w:noProof/>
              <w:kern w:val="2"/>
              <w:sz w:val="22"/>
              <w:szCs w:val="22"/>
              <w:lang w:eastAsia="en-AU"/>
              <w14:ligatures w14:val="standardContextual"/>
            </w:rPr>
          </w:pPr>
          <w:hyperlink w:anchor="_Toc173933164" w:history="1">
            <w:r w:rsidR="00EC7BFD" w:rsidRPr="00ED7B8A">
              <w:rPr>
                <w:rStyle w:val="Hyperlink"/>
                <w:noProof/>
              </w:rPr>
              <w:t>1.1</w:t>
            </w:r>
            <w:r w:rsidR="00EC7BFD">
              <w:rPr>
                <w:rFonts w:asciiTheme="minorHAnsi" w:hAnsiTheme="minorHAnsi"/>
                <w:noProof/>
                <w:kern w:val="2"/>
                <w:sz w:val="22"/>
                <w:szCs w:val="22"/>
                <w:lang w:eastAsia="en-AU"/>
                <w14:ligatures w14:val="standardContextual"/>
              </w:rPr>
              <w:tab/>
            </w:r>
            <w:r w:rsidR="00EC7BFD" w:rsidRPr="00ED7B8A">
              <w:rPr>
                <w:rStyle w:val="Hyperlink"/>
                <w:noProof/>
              </w:rPr>
              <w:t>What steps do practices need to take to prepare for the transition to a ‘practice-based’ licence?</w:t>
            </w:r>
            <w:r w:rsidR="00EC7BFD">
              <w:rPr>
                <w:noProof/>
                <w:webHidden/>
              </w:rPr>
              <w:tab/>
            </w:r>
            <w:r w:rsidR="00EC7BFD">
              <w:rPr>
                <w:noProof/>
                <w:webHidden/>
              </w:rPr>
              <w:fldChar w:fldCharType="begin"/>
            </w:r>
            <w:r w:rsidR="00EC7BFD">
              <w:rPr>
                <w:noProof/>
                <w:webHidden/>
              </w:rPr>
              <w:instrText xml:space="preserve"> PAGEREF _Toc173933164 \h </w:instrText>
            </w:r>
            <w:r w:rsidR="00EC7BFD">
              <w:rPr>
                <w:noProof/>
                <w:webHidden/>
              </w:rPr>
            </w:r>
            <w:r w:rsidR="00EC7BFD">
              <w:rPr>
                <w:noProof/>
                <w:webHidden/>
              </w:rPr>
              <w:fldChar w:fldCharType="separate"/>
            </w:r>
            <w:r w:rsidR="00AC3E09">
              <w:rPr>
                <w:noProof/>
                <w:webHidden/>
              </w:rPr>
              <w:t>2</w:t>
            </w:r>
            <w:r w:rsidR="00EC7BFD">
              <w:rPr>
                <w:noProof/>
                <w:webHidden/>
              </w:rPr>
              <w:fldChar w:fldCharType="end"/>
            </w:r>
          </w:hyperlink>
        </w:p>
        <w:p w14:paraId="17A0AE21" w14:textId="16D27C5E" w:rsidR="00EC7BFD" w:rsidRDefault="00000000">
          <w:pPr>
            <w:pStyle w:val="TOC2"/>
            <w:rPr>
              <w:rFonts w:asciiTheme="minorHAnsi" w:hAnsiTheme="minorHAnsi"/>
              <w:noProof/>
              <w:kern w:val="2"/>
              <w:sz w:val="22"/>
              <w:szCs w:val="22"/>
              <w:lang w:eastAsia="en-AU"/>
              <w14:ligatures w14:val="standardContextual"/>
            </w:rPr>
          </w:pPr>
          <w:hyperlink w:anchor="_Toc173933165" w:history="1">
            <w:r w:rsidR="00EC7BFD" w:rsidRPr="00ED7B8A">
              <w:rPr>
                <w:rStyle w:val="Hyperlink"/>
                <w:noProof/>
              </w:rPr>
              <w:t>1.2</w:t>
            </w:r>
            <w:r w:rsidR="00EC7BFD">
              <w:rPr>
                <w:rFonts w:asciiTheme="minorHAnsi" w:hAnsiTheme="minorHAnsi"/>
                <w:noProof/>
                <w:kern w:val="2"/>
                <w:sz w:val="22"/>
                <w:szCs w:val="22"/>
                <w:lang w:eastAsia="en-AU"/>
                <w14:ligatures w14:val="standardContextual"/>
              </w:rPr>
              <w:tab/>
            </w:r>
            <w:r w:rsidR="00EC7BFD" w:rsidRPr="00ED7B8A">
              <w:rPr>
                <w:rStyle w:val="Hyperlink"/>
                <w:noProof/>
              </w:rPr>
              <w:t>Is there a specific date that will determine which machine-based licences will transfer to practice</w:t>
            </w:r>
            <w:r w:rsidR="00EC7BFD" w:rsidRPr="00ED7B8A">
              <w:rPr>
                <w:rStyle w:val="Hyperlink"/>
                <w:noProof/>
              </w:rPr>
              <w:noBreakHyphen/>
              <w:t>based licences?</w:t>
            </w:r>
            <w:r w:rsidR="00EC7BFD">
              <w:rPr>
                <w:noProof/>
                <w:webHidden/>
              </w:rPr>
              <w:tab/>
            </w:r>
            <w:r w:rsidR="00EC7BFD">
              <w:rPr>
                <w:noProof/>
                <w:webHidden/>
              </w:rPr>
              <w:fldChar w:fldCharType="begin"/>
            </w:r>
            <w:r w:rsidR="00EC7BFD">
              <w:rPr>
                <w:noProof/>
                <w:webHidden/>
              </w:rPr>
              <w:instrText xml:space="preserve"> PAGEREF _Toc173933165 \h </w:instrText>
            </w:r>
            <w:r w:rsidR="00EC7BFD">
              <w:rPr>
                <w:noProof/>
                <w:webHidden/>
              </w:rPr>
            </w:r>
            <w:r w:rsidR="00EC7BFD">
              <w:rPr>
                <w:noProof/>
                <w:webHidden/>
              </w:rPr>
              <w:fldChar w:fldCharType="separate"/>
            </w:r>
            <w:r w:rsidR="00AC3E09">
              <w:rPr>
                <w:noProof/>
                <w:webHidden/>
              </w:rPr>
              <w:t>2</w:t>
            </w:r>
            <w:r w:rsidR="00EC7BFD">
              <w:rPr>
                <w:noProof/>
                <w:webHidden/>
              </w:rPr>
              <w:fldChar w:fldCharType="end"/>
            </w:r>
          </w:hyperlink>
        </w:p>
        <w:p w14:paraId="0A44E0F0" w14:textId="43684295" w:rsidR="00EC7BFD" w:rsidRDefault="00000000">
          <w:pPr>
            <w:pStyle w:val="TOC2"/>
            <w:rPr>
              <w:rFonts w:asciiTheme="minorHAnsi" w:hAnsiTheme="minorHAnsi"/>
              <w:noProof/>
              <w:kern w:val="2"/>
              <w:sz w:val="22"/>
              <w:szCs w:val="22"/>
              <w:lang w:eastAsia="en-AU"/>
              <w14:ligatures w14:val="standardContextual"/>
            </w:rPr>
          </w:pPr>
          <w:hyperlink w:anchor="_Toc173933166" w:history="1">
            <w:r w:rsidR="00EC7BFD" w:rsidRPr="00ED7B8A">
              <w:rPr>
                <w:rStyle w:val="Hyperlink"/>
                <w:noProof/>
              </w:rPr>
              <w:t>1.3</w:t>
            </w:r>
            <w:r w:rsidR="00EC7BFD">
              <w:rPr>
                <w:rFonts w:asciiTheme="minorHAnsi" w:hAnsiTheme="minorHAnsi"/>
                <w:noProof/>
                <w:kern w:val="2"/>
                <w:sz w:val="22"/>
                <w:szCs w:val="22"/>
                <w:lang w:eastAsia="en-AU"/>
                <w14:ligatures w14:val="standardContextual"/>
              </w:rPr>
              <w:tab/>
            </w:r>
            <w:r w:rsidR="00EC7BFD" w:rsidRPr="00ED7B8A">
              <w:rPr>
                <w:rStyle w:val="Hyperlink"/>
                <w:noProof/>
              </w:rPr>
              <w:t>Can you provide more details on the ‘practice-based’ licence and how it differs from the current licencing system?</w:t>
            </w:r>
            <w:r w:rsidR="00EC7BFD">
              <w:rPr>
                <w:noProof/>
                <w:webHidden/>
              </w:rPr>
              <w:tab/>
            </w:r>
            <w:r w:rsidR="00EC7BFD">
              <w:rPr>
                <w:noProof/>
                <w:webHidden/>
              </w:rPr>
              <w:fldChar w:fldCharType="begin"/>
            </w:r>
            <w:r w:rsidR="00EC7BFD">
              <w:rPr>
                <w:noProof/>
                <w:webHidden/>
              </w:rPr>
              <w:instrText xml:space="preserve"> PAGEREF _Toc173933166 \h </w:instrText>
            </w:r>
            <w:r w:rsidR="00EC7BFD">
              <w:rPr>
                <w:noProof/>
                <w:webHidden/>
              </w:rPr>
            </w:r>
            <w:r w:rsidR="00EC7BFD">
              <w:rPr>
                <w:noProof/>
                <w:webHidden/>
              </w:rPr>
              <w:fldChar w:fldCharType="separate"/>
            </w:r>
            <w:r w:rsidR="00AC3E09">
              <w:rPr>
                <w:noProof/>
                <w:webHidden/>
              </w:rPr>
              <w:t>3</w:t>
            </w:r>
            <w:r w:rsidR="00EC7BFD">
              <w:rPr>
                <w:noProof/>
                <w:webHidden/>
              </w:rPr>
              <w:fldChar w:fldCharType="end"/>
            </w:r>
          </w:hyperlink>
        </w:p>
        <w:p w14:paraId="0F760C77" w14:textId="506027BE" w:rsidR="00EC7BFD" w:rsidRDefault="00000000">
          <w:pPr>
            <w:pStyle w:val="TOC2"/>
            <w:rPr>
              <w:rFonts w:asciiTheme="minorHAnsi" w:hAnsiTheme="minorHAnsi"/>
              <w:noProof/>
              <w:kern w:val="2"/>
              <w:sz w:val="22"/>
              <w:szCs w:val="22"/>
              <w:lang w:eastAsia="en-AU"/>
              <w14:ligatures w14:val="standardContextual"/>
            </w:rPr>
          </w:pPr>
          <w:hyperlink w:anchor="_Toc173933167" w:history="1">
            <w:r w:rsidR="00EC7BFD" w:rsidRPr="00ED7B8A">
              <w:rPr>
                <w:rStyle w:val="Hyperlink"/>
                <w:noProof/>
              </w:rPr>
              <w:t>1.4</w:t>
            </w:r>
            <w:r w:rsidR="00EC7BFD">
              <w:rPr>
                <w:rFonts w:asciiTheme="minorHAnsi" w:hAnsiTheme="minorHAnsi"/>
                <w:noProof/>
                <w:kern w:val="2"/>
                <w:sz w:val="22"/>
                <w:szCs w:val="22"/>
                <w:lang w:eastAsia="en-AU"/>
                <w14:ligatures w14:val="standardContextual"/>
              </w:rPr>
              <w:tab/>
            </w:r>
            <w:r w:rsidR="00EC7BFD" w:rsidRPr="00ED7B8A">
              <w:rPr>
                <w:rStyle w:val="Hyperlink"/>
                <w:noProof/>
              </w:rPr>
              <w:t>Does that mean that partially eligible MRI machines will become fully eligible?</w:t>
            </w:r>
            <w:r w:rsidR="00EC7BFD">
              <w:rPr>
                <w:noProof/>
                <w:webHidden/>
              </w:rPr>
              <w:tab/>
            </w:r>
            <w:r w:rsidR="00EC7BFD">
              <w:rPr>
                <w:noProof/>
                <w:webHidden/>
              </w:rPr>
              <w:fldChar w:fldCharType="begin"/>
            </w:r>
            <w:r w:rsidR="00EC7BFD">
              <w:rPr>
                <w:noProof/>
                <w:webHidden/>
              </w:rPr>
              <w:instrText xml:space="preserve"> PAGEREF _Toc173933167 \h </w:instrText>
            </w:r>
            <w:r w:rsidR="00EC7BFD">
              <w:rPr>
                <w:noProof/>
                <w:webHidden/>
              </w:rPr>
            </w:r>
            <w:r w:rsidR="00EC7BFD">
              <w:rPr>
                <w:noProof/>
                <w:webHidden/>
              </w:rPr>
              <w:fldChar w:fldCharType="separate"/>
            </w:r>
            <w:r w:rsidR="00AC3E09">
              <w:rPr>
                <w:noProof/>
                <w:webHidden/>
              </w:rPr>
              <w:t>3</w:t>
            </w:r>
            <w:r w:rsidR="00EC7BFD">
              <w:rPr>
                <w:noProof/>
                <w:webHidden/>
              </w:rPr>
              <w:fldChar w:fldCharType="end"/>
            </w:r>
          </w:hyperlink>
        </w:p>
        <w:p w14:paraId="3EC8EA54" w14:textId="4ED6DFBD" w:rsidR="00EC7BFD" w:rsidRDefault="00000000">
          <w:pPr>
            <w:pStyle w:val="TOC2"/>
            <w:rPr>
              <w:rFonts w:asciiTheme="minorHAnsi" w:hAnsiTheme="minorHAnsi"/>
              <w:noProof/>
              <w:kern w:val="2"/>
              <w:sz w:val="22"/>
              <w:szCs w:val="22"/>
              <w:lang w:eastAsia="en-AU"/>
              <w14:ligatures w14:val="standardContextual"/>
            </w:rPr>
          </w:pPr>
          <w:hyperlink w:anchor="_Toc173933168" w:history="1">
            <w:r w:rsidR="00EC7BFD" w:rsidRPr="00ED7B8A">
              <w:rPr>
                <w:rStyle w:val="Hyperlink"/>
                <w:noProof/>
              </w:rPr>
              <w:t>1.5</w:t>
            </w:r>
            <w:r w:rsidR="00EC7BFD">
              <w:rPr>
                <w:rFonts w:asciiTheme="minorHAnsi" w:hAnsiTheme="minorHAnsi"/>
                <w:noProof/>
                <w:kern w:val="2"/>
                <w:sz w:val="22"/>
                <w:szCs w:val="22"/>
                <w:lang w:eastAsia="en-AU"/>
                <w14:ligatures w14:val="standardContextual"/>
              </w:rPr>
              <w:tab/>
            </w:r>
            <w:r w:rsidR="00EC7BFD" w:rsidRPr="00ED7B8A">
              <w:rPr>
                <w:rStyle w:val="Hyperlink"/>
                <w:noProof/>
              </w:rPr>
              <w:t>Will practices with more than one eligible MRI machine be eligible for more than one Practice licence?</w:t>
            </w:r>
            <w:r w:rsidR="00EC7BFD">
              <w:rPr>
                <w:noProof/>
                <w:webHidden/>
              </w:rPr>
              <w:tab/>
            </w:r>
            <w:r w:rsidR="00EC7BFD">
              <w:rPr>
                <w:noProof/>
                <w:webHidden/>
              </w:rPr>
              <w:fldChar w:fldCharType="begin"/>
            </w:r>
            <w:r w:rsidR="00EC7BFD">
              <w:rPr>
                <w:noProof/>
                <w:webHidden/>
              </w:rPr>
              <w:instrText xml:space="preserve"> PAGEREF _Toc173933168 \h </w:instrText>
            </w:r>
            <w:r w:rsidR="00EC7BFD">
              <w:rPr>
                <w:noProof/>
                <w:webHidden/>
              </w:rPr>
            </w:r>
            <w:r w:rsidR="00EC7BFD">
              <w:rPr>
                <w:noProof/>
                <w:webHidden/>
              </w:rPr>
              <w:fldChar w:fldCharType="separate"/>
            </w:r>
            <w:r w:rsidR="00AC3E09">
              <w:rPr>
                <w:noProof/>
                <w:webHidden/>
              </w:rPr>
              <w:t>3</w:t>
            </w:r>
            <w:r w:rsidR="00EC7BFD">
              <w:rPr>
                <w:noProof/>
                <w:webHidden/>
              </w:rPr>
              <w:fldChar w:fldCharType="end"/>
            </w:r>
          </w:hyperlink>
        </w:p>
        <w:p w14:paraId="3CD25BBA" w14:textId="00317076" w:rsidR="00EC7BFD" w:rsidRDefault="00000000">
          <w:pPr>
            <w:pStyle w:val="TOC2"/>
            <w:rPr>
              <w:rFonts w:asciiTheme="minorHAnsi" w:hAnsiTheme="minorHAnsi"/>
              <w:noProof/>
              <w:kern w:val="2"/>
              <w:sz w:val="22"/>
              <w:szCs w:val="22"/>
              <w:lang w:eastAsia="en-AU"/>
              <w14:ligatures w14:val="standardContextual"/>
            </w:rPr>
          </w:pPr>
          <w:hyperlink w:anchor="_Toc173933169" w:history="1">
            <w:r w:rsidR="00EC7BFD" w:rsidRPr="00ED7B8A">
              <w:rPr>
                <w:rStyle w:val="Hyperlink"/>
                <w:noProof/>
              </w:rPr>
              <w:t>1.6</w:t>
            </w:r>
            <w:r w:rsidR="00EC7BFD">
              <w:rPr>
                <w:rFonts w:asciiTheme="minorHAnsi" w:hAnsiTheme="minorHAnsi"/>
                <w:noProof/>
                <w:kern w:val="2"/>
                <w:sz w:val="22"/>
                <w:szCs w:val="22"/>
                <w:lang w:eastAsia="en-AU"/>
                <w14:ligatures w14:val="standardContextual"/>
              </w:rPr>
              <w:tab/>
            </w:r>
            <w:r w:rsidR="00EC7BFD" w:rsidRPr="00ED7B8A">
              <w:rPr>
                <w:rStyle w:val="Hyperlink"/>
                <w:noProof/>
              </w:rPr>
              <w:t>How will the changes affect practices without an existing MRI licence?</w:t>
            </w:r>
            <w:r w:rsidR="00EC7BFD">
              <w:rPr>
                <w:noProof/>
                <w:webHidden/>
              </w:rPr>
              <w:tab/>
            </w:r>
            <w:r w:rsidR="00EC7BFD">
              <w:rPr>
                <w:noProof/>
                <w:webHidden/>
              </w:rPr>
              <w:fldChar w:fldCharType="begin"/>
            </w:r>
            <w:r w:rsidR="00EC7BFD">
              <w:rPr>
                <w:noProof/>
                <w:webHidden/>
              </w:rPr>
              <w:instrText xml:space="preserve"> PAGEREF _Toc173933169 \h </w:instrText>
            </w:r>
            <w:r w:rsidR="00EC7BFD">
              <w:rPr>
                <w:noProof/>
                <w:webHidden/>
              </w:rPr>
            </w:r>
            <w:r w:rsidR="00EC7BFD">
              <w:rPr>
                <w:noProof/>
                <w:webHidden/>
              </w:rPr>
              <w:fldChar w:fldCharType="separate"/>
            </w:r>
            <w:r w:rsidR="00AC3E09">
              <w:rPr>
                <w:noProof/>
                <w:webHidden/>
              </w:rPr>
              <w:t>3</w:t>
            </w:r>
            <w:r w:rsidR="00EC7BFD">
              <w:rPr>
                <w:noProof/>
                <w:webHidden/>
              </w:rPr>
              <w:fldChar w:fldCharType="end"/>
            </w:r>
          </w:hyperlink>
        </w:p>
        <w:p w14:paraId="6D15C5C9" w14:textId="2CA6BD5C" w:rsidR="00EC7BFD" w:rsidRDefault="00000000">
          <w:pPr>
            <w:pStyle w:val="TOC1"/>
            <w:tabs>
              <w:tab w:val="left" w:pos="440"/>
              <w:tab w:val="right" w:leader="dot" w:pos="9060"/>
            </w:tabs>
            <w:rPr>
              <w:rFonts w:asciiTheme="minorHAnsi" w:hAnsiTheme="minorHAnsi"/>
              <w:noProof/>
              <w:kern w:val="2"/>
              <w:sz w:val="22"/>
              <w:szCs w:val="22"/>
              <w:lang w:eastAsia="en-AU"/>
              <w14:ligatures w14:val="standardContextual"/>
            </w:rPr>
          </w:pPr>
          <w:hyperlink w:anchor="_Toc173933170" w:history="1">
            <w:r w:rsidR="00EC7BFD" w:rsidRPr="00ED7B8A">
              <w:rPr>
                <w:rStyle w:val="Hyperlink"/>
                <w:noProof/>
              </w:rPr>
              <w:t>2.</w:t>
            </w:r>
            <w:r w:rsidR="00EC7BFD">
              <w:rPr>
                <w:rFonts w:asciiTheme="minorHAnsi" w:hAnsiTheme="minorHAnsi"/>
                <w:noProof/>
                <w:kern w:val="2"/>
                <w:sz w:val="22"/>
                <w:szCs w:val="22"/>
                <w:lang w:eastAsia="en-AU"/>
                <w14:ligatures w14:val="standardContextual"/>
              </w:rPr>
              <w:tab/>
            </w:r>
            <w:r w:rsidR="00EC7BFD" w:rsidRPr="00ED7B8A">
              <w:rPr>
                <w:rStyle w:val="Hyperlink"/>
                <w:noProof/>
              </w:rPr>
              <w:t>Transfer arrangements.</w:t>
            </w:r>
            <w:r w:rsidR="00EC7BFD">
              <w:rPr>
                <w:noProof/>
                <w:webHidden/>
              </w:rPr>
              <w:tab/>
            </w:r>
            <w:r w:rsidR="00EC7BFD">
              <w:rPr>
                <w:noProof/>
                <w:webHidden/>
              </w:rPr>
              <w:fldChar w:fldCharType="begin"/>
            </w:r>
            <w:r w:rsidR="00EC7BFD">
              <w:rPr>
                <w:noProof/>
                <w:webHidden/>
              </w:rPr>
              <w:instrText xml:space="preserve"> PAGEREF _Toc173933170 \h </w:instrText>
            </w:r>
            <w:r w:rsidR="00EC7BFD">
              <w:rPr>
                <w:noProof/>
                <w:webHidden/>
              </w:rPr>
            </w:r>
            <w:r w:rsidR="00EC7BFD">
              <w:rPr>
                <w:noProof/>
                <w:webHidden/>
              </w:rPr>
              <w:fldChar w:fldCharType="separate"/>
            </w:r>
            <w:r w:rsidR="00AC3E09">
              <w:rPr>
                <w:noProof/>
                <w:webHidden/>
              </w:rPr>
              <w:t>3</w:t>
            </w:r>
            <w:r w:rsidR="00EC7BFD">
              <w:rPr>
                <w:noProof/>
                <w:webHidden/>
              </w:rPr>
              <w:fldChar w:fldCharType="end"/>
            </w:r>
          </w:hyperlink>
        </w:p>
        <w:p w14:paraId="77519A57" w14:textId="13DEC8BB" w:rsidR="00EC7BFD" w:rsidRDefault="00000000">
          <w:pPr>
            <w:pStyle w:val="TOC2"/>
            <w:rPr>
              <w:rFonts w:asciiTheme="minorHAnsi" w:hAnsiTheme="minorHAnsi"/>
              <w:noProof/>
              <w:kern w:val="2"/>
              <w:sz w:val="22"/>
              <w:szCs w:val="22"/>
              <w:lang w:eastAsia="en-AU"/>
              <w14:ligatures w14:val="standardContextual"/>
            </w:rPr>
          </w:pPr>
          <w:hyperlink w:anchor="_Toc173933171" w:history="1">
            <w:r w:rsidR="00EC7BFD" w:rsidRPr="00ED7B8A">
              <w:rPr>
                <w:rStyle w:val="Hyperlink"/>
                <w:noProof/>
              </w:rPr>
              <w:t>2.1</w:t>
            </w:r>
            <w:r w:rsidR="00EC7BFD">
              <w:rPr>
                <w:rFonts w:asciiTheme="minorHAnsi" w:hAnsiTheme="minorHAnsi"/>
                <w:noProof/>
                <w:kern w:val="2"/>
                <w:sz w:val="22"/>
                <w:szCs w:val="22"/>
                <w:lang w:eastAsia="en-AU"/>
                <w14:ligatures w14:val="standardContextual"/>
              </w:rPr>
              <w:tab/>
            </w:r>
            <w:r w:rsidR="00EC7BFD" w:rsidRPr="00ED7B8A">
              <w:rPr>
                <w:rStyle w:val="Hyperlink"/>
                <w:noProof/>
              </w:rPr>
              <w:t>How will transfer applications be assessed?</w:t>
            </w:r>
            <w:r w:rsidR="00EC7BFD">
              <w:rPr>
                <w:noProof/>
                <w:webHidden/>
              </w:rPr>
              <w:tab/>
            </w:r>
            <w:r w:rsidR="00EC7BFD">
              <w:rPr>
                <w:noProof/>
                <w:webHidden/>
              </w:rPr>
              <w:fldChar w:fldCharType="begin"/>
            </w:r>
            <w:r w:rsidR="00EC7BFD">
              <w:rPr>
                <w:noProof/>
                <w:webHidden/>
              </w:rPr>
              <w:instrText xml:space="preserve"> PAGEREF _Toc173933171 \h </w:instrText>
            </w:r>
            <w:r w:rsidR="00EC7BFD">
              <w:rPr>
                <w:noProof/>
                <w:webHidden/>
              </w:rPr>
            </w:r>
            <w:r w:rsidR="00EC7BFD">
              <w:rPr>
                <w:noProof/>
                <w:webHidden/>
              </w:rPr>
              <w:fldChar w:fldCharType="separate"/>
            </w:r>
            <w:r w:rsidR="00AC3E09">
              <w:rPr>
                <w:noProof/>
                <w:webHidden/>
              </w:rPr>
              <w:t>3</w:t>
            </w:r>
            <w:r w:rsidR="00EC7BFD">
              <w:rPr>
                <w:noProof/>
                <w:webHidden/>
              </w:rPr>
              <w:fldChar w:fldCharType="end"/>
            </w:r>
          </w:hyperlink>
        </w:p>
        <w:p w14:paraId="109AF238" w14:textId="53593391" w:rsidR="00EC7BFD" w:rsidRDefault="00000000">
          <w:pPr>
            <w:pStyle w:val="TOC2"/>
            <w:rPr>
              <w:rFonts w:asciiTheme="minorHAnsi" w:hAnsiTheme="minorHAnsi"/>
              <w:noProof/>
              <w:kern w:val="2"/>
              <w:sz w:val="22"/>
              <w:szCs w:val="22"/>
              <w:lang w:eastAsia="en-AU"/>
              <w14:ligatures w14:val="standardContextual"/>
            </w:rPr>
          </w:pPr>
          <w:hyperlink w:anchor="_Toc173933172" w:history="1">
            <w:r w:rsidR="00EC7BFD" w:rsidRPr="00ED7B8A">
              <w:rPr>
                <w:rStyle w:val="Hyperlink"/>
                <w:noProof/>
              </w:rPr>
              <w:t>2.2</w:t>
            </w:r>
            <w:r w:rsidR="00EC7BFD">
              <w:rPr>
                <w:rFonts w:asciiTheme="minorHAnsi" w:hAnsiTheme="minorHAnsi"/>
                <w:noProof/>
                <w:kern w:val="2"/>
                <w:sz w:val="22"/>
                <w:szCs w:val="22"/>
                <w:lang w:eastAsia="en-AU"/>
                <w14:ligatures w14:val="standardContextual"/>
              </w:rPr>
              <w:tab/>
            </w:r>
            <w:r w:rsidR="00EC7BFD" w:rsidRPr="00ED7B8A">
              <w:rPr>
                <w:rStyle w:val="Hyperlink"/>
                <w:noProof/>
              </w:rPr>
              <w:t>What will happen to transfer requests from 1 July 2025?</w:t>
            </w:r>
            <w:r w:rsidR="00EC7BFD">
              <w:rPr>
                <w:noProof/>
                <w:webHidden/>
              </w:rPr>
              <w:tab/>
            </w:r>
            <w:r w:rsidR="00EC7BFD">
              <w:rPr>
                <w:noProof/>
                <w:webHidden/>
              </w:rPr>
              <w:fldChar w:fldCharType="begin"/>
            </w:r>
            <w:r w:rsidR="00EC7BFD">
              <w:rPr>
                <w:noProof/>
                <w:webHidden/>
              </w:rPr>
              <w:instrText xml:space="preserve"> PAGEREF _Toc173933172 \h </w:instrText>
            </w:r>
            <w:r w:rsidR="00EC7BFD">
              <w:rPr>
                <w:noProof/>
                <w:webHidden/>
              </w:rPr>
            </w:r>
            <w:r w:rsidR="00EC7BFD">
              <w:rPr>
                <w:noProof/>
                <w:webHidden/>
              </w:rPr>
              <w:fldChar w:fldCharType="separate"/>
            </w:r>
            <w:r w:rsidR="00AC3E09">
              <w:rPr>
                <w:noProof/>
                <w:webHidden/>
              </w:rPr>
              <w:t>4</w:t>
            </w:r>
            <w:r w:rsidR="00EC7BFD">
              <w:rPr>
                <w:noProof/>
                <w:webHidden/>
              </w:rPr>
              <w:fldChar w:fldCharType="end"/>
            </w:r>
          </w:hyperlink>
        </w:p>
        <w:p w14:paraId="234B1680" w14:textId="70AED041" w:rsidR="00EC7BFD" w:rsidRDefault="00000000">
          <w:pPr>
            <w:pStyle w:val="TOC2"/>
            <w:rPr>
              <w:rFonts w:asciiTheme="minorHAnsi" w:hAnsiTheme="minorHAnsi"/>
              <w:noProof/>
              <w:kern w:val="2"/>
              <w:sz w:val="22"/>
              <w:szCs w:val="22"/>
              <w:lang w:eastAsia="en-AU"/>
              <w14:ligatures w14:val="standardContextual"/>
            </w:rPr>
          </w:pPr>
          <w:hyperlink w:anchor="_Toc173933173" w:history="1">
            <w:r w:rsidR="00EC7BFD" w:rsidRPr="00ED7B8A">
              <w:rPr>
                <w:rStyle w:val="Hyperlink"/>
                <w:noProof/>
              </w:rPr>
              <w:t>2.3</w:t>
            </w:r>
            <w:r w:rsidR="00EC7BFD">
              <w:rPr>
                <w:rFonts w:asciiTheme="minorHAnsi" w:hAnsiTheme="minorHAnsi"/>
                <w:noProof/>
                <w:kern w:val="2"/>
                <w:sz w:val="22"/>
                <w:szCs w:val="22"/>
                <w:lang w:eastAsia="en-AU"/>
                <w14:ligatures w14:val="standardContextual"/>
              </w:rPr>
              <w:tab/>
            </w:r>
            <w:r w:rsidR="00EC7BFD" w:rsidRPr="00ED7B8A">
              <w:rPr>
                <w:rStyle w:val="Hyperlink"/>
                <w:noProof/>
              </w:rPr>
              <w:t>What will happen to transfer requests from 1 July 2027?</w:t>
            </w:r>
            <w:r w:rsidR="00EC7BFD">
              <w:rPr>
                <w:noProof/>
                <w:webHidden/>
              </w:rPr>
              <w:tab/>
            </w:r>
            <w:r w:rsidR="00EC7BFD">
              <w:rPr>
                <w:noProof/>
                <w:webHidden/>
              </w:rPr>
              <w:fldChar w:fldCharType="begin"/>
            </w:r>
            <w:r w:rsidR="00EC7BFD">
              <w:rPr>
                <w:noProof/>
                <w:webHidden/>
              </w:rPr>
              <w:instrText xml:space="preserve"> PAGEREF _Toc173933173 \h </w:instrText>
            </w:r>
            <w:r w:rsidR="00EC7BFD">
              <w:rPr>
                <w:noProof/>
                <w:webHidden/>
              </w:rPr>
            </w:r>
            <w:r w:rsidR="00EC7BFD">
              <w:rPr>
                <w:noProof/>
                <w:webHidden/>
              </w:rPr>
              <w:fldChar w:fldCharType="separate"/>
            </w:r>
            <w:r w:rsidR="00AC3E09">
              <w:rPr>
                <w:noProof/>
                <w:webHidden/>
              </w:rPr>
              <w:t>4</w:t>
            </w:r>
            <w:r w:rsidR="00EC7BFD">
              <w:rPr>
                <w:noProof/>
                <w:webHidden/>
              </w:rPr>
              <w:fldChar w:fldCharType="end"/>
            </w:r>
          </w:hyperlink>
        </w:p>
        <w:p w14:paraId="12AB0345" w14:textId="076E695E" w:rsidR="00EC7BFD" w:rsidRDefault="00000000">
          <w:pPr>
            <w:pStyle w:val="TOC1"/>
            <w:tabs>
              <w:tab w:val="left" w:pos="440"/>
              <w:tab w:val="right" w:leader="dot" w:pos="9060"/>
            </w:tabs>
            <w:rPr>
              <w:rFonts w:asciiTheme="minorHAnsi" w:hAnsiTheme="minorHAnsi"/>
              <w:noProof/>
              <w:kern w:val="2"/>
              <w:sz w:val="22"/>
              <w:szCs w:val="22"/>
              <w:lang w:eastAsia="en-AU"/>
              <w14:ligatures w14:val="standardContextual"/>
            </w:rPr>
          </w:pPr>
          <w:hyperlink w:anchor="_Toc173933174" w:history="1">
            <w:r w:rsidR="00EC7BFD" w:rsidRPr="00ED7B8A">
              <w:rPr>
                <w:rStyle w:val="Hyperlink"/>
                <w:noProof/>
              </w:rPr>
              <w:t>3.</w:t>
            </w:r>
            <w:r w:rsidR="00EC7BFD">
              <w:rPr>
                <w:rFonts w:asciiTheme="minorHAnsi" w:hAnsiTheme="minorHAnsi"/>
                <w:noProof/>
                <w:kern w:val="2"/>
                <w:sz w:val="22"/>
                <w:szCs w:val="22"/>
                <w:lang w:eastAsia="en-AU"/>
                <w14:ligatures w14:val="standardContextual"/>
              </w:rPr>
              <w:tab/>
            </w:r>
            <w:r w:rsidR="00EC7BFD" w:rsidRPr="00ED7B8A">
              <w:rPr>
                <w:rStyle w:val="Hyperlink"/>
                <w:noProof/>
              </w:rPr>
              <w:t>General Arrangements.</w:t>
            </w:r>
            <w:r w:rsidR="00EC7BFD">
              <w:rPr>
                <w:noProof/>
                <w:webHidden/>
              </w:rPr>
              <w:tab/>
            </w:r>
            <w:r w:rsidR="00EC7BFD">
              <w:rPr>
                <w:noProof/>
                <w:webHidden/>
              </w:rPr>
              <w:fldChar w:fldCharType="begin"/>
            </w:r>
            <w:r w:rsidR="00EC7BFD">
              <w:rPr>
                <w:noProof/>
                <w:webHidden/>
              </w:rPr>
              <w:instrText xml:space="preserve"> PAGEREF _Toc173933174 \h </w:instrText>
            </w:r>
            <w:r w:rsidR="00EC7BFD">
              <w:rPr>
                <w:noProof/>
                <w:webHidden/>
              </w:rPr>
            </w:r>
            <w:r w:rsidR="00EC7BFD">
              <w:rPr>
                <w:noProof/>
                <w:webHidden/>
              </w:rPr>
              <w:fldChar w:fldCharType="separate"/>
            </w:r>
            <w:r w:rsidR="00AC3E09">
              <w:rPr>
                <w:noProof/>
                <w:webHidden/>
              </w:rPr>
              <w:t>5</w:t>
            </w:r>
            <w:r w:rsidR="00EC7BFD">
              <w:rPr>
                <w:noProof/>
                <w:webHidden/>
              </w:rPr>
              <w:fldChar w:fldCharType="end"/>
            </w:r>
          </w:hyperlink>
        </w:p>
        <w:p w14:paraId="45A92E94" w14:textId="204CA662" w:rsidR="00EC7BFD" w:rsidRDefault="00000000">
          <w:pPr>
            <w:pStyle w:val="TOC2"/>
            <w:rPr>
              <w:rFonts w:asciiTheme="minorHAnsi" w:hAnsiTheme="minorHAnsi"/>
              <w:noProof/>
              <w:kern w:val="2"/>
              <w:sz w:val="22"/>
              <w:szCs w:val="22"/>
              <w:lang w:eastAsia="en-AU"/>
              <w14:ligatures w14:val="standardContextual"/>
            </w:rPr>
          </w:pPr>
          <w:hyperlink w:anchor="_Toc173933175" w:history="1">
            <w:r w:rsidR="00EC7BFD" w:rsidRPr="00ED7B8A">
              <w:rPr>
                <w:rStyle w:val="Hyperlink"/>
                <w:noProof/>
              </w:rPr>
              <w:t>3.1</w:t>
            </w:r>
            <w:r w:rsidR="00EC7BFD">
              <w:rPr>
                <w:rFonts w:asciiTheme="minorHAnsi" w:hAnsiTheme="minorHAnsi"/>
                <w:noProof/>
                <w:kern w:val="2"/>
                <w:sz w:val="22"/>
                <w:szCs w:val="22"/>
                <w:lang w:eastAsia="en-AU"/>
                <w14:ligatures w14:val="standardContextual"/>
              </w:rPr>
              <w:tab/>
            </w:r>
            <w:r w:rsidR="00EC7BFD" w:rsidRPr="00ED7B8A">
              <w:rPr>
                <w:rStyle w:val="Hyperlink"/>
                <w:noProof/>
              </w:rPr>
              <w:t>If an MRI machine is newly added to a practice’s LSPN record, how will it be affected?</w:t>
            </w:r>
            <w:r w:rsidR="00EC7BFD">
              <w:rPr>
                <w:noProof/>
                <w:webHidden/>
              </w:rPr>
              <w:tab/>
            </w:r>
            <w:r w:rsidR="00EC7BFD">
              <w:rPr>
                <w:noProof/>
                <w:webHidden/>
              </w:rPr>
              <w:fldChar w:fldCharType="begin"/>
            </w:r>
            <w:r w:rsidR="00EC7BFD">
              <w:rPr>
                <w:noProof/>
                <w:webHidden/>
              </w:rPr>
              <w:instrText xml:space="preserve"> PAGEREF _Toc173933175 \h </w:instrText>
            </w:r>
            <w:r w:rsidR="00EC7BFD">
              <w:rPr>
                <w:noProof/>
                <w:webHidden/>
              </w:rPr>
            </w:r>
            <w:r w:rsidR="00EC7BFD">
              <w:rPr>
                <w:noProof/>
                <w:webHidden/>
              </w:rPr>
              <w:fldChar w:fldCharType="separate"/>
            </w:r>
            <w:r w:rsidR="00AC3E09">
              <w:rPr>
                <w:noProof/>
                <w:webHidden/>
              </w:rPr>
              <w:t>5</w:t>
            </w:r>
            <w:r w:rsidR="00EC7BFD">
              <w:rPr>
                <w:noProof/>
                <w:webHidden/>
              </w:rPr>
              <w:fldChar w:fldCharType="end"/>
            </w:r>
          </w:hyperlink>
        </w:p>
        <w:p w14:paraId="066CCCAB" w14:textId="52AD4FB6" w:rsidR="00EC7BFD" w:rsidRDefault="00000000">
          <w:pPr>
            <w:pStyle w:val="TOC2"/>
            <w:rPr>
              <w:rFonts w:asciiTheme="minorHAnsi" w:hAnsiTheme="minorHAnsi"/>
              <w:noProof/>
              <w:kern w:val="2"/>
              <w:sz w:val="22"/>
              <w:szCs w:val="22"/>
              <w:lang w:eastAsia="en-AU"/>
              <w14:ligatures w14:val="standardContextual"/>
            </w:rPr>
          </w:pPr>
          <w:hyperlink w:anchor="_Toc173933176" w:history="1">
            <w:r w:rsidR="00EC7BFD" w:rsidRPr="00ED7B8A">
              <w:rPr>
                <w:rStyle w:val="Hyperlink"/>
                <w:noProof/>
              </w:rPr>
              <w:t>3.2</w:t>
            </w:r>
            <w:r w:rsidR="00EC7BFD">
              <w:rPr>
                <w:rFonts w:asciiTheme="minorHAnsi" w:hAnsiTheme="minorHAnsi"/>
                <w:noProof/>
                <w:kern w:val="2"/>
                <w:sz w:val="22"/>
                <w:szCs w:val="22"/>
                <w:lang w:eastAsia="en-AU"/>
                <w14:ligatures w14:val="standardContextual"/>
              </w:rPr>
              <w:tab/>
            </w:r>
            <w:r w:rsidR="00EC7BFD" w:rsidRPr="00ED7B8A">
              <w:rPr>
                <w:rStyle w:val="Hyperlink"/>
                <w:noProof/>
              </w:rPr>
              <w:t>Will the requirements relating to comprehensive practice be changing?</w:t>
            </w:r>
            <w:r w:rsidR="00EC7BFD">
              <w:rPr>
                <w:noProof/>
                <w:webHidden/>
              </w:rPr>
              <w:tab/>
            </w:r>
            <w:r w:rsidR="00EC7BFD">
              <w:rPr>
                <w:noProof/>
                <w:webHidden/>
              </w:rPr>
              <w:fldChar w:fldCharType="begin"/>
            </w:r>
            <w:r w:rsidR="00EC7BFD">
              <w:rPr>
                <w:noProof/>
                <w:webHidden/>
              </w:rPr>
              <w:instrText xml:space="preserve"> PAGEREF _Toc173933176 \h </w:instrText>
            </w:r>
            <w:r w:rsidR="00EC7BFD">
              <w:rPr>
                <w:noProof/>
                <w:webHidden/>
              </w:rPr>
            </w:r>
            <w:r w:rsidR="00EC7BFD">
              <w:rPr>
                <w:noProof/>
                <w:webHidden/>
              </w:rPr>
              <w:fldChar w:fldCharType="separate"/>
            </w:r>
            <w:r w:rsidR="00AC3E09">
              <w:rPr>
                <w:noProof/>
                <w:webHidden/>
              </w:rPr>
              <w:t>5</w:t>
            </w:r>
            <w:r w:rsidR="00EC7BFD">
              <w:rPr>
                <w:noProof/>
                <w:webHidden/>
              </w:rPr>
              <w:fldChar w:fldCharType="end"/>
            </w:r>
          </w:hyperlink>
        </w:p>
        <w:p w14:paraId="762D8FF0" w14:textId="16F47AFD" w:rsidR="00B339DA" w:rsidRDefault="00AB2158">
          <w:pPr>
            <w:rPr>
              <w:b/>
              <w:bCs/>
              <w:noProof/>
            </w:rPr>
          </w:pPr>
          <w:r>
            <w:rPr>
              <w:b/>
              <w:bCs/>
              <w:noProof/>
            </w:rPr>
            <w:fldChar w:fldCharType="end"/>
          </w:r>
        </w:p>
        <w:p w14:paraId="791249A6" w14:textId="2DD241A8" w:rsidR="00AB2158" w:rsidRDefault="00000000"/>
      </w:sdtContent>
    </w:sdt>
    <w:p w14:paraId="322F13FE" w14:textId="791EC198" w:rsidR="00AB2158" w:rsidRDefault="00AB2158" w:rsidP="009E47CB">
      <w:pPr>
        <w:pStyle w:val="Heading1"/>
        <w:numPr>
          <w:ilvl w:val="0"/>
          <w:numId w:val="40"/>
        </w:numPr>
        <w:ind w:left="426" w:hanging="426"/>
        <w:rPr>
          <w:color w:val="3F4A75" w:themeColor="accent1"/>
        </w:rPr>
      </w:pPr>
      <w:bookmarkStart w:id="2" w:name="_Toc173933163"/>
      <w:r w:rsidRPr="00AB2158">
        <w:rPr>
          <w:color w:val="3F4A75" w:themeColor="accent1"/>
        </w:rPr>
        <w:lastRenderedPageBreak/>
        <w:t>1 July 2025</w:t>
      </w:r>
      <w:r w:rsidR="0025466D">
        <w:rPr>
          <w:color w:val="3F4A75" w:themeColor="accent1"/>
        </w:rPr>
        <w:t xml:space="preserve"> changes</w:t>
      </w:r>
      <w:bookmarkEnd w:id="2"/>
    </w:p>
    <w:p w14:paraId="69E112CB" w14:textId="27B22E69" w:rsidR="00AB2158" w:rsidRPr="00AB2158" w:rsidRDefault="00AB2158" w:rsidP="009E58FB">
      <w:pPr>
        <w:pStyle w:val="Heading2"/>
        <w:keepNext/>
        <w:numPr>
          <w:ilvl w:val="1"/>
          <w:numId w:val="40"/>
        </w:numPr>
        <w:ind w:left="1077"/>
      </w:pPr>
      <w:bookmarkStart w:id="3" w:name="_Toc173933164"/>
      <w:r w:rsidRPr="00AB2158">
        <w:t xml:space="preserve">What steps do </w:t>
      </w:r>
      <w:r w:rsidR="0025466D">
        <w:t>practices</w:t>
      </w:r>
      <w:r w:rsidRPr="00AB2158">
        <w:t xml:space="preserve"> need to take to prepare for the transition to a ‘practice-based’ licence?</w:t>
      </w:r>
      <w:bookmarkEnd w:id="3"/>
    </w:p>
    <w:p w14:paraId="2F6D2F44" w14:textId="658FE794" w:rsidR="0025466D" w:rsidRPr="009157D6" w:rsidRDefault="0025466D" w:rsidP="009175ED">
      <w:pPr>
        <w:ind w:left="357"/>
        <w:rPr>
          <w:b/>
          <w:bCs/>
          <w:sz w:val="22"/>
          <w:szCs w:val="22"/>
        </w:rPr>
      </w:pPr>
      <w:r w:rsidRPr="009157D6">
        <w:rPr>
          <w:sz w:val="22"/>
          <w:szCs w:val="22"/>
        </w:rPr>
        <w:t xml:space="preserve">The Department of Health and Aged Care </w:t>
      </w:r>
      <w:r w:rsidR="00CD139A" w:rsidRPr="009157D6">
        <w:rPr>
          <w:sz w:val="22"/>
          <w:szCs w:val="22"/>
        </w:rPr>
        <w:t xml:space="preserve">(the Department) </w:t>
      </w:r>
      <w:r w:rsidRPr="009157D6">
        <w:rPr>
          <w:sz w:val="22"/>
          <w:szCs w:val="22"/>
        </w:rPr>
        <w:t xml:space="preserve">will work with the proprietors </w:t>
      </w:r>
      <w:r w:rsidR="009E58FB" w:rsidRPr="009157D6">
        <w:rPr>
          <w:sz w:val="22"/>
          <w:szCs w:val="22"/>
        </w:rPr>
        <w:t>with current</w:t>
      </w:r>
      <w:r w:rsidRPr="009157D6">
        <w:rPr>
          <w:sz w:val="22"/>
          <w:szCs w:val="22"/>
        </w:rPr>
        <w:t xml:space="preserve"> machine-based licences to ensure that </w:t>
      </w:r>
      <w:r w:rsidR="009E58FB" w:rsidRPr="009157D6">
        <w:rPr>
          <w:sz w:val="22"/>
          <w:szCs w:val="22"/>
        </w:rPr>
        <w:t xml:space="preserve">the </w:t>
      </w:r>
      <w:r w:rsidRPr="009157D6">
        <w:rPr>
          <w:sz w:val="22"/>
          <w:szCs w:val="22"/>
        </w:rPr>
        <w:t xml:space="preserve">new practice-based licences are in place </w:t>
      </w:r>
      <w:r w:rsidR="009E58FB" w:rsidRPr="009157D6">
        <w:rPr>
          <w:b/>
          <w:bCs/>
          <w:sz w:val="22"/>
          <w:szCs w:val="22"/>
        </w:rPr>
        <w:t>before</w:t>
      </w:r>
      <w:r w:rsidRPr="009157D6">
        <w:rPr>
          <w:b/>
          <w:bCs/>
          <w:sz w:val="22"/>
          <w:szCs w:val="22"/>
        </w:rPr>
        <w:t xml:space="preserve"> </w:t>
      </w:r>
      <w:r w:rsidR="009175ED" w:rsidRPr="009157D6">
        <w:rPr>
          <w:b/>
          <w:bCs/>
          <w:sz w:val="22"/>
          <w:szCs w:val="22"/>
        </w:rPr>
        <w:t>1 July </w:t>
      </w:r>
      <w:r w:rsidRPr="009157D6">
        <w:rPr>
          <w:b/>
          <w:bCs/>
          <w:sz w:val="22"/>
          <w:szCs w:val="22"/>
        </w:rPr>
        <w:t>2025</w:t>
      </w:r>
      <w:r w:rsidRPr="009157D6">
        <w:rPr>
          <w:sz w:val="22"/>
          <w:szCs w:val="22"/>
        </w:rPr>
        <w:t>.</w:t>
      </w:r>
    </w:p>
    <w:p w14:paraId="6FA03004" w14:textId="43516C92" w:rsidR="00E001B5" w:rsidRPr="009157D6" w:rsidRDefault="009E58FB" w:rsidP="009E58FB">
      <w:pPr>
        <w:ind w:left="357"/>
        <w:rPr>
          <w:sz w:val="22"/>
          <w:szCs w:val="22"/>
        </w:rPr>
      </w:pPr>
      <w:r w:rsidRPr="009157D6">
        <w:rPr>
          <w:sz w:val="22"/>
          <w:szCs w:val="22"/>
        </w:rPr>
        <w:t>T</w:t>
      </w:r>
      <w:r w:rsidR="00E001B5" w:rsidRPr="009157D6">
        <w:rPr>
          <w:sz w:val="22"/>
          <w:szCs w:val="22"/>
        </w:rPr>
        <w:t xml:space="preserve">he details of </w:t>
      </w:r>
      <w:r w:rsidR="00E16618" w:rsidRPr="009157D6">
        <w:rPr>
          <w:sz w:val="22"/>
          <w:szCs w:val="22"/>
        </w:rPr>
        <w:t xml:space="preserve">individual </w:t>
      </w:r>
      <w:r w:rsidR="00E001B5" w:rsidRPr="009157D6">
        <w:rPr>
          <w:sz w:val="22"/>
          <w:szCs w:val="22"/>
        </w:rPr>
        <w:t xml:space="preserve">MRI machines are </w:t>
      </w:r>
      <w:r w:rsidR="00E16618" w:rsidRPr="009157D6">
        <w:rPr>
          <w:sz w:val="22"/>
          <w:szCs w:val="22"/>
        </w:rPr>
        <w:t xml:space="preserve">specified </w:t>
      </w:r>
      <w:r w:rsidR="00E001B5" w:rsidRPr="009157D6">
        <w:rPr>
          <w:sz w:val="22"/>
          <w:szCs w:val="22"/>
        </w:rPr>
        <w:t>within each Deed of Undertaking between the Commonwealth and the proprietor of the practice</w:t>
      </w:r>
      <w:r w:rsidRPr="009157D6">
        <w:rPr>
          <w:sz w:val="22"/>
          <w:szCs w:val="22"/>
        </w:rPr>
        <w:t xml:space="preserve"> (</w:t>
      </w:r>
      <w:r w:rsidR="00E001B5" w:rsidRPr="009157D6">
        <w:rPr>
          <w:sz w:val="22"/>
          <w:szCs w:val="22"/>
        </w:rPr>
        <w:t xml:space="preserve">a </w:t>
      </w:r>
      <w:r w:rsidR="0025466D" w:rsidRPr="009157D6">
        <w:rPr>
          <w:sz w:val="22"/>
          <w:szCs w:val="22"/>
        </w:rPr>
        <w:t>machine</w:t>
      </w:r>
      <w:r w:rsidR="00E001B5" w:rsidRPr="009157D6">
        <w:rPr>
          <w:sz w:val="22"/>
          <w:szCs w:val="22"/>
        </w:rPr>
        <w:t>-based licence</w:t>
      </w:r>
      <w:r w:rsidRPr="009157D6">
        <w:rPr>
          <w:sz w:val="22"/>
          <w:szCs w:val="22"/>
        </w:rPr>
        <w:t>)</w:t>
      </w:r>
      <w:r w:rsidR="00E001B5" w:rsidRPr="009157D6">
        <w:rPr>
          <w:sz w:val="22"/>
          <w:szCs w:val="22"/>
        </w:rPr>
        <w:t>. These Deeds of Undertaking will be revoked and replaced by a</w:t>
      </w:r>
      <w:r w:rsidR="0025466D" w:rsidRPr="009157D6">
        <w:rPr>
          <w:sz w:val="22"/>
          <w:szCs w:val="22"/>
        </w:rPr>
        <w:t xml:space="preserve"> new</w:t>
      </w:r>
      <w:r w:rsidR="00E001B5" w:rsidRPr="009157D6">
        <w:rPr>
          <w:sz w:val="22"/>
          <w:szCs w:val="22"/>
        </w:rPr>
        <w:t xml:space="preserve"> Deed of Undertaking for the practice</w:t>
      </w:r>
      <w:r w:rsidRPr="009157D6">
        <w:rPr>
          <w:sz w:val="22"/>
          <w:szCs w:val="22"/>
        </w:rPr>
        <w:t xml:space="preserve"> (</w:t>
      </w:r>
      <w:r w:rsidR="00E001B5" w:rsidRPr="009157D6">
        <w:rPr>
          <w:sz w:val="22"/>
          <w:szCs w:val="22"/>
        </w:rPr>
        <w:t>a</w:t>
      </w:r>
      <w:r w:rsidRPr="009157D6">
        <w:rPr>
          <w:sz w:val="22"/>
          <w:szCs w:val="22"/>
        </w:rPr>
        <w:t> </w:t>
      </w:r>
      <w:r w:rsidR="00E001B5" w:rsidRPr="009157D6">
        <w:rPr>
          <w:sz w:val="22"/>
          <w:szCs w:val="22"/>
        </w:rPr>
        <w:t>practice-based licence</w:t>
      </w:r>
      <w:r w:rsidRPr="009157D6">
        <w:rPr>
          <w:sz w:val="22"/>
          <w:szCs w:val="22"/>
        </w:rPr>
        <w:t>)</w:t>
      </w:r>
      <w:r w:rsidR="00E001B5" w:rsidRPr="009157D6">
        <w:rPr>
          <w:sz w:val="22"/>
          <w:szCs w:val="22"/>
        </w:rPr>
        <w:t>.</w:t>
      </w:r>
      <w:r w:rsidR="00D35B29" w:rsidRPr="009157D6">
        <w:rPr>
          <w:sz w:val="22"/>
          <w:szCs w:val="22"/>
        </w:rPr>
        <w:t xml:space="preserve"> </w:t>
      </w:r>
      <w:r w:rsidR="00BF77A1" w:rsidRPr="009157D6">
        <w:rPr>
          <w:sz w:val="22"/>
          <w:szCs w:val="22"/>
        </w:rPr>
        <w:t xml:space="preserve">This </w:t>
      </w:r>
      <w:r w:rsidR="00F53F05" w:rsidRPr="009157D6">
        <w:rPr>
          <w:sz w:val="22"/>
          <w:szCs w:val="22"/>
        </w:rPr>
        <w:t>will upgrade all ineligible and partially eligible machines at the practice site to fully Medicare-eligible.</w:t>
      </w:r>
    </w:p>
    <w:p w14:paraId="5EFB0C51" w14:textId="157C41DA" w:rsidR="00AB2158" w:rsidRPr="009157D6" w:rsidRDefault="00AB2158" w:rsidP="009E58FB">
      <w:pPr>
        <w:ind w:left="357"/>
        <w:rPr>
          <w:sz w:val="22"/>
          <w:szCs w:val="22"/>
        </w:rPr>
      </w:pPr>
      <w:r w:rsidRPr="009157D6">
        <w:rPr>
          <w:sz w:val="22"/>
          <w:szCs w:val="22"/>
        </w:rPr>
        <w:t xml:space="preserve">The </w:t>
      </w:r>
      <w:r w:rsidR="00F03E9A" w:rsidRPr="009157D6">
        <w:rPr>
          <w:sz w:val="22"/>
          <w:szCs w:val="22"/>
        </w:rPr>
        <w:t xml:space="preserve">practice </w:t>
      </w:r>
      <w:r w:rsidRPr="009157D6">
        <w:rPr>
          <w:sz w:val="22"/>
          <w:szCs w:val="22"/>
        </w:rPr>
        <w:t xml:space="preserve">location for </w:t>
      </w:r>
      <w:r w:rsidR="00F03E9A" w:rsidRPr="009157D6">
        <w:rPr>
          <w:sz w:val="22"/>
          <w:szCs w:val="22"/>
        </w:rPr>
        <w:t xml:space="preserve">MRI </w:t>
      </w:r>
      <w:r w:rsidR="0025466D" w:rsidRPr="009157D6">
        <w:rPr>
          <w:sz w:val="22"/>
          <w:szCs w:val="22"/>
        </w:rPr>
        <w:t>machine</w:t>
      </w:r>
      <w:r w:rsidRPr="009157D6">
        <w:rPr>
          <w:sz w:val="22"/>
          <w:szCs w:val="22"/>
        </w:rPr>
        <w:t>-based licences is determined using the</w:t>
      </w:r>
      <w:r w:rsidR="00B35740" w:rsidRPr="009157D6">
        <w:rPr>
          <w:sz w:val="22"/>
          <w:szCs w:val="22"/>
        </w:rPr>
        <w:t xml:space="preserve"> information held in the </w:t>
      </w:r>
      <w:r w:rsidRPr="009157D6">
        <w:rPr>
          <w:sz w:val="22"/>
          <w:szCs w:val="22"/>
        </w:rPr>
        <w:t>Location Specific Practice Number (LSPN) Register. The location for each practice</w:t>
      </w:r>
      <w:r w:rsidR="00C9342F" w:rsidRPr="009157D6">
        <w:rPr>
          <w:sz w:val="22"/>
          <w:szCs w:val="22"/>
        </w:rPr>
        <w:t>-</w:t>
      </w:r>
      <w:r w:rsidRPr="009157D6">
        <w:rPr>
          <w:sz w:val="22"/>
          <w:szCs w:val="22"/>
        </w:rPr>
        <w:t xml:space="preserve">based licence will be determined using the LSPN </w:t>
      </w:r>
      <w:r w:rsidR="00523B54" w:rsidRPr="009157D6">
        <w:rPr>
          <w:sz w:val="22"/>
          <w:szCs w:val="22"/>
        </w:rPr>
        <w:t>details</w:t>
      </w:r>
      <w:r w:rsidRPr="009157D6">
        <w:rPr>
          <w:sz w:val="22"/>
          <w:szCs w:val="22"/>
        </w:rPr>
        <w:t xml:space="preserve"> </w:t>
      </w:r>
      <w:r w:rsidR="000C5655" w:rsidRPr="009157D6">
        <w:rPr>
          <w:sz w:val="22"/>
          <w:szCs w:val="22"/>
        </w:rPr>
        <w:t>for each of</w:t>
      </w:r>
      <w:r w:rsidRPr="009157D6">
        <w:rPr>
          <w:sz w:val="22"/>
          <w:szCs w:val="22"/>
        </w:rPr>
        <w:t xml:space="preserve"> the existing </w:t>
      </w:r>
      <w:r w:rsidR="0025466D" w:rsidRPr="009157D6">
        <w:rPr>
          <w:sz w:val="22"/>
          <w:szCs w:val="22"/>
        </w:rPr>
        <w:t>machine</w:t>
      </w:r>
      <w:r w:rsidRPr="009157D6">
        <w:rPr>
          <w:sz w:val="22"/>
          <w:szCs w:val="22"/>
        </w:rPr>
        <w:t>-based licences.</w:t>
      </w:r>
    </w:p>
    <w:p w14:paraId="78764455" w14:textId="25BEEA38" w:rsidR="0025466D" w:rsidRPr="009157D6" w:rsidRDefault="0025466D" w:rsidP="009E58FB">
      <w:pPr>
        <w:ind w:left="357"/>
        <w:rPr>
          <w:sz w:val="22"/>
          <w:szCs w:val="22"/>
        </w:rPr>
      </w:pPr>
      <w:r w:rsidRPr="009157D6">
        <w:rPr>
          <w:sz w:val="22"/>
          <w:szCs w:val="22"/>
        </w:rPr>
        <w:t xml:space="preserve">Practices are encouraged to ensure that their details are correct on the LSPN Register. They should also </w:t>
      </w:r>
      <w:r w:rsidR="003A3B4E" w:rsidRPr="009157D6">
        <w:rPr>
          <w:sz w:val="22"/>
          <w:szCs w:val="22"/>
        </w:rPr>
        <w:t xml:space="preserve">list </w:t>
      </w:r>
      <w:r w:rsidRPr="009157D6">
        <w:rPr>
          <w:sz w:val="22"/>
          <w:szCs w:val="22"/>
        </w:rPr>
        <w:t xml:space="preserve">their ineligible MRI machines </w:t>
      </w:r>
      <w:r w:rsidR="003A3B4E" w:rsidRPr="009157D6">
        <w:rPr>
          <w:sz w:val="22"/>
          <w:szCs w:val="22"/>
        </w:rPr>
        <w:t>on the</w:t>
      </w:r>
      <w:r w:rsidR="00587E77" w:rsidRPr="009157D6">
        <w:rPr>
          <w:sz w:val="22"/>
          <w:szCs w:val="22"/>
        </w:rPr>
        <w:t xml:space="preserve"> LSPN</w:t>
      </w:r>
      <w:r w:rsidRPr="009157D6">
        <w:rPr>
          <w:sz w:val="22"/>
          <w:szCs w:val="22"/>
        </w:rPr>
        <w:t xml:space="preserve"> Register</w:t>
      </w:r>
      <w:r w:rsidR="0047297E" w:rsidRPr="009157D6">
        <w:rPr>
          <w:sz w:val="22"/>
          <w:szCs w:val="22"/>
        </w:rPr>
        <w:t xml:space="preserve"> ahead of 1 July 2025</w:t>
      </w:r>
      <w:r w:rsidR="003A3B4E" w:rsidRPr="009157D6">
        <w:rPr>
          <w:sz w:val="22"/>
          <w:szCs w:val="22"/>
        </w:rPr>
        <w:t xml:space="preserve"> using the form available from </w:t>
      </w:r>
      <w:hyperlink r:id="rId8" w:history="1">
        <w:r w:rsidR="009E58FB" w:rsidRPr="009157D6">
          <w:rPr>
            <w:rStyle w:val="Hyperlink"/>
            <w:sz w:val="22"/>
            <w:szCs w:val="22"/>
          </w:rPr>
          <w:t>www.servicesaustralia.gov.au\lspn</w:t>
        </w:r>
      </w:hyperlink>
      <w:r w:rsidRPr="009157D6">
        <w:rPr>
          <w:sz w:val="22"/>
          <w:szCs w:val="22"/>
        </w:rPr>
        <w:t>.</w:t>
      </w:r>
    </w:p>
    <w:p w14:paraId="46B4C284" w14:textId="09CC80A9" w:rsidR="00CF7181" w:rsidRDefault="00B109EA" w:rsidP="009E58FB">
      <w:pPr>
        <w:pStyle w:val="Heading2"/>
        <w:keepNext/>
        <w:numPr>
          <w:ilvl w:val="1"/>
          <w:numId w:val="40"/>
        </w:numPr>
        <w:ind w:left="1077"/>
      </w:pPr>
      <w:bookmarkStart w:id="4" w:name="_Toc173933165"/>
      <w:r>
        <w:t>Is there a specific</w:t>
      </w:r>
      <w:r w:rsidR="00C20C18">
        <w:t xml:space="preserve"> </w:t>
      </w:r>
      <w:r>
        <w:t xml:space="preserve">date </w:t>
      </w:r>
      <w:r w:rsidR="00E666C9">
        <w:t>that</w:t>
      </w:r>
      <w:r w:rsidR="00327F9B">
        <w:t xml:space="preserve"> will determine</w:t>
      </w:r>
      <w:r w:rsidR="00EF4CE1">
        <w:t xml:space="preserve"> which </w:t>
      </w:r>
      <w:r w:rsidR="0025466D">
        <w:t>machine</w:t>
      </w:r>
      <w:r w:rsidR="00EF4CE1">
        <w:t>-based licences</w:t>
      </w:r>
      <w:r w:rsidR="00375AC2">
        <w:t xml:space="preserve"> will</w:t>
      </w:r>
      <w:r w:rsidR="00EF4CE1">
        <w:t xml:space="preserve"> transfer to practice</w:t>
      </w:r>
      <w:r w:rsidR="00EF4CE1">
        <w:noBreakHyphen/>
        <w:t>based licences?</w:t>
      </w:r>
      <w:bookmarkEnd w:id="4"/>
    </w:p>
    <w:p w14:paraId="6A5D2B1C" w14:textId="24439AA8" w:rsidR="00980061" w:rsidRPr="009157D6" w:rsidRDefault="00EE781F" w:rsidP="009E58FB">
      <w:pPr>
        <w:ind w:left="357"/>
        <w:rPr>
          <w:sz w:val="22"/>
          <w:szCs w:val="22"/>
        </w:rPr>
      </w:pPr>
      <w:r w:rsidRPr="009157D6">
        <w:rPr>
          <w:sz w:val="22"/>
          <w:szCs w:val="22"/>
        </w:rPr>
        <w:t xml:space="preserve">Practices </w:t>
      </w:r>
      <w:r w:rsidR="009E58FB" w:rsidRPr="009157D6">
        <w:rPr>
          <w:sz w:val="22"/>
          <w:szCs w:val="22"/>
        </w:rPr>
        <w:t>with</w:t>
      </w:r>
      <w:r w:rsidRPr="009157D6">
        <w:rPr>
          <w:sz w:val="22"/>
          <w:szCs w:val="22"/>
        </w:rPr>
        <w:t xml:space="preserve"> a</w:t>
      </w:r>
      <w:r w:rsidR="0025466D" w:rsidRPr="009157D6">
        <w:rPr>
          <w:sz w:val="22"/>
          <w:szCs w:val="22"/>
        </w:rPr>
        <w:t xml:space="preserve"> permanent</w:t>
      </w:r>
      <w:r w:rsidR="00436532" w:rsidRPr="009157D6">
        <w:rPr>
          <w:sz w:val="22"/>
          <w:szCs w:val="22"/>
        </w:rPr>
        <w:t xml:space="preserve"> </w:t>
      </w:r>
      <w:r w:rsidR="00867319" w:rsidRPr="009157D6">
        <w:rPr>
          <w:sz w:val="22"/>
          <w:szCs w:val="22"/>
        </w:rPr>
        <w:t xml:space="preserve">MRI </w:t>
      </w:r>
      <w:r w:rsidR="0025466D" w:rsidRPr="009157D6">
        <w:rPr>
          <w:sz w:val="22"/>
          <w:szCs w:val="22"/>
        </w:rPr>
        <w:t>machine</w:t>
      </w:r>
      <w:r w:rsidR="00867319" w:rsidRPr="009157D6">
        <w:rPr>
          <w:sz w:val="22"/>
          <w:szCs w:val="22"/>
        </w:rPr>
        <w:t>-based licence</w:t>
      </w:r>
      <w:r w:rsidR="00AB2158" w:rsidRPr="009157D6">
        <w:rPr>
          <w:sz w:val="22"/>
          <w:szCs w:val="22"/>
        </w:rPr>
        <w:t xml:space="preserve"> will </w:t>
      </w:r>
      <w:r w:rsidR="0025466D" w:rsidRPr="009157D6">
        <w:rPr>
          <w:sz w:val="22"/>
          <w:szCs w:val="22"/>
        </w:rPr>
        <w:t>receive</w:t>
      </w:r>
      <w:r w:rsidR="00AB2158" w:rsidRPr="009157D6">
        <w:rPr>
          <w:sz w:val="22"/>
          <w:szCs w:val="22"/>
        </w:rPr>
        <w:t xml:space="preserve"> </w:t>
      </w:r>
      <w:r w:rsidR="008F6CB0" w:rsidRPr="009157D6">
        <w:rPr>
          <w:sz w:val="22"/>
          <w:szCs w:val="22"/>
        </w:rPr>
        <w:t xml:space="preserve">a </w:t>
      </w:r>
      <w:r w:rsidR="00435DA2" w:rsidRPr="009157D6">
        <w:rPr>
          <w:sz w:val="22"/>
          <w:szCs w:val="22"/>
        </w:rPr>
        <w:t>practice-based</w:t>
      </w:r>
      <w:r w:rsidR="00AB2158" w:rsidRPr="009157D6">
        <w:rPr>
          <w:sz w:val="22"/>
          <w:szCs w:val="22"/>
        </w:rPr>
        <w:t xml:space="preserve"> </w:t>
      </w:r>
      <w:r w:rsidR="00693116" w:rsidRPr="009157D6">
        <w:rPr>
          <w:sz w:val="22"/>
          <w:szCs w:val="22"/>
        </w:rPr>
        <w:t>licence</w:t>
      </w:r>
      <w:r w:rsidR="00AB2158" w:rsidRPr="009157D6">
        <w:rPr>
          <w:sz w:val="22"/>
          <w:szCs w:val="22"/>
        </w:rPr>
        <w:t xml:space="preserve"> </w:t>
      </w:r>
      <w:r w:rsidR="009E58FB" w:rsidRPr="009157D6">
        <w:rPr>
          <w:sz w:val="22"/>
          <w:szCs w:val="22"/>
        </w:rPr>
        <w:t xml:space="preserve">commencing </w:t>
      </w:r>
      <w:r w:rsidR="00AB2158" w:rsidRPr="009157D6">
        <w:rPr>
          <w:b/>
          <w:bCs/>
          <w:sz w:val="22"/>
          <w:szCs w:val="22"/>
        </w:rPr>
        <w:t>from 1 July 2025</w:t>
      </w:r>
      <w:r w:rsidR="00756257" w:rsidRPr="009157D6">
        <w:rPr>
          <w:sz w:val="22"/>
          <w:szCs w:val="22"/>
        </w:rPr>
        <w:t xml:space="preserve">. </w:t>
      </w:r>
      <w:r w:rsidR="009E58FB" w:rsidRPr="009157D6">
        <w:rPr>
          <w:sz w:val="22"/>
          <w:szCs w:val="22"/>
        </w:rPr>
        <w:t>This will apply to licences for fully and partially Medicare-eligible MRI machines.</w:t>
      </w:r>
    </w:p>
    <w:p w14:paraId="27BC1792" w14:textId="08B9B43D" w:rsidR="009E58FB" w:rsidRPr="009157D6" w:rsidRDefault="009E58FB" w:rsidP="009E58FB">
      <w:pPr>
        <w:ind w:left="357"/>
        <w:rPr>
          <w:sz w:val="22"/>
          <w:szCs w:val="22"/>
        </w:rPr>
      </w:pPr>
      <w:r w:rsidRPr="009157D6">
        <w:rPr>
          <w:sz w:val="22"/>
          <w:szCs w:val="22"/>
        </w:rPr>
        <w:t xml:space="preserve">Practices that have a temporary MRI machine-based licence will not have eligibility </w:t>
      </w:r>
      <w:r w:rsidRPr="009157D6">
        <w:rPr>
          <w:b/>
          <w:sz w:val="22"/>
          <w:szCs w:val="22"/>
        </w:rPr>
        <w:t>after</w:t>
      </w:r>
      <w:r w:rsidRPr="009157D6">
        <w:rPr>
          <w:sz w:val="22"/>
          <w:szCs w:val="22"/>
        </w:rPr>
        <w:t xml:space="preserve"> </w:t>
      </w:r>
      <w:r w:rsidRPr="009157D6">
        <w:rPr>
          <w:b/>
          <w:sz w:val="22"/>
          <w:szCs w:val="22"/>
        </w:rPr>
        <w:t>30 June 2025</w:t>
      </w:r>
      <w:r w:rsidRPr="009157D6">
        <w:rPr>
          <w:sz w:val="22"/>
          <w:szCs w:val="22"/>
        </w:rPr>
        <w:t xml:space="preserve">. In these cases, the practice that has the original approval for the machine will receive a </w:t>
      </w:r>
      <w:r w:rsidR="00F53F05" w:rsidRPr="009157D6">
        <w:rPr>
          <w:sz w:val="22"/>
          <w:szCs w:val="22"/>
        </w:rPr>
        <w:t>practice-based</w:t>
      </w:r>
      <w:r w:rsidRPr="009157D6">
        <w:rPr>
          <w:sz w:val="22"/>
          <w:szCs w:val="22"/>
        </w:rPr>
        <w:t xml:space="preserve"> licence. Temporary transfers within practices will not be required </w:t>
      </w:r>
      <w:r w:rsidRPr="009157D6">
        <w:rPr>
          <w:b/>
          <w:sz w:val="22"/>
          <w:szCs w:val="22"/>
        </w:rPr>
        <w:t>from</w:t>
      </w:r>
      <w:r w:rsidRPr="009157D6">
        <w:rPr>
          <w:sz w:val="22"/>
          <w:szCs w:val="22"/>
        </w:rPr>
        <w:t xml:space="preserve"> </w:t>
      </w:r>
      <w:r w:rsidRPr="009157D6">
        <w:rPr>
          <w:b/>
          <w:sz w:val="22"/>
          <w:szCs w:val="22"/>
        </w:rPr>
        <w:t>1 July 2025</w:t>
      </w:r>
      <w:r w:rsidRPr="009157D6">
        <w:rPr>
          <w:sz w:val="22"/>
          <w:szCs w:val="22"/>
        </w:rPr>
        <w:t>, as the practice will have a practice</w:t>
      </w:r>
      <w:r w:rsidR="00861FB8" w:rsidRPr="009157D6">
        <w:rPr>
          <w:sz w:val="22"/>
          <w:szCs w:val="22"/>
        </w:rPr>
        <w:t>-</w:t>
      </w:r>
      <w:r w:rsidRPr="009157D6">
        <w:rPr>
          <w:sz w:val="22"/>
          <w:szCs w:val="22"/>
        </w:rPr>
        <w:t>based licence.</w:t>
      </w:r>
    </w:p>
    <w:p w14:paraId="64DA588F" w14:textId="7330E9C4" w:rsidR="00FA3F1B" w:rsidRPr="009157D6" w:rsidRDefault="009E58FB" w:rsidP="009E58FB">
      <w:pPr>
        <w:ind w:left="357"/>
        <w:rPr>
          <w:sz w:val="22"/>
          <w:szCs w:val="22"/>
        </w:rPr>
      </w:pPr>
      <w:r w:rsidRPr="009157D6">
        <w:rPr>
          <w:sz w:val="22"/>
          <w:szCs w:val="22"/>
        </w:rPr>
        <w:t xml:space="preserve">The Department will work with the proprietors of existing machine-based licences to ensure that new practice-based licences are in place </w:t>
      </w:r>
      <w:r w:rsidRPr="009157D6">
        <w:rPr>
          <w:b/>
          <w:bCs/>
          <w:sz w:val="22"/>
          <w:szCs w:val="22"/>
        </w:rPr>
        <w:t>before 1 July 2025</w:t>
      </w:r>
      <w:r w:rsidRPr="009157D6">
        <w:rPr>
          <w:sz w:val="22"/>
          <w:szCs w:val="22"/>
        </w:rPr>
        <w:t>.</w:t>
      </w:r>
    </w:p>
    <w:p w14:paraId="368508C1" w14:textId="77777777" w:rsidR="00FA3F1B" w:rsidRPr="009157D6" w:rsidRDefault="00FA3F1B">
      <w:pPr>
        <w:spacing w:line="259" w:lineRule="auto"/>
        <w:rPr>
          <w:sz w:val="22"/>
          <w:szCs w:val="22"/>
        </w:rPr>
      </w:pPr>
      <w:r w:rsidRPr="009157D6">
        <w:rPr>
          <w:sz w:val="22"/>
          <w:szCs w:val="22"/>
        </w:rPr>
        <w:br w:type="page"/>
      </w:r>
    </w:p>
    <w:p w14:paraId="2C23FCCC" w14:textId="13547768" w:rsidR="00AB2158" w:rsidRDefault="00AB2158" w:rsidP="009E58FB">
      <w:pPr>
        <w:pStyle w:val="Heading2"/>
        <w:keepNext/>
        <w:numPr>
          <w:ilvl w:val="1"/>
          <w:numId w:val="40"/>
        </w:numPr>
        <w:ind w:left="1077"/>
      </w:pPr>
      <w:bookmarkStart w:id="5" w:name="_Toc173933166"/>
      <w:r w:rsidRPr="00AB2158">
        <w:lastRenderedPageBreak/>
        <w:t>Can you provide more details on the ‘practice-based’ licence and how it differs from the current licencing system?</w:t>
      </w:r>
      <w:bookmarkEnd w:id="5"/>
    </w:p>
    <w:p w14:paraId="42A0A500" w14:textId="69AE11FF" w:rsidR="009E58FB" w:rsidRPr="009157D6" w:rsidRDefault="009E58FB" w:rsidP="009E58FB">
      <w:pPr>
        <w:keepLines/>
        <w:ind w:left="357"/>
        <w:rPr>
          <w:sz w:val="22"/>
          <w:szCs w:val="22"/>
        </w:rPr>
      </w:pPr>
      <w:r w:rsidRPr="009157D6">
        <w:rPr>
          <w:sz w:val="22"/>
          <w:szCs w:val="22"/>
        </w:rPr>
        <w:t xml:space="preserve">Practice-based licences will define Medicare eligibility at the practice instead of determining the eligibility of individual MRI machine at </w:t>
      </w:r>
      <w:r w:rsidR="00962D54" w:rsidRPr="009157D6">
        <w:rPr>
          <w:sz w:val="22"/>
          <w:szCs w:val="22"/>
        </w:rPr>
        <w:t>the</w:t>
      </w:r>
      <w:r w:rsidRPr="009157D6">
        <w:rPr>
          <w:sz w:val="22"/>
          <w:szCs w:val="22"/>
        </w:rPr>
        <w:t xml:space="preserve"> practice. A practice-based licence will enable all MRI machines at the practice to provide Medicare-eligible MRI services.</w:t>
      </w:r>
    </w:p>
    <w:p w14:paraId="414346E8" w14:textId="78691927" w:rsidR="0025466D" w:rsidRDefault="0025466D" w:rsidP="009E58FB">
      <w:pPr>
        <w:pStyle w:val="Heading2"/>
        <w:keepNext/>
        <w:numPr>
          <w:ilvl w:val="1"/>
          <w:numId w:val="40"/>
        </w:numPr>
        <w:ind w:left="1077"/>
      </w:pPr>
      <w:bookmarkStart w:id="6" w:name="_Toc173933167"/>
      <w:r>
        <w:t>Does that mean that partially eligible MRI machines will become fully eligible?</w:t>
      </w:r>
      <w:bookmarkEnd w:id="6"/>
    </w:p>
    <w:p w14:paraId="06816150" w14:textId="2539141E" w:rsidR="0025466D" w:rsidRPr="009157D6" w:rsidRDefault="0025466D" w:rsidP="009E58FB">
      <w:pPr>
        <w:ind w:left="357"/>
        <w:rPr>
          <w:sz w:val="22"/>
          <w:szCs w:val="22"/>
        </w:rPr>
      </w:pPr>
      <w:r w:rsidRPr="009157D6">
        <w:rPr>
          <w:b/>
          <w:sz w:val="22"/>
          <w:szCs w:val="22"/>
        </w:rPr>
        <w:t>Yes.</w:t>
      </w:r>
      <w:r w:rsidRPr="009157D6">
        <w:rPr>
          <w:sz w:val="22"/>
          <w:szCs w:val="22"/>
        </w:rPr>
        <w:t xml:space="preserve"> </w:t>
      </w:r>
      <w:r w:rsidRPr="009157D6">
        <w:rPr>
          <w:b/>
          <w:bCs/>
          <w:sz w:val="22"/>
          <w:szCs w:val="22"/>
        </w:rPr>
        <w:t>From 1 July 2025</w:t>
      </w:r>
      <w:r w:rsidRPr="009157D6">
        <w:rPr>
          <w:sz w:val="22"/>
          <w:szCs w:val="22"/>
        </w:rPr>
        <w:t>, partially eligible MRI machines will become fully eligible.</w:t>
      </w:r>
    </w:p>
    <w:p w14:paraId="2142F3B0" w14:textId="06F8A929" w:rsidR="0025466D" w:rsidRDefault="0025466D" w:rsidP="0025466D">
      <w:pPr>
        <w:pStyle w:val="Heading2"/>
        <w:numPr>
          <w:ilvl w:val="1"/>
          <w:numId w:val="40"/>
        </w:numPr>
      </w:pPr>
      <w:bookmarkStart w:id="7" w:name="_Toc173933168"/>
      <w:r>
        <w:t xml:space="preserve">Will </w:t>
      </w:r>
      <w:r w:rsidR="003A3B4E">
        <w:t xml:space="preserve">practices </w:t>
      </w:r>
      <w:r>
        <w:t>with more than one eligible MRI machine be eligible for more than one Practice licence?</w:t>
      </w:r>
      <w:bookmarkEnd w:id="7"/>
    </w:p>
    <w:p w14:paraId="1B3A4C66" w14:textId="7377DA2F" w:rsidR="009E58FB" w:rsidRPr="009157D6" w:rsidRDefault="009E58FB" w:rsidP="009E58FB">
      <w:pPr>
        <w:ind w:left="360"/>
        <w:rPr>
          <w:sz w:val="22"/>
          <w:szCs w:val="22"/>
        </w:rPr>
      </w:pPr>
      <w:r w:rsidRPr="009157D6">
        <w:rPr>
          <w:b/>
          <w:sz w:val="22"/>
          <w:szCs w:val="22"/>
        </w:rPr>
        <w:t>No.</w:t>
      </w:r>
      <w:r w:rsidRPr="009157D6">
        <w:rPr>
          <w:sz w:val="22"/>
          <w:szCs w:val="22"/>
        </w:rPr>
        <w:t xml:space="preserve"> Practices with more than one eligible MRI machine at </w:t>
      </w:r>
      <w:r w:rsidR="00692A48" w:rsidRPr="009157D6">
        <w:rPr>
          <w:sz w:val="22"/>
          <w:szCs w:val="22"/>
        </w:rPr>
        <w:t xml:space="preserve">the </w:t>
      </w:r>
      <w:r w:rsidRPr="009157D6">
        <w:rPr>
          <w:sz w:val="22"/>
          <w:szCs w:val="22"/>
        </w:rPr>
        <w:t xml:space="preserve">practice will receive a single practice-based licence. This licence will enable existing </w:t>
      </w:r>
      <w:r w:rsidR="00B16AFE" w:rsidRPr="009157D6">
        <w:rPr>
          <w:sz w:val="22"/>
          <w:szCs w:val="22"/>
        </w:rPr>
        <w:t xml:space="preserve">partial Medicare-eligible </w:t>
      </w:r>
      <w:r w:rsidRPr="009157D6">
        <w:rPr>
          <w:sz w:val="22"/>
          <w:szCs w:val="22"/>
        </w:rPr>
        <w:t>MRI machines to be fully eligible. Any ineligible MRI machines at that practice will also become eligible.</w:t>
      </w:r>
      <w:r w:rsidR="00050B1D" w:rsidRPr="009157D6">
        <w:rPr>
          <w:sz w:val="22"/>
          <w:szCs w:val="22"/>
        </w:rPr>
        <w:t xml:space="preserve"> </w:t>
      </w:r>
    </w:p>
    <w:p w14:paraId="5312678D" w14:textId="29C2AA03" w:rsidR="009E58FB" w:rsidRPr="009157D6" w:rsidRDefault="009E58FB" w:rsidP="009E58FB">
      <w:pPr>
        <w:ind w:left="360"/>
        <w:rPr>
          <w:sz w:val="22"/>
          <w:szCs w:val="22"/>
        </w:rPr>
      </w:pPr>
      <w:r w:rsidRPr="009157D6">
        <w:rPr>
          <w:sz w:val="22"/>
          <w:szCs w:val="22"/>
        </w:rPr>
        <w:t xml:space="preserve">Requests to move eligibility for one of these machines to another site (thus spreading eligibility across multiple practices) will be rejected. There is no authority for additional practices to receive a practice-based licence </w:t>
      </w:r>
      <w:r w:rsidRPr="009157D6">
        <w:rPr>
          <w:b/>
          <w:bCs/>
          <w:sz w:val="22"/>
          <w:szCs w:val="22"/>
        </w:rPr>
        <w:t>before 1 July 2027</w:t>
      </w:r>
      <w:r w:rsidRPr="009157D6">
        <w:rPr>
          <w:sz w:val="22"/>
          <w:szCs w:val="22"/>
        </w:rPr>
        <w:t>.</w:t>
      </w:r>
    </w:p>
    <w:p w14:paraId="3208C8E6" w14:textId="5972B97E" w:rsidR="00AB2158" w:rsidRDefault="00AB2158" w:rsidP="0025466D">
      <w:pPr>
        <w:pStyle w:val="Heading2"/>
        <w:numPr>
          <w:ilvl w:val="1"/>
          <w:numId w:val="40"/>
        </w:numPr>
      </w:pPr>
      <w:bookmarkStart w:id="8" w:name="_Toc173933169"/>
      <w:r w:rsidRPr="00AB2158">
        <w:t>How will the changes affect practices without an existing MRI licence?</w:t>
      </w:r>
      <w:bookmarkEnd w:id="8"/>
    </w:p>
    <w:p w14:paraId="73E79F04" w14:textId="771CF636" w:rsidR="009E58FB" w:rsidRPr="009157D6" w:rsidRDefault="009E58FB" w:rsidP="009E58FB">
      <w:pPr>
        <w:ind w:left="360"/>
        <w:rPr>
          <w:sz w:val="22"/>
          <w:szCs w:val="22"/>
        </w:rPr>
      </w:pPr>
      <w:r w:rsidRPr="009157D6">
        <w:rPr>
          <w:sz w:val="22"/>
          <w:szCs w:val="22"/>
        </w:rPr>
        <w:t xml:space="preserve">MRI machines at comprehensive practices without a machine-based licence will become Medicare-eligible </w:t>
      </w:r>
      <w:r w:rsidRPr="009157D6">
        <w:rPr>
          <w:b/>
          <w:bCs/>
          <w:sz w:val="22"/>
          <w:szCs w:val="22"/>
        </w:rPr>
        <w:t>from 1 July 2027</w:t>
      </w:r>
      <w:r w:rsidRPr="009157D6">
        <w:rPr>
          <w:sz w:val="22"/>
          <w:szCs w:val="22"/>
        </w:rPr>
        <w:t>.</w:t>
      </w:r>
    </w:p>
    <w:p w14:paraId="7FC19198" w14:textId="6ADA2C0A" w:rsidR="009E58FB" w:rsidRPr="009157D6" w:rsidRDefault="009E58FB" w:rsidP="009E58FB">
      <w:pPr>
        <w:ind w:left="360"/>
        <w:rPr>
          <w:sz w:val="22"/>
          <w:szCs w:val="22"/>
        </w:rPr>
      </w:pPr>
      <w:r w:rsidRPr="009157D6">
        <w:rPr>
          <w:sz w:val="22"/>
          <w:szCs w:val="22"/>
        </w:rPr>
        <w:t xml:space="preserve">The 1 July 2025 expansion to MRI arrangements did not include authority for additional practices to receive a practice-based licence </w:t>
      </w:r>
      <w:r w:rsidRPr="009157D6">
        <w:rPr>
          <w:b/>
          <w:bCs/>
          <w:sz w:val="22"/>
          <w:szCs w:val="22"/>
        </w:rPr>
        <w:t>before 1 July 2027</w:t>
      </w:r>
      <w:r w:rsidRPr="009157D6">
        <w:rPr>
          <w:sz w:val="22"/>
          <w:szCs w:val="22"/>
        </w:rPr>
        <w:t>.</w:t>
      </w:r>
    </w:p>
    <w:p w14:paraId="7F6867DF" w14:textId="5F247DAE" w:rsidR="00AB2158" w:rsidRDefault="00AB2158" w:rsidP="009E47CB">
      <w:pPr>
        <w:pStyle w:val="Heading1"/>
        <w:numPr>
          <w:ilvl w:val="0"/>
          <w:numId w:val="40"/>
        </w:numPr>
        <w:rPr>
          <w:color w:val="3F4A75" w:themeColor="accent1"/>
        </w:rPr>
      </w:pPr>
      <w:bookmarkStart w:id="9" w:name="_Toc173933170"/>
      <w:r w:rsidRPr="00AB2158">
        <w:rPr>
          <w:color w:val="3F4A75" w:themeColor="accent1"/>
        </w:rPr>
        <w:t xml:space="preserve">Transfer </w:t>
      </w:r>
      <w:r w:rsidR="006D47BB" w:rsidRPr="00AB2158">
        <w:rPr>
          <w:color w:val="3F4A75" w:themeColor="accent1"/>
        </w:rPr>
        <w:t>arrangements.</w:t>
      </w:r>
      <w:bookmarkEnd w:id="9"/>
    </w:p>
    <w:p w14:paraId="05285451" w14:textId="5F1BA094" w:rsidR="00B526E5" w:rsidRDefault="00B526E5" w:rsidP="001D6E4D">
      <w:pPr>
        <w:pStyle w:val="Heading2"/>
        <w:numPr>
          <w:ilvl w:val="1"/>
          <w:numId w:val="40"/>
        </w:numPr>
      </w:pPr>
      <w:bookmarkStart w:id="10" w:name="_Toc173933171"/>
      <w:r>
        <w:t xml:space="preserve">How </w:t>
      </w:r>
      <w:r w:rsidR="006D47BB">
        <w:t>will</w:t>
      </w:r>
      <w:r>
        <w:t xml:space="preserve"> transfer</w:t>
      </w:r>
      <w:r w:rsidR="006D47BB">
        <w:t xml:space="preserve"> application</w:t>
      </w:r>
      <w:r>
        <w:t xml:space="preserve">s </w:t>
      </w:r>
      <w:r w:rsidR="006D47BB">
        <w:t xml:space="preserve">be </w:t>
      </w:r>
      <w:r>
        <w:t>assessed?</w:t>
      </w:r>
      <w:bookmarkEnd w:id="10"/>
    </w:p>
    <w:p w14:paraId="77376CA8" w14:textId="77777777" w:rsidR="00B526E5" w:rsidRPr="00EC7BFD" w:rsidRDefault="00B526E5" w:rsidP="00B526E5">
      <w:pPr>
        <w:ind w:left="360"/>
        <w:rPr>
          <w:rFonts w:asciiTheme="majorHAnsi" w:hAnsiTheme="majorHAnsi" w:cstheme="majorHAnsi"/>
          <w:sz w:val="22"/>
          <w:szCs w:val="22"/>
        </w:rPr>
      </w:pPr>
      <w:r w:rsidRPr="00EC7BFD">
        <w:rPr>
          <w:rFonts w:asciiTheme="majorHAnsi" w:hAnsiTheme="majorHAnsi" w:cstheme="majorHAnsi"/>
          <w:sz w:val="22"/>
          <w:szCs w:val="22"/>
        </w:rPr>
        <w:t>Non-essential transfers will generally only be considered in exceptional circumstances. Practices that apply for a transfer must provide a strong business case for why the transfer should be considered. Permanent transfer must be accompanied by a robust justification and a comprehensive analysis of the impact in both the existing and proposed locations.</w:t>
      </w:r>
    </w:p>
    <w:p w14:paraId="245062F1" w14:textId="624BD3E9" w:rsidR="00B526E5" w:rsidRPr="00EC7BFD" w:rsidRDefault="00B526E5" w:rsidP="00B526E5">
      <w:pPr>
        <w:ind w:left="360"/>
        <w:rPr>
          <w:rFonts w:asciiTheme="majorHAnsi" w:hAnsiTheme="majorHAnsi" w:cstheme="majorHAnsi"/>
          <w:sz w:val="22"/>
          <w:szCs w:val="22"/>
        </w:rPr>
      </w:pPr>
      <w:r w:rsidRPr="00EC7BFD">
        <w:rPr>
          <w:rFonts w:asciiTheme="majorHAnsi" w:hAnsiTheme="majorHAnsi" w:cstheme="majorHAnsi"/>
          <w:sz w:val="22"/>
          <w:szCs w:val="22"/>
        </w:rPr>
        <w:t xml:space="preserve">The rationale for the change in each transfer application will be </w:t>
      </w:r>
      <w:r w:rsidR="006D47BB" w:rsidRPr="00EC7BFD">
        <w:rPr>
          <w:rFonts w:asciiTheme="majorHAnsi" w:hAnsiTheme="majorHAnsi" w:cstheme="majorHAnsi"/>
          <w:sz w:val="22"/>
          <w:szCs w:val="22"/>
        </w:rPr>
        <w:t>close</w:t>
      </w:r>
      <w:r w:rsidRPr="00EC7BFD">
        <w:rPr>
          <w:rFonts w:asciiTheme="majorHAnsi" w:hAnsiTheme="majorHAnsi" w:cstheme="majorHAnsi"/>
          <w:sz w:val="22"/>
          <w:szCs w:val="22"/>
        </w:rPr>
        <w:t>ly analysed, as will the billing practices across locations, ensuring that every aspect is thoroughly considered before making a transfer decision.</w:t>
      </w:r>
    </w:p>
    <w:p w14:paraId="3DAB582F" w14:textId="77777777" w:rsidR="006D47BB" w:rsidRPr="00EC7BFD" w:rsidRDefault="006D47BB" w:rsidP="006D47BB">
      <w:pPr>
        <w:ind w:left="360"/>
        <w:rPr>
          <w:rFonts w:asciiTheme="minorHAnsi" w:hAnsiTheme="minorHAnsi" w:cstheme="minorHAnsi"/>
          <w:sz w:val="22"/>
          <w:szCs w:val="22"/>
        </w:rPr>
      </w:pPr>
      <w:r w:rsidRPr="00EC7BFD">
        <w:rPr>
          <w:rFonts w:asciiTheme="minorHAnsi" w:hAnsiTheme="minorHAnsi" w:cstheme="minorHAnsi"/>
          <w:sz w:val="22"/>
          <w:szCs w:val="22"/>
        </w:rPr>
        <w:t xml:space="preserve">It is important to note that transfer approval is not guaranteed and that transfer </w:t>
      </w:r>
      <w:r w:rsidRPr="00EC7BFD">
        <w:rPr>
          <w:rFonts w:asciiTheme="minorHAnsi" w:hAnsiTheme="minorHAnsi" w:cstheme="minorHAnsi"/>
          <w:sz w:val="22"/>
          <w:szCs w:val="22"/>
          <w:u w:val="single"/>
        </w:rPr>
        <w:t>decisions are likely to take up to 8 weeks</w:t>
      </w:r>
      <w:r w:rsidRPr="00EC7BFD">
        <w:rPr>
          <w:rFonts w:asciiTheme="minorHAnsi" w:hAnsiTheme="minorHAnsi" w:cstheme="minorHAnsi"/>
          <w:sz w:val="22"/>
          <w:szCs w:val="22"/>
        </w:rPr>
        <w:t xml:space="preserve">. </w:t>
      </w:r>
    </w:p>
    <w:p w14:paraId="579E840D" w14:textId="77777777" w:rsidR="006D47BB" w:rsidRPr="00EC7BFD" w:rsidRDefault="006D47BB" w:rsidP="006D47BB">
      <w:pPr>
        <w:ind w:left="360"/>
        <w:rPr>
          <w:rFonts w:asciiTheme="minorHAnsi" w:hAnsiTheme="minorHAnsi" w:cstheme="minorHAnsi"/>
          <w:sz w:val="22"/>
          <w:szCs w:val="22"/>
        </w:rPr>
      </w:pPr>
      <w:r w:rsidRPr="00EC7BFD">
        <w:rPr>
          <w:rFonts w:asciiTheme="minorHAnsi" w:hAnsiTheme="minorHAnsi" w:cstheme="minorHAnsi"/>
          <w:sz w:val="22"/>
          <w:szCs w:val="22"/>
        </w:rPr>
        <w:lastRenderedPageBreak/>
        <w:t xml:space="preserve">Practices who have multiple Medicare-eligible MRI machines and wishing to transfer a single Medicare-eligible MRI machine to another practice, will be rejected. There is no authority for additional practices to receive a practice-based licence </w:t>
      </w:r>
      <w:r w:rsidRPr="00EC7BFD">
        <w:rPr>
          <w:rFonts w:asciiTheme="minorHAnsi" w:hAnsiTheme="minorHAnsi" w:cstheme="minorHAnsi"/>
          <w:b/>
          <w:bCs/>
          <w:sz w:val="22"/>
          <w:szCs w:val="22"/>
        </w:rPr>
        <w:t>before 1 July 2027</w:t>
      </w:r>
      <w:r w:rsidRPr="00EC7BFD">
        <w:rPr>
          <w:rFonts w:asciiTheme="minorHAnsi" w:hAnsiTheme="minorHAnsi" w:cstheme="minorHAnsi"/>
          <w:sz w:val="22"/>
          <w:szCs w:val="22"/>
        </w:rPr>
        <w:t>.</w:t>
      </w:r>
    </w:p>
    <w:p w14:paraId="498E911F" w14:textId="7EB028EF" w:rsidR="0025466D" w:rsidRDefault="0025466D" w:rsidP="009E58FB">
      <w:pPr>
        <w:pStyle w:val="Heading2"/>
        <w:keepNext/>
        <w:numPr>
          <w:ilvl w:val="1"/>
          <w:numId w:val="40"/>
        </w:numPr>
        <w:ind w:left="1077"/>
      </w:pPr>
      <w:bookmarkStart w:id="11" w:name="_Toc173933172"/>
      <w:r>
        <w:t>What will happen to transfer requests from 1 July 2025?</w:t>
      </w:r>
      <w:bookmarkEnd w:id="11"/>
    </w:p>
    <w:p w14:paraId="52DBDFF9" w14:textId="280A5455" w:rsidR="001076EC" w:rsidRPr="00EC7BFD" w:rsidRDefault="001076EC" w:rsidP="009E58FB">
      <w:pPr>
        <w:ind w:left="360"/>
        <w:rPr>
          <w:rFonts w:asciiTheme="minorHAnsi" w:hAnsiTheme="minorHAnsi" w:cstheme="minorHAnsi"/>
          <w:sz w:val="22"/>
          <w:szCs w:val="22"/>
        </w:rPr>
      </w:pPr>
      <w:r w:rsidRPr="00EC7BFD">
        <w:rPr>
          <w:rFonts w:asciiTheme="minorHAnsi" w:hAnsiTheme="minorHAnsi" w:cstheme="minorHAnsi"/>
          <w:sz w:val="22"/>
          <w:szCs w:val="22"/>
        </w:rPr>
        <w:t xml:space="preserve">As machine-based licences will no longer exist </w:t>
      </w:r>
      <w:r w:rsidRPr="00EC7BFD">
        <w:rPr>
          <w:rFonts w:asciiTheme="minorHAnsi" w:hAnsiTheme="minorHAnsi" w:cstheme="minorHAnsi"/>
          <w:b/>
          <w:sz w:val="22"/>
          <w:szCs w:val="22"/>
        </w:rPr>
        <w:t>from 1 July 2025</w:t>
      </w:r>
      <w:r w:rsidRPr="00EC7BFD">
        <w:rPr>
          <w:rFonts w:asciiTheme="minorHAnsi" w:hAnsiTheme="minorHAnsi" w:cstheme="minorHAnsi"/>
          <w:sz w:val="22"/>
          <w:szCs w:val="22"/>
        </w:rPr>
        <w:t xml:space="preserve">, </w:t>
      </w:r>
      <w:r w:rsidRPr="00EC7BFD">
        <w:rPr>
          <w:rFonts w:asciiTheme="minorHAnsi" w:hAnsiTheme="minorHAnsi" w:cstheme="minorHAnsi"/>
          <w:b/>
          <w:bCs/>
          <w:sz w:val="22"/>
          <w:szCs w:val="22"/>
        </w:rPr>
        <w:t>temporary</w:t>
      </w:r>
      <w:r w:rsidRPr="00EC7BFD">
        <w:rPr>
          <w:rFonts w:asciiTheme="minorHAnsi" w:hAnsiTheme="minorHAnsi" w:cstheme="minorHAnsi"/>
          <w:sz w:val="22"/>
          <w:szCs w:val="22"/>
        </w:rPr>
        <w:t xml:space="preserve"> machine transfers will be rejected </w:t>
      </w:r>
      <w:r w:rsidRPr="00EC7BFD">
        <w:rPr>
          <w:rFonts w:asciiTheme="minorHAnsi" w:hAnsiTheme="minorHAnsi" w:cstheme="minorHAnsi"/>
          <w:b/>
          <w:sz w:val="22"/>
          <w:szCs w:val="22"/>
        </w:rPr>
        <w:t>after 30 June 2025</w:t>
      </w:r>
      <w:r w:rsidR="00721168" w:rsidRPr="00EC7BFD">
        <w:rPr>
          <w:rFonts w:asciiTheme="minorHAnsi" w:hAnsiTheme="minorHAnsi" w:cstheme="minorHAnsi"/>
          <w:b/>
          <w:sz w:val="22"/>
          <w:szCs w:val="22"/>
        </w:rPr>
        <w:t>.</w:t>
      </w:r>
      <w:r w:rsidR="007F68F5" w:rsidRPr="00EC7BFD">
        <w:rPr>
          <w:rFonts w:asciiTheme="minorHAnsi" w:hAnsiTheme="minorHAnsi" w:cstheme="minorHAnsi"/>
          <w:sz w:val="22"/>
          <w:szCs w:val="22"/>
        </w:rPr>
        <w:t xml:space="preserve"> </w:t>
      </w:r>
      <w:r w:rsidRPr="00EC7BFD">
        <w:rPr>
          <w:rFonts w:asciiTheme="minorHAnsi" w:hAnsiTheme="minorHAnsi" w:cstheme="minorHAnsi"/>
          <w:sz w:val="22"/>
          <w:szCs w:val="22"/>
        </w:rPr>
        <w:t xml:space="preserve">However, practices can apply to transfer the </w:t>
      </w:r>
      <w:r w:rsidR="002B5048" w:rsidRPr="00EC7BFD">
        <w:rPr>
          <w:rFonts w:asciiTheme="minorHAnsi" w:hAnsiTheme="minorHAnsi" w:cstheme="minorHAnsi"/>
          <w:sz w:val="22"/>
          <w:szCs w:val="22"/>
        </w:rPr>
        <w:t>entire</w:t>
      </w:r>
      <w:r w:rsidR="00907553" w:rsidRPr="00EC7BFD">
        <w:rPr>
          <w:rFonts w:asciiTheme="minorHAnsi" w:hAnsiTheme="minorHAnsi" w:cstheme="minorHAnsi"/>
          <w:sz w:val="22"/>
          <w:szCs w:val="22"/>
        </w:rPr>
        <w:t xml:space="preserve"> </w:t>
      </w:r>
      <w:r w:rsidRPr="00EC7BFD">
        <w:rPr>
          <w:rFonts w:asciiTheme="minorHAnsi" w:hAnsiTheme="minorHAnsi" w:cstheme="minorHAnsi"/>
          <w:sz w:val="22"/>
          <w:szCs w:val="22"/>
        </w:rPr>
        <w:t>practice</w:t>
      </w:r>
      <w:r w:rsidRPr="00EC7BFD">
        <w:rPr>
          <w:rFonts w:ascii="Cambria Math" w:hAnsi="Cambria Math" w:cs="Cambria Math"/>
          <w:sz w:val="22"/>
          <w:szCs w:val="22"/>
        </w:rPr>
        <w:t>‑</w:t>
      </w:r>
      <w:r w:rsidRPr="00EC7BFD">
        <w:rPr>
          <w:rFonts w:asciiTheme="minorHAnsi" w:hAnsiTheme="minorHAnsi" w:cstheme="minorHAnsi"/>
          <w:sz w:val="22"/>
          <w:szCs w:val="22"/>
        </w:rPr>
        <w:t>based licence to another practice where they can justify exceptional circumstances.</w:t>
      </w:r>
    </w:p>
    <w:p w14:paraId="374424A7" w14:textId="3F445DCA" w:rsidR="00C40A19" w:rsidRPr="00EC7BFD" w:rsidRDefault="00537AA7" w:rsidP="00C40A19">
      <w:pPr>
        <w:ind w:left="360"/>
        <w:rPr>
          <w:rFonts w:asciiTheme="minorHAnsi" w:hAnsiTheme="minorHAnsi" w:cstheme="minorHAnsi"/>
          <w:sz w:val="22"/>
          <w:szCs w:val="22"/>
        </w:rPr>
      </w:pPr>
      <w:r w:rsidRPr="00EC7BFD">
        <w:rPr>
          <w:rFonts w:asciiTheme="minorHAnsi" w:hAnsiTheme="minorHAnsi" w:cstheme="minorHAnsi"/>
          <w:sz w:val="22"/>
          <w:szCs w:val="22"/>
        </w:rPr>
        <w:t xml:space="preserve">Transfer </w:t>
      </w:r>
      <w:r w:rsidRPr="00EC7BFD">
        <w:rPr>
          <w:rFonts w:asciiTheme="minorHAnsi" w:hAnsiTheme="minorHAnsi" w:cstheme="minorHAnsi"/>
          <w:sz w:val="22"/>
          <w:szCs w:val="22"/>
          <w:u w:val="single"/>
        </w:rPr>
        <w:t xml:space="preserve">decisions are likely to take up to </w:t>
      </w:r>
      <w:r w:rsidR="00E463B2" w:rsidRPr="00EC7BFD">
        <w:rPr>
          <w:rFonts w:asciiTheme="minorHAnsi" w:hAnsiTheme="minorHAnsi" w:cstheme="minorHAnsi"/>
          <w:sz w:val="22"/>
          <w:szCs w:val="22"/>
          <w:u w:val="single"/>
        </w:rPr>
        <w:t>8</w:t>
      </w:r>
      <w:r w:rsidRPr="00EC7BFD">
        <w:rPr>
          <w:rFonts w:asciiTheme="minorHAnsi" w:hAnsiTheme="minorHAnsi" w:cstheme="minorHAnsi"/>
          <w:sz w:val="22"/>
          <w:szCs w:val="22"/>
          <w:u w:val="single"/>
        </w:rPr>
        <w:t xml:space="preserve"> weeks</w:t>
      </w:r>
      <w:r w:rsidRPr="00EC7BFD">
        <w:rPr>
          <w:rFonts w:asciiTheme="minorHAnsi" w:hAnsiTheme="minorHAnsi" w:cstheme="minorHAnsi"/>
          <w:sz w:val="22"/>
          <w:szCs w:val="22"/>
        </w:rPr>
        <w:t xml:space="preserve"> and the approval of transfers is not guaranteed.</w:t>
      </w:r>
      <w:r w:rsidR="00C40A19" w:rsidRPr="00EC7BFD">
        <w:rPr>
          <w:rFonts w:asciiTheme="minorHAnsi" w:hAnsiTheme="minorHAnsi" w:cstheme="minorHAnsi"/>
          <w:sz w:val="22"/>
          <w:szCs w:val="22"/>
        </w:rPr>
        <w:t xml:space="preserve"> Consultation with other practices and State and Territory regulators in affected areas may </w:t>
      </w:r>
      <w:r w:rsidR="006D47BB" w:rsidRPr="00EC7BFD">
        <w:rPr>
          <w:rFonts w:asciiTheme="minorHAnsi" w:hAnsiTheme="minorHAnsi" w:cstheme="minorHAnsi"/>
          <w:sz w:val="22"/>
          <w:szCs w:val="22"/>
        </w:rPr>
        <w:t xml:space="preserve">also </w:t>
      </w:r>
      <w:r w:rsidR="00C40A19" w:rsidRPr="00EC7BFD">
        <w:rPr>
          <w:rFonts w:asciiTheme="minorHAnsi" w:hAnsiTheme="minorHAnsi" w:cstheme="minorHAnsi"/>
          <w:sz w:val="22"/>
          <w:szCs w:val="22"/>
        </w:rPr>
        <w:t xml:space="preserve">be required and </w:t>
      </w:r>
      <w:r w:rsidR="006D47BB" w:rsidRPr="00EC7BFD">
        <w:rPr>
          <w:rFonts w:asciiTheme="minorHAnsi" w:hAnsiTheme="minorHAnsi" w:cstheme="minorHAnsi"/>
          <w:sz w:val="22"/>
          <w:szCs w:val="22"/>
        </w:rPr>
        <w:t xml:space="preserve">this </w:t>
      </w:r>
      <w:r w:rsidR="00C40A19" w:rsidRPr="00EC7BFD">
        <w:rPr>
          <w:rFonts w:asciiTheme="minorHAnsi" w:hAnsiTheme="minorHAnsi" w:cstheme="minorHAnsi"/>
          <w:sz w:val="22"/>
          <w:szCs w:val="22"/>
        </w:rPr>
        <w:t>may delay the time it takes to make a decision.</w:t>
      </w:r>
    </w:p>
    <w:p w14:paraId="0FE0E709" w14:textId="531704D1" w:rsidR="009E58FB" w:rsidRPr="00EC7BFD" w:rsidRDefault="009E58FB" w:rsidP="009E58FB">
      <w:pPr>
        <w:ind w:left="360"/>
        <w:rPr>
          <w:rFonts w:asciiTheme="minorHAnsi" w:hAnsiTheme="minorHAnsi" w:cstheme="minorHAnsi"/>
          <w:sz w:val="22"/>
          <w:szCs w:val="22"/>
        </w:rPr>
      </w:pPr>
      <w:bookmarkStart w:id="12" w:name="_Hlk173241797"/>
      <w:r w:rsidRPr="00EC7BFD">
        <w:rPr>
          <w:rFonts w:asciiTheme="minorHAnsi" w:hAnsiTheme="minorHAnsi" w:cstheme="minorHAnsi"/>
          <w:sz w:val="22"/>
          <w:szCs w:val="22"/>
        </w:rPr>
        <w:t xml:space="preserve">If a practice is granted a </w:t>
      </w:r>
      <w:r w:rsidRPr="00EC7BFD">
        <w:rPr>
          <w:rFonts w:asciiTheme="minorHAnsi" w:hAnsiTheme="minorHAnsi" w:cstheme="minorHAnsi"/>
          <w:b/>
          <w:bCs/>
          <w:sz w:val="22"/>
          <w:szCs w:val="22"/>
        </w:rPr>
        <w:t xml:space="preserve">permanent </w:t>
      </w:r>
      <w:r w:rsidRPr="00EC7BFD">
        <w:rPr>
          <w:rFonts w:asciiTheme="minorHAnsi" w:hAnsiTheme="minorHAnsi" w:cstheme="minorHAnsi"/>
          <w:sz w:val="22"/>
          <w:szCs w:val="22"/>
        </w:rPr>
        <w:t xml:space="preserve">transfer, the existing practice will have its </w:t>
      </w:r>
      <w:r w:rsidR="00B8065A" w:rsidRPr="00EC7BFD">
        <w:rPr>
          <w:rFonts w:asciiTheme="minorHAnsi" w:hAnsiTheme="minorHAnsi" w:cstheme="minorHAnsi"/>
          <w:sz w:val="22"/>
          <w:szCs w:val="22"/>
        </w:rPr>
        <w:t>D</w:t>
      </w:r>
      <w:r w:rsidRPr="00EC7BFD">
        <w:rPr>
          <w:rFonts w:asciiTheme="minorHAnsi" w:hAnsiTheme="minorHAnsi" w:cstheme="minorHAnsi"/>
          <w:sz w:val="22"/>
          <w:szCs w:val="22"/>
        </w:rPr>
        <w:t xml:space="preserve">eed of </w:t>
      </w:r>
      <w:r w:rsidR="00B8065A" w:rsidRPr="00EC7BFD">
        <w:rPr>
          <w:rFonts w:asciiTheme="minorHAnsi" w:hAnsiTheme="minorHAnsi" w:cstheme="minorHAnsi"/>
          <w:sz w:val="22"/>
          <w:szCs w:val="22"/>
        </w:rPr>
        <w:t>U</w:t>
      </w:r>
      <w:r w:rsidRPr="00EC7BFD">
        <w:rPr>
          <w:rFonts w:asciiTheme="minorHAnsi" w:hAnsiTheme="minorHAnsi" w:cstheme="minorHAnsi"/>
          <w:sz w:val="22"/>
          <w:szCs w:val="22"/>
        </w:rPr>
        <w:t xml:space="preserve">ndertaking revoked and a new </w:t>
      </w:r>
      <w:r w:rsidR="00B8065A" w:rsidRPr="00EC7BFD">
        <w:rPr>
          <w:rFonts w:asciiTheme="minorHAnsi" w:hAnsiTheme="minorHAnsi" w:cstheme="minorHAnsi"/>
          <w:sz w:val="22"/>
          <w:szCs w:val="22"/>
        </w:rPr>
        <w:t>D</w:t>
      </w:r>
      <w:r w:rsidRPr="00EC7BFD">
        <w:rPr>
          <w:rFonts w:asciiTheme="minorHAnsi" w:hAnsiTheme="minorHAnsi" w:cstheme="minorHAnsi"/>
          <w:sz w:val="22"/>
          <w:szCs w:val="22"/>
        </w:rPr>
        <w:t xml:space="preserve">eed of </w:t>
      </w:r>
      <w:r w:rsidR="00B8065A" w:rsidRPr="00EC7BFD">
        <w:rPr>
          <w:rFonts w:asciiTheme="minorHAnsi" w:hAnsiTheme="minorHAnsi" w:cstheme="minorHAnsi"/>
          <w:sz w:val="22"/>
          <w:szCs w:val="22"/>
        </w:rPr>
        <w:t>U</w:t>
      </w:r>
      <w:r w:rsidRPr="00EC7BFD">
        <w:rPr>
          <w:rFonts w:asciiTheme="minorHAnsi" w:hAnsiTheme="minorHAnsi" w:cstheme="minorHAnsi"/>
          <w:sz w:val="22"/>
          <w:szCs w:val="22"/>
        </w:rPr>
        <w:t xml:space="preserve">ndertaking will be provided to the </w:t>
      </w:r>
      <w:r w:rsidR="00F53F05" w:rsidRPr="00EC7BFD">
        <w:rPr>
          <w:rFonts w:asciiTheme="minorHAnsi" w:hAnsiTheme="minorHAnsi" w:cstheme="minorHAnsi"/>
          <w:sz w:val="22"/>
          <w:szCs w:val="22"/>
        </w:rPr>
        <w:t>requested new practice</w:t>
      </w:r>
      <w:r w:rsidRPr="00EC7BFD">
        <w:rPr>
          <w:rFonts w:asciiTheme="minorHAnsi" w:hAnsiTheme="minorHAnsi" w:cstheme="minorHAnsi"/>
          <w:sz w:val="22"/>
          <w:szCs w:val="22"/>
        </w:rPr>
        <w:t>.</w:t>
      </w:r>
    </w:p>
    <w:p w14:paraId="59D21F1C" w14:textId="303468D2" w:rsidR="0025466D" w:rsidRDefault="0025466D" w:rsidP="0025466D">
      <w:pPr>
        <w:pStyle w:val="Heading2"/>
        <w:numPr>
          <w:ilvl w:val="1"/>
          <w:numId w:val="40"/>
        </w:numPr>
      </w:pPr>
      <w:bookmarkStart w:id="13" w:name="_Toc173933173"/>
      <w:bookmarkEnd w:id="12"/>
      <w:r>
        <w:t>What will happen to transfer requests from 1 July 2027?</w:t>
      </w:r>
      <w:bookmarkEnd w:id="13"/>
    </w:p>
    <w:p w14:paraId="7F2DDF60" w14:textId="2DA6F231" w:rsidR="004D7FB4" w:rsidRPr="00EC7BFD" w:rsidRDefault="001A6010" w:rsidP="009E58FB">
      <w:pPr>
        <w:ind w:left="360"/>
        <w:rPr>
          <w:rFonts w:asciiTheme="majorHAnsi" w:hAnsiTheme="majorHAnsi" w:cstheme="majorHAnsi"/>
          <w:sz w:val="22"/>
          <w:szCs w:val="22"/>
        </w:rPr>
      </w:pPr>
      <w:r w:rsidRPr="00EC7BFD">
        <w:rPr>
          <w:rFonts w:asciiTheme="majorHAnsi" w:hAnsiTheme="majorHAnsi" w:cstheme="majorHAnsi"/>
          <w:b/>
          <w:sz w:val="22"/>
          <w:szCs w:val="22"/>
        </w:rPr>
        <w:t>From 1 July 2027</w:t>
      </w:r>
      <w:r w:rsidRPr="00EC7BFD">
        <w:rPr>
          <w:rFonts w:asciiTheme="majorHAnsi" w:hAnsiTheme="majorHAnsi" w:cstheme="majorHAnsi"/>
          <w:sz w:val="22"/>
          <w:szCs w:val="22"/>
        </w:rPr>
        <w:t>,</w:t>
      </w:r>
      <w:r w:rsidR="00884DE5" w:rsidRPr="00EC7BFD">
        <w:rPr>
          <w:rFonts w:asciiTheme="majorHAnsi" w:hAnsiTheme="majorHAnsi" w:cstheme="majorHAnsi"/>
          <w:sz w:val="22"/>
          <w:szCs w:val="22"/>
        </w:rPr>
        <w:t xml:space="preserve"> MRI transfer applications will cease as they will not be required.</w:t>
      </w:r>
      <w:r w:rsidR="00E179DB" w:rsidRPr="00EC7BFD">
        <w:rPr>
          <w:rFonts w:asciiTheme="majorHAnsi" w:hAnsiTheme="majorHAnsi" w:cstheme="majorHAnsi"/>
          <w:sz w:val="22"/>
          <w:szCs w:val="22"/>
        </w:rPr>
        <w:t xml:space="preserve"> </w:t>
      </w:r>
    </w:p>
    <w:p w14:paraId="11D696D1" w14:textId="35F8FEA4" w:rsidR="00737701" w:rsidRPr="00EC7BFD" w:rsidRDefault="00630CA4" w:rsidP="009E58FB">
      <w:pPr>
        <w:ind w:left="360"/>
        <w:rPr>
          <w:rFonts w:asciiTheme="majorHAnsi" w:hAnsiTheme="majorHAnsi" w:cstheme="majorHAnsi"/>
          <w:sz w:val="22"/>
          <w:szCs w:val="22"/>
        </w:rPr>
      </w:pPr>
      <w:r w:rsidRPr="00EC7BFD">
        <w:rPr>
          <w:rFonts w:asciiTheme="majorHAnsi" w:hAnsiTheme="majorHAnsi" w:cstheme="majorHAnsi"/>
          <w:sz w:val="22"/>
          <w:szCs w:val="22"/>
        </w:rPr>
        <w:t>All</w:t>
      </w:r>
      <w:r w:rsidR="0025466D" w:rsidRPr="00EC7BFD">
        <w:rPr>
          <w:rFonts w:asciiTheme="majorHAnsi" w:hAnsiTheme="majorHAnsi" w:cstheme="majorHAnsi"/>
          <w:sz w:val="22"/>
          <w:szCs w:val="22"/>
        </w:rPr>
        <w:t xml:space="preserve"> </w:t>
      </w:r>
      <w:r w:rsidR="004D7FB4" w:rsidRPr="00EC7BFD">
        <w:rPr>
          <w:rFonts w:asciiTheme="majorHAnsi" w:hAnsiTheme="majorHAnsi" w:cstheme="majorHAnsi"/>
          <w:sz w:val="22"/>
          <w:szCs w:val="22"/>
        </w:rPr>
        <w:t xml:space="preserve">comprehensive </w:t>
      </w:r>
      <w:r w:rsidR="0025466D" w:rsidRPr="00EC7BFD">
        <w:rPr>
          <w:rFonts w:asciiTheme="majorHAnsi" w:hAnsiTheme="majorHAnsi" w:cstheme="majorHAnsi"/>
          <w:sz w:val="22"/>
          <w:szCs w:val="22"/>
        </w:rPr>
        <w:t>practices</w:t>
      </w:r>
      <w:r w:rsidR="00264D6E" w:rsidRPr="00EC7BFD">
        <w:rPr>
          <w:rFonts w:asciiTheme="majorHAnsi" w:hAnsiTheme="majorHAnsi" w:cstheme="majorHAnsi"/>
          <w:sz w:val="22"/>
          <w:szCs w:val="22"/>
        </w:rPr>
        <w:t xml:space="preserve"> </w:t>
      </w:r>
      <w:r w:rsidR="003A3296" w:rsidRPr="00EC7BFD">
        <w:rPr>
          <w:rFonts w:asciiTheme="majorHAnsi" w:hAnsiTheme="majorHAnsi" w:cstheme="majorHAnsi"/>
          <w:sz w:val="22"/>
          <w:szCs w:val="22"/>
        </w:rPr>
        <w:t xml:space="preserve">that </w:t>
      </w:r>
      <w:r w:rsidR="009671B6" w:rsidRPr="00EC7BFD">
        <w:rPr>
          <w:rFonts w:asciiTheme="majorHAnsi" w:hAnsiTheme="majorHAnsi" w:cstheme="majorHAnsi"/>
          <w:sz w:val="22"/>
          <w:szCs w:val="22"/>
        </w:rPr>
        <w:t xml:space="preserve">have an operational MRI or </w:t>
      </w:r>
      <w:r w:rsidR="003A3296" w:rsidRPr="00EC7BFD">
        <w:rPr>
          <w:rFonts w:asciiTheme="majorHAnsi" w:hAnsiTheme="majorHAnsi" w:cstheme="majorHAnsi"/>
          <w:sz w:val="22"/>
          <w:szCs w:val="22"/>
        </w:rPr>
        <w:t xml:space="preserve">install </w:t>
      </w:r>
      <w:r w:rsidR="00DE7EC1" w:rsidRPr="00EC7BFD">
        <w:rPr>
          <w:rFonts w:asciiTheme="majorHAnsi" w:hAnsiTheme="majorHAnsi" w:cstheme="majorHAnsi"/>
          <w:sz w:val="22"/>
          <w:szCs w:val="22"/>
        </w:rPr>
        <w:t>an MRI</w:t>
      </w:r>
      <w:r w:rsidR="005F477D" w:rsidRPr="00EC7BFD">
        <w:rPr>
          <w:rFonts w:asciiTheme="majorHAnsi" w:hAnsiTheme="majorHAnsi" w:cstheme="majorHAnsi"/>
          <w:sz w:val="22"/>
          <w:szCs w:val="22"/>
        </w:rPr>
        <w:t>,</w:t>
      </w:r>
      <w:r w:rsidR="003C5EAD" w:rsidRPr="00EC7BFD">
        <w:rPr>
          <w:rFonts w:asciiTheme="majorHAnsi" w:hAnsiTheme="majorHAnsi" w:cstheme="majorHAnsi"/>
          <w:sz w:val="22"/>
          <w:szCs w:val="22"/>
        </w:rPr>
        <w:t xml:space="preserve"> </w:t>
      </w:r>
      <w:r w:rsidR="00264D6E" w:rsidRPr="00EC7BFD">
        <w:rPr>
          <w:rFonts w:asciiTheme="majorHAnsi" w:hAnsiTheme="majorHAnsi" w:cstheme="majorHAnsi"/>
          <w:sz w:val="22"/>
          <w:szCs w:val="22"/>
        </w:rPr>
        <w:t xml:space="preserve">regardless of whether they </w:t>
      </w:r>
      <w:r w:rsidR="005F477D" w:rsidRPr="00EC7BFD">
        <w:rPr>
          <w:rFonts w:asciiTheme="majorHAnsi" w:hAnsiTheme="majorHAnsi" w:cstheme="majorHAnsi"/>
          <w:sz w:val="22"/>
          <w:szCs w:val="22"/>
        </w:rPr>
        <w:t xml:space="preserve">hold a current licence </w:t>
      </w:r>
      <w:r w:rsidR="00F554BB" w:rsidRPr="00EC7BFD">
        <w:rPr>
          <w:rFonts w:asciiTheme="majorHAnsi" w:hAnsiTheme="majorHAnsi" w:cstheme="majorHAnsi"/>
          <w:sz w:val="22"/>
          <w:szCs w:val="22"/>
        </w:rPr>
        <w:t>or not,</w:t>
      </w:r>
      <w:r w:rsidR="0025466D" w:rsidRPr="00EC7BFD">
        <w:rPr>
          <w:rFonts w:asciiTheme="majorHAnsi" w:hAnsiTheme="majorHAnsi" w:cstheme="majorHAnsi"/>
          <w:sz w:val="22"/>
          <w:szCs w:val="22"/>
        </w:rPr>
        <w:t xml:space="preserve"> will be </w:t>
      </w:r>
      <w:r w:rsidR="00264D6E" w:rsidRPr="00EC7BFD">
        <w:rPr>
          <w:rFonts w:asciiTheme="majorHAnsi" w:hAnsiTheme="majorHAnsi" w:cstheme="majorHAnsi"/>
          <w:sz w:val="22"/>
          <w:szCs w:val="22"/>
        </w:rPr>
        <w:t xml:space="preserve">able </w:t>
      </w:r>
      <w:r w:rsidR="0025466D" w:rsidRPr="00EC7BFD">
        <w:rPr>
          <w:rFonts w:asciiTheme="majorHAnsi" w:hAnsiTheme="majorHAnsi" w:cstheme="majorHAnsi"/>
          <w:sz w:val="22"/>
          <w:szCs w:val="22"/>
        </w:rPr>
        <w:t xml:space="preserve">to provide </w:t>
      </w:r>
      <w:r w:rsidR="006D47BB" w:rsidRPr="00EC7BFD">
        <w:rPr>
          <w:rFonts w:asciiTheme="majorHAnsi" w:hAnsiTheme="majorHAnsi" w:cstheme="majorHAnsi"/>
          <w:sz w:val="22"/>
          <w:szCs w:val="22"/>
        </w:rPr>
        <w:t xml:space="preserve">Medicare-eligible </w:t>
      </w:r>
      <w:r w:rsidR="0025466D" w:rsidRPr="00EC7BFD">
        <w:rPr>
          <w:rFonts w:asciiTheme="majorHAnsi" w:hAnsiTheme="majorHAnsi" w:cstheme="majorHAnsi"/>
          <w:sz w:val="22"/>
          <w:szCs w:val="22"/>
        </w:rPr>
        <w:t>MRI services</w:t>
      </w:r>
      <w:r w:rsidR="00A54DB7" w:rsidRPr="00EC7BFD">
        <w:rPr>
          <w:rFonts w:asciiTheme="majorHAnsi" w:hAnsiTheme="majorHAnsi" w:cstheme="majorHAnsi"/>
          <w:sz w:val="22"/>
          <w:szCs w:val="22"/>
        </w:rPr>
        <w:t>,</w:t>
      </w:r>
      <w:r w:rsidR="0025466D" w:rsidRPr="00EC7BFD">
        <w:rPr>
          <w:rFonts w:asciiTheme="majorHAnsi" w:hAnsiTheme="majorHAnsi" w:cstheme="majorHAnsi"/>
          <w:sz w:val="22"/>
          <w:szCs w:val="22"/>
        </w:rPr>
        <w:t xml:space="preserve"> provided they meet </w:t>
      </w:r>
      <w:r w:rsidR="00F53F05" w:rsidRPr="00EC7BFD">
        <w:rPr>
          <w:rFonts w:asciiTheme="majorHAnsi" w:hAnsiTheme="majorHAnsi" w:cstheme="majorHAnsi"/>
          <w:sz w:val="22"/>
          <w:szCs w:val="22"/>
        </w:rPr>
        <w:t>all</w:t>
      </w:r>
      <w:r w:rsidR="0025466D" w:rsidRPr="00EC7BFD">
        <w:rPr>
          <w:rFonts w:asciiTheme="majorHAnsi" w:hAnsiTheme="majorHAnsi" w:cstheme="majorHAnsi"/>
          <w:sz w:val="22"/>
          <w:szCs w:val="22"/>
        </w:rPr>
        <w:t xml:space="preserve"> the other MBS requirements for these services.</w:t>
      </w:r>
    </w:p>
    <w:p w14:paraId="26B5296C" w14:textId="77777777" w:rsidR="00737701" w:rsidRDefault="00737701">
      <w:pPr>
        <w:spacing w:line="259" w:lineRule="auto"/>
        <w:rPr>
          <w:sz w:val="24"/>
          <w:szCs w:val="24"/>
        </w:rPr>
      </w:pPr>
      <w:r>
        <w:rPr>
          <w:sz w:val="24"/>
          <w:szCs w:val="24"/>
        </w:rPr>
        <w:br w:type="page"/>
      </w:r>
    </w:p>
    <w:p w14:paraId="0E9FF9EF" w14:textId="528CAD19" w:rsidR="00AB2158" w:rsidRDefault="00AB2158" w:rsidP="009E58FB">
      <w:pPr>
        <w:pStyle w:val="Heading1"/>
        <w:keepNext/>
        <w:numPr>
          <w:ilvl w:val="0"/>
          <w:numId w:val="40"/>
        </w:numPr>
        <w:ind w:left="714" w:hanging="357"/>
        <w:rPr>
          <w:color w:val="3F4A75" w:themeColor="accent1"/>
        </w:rPr>
      </w:pPr>
      <w:bookmarkStart w:id="14" w:name="_Toc173933174"/>
      <w:r>
        <w:rPr>
          <w:color w:val="3F4A75" w:themeColor="accent1"/>
        </w:rPr>
        <w:lastRenderedPageBreak/>
        <w:t>General Arrangements</w:t>
      </w:r>
      <w:r w:rsidR="0025466D">
        <w:rPr>
          <w:color w:val="3F4A75" w:themeColor="accent1"/>
        </w:rPr>
        <w:t>.</w:t>
      </w:r>
      <w:bookmarkEnd w:id="14"/>
    </w:p>
    <w:p w14:paraId="7BB667C3" w14:textId="4797E96C" w:rsidR="006E1B15" w:rsidRDefault="0093163B" w:rsidP="0025466D">
      <w:pPr>
        <w:pStyle w:val="Heading2"/>
        <w:numPr>
          <w:ilvl w:val="1"/>
          <w:numId w:val="40"/>
        </w:numPr>
      </w:pPr>
      <w:bookmarkStart w:id="15" w:name="_Toc173933175"/>
      <w:r>
        <w:t>I</w:t>
      </w:r>
      <w:r w:rsidR="00C74DD1">
        <w:t xml:space="preserve">f </w:t>
      </w:r>
      <w:r w:rsidR="00FE4B99">
        <w:t xml:space="preserve">an </w:t>
      </w:r>
      <w:r w:rsidR="003876E2">
        <w:t>MRI</w:t>
      </w:r>
      <w:r>
        <w:t xml:space="preserve"> </w:t>
      </w:r>
      <w:r w:rsidR="00FE4B99">
        <w:t>machine</w:t>
      </w:r>
      <w:r w:rsidR="003876E2">
        <w:t xml:space="preserve"> is newly </w:t>
      </w:r>
      <w:r w:rsidR="00834D80">
        <w:t xml:space="preserve">added to </w:t>
      </w:r>
      <w:r w:rsidR="00C74DD1">
        <w:t xml:space="preserve">a practice’s LSPN </w:t>
      </w:r>
      <w:r w:rsidR="003A3B4E">
        <w:t>record</w:t>
      </w:r>
      <w:r w:rsidR="002E6A7C">
        <w:t xml:space="preserve">, </w:t>
      </w:r>
      <w:r w:rsidR="007D4823">
        <w:t xml:space="preserve">how will it be </w:t>
      </w:r>
      <w:r w:rsidR="00FE4B99">
        <w:t>affected?</w:t>
      </w:r>
      <w:bookmarkEnd w:id="15"/>
    </w:p>
    <w:p w14:paraId="5C62AC35" w14:textId="4CF0B4DC" w:rsidR="00ED1F95" w:rsidRPr="00EC7BFD" w:rsidRDefault="00E6419D" w:rsidP="009E58FB">
      <w:pPr>
        <w:ind w:left="360"/>
        <w:rPr>
          <w:sz w:val="22"/>
          <w:szCs w:val="22"/>
        </w:rPr>
      </w:pPr>
      <w:r w:rsidRPr="00EC7BFD">
        <w:rPr>
          <w:sz w:val="22"/>
          <w:szCs w:val="22"/>
        </w:rPr>
        <w:t xml:space="preserve">An </w:t>
      </w:r>
      <w:r w:rsidR="00E701B3" w:rsidRPr="00EC7BFD">
        <w:rPr>
          <w:sz w:val="22"/>
          <w:szCs w:val="22"/>
        </w:rPr>
        <w:t xml:space="preserve">MRI </w:t>
      </w:r>
      <w:r w:rsidR="0025466D" w:rsidRPr="00EC7BFD">
        <w:rPr>
          <w:sz w:val="22"/>
          <w:szCs w:val="22"/>
        </w:rPr>
        <w:t>machine</w:t>
      </w:r>
      <w:r w:rsidR="00E701B3" w:rsidRPr="00EC7BFD">
        <w:rPr>
          <w:sz w:val="22"/>
          <w:szCs w:val="22"/>
        </w:rPr>
        <w:t xml:space="preserve"> </w:t>
      </w:r>
      <w:r w:rsidR="00336ECE" w:rsidRPr="00EC7BFD">
        <w:rPr>
          <w:sz w:val="22"/>
          <w:szCs w:val="22"/>
        </w:rPr>
        <w:t xml:space="preserve">that is </w:t>
      </w:r>
      <w:r w:rsidR="00877268" w:rsidRPr="00EC7BFD">
        <w:rPr>
          <w:sz w:val="22"/>
          <w:szCs w:val="22"/>
        </w:rPr>
        <w:t>added</w:t>
      </w:r>
      <w:r w:rsidR="000B4B6B" w:rsidRPr="00EC7BFD">
        <w:rPr>
          <w:sz w:val="22"/>
          <w:szCs w:val="22"/>
        </w:rPr>
        <w:t xml:space="preserve"> to </w:t>
      </w:r>
      <w:r w:rsidR="003A3B4E" w:rsidRPr="00EC7BFD">
        <w:rPr>
          <w:sz w:val="22"/>
          <w:szCs w:val="22"/>
        </w:rPr>
        <w:t xml:space="preserve">a practice’s </w:t>
      </w:r>
      <w:r w:rsidR="000B4B6B" w:rsidRPr="00EC7BFD">
        <w:rPr>
          <w:sz w:val="22"/>
          <w:szCs w:val="22"/>
        </w:rPr>
        <w:t xml:space="preserve">LSPN </w:t>
      </w:r>
      <w:r w:rsidR="003A3B4E" w:rsidRPr="00EC7BFD">
        <w:rPr>
          <w:sz w:val="22"/>
          <w:szCs w:val="22"/>
        </w:rPr>
        <w:t xml:space="preserve">record </w:t>
      </w:r>
      <w:r w:rsidR="00343CAC" w:rsidRPr="00EC7BFD">
        <w:rPr>
          <w:sz w:val="22"/>
          <w:szCs w:val="22"/>
        </w:rPr>
        <w:t>will become</w:t>
      </w:r>
      <w:r w:rsidR="005B092E" w:rsidRPr="00EC7BFD">
        <w:rPr>
          <w:sz w:val="22"/>
          <w:szCs w:val="22"/>
        </w:rPr>
        <w:t xml:space="preserve"> fully</w:t>
      </w:r>
      <w:r w:rsidR="00ED1F95" w:rsidRPr="00EC7BFD">
        <w:rPr>
          <w:sz w:val="22"/>
          <w:szCs w:val="22"/>
        </w:rPr>
        <w:t xml:space="preserve"> Medicare</w:t>
      </w:r>
      <w:r w:rsidR="005A59DE" w:rsidRPr="00EC7BFD">
        <w:rPr>
          <w:sz w:val="22"/>
          <w:szCs w:val="22"/>
        </w:rPr>
        <w:t>-</w:t>
      </w:r>
      <w:r w:rsidR="00ED1F95" w:rsidRPr="00EC7BFD">
        <w:rPr>
          <w:sz w:val="22"/>
          <w:szCs w:val="22"/>
        </w:rPr>
        <w:t>eligible:</w:t>
      </w:r>
    </w:p>
    <w:p w14:paraId="3A5C2E16" w14:textId="233C2B37" w:rsidR="00FE4B99" w:rsidRPr="00EC7BFD" w:rsidRDefault="005145AF" w:rsidP="009E58FB">
      <w:pPr>
        <w:pStyle w:val="ListParagraph"/>
        <w:numPr>
          <w:ilvl w:val="0"/>
          <w:numId w:val="39"/>
        </w:numPr>
        <w:ind w:left="1080"/>
        <w:rPr>
          <w:sz w:val="22"/>
          <w:szCs w:val="22"/>
        </w:rPr>
      </w:pPr>
      <w:r w:rsidRPr="00EC7BFD">
        <w:rPr>
          <w:b/>
          <w:sz w:val="22"/>
          <w:szCs w:val="22"/>
        </w:rPr>
        <w:t>on 1 July 2025</w:t>
      </w:r>
      <w:r w:rsidRPr="00EC7BFD">
        <w:rPr>
          <w:sz w:val="22"/>
          <w:szCs w:val="22"/>
        </w:rPr>
        <w:t xml:space="preserve"> </w:t>
      </w:r>
      <w:r w:rsidR="003F1E91" w:rsidRPr="00EC7BFD">
        <w:rPr>
          <w:sz w:val="22"/>
          <w:szCs w:val="22"/>
        </w:rPr>
        <w:t>for</w:t>
      </w:r>
      <w:r w:rsidR="00BF292F" w:rsidRPr="00EC7BFD">
        <w:rPr>
          <w:sz w:val="22"/>
          <w:szCs w:val="22"/>
        </w:rPr>
        <w:t xml:space="preserve"> practices that have </w:t>
      </w:r>
      <w:r w:rsidR="008D5522" w:rsidRPr="00EC7BFD">
        <w:rPr>
          <w:sz w:val="22"/>
          <w:szCs w:val="22"/>
        </w:rPr>
        <w:t>a</w:t>
      </w:r>
      <w:r w:rsidR="00263C00" w:rsidRPr="00EC7BFD">
        <w:rPr>
          <w:sz w:val="22"/>
          <w:szCs w:val="22"/>
        </w:rPr>
        <w:t xml:space="preserve"> practice</w:t>
      </w:r>
      <w:r w:rsidR="00263C00" w:rsidRPr="00EC7BFD">
        <w:rPr>
          <w:sz w:val="22"/>
          <w:szCs w:val="22"/>
        </w:rPr>
        <w:noBreakHyphen/>
        <w:t>based licence</w:t>
      </w:r>
      <w:r w:rsidR="008C526F" w:rsidRPr="00EC7BFD">
        <w:rPr>
          <w:sz w:val="22"/>
          <w:szCs w:val="22"/>
        </w:rPr>
        <w:t xml:space="preserve"> or</w:t>
      </w:r>
    </w:p>
    <w:p w14:paraId="122F3C78" w14:textId="3E4A3CEB" w:rsidR="00AE2B7B" w:rsidRPr="00EC7BFD" w:rsidRDefault="007333D5" w:rsidP="00D7081D">
      <w:pPr>
        <w:pStyle w:val="ListParagraph"/>
        <w:numPr>
          <w:ilvl w:val="0"/>
          <w:numId w:val="39"/>
        </w:numPr>
        <w:spacing w:after="120"/>
        <w:ind w:left="1080"/>
        <w:rPr>
          <w:sz w:val="22"/>
          <w:szCs w:val="22"/>
        </w:rPr>
      </w:pPr>
      <w:r w:rsidRPr="00EC7BFD">
        <w:rPr>
          <w:b/>
          <w:sz w:val="22"/>
          <w:szCs w:val="22"/>
        </w:rPr>
        <w:t>on 1 July 2027</w:t>
      </w:r>
      <w:r w:rsidRPr="00EC7BFD">
        <w:rPr>
          <w:sz w:val="22"/>
          <w:szCs w:val="22"/>
        </w:rPr>
        <w:t xml:space="preserve"> </w:t>
      </w:r>
      <w:r w:rsidR="00BF292F" w:rsidRPr="00EC7BFD">
        <w:rPr>
          <w:sz w:val="22"/>
          <w:szCs w:val="22"/>
        </w:rPr>
        <w:t>for practices that do</w:t>
      </w:r>
      <w:r w:rsidRPr="00EC7BFD">
        <w:rPr>
          <w:sz w:val="22"/>
          <w:szCs w:val="22"/>
        </w:rPr>
        <w:t xml:space="preserve"> </w:t>
      </w:r>
      <w:r w:rsidR="003B7806" w:rsidRPr="00EC7BFD">
        <w:rPr>
          <w:sz w:val="22"/>
          <w:szCs w:val="22"/>
        </w:rPr>
        <w:t xml:space="preserve">not </w:t>
      </w:r>
      <w:r w:rsidRPr="00EC7BFD">
        <w:rPr>
          <w:sz w:val="22"/>
          <w:szCs w:val="22"/>
        </w:rPr>
        <w:t>have a practice</w:t>
      </w:r>
      <w:r w:rsidRPr="00EC7BFD">
        <w:rPr>
          <w:sz w:val="22"/>
          <w:szCs w:val="22"/>
        </w:rPr>
        <w:noBreakHyphen/>
        <w:t>based licence</w:t>
      </w:r>
      <w:r w:rsidR="003B7806" w:rsidRPr="00EC7BFD">
        <w:rPr>
          <w:sz w:val="22"/>
          <w:szCs w:val="22"/>
        </w:rPr>
        <w:t>.</w:t>
      </w:r>
    </w:p>
    <w:p w14:paraId="207B7153" w14:textId="3591D13D" w:rsidR="008C526F" w:rsidRPr="00EC7BFD" w:rsidRDefault="00E6419D" w:rsidP="00D7081D">
      <w:pPr>
        <w:spacing w:after="120"/>
        <w:ind w:left="360"/>
        <w:rPr>
          <w:sz w:val="22"/>
          <w:szCs w:val="22"/>
        </w:rPr>
      </w:pPr>
      <w:r w:rsidRPr="00EC7BFD">
        <w:rPr>
          <w:sz w:val="22"/>
          <w:szCs w:val="22"/>
        </w:rPr>
        <w:t xml:space="preserve">An </w:t>
      </w:r>
      <w:r w:rsidR="003018C6" w:rsidRPr="00EC7BFD">
        <w:rPr>
          <w:sz w:val="22"/>
          <w:szCs w:val="22"/>
        </w:rPr>
        <w:t xml:space="preserve">MRI </w:t>
      </w:r>
      <w:r w:rsidR="0025466D" w:rsidRPr="00EC7BFD">
        <w:rPr>
          <w:sz w:val="22"/>
          <w:szCs w:val="22"/>
        </w:rPr>
        <w:t>machine</w:t>
      </w:r>
      <w:r w:rsidR="003018C6" w:rsidRPr="00EC7BFD">
        <w:rPr>
          <w:sz w:val="22"/>
          <w:szCs w:val="22"/>
        </w:rPr>
        <w:t xml:space="preserve"> that is added to </w:t>
      </w:r>
      <w:r w:rsidR="003A3B4E" w:rsidRPr="00EC7BFD">
        <w:rPr>
          <w:sz w:val="22"/>
          <w:szCs w:val="22"/>
        </w:rPr>
        <w:t>a practice’s LSPN record</w:t>
      </w:r>
      <w:r w:rsidR="003018C6" w:rsidRPr="00EC7BFD">
        <w:rPr>
          <w:sz w:val="22"/>
          <w:szCs w:val="22"/>
        </w:rPr>
        <w:t xml:space="preserve"> </w:t>
      </w:r>
      <w:r w:rsidR="008A1A0B" w:rsidRPr="00EC7BFD">
        <w:rPr>
          <w:sz w:val="22"/>
          <w:szCs w:val="22"/>
        </w:rPr>
        <w:t xml:space="preserve">at </w:t>
      </w:r>
      <w:r w:rsidR="00D54158" w:rsidRPr="00EC7BFD">
        <w:rPr>
          <w:sz w:val="22"/>
          <w:szCs w:val="22"/>
        </w:rPr>
        <w:t xml:space="preserve">a Medicare-eligible </w:t>
      </w:r>
      <w:r w:rsidR="003A3B4E" w:rsidRPr="00EC7BFD">
        <w:rPr>
          <w:sz w:val="22"/>
          <w:szCs w:val="22"/>
        </w:rPr>
        <w:t xml:space="preserve">practice </w:t>
      </w:r>
      <w:r w:rsidR="003018C6" w:rsidRPr="00EC7BFD">
        <w:rPr>
          <w:sz w:val="22"/>
          <w:szCs w:val="22"/>
        </w:rPr>
        <w:t xml:space="preserve">after </w:t>
      </w:r>
      <w:r w:rsidR="002105C2" w:rsidRPr="00EC7BFD">
        <w:rPr>
          <w:sz w:val="22"/>
          <w:szCs w:val="22"/>
        </w:rPr>
        <w:t xml:space="preserve">either </w:t>
      </w:r>
      <w:r w:rsidR="003D71F7" w:rsidRPr="00EC7BFD">
        <w:rPr>
          <w:sz w:val="22"/>
          <w:szCs w:val="22"/>
        </w:rPr>
        <w:t xml:space="preserve">of these </w:t>
      </w:r>
      <w:r w:rsidR="002105C2" w:rsidRPr="00EC7BFD">
        <w:rPr>
          <w:sz w:val="22"/>
          <w:szCs w:val="22"/>
        </w:rPr>
        <w:t>date</w:t>
      </w:r>
      <w:r w:rsidR="003D71F7" w:rsidRPr="00EC7BFD">
        <w:rPr>
          <w:sz w:val="22"/>
          <w:szCs w:val="22"/>
        </w:rPr>
        <w:t xml:space="preserve">s </w:t>
      </w:r>
      <w:r w:rsidR="0023784B" w:rsidRPr="00EC7BFD">
        <w:rPr>
          <w:sz w:val="22"/>
          <w:szCs w:val="22"/>
        </w:rPr>
        <w:t>can provide Medicare</w:t>
      </w:r>
      <w:r w:rsidR="00F00DBF" w:rsidRPr="00EC7BFD">
        <w:rPr>
          <w:sz w:val="22"/>
          <w:szCs w:val="22"/>
        </w:rPr>
        <w:t>-</w:t>
      </w:r>
      <w:r w:rsidR="0023784B" w:rsidRPr="00EC7BFD">
        <w:rPr>
          <w:sz w:val="22"/>
          <w:szCs w:val="22"/>
        </w:rPr>
        <w:t>eligible services</w:t>
      </w:r>
      <w:r w:rsidR="008C0B9F" w:rsidRPr="00EC7BFD">
        <w:rPr>
          <w:sz w:val="22"/>
          <w:szCs w:val="22"/>
        </w:rPr>
        <w:t xml:space="preserve"> once it </w:t>
      </w:r>
      <w:r w:rsidR="000F0F6F" w:rsidRPr="00EC7BFD">
        <w:rPr>
          <w:sz w:val="22"/>
          <w:szCs w:val="22"/>
        </w:rPr>
        <w:t>has been</w:t>
      </w:r>
      <w:r w:rsidR="008C0B9F" w:rsidRPr="00EC7BFD">
        <w:rPr>
          <w:sz w:val="22"/>
          <w:szCs w:val="22"/>
        </w:rPr>
        <w:t xml:space="preserve"> added to </w:t>
      </w:r>
      <w:r w:rsidR="003A3B4E" w:rsidRPr="00EC7BFD">
        <w:rPr>
          <w:sz w:val="22"/>
          <w:szCs w:val="22"/>
        </w:rPr>
        <w:t xml:space="preserve">the </w:t>
      </w:r>
      <w:r w:rsidR="000F0F6F" w:rsidRPr="00EC7BFD">
        <w:rPr>
          <w:sz w:val="22"/>
          <w:szCs w:val="22"/>
        </w:rPr>
        <w:t>LSPN Register</w:t>
      </w:r>
      <w:r w:rsidR="001E7D0B" w:rsidRPr="00EC7BFD">
        <w:rPr>
          <w:sz w:val="22"/>
          <w:szCs w:val="22"/>
        </w:rPr>
        <w:t xml:space="preserve"> and</w:t>
      </w:r>
      <w:r w:rsidR="00F07277" w:rsidRPr="00EC7BFD">
        <w:rPr>
          <w:sz w:val="22"/>
          <w:szCs w:val="22"/>
        </w:rPr>
        <w:t xml:space="preserve"> meets all other MBS requirements to provide Medicare</w:t>
      </w:r>
      <w:r w:rsidR="00A54DB7" w:rsidRPr="00EC7BFD">
        <w:rPr>
          <w:sz w:val="22"/>
          <w:szCs w:val="22"/>
        </w:rPr>
        <w:t>-</w:t>
      </w:r>
      <w:r w:rsidR="00F07277" w:rsidRPr="00EC7BFD">
        <w:rPr>
          <w:sz w:val="22"/>
          <w:szCs w:val="22"/>
        </w:rPr>
        <w:t>eligible services</w:t>
      </w:r>
      <w:r w:rsidR="000F0F6F" w:rsidRPr="00EC7BFD">
        <w:rPr>
          <w:sz w:val="22"/>
          <w:szCs w:val="22"/>
        </w:rPr>
        <w:t>.</w:t>
      </w:r>
      <w:r w:rsidR="00EE364F" w:rsidRPr="00EC7BFD">
        <w:rPr>
          <w:sz w:val="22"/>
          <w:szCs w:val="22"/>
        </w:rPr>
        <w:t xml:space="preserve"> </w:t>
      </w:r>
      <w:r w:rsidR="005D2084" w:rsidRPr="00EC7BFD">
        <w:rPr>
          <w:sz w:val="22"/>
          <w:szCs w:val="22"/>
        </w:rPr>
        <w:t>There will</w:t>
      </w:r>
      <w:r w:rsidR="00B75876" w:rsidRPr="00EC7BFD">
        <w:rPr>
          <w:sz w:val="22"/>
          <w:szCs w:val="22"/>
        </w:rPr>
        <w:t xml:space="preserve"> </w:t>
      </w:r>
      <w:r w:rsidR="008F65DE" w:rsidRPr="00EC7BFD">
        <w:rPr>
          <w:sz w:val="22"/>
          <w:szCs w:val="22"/>
        </w:rPr>
        <w:t>no longer be a requirement</w:t>
      </w:r>
      <w:r w:rsidR="008F65DE" w:rsidRPr="00EC7BFD" w:rsidDel="008F65DE">
        <w:rPr>
          <w:sz w:val="22"/>
          <w:szCs w:val="22"/>
        </w:rPr>
        <w:t xml:space="preserve"> </w:t>
      </w:r>
      <w:r w:rsidR="00B75876" w:rsidRPr="00EC7BFD">
        <w:rPr>
          <w:sz w:val="22"/>
          <w:szCs w:val="22"/>
        </w:rPr>
        <w:t xml:space="preserve">to first apply </w:t>
      </w:r>
      <w:r w:rsidR="00992DF0" w:rsidRPr="00EC7BFD">
        <w:rPr>
          <w:sz w:val="22"/>
          <w:szCs w:val="22"/>
        </w:rPr>
        <w:t xml:space="preserve">to the Department </w:t>
      </w:r>
      <w:r w:rsidR="00F53F05" w:rsidRPr="00EC7BFD">
        <w:rPr>
          <w:sz w:val="22"/>
          <w:szCs w:val="22"/>
        </w:rPr>
        <w:t>to request eligibility for newly installed MRI machines.</w:t>
      </w:r>
      <w:r w:rsidR="006A31A6" w:rsidRPr="00EC7BFD">
        <w:rPr>
          <w:sz w:val="22"/>
          <w:szCs w:val="22"/>
        </w:rPr>
        <w:t xml:space="preserve"> </w:t>
      </w:r>
    </w:p>
    <w:p w14:paraId="0F3AA07F" w14:textId="6CA708FB" w:rsidR="00AB2158" w:rsidRDefault="00AB2158" w:rsidP="009E58FB">
      <w:pPr>
        <w:pStyle w:val="Heading2"/>
        <w:keepNext/>
        <w:numPr>
          <w:ilvl w:val="1"/>
          <w:numId w:val="40"/>
        </w:numPr>
        <w:ind w:left="1077"/>
      </w:pPr>
      <w:bookmarkStart w:id="16" w:name="_Toc173933176"/>
      <w:r>
        <w:t>Will the requirements relating to comprehensive practice be changing?</w:t>
      </w:r>
      <w:bookmarkEnd w:id="16"/>
    </w:p>
    <w:p w14:paraId="5B0D1101" w14:textId="5968E91D" w:rsidR="00AB2158" w:rsidRDefault="00D54158" w:rsidP="009E58FB">
      <w:pPr>
        <w:ind w:left="360"/>
        <w:rPr>
          <w:sz w:val="22"/>
          <w:szCs w:val="22"/>
        </w:rPr>
      </w:pPr>
      <w:r w:rsidRPr="00EC7BFD">
        <w:rPr>
          <w:b/>
          <w:bCs/>
          <w:sz w:val="22"/>
          <w:szCs w:val="22"/>
        </w:rPr>
        <w:t>No</w:t>
      </w:r>
      <w:r w:rsidR="00212B32" w:rsidRPr="00EC7BFD">
        <w:rPr>
          <w:b/>
          <w:bCs/>
          <w:sz w:val="22"/>
          <w:szCs w:val="22"/>
        </w:rPr>
        <w:t>.</w:t>
      </w:r>
      <w:r w:rsidRPr="00EC7BFD">
        <w:rPr>
          <w:sz w:val="22"/>
          <w:szCs w:val="22"/>
        </w:rPr>
        <w:t xml:space="preserve"> </w:t>
      </w:r>
      <w:r w:rsidR="00212B32" w:rsidRPr="00EC7BFD">
        <w:rPr>
          <w:sz w:val="22"/>
          <w:szCs w:val="22"/>
        </w:rPr>
        <w:t>T</w:t>
      </w:r>
      <w:r w:rsidR="005A5A51" w:rsidRPr="00EC7BFD">
        <w:rPr>
          <w:sz w:val="22"/>
          <w:szCs w:val="22"/>
        </w:rPr>
        <w:t xml:space="preserve">his </w:t>
      </w:r>
      <w:r w:rsidR="00B3621E" w:rsidRPr="00EC7BFD">
        <w:rPr>
          <w:sz w:val="22"/>
          <w:szCs w:val="22"/>
        </w:rPr>
        <w:t xml:space="preserve">condition will continue as it </w:t>
      </w:r>
      <w:r w:rsidR="005A5A51" w:rsidRPr="00EC7BFD">
        <w:rPr>
          <w:sz w:val="22"/>
          <w:szCs w:val="22"/>
        </w:rPr>
        <w:t>forms part of the existing MRI requirements to deliver Medicare-eligible MRI services.</w:t>
      </w:r>
      <w:r w:rsidR="00B3621E" w:rsidRPr="00EC7BFD">
        <w:rPr>
          <w:sz w:val="22"/>
          <w:szCs w:val="22"/>
        </w:rPr>
        <w:t xml:space="preserve"> These are set out in the associated fact sheet.</w:t>
      </w:r>
    </w:p>
    <w:p w14:paraId="5FFB25FD" w14:textId="77777777" w:rsidR="00914604" w:rsidRDefault="00914604" w:rsidP="00914604">
      <w:pPr>
        <w:spacing w:before="120" w:after="120" w:line="276" w:lineRule="auto"/>
        <w:rPr>
          <w:rFonts w:eastAsia="Times New Roman" w:cs="Times New Roman"/>
          <w:color w:val="000000"/>
          <w:sz w:val="22"/>
          <w:szCs w:val="24"/>
        </w:rPr>
      </w:pPr>
    </w:p>
    <w:p w14:paraId="104BED11" w14:textId="77777777" w:rsidR="00914604" w:rsidRPr="00914604" w:rsidRDefault="00914604" w:rsidP="00914604">
      <w:pPr>
        <w:spacing w:before="120" w:after="120" w:line="276" w:lineRule="auto"/>
        <w:rPr>
          <w:rFonts w:eastAsia="Times New Roman" w:cs="Times New Roman"/>
          <w:color w:val="000000"/>
          <w:sz w:val="22"/>
          <w:szCs w:val="24"/>
        </w:rPr>
      </w:pPr>
    </w:p>
    <w:p w14:paraId="40ED3D24" w14:textId="77777777" w:rsidR="00914604" w:rsidRPr="00914604" w:rsidRDefault="00914604" w:rsidP="00914604">
      <w:pPr>
        <w:pBdr>
          <w:top w:val="single" w:sz="12" w:space="1" w:color="358189"/>
          <w:bottom w:val="single" w:sz="12" w:space="1" w:color="358189"/>
        </w:pBdr>
        <w:shd w:val="clear" w:color="auto" w:fill="D0EAED"/>
        <w:ind w:left="567" w:right="1394"/>
        <w:rPr>
          <w:rFonts w:eastAsia="MS Mincho" w:cs="Arial"/>
          <w:b/>
          <w:sz w:val="16"/>
          <w:szCs w:val="16"/>
        </w:rPr>
      </w:pPr>
      <w:r w:rsidRPr="00914604">
        <w:rPr>
          <w:rFonts w:eastAsia="MS Mincho" w:cs="Arial"/>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84F6CEF" w14:textId="77777777" w:rsidR="00914604" w:rsidRPr="00914604" w:rsidRDefault="00914604" w:rsidP="00914604">
      <w:pPr>
        <w:pBdr>
          <w:top w:val="single" w:sz="12" w:space="1" w:color="358189"/>
          <w:bottom w:val="single" w:sz="12" w:space="1" w:color="358189"/>
        </w:pBdr>
        <w:shd w:val="clear" w:color="auto" w:fill="D0EAED"/>
        <w:ind w:left="567" w:right="1394"/>
        <w:rPr>
          <w:rFonts w:eastAsia="MS Mincho" w:cs="Arial"/>
          <w:b/>
          <w:sz w:val="16"/>
          <w:szCs w:val="16"/>
        </w:rPr>
      </w:pPr>
      <w:r w:rsidRPr="00914604">
        <w:rPr>
          <w:rFonts w:eastAsia="MS Mincho" w:cs="Arial"/>
          <w:b/>
          <w:sz w:val="16"/>
          <w:szCs w:val="16"/>
        </w:rPr>
        <w:t>This factsheet is current as of the Last updated date shown above and does not account for MBS changes since that date.</w:t>
      </w:r>
    </w:p>
    <w:p w14:paraId="1AB35F65" w14:textId="77777777" w:rsidR="00914604" w:rsidRPr="00EC7BFD" w:rsidRDefault="00914604" w:rsidP="00914604">
      <w:pPr>
        <w:rPr>
          <w:sz w:val="22"/>
          <w:szCs w:val="22"/>
        </w:rPr>
      </w:pPr>
    </w:p>
    <w:sectPr w:rsidR="00914604" w:rsidRPr="00EC7BFD" w:rsidSect="00C37B5C">
      <w:footerReference w:type="default" r:id="rId9"/>
      <w:headerReference w:type="first" r:id="rId10"/>
      <w:footerReference w:type="first" r:id="rId1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BAD6" w14:textId="77777777" w:rsidR="001273D9" w:rsidRDefault="001273D9" w:rsidP="006D1088">
      <w:pPr>
        <w:spacing w:after="0" w:line="240" w:lineRule="auto"/>
      </w:pPr>
      <w:r>
        <w:separator/>
      </w:r>
    </w:p>
  </w:endnote>
  <w:endnote w:type="continuationSeparator" w:id="0">
    <w:p w14:paraId="38CD92D4" w14:textId="77777777" w:rsidR="001273D9" w:rsidRDefault="001273D9" w:rsidP="006D1088">
      <w:pPr>
        <w:spacing w:after="0" w:line="240" w:lineRule="auto"/>
      </w:pPr>
      <w:r>
        <w:continuationSeparator/>
      </w:r>
    </w:p>
  </w:endnote>
  <w:endnote w:type="continuationNotice" w:id="1">
    <w:p w14:paraId="631D4CDA" w14:textId="77777777" w:rsidR="001273D9" w:rsidRDefault="00127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B622" w14:textId="7D635B17" w:rsidR="009B32BA" w:rsidRPr="00394FF1" w:rsidRDefault="00000000" w:rsidP="009B32BA">
    <w:pPr>
      <w:pStyle w:val="Footer"/>
      <w:rPr>
        <w:rFonts w:eastAsia="Times New Roman" w:cs="Times New Roman"/>
        <w:color w:val="auto"/>
        <w:sz w:val="20"/>
        <w:szCs w:val="24"/>
      </w:rPr>
    </w:pPr>
    <w:r>
      <w:rPr>
        <w:rStyle w:val="BookTitle"/>
        <w:noProof/>
      </w:rPr>
      <w:pict w14:anchorId="47338E21">
        <v:rect id="_x0000_i1039" style="width:523.3pt;height:1.9pt" o:hralign="center" o:hrstd="t" o:hr="t" fillcolor="#a0a0a0" stroked="f"/>
      </w:pict>
    </w:r>
    <w:r w:rsidR="009B32BA" w:rsidRPr="00394FF1">
      <w:rPr>
        <w:rFonts w:eastAsia="Times New Roman" w:cs="Times New Roman"/>
        <w:color w:val="auto"/>
        <w:sz w:val="20"/>
        <w:szCs w:val="24"/>
      </w:rPr>
      <w:t>Medicare Benefits Schedule</w:t>
    </w:r>
  </w:p>
  <w:p w14:paraId="680833B4" w14:textId="4DE8B209" w:rsidR="009B32BA" w:rsidRPr="00C341F4" w:rsidRDefault="00CE2902" w:rsidP="00C341F4">
    <w:pPr>
      <w:pStyle w:val="Footer"/>
      <w:tabs>
        <w:tab w:val="clear" w:pos="4513"/>
        <w:tab w:val="clear" w:pos="9026"/>
        <w:tab w:val="center" w:pos="0"/>
        <w:tab w:val="right" w:pos="10466"/>
      </w:tabs>
      <w:rPr>
        <w:rFonts w:eastAsia="Times New Roman" w:cs="Times New Roman"/>
        <w:b/>
        <w:color w:val="auto"/>
        <w:sz w:val="20"/>
        <w:szCs w:val="24"/>
      </w:rPr>
    </w:pPr>
    <w:r w:rsidRPr="00C341F4">
      <w:rPr>
        <w:rFonts w:eastAsia="Times New Roman" w:cs="Times New Roman"/>
        <w:b/>
        <w:color w:val="auto"/>
        <w:sz w:val="20"/>
        <w:szCs w:val="24"/>
      </w:rPr>
      <w:t xml:space="preserve">Fact Sheet on changes to eligibility for MRI </w:t>
    </w:r>
    <w:r w:rsidR="0025466D">
      <w:rPr>
        <w:rFonts w:eastAsia="Times New Roman" w:cs="Times New Roman"/>
        <w:b/>
        <w:color w:val="auto"/>
        <w:sz w:val="20"/>
        <w:szCs w:val="24"/>
      </w:rPr>
      <w:t>machine</w:t>
    </w:r>
    <w:r w:rsidRPr="00C341F4">
      <w:rPr>
        <w:rFonts w:eastAsia="Times New Roman" w:cs="Times New Roman"/>
        <w:b/>
        <w:color w:val="auto"/>
        <w:sz w:val="20"/>
        <w:szCs w:val="24"/>
      </w:rPr>
      <w:t xml:space="preserve"> from 1 </w:t>
    </w:r>
    <w:r w:rsidR="005278E3">
      <w:rPr>
        <w:rFonts w:eastAsia="Times New Roman" w:cs="Times New Roman"/>
        <w:b/>
        <w:color w:val="auto"/>
        <w:sz w:val="20"/>
        <w:szCs w:val="24"/>
      </w:rPr>
      <w:t>July</w:t>
    </w:r>
    <w:r w:rsidRPr="00C341F4">
      <w:rPr>
        <w:rFonts w:eastAsia="Times New Roman" w:cs="Times New Roman"/>
        <w:b/>
        <w:color w:val="auto"/>
        <w:sz w:val="20"/>
        <w:szCs w:val="24"/>
      </w:rPr>
      <w:t xml:space="preserve"> 202</w:t>
    </w:r>
    <w:sdt>
      <w:sdtPr>
        <w:rPr>
          <w:rFonts w:eastAsia="Times New Roman" w:cs="Times New Roman"/>
          <w:b/>
          <w:color w:val="auto"/>
          <w:sz w:val="20"/>
          <w:szCs w:val="24"/>
        </w:rPr>
        <w:id w:val="960607005"/>
        <w:docPartObj>
          <w:docPartGallery w:val="Page Numbers (Bottom of Page)"/>
          <w:docPartUnique/>
        </w:docPartObj>
      </w:sdtPr>
      <w:sdtContent>
        <w:r w:rsidR="00D548E5">
          <w:rPr>
            <w:rFonts w:eastAsia="Times New Roman" w:cs="Times New Roman"/>
            <w:b/>
            <w:color w:val="auto"/>
            <w:sz w:val="20"/>
            <w:szCs w:val="24"/>
          </w:rPr>
          <w:t>5</w:t>
        </w:r>
        <w:r w:rsidR="009B32BA" w:rsidRPr="00C341F4">
          <w:rPr>
            <w:rFonts w:eastAsia="Times New Roman" w:cs="Times New Roman"/>
            <w:b/>
            <w:color w:val="auto"/>
            <w:sz w:val="20"/>
            <w:szCs w:val="24"/>
          </w:rPr>
          <w:tab/>
        </w:r>
        <w:sdt>
          <w:sdtPr>
            <w:rPr>
              <w:rFonts w:eastAsia="Times New Roman" w:cs="Times New Roman"/>
              <w:b/>
              <w:color w:val="auto"/>
              <w:sz w:val="20"/>
              <w:szCs w:val="24"/>
            </w:rPr>
            <w:id w:val="-720741692"/>
            <w:docPartObj>
              <w:docPartGallery w:val="Page Numbers (Bottom of Page)"/>
              <w:docPartUnique/>
            </w:docPartObj>
          </w:sdtPr>
          <w:sdtContent>
            <w:sdt>
              <w:sdtPr>
                <w:rPr>
                  <w:rFonts w:eastAsia="Times New Roman" w:cs="Times New Roman"/>
                  <w:b/>
                  <w:color w:val="auto"/>
                  <w:sz w:val="20"/>
                  <w:szCs w:val="24"/>
                </w:rPr>
                <w:id w:val="1701501531"/>
                <w:docPartObj>
                  <w:docPartGallery w:val="Page Numbers (Top of Page)"/>
                  <w:docPartUnique/>
                </w:docPartObj>
              </w:sdtPr>
              <w:sdtContent>
                <w:r w:rsidR="009B32BA" w:rsidRPr="00C341F4">
                  <w:rPr>
                    <w:rFonts w:eastAsia="Times New Roman" w:cs="Times New Roman"/>
                    <w:b/>
                    <w:color w:val="auto"/>
                    <w:sz w:val="20"/>
                    <w:szCs w:val="24"/>
                  </w:rPr>
                  <w:t xml:space="preserve">Page </w:t>
                </w:r>
                <w:r w:rsidR="009B32BA" w:rsidRPr="00C341F4">
                  <w:rPr>
                    <w:rFonts w:eastAsia="Times New Roman" w:cs="Times New Roman"/>
                    <w:b/>
                    <w:color w:val="auto"/>
                    <w:sz w:val="20"/>
                    <w:szCs w:val="24"/>
                  </w:rPr>
                  <w:fldChar w:fldCharType="begin"/>
                </w:r>
                <w:r w:rsidR="009B32BA" w:rsidRPr="00C341F4">
                  <w:rPr>
                    <w:rFonts w:eastAsia="Times New Roman" w:cs="Times New Roman"/>
                    <w:b/>
                    <w:color w:val="auto"/>
                    <w:sz w:val="20"/>
                    <w:szCs w:val="24"/>
                  </w:rPr>
                  <w:instrText xml:space="preserve"> PAGE </w:instrText>
                </w:r>
                <w:r w:rsidR="009B32BA" w:rsidRPr="00C341F4">
                  <w:rPr>
                    <w:rFonts w:eastAsia="Times New Roman" w:cs="Times New Roman"/>
                    <w:b/>
                    <w:color w:val="auto"/>
                    <w:sz w:val="20"/>
                    <w:szCs w:val="24"/>
                  </w:rPr>
                  <w:fldChar w:fldCharType="separate"/>
                </w:r>
                <w:r w:rsidR="009B0901" w:rsidRPr="00C341F4">
                  <w:rPr>
                    <w:rFonts w:eastAsia="Times New Roman" w:cs="Times New Roman"/>
                    <w:b/>
                    <w:color w:val="auto"/>
                    <w:sz w:val="20"/>
                    <w:szCs w:val="24"/>
                  </w:rPr>
                  <w:t>4</w:t>
                </w:r>
                <w:r w:rsidR="009B32BA" w:rsidRPr="00C341F4">
                  <w:rPr>
                    <w:rFonts w:eastAsia="Times New Roman" w:cs="Times New Roman"/>
                    <w:b/>
                    <w:color w:val="auto"/>
                    <w:sz w:val="20"/>
                    <w:szCs w:val="24"/>
                  </w:rPr>
                  <w:fldChar w:fldCharType="end"/>
                </w:r>
                <w:r w:rsidR="009B32BA" w:rsidRPr="00C341F4">
                  <w:rPr>
                    <w:rFonts w:eastAsia="Times New Roman" w:cs="Times New Roman"/>
                    <w:b/>
                    <w:color w:val="auto"/>
                    <w:sz w:val="20"/>
                    <w:szCs w:val="24"/>
                  </w:rPr>
                  <w:t xml:space="preserve"> of </w:t>
                </w:r>
                <w:r w:rsidR="009B32BA" w:rsidRPr="00C341F4">
                  <w:rPr>
                    <w:rFonts w:eastAsia="Times New Roman" w:cs="Times New Roman"/>
                    <w:b/>
                    <w:color w:val="auto"/>
                    <w:sz w:val="20"/>
                    <w:szCs w:val="24"/>
                  </w:rPr>
                  <w:fldChar w:fldCharType="begin"/>
                </w:r>
                <w:r w:rsidR="009B32BA" w:rsidRPr="00C341F4">
                  <w:rPr>
                    <w:rFonts w:eastAsia="Times New Roman" w:cs="Times New Roman"/>
                    <w:b/>
                    <w:color w:val="auto"/>
                    <w:sz w:val="20"/>
                    <w:szCs w:val="24"/>
                  </w:rPr>
                  <w:instrText xml:space="preserve"> NUMPAGES  </w:instrText>
                </w:r>
                <w:r w:rsidR="009B32BA" w:rsidRPr="00C341F4">
                  <w:rPr>
                    <w:rFonts w:eastAsia="Times New Roman" w:cs="Times New Roman"/>
                    <w:b/>
                    <w:color w:val="auto"/>
                    <w:sz w:val="20"/>
                    <w:szCs w:val="24"/>
                  </w:rPr>
                  <w:fldChar w:fldCharType="separate"/>
                </w:r>
                <w:r w:rsidR="009B0901" w:rsidRPr="00C341F4">
                  <w:rPr>
                    <w:rFonts w:eastAsia="Times New Roman" w:cs="Times New Roman"/>
                    <w:b/>
                    <w:color w:val="auto"/>
                    <w:sz w:val="20"/>
                    <w:szCs w:val="24"/>
                  </w:rPr>
                  <w:t>4</w:t>
                </w:r>
                <w:r w:rsidR="009B32BA" w:rsidRPr="00C341F4">
                  <w:rPr>
                    <w:rFonts w:eastAsia="Times New Roman" w:cs="Times New Roman"/>
                    <w:b/>
                    <w:color w:val="auto"/>
                    <w:sz w:val="20"/>
                    <w:szCs w:val="24"/>
                  </w:rPr>
                  <w:fldChar w:fldCharType="end"/>
                </w:r>
              </w:sdtContent>
            </w:sdt>
          </w:sdtContent>
        </w:sdt>
        <w:r w:rsidR="009B32BA" w:rsidRPr="00C341F4">
          <w:rPr>
            <w:rFonts w:eastAsia="Times New Roman" w:cs="Times New Roman"/>
            <w:b/>
            <w:color w:val="auto"/>
            <w:sz w:val="20"/>
            <w:szCs w:val="24"/>
          </w:rPr>
          <w:t xml:space="preserve"> </w:t>
        </w:r>
      </w:sdtContent>
    </w:sdt>
  </w:p>
  <w:p w14:paraId="1DB47C40" w14:textId="77777777" w:rsidR="009B32BA" w:rsidRPr="00072BA6" w:rsidRDefault="00000000" w:rsidP="00072BA6">
    <w:pPr>
      <w:spacing w:after="0"/>
      <w:rPr>
        <w:rStyle w:val="Hyperlink"/>
        <w:rFonts w:eastAsia="Times New Roman" w:cs="Times New Roman"/>
        <w:sz w:val="22"/>
        <w:szCs w:val="24"/>
      </w:rPr>
    </w:pPr>
    <w:hyperlink r:id="rId1" w:history="1">
      <w:r w:rsidR="009B32BA" w:rsidRPr="00072BA6">
        <w:rPr>
          <w:rStyle w:val="Hyperlink"/>
          <w:rFonts w:eastAsia="Times New Roman" w:cs="Times New Roman"/>
          <w:sz w:val="22"/>
          <w:szCs w:val="24"/>
        </w:rPr>
        <w:t>MBS Online</w:t>
      </w:r>
    </w:hyperlink>
  </w:p>
  <w:p w14:paraId="300F6065" w14:textId="103FD3F8" w:rsidR="00570B62" w:rsidRPr="00394FF1" w:rsidRDefault="00570B62">
    <w:pPr>
      <w:pStyle w:val="Footer"/>
      <w:rPr>
        <w:rFonts w:eastAsia="Times New Roman" w:cs="Times New Roman"/>
        <w:color w:val="auto"/>
        <w:sz w:val="20"/>
        <w:szCs w:val="24"/>
      </w:rPr>
    </w:pPr>
    <w:r w:rsidRPr="00394FF1">
      <w:rPr>
        <w:rFonts w:eastAsia="Times New Roman" w:cs="Times New Roman"/>
        <w:color w:val="auto"/>
        <w:sz w:val="20"/>
        <w:szCs w:val="24"/>
      </w:rPr>
      <w:t>Last updated –</w:t>
    </w:r>
    <w:r w:rsidR="006D47BB">
      <w:rPr>
        <w:rFonts w:eastAsia="Times New Roman" w:cs="Times New Roman"/>
        <w:color w:val="auto"/>
        <w:sz w:val="20"/>
        <w:szCs w:val="24"/>
      </w:rPr>
      <w:t xml:space="preserve"> </w:t>
    </w:r>
    <w:r w:rsidR="00462EF6" w:rsidRPr="00462EF6">
      <w:rPr>
        <w:rFonts w:eastAsia="Times New Roman" w:cs="Times New Roman"/>
        <w:color w:val="auto"/>
        <w:sz w:val="20"/>
        <w:szCs w:val="24"/>
      </w:rPr>
      <w:t>16 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E775" w14:textId="3C7FEBFE" w:rsidR="00C37B5C" w:rsidRPr="00394FF1" w:rsidRDefault="00000000" w:rsidP="00C37B5C">
    <w:pPr>
      <w:pStyle w:val="Footer"/>
      <w:rPr>
        <w:rFonts w:eastAsia="Times New Roman" w:cs="Times New Roman"/>
        <w:color w:val="auto"/>
        <w:sz w:val="20"/>
        <w:szCs w:val="24"/>
      </w:rPr>
    </w:pPr>
    <w:r>
      <w:rPr>
        <w:rStyle w:val="BookTitle"/>
        <w:noProof/>
      </w:rPr>
      <w:pict w14:anchorId="1292034E">
        <v:rect id="_x0000_i1030" style="width:523.3pt;height:1.9pt" o:hralign="center" o:hrstd="t" o:hr="t" fillcolor="#a0a0a0" stroked="f"/>
      </w:pict>
    </w:r>
    <w:r w:rsidR="00C37B5C" w:rsidRPr="00394FF1">
      <w:rPr>
        <w:rFonts w:eastAsia="Times New Roman" w:cs="Times New Roman"/>
        <w:color w:val="auto"/>
        <w:sz w:val="20"/>
        <w:szCs w:val="24"/>
      </w:rPr>
      <w:t>Medicare Benefits Schedule</w:t>
    </w:r>
  </w:p>
  <w:p w14:paraId="31245117" w14:textId="77777777" w:rsidR="00C37B5C" w:rsidRPr="00C341F4" w:rsidRDefault="00C37B5C" w:rsidP="00C37B5C">
    <w:pPr>
      <w:pStyle w:val="Footer"/>
      <w:tabs>
        <w:tab w:val="clear" w:pos="4513"/>
        <w:tab w:val="clear" w:pos="9026"/>
        <w:tab w:val="center" w:pos="0"/>
        <w:tab w:val="right" w:pos="10466"/>
      </w:tabs>
      <w:rPr>
        <w:rFonts w:eastAsia="Times New Roman" w:cs="Times New Roman"/>
        <w:b/>
        <w:color w:val="auto"/>
        <w:sz w:val="20"/>
        <w:szCs w:val="24"/>
      </w:rPr>
    </w:pPr>
    <w:r w:rsidRPr="00C341F4">
      <w:rPr>
        <w:rFonts w:eastAsia="Times New Roman" w:cs="Times New Roman"/>
        <w:b/>
        <w:color w:val="auto"/>
        <w:sz w:val="20"/>
        <w:szCs w:val="24"/>
      </w:rPr>
      <w:t xml:space="preserve">Fact Sheet on changes to eligibility for MRI </w:t>
    </w:r>
    <w:r>
      <w:rPr>
        <w:rFonts w:eastAsia="Times New Roman" w:cs="Times New Roman"/>
        <w:b/>
        <w:color w:val="auto"/>
        <w:sz w:val="20"/>
        <w:szCs w:val="24"/>
      </w:rPr>
      <w:t>machine</w:t>
    </w:r>
    <w:r w:rsidRPr="00C341F4">
      <w:rPr>
        <w:rFonts w:eastAsia="Times New Roman" w:cs="Times New Roman"/>
        <w:b/>
        <w:color w:val="auto"/>
        <w:sz w:val="20"/>
        <w:szCs w:val="24"/>
      </w:rPr>
      <w:t xml:space="preserve"> from 1 </w:t>
    </w:r>
    <w:r>
      <w:rPr>
        <w:rFonts w:eastAsia="Times New Roman" w:cs="Times New Roman"/>
        <w:b/>
        <w:color w:val="auto"/>
        <w:sz w:val="20"/>
        <w:szCs w:val="24"/>
      </w:rPr>
      <w:t>July</w:t>
    </w:r>
    <w:r w:rsidRPr="00C341F4">
      <w:rPr>
        <w:rFonts w:eastAsia="Times New Roman" w:cs="Times New Roman"/>
        <w:b/>
        <w:color w:val="auto"/>
        <w:sz w:val="20"/>
        <w:szCs w:val="24"/>
      </w:rPr>
      <w:t xml:space="preserve"> 202</w:t>
    </w:r>
    <w:sdt>
      <w:sdtPr>
        <w:rPr>
          <w:rFonts w:eastAsia="Times New Roman" w:cs="Times New Roman"/>
          <w:b/>
          <w:color w:val="auto"/>
          <w:sz w:val="20"/>
          <w:szCs w:val="24"/>
        </w:rPr>
        <w:id w:val="220947442"/>
        <w:docPartObj>
          <w:docPartGallery w:val="Page Numbers (Bottom of Page)"/>
          <w:docPartUnique/>
        </w:docPartObj>
      </w:sdtPr>
      <w:sdtContent>
        <w:r>
          <w:rPr>
            <w:rFonts w:eastAsia="Times New Roman" w:cs="Times New Roman"/>
            <w:b/>
            <w:color w:val="auto"/>
            <w:sz w:val="20"/>
            <w:szCs w:val="24"/>
          </w:rPr>
          <w:t>5</w:t>
        </w:r>
        <w:r w:rsidRPr="00C341F4">
          <w:rPr>
            <w:rFonts w:eastAsia="Times New Roman" w:cs="Times New Roman"/>
            <w:b/>
            <w:color w:val="auto"/>
            <w:sz w:val="20"/>
            <w:szCs w:val="24"/>
          </w:rPr>
          <w:tab/>
        </w:r>
        <w:sdt>
          <w:sdtPr>
            <w:rPr>
              <w:rFonts w:eastAsia="Times New Roman" w:cs="Times New Roman"/>
              <w:b/>
              <w:color w:val="auto"/>
              <w:sz w:val="20"/>
              <w:szCs w:val="24"/>
            </w:rPr>
            <w:id w:val="-1656295950"/>
            <w:docPartObj>
              <w:docPartGallery w:val="Page Numbers (Bottom of Page)"/>
              <w:docPartUnique/>
            </w:docPartObj>
          </w:sdtPr>
          <w:sdtContent>
            <w:sdt>
              <w:sdtPr>
                <w:rPr>
                  <w:rFonts w:eastAsia="Times New Roman" w:cs="Times New Roman"/>
                  <w:b/>
                  <w:color w:val="auto"/>
                  <w:sz w:val="20"/>
                  <w:szCs w:val="24"/>
                </w:rPr>
                <w:id w:val="-717978423"/>
                <w:docPartObj>
                  <w:docPartGallery w:val="Page Numbers (Top of Page)"/>
                  <w:docPartUnique/>
                </w:docPartObj>
              </w:sdtPr>
              <w:sdtContent>
                <w:r w:rsidRPr="00C341F4">
                  <w:rPr>
                    <w:rFonts w:eastAsia="Times New Roman" w:cs="Times New Roman"/>
                    <w:b/>
                    <w:color w:val="auto"/>
                    <w:sz w:val="20"/>
                    <w:szCs w:val="24"/>
                  </w:rPr>
                  <w:t xml:space="preserve">Page </w:t>
                </w:r>
                <w:r w:rsidRPr="00C341F4">
                  <w:rPr>
                    <w:rFonts w:eastAsia="Times New Roman" w:cs="Times New Roman"/>
                    <w:b/>
                    <w:color w:val="auto"/>
                    <w:sz w:val="20"/>
                    <w:szCs w:val="24"/>
                  </w:rPr>
                  <w:fldChar w:fldCharType="begin"/>
                </w:r>
                <w:r w:rsidRPr="00C341F4">
                  <w:rPr>
                    <w:rFonts w:eastAsia="Times New Roman" w:cs="Times New Roman"/>
                    <w:b/>
                    <w:color w:val="auto"/>
                    <w:sz w:val="20"/>
                    <w:szCs w:val="24"/>
                  </w:rPr>
                  <w:instrText xml:space="preserve"> PAGE </w:instrText>
                </w:r>
                <w:r w:rsidRPr="00C341F4">
                  <w:rPr>
                    <w:rFonts w:eastAsia="Times New Roman" w:cs="Times New Roman"/>
                    <w:b/>
                    <w:color w:val="auto"/>
                    <w:sz w:val="20"/>
                    <w:szCs w:val="24"/>
                  </w:rPr>
                  <w:fldChar w:fldCharType="separate"/>
                </w:r>
                <w:r>
                  <w:rPr>
                    <w:rFonts w:eastAsia="Times New Roman" w:cs="Times New Roman"/>
                    <w:b/>
                    <w:color w:val="auto"/>
                    <w:sz w:val="20"/>
                    <w:szCs w:val="24"/>
                  </w:rPr>
                  <w:t>2</w:t>
                </w:r>
                <w:r w:rsidRPr="00C341F4">
                  <w:rPr>
                    <w:rFonts w:eastAsia="Times New Roman" w:cs="Times New Roman"/>
                    <w:b/>
                    <w:color w:val="auto"/>
                    <w:sz w:val="20"/>
                    <w:szCs w:val="24"/>
                  </w:rPr>
                  <w:fldChar w:fldCharType="end"/>
                </w:r>
                <w:r w:rsidRPr="00C341F4">
                  <w:rPr>
                    <w:rFonts w:eastAsia="Times New Roman" w:cs="Times New Roman"/>
                    <w:b/>
                    <w:color w:val="auto"/>
                    <w:sz w:val="20"/>
                    <w:szCs w:val="24"/>
                  </w:rPr>
                  <w:t xml:space="preserve"> of </w:t>
                </w:r>
                <w:r w:rsidRPr="00C341F4">
                  <w:rPr>
                    <w:rFonts w:eastAsia="Times New Roman" w:cs="Times New Roman"/>
                    <w:b/>
                    <w:color w:val="auto"/>
                    <w:sz w:val="20"/>
                    <w:szCs w:val="24"/>
                  </w:rPr>
                  <w:fldChar w:fldCharType="begin"/>
                </w:r>
                <w:r w:rsidRPr="00C341F4">
                  <w:rPr>
                    <w:rFonts w:eastAsia="Times New Roman" w:cs="Times New Roman"/>
                    <w:b/>
                    <w:color w:val="auto"/>
                    <w:sz w:val="20"/>
                    <w:szCs w:val="24"/>
                  </w:rPr>
                  <w:instrText xml:space="preserve"> NUMPAGES  </w:instrText>
                </w:r>
                <w:r w:rsidRPr="00C341F4">
                  <w:rPr>
                    <w:rFonts w:eastAsia="Times New Roman" w:cs="Times New Roman"/>
                    <w:b/>
                    <w:color w:val="auto"/>
                    <w:sz w:val="20"/>
                    <w:szCs w:val="24"/>
                  </w:rPr>
                  <w:fldChar w:fldCharType="separate"/>
                </w:r>
                <w:r>
                  <w:rPr>
                    <w:rFonts w:eastAsia="Times New Roman" w:cs="Times New Roman"/>
                    <w:b/>
                    <w:color w:val="auto"/>
                    <w:sz w:val="20"/>
                    <w:szCs w:val="24"/>
                  </w:rPr>
                  <w:t>5</w:t>
                </w:r>
                <w:r w:rsidRPr="00C341F4">
                  <w:rPr>
                    <w:rFonts w:eastAsia="Times New Roman" w:cs="Times New Roman"/>
                    <w:b/>
                    <w:color w:val="auto"/>
                    <w:sz w:val="20"/>
                    <w:szCs w:val="24"/>
                  </w:rPr>
                  <w:fldChar w:fldCharType="end"/>
                </w:r>
              </w:sdtContent>
            </w:sdt>
          </w:sdtContent>
        </w:sdt>
        <w:r w:rsidRPr="00C341F4">
          <w:rPr>
            <w:rFonts w:eastAsia="Times New Roman" w:cs="Times New Roman"/>
            <w:b/>
            <w:color w:val="auto"/>
            <w:sz w:val="20"/>
            <w:szCs w:val="24"/>
          </w:rPr>
          <w:t xml:space="preserve"> </w:t>
        </w:r>
      </w:sdtContent>
    </w:sdt>
  </w:p>
  <w:p w14:paraId="5947B42C" w14:textId="77777777" w:rsidR="00C37B5C" w:rsidRPr="00072BA6" w:rsidRDefault="00000000" w:rsidP="00C37B5C">
    <w:pPr>
      <w:spacing w:after="0"/>
      <w:rPr>
        <w:rStyle w:val="Hyperlink"/>
        <w:rFonts w:eastAsia="Times New Roman" w:cs="Times New Roman"/>
        <w:sz w:val="22"/>
        <w:szCs w:val="24"/>
      </w:rPr>
    </w:pPr>
    <w:hyperlink r:id="rId1" w:history="1">
      <w:r w:rsidR="00C37B5C" w:rsidRPr="00072BA6">
        <w:rPr>
          <w:rStyle w:val="Hyperlink"/>
          <w:rFonts w:eastAsia="Times New Roman" w:cs="Times New Roman"/>
          <w:sz w:val="22"/>
          <w:szCs w:val="24"/>
        </w:rPr>
        <w:t>MBS Online</w:t>
      </w:r>
    </w:hyperlink>
  </w:p>
  <w:p w14:paraId="381DD2A6" w14:textId="675CA780" w:rsidR="00C37B5C" w:rsidRPr="00C37B5C" w:rsidRDefault="00C37B5C">
    <w:pPr>
      <w:pStyle w:val="Footer"/>
      <w:rPr>
        <w:rFonts w:eastAsia="Times New Roman" w:cs="Times New Roman"/>
        <w:color w:val="auto"/>
        <w:sz w:val="20"/>
        <w:szCs w:val="24"/>
      </w:rPr>
    </w:pPr>
    <w:r w:rsidRPr="00394FF1">
      <w:rPr>
        <w:rFonts w:eastAsia="Times New Roman" w:cs="Times New Roman"/>
        <w:color w:val="auto"/>
        <w:sz w:val="20"/>
        <w:szCs w:val="24"/>
      </w:rPr>
      <w:t>Last updated –</w:t>
    </w:r>
    <w:r>
      <w:rPr>
        <w:rFonts w:eastAsia="Times New Roman" w:cs="Times New Roman"/>
        <w:color w:val="auto"/>
        <w:sz w:val="20"/>
        <w:szCs w:val="24"/>
      </w:rPr>
      <w:t xml:space="preserve"> </w:t>
    </w:r>
    <w:r w:rsidR="00462EF6" w:rsidRPr="00462EF6">
      <w:rPr>
        <w:rFonts w:eastAsia="Times New Roman" w:cs="Times New Roman"/>
        <w:color w:val="auto"/>
        <w:sz w:val="20"/>
        <w:szCs w:val="24"/>
      </w:rPr>
      <w:t>16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5050" w14:textId="77777777" w:rsidR="001273D9" w:rsidRDefault="001273D9" w:rsidP="006D1088">
      <w:pPr>
        <w:spacing w:after="0" w:line="240" w:lineRule="auto"/>
      </w:pPr>
      <w:r>
        <w:separator/>
      </w:r>
    </w:p>
  </w:footnote>
  <w:footnote w:type="continuationSeparator" w:id="0">
    <w:p w14:paraId="165FF534" w14:textId="77777777" w:rsidR="001273D9" w:rsidRDefault="001273D9" w:rsidP="006D1088">
      <w:pPr>
        <w:spacing w:after="0" w:line="240" w:lineRule="auto"/>
      </w:pPr>
      <w:r>
        <w:continuationSeparator/>
      </w:r>
    </w:p>
  </w:footnote>
  <w:footnote w:type="continuationNotice" w:id="1">
    <w:p w14:paraId="31817EEC" w14:textId="77777777" w:rsidR="001273D9" w:rsidRDefault="001273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B618" w14:textId="07B162DA" w:rsidR="00C37B5C" w:rsidRDefault="00C37B5C">
    <w:pPr>
      <w:pStyle w:val="Header"/>
    </w:pPr>
    <w:r>
      <w:rPr>
        <w:noProof/>
        <w:lang w:eastAsia="en-AU"/>
      </w:rPr>
      <w:drawing>
        <wp:inline distT="0" distB="0" distL="0" distR="0" wp14:anchorId="3B29EC02" wp14:editId="524FE603">
          <wp:extent cx="5693434" cy="930911"/>
          <wp:effectExtent l="0" t="0" r="2540" b="2540"/>
          <wp:docPr id="16" name="Picture 1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900910" cy="96483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566C"/>
    <w:multiLevelType w:val="hybridMultilevel"/>
    <w:tmpl w:val="BB6A4084"/>
    <w:lvl w:ilvl="0" w:tplc="E086206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435F88"/>
    <w:multiLevelType w:val="hybridMultilevel"/>
    <w:tmpl w:val="399CA20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8E05F1"/>
    <w:multiLevelType w:val="hybridMultilevel"/>
    <w:tmpl w:val="5766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0F63BAD"/>
    <w:multiLevelType w:val="multilevel"/>
    <w:tmpl w:val="497C9A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3A239D0"/>
    <w:multiLevelType w:val="hybridMultilevel"/>
    <w:tmpl w:val="396C2C9C"/>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6" w15:restartNumberingAfterBreak="0">
    <w:nsid w:val="254C7EE4"/>
    <w:multiLevelType w:val="hybridMultilevel"/>
    <w:tmpl w:val="6FF0C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103890"/>
    <w:multiLevelType w:val="hybridMultilevel"/>
    <w:tmpl w:val="1A3494AC"/>
    <w:lvl w:ilvl="0" w:tplc="27E03B02">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8" w15:restartNumberingAfterBreak="0">
    <w:nsid w:val="37447B6C"/>
    <w:multiLevelType w:val="multilevel"/>
    <w:tmpl w:val="497C9A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B630526"/>
    <w:multiLevelType w:val="hybridMultilevel"/>
    <w:tmpl w:val="652EF1AA"/>
    <w:lvl w:ilvl="0" w:tplc="E29E5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CE640E"/>
    <w:multiLevelType w:val="hybridMultilevel"/>
    <w:tmpl w:val="622CA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1E626D"/>
    <w:multiLevelType w:val="multilevel"/>
    <w:tmpl w:val="497C9A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45835A4"/>
    <w:multiLevelType w:val="hybridMultilevel"/>
    <w:tmpl w:val="39FAA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D46B95"/>
    <w:multiLevelType w:val="hybridMultilevel"/>
    <w:tmpl w:val="5C24622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311BCF"/>
    <w:multiLevelType w:val="hybridMultilevel"/>
    <w:tmpl w:val="24F40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D93BB1"/>
    <w:multiLevelType w:val="multilevel"/>
    <w:tmpl w:val="497C9A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2955EC"/>
    <w:multiLevelType w:val="hybridMultilevel"/>
    <w:tmpl w:val="04DCA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E609BF"/>
    <w:multiLevelType w:val="hybridMultilevel"/>
    <w:tmpl w:val="26A04C50"/>
    <w:lvl w:ilvl="0" w:tplc="339094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604213"/>
    <w:multiLevelType w:val="hybridMultilevel"/>
    <w:tmpl w:val="4B903D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866059"/>
    <w:multiLevelType w:val="hybridMultilevel"/>
    <w:tmpl w:val="116809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C07981"/>
    <w:multiLevelType w:val="multilevel"/>
    <w:tmpl w:val="497C9A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C093DAA"/>
    <w:multiLevelType w:val="hybridMultilevel"/>
    <w:tmpl w:val="E3329E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8423D5"/>
    <w:multiLevelType w:val="hybridMultilevel"/>
    <w:tmpl w:val="D83C343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6134302">
    <w:abstractNumId w:val="13"/>
  </w:num>
  <w:num w:numId="2" w16cid:durableId="1906914432">
    <w:abstractNumId w:val="13"/>
  </w:num>
  <w:num w:numId="3" w16cid:durableId="1198543523">
    <w:abstractNumId w:val="9"/>
  </w:num>
  <w:num w:numId="4" w16cid:durableId="2139179695">
    <w:abstractNumId w:val="7"/>
  </w:num>
  <w:num w:numId="5" w16cid:durableId="602884905">
    <w:abstractNumId w:val="6"/>
  </w:num>
  <w:num w:numId="6" w16cid:durableId="800615560">
    <w:abstractNumId w:val="5"/>
  </w:num>
  <w:num w:numId="7" w16cid:durableId="1489131912">
    <w:abstractNumId w:val="4"/>
  </w:num>
  <w:num w:numId="8" w16cid:durableId="801927686">
    <w:abstractNumId w:val="8"/>
  </w:num>
  <w:num w:numId="9" w16cid:durableId="1522671403">
    <w:abstractNumId w:val="3"/>
  </w:num>
  <w:num w:numId="10" w16cid:durableId="81805487">
    <w:abstractNumId w:val="2"/>
  </w:num>
  <w:num w:numId="11" w16cid:durableId="201988138">
    <w:abstractNumId w:val="1"/>
  </w:num>
  <w:num w:numId="12" w16cid:durableId="1004286756">
    <w:abstractNumId w:val="0"/>
  </w:num>
  <w:num w:numId="13" w16cid:durableId="2038045277">
    <w:abstractNumId w:val="26"/>
  </w:num>
  <w:num w:numId="14" w16cid:durableId="703405511">
    <w:abstractNumId w:val="13"/>
  </w:num>
  <w:num w:numId="15" w16cid:durableId="938827403">
    <w:abstractNumId w:val="22"/>
  </w:num>
  <w:num w:numId="16" w16cid:durableId="1264072153">
    <w:abstractNumId w:val="13"/>
  </w:num>
  <w:num w:numId="17" w16cid:durableId="993338528">
    <w:abstractNumId w:val="13"/>
  </w:num>
  <w:num w:numId="18" w16cid:durableId="89475603">
    <w:abstractNumId w:val="15"/>
  </w:num>
  <w:num w:numId="19" w16cid:durableId="11884184">
    <w:abstractNumId w:val="33"/>
  </w:num>
  <w:num w:numId="20" w16cid:durableId="718360676">
    <w:abstractNumId w:val="23"/>
  </w:num>
  <w:num w:numId="21" w16cid:durableId="1861966937">
    <w:abstractNumId w:val="11"/>
  </w:num>
  <w:num w:numId="22" w16cid:durableId="1292663584">
    <w:abstractNumId w:val="29"/>
  </w:num>
  <w:num w:numId="23" w16cid:durableId="1425491068">
    <w:abstractNumId w:val="30"/>
  </w:num>
  <w:num w:numId="24" w16cid:durableId="14352819">
    <w:abstractNumId w:val="32"/>
  </w:num>
  <w:num w:numId="25" w16cid:durableId="622198795">
    <w:abstractNumId w:val="27"/>
  </w:num>
  <w:num w:numId="26" w16cid:durableId="1622030105">
    <w:abstractNumId w:val="24"/>
  </w:num>
  <w:num w:numId="27" w16cid:durableId="163936204">
    <w:abstractNumId w:val="20"/>
  </w:num>
  <w:num w:numId="28" w16cid:durableId="616985636">
    <w:abstractNumId w:val="10"/>
  </w:num>
  <w:num w:numId="29" w16cid:durableId="1695768241">
    <w:abstractNumId w:val="28"/>
  </w:num>
  <w:num w:numId="30" w16cid:durableId="1909607634">
    <w:abstractNumId w:val="17"/>
  </w:num>
  <w:num w:numId="31" w16cid:durableId="2013603357">
    <w:abstractNumId w:val="13"/>
  </w:num>
  <w:num w:numId="32" w16cid:durableId="2078821355">
    <w:abstractNumId w:val="13"/>
  </w:num>
  <w:num w:numId="33" w16cid:durableId="1249923007">
    <w:abstractNumId w:val="13"/>
  </w:num>
  <w:num w:numId="34" w16cid:durableId="249892181">
    <w:abstractNumId w:val="13"/>
  </w:num>
  <w:num w:numId="35" w16cid:durableId="300497238">
    <w:abstractNumId w:val="19"/>
  </w:num>
  <w:num w:numId="36" w16cid:durableId="1195003260">
    <w:abstractNumId w:val="13"/>
  </w:num>
  <w:num w:numId="37" w16cid:durableId="1146044089">
    <w:abstractNumId w:val="12"/>
  </w:num>
  <w:num w:numId="38" w16cid:durableId="1339577888">
    <w:abstractNumId w:val="13"/>
  </w:num>
  <w:num w:numId="39" w16cid:durableId="2109349219">
    <w:abstractNumId w:val="16"/>
  </w:num>
  <w:num w:numId="40" w16cid:durableId="568922643">
    <w:abstractNumId w:val="14"/>
  </w:num>
  <w:num w:numId="41" w16cid:durableId="549270388">
    <w:abstractNumId w:val="18"/>
  </w:num>
  <w:num w:numId="42" w16cid:durableId="451828555">
    <w:abstractNumId w:val="31"/>
  </w:num>
  <w:num w:numId="43" w16cid:durableId="1256984981">
    <w:abstractNumId w:val="21"/>
  </w:num>
  <w:num w:numId="44" w16cid:durableId="20813619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1AB4"/>
    <w:rsid w:val="00003960"/>
    <w:rsid w:val="00005059"/>
    <w:rsid w:val="000074DD"/>
    <w:rsid w:val="00007F30"/>
    <w:rsid w:val="0001198C"/>
    <w:rsid w:val="0001788B"/>
    <w:rsid w:val="00017DA7"/>
    <w:rsid w:val="00017E36"/>
    <w:rsid w:val="00020610"/>
    <w:rsid w:val="00022530"/>
    <w:rsid w:val="00022A60"/>
    <w:rsid w:val="00022FF7"/>
    <w:rsid w:val="0002633F"/>
    <w:rsid w:val="0002688B"/>
    <w:rsid w:val="00027C10"/>
    <w:rsid w:val="00027D20"/>
    <w:rsid w:val="00027D6D"/>
    <w:rsid w:val="000339E9"/>
    <w:rsid w:val="000367AA"/>
    <w:rsid w:val="00036B14"/>
    <w:rsid w:val="000411D7"/>
    <w:rsid w:val="000413EB"/>
    <w:rsid w:val="00041450"/>
    <w:rsid w:val="0004171A"/>
    <w:rsid w:val="00043606"/>
    <w:rsid w:val="000442BB"/>
    <w:rsid w:val="00045783"/>
    <w:rsid w:val="00045810"/>
    <w:rsid w:val="000461E9"/>
    <w:rsid w:val="000463AE"/>
    <w:rsid w:val="00050B1D"/>
    <w:rsid w:val="00052B6D"/>
    <w:rsid w:val="00053581"/>
    <w:rsid w:val="00055C65"/>
    <w:rsid w:val="0005616C"/>
    <w:rsid w:val="00062417"/>
    <w:rsid w:val="00064E81"/>
    <w:rsid w:val="00067F14"/>
    <w:rsid w:val="00071A11"/>
    <w:rsid w:val="00072BA6"/>
    <w:rsid w:val="0007440F"/>
    <w:rsid w:val="0007598D"/>
    <w:rsid w:val="00075C56"/>
    <w:rsid w:val="00076365"/>
    <w:rsid w:val="00076772"/>
    <w:rsid w:val="00076E83"/>
    <w:rsid w:val="00081B97"/>
    <w:rsid w:val="00081D27"/>
    <w:rsid w:val="0008200B"/>
    <w:rsid w:val="00082E80"/>
    <w:rsid w:val="000830E8"/>
    <w:rsid w:val="00090A50"/>
    <w:rsid w:val="0009746A"/>
    <w:rsid w:val="0009792B"/>
    <w:rsid w:val="000A075E"/>
    <w:rsid w:val="000A2F0A"/>
    <w:rsid w:val="000A39B6"/>
    <w:rsid w:val="000A6BFA"/>
    <w:rsid w:val="000B01AE"/>
    <w:rsid w:val="000B162B"/>
    <w:rsid w:val="000B1864"/>
    <w:rsid w:val="000B23F0"/>
    <w:rsid w:val="000B25E8"/>
    <w:rsid w:val="000B2A1B"/>
    <w:rsid w:val="000B4B6B"/>
    <w:rsid w:val="000B72D6"/>
    <w:rsid w:val="000C2143"/>
    <w:rsid w:val="000C3B83"/>
    <w:rsid w:val="000C4ACF"/>
    <w:rsid w:val="000C5655"/>
    <w:rsid w:val="000D0D6E"/>
    <w:rsid w:val="000D1778"/>
    <w:rsid w:val="000D191A"/>
    <w:rsid w:val="000D2072"/>
    <w:rsid w:val="000E34E9"/>
    <w:rsid w:val="000E3E86"/>
    <w:rsid w:val="000E5AF8"/>
    <w:rsid w:val="000E6280"/>
    <w:rsid w:val="000E68E1"/>
    <w:rsid w:val="000E6BCC"/>
    <w:rsid w:val="000F0F6F"/>
    <w:rsid w:val="000F154C"/>
    <w:rsid w:val="000F392A"/>
    <w:rsid w:val="000F410F"/>
    <w:rsid w:val="000F5887"/>
    <w:rsid w:val="000F7D0E"/>
    <w:rsid w:val="001002EB"/>
    <w:rsid w:val="00100A3A"/>
    <w:rsid w:val="0010106C"/>
    <w:rsid w:val="001014EB"/>
    <w:rsid w:val="00102885"/>
    <w:rsid w:val="0010467D"/>
    <w:rsid w:val="00107180"/>
    <w:rsid w:val="001076EC"/>
    <w:rsid w:val="00121100"/>
    <w:rsid w:val="001238E8"/>
    <w:rsid w:val="00124E0B"/>
    <w:rsid w:val="001273D9"/>
    <w:rsid w:val="00130343"/>
    <w:rsid w:val="00131F5D"/>
    <w:rsid w:val="001341B9"/>
    <w:rsid w:val="00134A25"/>
    <w:rsid w:val="00135417"/>
    <w:rsid w:val="00136C67"/>
    <w:rsid w:val="00136F90"/>
    <w:rsid w:val="00141BC3"/>
    <w:rsid w:val="001432AF"/>
    <w:rsid w:val="0014666C"/>
    <w:rsid w:val="00146D91"/>
    <w:rsid w:val="00146F90"/>
    <w:rsid w:val="00151636"/>
    <w:rsid w:val="00153C18"/>
    <w:rsid w:val="00153EA9"/>
    <w:rsid w:val="00155BAE"/>
    <w:rsid w:val="00155BD4"/>
    <w:rsid w:val="00156176"/>
    <w:rsid w:val="00156B0E"/>
    <w:rsid w:val="00161002"/>
    <w:rsid w:val="00161ED7"/>
    <w:rsid w:val="001620DD"/>
    <w:rsid w:val="00163A5F"/>
    <w:rsid w:val="00167446"/>
    <w:rsid w:val="0017279A"/>
    <w:rsid w:val="00172EF4"/>
    <w:rsid w:val="00181B52"/>
    <w:rsid w:val="00183CA9"/>
    <w:rsid w:val="0018507E"/>
    <w:rsid w:val="00187B60"/>
    <w:rsid w:val="00187CAD"/>
    <w:rsid w:val="0019170A"/>
    <w:rsid w:val="00191C6A"/>
    <w:rsid w:val="00192ED9"/>
    <w:rsid w:val="001941BE"/>
    <w:rsid w:val="001974A4"/>
    <w:rsid w:val="001A4486"/>
    <w:rsid w:val="001A4AFC"/>
    <w:rsid w:val="001A5A3A"/>
    <w:rsid w:val="001A6010"/>
    <w:rsid w:val="001A63F2"/>
    <w:rsid w:val="001A6FE6"/>
    <w:rsid w:val="001A7FB7"/>
    <w:rsid w:val="001B0C49"/>
    <w:rsid w:val="001B3600"/>
    <w:rsid w:val="001B7058"/>
    <w:rsid w:val="001B7E3A"/>
    <w:rsid w:val="001C5C56"/>
    <w:rsid w:val="001C7BC5"/>
    <w:rsid w:val="001D0B0F"/>
    <w:rsid w:val="001D10E8"/>
    <w:rsid w:val="001D1C91"/>
    <w:rsid w:val="001D3717"/>
    <w:rsid w:val="001D6E4D"/>
    <w:rsid w:val="001E0879"/>
    <w:rsid w:val="001E0BFE"/>
    <w:rsid w:val="001E110D"/>
    <w:rsid w:val="001E2395"/>
    <w:rsid w:val="001E3430"/>
    <w:rsid w:val="001E4699"/>
    <w:rsid w:val="001E5F32"/>
    <w:rsid w:val="001E6F63"/>
    <w:rsid w:val="001E7D0B"/>
    <w:rsid w:val="001F1230"/>
    <w:rsid w:val="001F49E8"/>
    <w:rsid w:val="001F6FA4"/>
    <w:rsid w:val="00200902"/>
    <w:rsid w:val="00200997"/>
    <w:rsid w:val="00203DDA"/>
    <w:rsid w:val="00203F3E"/>
    <w:rsid w:val="0020423C"/>
    <w:rsid w:val="002105C2"/>
    <w:rsid w:val="00212B32"/>
    <w:rsid w:val="00213EC2"/>
    <w:rsid w:val="00214158"/>
    <w:rsid w:val="00216392"/>
    <w:rsid w:val="00217695"/>
    <w:rsid w:val="002179FB"/>
    <w:rsid w:val="0022131A"/>
    <w:rsid w:val="00221334"/>
    <w:rsid w:val="00221715"/>
    <w:rsid w:val="0022640E"/>
    <w:rsid w:val="00226B55"/>
    <w:rsid w:val="0022744D"/>
    <w:rsid w:val="00227585"/>
    <w:rsid w:val="0023045E"/>
    <w:rsid w:val="002328B9"/>
    <w:rsid w:val="00232FEF"/>
    <w:rsid w:val="0023757D"/>
    <w:rsid w:val="0023784B"/>
    <w:rsid w:val="00241657"/>
    <w:rsid w:val="002427E0"/>
    <w:rsid w:val="00242DAB"/>
    <w:rsid w:val="00243D1C"/>
    <w:rsid w:val="00243E3F"/>
    <w:rsid w:val="00250D30"/>
    <w:rsid w:val="002532CD"/>
    <w:rsid w:val="0025466D"/>
    <w:rsid w:val="002548B2"/>
    <w:rsid w:val="00256FBD"/>
    <w:rsid w:val="002571D3"/>
    <w:rsid w:val="0026106C"/>
    <w:rsid w:val="00262591"/>
    <w:rsid w:val="00263C00"/>
    <w:rsid w:val="00264D6E"/>
    <w:rsid w:val="0026502E"/>
    <w:rsid w:val="0026613A"/>
    <w:rsid w:val="00266D44"/>
    <w:rsid w:val="00270E2D"/>
    <w:rsid w:val="0027112E"/>
    <w:rsid w:val="0027132B"/>
    <w:rsid w:val="002759D2"/>
    <w:rsid w:val="00276A29"/>
    <w:rsid w:val="00280A3C"/>
    <w:rsid w:val="00281820"/>
    <w:rsid w:val="002818C0"/>
    <w:rsid w:val="00284C73"/>
    <w:rsid w:val="00291041"/>
    <w:rsid w:val="00296C1B"/>
    <w:rsid w:val="002A3C7C"/>
    <w:rsid w:val="002A5A70"/>
    <w:rsid w:val="002A7285"/>
    <w:rsid w:val="002A7C22"/>
    <w:rsid w:val="002B216B"/>
    <w:rsid w:val="002B23D6"/>
    <w:rsid w:val="002B3FCB"/>
    <w:rsid w:val="002B5048"/>
    <w:rsid w:val="002B5CBA"/>
    <w:rsid w:val="002B70AC"/>
    <w:rsid w:val="002B73F9"/>
    <w:rsid w:val="002C2F38"/>
    <w:rsid w:val="002D0731"/>
    <w:rsid w:val="002D1752"/>
    <w:rsid w:val="002D2CC5"/>
    <w:rsid w:val="002D327A"/>
    <w:rsid w:val="002D6CD3"/>
    <w:rsid w:val="002E0120"/>
    <w:rsid w:val="002E3201"/>
    <w:rsid w:val="002E41D8"/>
    <w:rsid w:val="002E6682"/>
    <w:rsid w:val="002E6A2A"/>
    <w:rsid w:val="002E6A7C"/>
    <w:rsid w:val="002E7DD0"/>
    <w:rsid w:val="002F76CC"/>
    <w:rsid w:val="00300274"/>
    <w:rsid w:val="003018C6"/>
    <w:rsid w:val="00305D48"/>
    <w:rsid w:val="003122B4"/>
    <w:rsid w:val="00313B39"/>
    <w:rsid w:val="00313BFD"/>
    <w:rsid w:val="003175AC"/>
    <w:rsid w:val="00317980"/>
    <w:rsid w:val="00324253"/>
    <w:rsid w:val="003248CB"/>
    <w:rsid w:val="0032537F"/>
    <w:rsid w:val="00326A95"/>
    <w:rsid w:val="00326EFF"/>
    <w:rsid w:val="00327C2F"/>
    <w:rsid w:val="00327F9B"/>
    <w:rsid w:val="00330DD0"/>
    <w:rsid w:val="003335F1"/>
    <w:rsid w:val="00335199"/>
    <w:rsid w:val="00335695"/>
    <w:rsid w:val="00336355"/>
    <w:rsid w:val="00336ECE"/>
    <w:rsid w:val="00336F3E"/>
    <w:rsid w:val="003370D5"/>
    <w:rsid w:val="00337919"/>
    <w:rsid w:val="003402B3"/>
    <w:rsid w:val="00342E86"/>
    <w:rsid w:val="00343C68"/>
    <w:rsid w:val="00343CAC"/>
    <w:rsid w:val="00343FA7"/>
    <w:rsid w:val="00345DC5"/>
    <w:rsid w:val="003460B6"/>
    <w:rsid w:val="003501E2"/>
    <w:rsid w:val="00351B07"/>
    <w:rsid w:val="00352174"/>
    <w:rsid w:val="00352A0E"/>
    <w:rsid w:val="00353393"/>
    <w:rsid w:val="00354DCD"/>
    <w:rsid w:val="00355E8A"/>
    <w:rsid w:val="00360694"/>
    <w:rsid w:val="00360981"/>
    <w:rsid w:val="00363819"/>
    <w:rsid w:val="00374AE3"/>
    <w:rsid w:val="00375AC2"/>
    <w:rsid w:val="003812F1"/>
    <w:rsid w:val="00381928"/>
    <w:rsid w:val="00384DD4"/>
    <w:rsid w:val="003858DF"/>
    <w:rsid w:val="003870B7"/>
    <w:rsid w:val="003876E2"/>
    <w:rsid w:val="0039112E"/>
    <w:rsid w:val="0039320F"/>
    <w:rsid w:val="00393D20"/>
    <w:rsid w:val="00394FF1"/>
    <w:rsid w:val="003A12FE"/>
    <w:rsid w:val="003A3296"/>
    <w:rsid w:val="003A3B4E"/>
    <w:rsid w:val="003A52BA"/>
    <w:rsid w:val="003B0278"/>
    <w:rsid w:val="003B3A0C"/>
    <w:rsid w:val="003B56AD"/>
    <w:rsid w:val="003B65FA"/>
    <w:rsid w:val="003B7806"/>
    <w:rsid w:val="003C15AC"/>
    <w:rsid w:val="003C5EAD"/>
    <w:rsid w:val="003C6647"/>
    <w:rsid w:val="003D1059"/>
    <w:rsid w:val="003D4497"/>
    <w:rsid w:val="003D497E"/>
    <w:rsid w:val="003D5834"/>
    <w:rsid w:val="003D5CEF"/>
    <w:rsid w:val="003D6C04"/>
    <w:rsid w:val="003D71F7"/>
    <w:rsid w:val="003E0945"/>
    <w:rsid w:val="003E19B3"/>
    <w:rsid w:val="003E2359"/>
    <w:rsid w:val="003E2936"/>
    <w:rsid w:val="003E43FE"/>
    <w:rsid w:val="003E6457"/>
    <w:rsid w:val="003F0119"/>
    <w:rsid w:val="003F0593"/>
    <w:rsid w:val="003F0CE4"/>
    <w:rsid w:val="003F1E91"/>
    <w:rsid w:val="003F3241"/>
    <w:rsid w:val="003F49D8"/>
    <w:rsid w:val="003F6682"/>
    <w:rsid w:val="00405506"/>
    <w:rsid w:val="004067E4"/>
    <w:rsid w:val="0041468A"/>
    <w:rsid w:val="00414DBB"/>
    <w:rsid w:val="004178CE"/>
    <w:rsid w:val="00420023"/>
    <w:rsid w:val="00421C26"/>
    <w:rsid w:val="00422BA0"/>
    <w:rsid w:val="00422C6E"/>
    <w:rsid w:val="00424EB9"/>
    <w:rsid w:val="00425089"/>
    <w:rsid w:val="00427D7F"/>
    <w:rsid w:val="00430050"/>
    <w:rsid w:val="00430989"/>
    <w:rsid w:val="004317DB"/>
    <w:rsid w:val="004324B6"/>
    <w:rsid w:val="00433682"/>
    <w:rsid w:val="00434A80"/>
    <w:rsid w:val="00435DA2"/>
    <w:rsid w:val="00436532"/>
    <w:rsid w:val="0043744D"/>
    <w:rsid w:val="00440A62"/>
    <w:rsid w:val="004438EA"/>
    <w:rsid w:val="00445086"/>
    <w:rsid w:val="004453A7"/>
    <w:rsid w:val="004457B2"/>
    <w:rsid w:val="00445CA5"/>
    <w:rsid w:val="00445E3F"/>
    <w:rsid w:val="00447F45"/>
    <w:rsid w:val="004501EC"/>
    <w:rsid w:val="004511F2"/>
    <w:rsid w:val="00451DBD"/>
    <w:rsid w:val="004542C4"/>
    <w:rsid w:val="004559A7"/>
    <w:rsid w:val="004569FA"/>
    <w:rsid w:val="00462EF6"/>
    <w:rsid w:val="00464EE3"/>
    <w:rsid w:val="00466518"/>
    <w:rsid w:val="004666EC"/>
    <w:rsid w:val="00470E02"/>
    <w:rsid w:val="0047297E"/>
    <w:rsid w:val="00474A8D"/>
    <w:rsid w:val="00480EE2"/>
    <w:rsid w:val="00486A17"/>
    <w:rsid w:val="004917EB"/>
    <w:rsid w:val="004918A6"/>
    <w:rsid w:val="0049214B"/>
    <w:rsid w:val="00492DA1"/>
    <w:rsid w:val="004933FA"/>
    <w:rsid w:val="00493F62"/>
    <w:rsid w:val="00494B72"/>
    <w:rsid w:val="00496081"/>
    <w:rsid w:val="00497DCE"/>
    <w:rsid w:val="004A1348"/>
    <w:rsid w:val="004A198E"/>
    <w:rsid w:val="004A5ECF"/>
    <w:rsid w:val="004B16CF"/>
    <w:rsid w:val="004B1F7E"/>
    <w:rsid w:val="004B243F"/>
    <w:rsid w:val="004B41CA"/>
    <w:rsid w:val="004B5D7A"/>
    <w:rsid w:val="004B6576"/>
    <w:rsid w:val="004C0341"/>
    <w:rsid w:val="004C060E"/>
    <w:rsid w:val="004C16EF"/>
    <w:rsid w:val="004C211B"/>
    <w:rsid w:val="004C2B08"/>
    <w:rsid w:val="004C6070"/>
    <w:rsid w:val="004D2C7C"/>
    <w:rsid w:val="004D3C20"/>
    <w:rsid w:val="004D6B96"/>
    <w:rsid w:val="004D71C4"/>
    <w:rsid w:val="004D7FB4"/>
    <w:rsid w:val="004E1354"/>
    <w:rsid w:val="004E52A2"/>
    <w:rsid w:val="004E5CB8"/>
    <w:rsid w:val="004F0AA6"/>
    <w:rsid w:val="004F27D4"/>
    <w:rsid w:val="004F79A2"/>
    <w:rsid w:val="005003FF"/>
    <w:rsid w:val="00501481"/>
    <w:rsid w:val="00502454"/>
    <w:rsid w:val="0050745E"/>
    <w:rsid w:val="00510063"/>
    <w:rsid w:val="005145AF"/>
    <w:rsid w:val="00514A8D"/>
    <w:rsid w:val="00515AFE"/>
    <w:rsid w:val="00516323"/>
    <w:rsid w:val="00516696"/>
    <w:rsid w:val="00516766"/>
    <w:rsid w:val="00520DBE"/>
    <w:rsid w:val="00522E8A"/>
    <w:rsid w:val="00523B54"/>
    <w:rsid w:val="00524523"/>
    <w:rsid w:val="005261D0"/>
    <w:rsid w:val="00526675"/>
    <w:rsid w:val="005278E3"/>
    <w:rsid w:val="00527E55"/>
    <w:rsid w:val="00535539"/>
    <w:rsid w:val="00537AA7"/>
    <w:rsid w:val="00540274"/>
    <w:rsid w:val="0054114E"/>
    <w:rsid w:val="0054242B"/>
    <w:rsid w:val="00542A91"/>
    <w:rsid w:val="00542F07"/>
    <w:rsid w:val="00543427"/>
    <w:rsid w:val="0054393D"/>
    <w:rsid w:val="00545EE9"/>
    <w:rsid w:val="005469D4"/>
    <w:rsid w:val="00550251"/>
    <w:rsid w:val="00550525"/>
    <w:rsid w:val="00550E6C"/>
    <w:rsid w:val="005512C3"/>
    <w:rsid w:val="00553A77"/>
    <w:rsid w:val="005549EB"/>
    <w:rsid w:val="00554E6E"/>
    <w:rsid w:val="00556C99"/>
    <w:rsid w:val="00557996"/>
    <w:rsid w:val="00560F56"/>
    <w:rsid w:val="00570B62"/>
    <w:rsid w:val="00573D25"/>
    <w:rsid w:val="00576790"/>
    <w:rsid w:val="00581CBF"/>
    <w:rsid w:val="0058258E"/>
    <w:rsid w:val="005831C6"/>
    <w:rsid w:val="0058607D"/>
    <w:rsid w:val="0058687E"/>
    <w:rsid w:val="00587E77"/>
    <w:rsid w:val="00594219"/>
    <w:rsid w:val="0059585D"/>
    <w:rsid w:val="00595BBD"/>
    <w:rsid w:val="0059641E"/>
    <w:rsid w:val="0059650D"/>
    <w:rsid w:val="005A36DC"/>
    <w:rsid w:val="005A3E78"/>
    <w:rsid w:val="005A45E4"/>
    <w:rsid w:val="005A5827"/>
    <w:rsid w:val="005A59DE"/>
    <w:rsid w:val="005A5A51"/>
    <w:rsid w:val="005A75C0"/>
    <w:rsid w:val="005A7677"/>
    <w:rsid w:val="005B0089"/>
    <w:rsid w:val="005B00C7"/>
    <w:rsid w:val="005B092E"/>
    <w:rsid w:val="005B1EB6"/>
    <w:rsid w:val="005B27E6"/>
    <w:rsid w:val="005B3B04"/>
    <w:rsid w:val="005B4B96"/>
    <w:rsid w:val="005C0A5A"/>
    <w:rsid w:val="005C2810"/>
    <w:rsid w:val="005C3A68"/>
    <w:rsid w:val="005C4D44"/>
    <w:rsid w:val="005C6C18"/>
    <w:rsid w:val="005C7126"/>
    <w:rsid w:val="005D07C4"/>
    <w:rsid w:val="005D2084"/>
    <w:rsid w:val="005D288E"/>
    <w:rsid w:val="005D6AC5"/>
    <w:rsid w:val="005E1472"/>
    <w:rsid w:val="005E322A"/>
    <w:rsid w:val="005F0C63"/>
    <w:rsid w:val="005F14C4"/>
    <w:rsid w:val="005F226C"/>
    <w:rsid w:val="005F477D"/>
    <w:rsid w:val="005F7E69"/>
    <w:rsid w:val="00601175"/>
    <w:rsid w:val="00615201"/>
    <w:rsid w:val="006173AC"/>
    <w:rsid w:val="00620514"/>
    <w:rsid w:val="0062100F"/>
    <w:rsid w:val="00622121"/>
    <w:rsid w:val="00622443"/>
    <w:rsid w:val="00626A13"/>
    <w:rsid w:val="006277C0"/>
    <w:rsid w:val="00627CB4"/>
    <w:rsid w:val="00630CA4"/>
    <w:rsid w:val="0063201F"/>
    <w:rsid w:val="00632C61"/>
    <w:rsid w:val="00634296"/>
    <w:rsid w:val="00634880"/>
    <w:rsid w:val="006363B5"/>
    <w:rsid w:val="00637040"/>
    <w:rsid w:val="006425BA"/>
    <w:rsid w:val="006453F9"/>
    <w:rsid w:val="00650B9A"/>
    <w:rsid w:val="00653345"/>
    <w:rsid w:val="00655D74"/>
    <w:rsid w:val="00656F11"/>
    <w:rsid w:val="00660280"/>
    <w:rsid w:val="0066636E"/>
    <w:rsid w:val="0066643D"/>
    <w:rsid w:val="00666D50"/>
    <w:rsid w:val="00666F12"/>
    <w:rsid w:val="00670F79"/>
    <w:rsid w:val="00676736"/>
    <w:rsid w:val="006777D7"/>
    <w:rsid w:val="00681D96"/>
    <w:rsid w:val="00683088"/>
    <w:rsid w:val="00684D37"/>
    <w:rsid w:val="0068642E"/>
    <w:rsid w:val="00686A58"/>
    <w:rsid w:val="006877D0"/>
    <w:rsid w:val="00691D6D"/>
    <w:rsid w:val="00692A48"/>
    <w:rsid w:val="00693116"/>
    <w:rsid w:val="00694030"/>
    <w:rsid w:val="00694835"/>
    <w:rsid w:val="00696017"/>
    <w:rsid w:val="006961D6"/>
    <w:rsid w:val="006A175B"/>
    <w:rsid w:val="006A1AB1"/>
    <w:rsid w:val="006A1D27"/>
    <w:rsid w:val="006A21F0"/>
    <w:rsid w:val="006A31A6"/>
    <w:rsid w:val="006A588C"/>
    <w:rsid w:val="006B2F72"/>
    <w:rsid w:val="006B4CB8"/>
    <w:rsid w:val="006C20F6"/>
    <w:rsid w:val="006C5AB2"/>
    <w:rsid w:val="006C63ED"/>
    <w:rsid w:val="006D04CC"/>
    <w:rsid w:val="006D0805"/>
    <w:rsid w:val="006D1088"/>
    <w:rsid w:val="006D2A35"/>
    <w:rsid w:val="006D47BB"/>
    <w:rsid w:val="006E1B15"/>
    <w:rsid w:val="006E2809"/>
    <w:rsid w:val="006F3111"/>
    <w:rsid w:val="006F5785"/>
    <w:rsid w:val="006F5D8E"/>
    <w:rsid w:val="007002C6"/>
    <w:rsid w:val="007124CB"/>
    <w:rsid w:val="00713041"/>
    <w:rsid w:val="00716A28"/>
    <w:rsid w:val="007201C5"/>
    <w:rsid w:val="0072085D"/>
    <w:rsid w:val="00721168"/>
    <w:rsid w:val="00726103"/>
    <w:rsid w:val="00726C50"/>
    <w:rsid w:val="00727F4C"/>
    <w:rsid w:val="0073056A"/>
    <w:rsid w:val="00730E3E"/>
    <w:rsid w:val="007333D5"/>
    <w:rsid w:val="007336D0"/>
    <w:rsid w:val="00734F6B"/>
    <w:rsid w:val="00736D31"/>
    <w:rsid w:val="00736E0F"/>
    <w:rsid w:val="00737701"/>
    <w:rsid w:val="00741305"/>
    <w:rsid w:val="007419CC"/>
    <w:rsid w:val="00742B02"/>
    <w:rsid w:val="00743645"/>
    <w:rsid w:val="0074412E"/>
    <w:rsid w:val="00744BDC"/>
    <w:rsid w:val="007459E8"/>
    <w:rsid w:val="00746A7E"/>
    <w:rsid w:val="00754D5E"/>
    <w:rsid w:val="00756257"/>
    <w:rsid w:val="00756CDA"/>
    <w:rsid w:val="00761146"/>
    <w:rsid w:val="0076727C"/>
    <w:rsid w:val="0076741C"/>
    <w:rsid w:val="00771D6F"/>
    <w:rsid w:val="00772029"/>
    <w:rsid w:val="00776762"/>
    <w:rsid w:val="00776911"/>
    <w:rsid w:val="00776EA3"/>
    <w:rsid w:val="0077741D"/>
    <w:rsid w:val="007774CC"/>
    <w:rsid w:val="00777E07"/>
    <w:rsid w:val="007817C2"/>
    <w:rsid w:val="00781867"/>
    <w:rsid w:val="00782CEB"/>
    <w:rsid w:val="007857AF"/>
    <w:rsid w:val="00787CD1"/>
    <w:rsid w:val="00792A3F"/>
    <w:rsid w:val="0079424F"/>
    <w:rsid w:val="007A5AC8"/>
    <w:rsid w:val="007A77B1"/>
    <w:rsid w:val="007A789F"/>
    <w:rsid w:val="007B2981"/>
    <w:rsid w:val="007B302F"/>
    <w:rsid w:val="007B35A9"/>
    <w:rsid w:val="007B4051"/>
    <w:rsid w:val="007B436B"/>
    <w:rsid w:val="007B642F"/>
    <w:rsid w:val="007B7EDD"/>
    <w:rsid w:val="007C0381"/>
    <w:rsid w:val="007C059D"/>
    <w:rsid w:val="007C19AC"/>
    <w:rsid w:val="007C3A2F"/>
    <w:rsid w:val="007C3C9D"/>
    <w:rsid w:val="007D1D3A"/>
    <w:rsid w:val="007D1EAD"/>
    <w:rsid w:val="007D2E71"/>
    <w:rsid w:val="007D4823"/>
    <w:rsid w:val="007E2604"/>
    <w:rsid w:val="007E33D2"/>
    <w:rsid w:val="007E4016"/>
    <w:rsid w:val="007F251B"/>
    <w:rsid w:val="007F2563"/>
    <w:rsid w:val="007F29B5"/>
    <w:rsid w:val="007F68F5"/>
    <w:rsid w:val="00800A0D"/>
    <w:rsid w:val="00801EB3"/>
    <w:rsid w:val="008021DB"/>
    <w:rsid w:val="008022C0"/>
    <w:rsid w:val="00803C66"/>
    <w:rsid w:val="00805293"/>
    <w:rsid w:val="00805A19"/>
    <w:rsid w:val="00805B6E"/>
    <w:rsid w:val="00805CE8"/>
    <w:rsid w:val="00812DF5"/>
    <w:rsid w:val="00812E19"/>
    <w:rsid w:val="00814250"/>
    <w:rsid w:val="00814F52"/>
    <w:rsid w:val="0081552D"/>
    <w:rsid w:val="0081568A"/>
    <w:rsid w:val="008158E8"/>
    <w:rsid w:val="00815DED"/>
    <w:rsid w:val="008164C7"/>
    <w:rsid w:val="00817FE4"/>
    <w:rsid w:val="008266E5"/>
    <w:rsid w:val="00827E26"/>
    <w:rsid w:val="00834903"/>
    <w:rsid w:val="00834D80"/>
    <w:rsid w:val="008352AC"/>
    <w:rsid w:val="0083543E"/>
    <w:rsid w:val="00836B23"/>
    <w:rsid w:val="00840B06"/>
    <w:rsid w:val="00845217"/>
    <w:rsid w:val="00846D22"/>
    <w:rsid w:val="00851129"/>
    <w:rsid w:val="0085243E"/>
    <w:rsid w:val="00852651"/>
    <w:rsid w:val="00854618"/>
    <w:rsid w:val="008547B3"/>
    <w:rsid w:val="008553F7"/>
    <w:rsid w:val="008564BA"/>
    <w:rsid w:val="00857595"/>
    <w:rsid w:val="00860D44"/>
    <w:rsid w:val="008611BA"/>
    <w:rsid w:val="00861FB8"/>
    <w:rsid w:val="00864E28"/>
    <w:rsid w:val="008663F7"/>
    <w:rsid w:val="00867319"/>
    <w:rsid w:val="00875BA0"/>
    <w:rsid w:val="008766AD"/>
    <w:rsid w:val="00876A59"/>
    <w:rsid w:val="00876BD5"/>
    <w:rsid w:val="00877268"/>
    <w:rsid w:val="00877A0F"/>
    <w:rsid w:val="0088099D"/>
    <w:rsid w:val="00881219"/>
    <w:rsid w:val="00884DE5"/>
    <w:rsid w:val="008860AF"/>
    <w:rsid w:val="00890B37"/>
    <w:rsid w:val="00891B42"/>
    <w:rsid w:val="00891F66"/>
    <w:rsid w:val="00894448"/>
    <w:rsid w:val="008957B9"/>
    <w:rsid w:val="008971C5"/>
    <w:rsid w:val="00897BF3"/>
    <w:rsid w:val="008A1A0B"/>
    <w:rsid w:val="008A5CA1"/>
    <w:rsid w:val="008A6F4F"/>
    <w:rsid w:val="008A7054"/>
    <w:rsid w:val="008B25F2"/>
    <w:rsid w:val="008B2ABF"/>
    <w:rsid w:val="008B59C1"/>
    <w:rsid w:val="008C0B9F"/>
    <w:rsid w:val="008C2E22"/>
    <w:rsid w:val="008C4FEE"/>
    <w:rsid w:val="008C526F"/>
    <w:rsid w:val="008D1750"/>
    <w:rsid w:val="008D4BF1"/>
    <w:rsid w:val="008D4F9C"/>
    <w:rsid w:val="008D5522"/>
    <w:rsid w:val="008D72DA"/>
    <w:rsid w:val="008E0EA5"/>
    <w:rsid w:val="008E258C"/>
    <w:rsid w:val="008E4C9B"/>
    <w:rsid w:val="008E500F"/>
    <w:rsid w:val="008E6B4E"/>
    <w:rsid w:val="008E6CE7"/>
    <w:rsid w:val="008E7B7C"/>
    <w:rsid w:val="008F1594"/>
    <w:rsid w:val="008F181B"/>
    <w:rsid w:val="008F4B45"/>
    <w:rsid w:val="008F65DE"/>
    <w:rsid w:val="008F6CB0"/>
    <w:rsid w:val="008F6F34"/>
    <w:rsid w:val="008F7439"/>
    <w:rsid w:val="008F7DC9"/>
    <w:rsid w:val="009000AA"/>
    <w:rsid w:val="00902BB4"/>
    <w:rsid w:val="00903F7C"/>
    <w:rsid w:val="009068CB"/>
    <w:rsid w:val="00907553"/>
    <w:rsid w:val="00907803"/>
    <w:rsid w:val="00907B4A"/>
    <w:rsid w:val="00911255"/>
    <w:rsid w:val="00911FEC"/>
    <w:rsid w:val="009130EA"/>
    <w:rsid w:val="00913FE5"/>
    <w:rsid w:val="00914604"/>
    <w:rsid w:val="009157D6"/>
    <w:rsid w:val="0091706C"/>
    <w:rsid w:val="009175ED"/>
    <w:rsid w:val="00922914"/>
    <w:rsid w:val="009256F0"/>
    <w:rsid w:val="00925901"/>
    <w:rsid w:val="00931161"/>
    <w:rsid w:val="0093163B"/>
    <w:rsid w:val="00942A31"/>
    <w:rsid w:val="009432F6"/>
    <w:rsid w:val="00943B67"/>
    <w:rsid w:val="00943F5A"/>
    <w:rsid w:val="009542F2"/>
    <w:rsid w:val="009553A6"/>
    <w:rsid w:val="0095587A"/>
    <w:rsid w:val="00955E98"/>
    <w:rsid w:val="009562F4"/>
    <w:rsid w:val="0095680A"/>
    <w:rsid w:val="009616CA"/>
    <w:rsid w:val="00962D54"/>
    <w:rsid w:val="009651E2"/>
    <w:rsid w:val="00966390"/>
    <w:rsid w:val="009671B6"/>
    <w:rsid w:val="00967583"/>
    <w:rsid w:val="00972687"/>
    <w:rsid w:val="00972DB3"/>
    <w:rsid w:val="00973D0B"/>
    <w:rsid w:val="00975627"/>
    <w:rsid w:val="009762C0"/>
    <w:rsid w:val="00977405"/>
    <w:rsid w:val="00980061"/>
    <w:rsid w:val="009858E2"/>
    <w:rsid w:val="0098677F"/>
    <w:rsid w:val="00990042"/>
    <w:rsid w:val="00992DF0"/>
    <w:rsid w:val="0099391B"/>
    <w:rsid w:val="009A2FBC"/>
    <w:rsid w:val="009A4596"/>
    <w:rsid w:val="009A6932"/>
    <w:rsid w:val="009A6B12"/>
    <w:rsid w:val="009A7F42"/>
    <w:rsid w:val="009B01EC"/>
    <w:rsid w:val="009B0901"/>
    <w:rsid w:val="009B32BA"/>
    <w:rsid w:val="009B4FCB"/>
    <w:rsid w:val="009B51E7"/>
    <w:rsid w:val="009B5206"/>
    <w:rsid w:val="009B7859"/>
    <w:rsid w:val="009C2B70"/>
    <w:rsid w:val="009C4613"/>
    <w:rsid w:val="009C6DB8"/>
    <w:rsid w:val="009C742B"/>
    <w:rsid w:val="009D0B98"/>
    <w:rsid w:val="009D5D84"/>
    <w:rsid w:val="009D70AC"/>
    <w:rsid w:val="009E17F4"/>
    <w:rsid w:val="009E196B"/>
    <w:rsid w:val="009E47CB"/>
    <w:rsid w:val="009E4819"/>
    <w:rsid w:val="009E4A9E"/>
    <w:rsid w:val="009E55E5"/>
    <w:rsid w:val="009E58FB"/>
    <w:rsid w:val="009E65A9"/>
    <w:rsid w:val="009E66EE"/>
    <w:rsid w:val="009E6DE2"/>
    <w:rsid w:val="009F1E67"/>
    <w:rsid w:val="009F2ECA"/>
    <w:rsid w:val="009F52D4"/>
    <w:rsid w:val="009F5D0A"/>
    <w:rsid w:val="00A0001D"/>
    <w:rsid w:val="00A03006"/>
    <w:rsid w:val="00A12B2F"/>
    <w:rsid w:val="00A13FEE"/>
    <w:rsid w:val="00A213FB"/>
    <w:rsid w:val="00A22549"/>
    <w:rsid w:val="00A23414"/>
    <w:rsid w:val="00A241DE"/>
    <w:rsid w:val="00A26321"/>
    <w:rsid w:val="00A2694A"/>
    <w:rsid w:val="00A276B6"/>
    <w:rsid w:val="00A3287F"/>
    <w:rsid w:val="00A3342D"/>
    <w:rsid w:val="00A34384"/>
    <w:rsid w:val="00A34DF8"/>
    <w:rsid w:val="00A36987"/>
    <w:rsid w:val="00A37CE3"/>
    <w:rsid w:val="00A41C58"/>
    <w:rsid w:val="00A513F8"/>
    <w:rsid w:val="00A51F53"/>
    <w:rsid w:val="00A51FC5"/>
    <w:rsid w:val="00A52DD9"/>
    <w:rsid w:val="00A54DB7"/>
    <w:rsid w:val="00A5641C"/>
    <w:rsid w:val="00A5655E"/>
    <w:rsid w:val="00A56676"/>
    <w:rsid w:val="00A60FB7"/>
    <w:rsid w:val="00A63DC1"/>
    <w:rsid w:val="00A640B9"/>
    <w:rsid w:val="00A64177"/>
    <w:rsid w:val="00A64C39"/>
    <w:rsid w:val="00A652EE"/>
    <w:rsid w:val="00A7139B"/>
    <w:rsid w:val="00A7172E"/>
    <w:rsid w:val="00A72230"/>
    <w:rsid w:val="00A73088"/>
    <w:rsid w:val="00A74C00"/>
    <w:rsid w:val="00A8030B"/>
    <w:rsid w:val="00A81E05"/>
    <w:rsid w:val="00A841B0"/>
    <w:rsid w:val="00A84206"/>
    <w:rsid w:val="00A87C3B"/>
    <w:rsid w:val="00A91196"/>
    <w:rsid w:val="00A93BE3"/>
    <w:rsid w:val="00A93CEC"/>
    <w:rsid w:val="00A96E6E"/>
    <w:rsid w:val="00AA3A05"/>
    <w:rsid w:val="00AA41CD"/>
    <w:rsid w:val="00AA5232"/>
    <w:rsid w:val="00AA69A9"/>
    <w:rsid w:val="00AA6CB4"/>
    <w:rsid w:val="00AB11CA"/>
    <w:rsid w:val="00AB2158"/>
    <w:rsid w:val="00AB3C8A"/>
    <w:rsid w:val="00AB53A4"/>
    <w:rsid w:val="00AC16E0"/>
    <w:rsid w:val="00AC260F"/>
    <w:rsid w:val="00AC3E09"/>
    <w:rsid w:val="00AC4317"/>
    <w:rsid w:val="00AC5507"/>
    <w:rsid w:val="00AC6BB4"/>
    <w:rsid w:val="00AD53DF"/>
    <w:rsid w:val="00AD72A2"/>
    <w:rsid w:val="00AE0600"/>
    <w:rsid w:val="00AE2B7B"/>
    <w:rsid w:val="00AE2F7E"/>
    <w:rsid w:val="00AE3C93"/>
    <w:rsid w:val="00AE490B"/>
    <w:rsid w:val="00AE53A3"/>
    <w:rsid w:val="00AE67BA"/>
    <w:rsid w:val="00AF4E02"/>
    <w:rsid w:val="00AF63CC"/>
    <w:rsid w:val="00AF6D9E"/>
    <w:rsid w:val="00B01572"/>
    <w:rsid w:val="00B04267"/>
    <w:rsid w:val="00B053C8"/>
    <w:rsid w:val="00B0574B"/>
    <w:rsid w:val="00B06E28"/>
    <w:rsid w:val="00B109EA"/>
    <w:rsid w:val="00B15928"/>
    <w:rsid w:val="00B15C4B"/>
    <w:rsid w:val="00B15CE8"/>
    <w:rsid w:val="00B160A3"/>
    <w:rsid w:val="00B168ED"/>
    <w:rsid w:val="00B16AFE"/>
    <w:rsid w:val="00B2044B"/>
    <w:rsid w:val="00B23A4C"/>
    <w:rsid w:val="00B25A7A"/>
    <w:rsid w:val="00B2668E"/>
    <w:rsid w:val="00B31FBA"/>
    <w:rsid w:val="00B339DA"/>
    <w:rsid w:val="00B3406A"/>
    <w:rsid w:val="00B35432"/>
    <w:rsid w:val="00B35740"/>
    <w:rsid w:val="00B35A67"/>
    <w:rsid w:val="00B3621E"/>
    <w:rsid w:val="00B36D09"/>
    <w:rsid w:val="00B378D4"/>
    <w:rsid w:val="00B3793F"/>
    <w:rsid w:val="00B37C98"/>
    <w:rsid w:val="00B40816"/>
    <w:rsid w:val="00B5003F"/>
    <w:rsid w:val="00B5112C"/>
    <w:rsid w:val="00B51EF8"/>
    <w:rsid w:val="00B526E5"/>
    <w:rsid w:val="00B53A1C"/>
    <w:rsid w:val="00B542FB"/>
    <w:rsid w:val="00B551C7"/>
    <w:rsid w:val="00B60C57"/>
    <w:rsid w:val="00B613B6"/>
    <w:rsid w:val="00B633B6"/>
    <w:rsid w:val="00B64782"/>
    <w:rsid w:val="00B66C71"/>
    <w:rsid w:val="00B6757D"/>
    <w:rsid w:val="00B7056E"/>
    <w:rsid w:val="00B714E8"/>
    <w:rsid w:val="00B74782"/>
    <w:rsid w:val="00B75876"/>
    <w:rsid w:val="00B8065A"/>
    <w:rsid w:val="00B839F6"/>
    <w:rsid w:val="00B83E3D"/>
    <w:rsid w:val="00B90DB5"/>
    <w:rsid w:val="00BA0109"/>
    <w:rsid w:val="00BA263E"/>
    <w:rsid w:val="00BA61FF"/>
    <w:rsid w:val="00BA7CA8"/>
    <w:rsid w:val="00BB11D8"/>
    <w:rsid w:val="00BB25DE"/>
    <w:rsid w:val="00BB62D6"/>
    <w:rsid w:val="00BC1C90"/>
    <w:rsid w:val="00BC3500"/>
    <w:rsid w:val="00BC43B8"/>
    <w:rsid w:val="00BC4CE9"/>
    <w:rsid w:val="00BC50C1"/>
    <w:rsid w:val="00BC56E0"/>
    <w:rsid w:val="00BC7333"/>
    <w:rsid w:val="00BC7600"/>
    <w:rsid w:val="00BD05D2"/>
    <w:rsid w:val="00BD1C20"/>
    <w:rsid w:val="00BD2649"/>
    <w:rsid w:val="00BE2018"/>
    <w:rsid w:val="00BE505F"/>
    <w:rsid w:val="00BE53A4"/>
    <w:rsid w:val="00BF00A9"/>
    <w:rsid w:val="00BF08D0"/>
    <w:rsid w:val="00BF0FD1"/>
    <w:rsid w:val="00BF23C5"/>
    <w:rsid w:val="00BF292F"/>
    <w:rsid w:val="00BF426F"/>
    <w:rsid w:val="00BF52A8"/>
    <w:rsid w:val="00BF6FAE"/>
    <w:rsid w:val="00BF77A1"/>
    <w:rsid w:val="00C0100E"/>
    <w:rsid w:val="00C0126E"/>
    <w:rsid w:val="00C02398"/>
    <w:rsid w:val="00C05650"/>
    <w:rsid w:val="00C06930"/>
    <w:rsid w:val="00C07900"/>
    <w:rsid w:val="00C10238"/>
    <w:rsid w:val="00C11326"/>
    <w:rsid w:val="00C131D7"/>
    <w:rsid w:val="00C13ABA"/>
    <w:rsid w:val="00C17167"/>
    <w:rsid w:val="00C17CE3"/>
    <w:rsid w:val="00C208BC"/>
    <w:rsid w:val="00C20C18"/>
    <w:rsid w:val="00C21416"/>
    <w:rsid w:val="00C233A6"/>
    <w:rsid w:val="00C2655F"/>
    <w:rsid w:val="00C270E4"/>
    <w:rsid w:val="00C32DB5"/>
    <w:rsid w:val="00C33A6B"/>
    <w:rsid w:val="00C341F4"/>
    <w:rsid w:val="00C34204"/>
    <w:rsid w:val="00C363A3"/>
    <w:rsid w:val="00C37B5C"/>
    <w:rsid w:val="00C40A19"/>
    <w:rsid w:val="00C4491F"/>
    <w:rsid w:val="00C47D2D"/>
    <w:rsid w:val="00C54274"/>
    <w:rsid w:val="00C56D79"/>
    <w:rsid w:val="00C5752E"/>
    <w:rsid w:val="00C61A31"/>
    <w:rsid w:val="00C637FD"/>
    <w:rsid w:val="00C65CE4"/>
    <w:rsid w:val="00C66700"/>
    <w:rsid w:val="00C678E7"/>
    <w:rsid w:val="00C71010"/>
    <w:rsid w:val="00C74DD1"/>
    <w:rsid w:val="00C802D4"/>
    <w:rsid w:val="00C81104"/>
    <w:rsid w:val="00C8289E"/>
    <w:rsid w:val="00C9342F"/>
    <w:rsid w:val="00C94459"/>
    <w:rsid w:val="00CA008C"/>
    <w:rsid w:val="00CA1BD1"/>
    <w:rsid w:val="00CA2107"/>
    <w:rsid w:val="00CA5F76"/>
    <w:rsid w:val="00CB06A9"/>
    <w:rsid w:val="00CB0E99"/>
    <w:rsid w:val="00CB5A40"/>
    <w:rsid w:val="00CC06A5"/>
    <w:rsid w:val="00CC39C8"/>
    <w:rsid w:val="00CC4D15"/>
    <w:rsid w:val="00CD139A"/>
    <w:rsid w:val="00CD1744"/>
    <w:rsid w:val="00CD3AEE"/>
    <w:rsid w:val="00CD677B"/>
    <w:rsid w:val="00CE00CA"/>
    <w:rsid w:val="00CE1B8E"/>
    <w:rsid w:val="00CE2902"/>
    <w:rsid w:val="00CE31A7"/>
    <w:rsid w:val="00CE329E"/>
    <w:rsid w:val="00CE3F5E"/>
    <w:rsid w:val="00CE7644"/>
    <w:rsid w:val="00CF163D"/>
    <w:rsid w:val="00CF45CC"/>
    <w:rsid w:val="00CF7181"/>
    <w:rsid w:val="00D03667"/>
    <w:rsid w:val="00D0520E"/>
    <w:rsid w:val="00D056D1"/>
    <w:rsid w:val="00D10402"/>
    <w:rsid w:val="00D10F54"/>
    <w:rsid w:val="00D11EDB"/>
    <w:rsid w:val="00D15467"/>
    <w:rsid w:val="00D15ED4"/>
    <w:rsid w:val="00D16BAC"/>
    <w:rsid w:val="00D16EF3"/>
    <w:rsid w:val="00D2280A"/>
    <w:rsid w:val="00D24248"/>
    <w:rsid w:val="00D31488"/>
    <w:rsid w:val="00D3244E"/>
    <w:rsid w:val="00D3317E"/>
    <w:rsid w:val="00D341B7"/>
    <w:rsid w:val="00D35B29"/>
    <w:rsid w:val="00D3629F"/>
    <w:rsid w:val="00D36571"/>
    <w:rsid w:val="00D36D6A"/>
    <w:rsid w:val="00D36F35"/>
    <w:rsid w:val="00D36F94"/>
    <w:rsid w:val="00D37294"/>
    <w:rsid w:val="00D3741F"/>
    <w:rsid w:val="00D422E5"/>
    <w:rsid w:val="00D435AF"/>
    <w:rsid w:val="00D43E0C"/>
    <w:rsid w:val="00D50AAB"/>
    <w:rsid w:val="00D51364"/>
    <w:rsid w:val="00D53906"/>
    <w:rsid w:val="00D53F9F"/>
    <w:rsid w:val="00D54158"/>
    <w:rsid w:val="00D548E5"/>
    <w:rsid w:val="00D549DE"/>
    <w:rsid w:val="00D56630"/>
    <w:rsid w:val="00D57A1B"/>
    <w:rsid w:val="00D6023F"/>
    <w:rsid w:val="00D62923"/>
    <w:rsid w:val="00D6302E"/>
    <w:rsid w:val="00D6328E"/>
    <w:rsid w:val="00D65DA3"/>
    <w:rsid w:val="00D67E9A"/>
    <w:rsid w:val="00D7081D"/>
    <w:rsid w:val="00D719C7"/>
    <w:rsid w:val="00D74040"/>
    <w:rsid w:val="00D75048"/>
    <w:rsid w:val="00D7510B"/>
    <w:rsid w:val="00D75AE4"/>
    <w:rsid w:val="00D76659"/>
    <w:rsid w:val="00D77C2F"/>
    <w:rsid w:val="00D80D96"/>
    <w:rsid w:val="00D827ED"/>
    <w:rsid w:val="00D87A18"/>
    <w:rsid w:val="00D87AF2"/>
    <w:rsid w:val="00D92748"/>
    <w:rsid w:val="00D934EA"/>
    <w:rsid w:val="00D96CE3"/>
    <w:rsid w:val="00D96CF2"/>
    <w:rsid w:val="00DA1452"/>
    <w:rsid w:val="00DA4BBC"/>
    <w:rsid w:val="00DA50D6"/>
    <w:rsid w:val="00DA58C9"/>
    <w:rsid w:val="00DA6CED"/>
    <w:rsid w:val="00DA6E6D"/>
    <w:rsid w:val="00DB04C5"/>
    <w:rsid w:val="00DB0FC9"/>
    <w:rsid w:val="00DB3209"/>
    <w:rsid w:val="00DB54A4"/>
    <w:rsid w:val="00DB6234"/>
    <w:rsid w:val="00DB6E80"/>
    <w:rsid w:val="00DC127A"/>
    <w:rsid w:val="00DC2767"/>
    <w:rsid w:val="00DC356C"/>
    <w:rsid w:val="00DD03DB"/>
    <w:rsid w:val="00DD34B8"/>
    <w:rsid w:val="00DD4B14"/>
    <w:rsid w:val="00DD69A8"/>
    <w:rsid w:val="00DE2179"/>
    <w:rsid w:val="00DE22E2"/>
    <w:rsid w:val="00DE4390"/>
    <w:rsid w:val="00DE4825"/>
    <w:rsid w:val="00DE6144"/>
    <w:rsid w:val="00DE7EC1"/>
    <w:rsid w:val="00DF502C"/>
    <w:rsid w:val="00DF7606"/>
    <w:rsid w:val="00DF7C32"/>
    <w:rsid w:val="00E001B5"/>
    <w:rsid w:val="00E021EF"/>
    <w:rsid w:val="00E0262D"/>
    <w:rsid w:val="00E02D57"/>
    <w:rsid w:val="00E05D19"/>
    <w:rsid w:val="00E06F2F"/>
    <w:rsid w:val="00E07A7C"/>
    <w:rsid w:val="00E11EE6"/>
    <w:rsid w:val="00E1483B"/>
    <w:rsid w:val="00E15B38"/>
    <w:rsid w:val="00E16618"/>
    <w:rsid w:val="00E179DB"/>
    <w:rsid w:val="00E31665"/>
    <w:rsid w:val="00E33BA7"/>
    <w:rsid w:val="00E34292"/>
    <w:rsid w:val="00E36CF3"/>
    <w:rsid w:val="00E37DD1"/>
    <w:rsid w:val="00E41DA5"/>
    <w:rsid w:val="00E43F82"/>
    <w:rsid w:val="00E463B2"/>
    <w:rsid w:val="00E469EF"/>
    <w:rsid w:val="00E47B6F"/>
    <w:rsid w:val="00E514A9"/>
    <w:rsid w:val="00E53E11"/>
    <w:rsid w:val="00E548A7"/>
    <w:rsid w:val="00E56106"/>
    <w:rsid w:val="00E57842"/>
    <w:rsid w:val="00E6419D"/>
    <w:rsid w:val="00E654D1"/>
    <w:rsid w:val="00E666C9"/>
    <w:rsid w:val="00E676A3"/>
    <w:rsid w:val="00E701B3"/>
    <w:rsid w:val="00E72504"/>
    <w:rsid w:val="00E7403A"/>
    <w:rsid w:val="00E744E1"/>
    <w:rsid w:val="00E7460D"/>
    <w:rsid w:val="00E7483F"/>
    <w:rsid w:val="00E77911"/>
    <w:rsid w:val="00E8418D"/>
    <w:rsid w:val="00E8559F"/>
    <w:rsid w:val="00E96B8E"/>
    <w:rsid w:val="00EA2CDC"/>
    <w:rsid w:val="00EA4305"/>
    <w:rsid w:val="00EA628A"/>
    <w:rsid w:val="00EA6912"/>
    <w:rsid w:val="00EB36E0"/>
    <w:rsid w:val="00EB6C3C"/>
    <w:rsid w:val="00EB74D1"/>
    <w:rsid w:val="00EB7573"/>
    <w:rsid w:val="00EC0E75"/>
    <w:rsid w:val="00EC251E"/>
    <w:rsid w:val="00EC2DBE"/>
    <w:rsid w:val="00EC7BFD"/>
    <w:rsid w:val="00ED0A1B"/>
    <w:rsid w:val="00ED1055"/>
    <w:rsid w:val="00ED1F95"/>
    <w:rsid w:val="00ED274F"/>
    <w:rsid w:val="00ED2B70"/>
    <w:rsid w:val="00ED404B"/>
    <w:rsid w:val="00ED56C7"/>
    <w:rsid w:val="00ED60EE"/>
    <w:rsid w:val="00EE364F"/>
    <w:rsid w:val="00EE781F"/>
    <w:rsid w:val="00EF27F8"/>
    <w:rsid w:val="00EF3FA1"/>
    <w:rsid w:val="00EF4CE1"/>
    <w:rsid w:val="00EF5856"/>
    <w:rsid w:val="00EF5DC8"/>
    <w:rsid w:val="00F00DBF"/>
    <w:rsid w:val="00F03C0B"/>
    <w:rsid w:val="00F03E9A"/>
    <w:rsid w:val="00F057EF"/>
    <w:rsid w:val="00F07277"/>
    <w:rsid w:val="00F074CE"/>
    <w:rsid w:val="00F07E89"/>
    <w:rsid w:val="00F13D71"/>
    <w:rsid w:val="00F20864"/>
    <w:rsid w:val="00F2423A"/>
    <w:rsid w:val="00F25F94"/>
    <w:rsid w:val="00F32D17"/>
    <w:rsid w:val="00F33674"/>
    <w:rsid w:val="00F33D07"/>
    <w:rsid w:val="00F36025"/>
    <w:rsid w:val="00F36356"/>
    <w:rsid w:val="00F418F6"/>
    <w:rsid w:val="00F4313B"/>
    <w:rsid w:val="00F44471"/>
    <w:rsid w:val="00F44B8A"/>
    <w:rsid w:val="00F462A8"/>
    <w:rsid w:val="00F50287"/>
    <w:rsid w:val="00F50491"/>
    <w:rsid w:val="00F50994"/>
    <w:rsid w:val="00F53F05"/>
    <w:rsid w:val="00F554BB"/>
    <w:rsid w:val="00F5552C"/>
    <w:rsid w:val="00F575C4"/>
    <w:rsid w:val="00F613F9"/>
    <w:rsid w:val="00F61B2E"/>
    <w:rsid w:val="00F6247A"/>
    <w:rsid w:val="00F62F1D"/>
    <w:rsid w:val="00F63475"/>
    <w:rsid w:val="00F736B8"/>
    <w:rsid w:val="00F74AD4"/>
    <w:rsid w:val="00F74DFC"/>
    <w:rsid w:val="00F768A2"/>
    <w:rsid w:val="00F77084"/>
    <w:rsid w:val="00F77830"/>
    <w:rsid w:val="00F83763"/>
    <w:rsid w:val="00F84755"/>
    <w:rsid w:val="00F87CB3"/>
    <w:rsid w:val="00F935ED"/>
    <w:rsid w:val="00F93F71"/>
    <w:rsid w:val="00F948BF"/>
    <w:rsid w:val="00FA1612"/>
    <w:rsid w:val="00FA2004"/>
    <w:rsid w:val="00FA3F1B"/>
    <w:rsid w:val="00FA58AB"/>
    <w:rsid w:val="00FB07E4"/>
    <w:rsid w:val="00FB11A7"/>
    <w:rsid w:val="00FB3F22"/>
    <w:rsid w:val="00FB4DEF"/>
    <w:rsid w:val="00FB4E7E"/>
    <w:rsid w:val="00FC1F43"/>
    <w:rsid w:val="00FC5DCA"/>
    <w:rsid w:val="00FC67B1"/>
    <w:rsid w:val="00FC690D"/>
    <w:rsid w:val="00FC7F79"/>
    <w:rsid w:val="00FD1E77"/>
    <w:rsid w:val="00FD3605"/>
    <w:rsid w:val="00FD5350"/>
    <w:rsid w:val="00FD56E7"/>
    <w:rsid w:val="00FD606B"/>
    <w:rsid w:val="00FD648A"/>
    <w:rsid w:val="00FE4B99"/>
    <w:rsid w:val="00FE50B6"/>
    <w:rsid w:val="00FE7CE6"/>
    <w:rsid w:val="00FF2057"/>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3F4A75"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paragraph" w:styleId="Heading3">
    <w:name w:val="heading 3"/>
    <w:next w:val="Normal"/>
    <w:link w:val="Heading3Char"/>
    <w:qFormat/>
    <w:rsid w:val="00007F30"/>
    <w:pPr>
      <w:keepNext/>
      <w:spacing w:before="180" w:after="60" w:line="240" w:lineRule="auto"/>
      <w:outlineLvl w:val="2"/>
    </w:pPr>
    <w:rPr>
      <w:rFonts w:ascii="Arial" w:eastAsia="Times New Roman" w:hAnsi="Arial" w:cs="Arial"/>
      <w:b/>
      <w:bCs/>
      <w:color w:val="358189"/>
      <w:sz w:val="32"/>
      <w:szCs w:val="26"/>
    </w:rPr>
  </w:style>
  <w:style w:type="paragraph" w:styleId="Heading4">
    <w:name w:val="heading 4"/>
    <w:basedOn w:val="Normal"/>
    <w:next w:val="Normal"/>
    <w:link w:val="Heading4Char"/>
    <w:uiPriority w:val="9"/>
    <w:unhideWhenUsed/>
    <w:qFormat/>
    <w:rsid w:val="00394FF1"/>
    <w:pPr>
      <w:keepNext/>
      <w:keepLines/>
      <w:spacing w:before="40" w:after="0"/>
      <w:outlineLvl w:val="3"/>
    </w:pPr>
    <w:rPr>
      <w:rFonts w:asciiTheme="majorHAnsi" w:eastAsiaTheme="majorEastAsia" w:hAnsiTheme="majorHAnsi" w:cstheme="majorBidi"/>
      <w:i/>
      <w:iCs/>
      <w:color w:val="2F37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3F4A75"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3F4A75"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qFormat/>
    <w:rsid w:val="00D37294"/>
    <w:pPr>
      <w:tabs>
        <w:tab w:val="center" w:pos="4513"/>
        <w:tab w:val="right" w:pos="9026"/>
      </w:tabs>
      <w:spacing w:after="0" w:line="240" w:lineRule="auto"/>
    </w:pPr>
    <w:rPr>
      <w:color w:val="3F4A75"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3F4A75" w:themeColor="text2"/>
      <w:sz w:val="16"/>
      <w:szCs w:val="21"/>
    </w:rPr>
  </w:style>
  <w:style w:type="paragraph" w:styleId="Title">
    <w:name w:val="Title"/>
    <w:basedOn w:val="Normal"/>
    <w:next w:val="Normal"/>
    <w:link w:val="TitleChar"/>
    <w:autoRedefine/>
    <w:qFormat/>
    <w:rsid w:val="00516323"/>
    <w:pPr>
      <w:spacing w:before="360" w:after="120" w:line="240" w:lineRule="auto"/>
      <w:contextualSpacing/>
    </w:pPr>
    <w:rPr>
      <w:rFonts w:asciiTheme="majorHAnsi" w:eastAsiaTheme="majorEastAsia" w:hAnsiTheme="majorHAnsi" w:cstheme="majorBidi"/>
      <w:b/>
      <w:bCs/>
      <w:color w:val="3F4A75" w:themeColor="accent1"/>
      <w:spacing w:val="-10"/>
      <w:kern w:val="28"/>
      <w:sz w:val="52"/>
      <w:szCs w:val="56"/>
    </w:rPr>
  </w:style>
  <w:style w:type="character" w:customStyle="1" w:styleId="TitleChar">
    <w:name w:val="Title Char"/>
    <w:basedOn w:val="DefaultParagraphFont"/>
    <w:link w:val="Title"/>
    <w:rsid w:val="00516323"/>
    <w:rPr>
      <w:rFonts w:asciiTheme="majorHAnsi" w:eastAsiaTheme="majorEastAsia" w:hAnsiTheme="majorHAnsi" w:cstheme="majorBidi"/>
      <w:b/>
      <w:bCs/>
      <w:color w:val="3F4A75" w:themeColor="accent1"/>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qFormat/>
    <w:rsid w:val="009B32BA"/>
    <w:rPr>
      <w:color w:val="0000FF"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800080"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character" w:styleId="UnresolvedMention">
    <w:name w:val="Unresolved Mention"/>
    <w:basedOn w:val="DefaultParagraphFont"/>
    <w:uiPriority w:val="99"/>
    <w:semiHidden/>
    <w:unhideWhenUsed/>
    <w:rsid w:val="00E548A7"/>
    <w:rPr>
      <w:color w:val="605E5C"/>
      <w:shd w:val="clear" w:color="auto" w:fill="E1DFDD"/>
    </w:rPr>
  </w:style>
  <w:style w:type="table" w:styleId="TableGrid">
    <w:name w:val="Table Grid"/>
    <w:basedOn w:val="TableNormal"/>
    <w:uiPriority w:val="39"/>
    <w:rsid w:val="00A56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342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5024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rsid w:val="00007F30"/>
    <w:rPr>
      <w:rFonts w:ascii="Arial" w:eastAsia="Times New Roman" w:hAnsi="Arial" w:cs="Arial"/>
      <w:b/>
      <w:bCs/>
      <w:color w:val="358189"/>
      <w:sz w:val="32"/>
      <w:szCs w:val="26"/>
    </w:rPr>
  </w:style>
  <w:style w:type="character" w:customStyle="1" w:styleId="Heading4Char">
    <w:name w:val="Heading 4 Char"/>
    <w:basedOn w:val="DefaultParagraphFont"/>
    <w:link w:val="Heading4"/>
    <w:uiPriority w:val="9"/>
    <w:rsid w:val="00394FF1"/>
    <w:rPr>
      <w:rFonts w:asciiTheme="majorHAnsi" w:eastAsiaTheme="majorEastAsia" w:hAnsiTheme="majorHAnsi" w:cstheme="majorBidi"/>
      <w:i/>
      <w:iCs/>
      <w:color w:val="2F3757" w:themeColor="accent1" w:themeShade="BF"/>
      <w:sz w:val="20"/>
      <w:szCs w:val="21"/>
    </w:rPr>
  </w:style>
  <w:style w:type="paragraph" w:styleId="TOCHeading">
    <w:name w:val="TOC Heading"/>
    <w:basedOn w:val="Heading1"/>
    <w:next w:val="Normal"/>
    <w:uiPriority w:val="39"/>
    <w:unhideWhenUsed/>
    <w:qFormat/>
    <w:rsid w:val="00AB2158"/>
    <w:pPr>
      <w:keepNext/>
      <w:keepLines/>
      <w:spacing w:after="0" w:line="259" w:lineRule="auto"/>
      <w:outlineLvl w:val="9"/>
    </w:pPr>
    <w:rPr>
      <w:rFonts w:eastAsiaTheme="majorEastAsia" w:cstheme="majorBidi"/>
      <w:color w:val="2F3757" w:themeColor="accent1" w:themeShade="BF"/>
      <w:sz w:val="32"/>
      <w:szCs w:val="32"/>
      <w:lang w:val="en-US"/>
    </w:rPr>
  </w:style>
  <w:style w:type="paragraph" w:styleId="TOC2">
    <w:name w:val="toc 2"/>
    <w:basedOn w:val="Normal"/>
    <w:next w:val="Normal"/>
    <w:autoRedefine/>
    <w:uiPriority w:val="39"/>
    <w:unhideWhenUsed/>
    <w:rsid w:val="00A2694A"/>
    <w:pPr>
      <w:tabs>
        <w:tab w:val="left" w:pos="720"/>
        <w:tab w:val="right" w:leader="dot" w:pos="10456"/>
      </w:tabs>
      <w:spacing w:after="100"/>
      <w:ind w:left="200"/>
    </w:pPr>
  </w:style>
  <w:style w:type="paragraph" w:styleId="TOC1">
    <w:name w:val="toc 1"/>
    <w:basedOn w:val="Normal"/>
    <w:next w:val="Normal"/>
    <w:autoRedefine/>
    <w:uiPriority w:val="39"/>
    <w:unhideWhenUsed/>
    <w:rsid w:val="00AB215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30122">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97884564">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lsp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alth">
  <a:themeElements>
    <a:clrScheme name="Custom 1">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B78C-7D30-4E28-9BAF-C34E176D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2024-08-07T05:24:00Z</dcterms:created>
  <dcterms:modified xsi:type="dcterms:W3CDTF">2024-09-15T22:55:00Z</dcterms:modified>
</cp:coreProperties>
</file>