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8F30F9D" w:rsidR="00BA2732" w:rsidRDefault="007D6AB4" w:rsidP="003D033A">
      <w:pPr>
        <w:pStyle w:val="Title"/>
      </w:pPr>
      <w:bookmarkStart w:id="0" w:name="_Hlk170809881"/>
      <w:r>
        <w:t xml:space="preserve">Quantification of </w:t>
      </w:r>
      <w:r w:rsidR="00690D38" w:rsidRPr="000214E4">
        <w:t xml:space="preserve">B-type natriuretic peptide </w:t>
      </w:r>
      <w:r w:rsidR="00690D38">
        <w:t>(</w:t>
      </w:r>
      <w:r w:rsidR="00690D38" w:rsidRPr="007D6AB4">
        <w:t>BNP</w:t>
      </w:r>
      <w:r w:rsidR="00690D38">
        <w:t>)</w:t>
      </w:r>
      <w:r w:rsidR="00690D38" w:rsidRPr="007D6AB4">
        <w:t xml:space="preserve"> </w:t>
      </w:r>
      <w:r w:rsidR="00690D38">
        <w:t xml:space="preserve">or </w:t>
      </w:r>
      <w:r w:rsidRPr="007D6AB4">
        <w:t xml:space="preserve">N-Terminal-pro </w:t>
      </w:r>
      <w:r w:rsidR="0093709C">
        <w:t>b</w:t>
      </w:r>
      <w:r w:rsidRPr="007D6AB4">
        <w:t xml:space="preserve">rain </w:t>
      </w:r>
      <w:r w:rsidR="0093709C">
        <w:t>n</w:t>
      </w:r>
      <w:r w:rsidRPr="007D6AB4">
        <w:t xml:space="preserve">atriuretic </w:t>
      </w:r>
      <w:r w:rsidR="0093709C">
        <w:t>p</w:t>
      </w:r>
      <w:r w:rsidRPr="007D6AB4">
        <w:t>eptide (NT-</w:t>
      </w:r>
      <w:proofErr w:type="spellStart"/>
      <w:r w:rsidRPr="007D6AB4">
        <w:t>proBNP</w:t>
      </w:r>
      <w:proofErr w:type="spellEnd"/>
      <w:r w:rsidRPr="007D6AB4">
        <w:t xml:space="preserve">) testing to aid in the diagnosis of patients with suspected heart failure </w:t>
      </w:r>
      <w:r w:rsidR="005D0E58">
        <w:t xml:space="preserve">(HF) </w:t>
      </w:r>
      <w:r w:rsidRPr="007D6AB4">
        <w:t>in non-hospital setting</w:t>
      </w:r>
      <w:r w:rsidR="00334BCF">
        <w:t>s</w:t>
      </w:r>
      <w:r w:rsidRPr="007D6AB4">
        <w:t xml:space="preserve"> </w:t>
      </w:r>
      <w:bookmarkEnd w:id="0"/>
    </w:p>
    <w:p w14:paraId="6EFD4B5B" w14:textId="42A5C03A" w:rsidR="00064168" w:rsidRPr="00867595" w:rsidRDefault="00064168" w:rsidP="006F5073">
      <w:bookmarkStart w:id="1" w:name="_Hlk4568006"/>
      <w:r w:rsidRPr="00867595">
        <w:t xml:space="preserve">Last updated: </w:t>
      </w:r>
      <w:r w:rsidR="0035797E">
        <w:t>14</w:t>
      </w:r>
      <w:r w:rsidR="00C10A7A">
        <w:t xml:space="preserve"> October</w:t>
      </w:r>
      <w:r w:rsidR="004800F2">
        <w:t xml:space="preserve"> </w:t>
      </w:r>
      <w:r w:rsidR="003248A7" w:rsidRPr="00113B9A">
        <w:t>2024</w:t>
      </w:r>
    </w:p>
    <w:bookmarkEnd w:id="1"/>
    <w:p w14:paraId="44460BF5" w14:textId="77777777" w:rsidR="00064168" w:rsidRPr="00867595" w:rsidRDefault="00064168" w:rsidP="00064168">
      <w:pPr>
        <w:pStyle w:val="Heading2"/>
      </w:pPr>
      <w:r w:rsidRPr="00867595">
        <w:t>What are the changes?</w:t>
      </w:r>
    </w:p>
    <w:p w14:paraId="4E459E9A" w14:textId="583C0FA9" w:rsidR="00064168" w:rsidRPr="00867595" w:rsidRDefault="00736765" w:rsidP="00064168">
      <w:pPr>
        <w:rPr>
          <w:szCs w:val="22"/>
        </w:rPr>
      </w:pPr>
      <w:r>
        <w:rPr>
          <w:szCs w:val="22"/>
        </w:rPr>
        <w:t>From</w:t>
      </w:r>
      <w:r w:rsidR="00064168" w:rsidRPr="00867595">
        <w:rPr>
          <w:szCs w:val="22"/>
        </w:rPr>
        <w:t xml:space="preserve"> </w:t>
      </w:r>
      <w:r w:rsidR="001F6243" w:rsidRPr="00736765">
        <w:rPr>
          <w:b/>
          <w:bCs/>
          <w:szCs w:val="22"/>
        </w:rPr>
        <w:t>1 November 2024</w:t>
      </w:r>
      <w:r w:rsidR="00064168" w:rsidRPr="00867595">
        <w:rPr>
          <w:szCs w:val="22"/>
        </w:rPr>
        <w:t xml:space="preserve">, </w:t>
      </w:r>
      <w:r w:rsidR="00001F7B">
        <w:rPr>
          <w:szCs w:val="22"/>
        </w:rPr>
        <w:t xml:space="preserve">one new item for </w:t>
      </w:r>
      <w:r w:rsidR="00513DB9">
        <w:rPr>
          <w:szCs w:val="22"/>
        </w:rPr>
        <w:t>BNP or NT-</w:t>
      </w:r>
      <w:proofErr w:type="spellStart"/>
      <w:r w:rsidR="00513DB9">
        <w:rPr>
          <w:szCs w:val="22"/>
        </w:rPr>
        <w:t>proBNP</w:t>
      </w:r>
      <w:proofErr w:type="spellEnd"/>
      <w:r w:rsidR="00513DB9">
        <w:rPr>
          <w:szCs w:val="22"/>
        </w:rPr>
        <w:t xml:space="preserve"> testing to aid diagnosis of </w:t>
      </w:r>
      <w:r w:rsidR="00632643" w:rsidRPr="00632643">
        <w:rPr>
          <w:szCs w:val="22"/>
        </w:rPr>
        <w:t>patients with uncertain but suspected HF</w:t>
      </w:r>
      <w:r w:rsidR="00513DB9">
        <w:rPr>
          <w:szCs w:val="22"/>
        </w:rPr>
        <w:t xml:space="preserve"> in non-hospital settings</w:t>
      </w:r>
      <w:r w:rsidR="00242DD9">
        <w:rPr>
          <w:szCs w:val="22"/>
        </w:rPr>
        <w:t xml:space="preserve"> will be listed on the</w:t>
      </w:r>
      <w:r w:rsidR="00632643" w:rsidRPr="00632643">
        <w:t xml:space="preserve"> </w:t>
      </w:r>
      <w:r w:rsidR="00632643" w:rsidRPr="00690D38">
        <w:t>Medicare Benefits Schedule (MBS)</w:t>
      </w:r>
      <w:r w:rsidR="00513DB9">
        <w:rPr>
          <w:szCs w:val="22"/>
        </w:rPr>
        <w:t xml:space="preserve">. </w:t>
      </w:r>
      <w:r w:rsidR="006D1C51">
        <w:rPr>
          <w:b/>
          <w:bCs/>
          <w:szCs w:val="22"/>
        </w:rPr>
        <w:t>Attachment A</w:t>
      </w:r>
      <w:r w:rsidR="006D1C51">
        <w:rPr>
          <w:szCs w:val="22"/>
        </w:rPr>
        <w:t xml:space="preserve"> contains additional information concerning the new item.</w:t>
      </w:r>
    </w:p>
    <w:p w14:paraId="14CB6C78" w14:textId="71B48FC4" w:rsidR="007E0068" w:rsidRDefault="007E0068" w:rsidP="007E0068">
      <w:r>
        <w:t xml:space="preserve">For private health insurance purposes, item </w:t>
      </w:r>
      <w:r w:rsidR="00317B7C">
        <w:t>66829</w:t>
      </w:r>
      <w:r>
        <w:t xml:space="preserve"> will be listed under the following clinical category and procedure type:</w:t>
      </w:r>
    </w:p>
    <w:p w14:paraId="5B0D04C5" w14:textId="65D7C415" w:rsidR="007E0068" w:rsidRDefault="007E0068" w:rsidP="006F5073">
      <w:pPr>
        <w:pStyle w:val="ListBullet"/>
      </w:pPr>
      <w:r>
        <w:t xml:space="preserve">Clinical category: </w:t>
      </w:r>
      <w:r w:rsidR="00756A96">
        <w:t>Support list (pathology)</w:t>
      </w:r>
    </w:p>
    <w:p w14:paraId="731088CE" w14:textId="1657C935" w:rsidR="00D16451" w:rsidRPr="007E0068" w:rsidRDefault="007E0068" w:rsidP="00963D33">
      <w:pPr>
        <w:pStyle w:val="ListBullet"/>
      </w:pPr>
      <w:r>
        <w:t xml:space="preserve">Procedure type: Type </w:t>
      </w:r>
      <w:r w:rsidR="00756A96">
        <w:t>C</w:t>
      </w:r>
    </w:p>
    <w:p w14:paraId="42BD5171" w14:textId="77777777" w:rsidR="00064168" w:rsidRDefault="00064168" w:rsidP="00064168">
      <w:pPr>
        <w:pStyle w:val="Heading2"/>
      </w:pPr>
      <w:r>
        <w:t>Why are the changes being made?</w:t>
      </w:r>
    </w:p>
    <w:p w14:paraId="107AD513" w14:textId="01DFF4A6" w:rsidR="001F5FA3" w:rsidRDefault="00B0404B" w:rsidP="00B0404B">
      <w:pPr>
        <w:rPr>
          <w:szCs w:val="22"/>
        </w:rPr>
      </w:pPr>
      <w:r w:rsidRPr="00B0404B">
        <w:rPr>
          <w:szCs w:val="22"/>
        </w:rPr>
        <w:t xml:space="preserve">Differential diagnosis of HF is often difficult as the symptoms of HF are non-specific and patients often suffer from other conditions. </w:t>
      </w:r>
      <w:r w:rsidR="00A72122">
        <w:rPr>
          <w:szCs w:val="22"/>
        </w:rPr>
        <w:t>P</w:t>
      </w:r>
      <w:r w:rsidRPr="00B0404B">
        <w:rPr>
          <w:szCs w:val="22"/>
        </w:rPr>
        <w:t xml:space="preserve">atients </w:t>
      </w:r>
      <w:r w:rsidR="00A72122">
        <w:rPr>
          <w:szCs w:val="22"/>
        </w:rPr>
        <w:t xml:space="preserve">with uncertain but suspected HF </w:t>
      </w:r>
      <w:r w:rsidRPr="00B0404B">
        <w:rPr>
          <w:szCs w:val="22"/>
        </w:rPr>
        <w:t>often present in non-hospital settings such as general practice</w:t>
      </w:r>
      <w:r w:rsidR="001F5FA3">
        <w:rPr>
          <w:szCs w:val="22"/>
        </w:rPr>
        <w:t>. They</w:t>
      </w:r>
      <w:r w:rsidRPr="00B0404B">
        <w:rPr>
          <w:szCs w:val="22"/>
        </w:rPr>
        <w:t xml:space="preserve"> are usually sent to have a test called an echocardiogram to help diagnose the condition.</w:t>
      </w:r>
      <w:r w:rsidR="00A80006">
        <w:rPr>
          <w:szCs w:val="22"/>
        </w:rPr>
        <w:t xml:space="preserve"> Echocardiograms</w:t>
      </w:r>
      <w:r w:rsidR="00340485" w:rsidRPr="00340485">
        <w:rPr>
          <w:szCs w:val="22"/>
        </w:rPr>
        <w:t xml:space="preserve"> are not easily available to some p</w:t>
      </w:r>
      <w:r w:rsidR="00C83309">
        <w:rPr>
          <w:szCs w:val="22"/>
        </w:rPr>
        <w:t>atients</w:t>
      </w:r>
      <w:r w:rsidR="00340485" w:rsidRPr="00340485">
        <w:rPr>
          <w:szCs w:val="22"/>
        </w:rPr>
        <w:t xml:space="preserve"> (such as those living in rural and remote areas</w:t>
      </w:r>
      <w:r w:rsidR="00D70D81" w:rsidRPr="00340485">
        <w:rPr>
          <w:szCs w:val="22"/>
        </w:rPr>
        <w:t>) and</w:t>
      </w:r>
      <w:r w:rsidR="00340485" w:rsidRPr="00340485">
        <w:rPr>
          <w:szCs w:val="22"/>
        </w:rPr>
        <w:t xml:space="preserve"> </w:t>
      </w:r>
      <w:r w:rsidR="00427553">
        <w:rPr>
          <w:szCs w:val="22"/>
        </w:rPr>
        <w:t>can</w:t>
      </w:r>
      <w:r w:rsidR="00071EE0">
        <w:rPr>
          <w:szCs w:val="22"/>
        </w:rPr>
        <w:t xml:space="preserve"> involve</w:t>
      </w:r>
      <w:r w:rsidR="00340485" w:rsidRPr="00340485">
        <w:rPr>
          <w:szCs w:val="22"/>
        </w:rPr>
        <w:t xml:space="preserve"> high out-of-pocket costs</w:t>
      </w:r>
      <w:r w:rsidR="00064E1C">
        <w:rPr>
          <w:szCs w:val="22"/>
        </w:rPr>
        <w:t xml:space="preserve"> for patients</w:t>
      </w:r>
      <w:r w:rsidR="00340485" w:rsidRPr="00340485">
        <w:rPr>
          <w:szCs w:val="22"/>
        </w:rPr>
        <w:t>.</w:t>
      </w:r>
      <w:r w:rsidR="00340485">
        <w:rPr>
          <w:szCs w:val="22"/>
        </w:rPr>
        <w:t xml:space="preserve"> </w:t>
      </w:r>
    </w:p>
    <w:p w14:paraId="7C890DB9" w14:textId="280599AC" w:rsidR="00CB24E9" w:rsidRDefault="001F5FA3" w:rsidP="00B0404B">
      <w:pPr>
        <w:rPr>
          <w:szCs w:val="22"/>
        </w:rPr>
      </w:pPr>
      <w:r w:rsidRPr="00882DA8">
        <w:rPr>
          <w:szCs w:val="22"/>
        </w:rPr>
        <w:t xml:space="preserve">BNP </w:t>
      </w:r>
      <w:r w:rsidR="00B62AFF">
        <w:rPr>
          <w:szCs w:val="22"/>
        </w:rPr>
        <w:t>testing and</w:t>
      </w:r>
      <w:r w:rsidRPr="00882DA8">
        <w:rPr>
          <w:szCs w:val="22"/>
        </w:rPr>
        <w:t xml:space="preserve"> NT-</w:t>
      </w:r>
      <w:proofErr w:type="spellStart"/>
      <w:r w:rsidRPr="00882DA8">
        <w:rPr>
          <w:szCs w:val="22"/>
        </w:rPr>
        <w:t>proBNP</w:t>
      </w:r>
      <w:proofErr w:type="spellEnd"/>
      <w:r w:rsidR="000068C6">
        <w:rPr>
          <w:szCs w:val="22"/>
        </w:rPr>
        <w:t xml:space="preserve"> </w:t>
      </w:r>
      <w:r w:rsidR="008E6612">
        <w:rPr>
          <w:szCs w:val="22"/>
        </w:rPr>
        <w:t>testing are</w:t>
      </w:r>
      <w:r w:rsidR="000068C6">
        <w:rPr>
          <w:szCs w:val="22"/>
        </w:rPr>
        <w:t xml:space="preserve"> blood test</w:t>
      </w:r>
      <w:r w:rsidR="008E6612">
        <w:rPr>
          <w:szCs w:val="22"/>
        </w:rPr>
        <w:t>s</w:t>
      </w:r>
      <w:r w:rsidR="000068C6">
        <w:rPr>
          <w:szCs w:val="22"/>
        </w:rPr>
        <w:t xml:space="preserve"> that measure </w:t>
      </w:r>
      <w:r w:rsidR="008E6612">
        <w:rPr>
          <w:szCs w:val="22"/>
        </w:rPr>
        <w:t xml:space="preserve">the </w:t>
      </w:r>
      <w:r w:rsidR="000068C6">
        <w:rPr>
          <w:szCs w:val="22"/>
        </w:rPr>
        <w:t xml:space="preserve">levels of </w:t>
      </w:r>
      <w:r w:rsidR="000068C6" w:rsidRPr="00882DA8">
        <w:rPr>
          <w:szCs w:val="22"/>
        </w:rPr>
        <w:t>a protein called BNP</w:t>
      </w:r>
      <w:r w:rsidR="000068C6">
        <w:rPr>
          <w:szCs w:val="22"/>
        </w:rPr>
        <w:t xml:space="preserve"> in the blood</w:t>
      </w:r>
      <w:r w:rsidR="00F8501A">
        <w:rPr>
          <w:szCs w:val="22"/>
        </w:rPr>
        <w:t xml:space="preserve">. </w:t>
      </w:r>
      <w:r w:rsidR="00882DA8" w:rsidRPr="00882DA8">
        <w:rPr>
          <w:szCs w:val="22"/>
        </w:rPr>
        <w:t>Higher levels of BNP</w:t>
      </w:r>
      <w:r w:rsidR="00AA67B1">
        <w:rPr>
          <w:szCs w:val="22"/>
        </w:rPr>
        <w:t xml:space="preserve"> and </w:t>
      </w:r>
      <w:r w:rsidR="00AA67B1" w:rsidRPr="00882DA8">
        <w:rPr>
          <w:szCs w:val="22"/>
        </w:rPr>
        <w:t>NT-</w:t>
      </w:r>
      <w:proofErr w:type="spellStart"/>
      <w:r w:rsidR="00AA67B1" w:rsidRPr="00882DA8">
        <w:rPr>
          <w:szCs w:val="22"/>
        </w:rPr>
        <w:t>proBNP</w:t>
      </w:r>
      <w:proofErr w:type="spellEnd"/>
      <w:r w:rsidR="00882DA8" w:rsidRPr="00882DA8">
        <w:rPr>
          <w:szCs w:val="22"/>
        </w:rPr>
        <w:t xml:space="preserve"> in the bloodstream may mean problems with the heart, such as heart failure.</w:t>
      </w:r>
      <w:r w:rsidR="007374DB">
        <w:rPr>
          <w:szCs w:val="22"/>
        </w:rPr>
        <w:t xml:space="preserve"> </w:t>
      </w:r>
      <w:r w:rsidR="00790E14">
        <w:rPr>
          <w:szCs w:val="22"/>
        </w:rPr>
        <w:t>Heart failure</w:t>
      </w:r>
      <w:r w:rsidR="00882DA8" w:rsidRPr="00882DA8">
        <w:rPr>
          <w:szCs w:val="22"/>
        </w:rPr>
        <w:t xml:space="preserve"> is confirmed </w:t>
      </w:r>
      <w:r w:rsidR="00790E14">
        <w:rPr>
          <w:szCs w:val="22"/>
        </w:rPr>
        <w:t>through</w:t>
      </w:r>
      <w:r w:rsidR="00882DA8" w:rsidRPr="00882DA8">
        <w:rPr>
          <w:szCs w:val="22"/>
        </w:rPr>
        <w:t xml:space="preserve"> more tests, including </w:t>
      </w:r>
      <w:bookmarkStart w:id="2" w:name="_Hlk172037275"/>
      <w:r w:rsidR="00882DA8" w:rsidRPr="00882DA8">
        <w:rPr>
          <w:szCs w:val="22"/>
        </w:rPr>
        <w:t>an echocardiogram.</w:t>
      </w:r>
      <w:bookmarkEnd w:id="2"/>
      <w:r w:rsidR="00113807">
        <w:rPr>
          <w:szCs w:val="22"/>
        </w:rPr>
        <w:t xml:space="preserve"> </w:t>
      </w:r>
      <w:r w:rsidR="00CB24E9">
        <w:rPr>
          <w:szCs w:val="22"/>
        </w:rPr>
        <w:t xml:space="preserve">However, </w:t>
      </w:r>
      <w:r w:rsidR="00882DA8" w:rsidRPr="00882DA8">
        <w:rPr>
          <w:szCs w:val="22"/>
        </w:rPr>
        <w:t xml:space="preserve">if </w:t>
      </w:r>
      <w:r w:rsidR="00113807">
        <w:rPr>
          <w:szCs w:val="22"/>
        </w:rPr>
        <w:t>the</w:t>
      </w:r>
      <w:r w:rsidR="00882DA8" w:rsidRPr="00882DA8">
        <w:rPr>
          <w:szCs w:val="22"/>
        </w:rPr>
        <w:t xml:space="preserve"> patient’s BNP and NT-</w:t>
      </w:r>
      <w:proofErr w:type="spellStart"/>
      <w:r w:rsidR="00882DA8" w:rsidRPr="00882DA8">
        <w:rPr>
          <w:szCs w:val="22"/>
        </w:rPr>
        <w:t>proBNP</w:t>
      </w:r>
      <w:proofErr w:type="spellEnd"/>
      <w:r w:rsidR="00882DA8" w:rsidRPr="00882DA8">
        <w:rPr>
          <w:szCs w:val="22"/>
        </w:rPr>
        <w:t xml:space="preserve"> levels are low enough to rule out heart failure, </w:t>
      </w:r>
      <w:r w:rsidR="00CB24E9">
        <w:rPr>
          <w:szCs w:val="22"/>
        </w:rPr>
        <w:t xml:space="preserve">the </w:t>
      </w:r>
      <w:r w:rsidR="00882DA8" w:rsidRPr="00882DA8">
        <w:rPr>
          <w:szCs w:val="22"/>
        </w:rPr>
        <w:t>patient may not need an echocardiogram.</w:t>
      </w:r>
      <w:r w:rsidR="00AB7185">
        <w:rPr>
          <w:szCs w:val="22"/>
        </w:rPr>
        <w:t xml:space="preserve"> </w:t>
      </w:r>
    </w:p>
    <w:p w14:paraId="7C9F4307" w14:textId="762ECD5B" w:rsidR="00882DA8" w:rsidRDefault="00AB7185" w:rsidP="00B0404B">
      <w:pPr>
        <w:rPr>
          <w:szCs w:val="22"/>
        </w:rPr>
      </w:pPr>
      <w:r>
        <w:t xml:space="preserve">This can help prevent patients from having unnecessary echocardiograms. </w:t>
      </w:r>
    </w:p>
    <w:p w14:paraId="144C3AE2" w14:textId="4BB9A839" w:rsidR="00064168" w:rsidRPr="00867595" w:rsidRDefault="00064168" w:rsidP="00064168">
      <w:pPr>
        <w:rPr>
          <w:szCs w:val="22"/>
        </w:rPr>
      </w:pPr>
      <w:bookmarkStart w:id="3" w:name="_Hlk535386664"/>
      <w:r w:rsidRPr="00867595">
        <w:rPr>
          <w:szCs w:val="22"/>
        </w:rPr>
        <w:lastRenderedPageBreak/>
        <w:t xml:space="preserve">The listing of this service was recommended by the Medical Services Advisory Committee (MSAC) in </w:t>
      </w:r>
      <w:r w:rsidR="002531AE">
        <w:rPr>
          <w:szCs w:val="22"/>
        </w:rPr>
        <w:t>November</w:t>
      </w:r>
      <w:r w:rsidRPr="00867595">
        <w:rPr>
          <w:szCs w:val="22"/>
        </w:rPr>
        <w:t> 20</w:t>
      </w:r>
      <w:r w:rsidR="002531AE">
        <w:rPr>
          <w:szCs w:val="22"/>
        </w:rPr>
        <w:t>23</w:t>
      </w:r>
      <w:r w:rsidR="00435B8D">
        <w:rPr>
          <w:szCs w:val="22"/>
        </w:rPr>
        <w:t xml:space="preserve"> </w:t>
      </w:r>
      <w:r w:rsidR="00D40112">
        <w:rPr>
          <w:szCs w:val="22"/>
        </w:rPr>
        <w:t>under</w:t>
      </w:r>
      <w:r w:rsidR="00435B8D">
        <w:rPr>
          <w:szCs w:val="22"/>
        </w:rPr>
        <w:t xml:space="preserve"> application 1740</w:t>
      </w:r>
      <w:r w:rsidRPr="00867595">
        <w:rPr>
          <w:szCs w:val="22"/>
        </w:rPr>
        <w:t xml:space="preserve">. 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bookmarkEnd w:id="3"/>
    <w:p w14:paraId="4B2559AC" w14:textId="05E9710B" w:rsidR="00064168" w:rsidRDefault="00064168" w:rsidP="00064168">
      <w:pPr>
        <w:pStyle w:val="Heading2"/>
      </w:pPr>
      <w:r>
        <w:t xml:space="preserve">What does this mean for </w:t>
      </w:r>
      <w:r w:rsidR="002531AE">
        <w:t xml:space="preserve">requestors and </w:t>
      </w:r>
      <w:r>
        <w:t>providers?</w:t>
      </w:r>
    </w:p>
    <w:p w14:paraId="5CF79AC0" w14:textId="3384CE63" w:rsidR="00733EBA" w:rsidRDefault="00F810A4" w:rsidP="004B2707">
      <w:pPr>
        <w:rPr>
          <w:szCs w:val="22"/>
        </w:rPr>
      </w:pPr>
      <w:r w:rsidRPr="00F810A4">
        <w:rPr>
          <w:szCs w:val="22"/>
        </w:rPr>
        <w:t xml:space="preserve">From 1 </w:t>
      </w:r>
      <w:r>
        <w:rPr>
          <w:szCs w:val="22"/>
        </w:rPr>
        <w:t>November</w:t>
      </w:r>
      <w:r w:rsidRPr="00F810A4">
        <w:rPr>
          <w:szCs w:val="22"/>
        </w:rPr>
        <w:t xml:space="preserve"> 2024, medical practitioners will be able to request Medicare funded testing to quantify BNP or NT-</w:t>
      </w:r>
      <w:proofErr w:type="spellStart"/>
      <w:r w:rsidRPr="00F810A4">
        <w:rPr>
          <w:szCs w:val="22"/>
        </w:rPr>
        <w:t>proBNP</w:t>
      </w:r>
      <w:proofErr w:type="spellEnd"/>
      <w:r w:rsidRPr="00F810A4">
        <w:rPr>
          <w:szCs w:val="22"/>
        </w:rPr>
        <w:t xml:space="preserve"> </w:t>
      </w:r>
      <w:r w:rsidR="00260790">
        <w:rPr>
          <w:szCs w:val="22"/>
        </w:rPr>
        <w:t xml:space="preserve">as a triage test for echocardiography </w:t>
      </w:r>
      <w:r w:rsidRPr="00F810A4">
        <w:rPr>
          <w:szCs w:val="22"/>
        </w:rPr>
        <w:t>in patient</w:t>
      </w:r>
      <w:r>
        <w:rPr>
          <w:szCs w:val="22"/>
        </w:rPr>
        <w:t xml:space="preserve">s with </w:t>
      </w:r>
      <w:r w:rsidR="00A72122">
        <w:rPr>
          <w:szCs w:val="22"/>
        </w:rPr>
        <w:t xml:space="preserve">uncertain but </w:t>
      </w:r>
      <w:r>
        <w:rPr>
          <w:szCs w:val="22"/>
        </w:rPr>
        <w:t>suspected HF</w:t>
      </w:r>
      <w:r w:rsidRPr="00F810A4">
        <w:rPr>
          <w:szCs w:val="22"/>
        </w:rPr>
        <w:t>.</w:t>
      </w:r>
      <w:r w:rsidR="00260790">
        <w:rPr>
          <w:szCs w:val="22"/>
        </w:rPr>
        <w:t xml:space="preserve"> </w:t>
      </w:r>
    </w:p>
    <w:p w14:paraId="0654D50A" w14:textId="41D329CE" w:rsidR="00064168" w:rsidRPr="00867595" w:rsidRDefault="00F810A4" w:rsidP="004B2707">
      <w:pPr>
        <w:rPr>
          <w:szCs w:val="22"/>
        </w:rPr>
      </w:pPr>
      <w:r w:rsidRPr="00F810A4">
        <w:rPr>
          <w:szCs w:val="22"/>
        </w:rPr>
        <w:t>To be eligible for Medicare benefits, laboratories providing this service must be accredited according to the pathology accreditation standards specified in the</w:t>
      </w:r>
      <w:r w:rsidRPr="00F810A4">
        <w:rPr>
          <w:i/>
          <w:iCs/>
          <w:szCs w:val="22"/>
        </w:rPr>
        <w:t xml:space="preserve"> </w:t>
      </w:r>
      <w:hyperlink r:id="rId10" w:history="1">
        <w:r w:rsidRPr="00F810A4">
          <w:rPr>
            <w:rStyle w:val="Hyperlink"/>
            <w:i/>
            <w:iCs/>
            <w:szCs w:val="22"/>
          </w:rPr>
          <w:t>Health Insurance (Accredited Pathology Laboratories-Approval) Principles 2017</w:t>
        </w:r>
      </w:hyperlink>
      <w:r w:rsidRPr="00F810A4">
        <w:rPr>
          <w:szCs w:val="22"/>
        </w:rPr>
        <w:t>.</w:t>
      </w:r>
    </w:p>
    <w:p w14:paraId="7F7DA4F7" w14:textId="77777777" w:rsidR="00064168" w:rsidRDefault="00064168" w:rsidP="00064168">
      <w:pPr>
        <w:pStyle w:val="Heading2"/>
      </w:pPr>
      <w:r>
        <w:t>How will these changes affect patients</w:t>
      </w:r>
      <w:r w:rsidRPr="001A7FB7">
        <w:t>?</w:t>
      </w:r>
    </w:p>
    <w:p w14:paraId="7BD2AA3C" w14:textId="0103DECA" w:rsidR="00064168" w:rsidRPr="00E13AF7" w:rsidRDefault="000A46C4" w:rsidP="00733EBA">
      <w:pPr>
        <w:rPr>
          <w:rFonts w:cs="Arial"/>
          <w:szCs w:val="22"/>
        </w:rPr>
      </w:pPr>
      <w:r>
        <w:rPr>
          <w:rFonts w:cs="Arial"/>
          <w:szCs w:val="22"/>
        </w:rPr>
        <w:t xml:space="preserve">Patients will </w:t>
      </w:r>
      <w:r w:rsidR="007078C7">
        <w:rPr>
          <w:rFonts w:cs="Arial"/>
          <w:szCs w:val="22"/>
        </w:rPr>
        <w:t>have access to</w:t>
      </w:r>
      <w:r w:rsidR="00E95953">
        <w:rPr>
          <w:rFonts w:cs="Arial"/>
          <w:szCs w:val="22"/>
        </w:rPr>
        <w:t xml:space="preserve"> </w:t>
      </w:r>
      <w:r w:rsidR="00DA39E0">
        <w:rPr>
          <w:rFonts w:cs="Arial"/>
          <w:szCs w:val="22"/>
        </w:rPr>
        <w:t xml:space="preserve">testing that </w:t>
      </w:r>
      <w:r w:rsidR="00D2321B">
        <w:rPr>
          <w:rFonts w:cs="Arial"/>
          <w:szCs w:val="22"/>
        </w:rPr>
        <w:t xml:space="preserve">more quickly </w:t>
      </w:r>
      <w:r w:rsidR="00DA39E0">
        <w:rPr>
          <w:rFonts w:cs="Arial"/>
          <w:szCs w:val="22"/>
        </w:rPr>
        <w:t>rules out HF</w:t>
      </w:r>
      <w:r w:rsidR="00D2321B">
        <w:rPr>
          <w:rFonts w:cs="Arial"/>
          <w:szCs w:val="22"/>
        </w:rPr>
        <w:t xml:space="preserve"> and avoids unnecessary </w:t>
      </w:r>
      <w:proofErr w:type="gramStart"/>
      <w:r w:rsidR="00D2321B">
        <w:rPr>
          <w:rFonts w:cs="Arial"/>
          <w:szCs w:val="22"/>
        </w:rPr>
        <w:t>echocardiogram</w:t>
      </w:r>
      <w:r w:rsidR="00E13AF7">
        <w:rPr>
          <w:rFonts w:cs="Arial"/>
          <w:szCs w:val="22"/>
        </w:rPr>
        <w:t>s;</w:t>
      </w:r>
      <w:proofErr w:type="gramEnd"/>
      <w:r w:rsidR="00E13AF7">
        <w:rPr>
          <w:rFonts w:cs="Arial"/>
          <w:szCs w:val="22"/>
        </w:rPr>
        <w:t xml:space="preserve"> </w:t>
      </w:r>
      <w:r w:rsidR="00E95953">
        <w:rPr>
          <w:rFonts w:cs="Arial"/>
          <w:szCs w:val="22"/>
        </w:rPr>
        <w:t>sav</w:t>
      </w:r>
      <w:r w:rsidR="00E13AF7">
        <w:rPr>
          <w:rFonts w:cs="Arial"/>
          <w:szCs w:val="22"/>
        </w:rPr>
        <w:t>ing</w:t>
      </w:r>
      <w:r w:rsidR="00E95953">
        <w:rPr>
          <w:rFonts w:cs="Arial"/>
          <w:szCs w:val="22"/>
        </w:rPr>
        <w:t xml:space="preserve"> </w:t>
      </w:r>
      <w:r w:rsidR="00CE403E">
        <w:rPr>
          <w:rFonts w:cs="Arial"/>
          <w:szCs w:val="22"/>
        </w:rPr>
        <w:t xml:space="preserve">patients time and </w:t>
      </w:r>
      <w:r w:rsidR="00E95953">
        <w:rPr>
          <w:rFonts w:cs="Arial"/>
          <w:szCs w:val="22"/>
        </w:rPr>
        <w:t>money</w:t>
      </w:r>
      <w:r w:rsidR="00E13AF7">
        <w:rPr>
          <w:rFonts w:cs="Arial"/>
          <w:szCs w:val="22"/>
        </w:rPr>
        <w:t xml:space="preserve"> </w:t>
      </w:r>
      <w:r w:rsidR="008E5867">
        <w:rPr>
          <w:rFonts w:cs="Arial"/>
          <w:szCs w:val="22"/>
        </w:rPr>
        <w:t>and</w:t>
      </w:r>
      <w:r w:rsidR="00E95953">
        <w:rPr>
          <w:rFonts w:cs="Arial"/>
          <w:szCs w:val="22"/>
        </w:rPr>
        <w:t xml:space="preserve"> </w:t>
      </w:r>
      <w:r w:rsidR="008E5867" w:rsidRPr="008E5867">
        <w:rPr>
          <w:rFonts w:cs="Arial"/>
          <w:iCs/>
          <w:szCs w:val="22"/>
        </w:rPr>
        <w:t>improv</w:t>
      </w:r>
      <w:r w:rsidR="00E13AF7">
        <w:rPr>
          <w:rFonts w:cs="Arial"/>
          <w:iCs/>
          <w:szCs w:val="22"/>
        </w:rPr>
        <w:t>ing</w:t>
      </w:r>
      <w:r w:rsidR="008E5867" w:rsidRPr="008E5867">
        <w:rPr>
          <w:rFonts w:cs="Arial"/>
          <w:iCs/>
          <w:szCs w:val="22"/>
        </w:rPr>
        <w:t xml:space="preserve"> equity of access for First Nations people and people in rural and remote areas.</w:t>
      </w:r>
      <w:r w:rsidR="00E13AF7">
        <w:rPr>
          <w:rFonts w:cs="Arial"/>
          <w:iCs/>
          <w:szCs w:val="22"/>
        </w:rPr>
        <w:t xml:space="preserve"> </w:t>
      </w:r>
      <w:r w:rsidR="00064168" w:rsidRPr="006F5073">
        <w:t xml:space="preserve">Patients will receive Medicare </w:t>
      </w:r>
      <w:r w:rsidR="0095547C">
        <w:t>benefits</w:t>
      </w:r>
      <w:r w:rsidR="00064168" w:rsidRPr="006F5073">
        <w:t xml:space="preserve"> for </w:t>
      </w:r>
      <w:r w:rsidR="00EA3786">
        <w:t>testing</w:t>
      </w:r>
      <w:r w:rsidR="00064168" w:rsidRPr="006F5073">
        <w:t xml:space="preserve"> that </w:t>
      </w:r>
      <w:r w:rsidR="00EA3786">
        <w:t>is</w:t>
      </w:r>
      <w:r w:rsidR="00064168" w:rsidRPr="006F5073">
        <w:t xml:space="preserve"> clinically appropriate and reflect</w:t>
      </w:r>
      <w:r w:rsidR="005D6AD6">
        <w:t>s</w:t>
      </w:r>
      <w:r w:rsidR="00064168" w:rsidRPr="006F5073">
        <w:t xml:space="preserve"> modern </w:t>
      </w:r>
      <w:r w:rsidR="00D06A1B" w:rsidRPr="00D06A1B">
        <w:rPr>
          <w:iCs/>
        </w:rPr>
        <w:t>clinical practice guidelines</w:t>
      </w:r>
      <w:r w:rsidR="005A07F6">
        <w:rPr>
          <w:iCs/>
        </w:rPr>
        <w:t xml:space="preserve"> in Australia and internationally</w:t>
      </w:r>
      <w:r w:rsidR="00D06A1B" w:rsidRPr="00D06A1B">
        <w:rPr>
          <w:iCs/>
        </w:rPr>
        <w:t>.</w:t>
      </w:r>
    </w:p>
    <w:p w14:paraId="5BD9BE80" w14:textId="77777777" w:rsidR="00064168" w:rsidRDefault="00064168" w:rsidP="00064168">
      <w:pPr>
        <w:pStyle w:val="Heading2"/>
      </w:pPr>
      <w:r w:rsidRPr="001A7FB7">
        <w:t>Who was consulted on the changes?</w:t>
      </w:r>
    </w:p>
    <w:p w14:paraId="2BBE2170" w14:textId="542B6603" w:rsidR="00064168" w:rsidRPr="00867595" w:rsidRDefault="00064168" w:rsidP="00064168">
      <w:pPr>
        <w:rPr>
          <w:szCs w:val="22"/>
        </w:rPr>
      </w:pPr>
      <w:r w:rsidRPr="00867595">
        <w:rPr>
          <w:szCs w:val="22"/>
        </w:rPr>
        <w:t>Feedback was received from a broad range of stakeholders including</w:t>
      </w:r>
      <w:r w:rsidR="00C4075C">
        <w:rPr>
          <w:szCs w:val="22"/>
        </w:rPr>
        <w:t xml:space="preserve"> the</w:t>
      </w:r>
      <w:r w:rsidRPr="00867595">
        <w:rPr>
          <w:szCs w:val="22"/>
        </w:rPr>
        <w:t xml:space="preserve"> </w:t>
      </w:r>
      <w:r w:rsidR="00C4075C">
        <w:rPr>
          <w:szCs w:val="22"/>
        </w:rPr>
        <w:t xml:space="preserve">Lung Foundation Australia, </w:t>
      </w:r>
      <w:r w:rsidR="00C4075C" w:rsidRPr="00C4075C">
        <w:rPr>
          <w:szCs w:val="22"/>
        </w:rPr>
        <w:t>National Heart Foundation of Australia</w:t>
      </w:r>
      <w:r w:rsidR="00C4075C">
        <w:rPr>
          <w:szCs w:val="22"/>
        </w:rPr>
        <w:t xml:space="preserve">, </w:t>
      </w:r>
      <w:r w:rsidR="00C4075C" w:rsidRPr="00C4075C">
        <w:rPr>
          <w:szCs w:val="22"/>
        </w:rPr>
        <w:t>Royal Australian College of General Practitioners (RACGP)</w:t>
      </w:r>
      <w:r w:rsidR="00C4075C">
        <w:rPr>
          <w:szCs w:val="22"/>
        </w:rPr>
        <w:t xml:space="preserve"> </w:t>
      </w:r>
      <w:r w:rsidRPr="00867595">
        <w:rPr>
          <w:szCs w:val="22"/>
        </w:rPr>
        <w:t xml:space="preserve">and considered by the </w:t>
      </w:r>
      <w:r w:rsidR="00C4075C">
        <w:rPr>
          <w:szCs w:val="22"/>
        </w:rPr>
        <w:t>MSAC</w:t>
      </w:r>
      <w:r w:rsidRPr="00867595">
        <w:rPr>
          <w:szCs w:val="22"/>
        </w:rPr>
        <w:t xml:space="preserve"> prior to making its final recommendations</w:t>
      </w:r>
      <w:r w:rsidR="00D246C1">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8BB177F" w14:textId="4BCE8F40" w:rsidR="0055127A" w:rsidRPr="00505A86" w:rsidRDefault="0055127A" w:rsidP="0055127A">
      <w:r w:rsidRPr="00D20254">
        <w:rPr>
          <w:szCs w:val="22"/>
        </w:rPr>
        <w:t>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w:t>
      </w:r>
      <w:r w:rsidR="0035797E">
        <w:rPr>
          <w:szCs w:val="22"/>
        </w:rPr>
        <w:t xml:space="preserve"> of Health and Aged Care</w:t>
      </w:r>
      <w:r w:rsidRPr="00D20254">
        <w:rPr>
          <w:szCs w:val="22"/>
        </w:rPr>
        <w:t xml:space="preserve">’s compliance program can be found on its website at </w:t>
      </w:r>
      <w:hyperlink r:id="rId11" w:history="1">
        <w:r w:rsidRPr="00FA2ECC">
          <w:rPr>
            <w:rStyle w:val="Hyperlink"/>
          </w:rPr>
          <w:t>Medicare compliance</w:t>
        </w:r>
      </w:hyperlink>
      <w:r w:rsidRPr="00FA2ECC">
        <w:t>.</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4E5A631D" w:rsidR="00064168" w:rsidRDefault="00064168" w:rsidP="00064168">
      <w:pPr>
        <w:rPr>
          <w:szCs w:val="22"/>
        </w:rPr>
      </w:pPr>
      <w:r w:rsidRPr="00867595">
        <w:rPr>
          <w:szCs w:val="22"/>
        </w:rPr>
        <w:t xml:space="preserve">The Department 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lastRenderedPageBreak/>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6B739D7C" w14:textId="0F3C840E" w:rsidR="00A75C87"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38A5DE0B" w14:textId="77777777" w:rsidR="00722CE7" w:rsidRDefault="00722CE7">
      <w:pPr>
        <w:spacing w:before="0" w:after="0" w:line="240" w:lineRule="auto"/>
        <w:rPr>
          <w:szCs w:val="22"/>
        </w:rPr>
      </w:pPr>
      <w:r>
        <w:rPr>
          <w:b/>
          <w:bCs/>
          <w:iCs/>
          <w:szCs w:val="22"/>
        </w:rPr>
        <w:br w:type="page"/>
      </w:r>
    </w:p>
    <w:p w14:paraId="6D6EB19D" w14:textId="59695319" w:rsidR="00BE3ED5" w:rsidRDefault="006D1C51" w:rsidP="00BE3ED5">
      <w:pPr>
        <w:pStyle w:val="Heading2"/>
      </w:pPr>
      <w:r>
        <w:lastRenderedPageBreak/>
        <w:t xml:space="preserve">Attachment A: </w:t>
      </w:r>
      <w:r w:rsidR="00733EBA">
        <w:t>New</w:t>
      </w:r>
      <w:r w:rsidR="00BE3ED5" w:rsidRPr="007A32E7">
        <w:t xml:space="preserve"> item descriptor (to take effect </w:t>
      </w:r>
      <w:r w:rsidR="00733EBA">
        <w:t>1</w:t>
      </w:r>
      <w:r w:rsidR="00BE3ED5" w:rsidRPr="007A32E7">
        <w:t xml:space="preserve"> </w:t>
      </w:r>
      <w:r w:rsidR="00733EBA">
        <w:t>November</w:t>
      </w:r>
      <w:r w:rsidR="00BE3ED5" w:rsidRPr="007A32E7">
        <w:t xml:space="preserve"> 20</w:t>
      </w:r>
      <w:r w:rsidR="00733EBA">
        <w:t>24</w:t>
      </w:r>
      <w:r w:rsidR="00BE3ED5" w:rsidRPr="007A32E7">
        <w:t>)</w:t>
      </w:r>
    </w:p>
    <w:p w14:paraId="6623E597" w14:textId="77777777" w:rsidR="00733EBA" w:rsidRDefault="00733EBA" w:rsidP="00BE3ED5"/>
    <w:tbl>
      <w:tblPr>
        <w:tblStyle w:val="GridTable4-Accent2"/>
        <w:tblW w:w="0" w:type="auto"/>
        <w:tblLook w:val="04A0" w:firstRow="1" w:lastRow="0" w:firstColumn="1" w:lastColumn="0" w:noHBand="0" w:noVBand="1"/>
      </w:tblPr>
      <w:tblGrid>
        <w:gridCol w:w="9060"/>
      </w:tblGrid>
      <w:tr w:rsidR="00B325E7" w14:paraId="41DDFCFB" w14:textId="77777777" w:rsidTr="00097B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501D1E4" w14:textId="77777777" w:rsidR="00B325E7" w:rsidRDefault="00B325E7" w:rsidP="00097BD3">
            <w:pPr>
              <w:rPr>
                <w:b w:val="0"/>
                <w:bCs w:val="0"/>
                <w:lang w:eastAsia="en-AU"/>
              </w:rPr>
            </w:pPr>
            <w:r>
              <w:rPr>
                <w:lang w:eastAsia="en-AU"/>
              </w:rPr>
              <w:t>Category 6 – Pathology Services</w:t>
            </w:r>
          </w:p>
        </w:tc>
      </w:tr>
      <w:tr w:rsidR="00B325E7" w14:paraId="19A000A1" w14:textId="77777777" w:rsidTr="00097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C3F0B43" w14:textId="63F6885D" w:rsidR="00B325E7" w:rsidRPr="00C10A7A" w:rsidRDefault="00B325E7" w:rsidP="00097BD3">
            <w:pPr>
              <w:rPr>
                <w:lang w:eastAsia="en-AU"/>
              </w:rPr>
            </w:pPr>
            <w:r w:rsidRPr="00B325E7">
              <w:rPr>
                <w:lang w:eastAsia="en-AU"/>
              </w:rPr>
              <w:t>Group P2 - Chemical</w:t>
            </w:r>
          </w:p>
        </w:tc>
      </w:tr>
      <w:tr w:rsidR="00B325E7" w14:paraId="6D6048AF" w14:textId="77777777" w:rsidTr="00097BD3">
        <w:tc>
          <w:tcPr>
            <w:cnfStyle w:val="001000000000" w:firstRow="0" w:lastRow="0" w:firstColumn="1" w:lastColumn="0" w:oddVBand="0" w:evenVBand="0" w:oddHBand="0" w:evenHBand="0" w:firstRowFirstColumn="0" w:firstRowLastColumn="0" w:lastRowFirstColumn="0" w:lastRowLastColumn="0"/>
            <w:tcW w:w="9060" w:type="dxa"/>
            <w:hideMark/>
          </w:tcPr>
          <w:p w14:paraId="377BDD3A" w14:textId="77777777" w:rsidR="00B325E7" w:rsidRPr="00C4431F" w:rsidRDefault="00B325E7" w:rsidP="00B325E7">
            <w:pPr>
              <w:rPr>
                <w:b w:val="0"/>
                <w:bCs w:val="0"/>
              </w:rPr>
            </w:pPr>
            <w:r w:rsidRPr="00C4431F">
              <w:rPr>
                <w:b w:val="0"/>
                <w:bCs w:val="0"/>
              </w:rPr>
              <w:t>66829</w:t>
            </w:r>
          </w:p>
          <w:p w14:paraId="25E2DBA1" w14:textId="77777777" w:rsidR="00B325E7" w:rsidRPr="00C4431F" w:rsidRDefault="00B325E7" w:rsidP="00B325E7">
            <w:pPr>
              <w:rPr>
                <w:b w:val="0"/>
                <w:bCs w:val="0"/>
              </w:rPr>
            </w:pPr>
            <w:r w:rsidRPr="00C4431F">
              <w:rPr>
                <w:b w:val="0"/>
                <w:bCs w:val="0"/>
              </w:rPr>
              <w:t>Quantitation of BNP or NT-</w:t>
            </w:r>
            <w:proofErr w:type="spellStart"/>
            <w:r w:rsidRPr="00C4431F">
              <w:rPr>
                <w:b w:val="0"/>
                <w:bCs w:val="0"/>
              </w:rPr>
              <w:t>proBNP</w:t>
            </w:r>
            <w:proofErr w:type="spellEnd"/>
            <w:r w:rsidRPr="00C4431F">
              <w:rPr>
                <w:b w:val="0"/>
                <w:bCs w:val="0"/>
              </w:rPr>
              <w:t xml:space="preserve"> for the exclusion of a diagnosis of heart failure in patients presenting to a non-hospital setting to assist in decision-making regarding the clinical necessity of an echocardiogram, where heart failure is suspected based on signs and </w:t>
            </w:r>
            <w:proofErr w:type="gramStart"/>
            <w:r w:rsidRPr="00C4431F">
              <w:rPr>
                <w:b w:val="0"/>
                <w:bCs w:val="0"/>
              </w:rPr>
              <w:t>symptoms</w:t>
            </w:r>
            <w:proofErr w:type="gramEnd"/>
            <w:r w:rsidRPr="00C4431F">
              <w:rPr>
                <w:b w:val="0"/>
                <w:bCs w:val="0"/>
              </w:rPr>
              <w:t xml:space="preserve"> but diagnosis is uncertain.</w:t>
            </w:r>
          </w:p>
          <w:p w14:paraId="0B107600" w14:textId="77777777" w:rsidR="00B325E7" w:rsidRPr="00C4431F" w:rsidRDefault="00B325E7" w:rsidP="00B325E7">
            <w:pPr>
              <w:rPr>
                <w:b w:val="0"/>
                <w:bCs w:val="0"/>
              </w:rPr>
            </w:pPr>
            <w:r w:rsidRPr="00C4431F">
              <w:rPr>
                <w:b w:val="0"/>
                <w:bCs w:val="0"/>
              </w:rPr>
              <w:t>Applicable once in a</w:t>
            </w:r>
            <w:r>
              <w:rPr>
                <w:b w:val="0"/>
                <w:bCs w:val="0"/>
              </w:rPr>
              <w:t>ny</w:t>
            </w:r>
            <w:r w:rsidRPr="00C4431F">
              <w:rPr>
                <w:b w:val="0"/>
                <w:bCs w:val="0"/>
              </w:rPr>
              <w:t xml:space="preserve"> 12-month period</w:t>
            </w:r>
          </w:p>
          <w:p w14:paraId="16FFC61F" w14:textId="118B8E8F" w:rsidR="00B325E7" w:rsidRPr="00AA6575" w:rsidRDefault="00B325E7" w:rsidP="00B325E7">
            <w:pPr>
              <w:pStyle w:val="ListBullet"/>
              <w:numPr>
                <w:ilvl w:val="0"/>
                <w:numId w:val="0"/>
              </w:numPr>
            </w:pPr>
            <w:r w:rsidRPr="006F6A29">
              <w:rPr>
                <w:b w:val="0"/>
                <w:bCs w:val="0"/>
              </w:rPr>
              <w:t>Fee: $58.50 Benefit: 85% = $49.75</w:t>
            </w:r>
          </w:p>
        </w:tc>
      </w:tr>
    </w:tbl>
    <w:p w14:paraId="238AF5B3" w14:textId="77777777" w:rsidR="00B325E7" w:rsidRDefault="00B325E7"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1FA2D864" w:rsidR="007C31DD" w:rsidRPr="00BE3ED5" w:rsidRDefault="007C31DD" w:rsidP="008319F9">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1704" w14:textId="77777777" w:rsidR="00030B19" w:rsidRDefault="00030B19" w:rsidP="006B56BB">
      <w:r>
        <w:separator/>
      </w:r>
    </w:p>
    <w:p w14:paraId="6773FD0C" w14:textId="77777777" w:rsidR="00030B19" w:rsidRDefault="00030B19"/>
  </w:endnote>
  <w:endnote w:type="continuationSeparator" w:id="0">
    <w:p w14:paraId="3BA8E068" w14:textId="77777777" w:rsidR="00030B19" w:rsidRDefault="00030B19" w:rsidP="006B56BB">
      <w:r>
        <w:continuationSeparator/>
      </w:r>
    </w:p>
    <w:p w14:paraId="58B5C37B" w14:textId="77777777" w:rsidR="00030B19" w:rsidRDefault="00030B19"/>
  </w:endnote>
  <w:endnote w:type="continuationNotice" w:id="1">
    <w:p w14:paraId="70EEF16C" w14:textId="77777777" w:rsidR="00030B19" w:rsidRDefault="0003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F26CFEB" w:rsidR="00F51321" w:rsidRDefault="0019568A" w:rsidP="0019568A">
    <w:pPr>
      <w:pStyle w:val="Footer"/>
      <w:tabs>
        <w:tab w:val="clear" w:pos="9026"/>
        <w:tab w:val="right" w:pos="10466"/>
      </w:tabs>
      <w:jc w:val="left"/>
    </w:pPr>
    <w:r w:rsidRPr="00AE2739">
      <w:rPr>
        <w:b/>
      </w:rPr>
      <w:t>NT-</w:t>
    </w:r>
    <w:proofErr w:type="spellStart"/>
    <w:r w:rsidRPr="00AE2739">
      <w:rPr>
        <w:b/>
      </w:rPr>
      <w:t>proBNP</w:t>
    </w:r>
    <w:proofErr w:type="spellEnd"/>
    <w:r>
      <w:rPr>
        <w:b/>
      </w:rPr>
      <w:t xml:space="preserve"> or</w:t>
    </w:r>
    <w:r w:rsidRPr="00AE2739">
      <w:rPr>
        <w:b/>
      </w:rPr>
      <w:t xml:space="preserve"> BNP testing </w:t>
    </w:r>
    <w:r>
      <w:rPr>
        <w:b/>
      </w:rPr>
      <w:t xml:space="preserve">to aid </w:t>
    </w:r>
    <w:r w:rsidRPr="00AE2739">
      <w:rPr>
        <w:b/>
      </w:rPr>
      <w:t xml:space="preserve">diagnosis of suspected </w:t>
    </w:r>
    <w:r>
      <w:rPr>
        <w:b/>
      </w:rPr>
      <w:t>HF</w:t>
    </w:r>
    <w:r w:rsidRPr="00AE2739">
      <w:rPr>
        <w:b/>
      </w:rPr>
      <w:t xml:space="preserve"> in non-hospital setting</w:t>
    </w:r>
    <w:r>
      <w:rPr>
        <w:b/>
      </w:rPr>
      <w:t>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1A384FC8" w:rsidR="00F51321" w:rsidRPr="009B32BA" w:rsidRDefault="00F51321" w:rsidP="00F51321">
    <w:pPr>
      <w:pStyle w:val="Footer"/>
      <w:jc w:val="left"/>
      <w:rPr>
        <w:szCs w:val="18"/>
      </w:rPr>
    </w:pPr>
    <w:r w:rsidRPr="00870B05">
      <w:t>Last updated</w:t>
    </w:r>
    <w:r>
      <w:t xml:space="preserve"> – </w:t>
    </w:r>
    <w:r w:rsidR="0035797E">
      <w:t>14</w:t>
    </w:r>
    <w:r w:rsidR="004126FE">
      <w:t xml:space="preserve"> October</w:t>
    </w:r>
    <w:r w:rsidRPr="00113B9A">
      <w:t xml:space="preserve"> 20</w:t>
    </w:r>
    <w:r w:rsidR="003248A7" w:rsidRPr="00113B9A">
      <w:t>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B0064C1" w:rsidR="00064168" w:rsidRDefault="00AE2739" w:rsidP="00AE2739">
    <w:pPr>
      <w:pStyle w:val="Footer"/>
      <w:tabs>
        <w:tab w:val="clear" w:pos="9026"/>
        <w:tab w:val="right" w:pos="10466"/>
      </w:tabs>
      <w:jc w:val="left"/>
    </w:pPr>
    <w:r w:rsidRPr="00AE2739">
      <w:rPr>
        <w:b/>
      </w:rPr>
      <w:t>NT-</w:t>
    </w:r>
    <w:proofErr w:type="spellStart"/>
    <w:r w:rsidRPr="00AE2739">
      <w:rPr>
        <w:b/>
      </w:rPr>
      <w:t>proBNP</w:t>
    </w:r>
    <w:proofErr w:type="spellEnd"/>
    <w:r w:rsidR="006221FD">
      <w:rPr>
        <w:b/>
      </w:rPr>
      <w:t xml:space="preserve"> or</w:t>
    </w:r>
    <w:r w:rsidRPr="00AE2739">
      <w:rPr>
        <w:b/>
      </w:rPr>
      <w:t xml:space="preserve"> BNP testing </w:t>
    </w:r>
    <w:r w:rsidR="0019568A">
      <w:rPr>
        <w:b/>
      </w:rPr>
      <w:t xml:space="preserve">to aid </w:t>
    </w:r>
    <w:r w:rsidRPr="00AE2739">
      <w:rPr>
        <w:b/>
      </w:rPr>
      <w:t xml:space="preserve">diagnosis of suspected </w:t>
    </w:r>
    <w:r w:rsidR="0019568A">
      <w:rPr>
        <w:b/>
      </w:rPr>
      <w:t>HF</w:t>
    </w:r>
    <w:r w:rsidRPr="00AE2739">
      <w:rPr>
        <w:b/>
      </w:rPr>
      <w:t xml:space="preserve"> in non-hospital setting</w:t>
    </w:r>
    <w:r w:rsidR="0019568A">
      <w:rPr>
        <w:b/>
      </w:rPr>
      <w:t>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386525D6" w:rsidR="00064168" w:rsidRPr="009B32BA" w:rsidRDefault="00064168" w:rsidP="00064168">
    <w:pPr>
      <w:pStyle w:val="Footer"/>
      <w:jc w:val="left"/>
      <w:rPr>
        <w:szCs w:val="18"/>
      </w:rPr>
    </w:pPr>
    <w:r w:rsidRPr="00870B05">
      <w:t>Last updated</w:t>
    </w:r>
    <w:r>
      <w:t xml:space="preserve"> – </w:t>
    </w:r>
    <w:r w:rsidR="0035797E">
      <w:t>14</w:t>
    </w:r>
    <w:r w:rsidR="00C10A7A">
      <w:t xml:space="preserve"> October</w:t>
    </w:r>
    <w:r w:rsidRPr="00113B9A">
      <w:t xml:space="preserve"> 20</w:t>
    </w:r>
    <w:r w:rsidR="003248A7" w:rsidRPr="00113B9A">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4581" w14:textId="77777777" w:rsidR="00030B19" w:rsidRDefault="00030B19" w:rsidP="006B56BB">
      <w:r>
        <w:separator/>
      </w:r>
    </w:p>
    <w:p w14:paraId="579C45D8" w14:textId="77777777" w:rsidR="00030B19" w:rsidRDefault="00030B19"/>
  </w:footnote>
  <w:footnote w:type="continuationSeparator" w:id="0">
    <w:p w14:paraId="5867401B" w14:textId="77777777" w:rsidR="00030B19" w:rsidRDefault="00030B19" w:rsidP="006B56BB">
      <w:r>
        <w:continuationSeparator/>
      </w:r>
    </w:p>
    <w:p w14:paraId="0C1334A3" w14:textId="77777777" w:rsidR="00030B19" w:rsidRDefault="00030B19"/>
  </w:footnote>
  <w:footnote w:type="continuationNotice" w:id="1">
    <w:p w14:paraId="6F856457" w14:textId="77777777" w:rsidR="00030B19" w:rsidRDefault="00030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32551733">
    <w:abstractNumId w:val="7"/>
  </w:num>
  <w:num w:numId="2" w16cid:durableId="68500503">
    <w:abstractNumId w:val="17"/>
  </w:num>
  <w:num w:numId="3" w16cid:durableId="1055740369">
    <w:abstractNumId w:val="19"/>
  </w:num>
  <w:num w:numId="4" w16cid:durableId="1597782615">
    <w:abstractNumId w:val="8"/>
  </w:num>
  <w:num w:numId="5" w16cid:durableId="488714462">
    <w:abstractNumId w:val="8"/>
    <w:lvlOverride w:ilvl="0">
      <w:startOverride w:val="1"/>
    </w:lvlOverride>
  </w:num>
  <w:num w:numId="6" w16cid:durableId="1583681770">
    <w:abstractNumId w:val="9"/>
  </w:num>
  <w:num w:numId="7" w16cid:durableId="1943805124">
    <w:abstractNumId w:val="15"/>
  </w:num>
  <w:num w:numId="8" w16cid:durableId="1076395094">
    <w:abstractNumId w:val="18"/>
  </w:num>
  <w:num w:numId="9" w16cid:durableId="1572614451">
    <w:abstractNumId w:val="5"/>
  </w:num>
  <w:num w:numId="10" w16cid:durableId="510291207">
    <w:abstractNumId w:val="4"/>
  </w:num>
  <w:num w:numId="11" w16cid:durableId="1925723768">
    <w:abstractNumId w:val="3"/>
  </w:num>
  <w:num w:numId="12" w16cid:durableId="300119977">
    <w:abstractNumId w:val="2"/>
  </w:num>
  <w:num w:numId="13" w16cid:durableId="1651708287">
    <w:abstractNumId w:val="6"/>
  </w:num>
  <w:num w:numId="14" w16cid:durableId="1864978707">
    <w:abstractNumId w:val="1"/>
  </w:num>
  <w:num w:numId="15" w16cid:durableId="213737359">
    <w:abstractNumId w:val="0"/>
  </w:num>
  <w:num w:numId="16" w16cid:durableId="1862235044">
    <w:abstractNumId w:val="20"/>
  </w:num>
  <w:num w:numId="17" w16cid:durableId="1873348139">
    <w:abstractNumId w:val="10"/>
  </w:num>
  <w:num w:numId="18" w16cid:durableId="1262294671">
    <w:abstractNumId w:val="12"/>
  </w:num>
  <w:num w:numId="19" w16cid:durableId="361174124">
    <w:abstractNumId w:val="14"/>
  </w:num>
  <w:num w:numId="20" w16cid:durableId="2123911696">
    <w:abstractNumId w:val="10"/>
  </w:num>
  <w:num w:numId="21" w16cid:durableId="732047469">
    <w:abstractNumId w:val="14"/>
  </w:num>
  <w:num w:numId="22" w16cid:durableId="1612398520">
    <w:abstractNumId w:val="20"/>
  </w:num>
  <w:num w:numId="23" w16cid:durableId="1901675047">
    <w:abstractNumId w:val="17"/>
  </w:num>
  <w:num w:numId="24" w16cid:durableId="1833639824">
    <w:abstractNumId w:val="19"/>
  </w:num>
  <w:num w:numId="25" w16cid:durableId="1591815136">
    <w:abstractNumId w:val="8"/>
  </w:num>
  <w:num w:numId="26" w16cid:durableId="1166089758">
    <w:abstractNumId w:val="16"/>
  </w:num>
  <w:num w:numId="27" w16cid:durableId="1610888620">
    <w:abstractNumId w:val="11"/>
  </w:num>
  <w:num w:numId="28" w16cid:durableId="189539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F7B"/>
    <w:rsid w:val="00003743"/>
    <w:rsid w:val="000047B4"/>
    <w:rsid w:val="00005712"/>
    <w:rsid w:val="000068C6"/>
    <w:rsid w:val="00007FD8"/>
    <w:rsid w:val="000117F8"/>
    <w:rsid w:val="0001460F"/>
    <w:rsid w:val="000214E4"/>
    <w:rsid w:val="00022629"/>
    <w:rsid w:val="00024DFE"/>
    <w:rsid w:val="00026139"/>
    <w:rsid w:val="00027601"/>
    <w:rsid w:val="00030B19"/>
    <w:rsid w:val="00033321"/>
    <w:rsid w:val="000338E5"/>
    <w:rsid w:val="00033ECC"/>
    <w:rsid w:val="0003422F"/>
    <w:rsid w:val="00046FF0"/>
    <w:rsid w:val="00050176"/>
    <w:rsid w:val="00050342"/>
    <w:rsid w:val="00064168"/>
    <w:rsid w:val="00064E1C"/>
    <w:rsid w:val="00066476"/>
    <w:rsid w:val="00067456"/>
    <w:rsid w:val="00071506"/>
    <w:rsid w:val="0007154F"/>
    <w:rsid w:val="00071EE0"/>
    <w:rsid w:val="00080BAC"/>
    <w:rsid w:val="00081AB1"/>
    <w:rsid w:val="00090316"/>
    <w:rsid w:val="00093981"/>
    <w:rsid w:val="000A1A45"/>
    <w:rsid w:val="000A46C4"/>
    <w:rsid w:val="000B067A"/>
    <w:rsid w:val="000B0D4F"/>
    <w:rsid w:val="000B1540"/>
    <w:rsid w:val="000B1E53"/>
    <w:rsid w:val="000B33FD"/>
    <w:rsid w:val="000B4ABA"/>
    <w:rsid w:val="000C018D"/>
    <w:rsid w:val="000C4B16"/>
    <w:rsid w:val="000C50C3"/>
    <w:rsid w:val="000C5E14"/>
    <w:rsid w:val="000D21F6"/>
    <w:rsid w:val="000D4500"/>
    <w:rsid w:val="000D6B8C"/>
    <w:rsid w:val="000D7AEA"/>
    <w:rsid w:val="000E2B48"/>
    <w:rsid w:val="000E2C66"/>
    <w:rsid w:val="000F123C"/>
    <w:rsid w:val="000F2700"/>
    <w:rsid w:val="000F2FED"/>
    <w:rsid w:val="0010616D"/>
    <w:rsid w:val="00106437"/>
    <w:rsid w:val="00110478"/>
    <w:rsid w:val="00113807"/>
    <w:rsid w:val="00113B9A"/>
    <w:rsid w:val="0011611E"/>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568A"/>
    <w:rsid w:val="0019622E"/>
    <w:rsid w:val="001966A7"/>
    <w:rsid w:val="001A4627"/>
    <w:rsid w:val="001A4979"/>
    <w:rsid w:val="001B15D3"/>
    <w:rsid w:val="001B3443"/>
    <w:rsid w:val="001C0326"/>
    <w:rsid w:val="001C192F"/>
    <w:rsid w:val="001C3C42"/>
    <w:rsid w:val="001D7869"/>
    <w:rsid w:val="001F5FA3"/>
    <w:rsid w:val="001F6243"/>
    <w:rsid w:val="002026CD"/>
    <w:rsid w:val="002033FC"/>
    <w:rsid w:val="002044BB"/>
    <w:rsid w:val="00210B09"/>
    <w:rsid w:val="00210C9E"/>
    <w:rsid w:val="00211840"/>
    <w:rsid w:val="00220E5F"/>
    <w:rsid w:val="002212B5"/>
    <w:rsid w:val="00226668"/>
    <w:rsid w:val="00227FA2"/>
    <w:rsid w:val="00232B9A"/>
    <w:rsid w:val="00233809"/>
    <w:rsid w:val="00240046"/>
    <w:rsid w:val="00240236"/>
    <w:rsid w:val="00242DD9"/>
    <w:rsid w:val="0024797F"/>
    <w:rsid w:val="0025119E"/>
    <w:rsid w:val="00251269"/>
    <w:rsid w:val="002531AE"/>
    <w:rsid w:val="002535C0"/>
    <w:rsid w:val="002579FE"/>
    <w:rsid w:val="00260552"/>
    <w:rsid w:val="00260790"/>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464"/>
    <w:rsid w:val="002C38C4"/>
    <w:rsid w:val="002C46AA"/>
    <w:rsid w:val="002E1A1D"/>
    <w:rsid w:val="002E4081"/>
    <w:rsid w:val="002E5B78"/>
    <w:rsid w:val="002F3AE3"/>
    <w:rsid w:val="0030464B"/>
    <w:rsid w:val="0030786C"/>
    <w:rsid w:val="003145B0"/>
    <w:rsid w:val="00317B7C"/>
    <w:rsid w:val="003233DE"/>
    <w:rsid w:val="0032466B"/>
    <w:rsid w:val="003248A7"/>
    <w:rsid w:val="003330EB"/>
    <w:rsid w:val="00334BCF"/>
    <w:rsid w:val="0033504C"/>
    <w:rsid w:val="00340485"/>
    <w:rsid w:val="003415FD"/>
    <w:rsid w:val="003429F0"/>
    <w:rsid w:val="00345A82"/>
    <w:rsid w:val="0035097A"/>
    <w:rsid w:val="003540A4"/>
    <w:rsid w:val="0035797E"/>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207"/>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93B"/>
    <w:rsid w:val="00405ADD"/>
    <w:rsid w:val="00410031"/>
    <w:rsid w:val="004126FE"/>
    <w:rsid w:val="00415C81"/>
    <w:rsid w:val="004201C1"/>
    <w:rsid w:val="00427553"/>
    <w:rsid w:val="00432378"/>
    <w:rsid w:val="00435B8D"/>
    <w:rsid w:val="00440D65"/>
    <w:rsid w:val="004435E6"/>
    <w:rsid w:val="00447E31"/>
    <w:rsid w:val="00453923"/>
    <w:rsid w:val="00454B9B"/>
    <w:rsid w:val="0045589E"/>
    <w:rsid w:val="00457858"/>
    <w:rsid w:val="0046076E"/>
    <w:rsid w:val="00460B0B"/>
    <w:rsid w:val="00461023"/>
    <w:rsid w:val="00462FAC"/>
    <w:rsid w:val="00464631"/>
    <w:rsid w:val="00464B79"/>
    <w:rsid w:val="00467BBF"/>
    <w:rsid w:val="004800F2"/>
    <w:rsid w:val="0048593C"/>
    <w:rsid w:val="004867E2"/>
    <w:rsid w:val="00490797"/>
    <w:rsid w:val="004929A9"/>
    <w:rsid w:val="004A78D9"/>
    <w:rsid w:val="004B2707"/>
    <w:rsid w:val="004C1BCD"/>
    <w:rsid w:val="004C6BCF"/>
    <w:rsid w:val="004D58BF"/>
    <w:rsid w:val="004D634A"/>
    <w:rsid w:val="004E4335"/>
    <w:rsid w:val="004E5226"/>
    <w:rsid w:val="004F13EE"/>
    <w:rsid w:val="004F2022"/>
    <w:rsid w:val="004F7C05"/>
    <w:rsid w:val="00501C94"/>
    <w:rsid w:val="00506432"/>
    <w:rsid w:val="00506E82"/>
    <w:rsid w:val="0050769B"/>
    <w:rsid w:val="005104C4"/>
    <w:rsid w:val="00513DB9"/>
    <w:rsid w:val="0052051D"/>
    <w:rsid w:val="00545EE6"/>
    <w:rsid w:val="0055127A"/>
    <w:rsid w:val="005550E7"/>
    <w:rsid w:val="005564FB"/>
    <w:rsid w:val="005572C7"/>
    <w:rsid w:val="005650ED"/>
    <w:rsid w:val="00575754"/>
    <w:rsid w:val="00581FBA"/>
    <w:rsid w:val="005858A4"/>
    <w:rsid w:val="00591E20"/>
    <w:rsid w:val="00595408"/>
    <w:rsid w:val="00595E84"/>
    <w:rsid w:val="005A07F6"/>
    <w:rsid w:val="005A0C59"/>
    <w:rsid w:val="005A48EB"/>
    <w:rsid w:val="005A6CFB"/>
    <w:rsid w:val="005C5AEB"/>
    <w:rsid w:val="005D0E58"/>
    <w:rsid w:val="005D21AC"/>
    <w:rsid w:val="005D5881"/>
    <w:rsid w:val="005D5F4E"/>
    <w:rsid w:val="005D6AD6"/>
    <w:rsid w:val="005E0A3F"/>
    <w:rsid w:val="005E1AF9"/>
    <w:rsid w:val="005E2D76"/>
    <w:rsid w:val="005E6883"/>
    <w:rsid w:val="005E772F"/>
    <w:rsid w:val="005F4ECA"/>
    <w:rsid w:val="006041BE"/>
    <w:rsid w:val="006043C7"/>
    <w:rsid w:val="006221FD"/>
    <w:rsid w:val="00624B52"/>
    <w:rsid w:val="00630794"/>
    <w:rsid w:val="00631DF4"/>
    <w:rsid w:val="00632643"/>
    <w:rsid w:val="00634175"/>
    <w:rsid w:val="0063574E"/>
    <w:rsid w:val="006408AC"/>
    <w:rsid w:val="00642F20"/>
    <w:rsid w:val="00644029"/>
    <w:rsid w:val="006511B6"/>
    <w:rsid w:val="00657FF8"/>
    <w:rsid w:val="00670D99"/>
    <w:rsid w:val="00670E2B"/>
    <w:rsid w:val="006734BB"/>
    <w:rsid w:val="0067697A"/>
    <w:rsid w:val="006821EB"/>
    <w:rsid w:val="00690D38"/>
    <w:rsid w:val="006A0DA4"/>
    <w:rsid w:val="006B2286"/>
    <w:rsid w:val="006B56BB"/>
    <w:rsid w:val="006C085B"/>
    <w:rsid w:val="006C77A8"/>
    <w:rsid w:val="006D1C51"/>
    <w:rsid w:val="006D4098"/>
    <w:rsid w:val="006D7681"/>
    <w:rsid w:val="006D7B2E"/>
    <w:rsid w:val="006E02EA"/>
    <w:rsid w:val="006E0968"/>
    <w:rsid w:val="006E2AF6"/>
    <w:rsid w:val="006F5073"/>
    <w:rsid w:val="006F6A29"/>
    <w:rsid w:val="00701275"/>
    <w:rsid w:val="007078C7"/>
    <w:rsid w:val="00707F56"/>
    <w:rsid w:val="00712EBF"/>
    <w:rsid w:val="00713558"/>
    <w:rsid w:val="00720D08"/>
    <w:rsid w:val="00722CE7"/>
    <w:rsid w:val="007263B9"/>
    <w:rsid w:val="007334F8"/>
    <w:rsid w:val="007339CD"/>
    <w:rsid w:val="00733EBA"/>
    <w:rsid w:val="007359D8"/>
    <w:rsid w:val="007362D4"/>
    <w:rsid w:val="00736765"/>
    <w:rsid w:val="007374DB"/>
    <w:rsid w:val="0075021A"/>
    <w:rsid w:val="00756A96"/>
    <w:rsid w:val="0076672A"/>
    <w:rsid w:val="00775E45"/>
    <w:rsid w:val="00776E74"/>
    <w:rsid w:val="00785169"/>
    <w:rsid w:val="00790E14"/>
    <w:rsid w:val="007954AB"/>
    <w:rsid w:val="007A14C5"/>
    <w:rsid w:val="007A4A10"/>
    <w:rsid w:val="007B1750"/>
    <w:rsid w:val="007B1760"/>
    <w:rsid w:val="007C1FDC"/>
    <w:rsid w:val="007C31DD"/>
    <w:rsid w:val="007C6D9C"/>
    <w:rsid w:val="007C7DDB"/>
    <w:rsid w:val="007D2CC7"/>
    <w:rsid w:val="007D673D"/>
    <w:rsid w:val="007D6AB4"/>
    <w:rsid w:val="007E0068"/>
    <w:rsid w:val="007E0FB8"/>
    <w:rsid w:val="007E4D09"/>
    <w:rsid w:val="007F2220"/>
    <w:rsid w:val="007F4B3E"/>
    <w:rsid w:val="008127AF"/>
    <w:rsid w:val="00812B46"/>
    <w:rsid w:val="00815700"/>
    <w:rsid w:val="00815BC9"/>
    <w:rsid w:val="0082246B"/>
    <w:rsid w:val="008264EB"/>
    <w:rsid w:val="00826B8F"/>
    <w:rsid w:val="008319F9"/>
    <w:rsid w:val="00831E8A"/>
    <w:rsid w:val="00835C76"/>
    <w:rsid w:val="008376E2"/>
    <w:rsid w:val="00843049"/>
    <w:rsid w:val="008437CA"/>
    <w:rsid w:val="00845DD6"/>
    <w:rsid w:val="0085209B"/>
    <w:rsid w:val="00856B66"/>
    <w:rsid w:val="008601AC"/>
    <w:rsid w:val="00861A5F"/>
    <w:rsid w:val="008644AD"/>
    <w:rsid w:val="00865735"/>
    <w:rsid w:val="00865DDB"/>
    <w:rsid w:val="00867538"/>
    <w:rsid w:val="00873D90"/>
    <w:rsid w:val="00873FC8"/>
    <w:rsid w:val="00882DA8"/>
    <w:rsid w:val="00884C63"/>
    <w:rsid w:val="00885908"/>
    <w:rsid w:val="008864B7"/>
    <w:rsid w:val="0089677E"/>
    <w:rsid w:val="008A5DF4"/>
    <w:rsid w:val="008A7438"/>
    <w:rsid w:val="008B1334"/>
    <w:rsid w:val="008B25C7"/>
    <w:rsid w:val="008C0278"/>
    <w:rsid w:val="008C24E9"/>
    <w:rsid w:val="008D0533"/>
    <w:rsid w:val="008D42CB"/>
    <w:rsid w:val="008D48C9"/>
    <w:rsid w:val="008D6381"/>
    <w:rsid w:val="008E0C77"/>
    <w:rsid w:val="008E5867"/>
    <w:rsid w:val="008E625F"/>
    <w:rsid w:val="008E6612"/>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709C"/>
    <w:rsid w:val="00945E7F"/>
    <w:rsid w:val="0095547C"/>
    <w:rsid w:val="009557C1"/>
    <w:rsid w:val="00960D6E"/>
    <w:rsid w:val="00963D33"/>
    <w:rsid w:val="009647D5"/>
    <w:rsid w:val="00974B59"/>
    <w:rsid w:val="0098340B"/>
    <w:rsid w:val="00986830"/>
    <w:rsid w:val="009924C3"/>
    <w:rsid w:val="00993102"/>
    <w:rsid w:val="009B1570"/>
    <w:rsid w:val="009C6F10"/>
    <w:rsid w:val="009D148F"/>
    <w:rsid w:val="009D19BF"/>
    <w:rsid w:val="009D3D70"/>
    <w:rsid w:val="009E6F7E"/>
    <w:rsid w:val="009E7A57"/>
    <w:rsid w:val="009F4803"/>
    <w:rsid w:val="009F4F6A"/>
    <w:rsid w:val="00A102A8"/>
    <w:rsid w:val="00A13EB5"/>
    <w:rsid w:val="00A16E36"/>
    <w:rsid w:val="00A24961"/>
    <w:rsid w:val="00A24B10"/>
    <w:rsid w:val="00A277EF"/>
    <w:rsid w:val="00A30E9B"/>
    <w:rsid w:val="00A36B9F"/>
    <w:rsid w:val="00A4512D"/>
    <w:rsid w:val="00A50244"/>
    <w:rsid w:val="00A627D7"/>
    <w:rsid w:val="00A656C7"/>
    <w:rsid w:val="00A705AF"/>
    <w:rsid w:val="00A719F6"/>
    <w:rsid w:val="00A72122"/>
    <w:rsid w:val="00A72454"/>
    <w:rsid w:val="00A72D53"/>
    <w:rsid w:val="00A75C87"/>
    <w:rsid w:val="00A77696"/>
    <w:rsid w:val="00A80006"/>
    <w:rsid w:val="00A80557"/>
    <w:rsid w:val="00A81D33"/>
    <w:rsid w:val="00A8341C"/>
    <w:rsid w:val="00A930AE"/>
    <w:rsid w:val="00AA1A95"/>
    <w:rsid w:val="00AA260F"/>
    <w:rsid w:val="00AA67B1"/>
    <w:rsid w:val="00AB1EE7"/>
    <w:rsid w:val="00AB4B37"/>
    <w:rsid w:val="00AB5762"/>
    <w:rsid w:val="00AB7185"/>
    <w:rsid w:val="00AC2679"/>
    <w:rsid w:val="00AC4BE4"/>
    <w:rsid w:val="00AC50E5"/>
    <w:rsid w:val="00AD05E6"/>
    <w:rsid w:val="00AD0D3F"/>
    <w:rsid w:val="00AE1D7D"/>
    <w:rsid w:val="00AE2739"/>
    <w:rsid w:val="00AE2A8B"/>
    <w:rsid w:val="00AE3F64"/>
    <w:rsid w:val="00AF5FE0"/>
    <w:rsid w:val="00AF7386"/>
    <w:rsid w:val="00AF7934"/>
    <w:rsid w:val="00B00B81"/>
    <w:rsid w:val="00B0404B"/>
    <w:rsid w:val="00B04580"/>
    <w:rsid w:val="00B04B09"/>
    <w:rsid w:val="00B16A51"/>
    <w:rsid w:val="00B32222"/>
    <w:rsid w:val="00B325E7"/>
    <w:rsid w:val="00B3618D"/>
    <w:rsid w:val="00B36233"/>
    <w:rsid w:val="00B42851"/>
    <w:rsid w:val="00B45350"/>
    <w:rsid w:val="00B45AC7"/>
    <w:rsid w:val="00B5372F"/>
    <w:rsid w:val="00B53987"/>
    <w:rsid w:val="00B61129"/>
    <w:rsid w:val="00B62AFF"/>
    <w:rsid w:val="00B67197"/>
    <w:rsid w:val="00B67E7F"/>
    <w:rsid w:val="00B76DB3"/>
    <w:rsid w:val="00B839B2"/>
    <w:rsid w:val="00B94252"/>
    <w:rsid w:val="00B9715A"/>
    <w:rsid w:val="00BA14BE"/>
    <w:rsid w:val="00BA2732"/>
    <w:rsid w:val="00BA293D"/>
    <w:rsid w:val="00BA3125"/>
    <w:rsid w:val="00BA49BC"/>
    <w:rsid w:val="00BA569E"/>
    <w:rsid w:val="00BA56B7"/>
    <w:rsid w:val="00BA7A1E"/>
    <w:rsid w:val="00BB2F6C"/>
    <w:rsid w:val="00BB3875"/>
    <w:rsid w:val="00BB5860"/>
    <w:rsid w:val="00BB6AAD"/>
    <w:rsid w:val="00BC4A19"/>
    <w:rsid w:val="00BC4E6D"/>
    <w:rsid w:val="00BD0617"/>
    <w:rsid w:val="00BD0A9E"/>
    <w:rsid w:val="00BD2E9B"/>
    <w:rsid w:val="00BD7FB2"/>
    <w:rsid w:val="00BE3ED5"/>
    <w:rsid w:val="00BE62F9"/>
    <w:rsid w:val="00C00930"/>
    <w:rsid w:val="00C060AD"/>
    <w:rsid w:val="00C10A7A"/>
    <w:rsid w:val="00C11219"/>
    <w:rsid w:val="00C113BF"/>
    <w:rsid w:val="00C2176E"/>
    <w:rsid w:val="00C21FC0"/>
    <w:rsid w:val="00C23430"/>
    <w:rsid w:val="00C27D67"/>
    <w:rsid w:val="00C4075C"/>
    <w:rsid w:val="00C435AF"/>
    <w:rsid w:val="00C4431F"/>
    <w:rsid w:val="00C4631F"/>
    <w:rsid w:val="00C468E0"/>
    <w:rsid w:val="00C47CDE"/>
    <w:rsid w:val="00C50E16"/>
    <w:rsid w:val="00C55258"/>
    <w:rsid w:val="00C75FA3"/>
    <w:rsid w:val="00C82EEB"/>
    <w:rsid w:val="00C83309"/>
    <w:rsid w:val="00C971DC"/>
    <w:rsid w:val="00CA16B7"/>
    <w:rsid w:val="00CA62AE"/>
    <w:rsid w:val="00CB03B8"/>
    <w:rsid w:val="00CB24E9"/>
    <w:rsid w:val="00CB5B1A"/>
    <w:rsid w:val="00CC220B"/>
    <w:rsid w:val="00CC5C43"/>
    <w:rsid w:val="00CD02AE"/>
    <w:rsid w:val="00CD2A4F"/>
    <w:rsid w:val="00CE03CA"/>
    <w:rsid w:val="00CE22F1"/>
    <w:rsid w:val="00CE403E"/>
    <w:rsid w:val="00CE50F2"/>
    <w:rsid w:val="00CE6502"/>
    <w:rsid w:val="00CF7D3C"/>
    <w:rsid w:val="00D01F09"/>
    <w:rsid w:val="00D01F64"/>
    <w:rsid w:val="00D03527"/>
    <w:rsid w:val="00D06A1B"/>
    <w:rsid w:val="00D128EB"/>
    <w:rsid w:val="00D147EB"/>
    <w:rsid w:val="00D15A11"/>
    <w:rsid w:val="00D16451"/>
    <w:rsid w:val="00D22AFA"/>
    <w:rsid w:val="00D2321B"/>
    <w:rsid w:val="00D246C1"/>
    <w:rsid w:val="00D34667"/>
    <w:rsid w:val="00D40112"/>
    <w:rsid w:val="00D401E1"/>
    <w:rsid w:val="00D408B4"/>
    <w:rsid w:val="00D44330"/>
    <w:rsid w:val="00D44824"/>
    <w:rsid w:val="00D524C8"/>
    <w:rsid w:val="00D70D81"/>
    <w:rsid w:val="00D70E24"/>
    <w:rsid w:val="00D72B61"/>
    <w:rsid w:val="00D92574"/>
    <w:rsid w:val="00DA39E0"/>
    <w:rsid w:val="00DA3D1D"/>
    <w:rsid w:val="00DB1EE2"/>
    <w:rsid w:val="00DB6286"/>
    <w:rsid w:val="00DB645F"/>
    <w:rsid w:val="00DB76E9"/>
    <w:rsid w:val="00DC0A67"/>
    <w:rsid w:val="00DC1D5E"/>
    <w:rsid w:val="00DC5220"/>
    <w:rsid w:val="00DC5A9E"/>
    <w:rsid w:val="00DD2061"/>
    <w:rsid w:val="00DD7290"/>
    <w:rsid w:val="00DD7DAB"/>
    <w:rsid w:val="00DE2502"/>
    <w:rsid w:val="00DE3355"/>
    <w:rsid w:val="00DF0C60"/>
    <w:rsid w:val="00DF486F"/>
    <w:rsid w:val="00DF5B5B"/>
    <w:rsid w:val="00DF7619"/>
    <w:rsid w:val="00E042D8"/>
    <w:rsid w:val="00E07EE7"/>
    <w:rsid w:val="00E1103B"/>
    <w:rsid w:val="00E13AF7"/>
    <w:rsid w:val="00E17B44"/>
    <w:rsid w:val="00E20F27"/>
    <w:rsid w:val="00E22443"/>
    <w:rsid w:val="00E25AD0"/>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5953"/>
    <w:rsid w:val="00EA3786"/>
    <w:rsid w:val="00EA470E"/>
    <w:rsid w:val="00EA47A7"/>
    <w:rsid w:val="00EA57EB"/>
    <w:rsid w:val="00EB3226"/>
    <w:rsid w:val="00EC213A"/>
    <w:rsid w:val="00EC7744"/>
    <w:rsid w:val="00ED0DAD"/>
    <w:rsid w:val="00ED0F46"/>
    <w:rsid w:val="00ED2373"/>
    <w:rsid w:val="00ED24F9"/>
    <w:rsid w:val="00ED2E38"/>
    <w:rsid w:val="00EE3E8A"/>
    <w:rsid w:val="00EE6A70"/>
    <w:rsid w:val="00EF58B8"/>
    <w:rsid w:val="00EF6ECA"/>
    <w:rsid w:val="00F00496"/>
    <w:rsid w:val="00F024E1"/>
    <w:rsid w:val="00F06C10"/>
    <w:rsid w:val="00F07604"/>
    <w:rsid w:val="00F1096F"/>
    <w:rsid w:val="00F12589"/>
    <w:rsid w:val="00F12595"/>
    <w:rsid w:val="00F134D9"/>
    <w:rsid w:val="00F1403D"/>
    <w:rsid w:val="00F1463F"/>
    <w:rsid w:val="00F21302"/>
    <w:rsid w:val="00F21E47"/>
    <w:rsid w:val="00F2430D"/>
    <w:rsid w:val="00F321DE"/>
    <w:rsid w:val="00F33777"/>
    <w:rsid w:val="00F37D72"/>
    <w:rsid w:val="00F40648"/>
    <w:rsid w:val="00F46201"/>
    <w:rsid w:val="00F47DA2"/>
    <w:rsid w:val="00F51321"/>
    <w:rsid w:val="00F519FC"/>
    <w:rsid w:val="00F5366F"/>
    <w:rsid w:val="00F6239D"/>
    <w:rsid w:val="00F715D2"/>
    <w:rsid w:val="00F7274F"/>
    <w:rsid w:val="00F72C5F"/>
    <w:rsid w:val="00F74E84"/>
    <w:rsid w:val="00F75D90"/>
    <w:rsid w:val="00F76FA8"/>
    <w:rsid w:val="00F810A4"/>
    <w:rsid w:val="00F8233E"/>
    <w:rsid w:val="00F8501A"/>
    <w:rsid w:val="00F85AFE"/>
    <w:rsid w:val="00F909A9"/>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unhideWhenUsed/>
    <w:rsid w:val="006D1C51"/>
    <w:rPr>
      <w:sz w:val="16"/>
      <w:szCs w:val="16"/>
    </w:rPr>
  </w:style>
  <w:style w:type="paragraph" w:styleId="CommentSubject">
    <w:name w:val="annotation subject"/>
    <w:basedOn w:val="CommentText"/>
    <w:next w:val="CommentText"/>
    <w:link w:val="CommentSubjectChar"/>
    <w:semiHidden/>
    <w:unhideWhenUsed/>
    <w:rsid w:val="0010643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106437"/>
    <w:rPr>
      <w:rFonts w:ascii="Arial" w:eastAsiaTheme="minorEastAsia" w:hAnsi="Arial" w:cstheme="minorBidi"/>
      <w:b/>
      <w:bCs/>
      <w:color w:val="000000" w:themeColor="text1"/>
      <w:lang w:eastAsia="en-US"/>
    </w:rPr>
  </w:style>
  <w:style w:type="paragraph" w:styleId="Revision">
    <w:name w:val="Revision"/>
    <w:hidden/>
    <w:uiPriority w:val="99"/>
    <w:semiHidden/>
    <w:rsid w:val="00D22AFA"/>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topics/medicare/compli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legislation.gov.au/Series/F2017L01291"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2024-10-04T00:58:00Z</dcterms:created>
  <dcterms:modified xsi:type="dcterms:W3CDTF">2024-10-14T01:28:00Z</dcterms:modified>
</cp:coreProperties>
</file>