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C9D5" w14:textId="77777777" w:rsidR="007C7792" w:rsidRDefault="007C7792" w:rsidP="007C7792">
      <w:pPr>
        <w:pStyle w:val="Heading1"/>
      </w:pPr>
      <w:bookmarkStart w:id="0" w:name="_GoBack"/>
      <w:bookmarkEnd w:id="0"/>
      <w:r>
        <w:t>Telehealth Services Provided by GPs and Non-Specialist Medical Practitioners to Patients in Rural and Remote Areas</w:t>
      </w:r>
    </w:p>
    <w:p w14:paraId="4F84A885" w14:textId="29143F8C" w:rsidR="0003040F" w:rsidRPr="00432212" w:rsidRDefault="0003040F" w:rsidP="007C7792">
      <w:pPr>
        <w:pStyle w:val="Heading2"/>
      </w:pPr>
      <w:r w:rsidRPr="00432212">
        <w:t>Date of change</w:t>
      </w:r>
      <w:r w:rsidR="00774C9D">
        <w:t>:</w:t>
      </w:r>
      <w:r w:rsidRPr="00432212">
        <w:tab/>
      </w:r>
      <w:r w:rsidR="002961FB">
        <w:t xml:space="preserve">1 November </w:t>
      </w:r>
      <w:r w:rsidRPr="00432212">
        <w:t>20</w:t>
      </w:r>
      <w:r w:rsidR="002961FB">
        <w:t>19</w:t>
      </w:r>
    </w:p>
    <w:p w14:paraId="15E10D5E" w14:textId="60F33021" w:rsidR="00ED0607" w:rsidRDefault="00630329" w:rsidP="007C7792">
      <w:pPr>
        <w:pStyle w:val="Heading2"/>
      </w:pPr>
      <w:bookmarkStart w:id="1" w:name="_Hlk10794542"/>
      <w:r>
        <w:t>New items:</w:t>
      </w:r>
      <w:r>
        <w:tab/>
      </w:r>
      <w:r>
        <w:tab/>
      </w:r>
      <w:r w:rsidR="007C7792" w:rsidRPr="00127D0A">
        <w:rPr>
          <w:color w:val="006600"/>
        </w:rPr>
        <w:t>2461, 2463, 2464, 2465</w:t>
      </w:r>
      <w:r w:rsidR="00ED0607">
        <w:t xml:space="preserve"> – for general practitioners</w:t>
      </w:r>
    </w:p>
    <w:p w14:paraId="26F2848E" w14:textId="70B14495" w:rsidR="00ED0607" w:rsidRDefault="00ED0607" w:rsidP="00BD5224">
      <w:pPr>
        <w:pStyle w:val="Heading2"/>
        <w:ind w:left="2160"/>
      </w:pPr>
      <w:r w:rsidRPr="00127D0A">
        <w:rPr>
          <w:color w:val="006600"/>
        </w:rPr>
        <w:t>2471, 2472, 2475, 2478</w:t>
      </w:r>
      <w:r>
        <w:t xml:space="preserve"> </w:t>
      </w:r>
      <w:r w:rsidR="00127D0A">
        <w:t>–</w:t>
      </w:r>
      <w:r>
        <w:t xml:space="preserve"> </w:t>
      </w:r>
      <w:r w:rsidR="00127D0A">
        <w:t>non-specialist medical practitioners in Modified Monash Model (MMM) area 1</w:t>
      </w:r>
    </w:p>
    <w:p w14:paraId="3E046587" w14:textId="1A2E61A9" w:rsidR="00E95C64" w:rsidRDefault="007C7792" w:rsidP="00127D0A">
      <w:pPr>
        <w:pStyle w:val="Heading2"/>
        <w:ind w:left="2160"/>
        <w:rPr>
          <w:rStyle w:val="DeletedItemNumber"/>
        </w:rPr>
      </w:pPr>
      <w:r w:rsidRPr="00127D0A">
        <w:rPr>
          <w:color w:val="006600"/>
        </w:rPr>
        <w:t>2480, 2481,</w:t>
      </w:r>
      <w:r w:rsidR="00ED0607" w:rsidRPr="00127D0A">
        <w:rPr>
          <w:color w:val="006600"/>
        </w:rPr>
        <w:t xml:space="preserve"> </w:t>
      </w:r>
      <w:r w:rsidRPr="00127D0A">
        <w:rPr>
          <w:color w:val="006600"/>
        </w:rPr>
        <w:t>2482, 2483</w:t>
      </w:r>
      <w:r w:rsidR="00127D0A">
        <w:t xml:space="preserve"> - non-specialist medical practitioners in MMM 2-7 areas</w:t>
      </w:r>
      <w:r>
        <w:tab/>
      </w:r>
      <w:r w:rsidR="00630329">
        <w:rPr>
          <w:rStyle w:val="NEWItemNumber"/>
        </w:rPr>
        <w:t xml:space="preserve"> </w:t>
      </w:r>
    </w:p>
    <w:bookmarkEnd w:id="1"/>
    <w:p w14:paraId="6D5033ED" w14:textId="6C386649" w:rsidR="00464E24" w:rsidRPr="00432212" w:rsidRDefault="00C15180" w:rsidP="008B049A">
      <w:pPr>
        <w:spacing w:after="0" w:line="240" w:lineRule="auto"/>
        <w:rPr>
          <w:noProof/>
        </w:rPr>
      </w:pPr>
      <w:r>
        <w:rPr>
          <w:rStyle w:val="BookTitle"/>
          <w:noProof/>
        </w:rPr>
        <w:pict w14:anchorId="48D12961">
          <v:rect id="_x0000_i1025" style="width:0;height:1.5pt" o:hralign="center" o:hrstd="t" o:hr="t" fillcolor="#a0a0a0" stroked="f"/>
        </w:pict>
      </w:r>
    </w:p>
    <w:p w14:paraId="6A42C6BB" w14:textId="44BF995F" w:rsidR="00F333A7" w:rsidRPr="00520161" w:rsidRDefault="00F333A7" w:rsidP="007C7792">
      <w:pPr>
        <w:pStyle w:val="Heading2"/>
      </w:pPr>
      <w:r w:rsidRPr="00520161">
        <w:t>Revised structure</w:t>
      </w:r>
    </w:p>
    <w:p w14:paraId="60CBA999" w14:textId="1374303F" w:rsidR="007C7792" w:rsidRDefault="007C7792" w:rsidP="007C7792">
      <w:pPr>
        <w:pStyle w:val="RecommendationsBullets"/>
      </w:pPr>
      <w:r>
        <w:t xml:space="preserve">12 new Medicare Benefits Schedule (MBS) items for </w:t>
      </w:r>
      <w:r w:rsidR="005A492B">
        <w:t xml:space="preserve">GP </w:t>
      </w:r>
      <w:r>
        <w:t>telehealth video consultations with patients living in rural and remote areas.</w:t>
      </w:r>
    </w:p>
    <w:p w14:paraId="09155847" w14:textId="6DB99848" w:rsidR="007C7792" w:rsidRDefault="007C7792" w:rsidP="007C7792">
      <w:pPr>
        <w:pStyle w:val="RecommendationsBullets"/>
      </w:pPr>
      <w:r>
        <w:t>Telehealth services help to address inequities in the provision of health care services and have the potential to deliver improved health outcomes to people living in rural and remote locations.</w:t>
      </w:r>
    </w:p>
    <w:p w14:paraId="7A7BDC40" w14:textId="04706106" w:rsidR="00F333A7" w:rsidRPr="00432212" w:rsidRDefault="00763E5B" w:rsidP="007C7792">
      <w:pPr>
        <w:pStyle w:val="Heading2"/>
      </w:pPr>
      <w:r w:rsidRPr="00432212">
        <w:t xml:space="preserve">Patient </w:t>
      </w:r>
      <w:r w:rsidR="00884022">
        <w:t>impacts</w:t>
      </w:r>
      <w:r w:rsidRPr="00432212">
        <w:t xml:space="preserve"> </w:t>
      </w:r>
    </w:p>
    <w:p w14:paraId="2782F141" w14:textId="06989723" w:rsidR="005A492B" w:rsidRDefault="005A492B" w:rsidP="00C508EE">
      <w:pPr>
        <w:pStyle w:val="RecommendationsBullets"/>
      </w:pPr>
      <w:r>
        <w:t>From 1 November 2019, people living in rural and remote communities will be able to request a video</w:t>
      </w:r>
      <w:r w:rsidR="00484BB1">
        <w:t xml:space="preserve"> consultation with their doctor</w:t>
      </w:r>
      <w:r>
        <w:t>.</w:t>
      </w:r>
    </w:p>
    <w:p w14:paraId="61A8AE1C" w14:textId="2830C2DE" w:rsidR="00911BCA" w:rsidRDefault="00911BCA" w:rsidP="007C7792">
      <w:pPr>
        <w:pStyle w:val="Heading2"/>
      </w:pPr>
      <w:bookmarkStart w:id="2" w:name="_Hlk271137"/>
      <w:r>
        <w:t>Restrictions or requirements</w:t>
      </w:r>
    </w:p>
    <w:p w14:paraId="66F32CC0" w14:textId="36084441" w:rsidR="00E25A7E" w:rsidRDefault="00E25A7E" w:rsidP="00E25A7E">
      <w:pPr>
        <w:pStyle w:val="RecommendationsBullets"/>
      </w:pPr>
      <w:r>
        <w:t xml:space="preserve">To be eligible for the new telehealth service, a patient must: </w:t>
      </w:r>
    </w:p>
    <w:p w14:paraId="087AB4DD" w14:textId="77777777" w:rsidR="00E25A7E" w:rsidRPr="00BD76E1" w:rsidRDefault="00E25A7E" w:rsidP="00484BB1">
      <w:pPr>
        <w:pStyle w:val="ListParagraph"/>
        <w:rPr>
          <w:noProof/>
          <w:color w:val="001A70" w:themeColor="text2"/>
        </w:rPr>
      </w:pPr>
      <w:r w:rsidRPr="00BD76E1">
        <w:rPr>
          <w:noProof/>
          <w:color w:val="001A70" w:themeColor="text2"/>
        </w:rPr>
        <w:t>be living in a MMM 6 or 7 area;</w:t>
      </w:r>
    </w:p>
    <w:p w14:paraId="3FD05F76" w14:textId="77777777" w:rsidR="00E25A7E" w:rsidRPr="00BD76E1" w:rsidRDefault="00E25A7E" w:rsidP="00484BB1">
      <w:pPr>
        <w:pStyle w:val="ListParagraph"/>
        <w:rPr>
          <w:noProof/>
          <w:color w:val="001A70" w:themeColor="text2"/>
        </w:rPr>
      </w:pPr>
      <w:r w:rsidRPr="00BD76E1">
        <w:rPr>
          <w:noProof/>
          <w:color w:val="001A70" w:themeColor="text2"/>
        </w:rPr>
        <w:t>have received three face-to-face professional attendances in the preceding twelve months from the practitioner who will provide the telehealth service; and</w:t>
      </w:r>
    </w:p>
    <w:p w14:paraId="749417C8" w14:textId="68011FC6" w:rsidR="00E25A7E" w:rsidRPr="00BD76E1" w:rsidRDefault="00E25A7E" w:rsidP="00484BB1">
      <w:pPr>
        <w:pStyle w:val="ListParagraph"/>
        <w:rPr>
          <w:noProof/>
          <w:color w:val="001A70" w:themeColor="text2"/>
        </w:rPr>
      </w:pPr>
      <w:r w:rsidRPr="00BD76E1">
        <w:rPr>
          <w:noProof/>
          <w:color w:val="001A70" w:themeColor="text2"/>
        </w:rPr>
        <w:t xml:space="preserve">at the time of the consultation, be at least 15 kilometres by road from the practitioner. </w:t>
      </w:r>
    </w:p>
    <w:p w14:paraId="4C40BC4B" w14:textId="447A77EF" w:rsidR="00BD5224" w:rsidRPr="00BD5224" w:rsidRDefault="00BD5224" w:rsidP="00BD5224">
      <w:pPr>
        <w:pStyle w:val="RecommendationsBullets"/>
        <w:rPr>
          <w:rStyle w:val="Hyperlink"/>
          <w:color w:val="001A70" w:themeColor="text2"/>
          <w:u w:val="none"/>
        </w:rPr>
      </w:pPr>
      <w:r w:rsidRPr="008673DC">
        <w:t xml:space="preserve">The MMM classification status of specific locations can be checked at: </w:t>
      </w:r>
      <w:hyperlink r:id="rId11" w:history="1">
        <w:r w:rsidRPr="00BD5224">
          <w:rPr>
            <w:rStyle w:val="Hyperlink"/>
            <w:rFonts w:asciiTheme="minorHAnsi" w:hAnsiTheme="minorHAnsi" w:cstheme="minorHAnsi"/>
            <w:szCs w:val="20"/>
          </w:rPr>
          <w:t>https://www.health.gov.au/resources/apps-and-tools/health-workforce-locator/health-workforce-locator</w:t>
        </w:r>
      </w:hyperlink>
    </w:p>
    <w:p w14:paraId="0863F894" w14:textId="68262ED0" w:rsidR="00ED0607" w:rsidRDefault="00BD5224" w:rsidP="003A3DE7">
      <w:pPr>
        <w:spacing w:before="240" w:after="0"/>
        <w:rPr>
          <w:noProof/>
          <w:color w:val="001A70" w:themeColor="text2"/>
        </w:rPr>
      </w:pPr>
      <w:r>
        <w:rPr>
          <w:noProof/>
          <w:color w:val="001A70" w:themeColor="text2"/>
        </w:rPr>
        <w:lastRenderedPageBreak/>
        <w:t>T</w:t>
      </w:r>
      <w:r w:rsidR="00ED0607">
        <w:rPr>
          <w:noProof/>
          <w:color w:val="001A70" w:themeColor="text2"/>
        </w:rPr>
        <w:t>he following examples of the MBS telehealth video consultation items are intended to provide a guide for the new services</w:t>
      </w:r>
      <w:r w:rsidR="00484BB1">
        <w:rPr>
          <w:noProof/>
          <w:color w:val="001A70" w:themeColor="text2"/>
        </w:rPr>
        <w:t xml:space="preserve">. </w:t>
      </w:r>
      <w:r w:rsidR="00127D0A">
        <w:rPr>
          <w:noProof/>
          <w:color w:val="001A70" w:themeColor="text2"/>
        </w:rPr>
        <w:t xml:space="preserve">Full details of </w:t>
      </w:r>
      <w:r w:rsidR="0038280B">
        <w:rPr>
          <w:noProof/>
          <w:color w:val="001A70" w:themeColor="text2"/>
        </w:rPr>
        <w:t xml:space="preserve">all </w:t>
      </w:r>
      <w:r w:rsidR="00127D0A">
        <w:rPr>
          <w:noProof/>
          <w:color w:val="001A70" w:themeColor="text2"/>
        </w:rPr>
        <w:t xml:space="preserve">the new items </w:t>
      </w:r>
      <w:r w:rsidR="005D3386">
        <w:rPr>
          <w:noProof/>
          <w:color w:val="001A70" w:themeColor="text2"/>
        </w:rPr>
        <w:t>are</w:t>
      </w:r>
      <w:r w:rsidR="00127D0A">
        <w:rPr>
          <w:noProof/>
          <w:color w:val="001A70" w:themeColor="text2"/>
        </w:rPr>
        <w:t xml:space="preserve"> available at </w:t>
      </w:r>
      <w:hyperlink r:id="rId12" w:history="1">
        <w:r w:rsidR="00127D0A" w:rsidRPr="003D3167">
          <w:rPr>
            <w:rStyle w:val="Hyperlink"/>
            <w:szCs w:val="20"/>
          </w:rPr>
          <w:t>www.mbsonline.gov.au</w:t>
        </w:r>
      </w:hyperlink>
    </w:p>
    <w:bookmarkEnd w:id="2"/>
    <w:p w14:paraId="3E8D6A20" w14:textId="54F04886" w:rsidR="00AC679F" w:rsidRPr="001C39EA" w:rsidRDefault="00681667" w:rsidP="003A3DE7">
      <w:pPr>
        <w:pStyle w:val="NEWItem"/>
        <w:rPr>
          <w:rStyle w:val="NEWItemNumber"/>
        </w:rPr>
      </w:pPr>
      <w:r w:rsidRPr="00432212">
        <w:rPr>
          <w:noProof/>
        </w:rPr>
        <w:t>New i</w:t>
      </w:r>
      <w:r w:rsidR="00AC679F" w:rsidRPr="00432212">
        <w:rPr>
          <w:noProof/>
        </w:rPr>
        <w:t>te</w:t>
      </w:r>
      <w:r w:rsidR="00AC679F" w:rsidRPr="00C33A20">
        <w:t>m</w:t>
      </w:r>
      <w:r w:rsidR="00AC679F" w:rsidRPr="001C39EA">
        <w:rPr>
          <w:rStyle w:val="NEWItemNumber"/>
        </w:rPr>
        <w:t xml:space="preserve"> </w:t>
      </w:r>
      <w:r w:rsidR="008B2961" w:rsidRPr="008B2961">
        <w:rPr>
          <w:rStyle w:val="NEWItemNumber"/>
          <w:b/>
        </w:rPr>
        <w:t>2463</w:t>
      </w:r>
      <w:r w:rsidR="00AC679F" w:rsidRPr="001C39EA">
        <w:rPr>
          <w:rStyle w:val="NEWItemNumber"/>
        </w:rPr>
        <w:t xml:space="preserve"> </w:t>
      </w:r>
      <w:r w:rsidR="00D46BFF" w:rsidRPr="00C33A20">
        <w:t>–</w:t>
      </w:r>
      <w:r w:rsidR="00AC679F" w:rsidRPr="00C33A20">
        <w:t xml:space="preserve"> </w:t>
      </w:r>
      <w:r w:rsidR="008B2961">
        <w:t>General Practitioner video conferencing consultation attendance for patients in rural and remote areas</w:t>
      </w:r>
    </w:p>
    <w:p w14:paraId="095C6B72" w14:textId="3C72AE10" w:rsidR="00BA657E" w:rsidRPr="00BD76E1" w:rsidRDefault="00BA657E" w:rsidP="00BA657E">
      <w:pPr>
        <w:rPr>
          <w:noProof/>
          <w:color w:val="001A70" w:themeColor="text2"/>
        </w:rPr>
      </w:pPr>
      <w:r w:rsidRPr="00BD76E1">
        <w:rPr>
          <w:b/>
          <w:bCs/>
          <w:iCs/>
          <w:color w:val="001A70" w:themeColor="text2"/>
        </w:rPr>
        <w:t>Overview:</w:t>
      </w:r>
      <w:r w:rsidRPr="00BD76E1">
        <w:rPr>
          <w:noProof/>
          <w:color w:val="001A70" w:themeColor="text2"/>
        </w:rPr>
        <w:t xml:space="preserve"> </w:t>
      </w:r>
      <w:r w:rsidR="008B2961" w:rsidRPr="00BD76E1">
        <w:rPr>
          <w:noProof/>
          <w:color w:val="001A70" w:themeColor="text2"/>
        </w:rPr>
        <w:t xml:space="preserve">Video </w:t>
      </w:r>
      <w:r w:rsidR="00ED0607" w:rsidRPr="00BD76E1">
        <w:rPr>
          <w:noProof/>
          <w:color w:val="001A70" w:themeColor="text2"/>
        </w:rPr>
        <w:t>consultation</w:t>
      </w:r>
      <w:r w:rsidR="008B2961" w:rsidRPr="00BD76E1">
        <w:rPr>
          <w:noProof/>
          <w:color w:val="001A70" w:themeColor="text2"/>
        </w:rPr>
        <w:t xml:space="preserve"> item to assist with access to general practice services in rural and remote locations</w:t>
      </w:r>
      <w:r w:rsidR="00551374" w:rsidRPr="00BD76E1">
        <w:rPr>
          <w:noProof/>
          <w:color w:val="001A70" w:themeColor="text2"/>
        </w:rPr>
        <w:t>.</w:t>
      </w:r>
    </w:p>
    <w:p w14:paraId="0B09B8BD" w14:textId="77777777" w:rsidR="008B2961" w:rsidRPr="00BD76E1" w:rsidRDefault="009C49FB" w:rsidP="00627DF5">
      <w:pPr>
        <w:rPr>
          <w:noProof/>
          <w:color w:val="001A70" w:themeColor="text2"/>
        </w:rPr>
      </w:pPr>
      <w:r w:rsidRPr="00BD76E1">
        <w:rPr>
          <w:b/>
          <w:bCs/>
          <w:iCs/>
          <w:color w:val="001A70" w:themeColor="text2"/>
        </w:rPr>
        <w:t>Descriptor</w:t>
      </w:r>
      <w:r w:rsidR="00BA657E" w:rsidRPr="00BD76E1">
        <w:rPr>
          <w:b/>
          <w:bCs/>
          <w:iCs/>
          <w:color w:val="001A70" w:themeColor="text2"/>
        </w:rPr>
        <w:t>:</w:t>
      </w:r>
      <w:r w:rsidR="00BA657E" w:rsidRPr="00BD76E1">
        <w:rPr>
          <w:noProof/>
          <w:color w:val="001A70" w:themeColor="text2"/>
        </w:rPr>
        <w:t xml:space="preserve"> </w:t>
      </w:r>
    </w:p>
    <w:p w14:paraId="1FD68853" w14:textId="77777777" w:rsidR="008B2961" w:rsidRPr="00BD76E1" w:rsidRDefault="008B2961" w:rsidP="008B2961">
      <w:pPr>
        <w:pStyle w:val="Tabletext"/>
        <w:rPr>
          <w:rFonts w:ascii="Arial" w:eastAsiaTheme="minorEastAsia" w:hAnsi="Arial" w:cstheme="minorBidi"/>
          <w:noProof/>
          <w:color w:val="001A70" w:themeColor="text2"/>
          <w:szCs w:val="21"/>
          <w:lang w:eastAsia="en-US"/>
        </w:rPr>
      </w:pPr>
      <w:r w:rsidRPr="00BD76E1">
        <w:rPr>
          <w:rFonts w:ascii="Arial" w:eastAsiaTheme="minorEastAsia" w:hAnsi="Arial" w:cstheme="minorBidi"/>
          <w:noProof/>
          <w:color w:val="001A70" w:themeColor="text2"/>
          <w:szCs w:val="21"/>
          <w:lang w:eastAsia="en-US"/>
        </w:rPr>
        <w:t>Professional attendance by video conference by a general practitioner, of less than 20 minutes in duration, including any of the following that are clinically relevant:</w:t>
      </w:r>
    </w:p>
    <w:p w14:paraId="043894A0" w14:textId="77777777" w:rsidR="008B2961" w:rsidRPr="00BD76E1" w:rsidRDefault="008B2961" w:rsidP="008B2961">
      <w:pPr>
        <w:pStyle w:val="Tablea"/>
        <w:rPr>
          <w:rFonts w:ascii="Arial" w:eastAsiaTheme="minorEastAsia" w:hAnsi="Arial" w:cstheme="minorBidi"/>
          <w:noProof/>
          <w:color w:val="001A70" w:themeColor="text2"/>
          <w:szCs w:val="21"/>
          <w:lang w:eastAsia="en-US"/>
        </w:rPr>
      </w:pPr>
      <w:r w:rsidRPr="00BD76E1">
        <w:rPr>
          <w:rFonts w:ascii="Arial" w:eastAsiaTheme="minorEastAsia" w:hAnsi="Arial" w:cstheme="minorBidi"/>
          <w:noProof/>
          <w:color w:val="001A70" w:themeColor="text2"/>
          <w:szCs w:val="21"/>
          <w:lang w:eastAsia="en-US"/>
        </w:rPr>
        <w:t>(a) taking a patient history;</w:t>
      </w:r>
    </w:p>
    <w:p w14:paraId="09AA61A5" w14:textId="77777777" w:rsidR="008B2961" w:rsidRPr="00BD76E1" w:rsidRDefault="008B2961" w:rsidP="008B2961">
      <w:pPr>
        <w:pStyle w:val="Tablea"/>
        <w:rPr>
          <w:rFonts w:ascii="Arial" w:eastAsiaTheme="minorEastAsia" w:hAnsi="Arial" w:cstheme="minorBidi"/>
          <w:noProof/>
          <w:color w:val="001A70" w:themeColor="text2"/>
          <w:szCs w:val="21"/>
          <w:lang w:eastAsia="en-US"/>
        </w:rPr>
      </w:pPr>
      <w:r w:rsidRPr="00BD76E1">
        <w:rPr>
          <w:rFonts w:ascii="Arial" w:eastAsiaTheme="minorEastAsia" w:hAnsi="Arial" w:cstheme="minorBidi"/>
          <w:noProof/>
          <w:color w:val="001A70" w:themeColor="text2"/>
          <w:szCs w:val="21"/>
          <w:lang w:eastAsia="en-US"/>
        </w:rPr>
        <w:t>(b) performing a clinical examination;</w:t>
      </w:r>
    </w:p>
    <w:p w14:paraId="6870AE29" w14:textId="77777777" w:rsidR="008B2961" w:rsidRPr="00BD76E1" w:rsidRDefault="008B2961" w:rsidP="008B2961">
      <w:pPr>
        <w:pStyle w:val="Tablea"/>
        <w:rPr>
          <w:rFonts w:ascii="Arial" w:eastAsiaTheme="minorEastAsia" w:hAnsi="Arial" w:cstheme="minorBidi"/>
          <w:noProof/>
          <w:color w:val="001A70" w:themeColor="text2"/>
          <w:szCs w:val="21"/>
          <w:lang w:eastAsia="en-US"/>
        </w:rPr>
      </w:pPr>
      <w:r w:rsidRPr="00BD76E1">
        <w:rPr>
          <w:rFonts w:ascii="Arial" w:eastAsiaTheme="minorEastAsia" w:hAnsi="Arial" w:cstheme="minorBidi"/>
          <w:noProof/>
          <w:color w:val="001A70" w:themeColor="text2"/>
          <w:szCs w:val="21"/>
          <w:lang w:eastAsia="en-US"/>
        </w:rPr>
        <w:t>(c) arranging any necessary investigation;</w:t>
      </w:r>
    </w:p>
    <w:p w14:paraId="45D65614" w14:textId="77777777" w:rsidR="008B2961" w:rsidRPr="00BD76E1" w:rsidRDefault="008B2961" w:rsidP="008B2961">
      <w:pPr>
        <w:pStyle w:val="Tablea"/>
        <w:rPr>
          <w:rFonts w:ascii="Arial" w:eastAsiaTheme="minorEastAsia" w:hAnsi="Arial" w:cstheme="minorBidi"/>
          <w:noProof/>
          <w:color w:val="001A70" w:themeColor="text2"/>
          <w:szCs w:val="21"/>
          <w:lang w:eastAsia="en-US"/>
        </w:rPr>
      </w:pPr>
      <w:r w:rsidRPr="00BD76E1">
        <w:rPr>
          <w:rFonts w:ascii="Arial" w:eastAsiaTheme="minorEastAsia" w:hAnsi="Arial" w:cstheme="minorBidi"/>
          <w:noProof/>
          <w:color w:val="001A70" w:themeColor="text2"/>
          <w:szCs w:val="21"/>
          <w:lang w:eastAsia="en-US"/>
        </w:rPr>
        <w:t>(d) implementing a management plan;</w:t>
      </w:r>
    </w:p>
    <w:p w14:paraId="4AB1086B" w14:textId="77777777" w:rsidR="008B2961" w:rsidRPr="00BD76E1" w:rsidRDefault="008B2961" w:rsidP="008B2961">
      <w:pPr>
        <w:pStyle w:val="Tablea"/>
        <w:rPr>
          <w:rFonts w:ascii="Arial" w:eastAsiaTheme="minorEastAsia" w:hAnsi="Arial" w:cstheme="minorBidi"/>
          <w:noProof/>
          <w:color w:val="001A70" w:themeColor="text2"/>
          <w:szCs w:val="21"/>
          <w:lang w:eastAsia="en-US"/>
        </w:rPr>
      </w:pPr>
      <w:r w:rsidRPr="00BD76E1">
        <w:rPr>
          <w:rFonts w:ascii="Arial" w:eastAsiaTheme="minorEastAsia" w:hAnsi="Arial" w:cstheme="minorBidi"/>
          <w:noProof/>
          <w:color w:val="001A70" w:themeColor="text2"/>
          <w:szCs w:val="21"/>
          <w:lang w:eastAsia="en-US"/>
        </w:rPr>
        <w:t>(e) providing appropriate preventive health care;</w:t>
      </w:r>
    </w:p>
    <w:p w14:paraId="5811CB35" w14:textId="23AA0221" w:rsidR="008B2961" w:rsidRPr="00BD76E1" w:rsidRDefault="008B2961" w:rsidP="008B2961">
      <w:pPr>
        <w:rPr>
          <w:noProof/>
          <w:color w:val="001A70" w:themeColor="text2"/>
        </w:rPr>
      </w:pPr>
      <w:r w:rsidRPr="00BD76E1">
        <w:rPr>
          <w:noProof/>
          <w:color w:val="001A70" w:themeColor="text2"/>
        </w:rPr>
        <w:t>for one or more health</w:t>
      </w:r>
      <w:r w:rsidRPr="00BD76E1">
        <w:rPr>
          <w:noProof/>
          <w:color w:val="001A70" w:themeColor="text2"/>
        </w:rPr>
        <w:noBreakHyphen/>
        <w:t>related issues, with appropriate documentation.</w:t>
      </w:r>
    </w:p>
    <w:p w14:paraId="4C48AA6B" w14:textId="29AEB19D" w:rsidR="00BA657E" w:rsidRPr="00BD76E1" w:rsidRDefault="00BA657E" w:rsidP="00BA657E">
      <w:pPr>
        <w:rPr>
          <w:noProof/>
          <w:color w:val="001A70" w:themeColor="text2"/>
        </w:rPr>
      </w:pPr>
      <w:r w:rsidRPr="00BD76E1">
        <w:rPr>
          <w:b/>
          <w:bCs/>
          <w:iCs/>
          <w:color w:val="001A70" w:themeColor="text2"/>
        </w:rPr>
        <w:t>MBS fee:</w:t>
      </w:r>
      <w:r w:rsidRPr="00BD76E1">
        <w:rPr>
          <w:noProof/>
          <w:color w:val="001A70" w:themeColor="text2"/>
        </w:rPr>
        <w:t xml:space="preserve"> </w:t>
      </w:r>
      <w:r w:rsidR="00627DF5" w:rsidRPr="00BD76E1">
        <w:rPr>
          <w:noProof/>
          <w:color w:val="001A70" w:themeColor="text2"/>
        </w:rPr>
        <w:t>$</w:t>
      </w:r>
      <w:r w:rsidR="003A3DE7" w:rsidRPr="00BD76E1">
        <w:rPr>
          <w:noProof/>
          <w:color w:val="001A70" w:themeColor="text2"/>
        </w:rPr>
        <w:t>38.20</w:t>
      </w:r>
      <w:r w:rsidR="00627DF5" w:rsidRPr="00BD76E1">
        <w:rPr>
          <w:noProof/>
          <w:color w:val="001A70" w:themeColor="text2"/>
        </w:rPr>
        <w:t xml:space="preserve"> </w:t>
      </w:r>
    </w:p>
    <w:p w14:paraId="1ABE9B92" w14:textId="1DE39ED1" w:rsidR="00BA657E" w:rsidRPr="00BD76E1" w:rsidRDefault="00BA657E" w:rsidP="00BA657E">
      <w:pPr>
        <w:rPr>
          <w:noProof/>
          <w:color w:val="001A70" w:themeColor="text2"/>
        </w:rPr>
      </w:pPr>
      <w:r w:rsidRPr="00BD76E1">
        <w:rPr>
          <w:b/>
          <w:bCs/>
          <w:iCs/>
          <w:color w:val="001A70" w:themeColor="text2"/>
        </w:rPr>
        <w:t>Benefit:</w:t>
      </w:r>
      <w:r w:rsidRPr="00BD76E1">
        <w:rPr>
          <w:noProof/>
          <w:color w:val="001A70" w:themeColor="text2"/>
        </w:rPr>
        <w:t xml:space="preserve"> </w:t>
      </w:r>
      <w:r w:rsidR="003A3DE7" w:rsidRPr="00BD76E1">
        <w:rPr>
          <w:noProof/>
          <w:color w:val="001A70" w:themeColor="text2"/>
        </w:rPr>
        <w:t>100</w:t>
      </w:r>
      <w:r w:rsidRPr="00BD76E1">
        <w:rPr>
          <w:noProof/>
          <w:color w:val="001A70" w:themeColor="text2"/>
        </w:rPr>
        <w:t>%</w:t>
      </w:r>
    </w:p>
    <w:p w14:paraId="6D6B115E" w14:textId="3670B8E0" w:rsidR="004762A0" w:rsidRPr="00432212" w:rsidRDefault="00681667" w:rsidP="003A3DE7">
      <w:pPr>
        <w:pStyle w:val="NEWItem"/>
        <w:rPr>
          <w:noProof/>
        </w:rPr>
      </w:pPr>
      <w:r w:rsidRPr="00432212">
        <w:rPr>
          <w:noProof/>
        </w:rPr>
        <w:t>New i</w:t>
      </w:r>
      <w:r w:rsidR="00C72C2D" w:rsidRPr="00432212">
        <w:rPr>
          <w:noProof/>
        </w:rPr>
        <w:t xml:space="preserve">tem </w:t>
      </w:r>
      <w:r w:rsidR="00127D0A">
        <w:rPr>
          <w:noProof/>
        </w:rPr>
        <w:t>2475</w:t>
      </w:r>
      <w:r w:rsidR="00C72C2D" w:rsidRPr="00432212">
        <w:rPr>
          <w:noProof/>
        </w:rPr>
        <w:t xml:space="preserve"> </w:t>
      </w:r>
      <w:r w:rsidR="00D46BFF" w:rsidRPr="00432212">
        <w:rPr>
          <w:noProof/>
        </w:rPr>
        <w:t xml:space="preserve">– </w:t>
      </w:r>
      <w:r w:rsidR="00127D0A">
        <w:rPr>
          <w:noProof/>
        </w:rPr>
        <w:t>Other non-referred video conferencing consultation attendance for patients in rural and remote areas</w:t>
      </w:r>
    </w:p>
    <w:p w14:paraId="60542761" w14:textId="757B3983" w:rsidR="00551374" w:rsidRPr="00BD76E1" w:rsidRDefault="00551374" w:rsidP="00551374">
      <w:pPr>
        <w:rPr>
          <w:noProof/>
          <w:color w:val="001A70" w:themeColor="text2"/>
        </w:rPr>
      </w:pPr>
      <w:r w:rsidRPr="00BD76E1">
        <w:rPr>
          <w:b/>
          <w:bCs/>
          <w:iCs/>
          <w:color w:val="001A70" w:themeColor="text2"/>
        </w:rPr>
        <w:t>Overview:</w:t>
      </w:r>
      <w:r w:rsidRPr="00BD76E1">
        <w:rPr>
          <w:noProof/>
          <w:color w:val="001A70" w:themeColor="text2"/>
        </w:rPr>
        <w:t xml:space="preserve"> </w:t>
      </w:r>
      <w:r w:rsidR="00127D0A" w:rsidRPr="00BD76E1">
        <w:rPr>
          <w:noProof/>
          <w:color w:val="001A70" w:themeColor="text2"/>
        </w:rPr>
        <w:t xml:space="preserve">Video consultation item to assist with access to </w:t>
      </w:r>
      <w:r w:rsidR="009508F0" w:rsidRPr="00BD76E1">
        <w:rPr>
          <w:noProof/>
          <w:color w:val="001A70" w:themeColor="text2"/>
        </w:rPr>
        <w:t xml:space="preserve">medical practitioner </w:t>
      </w:r>
      <w:r w:rsidR="00127D0A" w:rsidRPr="00BD76E1">
        <w:rPr>
          <w:noProof/>
          <w:color w:val="001A70" w:themeColor="text2"/>
        </w:rPr>
        <w:t>services in rural and remote locations</w:t>
      </w:r>
      <w:r w:rsidRPr="00BD76E1">
        <w:rPr>
          <w:noProof/>
          <w:color w:val="001A70" w:themeColor="text2"/>
        </w:rPr>
        <w:t>.</w:t>
      </w:r>
    </w:p>
    <w:p w14:paraId="7F3CBB7A" w14:textId="77777777" w:rsidR="000F7BA7" w:rsidRPr="00BD76E1" w:rsidRDefault="009C49FB" w:rsidP="00551374">
      <w:pPr>
        <w:rPr>
          <w:b/>
          <w:bCs/>
          <w:iCs/>
          <w:color w:val="001A70" w:themeColor="text2"/>
        </w:rPr>
      </w:pPr>
      <w:r w:rsidRPr="00BD76E1">
        <w:rPr>
          <w:b/>
          <w:bCs/>
          <w:iCs/>
          <w:color w:val="001A70" w:themeColor="text2"/>
        </w:rPr>
        <w:t>Descriptor</w:t>
      </w:r>
      <w:r w:rsidR="00551374" w:rsidRPr="00BD76E1">
        <w:rPr>
          <w:b/>
          <w:bCs/>
          <w:iCs/>
          <w:color w:val="001A70" w:themeColor="text2"/>
        </w:rPr>
        <w:t>:</w:t>
      </w:r>
    </w:p>
    <w:p w14:paraId="2AB1428F" w14:textId="77777777" w:rsidR="000F7BA7" w:rsidRPr="00BD76E1" w:rsidRDefault="000F7BA7" w:rsidP="00551374">
      <w:pPr>
        <w:rPr>
          <w:b/>
          <w:bCs/>
          <w:iCs/>
          <w:color w:val="001A70" w:themeColor="text2"/>
        </w:rPr>
      </w:pPr>
      <w:r w:rsidRPr="00BD76E1">
        <w:rPr>
          <w:noProof/>
          <w:color w:val="001A70" w:themeColor="text2"/>
        </w:rPr>
        <w:t>Professional attendance by video conference of more than 25 minutes in duration but not more than 45 minutes by a medical practitioner who is not a general practitioner</w:t>
      </w:r>
      <w:r w:rsidRPr="00BD76E1">
        <w:rPr>
          <w:b/>
          <w:bCs/>
          <w:iCs/>
          <w:color w:val="001A70" w:themeColor="text2"/>
        </w:rPr>
        <w:t xml:space="preserve"> </w:t>
      </w:r>
    </w:p>
    <w:p w14:paraId="3A0329A7" w14:textId="04C23D2B" w:rsidR="00551374" w:rsidRPr="00BD76E1" w:rsidRDefault="00551374" w:rsidP="00551374">
      <w:pPr>
        <w:rPr>
          <w:noProof/>
          <w:color w:val="001A70" w:themeColor="text2"/>
        </w:rPr>
      </w:pPr>
      <w:r w:rsidRPr="00BD76E1">
        <w:rPr>
          <w:b/>
          <w:bCs/>
          <w:iCs/>
          <w:color w:val="001A70" w:themeColor="text2"/>
        </w:rPr>
        <w:t>MBS fee:</w:t>
      </w:r>
      <w:r w:rsidRPr="00BD76E1">
        <w:rPr>
          <w:noProof/>
          <w:color w:val="001A70" w:themeColor="text2"/>
        </w:rPr>
        <w:t xml:space="preserve"> $</w:t>
      </w:r>
      <w:r w:rsidR="000F7BA7" w:rsidRPr="00BD76E1">
        <w:rPr>
          <w:noProof/>
          <w:color w:val="001A70" w:themeColor="text2"/>
        </w:rPr>
        <w:t>38.00</w:t>
      </w:r>
      <w:r w:rsidRPr="00BD76E1">
        <w:rPr>
          <w:noProof/>
          <w:color w:val="001A70" w:themeColor="text2"/>
        </w:rPr>
        <w:t xml:space="preserve"> </w:t>
      </w:r>
    </w:p>
    <w:p w14:paraId="2661B267" w14:textId="722C112C" w:rsidR="00551374" w:rsidRPr="00BD76E1" w:rsidRDefault="00551374" w:rsidP="00551374">
      <w:pPr>
        <w:rPr>
          <w:noProof/>
          <w:color w:val="001A70" w:themeColor="text2"/>
        </w:rPr>
      </w:pPr>
      <w:r w:rsidRPr="00BD76E1">
        <w:rPr>
          <w:b/>
          <w:bCs/>
          <w:iCs/>
          <w:color w:val="001A70" w:themeColor="text2"/>
        </w:rPr>
        <w:t>Benefit:</w:t>
      </w:r>
      <w:r w:rsidRPr="00BD76E1">
        <w:rPr>
          <w:noProof/>
          <w:color w:val="001A70" w:themeColor="text2"/>
        </w:rPr>
        <w:t xml:space="preserve"> </w:t>
      </w:r>
      <w:r w:rsidR="00127D0A" w:rsidRPr="00BD76E1">
        <w:rPr>
          <w:noProof/>
          <w:color w:val="001A70" w:themeColor="text2"/>
        </w:rPr>
        <w:t>100</w:t>
      </w:r>
      <w:r w:rsidRPr="00BD76E1">
        <w:rPr>
          <w:noProof/>
          <w:color w:val="001A70" w:themeColor="text2"/>
        </w:rPr>
        <w:t>%</w:t>
      </w:r>
    </w:p>
    <w:p w14:paraId="1594515F" w14:textId="131B69DD" w:rsidR="005F70A1" w:rsidRPr="00432212" w:rsidRDefault="00681667" w:rsidP="003A3DE7">
      <w:pPr>
        <w:pStyle w:val="NEWItem"/>
        <w:rPr>
          <w:noProof/>
        </w:rPr>
      </w:pPr>
      <w:r w:rsidRPr="00432212">
        <w:rPr>
          <w:noProof/>
        </w:rPr>
        <w:t>New i</w:t>
      </w:r>
      <w:r w:rsidR="007A232E">
        <w:rPr>
          <w:noProof/>
        </w:rPr>
        <w:t xml:space="preserve">tem </w:t>
      </w:r>
      <w:r w:rsidR="009508F0">
        <w:rPr>
          <w:noProof/>
        </w:rPr>
        <w:t>2481</w:t>
      </w:r>
      <w:r w:rsidR="005F70A1" w:rsidRPr="00432212">
        <w:rPr>
          <w:noProof/>
        </w:rPr>
        <w:t xml:space="preserve"> </w:t>
      </w:r>
      <w:r w:rsidR="00D46BFF" w:rsidRPr="00432212">
        <w:rPr>
          <w:noProof/>
        </w:rPr>
        <w:t>– N</w:t>
      </w:r>
      <w:r w:rsidR="009508F0">
        <w:rPr>
          <w:noProof/>
        </w:rPr>
        <w:t>on-Specialist Practitioner video conferencing consultation for patients in rural and remote areas</w:t>
      </w:r>
    </w:p>
    <w:p w14:paraId="4503D57B" w14:textId="5C7E7EA0" w:rsidR="00551374" w:rsidRPr="00946888" w:rsidRDefault="00551374" w:rsidP="00551374">
      <w:pPr>
        <w:rPr>
          <w:noProof/>
          <w:color w:val="001A70" w:themeColor="text2"/>
        </w:rPr>
      </w:pPr>
      <w:r w:rsidRPr="00946888">
        <w:rPr>
          <w:b/>
          <w:bCs/>
          <w:iCs/>
          <w:color w:val="001A70" w:themeColor="text2"/>
        </w:rPr>
        <w:t>Overview:</w:t>
      </w:r>
      <w:r w:rsidRPr="00946888">
        <w:rPr>
          <w:noProof/>
          <w:color w:val="001A70" w:themeColor="text2"/>
        </w:rPr>
        <w:t xml:space="preserve"> </w:t>
      </w:r>
      <w:r w:rsidR="009508F0" w:rsidRPr="00946888">
        <w:rPr>
          <w:noProof/>
          <w:color w:val="001A70" w:themeColor="text2"/>
        </w:rPr>
        <w:t>Video consultation item to assist with access to medical practitioner services in rural and remote locations</w:t>
      </w:r>
      <w:r w:rsidRPr="00946888">
        <w:rPr>
          <w:noProof/>
          <w:color w:val="001A70" w:themeColor="text2"/>
        </w:rPr>
        <w:t>.</w:t>
      </w:r>
    </w:p>
    <w:p w14:paraId="38C03D7A" w14:textId="77777777" w:rsidR="00946888" w:rsidRDefault="00946888">
      <w:pPr>
        <w:spacing w:line="259" w:lineRule="auto"/>
        <w:rPr>
          <w:b/>
          <w:bCs/>
          <w:iCs/>
          <w:color w:val="001A70" w:themeColor="text2"/>
        </w:rPr>
      </w:pPr>
      <w:r>
        <w:rPr>
          <w:b/>
          <w:bCs/>
          <w:iCs/>
          <w:color w:val="001A70" w:themeColor="text2"/>
        </w:rPr>
        <w:br w:type="page"/>
      </w:r>
    </w:p>
    <w:p w14:paraId="5560A9BB" w14:textId="0BEA5B61" w:rsidR="009508F0" w:rsidRPr="00946888" w:rsidRDefault="009C49FB" w:rsidP="00551374">
      <w:pPr>
        <w:rPr>
          <w:b/>
          <w:bCs/>
          <w:iCs/>
          <w:color w:val="001A70" w:themeColor="text2"/>
        </w:rPr>
      </w:pPr>
      <w:r w:rsidRPr="00946888">
        <w:rPr>
          <w:b/>
          <w:bCs/>
          <w:iCs/>
          <w:color w:val="001A70" w:themeColor="text2"/>
        </w:rPr>
        <w:lastRenderedPageBreak/>
        <w:t>Descriptor</w:t>
      </w:r>
      <w:r w:rsidR="00551374" w:rsidRPr="00946888">
        <w:rPr>
          <w:b/>
          <w:bCs/>
          <w:iCs/>
          <w:color w:val="001A70" w:themeColor="text2"/>
        </w:rPr>
        <w:t>:</w:t>
      </w:r>
    </w:p>
    <w:p w14:paraId="3F219DC2" w14:textId="0EDA2A93" w:rsidR="00551374" w:rsidRPr="00BD76E1" w:rsidRDefault="009508F0" w:rsidP="00551374">
      <w:pPr>
        <w:rPr>
          <w:noProof/>
          <w:color w:val="001A70" w:themeColor="text2"/>
        </w:rPr>
      </w:pPr>
      <w:r w:rsidRPr="00BD76E1">
        <w:rPr>
          <w:noProof/>
          <w:color w:val="001A70" w:themeColor="text2"/>
        </w:rPr>
        <w:t>Professional attendance by video conference of more than 5 minutes in duration but not more than 25 minutes by a medical practitioner</w:t>
      </w:r>
      <w:r w:rsidR="00551374" w:rsidRPr="00BD76E1">
        <w:rPr>
          <w:noProof/>
          <w:color w:val="001A70" w:themeColor="text2"/>
        </w:rPr>
        <w:t>.</w:t>
      </w:r>
    </w:p>
    <w:p w14:paraId="29208A2A" w14:textId="424B494E" w:rsidR="00551374" w:rsidRPr="00BD76E1" w:rsidRDefault="00551374" w:rsidP="00551374">
      <w:pPr>
        <w:rPr>
          <w:noProof/>
          <w:color w:val="001A70" w:themeColor="text2"/>
        </w:rPr>
      </w:pPr>
      <w:r w:rsidRPr="00BD76E1">
        <w:rPr>
          <w:b/>
          <w:bCs/>
          <w:iCs/>
          <w:color w:val="001A70" w:themeColor="text2"/>
        </w:rPr>
        <w:t>MBS fee:</w:t>
      </w:r>
      <w:r w:rsidRPr="00BD76E1">
        <w:rPr>
          <w:noProof/>
          <w:color w:val="001A70" w:themeColor="text2"/>
        </w:rPr>
        <w:t xml:space="preserve"> $</w:t>
      </w:r>
      <w:r w:rsidR="009508F0" w:rsidRPr="00BD76E1">
        <w:rPr>
          <w:noProof/>
          <w:color w:val="001A70" w:themeColor="text2"/>
        </w:rPr>
        <w:t>30.55</w:t>
      </w:r>
      <w:r w:rsidRPr="00BD76E1">
        <w:rPr>
          <w:noProof/>
          <w:color w:val="001A70" w:themeColor="text2"/>
        </w:rPr>
        <w:t xml:space="preserve"> </w:t>
      </w:r>
    </w:p>
    <w:p w14:paraId="6ACCD1DF" w14:textId="32040364" w:rsidR="004762A0" w:rsidRPr="00BD76E1" w:rsidRDefault="00551374" w:rsidP="009508F0">
      <w:pPr>
        <w:rPr>
          <w:noProof/>
          <w:color w:val="001A70" w:themeColor="text2"/>
        </w:rPr>
      </w:pPr>
      <w:r w:rsidRPr="00BD76E1">
        <w:rPr>
          <w:b/>
          <w:bCs/>
          <w:iCs/>
          <w:color w:val="001A70" w:themeColor="text2"/>
        </w:rPr>
        <w:t>Benefit:</w:t>
      </w:r>
      <w:r w:rsidRPr="00BD76E1">
        <w:rPr>
          <w:noProof/>
          <w:color w:val="001A70" w:themeColor="text2"/>
        </w:rPr>
        <w:t xml:space="preserve"> </w:t>
      </w:r>
      <w:r w:rsidR="009508F0" w:rsidRPr="00BD76E1">
        <w:rPr>
          <w:noProof/>
          <w:color w:val="001A70" w:themeColor="text2"/>
        </w:rPr>
        <w:t>100</w:t>
      </w:r>
      <w:r w:rsidRPr="00BD76E1">
        <w:rPr>
          <w:noProof/>
          <w:color w:val="001A70" w:themeColor="text2"/>
        </w:rPr>
        <w:t>%</w:t>
      </w:r>
    </w:p>
    <w:p w14:paraId="1BBBDEB2" w14:textId="77777777" w:rsidR="009508F0" w:rsidRPr="00BD76E1" w:rsidRDefault="009508F0" w:rsidP="0029176A">
      <w:pPr>
        <w:pStyle w:val="Disclaimer"/>
        <w:rPr>
          <w:i w:val="0"/>
          <w:noProof/>
          <w:color w:val="001A70" w:themeColor="text2"/>
          <w:sz w:val="20"/>
          <w:szCs w:val="21"/>
        </w:rPr>
      </w:pPr>
      <w:bookmarkStart w:id="3" w:name="_Hlk1375085"/>
    </w:p>
    <w:p w14:paraId="645EFF15" w14:textId="196A3D3C" w:rsidR="0029176A" w:rsidRPr="00BD76E1" w:rsidRDefault="0029176A" w:rsidP="0029176A">
      <w:pPr>
        <w:pStyle w:val="Disclaimer"/>
        <w:rPr>
          <w:noProof/>
          <w:color w:val="001A70" w:themeColor="text2"/>
        </w:rPr>
      </w:pPr>
      <w:r w:rsidRPr="00BD76E1">
        <w:rPr>
          <w:noProof/>
          <w:color w:val="001A70" w:themeColor="text2"/>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BB2AE24" w14:textId="60791BAA" w:rsidR="0029176A" w:rsidRPr="00BD76E1" w:rsidRDefault="0029176A" w:rsidP="0029176A">
      <w:pPr>
        <w:pStyle w:val="Disclaimer"/>
        <w:rPr>
          <w:noProof/>
          <w:color w:val="001A70" w:themeColor="text2"/>
        </w:rPr>
      </w:pPr>
      <w:r w:rsidRPr="00BD76E1">
        <w:rPr>
          <w:noProof/>
          <w:color w:val="001A70" w:themeColor="text2"/>
        </w:rPr>
        <w:t>This sheet is current as of the Last updated date shown above, and does not account for MBS changes since that date.</w:t>
      </w:r>
    </w:p>
    <w:bookmarkEnd w:id="3"/>
    <w:p w14:paraId="1A9E6ECD" w14:textId="77777777" w:rsidR="0029176A" w:rsidRDefault="0029176A" w:rsidP="0029176A">
      <w:pPr>
        <w:rPr>
          <w:noProof/>
        </w:rPr>
      </w:pPr>
    </w:p>
    <w:sectPr w:rsidR="0029176A" w:rsidSect="00017D5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75369" w14:textId="77777777" w:rsidR="00E00453" w:rsidRDefault="00E00453" w:rsidP="006D1088">
      <w:pPr>
        <w:spacing w:after="0" w:line="240" w:lineRule="auto"/>
      </w:pPr>
      <w:r>
        <w:separator/>
      </w:r>
    </w:p>
  </w:endnote>
  <w:endnote w:type="continuationSeparator" w:id="0">
    <w:p w14:paraId="41481510" w14:textId="77777777" w:rsidR="00E00453" w:rsidRDefault="00E0045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F06F" w14:textId="77777777" w:rsidR="001C7FC3" w:rsidRDefault="001C7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B2DA" w14:textId="77777777" w:rsidR="00C64B9E" w:rsidRPr="00C64B9E" w:rsidRDefault="00C15180"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1DF155F1">
        <v:rect id="_x0000_i1026" style="width:523.3pt;height:1.9pt" o:hralign="center" o:hrstd="t" o:hr="t" fillcolor="#a0a0a0" stroked="f"/>
      </w:pict>
    </w:r>
    <w:r w:rsidR="00C64B9E" w:rsidRPr="00C64B9E">
      <w:rPr>
        <w:color w:val="001A70" w:themeColor="text2"/>
        <w:sz w:val="16"/>
      </w:rPr>
      <w:t>Medicare Benefits Schedule</w:t>
    </w:r>
  </w:p>
  <w:p w14:paraId="542C26CB" w14:textId="0B3A1B8E" w:rsidR="00C64B9E" w:rsidRPr="00C64B9E" w:rsidRDefault="00E346B5" w:rsidP="00C64B9E">
    <w:pPr>
      <w:tabs>
        <w:tab w:val="center" w:pos="4513"/>
        <w:tab w:val="right" w:pos="10466"/>
      </w:tabs>
      <w:spacing w:after="0" w:line="240" w:lineRule="auto"/>
      <w:rPr>
        <w:color w:val="001A70" w:themeColor="text2"/>
        <w:sz w:val="16"/>
      </w:rPr>
    </w:pPr>
    <w:r w:rsidRPr="00E346B5">
      <w:rPr>
        <w:color w:val="001A70" w:themeColor="text2"/>
        <w:sz w:val="16"/>
      </w:rPr>
      <w:t xml:space="preserve">Telehealth Services Provided by GPs and Non-Specialist Medical Practitioners to Patients in Rural and Remote Areas </w:t>
    </w:r>
    <w:r w:rsidR="00C64B9E" w:rsidRPr="00E346B5">
      <w:rPr>
        <w:color w:val="001A70" w:themeColor="text2"/>
        <w:sz w:val="16"/>
      </w:rPr>
      <w:t xml:space="preserve">– </w:t>
    </w:r>
    <w:r w:rsidR="003E1487" w:rsidRPr="00E346B5">
      <w:rPr>
        <w:color w:val="001A70" w:themeColor="text2"/>
        <w:sz w:val="16"/>
      </w:rPr>
      <w:t>Quick reference guide</w:t>
    </w:r>
    <w:r w:rsidR="00C64B9E"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b/>
          <w:noProof/>
        </w:rPr>
      </w:sdtEndPr>
      <w:sdtContent>
        <w:sdt>
          <w:sdtPr>
            <w:rPr>
              <w:color w:val="001A70" w:themeColor="text2"/>
              <w:sz w:val="16"/>
            </w:rPr>
            <w:id w:val="-720741692"/>
            <w:docPartObj>
              <w:docPartGallery w:val="Page Numbers (Bottom of Page)"/>
              <w:docPartUnique/>
            </w:docPartObj>
          </w:sdtPr>
          <w:sdtEndPr>
            <w:rPr>
              <w:b/>
            </w:rPr>
          </w:sdtEndPr>
          <w:sdtContent>
            <w:sdt>
              <w:sdtPr>
                <w:rPr>
                  <w:color w:val="001A70" w:themeColor="text2"/>
                  <w:sz w:val="16"/>
                </w:rPr>
                <w:id w:val="1701501531"/>
                <w:docPartObj>
                  <w:docPartGallery w:val="Page Numbers (Top of Page)"/>
                  <w:docPartUnique/>
                </w:docPartObj>
              </w:sdtPr>
              <w:sdtEndPr>
                <w:rPr>
                  <w:b/>
                </w:rPr>
              </w:sdtEndPr>
              <w:sdtContent>
                <w:r w:rsidR="00C64B9E" w:rsidRPr="00E346B5">
                  <w:rPr>
                    <w:b/>
                    <w:color w:val="001A70" w:themeColor="text2"/>
                    <w:sz w:val="16"/>
                  </w:rPr>
                  <w:t xml:space="preserve">Page </w:t>
                </w:r>
                <w:r w:rsidR="00C64B9E" w:rsidRPr="00E346B5">
                  <w:rPr>
                    <w:b/>
                    <w:bCs/>
                    <w:color w:val="001A70" w:themeColor="text2"/>
                    <w:sz w:val="24"/>
                    <w:szCs w:val="24"/>
                  </w:rPr>
                  <w:fldChar w:fldCharType="begin"/>
                </w:r>
                <w:r w:rsidR="00C64B9E" w:rsidRPr="00E346B5">
                  <w:rPr>
                    <w:b/>
                    <w:bCs/>
                    <w:color w:val="001A70" w:themeColor="text2"/>
                    <w:sz w:val="16"/>
                  </w:rPr>
                  <w:instrText xml:space="preserve"> PAGE </w:instrText>
                </w:r>
                <w:r w:rsidR="00C64B9E" w:rsidRPr="00E346B5">
                  <w:rPr>
                    <w:b/>
                    <w:bCs/>
                    <w:color w:val="001A70" w:themeColor="text2"/>
                    <w:sz w:val="24"/>
                    <w:szCs w:val="24"/>
                  </w:rPr>
                  <w:fldChar w:fldCharType="separate"/>
                </w:r>
                <w:r w:rsidR="00C15180">
                  <w:rPr>
                    <w:b/>
                    <w:bCs/>
                    <w:noProof/>
                    <w:color w:val="001A70" w:themeColor="text2"/>
                    <w:sz w:val="16"/>
                  </w:rPr>
                  <w:t>1</w:t>
                </w:r>
                <w:r w:rsidR="00C64B9E" w:rsidRPr="00E346B5">
                  <w:rPr>
                    <w:b/>
                    <w:bCs/>
                    <w:color w:val="001A70" w:themeColor="text2"/>
                    <w:sz w:val="24"/>
                    <w:szCs w:val="24"/>
                  </w:rPr>
                  <w:fldChar w:fldCharType="end"/>
                </w:r>
                <w:r w:rsidR="00C64B9E" w:rsidRPr="00E346B5">
                  <w:rPr>
                    <w:b/>
                    <w:color w:val="001A70" w:themeColor="text2"/>
                    <w:sz w:val="16"/>
                  </w:rPr>
                  <w:t xml:space="preserve"> of </w:t>
                </w:r>
                <w:r w:rsidR="00C64B9E" w:rsidRPr="00E346B5">
                  <w:rPr>
                    <w:b/>
                    <w:bCs/>
                    <w:color w:val="001A70" w:themeColor="text2"/>
                    <w:sz w:val="24"/>
                    <w:szCs w:val="24"/>
                  </w:rPr>
                  <w:fldChar w:fldCharType="begin"/>
                </w:r>
                <w:r w:rsidR="00C64B9E" w:rsidRPr="00E346B5">
                  <w:rPr>
                    <w:b/>
                    <w:bCs/>
                    <w:color w:val="001A70" w:themeColor="text2"/>
                    <w:sz w:val="16"/>
                  </w:rPr>
                  <w:instrText xml:space="preserve"> NUMPAGES  </w:instrText>
                </w:r>
                <w:r w:rsidR="00C64B9E" w:rsidRPr="00E346B5">
                  <w:rPr>
                    <w:b/>
                    <w:bCs/>
                    <w:color w:val="001A70" w:themeColor="text2"/>
                    <w:sz w:val="24"/>
                    <w:szCs w:val="24"/>
                  </w:rPr>
                  <w:fldChar w:fldCharType="separate"/>
                </w:r>
                <w:r w:rsidR="00C15180">
                  <w:rPr>
                    <w:b/>
                    <w:bCs/>
                    <w:noProof/>
                    <w:color w:val="001A70" w:themeColor="text2"/>
                    <w:sz w:val="16"/>
                  </w:rPr>
                  <w:t>3</w:t>
                </w:r>
                <w:r w:rsidR="00C64B9E" w:rsidRPr="00E346B5">
                  <w:rPr>
                    <w:b/>
                    <w:bCs/>
                    <w:color w:val="001A70" w:themeColor="text2"/>
                    <w:sz w:val="24"/>
                    <w:szCs w:val="24"/>
                  </w:rPr>
                  <w:fldChar w:fldCharType="end"/>
                </w:r>
              </w:sdtContent>
            </w:sdt>
          </w:sdtContent>
        </w:sdt>
        <w:r w:rsidR="00C64B9E" w:rsidRPr="00E346B5">
          <w:rPr>
            <w:b/>
            <w:color w:val="001A70" w:themeColor="text2"/>
            <w:sz w:val="16"/>
          </w:rPr>
          <w:t xml:space="preserve"> </w:t>
        </w:r>
      </w:sdtContent>
    </w:sdt>
  </w:p>
  <w:p w14:paraId="28DD59F2" w14:textId="5DFEF251" w:rsidR="00C64B9E" w:rsidRDefault="00C15180" w:rsidP="00C64B9E">
    <w:pPr>
      <w:pStyle w:val="Footer"/>
      <w:rPr>
        <w:color w:val="7D2248" w:themeColor="hyperlink"/>
        <w:sz w:val="16"/>
        <w:szCs w:val="18"/>
        <w:u w:val="single"/>
      </w:rPr>
    </w:pPr>
    <w:hyperlink r:id="rId1" w:history="1">
      <w:r w:rsidR="00C64B9E" w:rsidRPr="00AD581A">
        <w:rPr>
          <w:color w:val="7D2248" w:themeColor="hyperlink"/>
          <w:sz w:val="16"/>
          <w:szCs w:val="18"/>
          <w:u w:val="single"/>
        </w:rPr>
        <w:t>MBS Online</w:t>
      </w:r>
    </w:hyperlink>
  </w:p>
  <w:p w14:paraId="18A2F86D" w14:textId="0623FEFB" w:rsidR="005B7573" w:rsidRPr="005B7573" w:rsidRDefault="005B7573" w:rsidP="005B7573">
    <w:pPr>
      <w:tabs>
        <w:tab w:val="center" w:pos="4513"/>
        <w:tab w:val="right" w:pos="9026"/>
      </w:tabs>
      <w:spacing w:after="0" w:line="240" w:lineRule="auto"/>
      <w:rPr>
        <w:color w:val="001A70" w:themeColor="text2"/>
        <w:sz w:val="16"/>
      </w:rPr>
    </w:pPr>
    <w:bookmarkStart w:id="4" w:name="_Hlk6912109"/>
    <w:bookmarkStart w:id="5" w:name="_Hlk6912110"/>
    <w:r w:rsidRPr="005B7573">
      <w:rPr>
        <w:color w:val="001A70" w:themeColor="text2"/>
        <w:sz w:val="16"/>
      </w:rPr>
      <w:t>Last updated</w:t>
    </w:r>
    <w:r>
      <w:rPr>
        <w:color w:val="001A70" w:themeColor="text2"/>
        <w:sz w:val="16"/>
      </w:rPr>
      <w:t xml:space="preserve"> </w:t>
    </w:r>
    <w:r w:rsidR="001E3873">
      <w:rPr>
        <w:color w:val="001A70" w:themeColor="text2"/>
        <w:sz w:val="16"/>
      </w:rPr>
      <w:t>–</w:t>
    </w:r>
    <w:r>
      <w:rPr>
        <w:color w:val="001A70" w:themeColor="text2"/>
        <w:sz w:val="16"/>
      </w:rPr>
      <w:t xml:space="preserve"> </w:t>
    </w:r>
    <w:r w:rsidR="001C7FC3">
      <w:rPr>
        <w:color w:val="001A70" w:themeColor="text2"/>
        <w:sz w:val="16"/>
      </w:rPr>
      <w:t xml:space="preserve">2 October </w:t>
    </w:r>
    <w:r w:rsidR="00E346B5" w:rsidRPr="00D203CB">
      <w:rPr>
        <w:color w:val="001A70" w:themeColor="text2"/>
        <w:sz w:val="16"/>
      </w:rPr>
      <w:t>2019</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DD7" w14:textId="77777777" w:rsidR="001C7FC3" w:rsidRDefault="001C7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CB95" w14:textId="77777777" w:rsidR="00E00453" w:rsidRDefault="00E00453" w:rsidP="006D1088">
      <w:pPr>
        <w:spacing w:after="0" w:line="240" w:lineRule="auto"/>
      </w:pPr>
      <w:r>
        <w:separator/>
      </w:r>
    </w:p>
  </w:footnote>
  <w:footnote w:type="continuationSeparator" w:id="0">
    <w:p w14:paraId="4D44BAC2" w14:textId="77777777" w:rsidR="00E00453" w:rsidRDefault="00E0045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7E30" w14:textId="77777777" w:rsidR="001C7FC3" w:rsidRDefault="001C7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D3AC" w14:textId="420FE883" w:rsidR="00897D38" w:rsidRDefault="00906169">
    <w:pPr>
      <w:pStyle w:val="Header"/>
    </w:pPr>
    <w:r w:rsidRPr="00906169">
      <w:rPr>
        <w:noProof/>
        <w:lang w:eastAsia="en-AU"/>
      </w:rPr>
      <mc:AlternateContent>
        <mc:Choice Requires="wps">
          <w:drawing>
            <wp:anchor distT="0" distB="0" distL="114300" distR="114300" simplePos="0" relativeHeight="251659776" behindDoc="0" locked="0" layoutInCell="1" allowOverlap="1" wp14:anchorId="7757D423" wp14:editId="0CD1C107">
              <wp:simplePos x="0" y="0"/>
              <wp:positionH relativeFrom="column">
                <wp:align>right</wp:align>
              </wp:positionH>
              <wp:positionV relativeFrom="paragraph">
                <wp:posOffset>-288646</wp:posOffset>
              </wp:positionV>
              <wp:extent cx="2912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14:paraId="3D27FC89" w14:textId="14A51A67" w:rsidR="00906169" w:rsidRDefault="00906169"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757D423" id="Title 3" o:spid="_x0000_s1026" style="position:absolute;margin-left:178.1pt;margin-top:-22.75pt;width:229.3pt;height:101.2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" filled="f" stroked="f">
              <v:path arrowok="t"/>
              <o:lock v:ext="edit" grouping="t"/>
              <v:textbox>
                <w:txbxContent>
                  <w:p w14:paraId="3D27FC89" w14:textId="14A51A67" w:rsidR="00906169" w:rsidRDefault="00906169"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00897D38" w:rsidRPr="006D1088">
      <w:rPr>
        <w:noProof/>
        <w:lang w:eastAsia="en-AU"/>
      </w:rPr>
      <w:drawing>
        <wp:anchor distT="0" distB="0" distL="114300" distR="114300" simplePos="0" relativeHeight="251657728" behindDoc="1" locked="0" layoutInCell="1" allowOverlap="1" wp14:anchorId="41D1303B" wp14:editId="471146B9">
          <wp:simplePos x="0" y="0"/>
          <wp:positionH relativeFrom="page">
            <wp:posOffset>-38100</wp:posOffset>
          </wp:positionH>
          <wp:positionV relativeFrom="paragraph">
            <wp:posOffset>-486410</wp:posOffset>
          </wp:positionV>
          <wp:extent cx="7642860" cy="16109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F417" w14:textId="77777777" w:rsidR="001C7FC3" w:rsidRDefault="001C7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41D5DB1"/>
    <w:multiLevelType w:val="hybridMultilevel"/>
    <w:tmpl w:val="30BC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E5D88"/>
    <w:multiLevelType w:val="hybridMultilevel"/>
    <w:tmpl w:val="6E4CD816"/>
    <w:lvl w:ilvl="0" w:tplc="4712F792">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8C407D"/>
    <w:multiLevelType w:val="hybridMultilevel"/>
    <w:tmpl w:val="18A82A3A"/>
    <w:lvl w:ilvl="0" w:tplc="508C9F40">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7B66D3"/>
    <w:multiLevelType w:val="hybridMultilevel"/>
    <w:tmpl w:val="EF2040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
  </w:num>
  <w:num w:numId="4">
    <w:abstractNumId w:val="3"/>
  </w:num>
  <w:num w:numId="5">
    <w:abstractNumId w:val="5"/>
  </w:num>
  <w:num w:numId="6">
    <w:abstractNumId w:val="6"/>
  </w:num>
  <w:num w:numId="7">
    <w:abstractNumId w:val="0"/>
  </w:num>
  <w:num w:numId="8">
    <w:abstractNumId w:val="6"/>
  </w:num>
  <w:num w:numId="9">
    <w:abstractNumId w:val="3"/>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3B"/>
    <w:rsid w:val="00017D5D"/>
    <w:rsid w:val="0003040F"/>
    <w:rsid w:val="00032635"/>
    <w:rsid w:val="00032AB6"/>
    <w:rsid w:val="00037F63"/>
    <w:rsid w:val="000A43C6"/>
    <w:rsid w:val="000B01AE"/>
    <w:rsid w:val="000B1C83"/>
    <w:rsid w:val="000E7D2B"/>
    <w:rsid w:val="000F7BA7"/>
    <w:rsid w:val="00101643"/>
    <w:rsid w:val="00127D0A"/>
    <w:rsid w:val="00143450"/>
    <w:rsid w:val="001620B2"/>
    <w:rsid w:val="00181B52"/>
    <w:rsid w:val="001C39EA"/>
    <w:rsid w:val="001C7FC3"/>
    <w:rsid w:val="001D7BC7"/>
    <w:rsid w:val="001E3873"/>
    <w:rsid w:val="001E4AAE"/>
    <w:rsid w:val="001F26DB"/>
    <w:rsid w:val="00215F3B"/>
    <w:rsid w:val="00225FE2"/>
    <w:rsid w:val="002360FA"/>
    <w:rsid w:val="00237393"/>
    <w:rsid w:val="00237BE8"/>
    <w:rsid w:val="00240B49"/>
    <w:rsid w:val="00244C4C"/>
    <w:rsid w:val="002746BB"/>
    <w:rsid w:val="0027565A"/>
    <w:rsid w:val="0029176A"/>
    <w:rsid w:val="002961FB"/>
    <w:rsid w:val="00296DD0"/>
    <w:rsid w:val="002A3C7C"/>
    <w:rsid w:val="002D02F1"/>
    <w:rsid w:val="00322ACB"/>
    <w:rsid w:val="00332D5E"/>
    <w:rsid w:val="0033632B"/>
    <w:rsid w:val="003370DF"/>
    <w:rsid w:val="00352321"/>
    <w:rsid w:val="00354816"/>
    <w:rsid w:val="00363A31"/>
    <w:rsid w:val="00372A70"/>
    <w:rsid w:val="0038280B"/>
    <w:rsid w:val="003A3DE7"/>
    <w:rsid w:val="003A7902"/>
    <w:rsid w:val="003D3DF9"/>
    <w:rsid w:val="003D5CEF"/>
    <w:rsid w:val="003E1487"/>
    <w:rsid w:val="003E5FE6"/>
    <w:rsid w:val="0040562E"/>
    <w:rsid w:val="0041360F"/>
    <w:rsid w:val="00432212"/>
    <w:rsid w:val="004327F7"/>
    <w:rsid w:val="00464E24"/>
    <w:rsid w:val="00466A32"/>
    <w:rsid w:val="00470DD5"/>
    <w:rsid w:val="004762A0"/>
    <w:rsid w:val="004775B0"/>
    <w:rsid w:val="00484BB1"/>
    <w:rsid w:val="00492DDB"/>
    <w:rsid w:val="00493BC3"/>
    <w:rsid w:val="004A36D7"/>
    <w:rsid w:val="004C1290"/>
    <w:rsid w:val="00520161"/>
    <w:rsid w:val="00551374"/>
    <w:rsid w:val="00562A42"/>
    <w:rsid w:val="005657CF"/>
    <w:rsid w:val="005721A7"/>
    <w:rsid w:val="005A3E55"/>
    <w:rsid w:val="005A492B"/>
    <w:rsid w:val="005B7573"/>
    <w:rsid w:val="005D3386"/>
    <w:rsid w:val="005F70A1"/>
    <w:rsid w:val="006054CC"/>
    <w:rsid w:val="00623477"/>
    <w:rsid w:val="00627DF5"/>
    <w:rsid w:val="00630329"/>
    <w:rsid w:val="00671AE2"/>
    <w:rsid w:val="00681667"/>
    <w:rsid w:val="006A2FD2"/>
    <w:rsid w:val="006B2891"/>
    <w:rsid w:val="006B6DD9"/>
    <w:rsid w:val="006C5021"/>
    <w:rsid w:val="006D1088"/>
    <w:rsid w:val="006F5785"/>
    <w:rsid w:val="007020BF"/>
    <w:rsid w:val="00712091"/>
    <w:rsid w:val="00712F33"/>
    <w:rsid w:val="00721396"/>
    <w:rsid w:val="00723C6B"/>
    <w:rsid w:val="0073257C"/>
    <w:rsid w:val="00736D31"/>
    <w:rsid w:val="00763E5B"/>
    <w:rsid w:val="00774C9D"/>
    <w:rsid w:val="007A232E"/>
    <w:rsid w:val="007C304E"/>
    <w:rsid w:val="007C343E"/>
    <w:rsid w:val="007C7792"/>
    <w:rsid w:val="007F463D"/>
    <w:rsid w:val="0080635A"/>
    <w:rsid w:val="00814AE2"/>
    <w:rsid w:val="00820EBE"/>
    <w:rsid w:val="00821361"/>
    <w:rsid w:val="00852651"/>
    <w:rsid w:val="00884022"/>
    <w:rsid w:val="00897D38"/>
    <w:rsid w:val="008A71B5"/>
    <w:rsid w:val="008A72FC"/>
    <w:rsid w:val="008B049A"/>
    <w:rsid w:val="008B2961"/>
    <w:rsid w:val="008C370C"/>
    <w:rsid w:val="008E48B0"/>
    <w:rsid w:val="00906169"/>
    <w:rsid w:val="00911BCA"/>
    <w:rsid w:val="009342F2"/>
    <w:rsid w:val="00946888"/>
    <w:rsid w:val="009508F0"/>
    <w:rsid w:val="00952A5A"/>
    <w:rsid w:val="00993FAA"/>
    <w:rsid w:val="009A4B09"/>
    <w:rsid w:val="009A4D5D"/>
    <w:rsid w:val="009C49FB"/>
    <w:rsid w:val="009E7FAC"/>
    <w:rsid w:val="00A040C1"/>
    <w:rsid w:val="00A12B19"/>
    <w:rsid w:val="00A44582"/>
    <w:rsid w:val="00A44E96"/>
    <w:rsid w:val="00A80234"/>
    <w:rsid w:val="00A813DD"/>
    <w:rsid w:val="00AB2425"/>
    <w:rsid w:val="00AC679F"/>
    <w:rsid w:val="00AD2DB9"/>
    <w:rsid w:val="00AD581A"/>
    <w:rsid w:val="00AE0D93"/>
    <w:rsid w:val="00B23A4C"/>
    <w:rsid w:val="00B3107B"/>
    <w:rsid w:val="00B31C3E"/>
    <w:rsid w:val="00B344DF"/>
    <w:rsid w:val="00B472BF"/>
    <w:rsid w:val="00B623B0"/>
    <w:rsid w:val="00B63FB9"/>
    <w:rsid w:val="00B70DD3"/>
    <w:rsid w:val="00BA657E"/>
    <w:rsid w:val="00BC4E46"/>
    <w:rsid w:val="00BD5224"/>
    <w:rsid w:val="00BD76E1"/>
    <w:rsid w:val="00C060D4"/>
    <w:rsid w:val="00C13B16"/>
    <w:rsid w:val="00C15180"/>
    <w:rsid w:val="00C208FC"/>
    <w:rsid w:val="00C33A20"/>
    <w:rsid w:val="00C50A47"/>
    <w:rsid w:val="00C64B9E"/>
    <w:rsid w:val="00C72C2D"/>
    <w:rsid w:val="00C8223A"/>
    <w:rsid w:val="00C831ED"/>
    <w:rsid w:val="00C86856"/>
    <w:rsid w:val="00CA743D"/>
    <w:rsid w:val="00D203CB"/>
    <w:rsid w:val="00D24276"/>
    <w:rsid w:val="00D30B91"/>
    <w:rsid w:val="00D33A0D"/>
    <w:rsid w:val="00D37FD2"/>
    <w:rsid w:val="00D46BFF"/>
    <w:rsid w:val="00D640CC"/>
    <w:rsid w:val="00D76659"/>
    <w:rsid w:val="00DA6D06"/>
    <w:rsid w:val="00DB1343"/>
    <w:rsid w:val="00DB1A46"/>
    <w:rsid w:val="00DD3E9E"/>
    <w:rsid w:val="00DE22E2"/>
    <w:rsid w:val="00DF283A"/>
    <w:rsid w:val="00E00453"/>
    <w:rsid w:val="00E100BC"/>
    <w:rsid w:val="00E25A7E"/>
    <w:rsid w:val="00E346B5"/>
    <w:rsid w:val="00E401CE"/>
    <w:rsid w:val="00E60F91"/>
    <w:rsid w:val="00E86B6A"/>
    <w:rsid w:val="00E926FF"/>
    <w:rsid w:val="00E95C64"/>
    <w:rsid w:val="00ED0607"/>
    <w:rsid w:val="00EF7676"/>
    <w:rsid w:val="00F074CE"/>
    <w:rsid w:val="00F11625"/>
    <w:rsid w:val="00F333A7"/>
    <w:rsid w:val="00F33706"/>
    <w:rsid w:val="00F37C06"/>
    <w:rsid w:val="00F46D9B"/>
    <w:rsid w:val="00F54658"/>
    <w:rsid w:val="00F8662A"/>
    <w:rsid w:val="00FC7546"/>
    <w:rsid w:val="00FD389F"/>
    <w:rsid w:val="00FF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2B878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7C7792"/>
    <w:pPr>
      <w:keepNext/>
      <w:keepLines/>
      <w:spacing w:before="240" w:after="24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7C7792"/>
    <w:pPr>
      <w:spacing w:before="120" w:line="276" w:lineRule="auto"/>
      <w:outlineLvl w:val="1"/>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792"/>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484BB1"/>
    <w:pPr>
      <w:numPr>
        <w:numId w:val="11"/>
      </w:numPr>
    </w:pPr>
  </w:style>
  <w:style w:type="character" w:customStyle="1" w:styleId="Heading2Char">
    <w:name w:val="Heading 2 Char"/>
    <w:basedOn w:val="DefaultParagraphFont"/>
    <w:link w:val="Heading2"/>
    <w:rsid w:val="007C7792"/>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A3DE7"/>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A3DE7"/>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9A4D5D"/>
    <w:pPr>
      <w:numPr>
        <w:numId w:val="3"/>
      </w:numPr>
      <w:ind w:left="360"/>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Tablea">
    <w:name w:val="Table(a)"/>
    <w:aliases w:val="ta"/>
    <w:basedOn w:val="Normal"/>
    <w:rsid w:val="008B2961"/>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8B2961"/>
    <w:pPr>
      <w:spacing w:before="60" w:after="0" w:line="240" w:lineRule="atLeast"/>
    </w:pPr>
    <w:rPr>
      <w:rFonts w:ascii="Times New Roman" w:eastAsia="Times New Roman" w:hAnsi="Times New Roman" w:cs="Times New Roman"/>
      <w:szCs w:val="20"/>
      <w:lang w:eastAsia="en-AU"/>
    </w:rPr>
  </w:style>
  <w:style w:type="paragraph" w:customStyle="1" w:styleId="CTA1a">
    <w:name w:val="CTA 1(a)"/>
    <w:basedOn w:val="Normal"/>
    <w:rsid w:val="000F7BA7"/>
    <w:pPr>
      <w:tabs>
        <w:tab w:val="right" w:pos="414"/>
      </w:tabs>
      <w:spacing w:before="40" w:after="0" w:line="240" w:lineRule="atLeast"/>
      <w:ind w:left="675" w:hanging="675"/>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health-workforce-locator/health-workforce-locato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2.xml><?xml version="1.0" encoding="utf-8"?>
<ds:datastoreItem xmlns:ds="http://schemas.openxmlformats.org/officeDocument/2006/customXml" ds:itemID="{08D17A4E-83B6-4E43-9FFC-1D800253C139}">
  <ds:schemaRefs>
    <ds:schemaRef ds:uri="http://schemas.microsoft.com/sharepoint/v4"/>
    <ds:schemaRef ds:uri="http://schemas.openxmlformats.org/package/2006/metadata/core-properties"/>
    <ds:schemaRef ds:uri="http://purl.org/dc/terms/"/>
    <ds:schemaRef ds:uri="F2369729-DF80-4B8A-A689-02F021C983F4"/>
    <ds:schemaRef ds:uri="http://schemas.microsoft.com/office/2006/documentManagement/types"/>
    <ds:schemaRef ds:uri="http://schemas.microsoft.com/office/2006/metadata/properties"/>
    <ds:schemaRef ds:uri="http://schemas.microsoft.com/office/infopath/2007/PartnerControls"/>
    <ds:schemaRef ds:uri="http://purl.org/dc/elements/1.1/"/>
    <ds:schemaRef ds:uri="81348d9c-1cc5-4b3b-8e15-6dd12d470b88"/>
    <ds:schemaRef ds:uri="http://www.w3.org/XML/1998/namespace"/>
    <ds:schemaRef ds:uri="http://purl.org/dc/dcmitype/"/>
  </ds:schemaRefs>
</ds:datastoreItem>
</file>

<file path=customXml/itemProps3.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847D9-8848-475C-A219-334C8E5E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573</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2019-10-01T05:01:00Z</dcterms:created>
  <dcterms:modified xsi:type="dcterms:W3CDTF">2019-10-01T05:01:00Z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