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726CB515" w:rsidR="00C72C2D" w:rsidRPr="00702D01" w:rsidRDefault="003F2E62" w:rsidP="00962435">
      <w:pPr>
        <w:pStyle w:val="Heading1"/>
      </w:pPr>
      <w:bookmarkStart w:id="0" w:name="_GoBack"/>
      <w:bookmarkEnd w:id="0"/>
      <w:r w:rsidRPr="00702D01">
        <w:t xml:space="preserve">Changes to </w:t>
      </w:r>
      <w:r w:rsidR="00933CFA">
        <w:t>Abdominal Wall Hernia</w:t>
      </w:r>
      <w:r w:rsidR="00933CFA" w:rsidRPr="00702D01">
        <w:t xml:space="preserve"> </w:t>
      </w:r>
      <w:r w:rsidR="00654A34">
        <w:t xml:space="preserve">procedure </w:t>
      </w:r>
      <w:r w:rsidR="00702D01" w:rsidRPr="00702D01">
        <w:t>MBS services - Reference G</w:t>
      </w:r>
      <w:r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69AEEC7A" w14:textId="1E008DF7" w:rsidR="00FA7AAF" w:rsidRDefault="00FA7AAF" w:rsidP="00C85BCE">
      <w:pPr>
        <w:pStyle w:val="Heading2"/>
        <w:ind w:left="2160" w:hanging="2160"/>
        <w:rPr>
          <w:rStyle w:val="NEWItemNumber"/>
        </w:rPr>
      </w:pPr>
      <w:bookmarkStart w:id="1" w:name="_Hlk10794542"/>
      <w:r w:rsidRPr="00561D56">
        <w:rPr>
          <w:szCs w:val="28"/>
        </w:rPr>
        <w:t>New items:</w:t>
      </w:r>
      <w:r w:rsidRPr="00C160BC">
        <w:rPr>
          <w:szCs w:val="28"/>
        </w:rPr>
        <w:tab/>
      </w:r>
      <w:r w:rsidR="00814E9B">
        <w:rPr>
          <w:szCs w:val="28"/>
        </w:rPr>
        <w:tab/>
      </w:r>
      <w:r w:rsidR="003435BA">
        <w:rPr>
          <w:rStyle w:val="NEWItemNumber"/>
        </w:rPr>
        <w:t xml:space="preserve">30648, </w:t>
      </w:r>
      <w:r w:rsidR="003435BA" w:rsidRPr="00F66C7C">
        <w:rPr>
          <w:rStyle w:val="NEWItemNumber"/>
        </w:rPr>
        <w:t>30651</w:t>
      </w:r>
      <w:r w:rsidR="003435BA">
        <w:rPr>
          <w:rStyle w:val="NEWItemNumber"/>
        </w:rPr>
        <w:t>,</w:t>
      </w:r>
      <w:r w:rsidR="003435BA" w:rsidRPr="00F66C7C">
        <w:rPr>
          <w:rStyle w:val="NEWItemNumber"/>
        </w:rPr>
        <w:t xml:space="preserve"> 30652</w:t>
      </w:r>
      <w:r w:rsidR="003435BA">
        <w:rPr>
          <w:rStyle w:val="NEWItemNumber"/>
        </w:rPr>
        <w:t xml:space="preserve">, </w:t>
      </w:r>
      <w:r w:rsidR="003435BA" w:rsidRPr="00F66C7C">
        <w:rPr>
          <w:rStyle w:val="NEWItemNumber"/>
        </w:rPr>
        <w:t>30655</w:t>
      </w:r>
      <w:r w:rsidR="003435BA">
        <w:rPr>
          <w:rStyle w:val="NEWItemNumber"/>
        </w:rPr>
        <w:t>,</w:t>
      </w:r>
      <w:r w:rsidR="00CA6C70">
        <w:rPr>
          <w:rStyle w:val="NEWItemNumber"/>
        </w:rPr>
        <w:t xml:space="preserve"> </w:t>
      </w:r>
      <w:r w:rsidR="003435BA">
        <w:rPr>
          <w:rStyle w:val="NEWItemNumber"/>
        </w:rPr>
        <w:t>30657</w:t>
      </w:r>
    </w:p>
    <w:p w14:paraId="79F65147" w14:textId="43B039E9" w:rsidR="00933CFA" w:rsidRPr="00933CFA" w:rsidRDefault="00933CFA" w:rsidP="00933CFA">
      <w:pPr>
        <w:rPr>
          <w:noProof/>
          <w:color w:val="001A70" w:themeColor="text2"/>
          <w:sz w:val="28"/>
          <w:szCs w:val="28"/>
        </w:rPr>
      </w:pPr>
      <w:r w:rsidRPr="00933CFA">
        <w:rPr>
          <w:noProof/>
          <w:color w:val="001A70" w:themeColor="text2"/>
          <w:sz w:val="28"/>
          <w:szCs w:val="28"/>
        </w:rPr>
        <w:t>Amended items:</w:t>
      </w:r>
      <w:r>
        <w:rPr>
          <w:noProof/>
          <w:color w:val="001A70" w:themeColor="text2"/>
          <w:sz w:val="28"/>
          <w:szCs w:val="28"/>
        </w:rPr>
        <w:tab/>
      </w:r>
      <w:r>
        <w:rPr>
          <w:noProof/>
          <w:color w:val="001A70" w:themeColor="text2"/>
          <w:sz w:val="28"/>
          <w:szCs w:val="28"/>
        </w:rPr>
        <w:tab/>
      </w:r>
      <w:r w:rsidRPr="00933CFA">
        <w:rPr>
          <w:rStyle w:val="AmendedItemNumber"/>
          <w:sz w:val="28"/>
          <w:szCs w:val="28"/>
        </w:rPr>
        <w:t>30621</w:t>
      </w:r>
      <w:r>
        <w:rPr>
          <w:noProof/>
          <w:color w:val="001A70" w:themeColor="text2"/>
          <w:sz w:val="28"/>
          <w:szCs w:val="28"/>
        </w:rPr>
        <w:t xml:space="preserve"> </w:t>
      </w:r>
    </w:p>
    <w:p w14:paraId="126286FF" w14:textId="029A82AF" w:rsidR="00365CEC" w:rsidRPr="00814E9B" w:rsidRDefault="00FA7AAF" w:rsidP="00814E9B">
      <w:pPr>
        <w:pStyle w:val="Heading2"/>
        <w:ind w:left="2880" w:hanging="2880"/>
        <w:rPr>
          <w:rStyle w:val="BookTitle"/>
          <w:rFonts w:ascii="Arial" w:hAnsi="Arial"/>
          <w:bCs w:val="0"/>
          <w:i w:val="0"/>
          <w:iCs w:val="0"/>
          <w:color w:val="FFFFFF" w:themeColor="background1"/>
          <w:spacing w:val="0"/>
          <w:sz w:val="28"/>
          <w:u w:color="006341" w:themeColor="accent1"/>
          <w:shd w:val="clear" w:color="auto" w:fill="A72B2A" w:themeFill="accent6"/>
        </w:rPr>
      </w:pPr>
      <w:r w:rsidRPr="00561D56">
        <w:rPr>
          <w:szCs w:val="28"/>
        </w:rPr>
        <w:t>Deleted items:</w:t>
      </w:r>
      <w:r w:rsidRPr="00C160BC">
        <w:rPr>
          <w:szCs w:val="28"/>
        </w:rPr>
        <w:t xml:space="preserve"> </w:t>
      </w:r>
      <w:r w:rsidRPr="00C160BC">
        <w:rPr>
          <w:szCs w:val="28"/>
        </w:rPr>
        <w:tab/>
      </w:r>
      <w:r w:rsidR="003435BA" w:rsidRPr="00F66C7C">
        <w:rPr>
          <w:rStyle w:val="DeletedItemNumber"/>
        </w:rPr>
        <w:t xml:space="preserve">30403, 30405, </w:t>
      </w:r>
      <w:r w:rsidR="00C85BCE">
        <w:rPr>
          <w:rStyle w:val="DeletedItemNumber"/>
        </w:rPr>
        <w:t>3</w:t>
      </w:r>
      <w:bookmarkEnd w:id="1"/>
      <w:r w:rsidR="00933CFA">
        <w:rPr>
          <w:rStyle w:val="DeletedItemNumber"/>
        </w:rPr>
        <w:t>0609, 30614</w:t>
      </w:r>
    </w:p>
    <w:p w14:paraId="4E3497D9" w14:textId="52EF7CE9" w:rsidR="00F625C9" w:rsidRDefault="00F625C9" w:rsidP="00F625C9">
      <w:pPr>
        <w:pStyle w:val="Heading2"/>
      </w:pPr>
      <w:r w:rsidRPr="00520161">
        <w:t>Revised structure</w:t>
      </w:r>
    </w:p>
    <w:p w14:paraId="67F302FC" w14:textId="35ABE3CB" w:rsidR="0078238A" w:rsidRPr="002C2303" w:rsidRDefault="001367D7" w:rsidP="002C2303">
      <w:pPr>
        <w:pStyle w:val="ListParagraph"/>
        <w:numPr>
          <w:ilvl w:val="0"/>
          <w:numId w:val="1"/>
        </w:numPr>
        <w:rPr>
          <w:b/>
        </w:rPr>
      </w:pPr>
      <w:r>
        <w:rPr>
          <w:b/>
        </w:rPr>
        <w:t>6</w:t>
      </w:r>
      <w:r w:rsidR="00384E0E">
        <w:rPr>
          <w:b/>
        </w:rPr>
        <w:t xml:space="preserve"> July 2021</w:t>
      </w:r>
      <w:r w:rsidR="0078238A">
        <w:rPr>
          <w:b/>
        </w:rPr>
        <w:t xml:space="preserve"> update: this factsheet now includes the final item descriptors and fees (inclusive of 1 July 2021 indexation) for</w:t>
      </w:r>
      <w:r w:rsidR="00145D41">
        <w:rPr>
          <w:b/>
        </w:rPr>
        <w:t xml:space="preserve"> the new and amended</w:t>
      </w:r>
      <w:r w:rsidR="0078238A">
        <w:rPr>
          <w:b/>
        </w:rPr>
        <w:t xml:space="preserve"> items listed above.</w:t>
      </w:r>
      <w:r w:rsidR="00382354">
        <w:rPr>
          <w:b/>
        </w:rPr>
        <w:t xml:space="preserve"> </w:t>
      </w:r>
      <w:r w:rsidR="002C2303">
        <w:rPr>
          <w:b/>
        </w:rPr>
        <w:t>There were no changes to the item descriptors for these items since the previous update.</w:t>
      </w:r>
    </w:p>
    <w:p w14:paraId="11E0282A" w14:textId="55F53AFA" w:rsidR="00F625C9" w:rsidRDefault="00F625C9" w:rsidP="00F625C9">
      <w:pPr>
        <w:pStyle w:val="ListParagraph"/>
        <w:numPr>
          <w:ilvl w:val="0"/>
          <w:numId w:val="1"/>
        </w:numPr>
      </w:pPr>
      <w:bookmarkStart w:id="2" w:name="_Hlk535506978"/>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1259D4E4" w:rsidR="00847B94" w:rsidRDefault="008D2EF9" w:rsidP="00847B94">
      <w:pPr>
        <w:pStyle w:val="ListParagraph"/>
        <w:numPr>
          <w:ilvl w:val="0"/>
          <w:numId w:val="1"/>
        </w:numPr>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 xml:space="preserve">Oesophageal; Stomach; Liver; Biliary; </w:t>
      </w:r>
      <w:proofErr w:type="spellStart"/>
      <w:r w:rsidR="00847B94" w:rsidRPr="005F586D">
        <w:t>Pancreas;Spleen</w:t>
      </w:r>
      <w:proofErr w:type="spellEnd"/>
      <w:r w:rsidR="00847B94" w:rsidRPr="005F586D">
        <w:t>; Oncology; Lymph Nodes;</w:t>
      </w:r>
      <w:r>
        <w:t xml:space="preserve"> </w:t>
      </w:r>
      <w:r w:rsidR="00847B94" w:rsidRPr="005F586D">
        <w:t>Excisions</w:t>
      </w:r>
      <w:r w:rsidR="003C68EF">
        <w:t xml:space="preserve"> and Bariatric</w:t>
      </w:r>
      <w:r>
        <w:t>.</w:t>
      </w:r>
      <w:r w:rsidR="00847B94" w:rsidRPr="003F2E62">
        <w:t xml:space="preserve"> </w:t>
      </w:r>
    </w:p>
    <w:p w14:paraId="01FF4453" w14:textId="77777777" w:rsidR="008D2EF9" w:rsidRDefault="008D2EF9" w:rsidP="008D2EF9">
      <w:pPr>
        <w:pStyle w:val="ListParagraph"/>
        <w:numPr>
          <w:ilvl w:val="0"/>
          <w:numId w:val="1"/>
        </w:numPr>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2BAF7D8C" w14:textId="664295CA" w:rsidR="003A2EE6" w:rsidRDefault="00F625C9" w:rsidP="003A2EE6">
      <w:pPr>
        <w:pStyle w:val="ListParagraph"/>
        <w:numPr>
          <w:ilvl w:val="0"/>
          <w:numId w:val="1"/>
        </w:numPr>
      </w:pPr>
      <w:r>
        <w:t>From 1 July 2021, billing practices will need to be adjusted to reflect these changes.</w:t>
      </w:r>
    </w:p>
    <w:p w14:paraId="67615E51" w14:textId="77777777" w:rsidR="00F625C9" w:rsidRPr="00432212" w:rsidRDefault="00F625C9" w:rsidP="00F625C9">
      <w:pPr>
        <w:pStyle w:val="Heading2"/>
      </w:pPr>
      <w:r w:rsidRPr="00432212">
        <w:t xml:space="preserve">Patient </w:t>
      </w:r>
      <w:r>
        <w:t>impacts</w:t>
      </w:r>
      <w:r w:rsidRPr="00432212">
        <w:t xml:space="preserve"> </w:t>
      </w:r>
    </w:p>
    <w:p w14:paraId="04D08AE2" w14:textId="7561EA3D" w:rsidR="00F625C9" w:rsidRDefault="00E163A3" w:rsidP="00E163A3">
      <w:bookmarkStart w:id="3" w:name="_Hlk271137"/>
      <w:r w:rsidRPr="00DA097A">
        <w:t>Patients wil</w:t>
      </w:r>
      <w:r>
        <w:t>l receive Medicare rebates for general surgery</w:t>
      </w:r>
      <w:r w:rsidRPr="00DA097A">
        <w:t xml:space="preserve"> services that are clinically appropriate and reflect modern clinical practice. </w:t>
      </w:r>
      <w:r w:rsidRPr="000523EF">
        <w:t>Additionally, patients should no longer receive different Medicare rebates for the same operations as there should be less variation in the items claimed by different providers. In some cases, the changes will help doctors refer patients for the most suitable test/procedure for them.</w:t>
      </w:r>
    </w:p>
    <w:p w14:paraId="5D040629" w14:textId="6F02A6AC" w:rsidR="00F625C9" w:rsidRPr="00114BC8" w:rsidRDefault="00F625C9" w:rsidP="00F625C9">
      <w:pPr>
        <w:pStyle w:val="Heading2"/>
      </w:pPr>
      <w:r w:rsidRPr="00114BC8">
        <w:t>Restrictions or requirements</w:t>
      </w:r>
    </w:p>
    <w:bookmarkEnd w:id="3"/>
    <w:p w14:paraId="4BE87653" w14:textId="6143686C" w:rsidR="00E163A3" w:rsidRDefault="00F625C9" w:rsidP="009F72E2">
      <w:pPr>
        <w:spacing w:line="276" w:lineRule="auto"/>
        <w:rPr>
          <w:rFonts w:ascii="Helvetica" w:hAnsi="Helvetica"/>
          <w:color w:val="222222"/>
        </w:rPr>
      </w:pPr>
      <w:r w:rsidRPr="000523EF">
        <w:t>Providers will need to familiarise themselves</w:t>
      </w:r>
      <w:r w:rsidR="00E163A3" w:rsidRPr="000523EF">
        <w:t xml:space="preserve"> with the changes to the general surgery</w:t>
      </w:r>
      <w:r w:rsidRPr="000523EF">
        <w:t xml:space="preserve"> MBS items, and any associated rules and/or explanatory notes. Providers have a responsibility to ensure that any services they bill to Medicare fully meet the eligibility requirements outlined in the legislation.</w:t>
      </w:r>
    </w:p>
    <w:p w14:paraId="4E05433B" w14:textId="77777777" w:rsidR="00F625C9" w:rsidRPr="00E163A3" w:rsidRDefault="00F625C9" w:rsidP="00F625C9">
      <w:pPr>
        <w:spacing w:line="276" w:lineRule="auto"/>
        <w:rPr>
          <w:rFonts w:ascii="Helvetica" w:hAnsi="Helvetica"/>
          <w:color w:val="222222"/>
        </w:rPr>
      </w:pPr>
    </w:p>
    <w:p w14:paraId="1B05458C" w14:textId="0F2B8EE8" w:rsidR="00AC2975" w:rsidRDefault="00933CFA" w:rsidP="00962435">
      <w:pPr>
        <w:pStyle w:val="Heading1"/>
      </w:pPr>
      <w:r>
        <w:t>Abdominal Wall Hernia</w:t>
      </w:r>
      <w:r w:rsidR="00E163A3">
        <w:t xml:space="preserve"> </w:t>
      </w:r>
      <w:r w:rsidR="00654A34">
        <w:t xml:space="preserve">procedure </w:t>
      </w:r>
      <w:r w:rsidR="00E163A3">
        <w:t>MBS services</w:t>
      </w:r>
      <w:r w:rsidR="00237A74" w:rsidRPr="00962435">
        <w:t xml:space="preserve"> </w:t>
      </w:r>
      <w:r w:rsidR="00AC2975" w:rsidRPr="00962435">
        <w:t>changes</w:t>
      </w:r>
    </w:p>
    <w:p w14:paraId="0DE3ECF9" w14:textId="77777777" w:rsidR="00582A66" w:rsidRPr="00B4266F" w:rsidRDefault="00582A66" w:rsidP="00582A66">
      <w:pPr>
        <w:pStyle w:val="Heading2"/>
        <w:rPr>
          <w:rStyle w:val="AmendedItemNumber"/>
          <w:b w:val="0"/>
          <w:color w:val="001A70" w:themeColor="text2"/>
          <w:shd w:val="clear" w:color="auto" w:fill="auto"/>
        </w:rPr>
      </w:pPr>
      <w:r w:rsidRPr="005D68EF">
        <w:rPr>
          <w:rStyle w:val="NEWItemNumber"/>
        </w:rPr>
        <w:t xml:space="preserve">New item </w:t>
      </w:r>
      <w:r>
        <w:rPr>
          <w:rStyle w:val="NEWItemNumber"/>
        </w:rPr>
        <w:t>30648</w:t>
      </w:r>
      <w:r w:rsidRPr="002672AF">
        <w:rPr>
          <w:rStyle w:val="AmendedItemNumber"/>
          <w:b w:val="0"/>
          <w:color w:val="001A70" w:themeColor="text2"/>
          <w:shd w:val="clear" w:color="auto" w:fill="auto"/>
        </w:rPr>
        <w:t xml:space="preserve"> </w:t>
      </w:r>
      <w:r>
        <w:rPr>
          <w:rStyle w:val="AmendedItemNumber"/>
          <w:b w:val="0"/>
          <w:color w:val="001A70" w:themeColor="text2"/>
          <w:shd w:val="clear" w:color="auto" w:fill="auto"/>
        </w:rPr>
        <w:t xml:space="preserve">Repair of </w:t>
      </w:r>
      <w:r w:rsidRPr="00B4266F">
        <w:rPr>
          <w:rStyle w:val="AmendedItemNumber"/>
          <w:b w:val="0"/>
          <w:color w:val="001A70" w:themeColor="text2"/>
          <w:shd w:val="clear" w:color="auto" w:fill="auto"/>
        </w:rPr>
        <w:t>femoral, inguinal hernia or infantile hydrocele</w:t>
      </w:r>
    </w:p>
    <w:p w14:paraId="7C06B644" w14:textId="722501E7" w:rsidR="00582A66" w:rsidRPr="00D4538C" w:rsidRDefault="00582A66" w:rsidP="00582A66">
      <w:r w:rsidRPr="00D4538C">
        <w:rPr>
          <w:rStyle w:val="Descriptorheader"/>
        </w:rPr>
        <w:lastRenderedPageBreak/>
        <w:t>Overview:</w:t>
      </w:r>
      <w:r w:rsidRPr="00D4538C">
        <w:t xml:space="preserve"> Introducing a new item that combines existing items 30609 (laparoscopic repair of femoral or inguinal hernia) and 30614 (repair of f</w:t>
      </w:r>
      <w:r>
        <w:t xml:space="preserve">emoral, inguinal hernia, </w:t>
      </w:r>
      <w:r w:rsidRPr="00D4538C">
        <w:t xml:space="preserve">infantile hydrocele). </w:t>
      </w:r>
      <w:r>
        <w:t xml:space="preserve">Items 30609 and </w:t>
      </w:r>
      <w:r w:rsidRPr="00D4538C">
        <w:t>30614 will be deleted.</w:t>
      </w:r>
      <w:r>
        <w:t xml:space="preserve"> </w:t>
      </w:r>
    </w:p>
    <w:p w14:paraId="288B362E" w14:textId="6BD1F9E1" w:rsidR="00582A66" w:rsidRPr="00B4266F" w:rsidRDefault="00582A66" w:rsidP="00582A66">
      <w:pPr>
        <w:pStyle w:val="Tabletext"/>
        <w:rPr>
          <w:rFonts w:ascii="Arial" w:eastAsiaTheme="minorEastAsia" w:hAnsi="Arial" w:cstheme="minorBidi"/>
          <w:szCs w:val="21"/>
          <w:lang w:eastAsia="en-US"/>
        </w:rPr>
      </w:pPr>
      <w:r w:rsidRPr="00D4538C">
        <w:rPr>
          <w:rStyle w:val="Descriptorheader"/>
        </w:rPr>
        <w:t>Item Descriptor</w:t>
      </w:r>
      <w:r w:rsidRPr="00B4266F">
        <w:rPr>
          <w:rFonts w:ascii="Arial" w:eastAsiaTheme="minorEastAsia" w:hAnsi="Arial" w:cstheme="minorBidi"/>
          <w:b/>
          <w:bCs/>
          <w:iCs/>
          <w:szCs w:val="21"/>
          <w:lang w:eastAsia="en-US"/>
        </w:rPr>
        <w:t>:</w:t>
      </w:r>
      <w:r w:rsidRPr="00B4266F">
        <w:rPr>
          <w:rFonts w:ascii="Arial" w:eastAsiaTheme="minorEastAsia" w:hAnsi="Arial" w:cstheme="minorBidi"/>
          <w:szCs w:val="21"/>
          <w:lang w:eastAsia="en-US"/>
        </w:rPr>
        <w:t xml:space="preserve"> </w:t>
      </w:r>
      <w:r w:rsidR="00B76F7F" w:rsidRPr="00B76F7F">
        <w:rPr>
          <w:rFonts w:ascii="Arial" w:eastAsiaTheme="minorEastAsia" w:hAnsi="Arial" w:cstheme="minorBidi"/>
          <w:szCs w:val="21"/>
          <w:lang w:eastAsia="en-US"/>
        </w:rPr>
        <w:t>Femoral or inguinal hernia or infantile hydrocele, repair of, by open or minimally invasive approach, on a patient 10 years of age or over, other than a service to which item 30615 or 30651 applies (H) (</w:t>
      </w:r>
      <w:proofErr w:type="spellStart"/>
      <w:r w:rsidR="00B76F7F" w:rsidRPr="00B76F7F">
        <w:rPr>
          <w:rFonts w:ascii="Arial" w:eastAsiaTheme="minorEastAsia" w:hAnsi="Arial" w:cstheme="minorBidi"/>
          <w:szCs w:val="21"/>
          <w:lang w:eastAsia="en-US"/>
        </w:rPr>
        <w:t>Anaes</w:t>
      </w:r>
      <w:proofErr w:type="spellEnd"/>
      <w:r w:rsidR="00B76F7F" w:rsidRPr="00B76F7F">
        <w:rPr>
          <w:rFonts w:ascii="Arial" w:eastAsiaTheme="minorEastAsia" w:hAnsi="Arial" w:cstheme="minorBidi"/>
          <w:szCs w:val="21"/>
          <w:lang w:eastAsia="en-US"/>
        </w:rPr>
        <w:t>.) (Assist.)</w:t>
      </w:r>
    </w:p>
    <w:p w14:paraId="7FAA56B4" w14:textId="77777777" w:rsidR="00582A66" w:rsidRPr="00C85BCE" w:rsidRDefault="00582A66" w:rsidP="00582A66">
      <w:pPr>
        <w:pStyle w:val="Tabletext"/>
        <w:rPr>
          <w:rFonts w:ascii="Arial" w:eastAsiaTheme="minorEastAsia" w:hAnsi="Arial" w:cstheme="minorBidi"/>
          <w:i/>
          <w:szCs w:val="21"/>
          <w:lang w:eastAsia="en-US"/>
        </w:rPr>
      </w:pPr>
    </w:p>
    <w:p w14:paraId="44CD28FB" w14:textId="716C1662" w:rsidR="00582A66" w:rsidRPr="00C85BCE" w:rsidRDefault="00582A66" w:rsidP="00582A66">
      <w:pPr>
        <w:rPr>
          <w:i/>
          <w:noProof/>
        </w:rPr>
      </w:pPr>
      <w:r w:rsidRPr="00D4538C">
        <w:rPr>
          <w:rStyle w:val="Descriptorheader"/>
        </w:rPr>
        <w:t>MBS fee:</w:t>
      </w:r>
      <w:r w:rsidRPr="00C85BCE">
        <w:rPr>
          <w:i/>
          <w:noProof/>
        </w:rPr>
        <w:t xml:space="preserve"> </w:t>
      </w:r>
      <w:r w:rsidRPr="00D4538C">
        <w:t>$</w:t>
      </w:r>
      <w:r w:rsidR="00B76F7F" w:rsidRPr="00B76F7F">
        <w:t>483.35</w:t>
      </w:r>
    </w:p>
    <w:p w14:paraId="40EDF698" w14:textId="4FCBFA9E" w:rsidR="002B378B" w:rsidRDefault="00582A66" w:rsidP="00A254FB">
      <w:pPr>
        <w:spacing w:after="0"/>
        <w:rPr>
          <w:b/>
          <w:noProof/>
        </w:rPr>
      </w:pPr>
      <w:r>
        <w:rPr>
          <w:rStyle w:val="Descriptorheader"/>
        </w:rPr>
        <w:t>PHI Classification</w:t>
      </w:r>
      <w:r w:rsidRPr="00D4538C">
        <w:rPr>
          <w:rStyle w:val="Descriptorheader"/>
        </w:rPr>
        <w:t>:</w:t>
      </w:r>
      <w:r w:rsidRPr="00D4538C">
        <w:rPr>
          <w:b/>
          <w:noProof/>
        </w:rPr>
        <w:t xml:space="preserve"> </w:t>
      </w:r>
      <w:r w:rsidRPr="00D4538C">
        <w:rPr>
          <w:noProof/>
        </w:rPr>
        <w:t>Type A - Surgical patient</w:t>
      </w:r>
      <w:r w:rsidRPr="00D4538C">
        <w:rPr>
          <w:b/>
          <w:noProof/>
        </w:rPr>
        <w:t xml:space="preserve"> </w:t>
      </w:r>
    </w:p>
    <w:p w14:paraId="0DAA0D1D" w14:textId="214E75C8" w:rsidR="00582A66" w:rsidRPr="00D4538C" w:rsidRDefault="00582A66" w:rsidP="00A254FB">
      <w:pPr>
        <w:spacing w:after="0"/>
        <w:rPr>
          <w:noProof/>
        </w:rPr>
      </w:pPr>
      <w:r>
        <w:rPr>
          <w:rStyle w:val="Descriptorheader"/>
        </w:rPr>
        <w:t>Clinical Category</w:t>
      </w:r>
      <w:r w:rsidRPr="00D4538C">
        <w:rPr>
          <w:rStyle w:val="Descriptorheader"/>
        </w:rPr>
        <w:t>:</w:t>
      </w:r>
      <w:r w:rsidRPr="00D4538C">
        <w:rPr>
          <w:b/>
          <w:noProof/>
        </w:rPr>
        <w:t xml:space="preserve"> </w:t>
      </w:r>
      <w:r w:rsidRPr="00D4538C">
        <w:rPr>
          <w:noProof/>
        </w:rPr>
        <w:t>Hernia and appendix</w:t>
      </w:r>
    </w:p>
    <w:p w14:paraId="15162344" w14:textId="77777777" w:rsidR="00582A66" w:rsidRPr="00582A66" w:rsidRDefault="00582A66" w:rsidP="002D5FAC"/>
    <w:p w14:paraId="2F697DD1" w14:textId="77777777" w:rsidR="00582A66" w:rsidRPr="00A20278" w:rsidRDefault="00582A66" w:rsidP="00582A66">
      <w:pPr>
        <w:pStyle w:val="Heading2"/>
      </w:pPr>
      <w:r>
        <w:rPr>
          <w:rStyle w:val="NEWItemNumber"/>
        </w:rPr>
        <w:t>New item 30651</w:t>
      </w:r>
      <w:r w:rsidRPr="00A254FB">
        <w:t xml:space="preserve"> </w:t>
      </w:r>
      <w:r w:rsidRPr="005711E0">
        <w:t>Ventral hernia repair involving primary fascial closure by suture</w:t>
      </w:r>
    </w:p>
    <w:p w14:paraId="7D0C9510" w14:textId="7D84191F" w:rsidR="00582A66" w:rsidRDefault="00582A66" w:rsidP="00582A66">
      <w:pPr>
        <w:spacing w:after="0" w:line="276" w:lineRule="auto"/>
        <w:ind w:right="425"/>
        <w:contextualSpacing/>
      </w:pPr>
      <w:r w:rsidRPr="0070360F">
        <w:rPr>
          <w:rStyle w:val="Descriptorheader"/>
        </w:rPr>
        <w:t>Overview:</w:t>
      </w:r>
      <w:r>
        <w:t xml:space="preserve"> The hernia repair items have been </w:t>
      </w:r>
      <w:r w:rsidR="002E01B6">
        <w:t>revised</w:t>
      </w:r>
      <w:r>
        <w:t xml:space="preserve"> to grade the items by procedure complexity in hernia repair. </w:t>
      </w:r>
      <w:r w:rsidR="002E01B6">
        <w:t>New i</w:t>
      </w:r>
      <w:r>
        <w:t xml:space="preserve">tem 30651 replaces </w:t>
      </w:r>
      <w:r w:rsidR="002E01B6">
        <w:t xml:space="preserve">current </w:t>
      </w:r>
      <w:r>
        <w:t>item 30403.</w:t>
      </w:r>
    </w:p>
    <w:p w14:paraId="66BF745B" w14:textId="77777777" w:rsidR="00582A66" w:rsidRPr="007D2F88" w:rsidRDefault="00582A66" w:rsidP="00582A66">
      <w:pPr>
        <w:spacing w:after="0" w:line="276" w:lineRule="auto"/>
        <w:ind w:right="425"/>
        <w:contextualSpacing/>
        <w:rPr>
          <w:rFonts w:asciiTheme="minorHAnsi" w:hAnsiTheme="minorHAnsi" w:cstheme="minorHAnsi"/>
          <w:szCs w:val="22"/>
        </w:rPr>
      </w:pPr>
    </w:p>
    <w:p w14:paraId="59DFB67A" w14:textId="6923AA78" w:rsidR="00582A66" w:rsidRPr="005711E0" w:rsidRDefault="00582A66" w:rsidP="00A254FB">
      <w:pPr>
        <w:spacing w:after="0"/>
      </w:pPr>
      <w:r w:rsidRPr="0070360F">
        <w:rPr>
          <w:rStyle w:val="Descriptorheader"/>
        </w:rPr>
        <w:t xml:space="preserve">Item Descriptor: </w:t>
      </w:r>
      <w:r w:rsidR="00B76F7F" w:rsidRPr="00B76F7F">
        <w:t xml:space="preserve">Ventral hernia repair involving primary fascial closure by suture, with or without </w:t>
      </w:r>
      <w:proofErr w:type="spellStart"/>
      <w:r w:rsidR="00B76F7F" w:rsidRPr="00B76F7F">
        <w:t>onlay</w:t>
      </w:r>
      <w:proofErr w:type="spellEnd"/>
      <w:r w:rsidR="00B76F7F" w:rsidRPr="00B76F7F">
        <w:t xml:space="preserve"> mesh or insertion of intraperitoneal </w:t>
      </w:r>
      <w:proofErr w:type="spellStart"/>
      <w:r w:rsidR="00B76F7F" w:rsidRPr="00B76F7F">
        <w:t>onlay</w:t>
      </w:r>
      <w:proofErr w:type="spellEnd"/>
      <w:r w:rsidR="00B76F7F" w:rsidRPr="00B76F7F">
        <w:t xml:space="preserve"> mesh repair, without closure of the defect or advancement of the rectus muscle toward the midline, by open or minimally invasive approach, in a patient 10 years of age or over, other than a service to which item 30621, 30655 or 30657 applies (H) (</w:t>
      </w:r>
      <w:proofErr w:type="spellStart"/>
      <w:r w:rsidR="00B76F7F" w:rsidRPr="00B76F7F">
        <w:t>Anaes</w:t>
      </w:r>
      <w:proofErr w:type="spellEnd"/>
      <w:r w:rsidR="00B76F7F" w:rsidRPr="00B76F7F">
        <w:t>.) (Assist.)</w:t>
      </w:r>
    </w:p>
    <w:p w14:paraId="766843FA" w14:textId="77777777" w:rsidR="00582A66" w:rsidRPr="00C85BCE" w:rsidRDefault="00582A66" w:rsidP="00582A66">
      <w:pPr>
        <w:pStyle w:val="Tabletext"/>
        <w:rPr>
          <w:rFonts w:ascii="Arial" w:eastAsiaTheme="minorEastAsia" w:hAnsi="Arial" w:cstheme="minorBidi"/>
          <w:i/>
          <w:szCs w:val="21"/>
          <w:lang w:eastAsia="en-US"/>
        </w:rPr>
      </w:pPr>
    </w:p>
    <w:p w14:paraId="1904CFF9" w14:textId="43C428B7" w:rsidR="00582A66" w:rsidRPr="00A20278" w:rsidRDefault="00582A66" w:rsidP="00582A66">
      <w:pPr>
        <w:rPr>
          <w:rFonts w:asciiTheme="minorHAnsi" w:hAnsiTheme="minorHAnsi" w:cstheme="minorHAnsi"/>
          <w:sz w:val="18"/>
          <w:szCs w:val="18"/>
        </w:rPr>
      </w:pPr>
      <w:r w:rsidRPr="00A20278">
        <w:rPr>
          <w:rStyle w:val="Descriptorheader"/>
        </w:rPr>
        <w:t>MBS fee</w:t>
      </w:r>
      <w:r w:rsidRPr="00A254FB">
        <w:rPr>
          <w:rStyle w:val="Descriptorheader"/>
          <w:sz w:val="20"/>
          <w:szCs w:val="20"/>
        </w:rPr>
        <w:t>:</w:t>
      </w:r>
      <w:r w:rsidRPr="00B76F7F">
        <w:rPr>
          <w:i/>
          <w:noProof/>
          <w:szCs w:val="20"/>
        </w:rPr>
        <w:t xml:space="preserve"> </w:t>
      </w:r>
      <w:r w:rsidRPr="00A254FB">
        <w:rPr>
          <w:rFonts w:asciiTheme="minorHAnsi" w:hAnsiTheme="minorHAnsi" w:cstheme="minorHAnsi"/>
          <w:szCs w:val="20"/>
        </w:rPr>
        <w:t>$</w:t>
      </w:r>
      <w:r w:rsidR="00B76F7F" w:rsidRPr="00A254FB">
        <w:rPr>
          <w:rFonts w:asciiTheme="minorHAnsi" w:hAnsiTheme="minorHAnsi" w:cstheme="minorHAnsi"/>
          <w:szCs w:val="20"/>
        </w:rPr>
        <w:t>542.40</w:t>
      </w:r>
    </w:p>
    <w:p w14:paraId="68AB4A90" w14:textId="3CC92B4F" w:rsidR="00582A66" w:rsidRDefault="00582A66" w:rsidP="00582A66">
      <w:pPr>
        <w:rPr>
          <w:noProof/>
        </w:rPr>
      </w:pPr>
      <w:r w:rsidRPr="00E925FD">
        <w:rPr>
          <w:rStyle w:val="Descriptorheader"/>
        </w:rPr>
        <w:t>PHI Classification:</w:t>
      </w:r>
      <w:r w:rsidRPr="00E925FD">
        <w:rPr>
          <w:b/>
          <w:i/>
          <w:noProof/>
        </w:rPr>
        <w:t xml:space="preserve"> </w:t>
      </w:r>
      <w:r w:rsidRPr="00E925FD">
        <w:rPr>
          <w:rFonts w:asciiTheme="minorHAnsi" w:hAnsiTheme="minorHAnsi" w:cstheme="minorHAnsi"/>
          <w:sz w:val="18"/>
          <w:szCs w:val="18"/>
        </w:rPr>
        <w:t>Type A – Surgical patient</w:t>
      </w:r>
      <w:r w:rsidRPr="00E925FD">
        <w:rPr>
          <w:b/>
          <w:i/>
          <w:noProof/>
        </w:rPr>
        <w:t xml:space="preserve"> </w:t>
      </w:r>
      <w:r w:rsidRPr="00E925FD">
        <w:rPr>
          <w:b/>
          <w:i/>
          <w:noProof/>
        </w:rPr>
        <w:br/>
      </w:r>
      <w:r w:rsidRPr="00E925FD">
        <w:rPr>
          <w:rStyle w:val="Descriptorheader"/>
        </w:rPr>
        <w:t>Clinical Category:</w:t>
      </w:r>
      <w:r w:rsidRPr="00E925FD">
        <w:rPr>
          <w:b/>
          <w:i/>
          <w:noProof/>
        </w:rPr>
        <w:t xml:space="preserve"> </w:t>
      </w:r>
      <w:r>
        <w:rPr>
          <w:noProof/>
        </w:rPr>
        <w:t>Common list</w:t>
      </w:r>
    </w:p>
    <w:p w14:paraId="65CB5D87" w14:textId="77777777" w:rsidR="005D68EF" w:rsidRDefault="005D68EF" w:rsidP="00A254FB">
      <w:pPr>
        <w:spacing w:line="259" w:lineRule="auto"/>
      </w:pPr>
    </w:p>
    <w:p w14:paraId="12455CF9" w14:textId="77777777" w:rsidR="00582A66" w:rsidRPr="00A20278" w:rsidRDefault="00582A66" w:rsidP="00582A66">
      <w:pPr>
        <w:pStyle w:val="Heading2"/>
      </w:pPr>
      <w:r>
        <w:rPr>
          <w:rStyle w:val="NEWItemNumber"/>
        </w:rPr>
        <w:t xml:space="preserve">New item 30652  </w:t>
      </w:r>
      <w:r w:rsidRPr="005711E0">
        <w:t xml:space="preserve">Repair of </w:t>
      </w:r>
      <w:r>
        <w:t>r</w:t>
      </w:r>
      <w:r w:rsidRPr="005711E0">
        <w:t>ecurrent groin hernia</w:t>
      </w:r>
    </w:p>
    <w:p w14:paraId="78F708DF" w14:textId="77777777" w:rsidR="002E01B6" w:rsidRDefault="00582A66" w:rsidP="00582A66">
      <w:r w:rsidRPr="0070360F">
        <w:rPr>
          <w:rStyle w:val="Descriptorheader"/>
        </w:rPr>
        <w:t>Overview:</w:t>
      </w:r>
      <w:r>
        <w:t xml:space="preserve"> Item 30652 is a new item for repair of a recurrent groin hernia, </w:t>
      </w:r>
    </w:p>
    <w:p w14:paraId="1D0634C7" w14:textId="274C2FCE" w:rsidR="00582A66" w:rsidRPr="005711E0" w:rsidRDefault="00582A66" w:rsidP="00A254FB">
      <w:pPr>
        <w:spacing w:after="0"/>
      </w:pPr>
      <w:r w:rsidRPr="0070360F">
        <w:rPr>
          <w:rStyle w:val="Descriptorheader"/>
        </w:rPr>
        <w:t xml:space="preserve">Item Descriptor: </w:t>
      </w:r>
      <w:r w:rsidR="00B76F7F" w:rsidRPr="00B76F7F">
        <w:t>Recurrent groin hernia regardless of size of defect, repair of, with or without mesh, by open or minimally invasive approach, in a patient 10 years of age or over (H) (</w:t>
      </w:r>
      <w:proofErr w:type="spellStart"/>
      <w:r w:rsidR="00B76F7F" w:rsidRPr="00B76F7F">
        <w:t>Anaes</w:t>
      </w:r>
      <w:proofErr w:type="spellEnd"/>
      <w:r w:rsidR="00B76F7F" w:rsidRPr="00B76F7F">
        <w:t>.) (Assist.)</w:t>
      </w:r>
    </w:p>
    <w:p w14:paraId="122388DE" w14:textId="77777777" w:rsidR="00582A66" w:rsidRPr="00C85BCE" w:rsidRDefault="00582A66" w:rsidP="00582A66">
      <w:pPr>
        <w:pStyle w:val="Tabletext"/>
        <w:rPr>
          <w:rFonts w:ascii="Arial" w:eastAsiaTheme="minorEastAsia" w:hAnsi="Arial" w:cstheme="minorBidi"/>
          <w:i/>
          <w:szCs w:val="21"/>
          <w:lang w:eastAsia="en-US"/>
        </w:rPr>
      </w:pPr>
    </w:p>
    <w:p w14:paraId="78466691" w14:textId="21DF5D64" w:rsidR="00582A66" w:rsidRPr="00A20278" w:rsidRDefault="00582A66" w:rsidP="00A254FB">
      <w:pPr>
        <w:spacing w:after="240"/>
        <w:rPr>
          <w:rFonts w:asciiTheme="minorHAnsi" w:hAnsiTheme="minorHAnsi" w:cstheme="minorHAnsi"/>
          <w:sz w:val="18"/>
          <w:szCs w:val="18"/>
        </w:rPr>
      </w:pPr>
      <w:r w:rsidRPr="00A20278">
        <w:rPr>
          <w:rStyle w:val="Descriptorheader"/>
        </w:rPr>
        <w:t>MBS fee:</w:t>
      </w:r>
      <w:r w:rsidRPr="00C85BCE">
        <w:rPr>
          <w:i/>
          <w:noProof/>
        </w:rPr>
        <w:t xml:space="preserve"> </w:t>
      </w:r>
      <w:r w:rsidRPr="00A254FB">
        <w:rPr>
          <w:rFonts w:asciiTheme="minorHAnsi" w:hAnsiTheme="minorHAnsi" w:cstheme="minorHAnsi"/>
          <w:szCs w:val="18"/>
        </w:rPr>
        <w:t>$</w:t>
      </w:r>
      <w:r w:rsidR="00B76F7F" w:rsidRPr="00A254FB">
        <w:rPr>
          <w:rFonts w:asciiTheme="minorHAnsi" w:hAnsiTheme="minorHAnsi" w:cstheme="minorHAnsi"/>
          <w:szCs w:val="18"/>
        </w:rPr>
        <w:t>542.40</w:t>
      </w:r>
    </w:p>
    <w:p w14:paraId="3FD9B22D" w14:textId="62A6173F" w:rsidR="00582A66" w:rsidRDefault="00582A66" w:rsidP="00A254FB">
      <w:pPr>
        <w:spacing w:after="0"/>
        <w:rPr>
          <w:noProof/>
        </w:rPr>
      </w:pPr>
      <w:r w:rsidRPr="00DE5FD4">
        <w:rPr>
          <w:rStyle w:val="Descriptorheader"/>
        </w:rPr>
        <w:t>PHI Classification:</w:t>
      </w:r>
      <w:r w:rsidRPr="00DE5FD4">
        <w:rPr>
          <w:b/>
          <w:i/>
          <w:noProof/>
        </w:rPr>
        <w:t xml:space="preserve"> </w:t>
      </w:r>
      <w:r w:rsidRPr="00DE5FD4">
        <w:rPr>
          <w:rFonts w:asciiTheme="minorHAnsi" w:hAnsiTheme="minorHAnsi" w:cstheme="minorHAnsi"/>
          <w:sz w:val="18"/>
          <w:szCs w:val="18"/>
        </w:rPr>
        <w:t>Type A – Surgical patient</w:t>
      </w:r>
      <w:r w:rsidRPr="00DE5FD4">
        <w:rPr>
          <w:b/>
          <w:i/>
          <w:noProof/>
        </w:rPr>
        <w:br/>
      </w:r>
      <w:r w:rsidRPr="00DE5FD4">
        <w:rPr>
          <w:rStyle w:val="Descriptorheader"/>
        </w:rPr>
        <w:t>Clinical Category:</w:t>
      </w:r>
      <w:r w:rsidRPr="00DE5FD4">
        <w:rPr>
          <w:b/>
          <w:i/>
          <w:noProof/>
        </w:rPr>
        <w:t xml:space="preserve"> </w:t>
      </w:r>
      <w:r w:rsidRPr="00DE5FD4">
        <w:rPr>
          <w:noProof/>
        </w:rPr>
        <w:t>Common list</w:t>
      </w:r>
    </w:p>
    <w:p w14:paraId="24B710D7" w14:textId="7E192EE7" w:rsidR="002D5FAC" w:rsidRDefault="002D5FAC" w:rsidP="005D68EF"/>
    <w:p w14:paraId="27295AA4" w14:textId="77777777" w:rsidR="0055701D" w:rsidRDefault="0055701D" w:rsidP="005D68EF"/>
    <w:p w14:paraId="7BE84ECB" w14:textId="77777777" w:rsidR="00235EA5" w:rsidRPr="00A20278" w:rsidRDefault="00235EA5" w:rsidP="00235EA5">
      <w:pPr>
        <w:pStyle w:val="Heading2"/>
      </w:pPr>
      <w:r>
        <w:rPr>
          <w:rStyle w:val="NEWItemNumber"/>
        </w:rPr>
        <w:t xml:space="preserve">New item 30655  </w:t>
      </w:r>
      <w:r w:rsidRPr="002E4066">
        <w:t xml:space="preserve">Ventral hernia repair with </w:t>
      </w:r>
      <w:r>
        <w:t>advancement of the rectus muscles to the midline</w:t>
      </w:r>
      <w:r>
        <w:rPr>
          <w:rStyle w:val="NEWItemNumber"/>
        </w:rPr>
        <w:t xml:space="preserve"> </w:t>
      </w:r>
    </w:p>
    <w:p w14:paraId="1A23B7B0" w14:textId="7E7C5D96" w:rsidR="00235EA5" w:rsidRDefault="00235EA5" w:rsidP="00235EA5">
      <w:pPr>
        <w:spacing w:after="0" w:line="276" w:lineRule="auto"/>
        <w:ind w:right="425"/>
        <w:contextualSpacing/>
      </w:pPr>
      <w:r w:rsidRPr="0070360F">
        <w:rPr>
          <w:rStyle w:val="Descriptorheader"/>
        </w:rPr>
        <w:lastRenderedPageBreak/>
        <w:t>Overview:</w:t>
      </w:r>
      <w:r>
        <w:rPr>
          <w:rStyle w:val="Descriptorheader"/>
        </w:rPr>
        <w:t xml:space="preserve"> </w:t>
      </w:r>
      <w:r>
        <w:t xml:space="preserve">The hernia repair items have been restructured to grade the items by procedure complexity in hernia repair. </w:t>
      </w:r>
      <w:r w:rsidR="002E01B6">
        <w:t>New i</w:t>
      </w:r>
      <w:r>
        <w:t xml:space="preserve">tem 30655 replaces </w:t>
      </w:r>
      <w:r w:rsidR="002E01B6">
        <w:t xml:space="preserve">current </w:t>
      </w:r>
      <w:r>
        <w:t>item 30405.</w:t>
      </w:r>
    </w:p>
    <w:p w14:paraId="674A8AD1" w14:textId="77777777" w:rsidR="00235EA5" w:rsidRPr="007D2F88" w:rsidRDefault="00235EA5" w:rsidP="00235EA5">
      <w:pPr>
        <w:spacing w:after="0" w:line="276" w:lineRule="auto"/>
        <w:ind w:right="425"/>
        <w:contextualSpacing/>
        <w:rPr>
          <w:rFonts w:asciiTheme="minorHAnsi" w:hAnsiTheme="minorHAnsi" w:cstheme="minorHAnsi"/>
          <w:szCs w:val="22"/>
        </w:rPr>
      </w:pPr>
    </w:p>
    <w:p w14:paraId="31BC5063" w14:textId="5DDB3C4B" w:rsidR="00235EA5" w:rsidRPr="005711E0" w:rsidRDefault="00235EA5" w:rsidP="00A254FB">
      <w:pPr>
        <w:spacing w:after="0"/>
      </w:pPr>
      <w:r w:rsidRPr="0070360F">
        <w:rPr>
          <w:rStyle w:val="Descriptorheader"/>
        </w:rPr>
        <w:t xml:space="preserve">Item Descriptor: </w:t>
      </w:r>
      <w:r w:rsidR="00B76F7F" w:rsidRPr="00B76F7F">
        <w:t>Ventral hernia, repair of, with advancement of the rectus muscles to the midline using a retro</w:t>
      </w:r>
      <w:r w:rsidR="00B76F7F" w:rsidRPr="00B76F7F">
        <w:noBreakHyphen/>
        <w:t>rectus, pre</w:t>
      </w:r>
      <w:r w:rsidR="00B76F7F" w:rsidRPr="00B76F7F">
        <w:noBreakHyphen/>
        <w:t xml:space="preserve">peritoneal or </w:t>
      </w:r>
      <w:proofErr w:type="spellStart"/>
      <w:r w:rsidR="00B76F7F" w:rsidRPr="00B76F7F">
        <w:t>sublay</w:t>
      </w:r>
      <w:proofErr w:type="spellEnd"/>
      <w:r w:rsidR="00B76F7F" w:rsidRPr="00B76F7F">
        <w:t xml:space="preserve"> technique, by open or minimally invasive approach, in a patient 10 years of age or over, other than a service to which item 30621 or 30651 applies (H) (</w:t>
      </w:r>
      <w:proofErr w:type="spellStart"/>
      <w:r w:rsidR="00B76F7F" w:rsidRPr="00B76F7F">
        <w:t>Anaes</w:t>
      </w:r>
      <w:proofErr w:type="spellEnd"/>
      <w:r w:rsidR="00B76F7F" w:rsidRPr="00B76F7F">
        <w:t>.) (Assist.)</w:t>
      </w:r>
    </w:p>
    <w:p w14:paraId="2064C55A" w14:textId="77777777" w:rsidR="00235EA5" w:rsidRPr="002E4066" w:rsidRDefault="00235EA5" w:rsidP="00235EA5">
      <w:pPr>
        <w:pStyle w:val="Tabletext"/>
        <w:rPr>
          <w:rFonts w:ascii="Arial" w:eastAsiaTheme="minorEastAsia" w:hAnsi="Arial" w:cstheme="minorBidi"/>
          <w:b/>
          <w:i/>
          <w:szCs w:val="21"/>
          <w:lang w:eastAsia="en-US"/>
        </w:rPr>
      </w:pPr>
    </w:p>
    <w:p w14:paraId="54F3C9F0" w14:textId="3EA4F286" w:rsidR="00235EA5" w:rsidRPr="00A20278" w:rsidRDefault="00235EA5" w:rsidP="002E01B6">
      <w:pPr>
        <w:tabs>
          <w:tab w:val="left" w:pos="7755"/>
        </w:tabs>
        <w:rPr>
          <w:rFonts w:asciiTheme="minorHAnsi" w:hAnsiTheme="minorHAnsi" w:cstheme="minorHAnsi"/>
          <w:sz w:val="18"/>
          <w:szCs w:val="18"/>
        </w:rPr>
      </w:pPr>
      <w:r w:rsidRPr="002E4066">
        <w:rPr>
          <w:rStyle w:val="Descriptorheader"/>
        </w:rPr>
        <w:t>MBS</w:t>
      </w:r>
      <w:r w:rsidRPr="00A20278">
        <w:rPr>
          <w:rStyle w:val="Descriptorheader"/>
        </w:rPr>
        <w:t xml:space="preserve"> fee</w:t>
      </w:r>
      <w:r w:rsidRPr="002E4066">
        <w:rPr>
          <w:rStyle w:val="Descriptorheader"/>
          <w:b w:val="0"/>
          <w:bCs w:val="0"/>
          <w:iCs w:val="0"/>
        </w:rPr>
        <w:t>:</w:t>
      </w:r>
      <w:r w:rsidRPr="002E4066">
        <w:rPr>
          <w:rFonts w:asciiTheme="minorHAnsi" w:hAnsiTheme="minorHAnsi" w:cstheme="minorHAnsi"/>
          <w:sz w:val="18"/>
          <w:szCs w:val="18"/>
        </w:rPr>
        <w:t xml:space="preserve"> </w:t>
      </w:r>
      <w:r w:rsidRPr="00A254FB">
        <w:rPr>
          <w:rFonts w:asciiTheme="minorHAnsi" w:hAnsiTheme="minorHAnsi" w:cstheme="minorHAnsi"/>
          <w:szCs w:val="18"/>
        </w:rPr>
        <w:t>$</w:t>
      </w:r>
      <w:r w:rsidR="00B76F7F" w:rsidRPr="00A254FB">
        <w:rPr>
          <w:rFonts w:asciiTheme="minorHAnsi" w:hAnsiTheme="minorHAnsi" w:cstheme="minorHAnsi"/>
          <w:szCs w:val="18"/>
        </w:rPr>
        <w:t>952.05</w:t>
      </w:r>
      <w:r w:rsidR="00CD7C76">
        <w:rPr>
          <w:rFonts w:asciiTheme="minorHAnsi" w:hAnsiTheme="minorHAnsi" w:cstheme="minorHAnsi"/>
          <w:sz w:val="18"/>
          <w:szCs w:val="18"/>
        </w:rPr>
        <w:tab/>
      </w:r>
    </w:p>
    <w:p w14:paraId="2796D787" w14:textId="2FB90EA2" w:rsidR="00235EA5" w:rsidRDefault="00235EA5" w:rsidP="00235EA5">
      <w:pPr>
        <w:rPr>
          <w:noProof/>
        </w:rPr>
      </w:pPr>
      <w:r w:rsidRPr="00DE5FD4">
        <w:rPr>
          <w:rStyle w:val="Descriptorheader"/>
        </w:rPr>
        <w:t>PHI Classification:</w:t>
      </w:r>
      <w:r w:rsidRPr="00DE5FD4">
        <w:rPr>
          <w:b/>
          <w:i/>
          <w:noProof/>
        </w:rPr>
        <w:t xml:space="preserve"> </w:t>
      </w:r>
      <w:r w:rsidRPr="00DE5FD4">
        <w:rPr>
          <w:rFonts w:asciiTheme="minorHAnsi" w:hAnsiTheme="minorHAnsi" w:cstheme="minorHAnsi"/>
          <w:sz w:val="18"/>
          <w:szCs w:val="18"/>
        </w:rPr>
        <w:t>Type A - Advanced surgical patient</w:t>
      </w:r>
      <w:r w:rsidRPr="00DE5FD4">
        <w:rPr>
          <w:b/>
          <w:i/>
          <w:noProof/>
        </w:rPr>
        <w:t xml:space="preserve"> </w:t>
      </w:r>
      <w:r w:rsidRPr="00DE5FD4">
        <w:rPr>
          <w:b/>
          <w:i/>
          <w:noProof/>
        </w:rPr>
        <w:br/>
      </w:r>
      <w:r w:rsidRPr="00DE5FD4">
        <w:rPr>
          <w:rStyle w:val="Descriptorheader"/>
        </w:rPr>
        <w:t>Clinical Category:</w:t>
      </w:r>
      <w:r w:rsidRPr="00DE5FD4">
        <w:rPr>
          <w:b/>
          <w:i/>
          <w:noProof/>
        </w:rPr>
        <w:t xml:space="preserve"> </w:t>
      </w:r>
      <w:r w:rsidRPr="00DE5FD4">
        <w:rPr>
          <w:noProof/>
        </w:rPr>
        <w:t>Digestive system</w:t>
      </w:r>
    </w:p>
    <w:p w14:paraId="49DEBF07" w14:textId="5C08BE9A" w:rsidR="002D5FAC" w:rsidRDefault="002D5FAC" w:rsidP="005D68EF"/>
    <w:p w14:paraId="3E26BB56" w14:textId="77777777" w:rsidR="00235EA5" w:rsidRPr="00A20278" w:rsidRDefault="00235EA5" w:rsidP="00235EA5">
      <w:pPr>
        <w:pStyle w:val="Heading2"/>
      </w:pPr>
      <w:r>
        <w:rPr>
          <w:rStyle w:val="NEWItemNumber"/>
        </w:rPr>
        <w:t xml:space="preserve">New item 30657  </w:t>
      </w:r>
      <w:r>
        <w:t>Unilateral a</w:t>
      </w:r>
      <w:r w:rsidRPr="00103696">
        <w:t xml:space="preserve">bdominal wall </w:t>
      </w:r>
      <w:r>
        <w:t>reconstruction with component separation</w:t>
      </w:r>
    </w:p>
    <w:p w14:paraId="2E87F7F5" w14:textId="640109EB" w:rsidR="00235EA5" w:rsidRPr="007D2F88" w:rsidRDefault="00235EA5" w:rsidP="00A254FB">
      <w:pPr>
        <w:spacing w:after="0"/>
        <w:rPr>
          <w:rFonts w:asciiTheme="minorHAnsi" w:hAnsiTheme="minorHAnsi" w:cstheme="minorHAnsi"/>
          <w:szCs w:val="22"/>
        </w:rPr>
      </w:pPr>
      <w:r w:rsidRPr="0070360F">
        <w:rPr>
          <w:rStyle w:val="Descriptorheader"/>
        </w:rPr>
        <w:t>Overview:</w:t>
      </w:r>
      <w:r>
        <w:t xml:space="preserve"> Item 30657 is a new item for the reconstruction of an abdominal wall defect. </w:t>
      </w:r>
    </w:p>
    <w:p w14:paraId="31404673" w14:textId="2CCA2614" w:rsidR="00235EA5" w:rsidRPr="005711E0" w:rsidRDefault="00235EA5" w:rsidP="00A254FB">
      <w:pPr>
        <w:spacing w:after="0"/>
      </w:pPr>
      <w:r w:rsidRPr="0070360F">
        <w:rPr>
          <w:rStyle w:val="Descriptorheader"/>
        </w:rPr>
        <w:t xml:space="preserve">Item Descriptor: </w:t>
      </w:r>
      <w:r w:rsidR="00B76F7F" w:rsidRPr="00B76F7F">
        <w:t>Unilateral abdominal wall reconstruction with component separation, including transversus abdominus release and external oblique release for abdominal wall closure by mobilising the rectus abdominis muscles to the midline, by open or minimally invasive approach (H) (</w:t>
      </w:r>
      <w:proofErr w:type="spellStart"/>
      <w:r w:rsidR="00B76F7F" w:rsidRPr="00B76F7F">
        <w:t>Anaes</w:t>
      </w:r>
      <w:proofErr w:type="spellEnd"/>
      <w:r w:rsidR="00B76F7F" w:rsidRPr="00B76F7F">
        <w:t>.) (Assist.)</w:t>
      </w:r>
    </w:p>
    <w:p w14:paraId="09DB7875" w14:textId="77777777" w:rsidR="00235EA5" w:rsidRPr="002E4066" w:rsidRDefault="00235EA5" w:rsidP="00235EA5">
      <w:pPr>
        <w:pStyle w:val="Tabletext"/>
        <w:rPr>
          <w:rFonts w:ascii="Arial" w:eastAsiaTheme="minorEastAsia" w:hAnsi="Arial" w:cstheme="minorBidi"/>
          <w:b/>
          <w:i/>
          <w:szCs w:val="21"/>
          <w:lang w:eastAsia="en-US"/>
        </w:rPr>
      </w:pPr>
    </w:p>
    <w:p w14:paraId="43A8C957" w14:textId="622393C5" w:rsidR="00235EA5" w:rsidRPr="00A20278" w:rsidRDefault="00235EA5" w:rsidP="00235EA5">
      <w:pPr>
        <w:rPr>
          <w:rFonts w:asciiTheme="minorHAnsi" w:hAnsiTheme="minorHAnsi" w:cstheme="minorHAnsi"/>
          <w:sz w:val="18"/>
          <w:szCs w:val="18"/>
        </w:rPr>
      </w:pPr>
      <w:r w:rsidRPr="002E4066">
        <w:rPr>
          <w:rStyle w:val="Descriptorheader"/>
        </w:rPr>
        <w:t>MBS</w:t>
      </w:r>
      <w:r w:rsidRPr="00A20278">
        <w:rPr>
          <w:rStyle w:val="Descriptorheader"/>
        </w:rPr>
        <w:t xml:space="preserve"> </w:t>
      </w:r>
      <w:r w:rsidRPr="00A254FB">
        <w:rPr>
          <w:rStyle w:val="Descriptorheader"/>
          <w:sz w:val="20"/>
          <w:szCs w:val="20"/>
        </w:rPr>
        <w:t>fee</w:t>
      </w:r>
      <w:r w:rsidRPr="00A254FB">
        <w:rPr>
          <w:rStyle w:val="Descriptorheader"/>
          <w:b w:val="0"/>
          <w:bCs w:val="0"/>
          <w:iCs w:val="0"/>
          <w:sz w:val="20"/>
          <w:szCs w:val="20"/>
        </w:rPr>
        <w:t>:</w:t>
      </w:r>
      <w:r w:rsidRPr="00A254FB">
        <w:rPr>
          <w:rFonts w:asciiTheme="minorHAnsi" w:hAnsiTheme="minorHAnsi" w:cstheme="minorHAnsi"/>
          <w:szCs w:val="20"/>
        </w:rPr>
        <w:t xml:space="preserve"> $</w:t>
      </w:r>
      <w:r w:rsidR="00B76F7F" w:rsidRPr="00A254FB">
        <w:rPr>
          <w:rFonts w:asciiTheme="minorHAnsi" w:hAnsiTheme="minorHAnsi" w:cstheme="minorHAnsi"/>
          <w:szCs w:val="20"/>
        </w:rPr>
        <w:t>1,355.65</w:t>
      </w:r>
    </w:p>
    <w:p w14:paraId="3D40E838" w14:textId="1E7618CC" w:rsidR="00235EA5" w:rsidRDefault="00235EA5" w:rsidP="00235EA5">
      <w:pPr>
        <w:rPr>
          <w:noProof/>
        </w:rPr>
      </w:pPr>
      <w:r w:rsidRPr="00DE5FD4">
        <w:rPr>
          <w:rStyle w:val="Descriptorheader"/>
        </w:rPr>
        <w:t>PHI Classification:</w:t>
      </w:r>
      <w:r w:rsidRPr="00DE5FD4">
        <w:rPr>
          <w:b/>
          <w:i/>
          <w:noProof/>
        </w:rPr>
        <w:t xml:space="preserve"> </w:t>
      </w:r>
      <w:r w:rsidRPr="00DE5FD4">
        <w:rPr>
          <w:rFonts w:asciiTheme="minorHAnsi" w:hAnsiTheme="minorHAnsi" w:cstheme="minorHAnsi"/>
          <w:sz w:val="18"/>
          <w:szCs w:val="18"/>
        </w:rPr>
        <w:t>Type A - Advanced surgical patient</w:t>
      </w:r>
      <w:r w:rsidRPr="00DE5FD4">
        <w:rPr>
          <w:b/>
          <w:i/>
          <w:noProof/>
        </w:rPr>
        <w:t xml:space="preserve"> </w:t>
      </w:r>
      <w:r w:rsidRPr="00DE5FD4">
        <w:rPr>
          <w:b/>
          <w:i/>
          <w:noProof/>
        </w:rPr>
        <w:br/>
      </w:r>
      <w:r w:rsidRPr="00DE5FD4">
        <w:rPr>
          <w:rStyle w:val="Descriptorheader"/>
        </w:rPr>
        <w:t>Clinical Category:</w:t>
      </w:r>
      <w:r w:rsidRPr="00DE5FD4">
        <w:rPr>
          <w:b/>
          <w:i/>
          <w:noProof/>
        </w:rPr>
        <w:t xml:space="preserve"> </w:t>
      </w:r>
      <w:r w:rsidRPr="00DE5FD4">
        <w:rPr>
          <w:noProof/>
        </w:rPr>
        <w:t>Digestive system</w:t>
      </w:r>
    </w:p>
    <w:p w14:paraId="5684F954" w14:textId="65FD5A0A" w:rsidR="0055701D" w:rsidRDefault="0055701D">
      <w:pPr>
        <w:spacing w:line="259" w:lineRule="auto"/>
      </w:pPr>
      <w:r>
        <w:br w:type="page"/>
      </w:r>
    </w:p>
    <w:p w14:paraId="437425FF" w14:textId="77777777" w:rsidR="00235EA5" w:rsidRPr="005D68EF" w:rsidRDefault="00235EA5" w:rsidP="005D68EF">
      <w:pPr>
        <w:sectPr w:rsidR="00235EA5" w:rsidRPr="005D68EF" w:rsidSect="004C1290">
          <w:headerReference w:type="even" r:id="rId7"/>
          <w:headerReference w:type="default" r:id="rId8"/>
          <w:footerReference w:type="even" r:id="rId9"/>
          <w:footerReference w:type="default" r:id="rId10"/>
          <w:headerReference w:type="first" r:id="rId11"/>
          <w:footerReference w:type="first" r:id="rId12"/>
          <w:type w:val="continuous"/>
          <w:pgSz w:w="11906" w:h="16838"/>
          <w:pgMar w:top="2694" w:right="720" w:bottom="720" w:left="720" w:header="708" w:footer="708" w:gutter="0"/>
          <w:cols w:space="567"/>
          <w:docGrid w:linePitch="360"/>
        </w:sectPr>
      </w:pPr>
    </w:p>
    <w:p w14:paraId="7E97665C" w14:textId="07E3440A" w:rsidR="008D1172" w:rsidRPr="00A20278" w:rsidRDefault="004C4391" w:rsidP="008D1172">
      <w:pPr>
        <w:pStyle w:val="Heading2"/>
      </w:pPr>
      <w:r>
        <w:rPr>
          <w:rStyle w:val="AmendedItemNumber"/>
          <w:noProof w:val="0"/>
          <w:szCs w:val="28"/>
        </w:rPr>
        <w:lastRenderedPageBreak/>
        <w:t xml:space="preserve">Amended </w:t>
      </w:r>
      <w:proofErr w:type="spellStart"/>
      <w:r>
        <w:rPr>
          <w:rStyle w:val="AmendedItemNumber"/>
          <w:noProof w:val="0"/>
          <w:szCs w:val="28"/>
        </w:rPr>
        <w:t>i</w:t>
      </w:r>
      <w:r w:rsidR="008D1172" w:rsidRPr="009A54FA">
        <w:rPr>
          <w:rStyle w:val="AmendedItemNumber"/>
          <w:noProof w:val="0"/>
          <w:szCs w:val="28"/>
        </w:rPr>
        <w:t>em</w:t>
      </w:r>
      <w:proofErr w:type="spellEnd"/>
      <w:r w:rsidR="008D1172" w:rsidRPr="009A54FA">
        <w:rPr>
          <w:rStyle w:val="AmendedItemNumber"/>
          <w:noProof w:val="0"/>
          <w:szCs w:val="28"/>
        </w:rPr>
        <w:t xml:space="preserve"> 30621</w:t>
      </w:r>
      <w:r w:rsidR="008D1172" w:rsidRPr="00D31FD5">
        <w:rPr>
          <w:rStyle w:val="AmendedItemNumber"/>
          <w:color w:val="001A70" w:themeColor="text2"/>
          <w:shd w:val="clear" w:color="auto" w:fill="auto"/>
        </w:rPr>
        <w:t xml:space="preserve"> </w:t>
      </w:r>
      <w:r w:rsidR="008D1172" w:rsidRPr="00851087">
        <w:t xml:space="preserve">Repair of </w:t>
      </w:r>
      <w:r w:rsidR="008D1172">
        <w:t>s</w:t>
      </w:r>
      <w:r w:rsidR="008D1172" w:rsidRPr="00851087">
        <w:t>ymptomatic umbilical, epigastric</w:t>
      </w:r>
      <w:r w:rsidR="00D620CE">
        <w:t xml:space="preserve"> or</w:t>
      </w:r>
      <w:r w:rsidR="008D1172" w:rsidRPr="00851087">
        <w:t xml:space="preserve">  linea alba hernia </w:t>
      </w:r>
    </w:p>
    <w:p w14:paraId="6BAB9E5D" w14:textId="5E9F974F" w:rsidR="006273FF" w:rsidRPr="001B73FC" w:rsidRDefault="008D1172" w:rsidP="008D1172">
      <w:r w:rsidRPr="001B73FC">
        <w:rPr>
          <w:rStyle w:val="Descriptorheader"/>
        </w:rPr>
        <w:t>Overview:</w:t>
      </w:r>
      <w:r w:rsidRPr="001B73FC">
        <w:t xml:space="preserve"> </w:t>
      </w:r>
      <w:r w:rsidR="00421E61" w:rsidRPr="00A254FB">
        <w:t>P</w:t>
      </w:r>
      <w:r w:rsidR="006273FF" w:rsidRPr="00A254FB">
        <w:t xml:space="preserve">roviding for </w:t>
      </w:r>
      <w:r w:rsidR="00421E61" w:rsidRPr="00A254FB">
        <w:t xml:space="preserve">an </w:t>
      </w:r>
      <w:r w:rsidR="006273FF" w:rsidRPr="00A254FB">
        <w:t>open or minimally invasive approach</w:t>
      </w:r>
      <w:r w:rsidR="00A64AF2" w:rsidRPr="00A254FB">
        <w:t xml:space="preserve"> for repair.</w:t>
      </w:r>
    </w:p>
    <w:p w14:paraId="64A2E59A" w14:textId="77777777" w:rsidR="000A44CF" w:rsidRDefault="008D1172" w:rsidP="008D1172">
      <w:pPr>
        <w:pStyle w:val="Tabletext"/>
        <w:rPr>
          <w:i/>
        </w:rPr>
      </w:pPr>
      <w:r w:rsidRPr="00A20278">
        <w:rPr>
          <w:rStyle w:val="Descriptorheader"/>
        </w:rPr>
        <w:t>Item Descriptor:</w:t>
      </w:r>
      <w:r w:rsidR="00B76F7F" w:rsidRPr="00B76F7F">
        <w:t xml:space="preserve"> </w:t>
      </w:r>
      <w:r w:rsidR="00B76F7F" w:rsidRPr="00A254FB">
        <w:rPr>
          <w:rFonts w:ascii="Arial" w:eastAsiaTheme="minorEastAsia" w:hAnsi="Arial" w:cstheme="minorBidi"/>
          <w:szCs w:val="21"/>
          <w:lang w:eastAsia="en-US"/>
        </w:rPr>
        <w:t xml:space="preserve">Repair of symptomatic umbilical, epigastric or </w:t>
      </w:r>
      <w:proofErr w:type="spellStart"/>
      <w:r w:rsidR="00B76F7F" w:rsidRPr="00A254FB">
        <w:rPr>
          <w:rFonts w:ascii="Arial" w:eastAsiaTheme="minorEastAsia" w:hAnsi="Arial" w:cstheme="minorBidi"/>
          <w:szCs w:val="21"/>
          <w:lang w:eastAsia="en-US"/>
        </w:rPr>
        <w:t>linea</w:t>
      </w:r>
      <w:proofErr w:type="spellEnd"/>
      <w:r w:rsidR="00B76F7F" w:rsidRPr="00A254FB">
        <w:rPr>
          <w:rFonts w:ascii="Arial" w:eastAsiaTheme="minorEastAsia" w:hAnsi="Arial" w:cstheme="minorBidi"/>
          <w:szCs w:val="21"/>
          <w:lang w:eastAsia="en-US"/>
        </w:rPr>
        <w:t xml:space="preserve"> alba hernia requiring mesh or other repair, by open or minimally invasive approach, in a patient 10 years of age or over, other than a service to which item 30651 or 30655 applies (H) (</w:t>
      </w:r>
      <w:proofErr w:type="spellStart"/>
      <w:r w:rsidR="00B76F7F" w:rsidRPr="00A254FB">
        <w:rPr>
          <w:rFonts w:ascii="Arial" w:eastAsiaTheme="minorEastAsia" w:hAnsi="Arial" w:cstheme="minorBidi"/>
          <w:szCs w:val="21"/>
          <w:lang w:eastAsia="en-US"/>
        </w:rPr>
        <w:t>Anaes</w:t>
      </w:r>
      <w:proofErr w:type="spellEnd"/>
      <w:r w:rsidR="00B76F7F" w:rsidRPr="00A254FB">
        <w:rPr>
          <w:rFonts w:ascii="Arial" w:eastAsiaTheme="minorEastAsia" w:hAnsi="Arial" w:cstheme="minorBidi"/>
          <w:szCs w:val="21"/>
          <w:lang w:eastAsia="en-US"/>
        </w:rPr>
        <w:t>.) (Assist.)</w:t>
      </w:r>
    </w:p>
    <w:p w14:paraId="5B8291F3" w14:textId="77777777" w:rsidR="008D1172" w:rsidRPr="00C85BCE" w:rsidRDefault="008D1172" w:rsidP="008D1172">
      <w:pPr>
        <w:pStyle w:val="Tabletext"/>
        <w:rPr>
          <w:rFonts w:ascii="Arial" w:eastAsiaTheme="minorEastAsia" w:hAnsi="Arial" w:cstheme="minorBidi"/>
          <w:i/>
          <w:szCs w:val="21"/>
          <w:lang w:eastAsia="en-US"/>
        </w:rPr>
      </w:pPr>
    </w:p>
    <w:p w14:paraId="3B25F5C3" w14:textId="223930FF" w:rsidR="008D1172" w:rsidRPr="00C85BCE" w:rsidRDefault="008D1172" w:rsidP="008D1172">
      <w:pPr>
        <w:rPr>
          <w:i/>
        </w:rPr>
      </w:pPr>
      <w:r w:rsidRPr="00A20278">
        <w:rPr>
          <w:rStyle w:val="Descriptorheader"/>
        </w:rPr>
        <w:t>MBS fee:</w:t>
      </w:r>
      <w:r>
        <w:rPr>
          <w:i/>
          <w:noProof/>
        </w:rPr>
        <w:t xml:space="preserve"> </w:t>
      </w:r>
      <w:r w:rsidRPr="00A20278">
        <w:rPr>
          <w:noProof/>
        </w:rPr>
        <w:t>$</w:t>
      </w:r>
      <w:r w:rsidR="00B76F7F" w:rsidRPr="00B76F7F">
        <w:t>424.00</w:t>
      </w:r>
    </w:p>
    <w:p w14:paraId="48A3433A" w14:textId="15D74BCB" w:rsidR="000A44CF" w:rsidRDefault="00A62251" w:rsidP="00A254FB">
      <w:pPr>
        <w:spacing w:after="0"/>
        <w:rPr>
          <w:b/>
          <w:noProof/>
        </w:rPr>
      </w:pPr>
      <w:r>
        <w:rPr>
          <w:rStyle w:val="Descriptorheader"/>
        </w:rPr>
        <w:t>PHI Classification</w:t>
      </w:r>
      <w:r w:rsidR="008D1172" w:rsidRPr="00851087">
        <w:rPr>
          <w:rStyle w:val="Descriptorheader"/>
        </w:rPr>
        <w:t>:</w:t>
      </w:r>
      <w:r w:rsidR="008D1172" w:rsidRPr="00851087">
        <w:rPr>
          <w:b/>
          <w:noProof/>
        </w:rPr>
        <w:t xml:space="preserve"> </w:t>
      </w:r>
      <w:r w:rsidR="008D1172" w:rsidRPr="00851087">
        <w:rPr>
          <w:noProof/>
        </w:rPr>
        <w:t>Type A - Surgical patient</w:t>
      </w:r>
      <w:r w:rsidR="008D1172" w:rsidRPr="00851087">
        <w:rPr>
          <w:b/>
          <w:noProof/>
        </w:rPr>
        <w:t xml:space="preserve"> </w:t>
      </w:r>
    </w:p>
    <w:p w14:paraId="3B53A50A" w14:textId="548ECC4F" w:rsidR="008D1172" w:rsidRDefault="00A62251" w:rsidP="00A254FB">
      <w:pPr>
        <w:spacing w:after="0"/>
        <w:rPr>
          <w:noProof/>
        </w:rPr>
      </w:pPr>
      <w:r>
        <w:rPr>
          <w:rStyle w:val="Descriptorheader"/>
        </w:rPr>
        <w:t>Clinical Category</w:t>
      </w:r>
      <w:r w:rsidR="008D1172" w:rsidRPr="00851087">
        <w:rPr>
          <w:rStyle w:val="Descriptorheader"/>
        </w:rPr>
        <w:t>:</w:t>
      </w:r>
      <w:r w:rsidR="008D1172" w:rsidRPr="00851087">
        <w:rPr>
          <w:b/>
          <w:noProof/>
        </w:rPr>
        <w:t xml:space="preserve"> </w:t>
      </w:r>
      <w:r w:rsidR="008D1172" w:rsidRPr="00851087">
        <w:rPr>
          <w:noProof/>
        </w:rPr>
        <w:t>Digestive system</w:t>
      </w:r>
    </w:p>
    <w:p w14:paraId="7BF834F9" w14:textId="6A730336" w:rsidR="008D1172" w:rsidRDefault="008D1172" w:rsidP="00A03571">
      <w:pPr>
        <w:rPr>
          <w:noProof/>
        </w:rPr>
      </w:pPr>
    </w:p>
    <w:p w14:paraId="7EC11C4E" w14:textId="6B11FCCF" w:rsidR="00B17949" w:rsidRDefault="00B17949" w:rsidP="00B17949">
      <w:pPr>
        <w:pStyle w:val="Tabletext"/>
      </w:pPr>
      <w:r>
        <w:rPr>
          <w:rStyle w:val="DeletedItemNumber"/>
          <w:noProof/>
          <w:sz w:val="28"/>
        </w:rPr>
        <w:t>Deleted item 30403</w:t>
      </w:r>
      <w:r>
        <w:rPr>
          <w:rStyle w:val="AmendedItemNumber"/>
          <w:color w:val="001A70" w:themeColor="text2"/>
          <w:shd w:val="clear" w:color="auto" w:fill="auto"/>
        </w:rPr>
        <w:t xml:space="preserve"> </w:t>
      </w:r>
      <w:r w:rsidRPr="004E7D6C">
        <w:rPr>
          <w:rFonts w:ascii="Arial" w:eastAsiaTheme="minorEastAsia" w:hAnsi="Arial" w:cstheme="minorBidi"/>
          <w:noProof/>
          <w:color w:val="001A70" w:themeColor="text2"/>
          <w:sz w:val="28"/>
          <w:szCs w:val="21"/>
          <w:lang w:eastAsia="en-US"/>
        </w:rPr>
        <w:t>Ventral</w:t>
      </w:r>
      <w:r w:rsidRPr="005A55F0">
        <w:rPr>
          <w:rFonts w:ascii="Arial" w:eastAsiaTheme="minorEastAsia" w:hAnsi="Arial" w:cstheme="minorBidi"/>
          <w:noProof/>
          <w:color w:val="001A70" w:themeColor="text2"/>
          <w:sz w:val="28"/>
          <w:szCs w:val="21"/>
          <w:lang w:eastAsia="en-US"/>
        </w:rPr>
        <w:t xml:space="preserve">, </w:t>
      </w:r>
      <w:r w:rsidRPr="004E7D6C">
        <w:rPr>
          <w:rFonts w:ascii="Arial" w:eastAsiaTheme="minorEastAsia" w:hAnsi="Arial" w:cstheme="minorBidi"/>
          <w:noProof/>
          <w:color w:val="001A70" w:themeColor="text2"/>
          <w:sz w:val="28"/>
          <w:szCs w:val="21"/>
          <w:lang w:eastAsia="en-US"/>
        </w:rPr>
        <w:t>incisional, or recurrent hernia or burst abdomen, repair of, with or without mesh (H) (Anaes.) (Assist.)</w:t>
      </w:r>
      <w:r>
        <w:rPr>
          <w:rFonts w:ascii="Arial" w:eastAsiaTheme="minorEastAsia" w:hAnsi="Arial" w:cstheme="minorBidi"/>
          <w:noProof/>
          <w:color w:val="001A70" w:themeColor="text2"/>
          <w:sz w:val="28"/>
          <w:szCs w:val="21"/>
          <w:lang w:eastAsia="en-US"/>
        </w:rPr>
        <w:t xml:space="preserve"> </w:t>
      </w:r>
      <w:r w:rsidRPr="003E0C6C">
        <w:rPr>
          <w:rFonts w:ascii="Arial" w:eastAsiaTheme="minorEastAsia" w:hAnsi="Arial" w:cstheme="minorBidi"/>
          <w:noProof/>
          <w:color w:val="001A70" w:themeColor="text2"/>
          <w:sz w:val="28"/>
          <w:szCs w:val="21"/>
          <w:lang w:eastAsia="en-US"/>
        </w:rPr>
        <w:t xml:space="preserve">MBS Fee: </w:t>
      </w:r>
      <w:r>
        <w:rPr>
          <w:rFonts w:ascii="Arial" w:eastAsiaTheme="minorEastAsia" w:hAnsi="Arial" w:cstheme="minorBidi"/>
          <w:noProof/>
          <w:color w:val="001A70" w:themeColor="text2"/>
          <w:sz w:val="28"/>
          <w:szCs w:val="21"/>
          <w:lang w:eastAsia="en-US"/>
        </w:rPr>
        <w:t>$</w:t>
      </w:r>
      <w:r w:rsidRPr="004E7D6C">
        <w:rPr>
          <w:rFonts w:ascii="Arial" w:eastAsiaTheme="minorEastAsia" w:hAnsi="Arial" w:cstheme="minorBidi"/>
          <w:noProof/>
          <w:color w:val="001A70" w:themeColor="text2"/>
          <w:sz w:val="28"/>
          <w:szCs w:val="21"/>
          <w:lang w:eastAsia="en-US"/>
        </w:rPr>
        <w:t>537.55</w:t>
      </w:r>
      <w:r>
        <w:t xml:space="preserve"> </w:t>
      </w:r>
      <w:r w:rsidRPr="001B73FC">
        <w:rPr>
          <w:rFonts w:ascii="Arial" w:eastAsiaTheme="minorEastAsia" w:hAnsi="Arial" w:cstheme="minorBidi"/>
          <w:szCs w:val="21"/>
          <w:lang w:eastAsia="en-US"/>
        </w:rPr>
        <w:t>(</w:t>
      </w:r>
      <w:r>
        <w:rPr>
          <w:rFonts w:ascii="Arial" w:eastAsiaTheme="minorEastAsia" w:hAnsi="Arial" w:cstheme="minorBidi"/>
          <w:szCs w:val="21"/>
          <w:lang w:eastAsia="en-US"/>
        </w:rPr>
        <w:t>replaced by new item 30651</w:t>
      </w:r>
      <w:r w:rsidRPr="001B73FC">
        <w:rPr>
          <w:rFonts w:ascii="Arial" w:eastAsiaTheme="minorEastAsia" w:hAnsi="Arial" w:cstheme="minorBidi"/>
          <w:szCs w:val="21"/>
          <w:lang w:eastAsia="en-US"/>
        </w:rPr>
        <w:t>)</w:t>
      </w:r>
      <w:r>
        <w:rPr>
          <w:rFonts w:ascii="Arial" w:eastAsiaTheme="minorEastAsia" w:hAnsi="Arial" w:cstheme="minorBidi"/>
          <w:szCs w:val="21"/>
          <w:lang w:eastAsia="en-US"/>
        </w:rPr>
        <w:br/>
      </w:r>
    </w:p>
    <w:p w14:paraId="5167DF76" w14:textId="77777777" w:rsidR="00B17949" w:rsidRPr="00D92038" w:rsidRDefault="00B17949" w:rsidP="00B17949">
      <w:pPr>
        <w:pStyle w:val="Tabletext"/>
        <w:rPr>
          <w:rFonts w:ascii="Arial" w:eastAsiaTheme="minorEastAsia" w:hAnsi="Arial" w:cstheme="minorBidi"/>
          <w:szCs w:val="21"/>
          <w:lang w:eastAsia="en-US"/>
        </w:rPr>
      </w:pPr>
      <w:r>
        <w:rPr>
          <w:rStyle w:val="DeletedItemNumber"/>
          <w:noProof/>
          <w:sz w:val="28"/>
        </w:rPr>
        <w:t>Deleted item 30405</w:t>
      </w:r>
      <w:r>
        <w:rPr>
          <w:rStyle w:val="AmendedItemNumber"/>
          <w:color w:val="001A70" w:themeColor="text2"/>
          <w:shd w:val="clear" w:color="auto" w:fill="auto"/>
        </w:rPr>
        <w:t xml:space="preserve"> </w:t>
      </w:r>
      <w:r w:rsidRPr="004E7D6C">
        <w:rPr>
          <w:rFonts w:ascii="Arial" w:eastAsiaTheme="minorEastAsia" w:hAnsi="Arial" w:cstheme="minorBidi"/>
          <w:noProof/>
          <w:color w:val="001A70" w:themeColor="text2"/>
          <w:sz w:val="28"/>
          <w:szCs w:val="21"/>
          <w:lang w:eastAsia="en-US"/>
        </w:rPr>
        <w:t>Ventral or incisional hernia (other than recurrent inguinal or femoral hernia), repair of, requiring muscle transposition, mesh hernioplasty or resection of strangulated bowel (H) (Anaes.) (Assist.)</w:t>
      </w:r>
      <w:r>
        <w:rPr>
          <w:rFonts w:ascii="Arial" w:eastAsiaTheme="minorEastAsia" w:hAnsi="Arial" w:cstheme="minorBidi"/>
          <w:noProof/>
          <w:color w:val="001A70" w:themeColor="text2"/>
          <w:sz w:val="28"/>
          <w:szCs w:val="21"/>
          <w:lang w:eastAsia="en-US"/>
        </w:rPr>
        <w:t xml:space="preserve"> </w:t>
      </w:r>
      <w:r w:rsidRPr="003E0C6C">
        <w:rPr>
          <w:rFonts w:ascii="Arial" w:eastAsiaTheme="minorEastAsia" w:hAnsi="Arial" w:cstheme="minorBidi"/>
          <w:noProof/>
          <w:color w:val="001A70" w:themeColor="text2"/>
          <w:sz w:val="28"/>
          <w:szCs w:val="21"/>
          <w:lang w:eastAsia="en-US"/>
        </w:rPr>
        <w:t>MBS Fee:</w:t>
      </w:r>
      <w:r>
        <w:rPr>
          <w:rFonts w:ascii="Arial" w:eastAsiaTheme="minorEastAsia" w:hAnsi="Arial" w:cstheme="minorBidi"/>
          <w:noProof/>
          <w:color w:val="001A70" w:themeColor="text2"/>
          <w:sz w:val="28"/>
          <w:szCs w:val="21"/>
          <w:lang w:eastAsia="en-US"/>
        </w:rPr>
        <w:t xml:space="preserve"> $</w:t>
      </w:r>
      <w:r w:rsidRPr="004E7D6C">
        <w:rPr>
          <w:rFonts w:ascii="Arial" w:eastAsiaTheme="minorEastAsia" w:hAnsi="Arial" w:cstheme="minorBidi"/>
          <w:noProof/>
          <w:color w:val="001A70" w:themeColor="text2"/>
          <w:sz w:val="28"/>
          <w:szCs w:val="21"/>
          <w:lang w:eastAsia="en-US"/>
        </w:rPr>
        <w:t>943.55</w:t>
      </w:r>
      <w:r w:rsidRPr="001B73FC">
        <w:rPr>
          <w:rFonts w:ascii="Arial" w:eastAsiaTheme="minorEastAsia" w:hAnsi="Arial" w:cstheme="minorBidi"/>
          <w:szCs w:val="21"/>
          <w:lang w:eastAsia="en-US"/>
        </w:rPr>
        <w:t xml:space="preserve"> (</w:t>
      </w:r>
      <w:r>
        <w:rPr>
          <w:rFonts w:ascii="Arial" w:eastAsiaTheme="minorEastAsia" w:hAnsi="Arial" w:cstheme="minorBidi"/>
          <w:szCs w:val="21"/>
          <w:lang w:eastAsia="en-US"/>
        </w:rPr>
        <w:t>replaced by new item 30655</w:t>
      </w:r>
      <w:r w:rsidRPr="001B73FC">
        <w:rPr>
          <w:rFonts w:ascii="Arial" w:eastAsiaTheme="minorEastAsia" w:hAnsi="Arial" w:cstheme="minorBidi"/>
          <w:szCs w:val="21"/>
          <w:lang w:eastAsia="en-US"/>
        </w:rPr>
        <w:t>)</w:t>
      </w:r>
    </w:p>
    <w:p w14:paraId="1A3C70F8" w14:textId="49C28951" w:rsidR="00DC2695" w:rsidRPr="00D92038" w:rsidRDefault="009A54FA" w:rsidP="00AC0C2D">
      <w:pPr>
        <w:pStyle w:val="Tabletext"/>
        <w:rPr>
          <w:rFonts w:ascii="Arial" w:eastAsiaTheme="minorEastAsia" w:hAnsi="Arial" w:cstheme="minorBidi"/>
          <w:szCs w:val="21"/>
          <w:lang w:eastAsia="en-US"/>
        </w:rPr>
      </w:pPr>
      <w:r>
        <w:rPr>
          <w:rStyle w:val="DeletedItemNumber"/>
          <w:noProof/>
          <w:sz w:val="28"/>
        </w:rPr>
        <w:t>Deleted item 30609</w:t>
      </w:r>
      <w:r w:rsidR="00DC2695">
        <w:rPr>
          <w:rStyle w:val="AmendedItemNumber"/>
          <w:color w:val="001A70" w:themeColor="text2"/>
          <w:shd w:val="clear" w:color="auto" w:fill="auto"/>
        </w:rPr>
        <w:t xml:space="preserve"> </w:t>
      </w:r>
      <w:r w:rsidR="001B73FC" w:rsidRPr="001B73FC">
        <w:rPr>
          <w:rFonts w:ascii="Arial" w:eastAsiaTheme="minorEastAsia" w:hAnsi="Arial" w:cstheme="minorBidi"/>
          <w:noProof/>
          <w:color w:val="001A70" w:themeColor="text2"/>
          <w:sz w:val="28"/>
          <w:szCs w:val="21"/>
          <w:lang w:eastAsia="en-US"/>
        </w:rPr>
        <w:t>Femoral or inguinal hernia, laparoscopic repair of, other than a service associated with a service to which item 30614 applies (H) (Anaes.) (Assist.)</w:t>
      </w:r>
      <w:r w:rsidR="001B73FC" w:rsidRPr="001B73FC">
        <w:rPr>
          <w:rFonts w:ascii="Arial" w:eastAsiaTheme="minorEastAsia" w:hAnsi="Arial" w:cstheme="minorBidi"/>
          <w:szCs w:val="21"/>
          <w:lang w:eastAsia="en-US"/>
        </w:rPr>
        <w:t xml:space="preserve"> </w:t>
      </w:r>
      <w:r w:rsidR="001B73FC" w:rsidRPr="003E0C6C">
        <w:rPr>
          <w:rFonts w:ascii="Arial" w:eastAsiaTheme="minorEastAsia" w:hAnsi="Arial" w:cstheme="minorBidi"/>
          <w:noProof/>
          <w:color w:val="001A70" w:themeColor="text2"/>
          <w:sz w:val="28"/>
          <w:szCs w:val="21"/>
          <w:lang w:eastAsia="en-US"/>
        </w:rPr>
        <w:t>MBS Fee: $479.05</w:t>
      </w:r>
      <w:r w:rsidR="001B73FC" w:rsidRPr="001B73FC">
        <w:rPr>
          <w:rFonts w:ascii="Arial" w:eastAsiaTheme="minorEastAsia" w:hAnsi="Arial" w:cstheme="minorBidi"/>
          <w:szCs w:val="21"/>
          <w:lang w:eastAsia="en-US"/>
        </w:rPr>
        <w:t xml:space="preserve"> </w:t>
      </w:r>
      <w:r w:rsidR="00245EB1" w:rsidRPr="001B73FC">
        <w:rPr>
          <w:rFonts w:ascii="Arial" w:eastAsiaTheme="minorEastAsia" w:hAnsi="Arial" w:cstheme="minorBidi"/>
          <w:szCs w:val="21"/>
          <w:lang w:eastAsia="en-US"/>
        </w:rPr>
        <w:t>(</w:t>
      </w:r>
      <w:r w:rsidR="001B73FC" w:rsidRPr="001B73FC">
        <w:rPr>
          <w:rFonts w:ascii="Arial" w:eastAsiaTheme="minorEastAsia" w:hAnsi="Arial" w:cstheme="minorBidi"/>
          <w:szCs w:val="21"/>
          <w:lang w:eastAsia="en-US"/>
        </w:rPr>
        <w:t>combined into new item 30740</w:t>
      </w:r>
      <w:r w:rsidR="00D92038" w:rsidRPr="001B73FC">
        <w:rPr>
          <w:rFonts w:ascii="Arial" w:eastAsiaTheme="minorEastAsia" w:hAnsi="Arial" w:cstheme="minorBidi"/>
          <w:szCs w:val="21"/>
          <w:lang w:eastAsia="en-US"/>
        </w:rPr>
        <w:t>)</w:t>
      </w:r>
      <w:r w:rsidR="00D92038">
        <w:rPr>
          <w:rFonts w:ascii="Arial" w:eastAsiaTheme="minorEastAsia" w:hAnsi="Arial" w:cstheme="minorBidi"/>
          <w:szCs w:val="21"/>
          <w:lang w:eastAsia="en-US"/>
        </w:rPr>
        <w:br/>
      </w:r>
    </w:p>
    <w:p w14:paraId="35A69AE4" w14:textId="281A45E1" w:rsidR="00814E9B" w:rsidRDefault="00DC2695" w:rsidP="00C85BCE">
      <w:pPr>
        <w:spacing w:line="259" w:lineRule="auto"/>
        <w:rPr>
          <w:noProof/>
          <w:color w:val="001A70" w:themeColor="text2"/>
          <w:sz w:val="28"/>
        </w:rPr>
      </w:pPr>
      <w:r>
        <w:rPr>
          <w:rStyle w:val="DeletedItemNumber"/>
          <w:noProof/>
          <w:sz w:val="28"/>
        </w:rPr>
        <w:t xml:space="preserve">Deleted item </w:t>
      </w:r>
      <w:r w:rsidRPr="00916BB3">
        <w:rPr>
          <w:rStyle w:val="DeletedItemNumber"/>
          <w:noProof/>
          <w:sz w:val="28"/>
        </w:rPr>
        <w:t>30</w:t>
      </w:r>
      <w:r w:rsidR="009A54FA">
        <w:rPr>
          <w:rStyle w:val="DeletedItemNumber"/>
          <w:noProof/>
          <w:sz w:val="28"/>
        </w:rPr>
        <w:t>614</w:t>
      </w:r>
      <w:r>
        <w:rPr>
          <w:rStyle w:val="DeletedItemNumber"/>
          <w:noProof/>
          <w:sz w:val="28"/>
        </w:rPr>
        <w:t xml:space="preserve"> </w:t>
      </w:r>
      <w:r w:rsidR="003E0C6C" w:rsidRPr="003E0C6C">
        <w:rPr>
          <w:noProof/>
          <w:color w:val="001A70" w:themeColor="text2"/>
          <w:sz w:val="28"/>
        </w:rPr>
        <w:t>Femoral or inguinal hernia or infantile hydrocele, repair of, on a person 10 years of age or over, other than a service to which item 30403 or 30615 applies (H) (Anaes.) (Assist.)</w:t>
      </w:r>
      <w:r w:rsidR="003E0C6C">
        <w:rPr>
          <w:noProof/>
          <w:color w:val="001A70" w:themeColor="text2"/>
          <w:sz w:val="28"/>
        </w:rPr>
        <w:t xml:space="preserve"> MBS Fee: $</w:t>
      </w:r>
      <w:r w:rsidR="003E0C6C" w:rsidRPr="003E0C6C">
        <w:rPr>
          <w:noProof/>
          <w:color w:val="001A70" w:themeColor="text2"/>
          <w:sz w:val="28"/>
        </w:rPr>
        <w:t>479.05</w:t>
      </w:r>
      <w:r w:rsidR="00D92038" w:rsidRPr="00C85BCE">
        <w:rPr>
          <w:i/>
          <w:noProof/>
          <w:color w:val="001A70" w:themeColor="text2"/>
          <w:sz w:val="28"/>
        </w:rPr>
        <w:t xml:space="preserve"> </w:t>
      </w:r>
      <w:r w:rsidR="003E0C6C" w:rsidRPr="003E0C6C">
        <w:t>(combined into new item 30740</w:t>
      </w:r>
      <w:r w:rsidR="00D92038" w:rsidRPr="003E0C6C">
        <w:t>)</w:t>
      </w:r>
      <w:r w:rsidR="00D92038" w:rsidRPr="00C85BCE">
        <w:rPr>
          <w:i/>
          <w:noProof/>
          <w:color w:val="001A70" w:themeColor="text2"/>
          <w:sz w:val="28"/>
        </w:rPr>
        <w:br/>
      </w:r>
    </w:p>
    <w:p w14:paraId="12F79AB7" w14:textId="4B2022A0" w:rsidR="00DE65D8" w:rsidRDefault="00DE65D8">
      <w:pPr>
        <w:spacing w:line="259" w:lineRule="auto"/>
        <w:rPr>
          <w:b/>
          <w:noProof/>
          <w:color w:val="FFFFFF" w:themeColor="background1"/>
          <w:sz w:val="28"/>
          <w:u w:color="006341" w:themeColor="accent1"/>
          <w:shd w:val="clear" w:color="auto" w:fill="A72B2A" w:themeFill="accent6"/>
        </w:rPr>
      </w:pPr>
      <w:r>
        <w:rPr>
          <w:b/>
          <w:noProof/>
          <w:color w:val="FFFFFF" w:themeColor="background1"/>
          <w:sz w:val="28"/>
          <w:u w:color="006341" w:themeColor="accent1"/>
          <w:shd w:val="clear" w:color="auto" w:fill="A72B2A" w:themeFill="accent6"/>
        </w:rPr>
        <w:br w:type="page"/>
      </w:r>
    </w:p>
    <w:p w14:paraId="4F837B41" w14:textId="77777777" w:rsidR="007D70B2" w:rsidRDefault="007D70B2" w:rsidP="007D70B2">
      <w:pPr>
        <w:pStyle w:val="Heading2"/>
      </w:pPr>
      <w:r>
        <w:lastRenderedPageBreak/>
        <w:t>Where can I find more information?</w:t>
      </w:r>
    </w:p>
    <w:p w14:paraId="298E377B" w14:textId="31F1C71C" w:rsidR="00C91EEC" w:rsidRDefault="00C91EEC" w:rsidP="00C91EEC">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13" w:history="1">
        <w:r>
          <w:rPr>
            <w:rStyle w:val="Hyperlink"/>
          </w:rPr>
          <w:t>1july2021MBSchanges.generalsurgery@health.gov.au</w:t>
        </w:r>
      </w:hyperlink>
      <w:r>
        <w:rPr>
          <w:u w:val="single"/>
        </w:rPr>
        <w:t>.</w:t>
      </w:r>
      <w:r>
        <w:t xml:space="preserve"> Questions regarding the  </w:t>
      </w:r>
      <w:r w:rsidR="00A62251">
        <w:t xml:space="preserve"> PHI Classification</w:t>
      </w:r>
      <w:r>
        <w:t xml:space="preserve">s should be directed to </w:t>
      </w:r>
      <w:hyperlink r:id="rId14" w:history="1">
        <w:r>
          <w:rPr>
            <w:rStyle w:val="Hyperlink"/>
            <w:szCs w:val="20"/>
          </w:rPr>
          <w:t>PHI@health.gov.au</w:t>
        </w:r>
      </w:hyperlink>
      <w:r>
        <w:rPr>
          <w:rStyle w:val="Hyperlink"/>
          <w:b/>
          <w:szCs w:val="20"/>
        </w:rPr>
        <w:t>.</w:t>
      </w:r>
    </w:p>
    <w:p w14:paraId="4FF33356" w14:textId="77777777" w:rsidR="00C91EEC" w:rsidRDefault="00C91EEC" w:rsidP="00C91EEC">
      <w:pPr>
        <w:rPr>
          <w:u w:val="single"/>
        </w:rPr>
      </w:pPr>
      <w:r>
        <w:t xml:space="preserve">If you have a query relating exclusively to interpretation of the Schedule after the changes to the general surgery items have been implemented on 1 July 2021, please email </w:t>
      </w:r>
      <w:hyperlink r:id="rId15" w:history="1">
        <w:r>
          <w:rPr>
            <w:rStyle w:val="Hyperlink"/>
          </w:rPr>
          <w:t>askMBS@health.gov.au</w:t>
        </w:r>
      </w:hyperlink>
      <w:r>
        <w:rPr>
          <w:u w:val="single"/>
        </w:rPr>
        <w:t>.</w:t>
      </w:r>
    </w:p>
    <w:p w14:paraId="40055949" w14:textId="77777777" w:rsidR="00C91EEC" w:rsidRDefault="00C91EEC" w:rsidP="00C91EEC">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18B85077" w:rsidR="0029176A" w:rsidRPr="009A54FA" w:rsidRDefault="0029176A" w:rsidP="009A54FA">
      <w:pPr>
        <w:pStyle w:val="Disclaimer"/>
      </w:pPr>
    </w:p>
    <w:sectPr w:rsidR="0029176A" w:rsidRPr="009A54FA" w:rsidSect="00017D5D">
      <w:headerReference w:type="default" r:id="rId16"/>
      <w:footerReference w:type="default" r:id="rId17"/>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B17949" w:rsidRDefault="00B17949" w:rsidP="006D1088">
      <w:pPr>
        <w:spacing w:after="0" w:line="240" w:lineRule="auto"/>
      </w:pPr>
      <w:r>
        <w:separator/>
      </w:r>
    </w:p>
  </w:endnote>
  <w:endnote w:type="continuationSeparator" w:id="0">
    <w:p w14:paraId="4C3262E5" w14:textId="77777777" w:rsidR="00B17949" w:rsidRDefault="00B1794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ABAF" w14:textId="77777777" w:rsidR="00D14C31" w:rsidRDefault="00D1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B17949" w:rsidRPr="00C64B9E" w:rsidRDefault="00D14C31"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B17949" w:rsidRPr="00C64B9E">
      <w:rPr>
        <w:color w:val="001A70" w:themeColor="text2"/>
        <w:sz w:val="16"/>
      </w:rPr>
      <w:t>Medicare Benefits Schedule</w:t>
    </w:r>
  </w:p>
  <w:p w14:paraId="4046103A" w14:textId="3B0B6E8F" w:rsidR="00B17949" w:rsidRPr="00C64B9E" w:rsidRDefault="00B17949" w:rsidP="00C64B9E">
    <w:pPr>
      <w:tabs>
        <w:tab w:val="center" w:pos="4513"/>
        <w:tab w:val="right" w:pos="10466"/>
      </w:tabs>
      <w:spacing w:after="0" w:line="240" w:lineRule="auto"/>
      <w:rPr>
        <w:color w:val="001A70" w:themeColor="text2"/>
        <w:sz w:val="16"/>
      </w:rPr>
    </w:pPr>
    <w:r>
      <w:rPr>
        <w:b/>
        <w:color w:val="001A70" w:themeColor="text2"/>
        <w:sz w:val="16"/>
      </w:rPr>
      <w:t>1 July 2021 Changes to Abdominal wall hernia</w:t>
    </w:r>
    <w:r w:rsidRPr="006D68F3">
      <w:rPr>
        <w:b/>
        <w:color w:val="001A70" w:themeColor="text2"/>
        <w:sz w:val="16"/>
      </w:rPr>
      <w:t xml:space="preserve"> MBS </w:t>
    </w:r>
    <w:r w:rsidRPr="00971C5A">
      <w:rPr>
        <w:b/>
        <w:color w:val="001A70" w:themeColor="text2"/>
        <w:sz w:val="16"/>
      </w:rPr>
      <w:t xml:space="preserve">services </w:t>
    </w:r>
    <w:sdt>
      <w:sdtPr>
        <w:rPr>
          <w:b/>
          <w:color w:val="001A70" w:themeColor="text2"/>
          <w:sz w:val="16"/>
        </w:rPr>
        <w:id w:val="960607005"/>
        <w:docPartObj>
          <w:docPartGallery w:val="Page Numbers (Bottom of Page)"/>
          <w:docPartUnique/>
        </w:docPartObj>
      </w:sdtPr>
      <w:sdtEndPr>
        <w:rPr>
          <w:noProof/>
        </w:rPr>
      </w:sdtEndPr>
      <w:sdtContent>
        <w:r w:rsidRPr="00971C5A">
          <w:rPr>
            <w:b/>
            <w:color w:val="001A70" w:themeColor="text2"/>
            <w:sz w:val="16"/>
          </w:rPr>
          <w:t xml:space="preserve">–Reference </w:t>
        </w:r>
        <w:r>
          <w:rPr>
            <w:b/>
            <w:color w:val="001A70" w:themeColor="text2"/>
            <w:sz w:val="16"/>
          </w:rPr>
          <w:t>G</w:t>
        </w:r>
        <w:r w:rsidRPr="00971C5A">
          <w:rPr>
            <w:b/>
            <w:color w:val="001A70" w:themeColor="text2"/>
            <w:sz w:val="16"/>
          </w:rPr>
          <w:t>uide</w:t>
        </w:r>
        <w:r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Pr="00971C5A">
                  <w:rPr>
                    <w:b/>
                    <w:color w:val="001A70" w:themeColor="text2"/>
                    <w:sz w:val="16"/>
                  </w:rPr>
                  <w:t xml:space="preserve">Page </w:t>
                </w:r>
                <w:r w:rsidRPr="00971C5A">
                  <w:rPr>
                    <w:b/>
                    <w:bCs/>
                    <w:color w:val="001A70" w:themeColor="text2"/>
                    <w:sz w:val="24"/>
                    <w:szCs w:val="24"/>
                  </w:rPr>
                  <w:fldChar w:fldCharType="begin"/>
                </w:r>
                <w:r w:rsidRPr="00971C5A">
                  <w:rPr>
                    <w:b/>
                    <w:bCs/>
                    <w:color w:val="001A70" w:themeColor="text2"/>
                    <w:sz w:val="16"/>
                  </w:rPr>
                  <w:instrText xml:space="preserve"> PAGE </w:instrText>
                </w:r>
                <w:r w:rsidRPr="00971C5A">
                  <w:rPr>
                    <w:b/>
                    <w:bCs/>
                    <w:color w:val="001A70" w:themeColor="text2"/>
                    <w:sz w:val="24"/>
                    <w:szCs w:val="24"/>
                  </w:rPr>
                  <w:fldChar w:fldCharType="separate"/>
                </w:r>
                <w:r w:rsidR="00D14C31">
                  <w:rPr>
                    <w:b/>
                    <w:bCs/>
                    <w:noProof/>
                    <w:color w:val="001A70" w:themeColor="text2"/>
                    <w:sz w:val="16"/>
                  </w:rPr>
                  <w:t>3</w:t>
                </w:r>
                <w:r w:rsidRPr="00971C5A">
                  <w:rPr>
                    <w:b/>
                    <w:bCs/>
                    <w:color w:val="001A70" w:themeColor="text2"/>
                    <w:sz w:val="24"/>
                    <w:szCs w:val="24"/>
                  </w:rPr>
                  <w:fldChar w:fldCharType="end"/>
                </w:r>
                <w:r w:rsidRPr="00971C5A">
                  <w:rPr>
                    <w:b/>
                    <w:color w:val="001A70" w:themeColor="text2"/>
                    <w:sz w:val="16"/>
                  </w:rPr>
                  <w:t xml:space="preserve"> of </w:t>
                </w:r>
                <w:r w:rsidRPr="00971C5A">
                  <w:rPr>
                    <w:b/>
                    <w:bCs/>
                    <w:color w:val="001A70" w:themeColor="text2"/>
                    <w:sz w:val="24"/>
                    <w:szCs w:val="24"/>
                  </w:rPr>
                  <w:fldChar w:fldCharType="begin"/>
                </w:r>
                <w:r w:rsidRPr="00971C5A">
                  <w:rPr>
                    <w:b/>
                    <w:bCs/>
                    <w:color w:val="001A70" w:themeColor="text2"/>
                    <w:sz w:val="16"/>
                  </w:rPr>
                  <w:instrText xml:space="preserve"> NUMPAGES  </w:instrText>
                </w:r>
                <w:r w:rsidRPr="00971C5A">
                  <w:rPr>
                    <w:b/>
                    <w:bCs/>
                    <w:color w:val="001A70" w:themeColor="text2"/>
                    <w:sz w:val="24"/>
                    <w:szCs w:val="24"/>
                  </w:rPr>
                  <w:fldChar w:fldCharType="separate"/>
                </w:r>
                <w:r w:rsidR="00D14C31">
                  <w:rPr>
                    <w:b/>
                    <w:bCs/>
                    <w:noProof/>
                    <w:color w:val="001A70" w:themeColor="text2"/>
                    <w:sz w:val="16"/>
                  </w:rPr>
                  <w:t>5</w:t>
                </w:r>
                <w:r w:rsidRPr="00971C5A">
                  <w:rPr>
                    <w:b/>
                    <w:bCs/>
                    <w:color w:val="001A70" w:themeColor="text2"/>
                    <w:sz w:val="24"/>
                    <w:szCs w:val="24"/>
                  </w:rPr>
                  <w:fldChar w:fldCharType="end"/>
                </w:r>
              </w:sdtContent>
            </w:sdt>
          </w:sdtContent>
        </w:sdt>
        <w:r w:rsidRPr="00971C5A">
          <w:rPr>
            <w:b/>
            <w:color w:val="001A70" w:themeColor="text2"/>
            <w:sz w:val="16"/>
          </w:rPr>
          <w:t xml:space="preserve"> </w:t>
        </w:r>
      </w:sdtContent>
    </w:sdt>
  </w:p>
  <w:p w14:paraId="5AE95DE8" w14:textId="77777777" w:rsidR="00B17949" w:rsidRDefault="00D14C31" w:rsidP="00C64B9E">
    <w:pPr>
      <w:pStyle w:val="Footer"/>
      <w:rPr>
        <w:color w:val="7D2248" w:themeColor="hyperlink"/>
        <w:sz w:val="16"/>
        <w:szCs w:val="18"/>
        <w:u w:val="single"/>
      </w:rPr>
    </w:pPr>
    <w:hyperlink r:id="rId1" w:history="1">
      <w:r w:rsidR="00B17949" w:rsidRPr="00AD581A">
        <w:rPr>
          <w:color w:val="7D2248" w:themeColor="hyperlink"/>
          <w:sz w:val="16"/>
          <w:szCs w:val="18"/>
          <w:u w:val="single"/>
        </w:rPr>
        <w:t>MBS Online</w:t>
      </w:r>
    </w:hyperlink>
  </w:p>
  <w:p w14:paraId="45C46925" w14:textId="65C2A01A" w:rsidR="00B17949" w:rsidRPr="005B7573" w:rsidRDefault="00B17949" w:rsidP="005B7573">
    <w:pPr>
      <w:tabs>
        <w:tab w:val="center" w:pos="4513"/>
        <w:tab w:val="right" w:pos="9026"/>
      </w:tabs>
      <w:spacing w:after="0" w:line="240" w:lineRule="auto"/>
      <w:rPr>
        <w:color w:val="001A70" w:themeColor="text2"/>
        <w:sz w:val="16"/>
      </w:rPr>
    </w:pPr>
    <w:bookmarkStart w:id="4" w:name="_Hlk6912109"/>
    <w:bookmarkStart w:id="5" w:name="_Hlk6912110"/>
    <w:r w:rsidRPr="00A57A17">
      <w:rPr>
        <w:color w:val="001A70" w:themeColor="text2"/>
        <w:sz w:val="16"/>
      </w:rPr>
      <w:t>Last updated –</w:t>
    </w:r>
    <w:r>
      <w:rPr>
        <w:color w:val="001A70" w:themeColor="text2"/>
        <w:sz w:val="16"/>
      </w:rPr>
      <w:t xml:space="preserve"> </w:t>
    </w:r>
    <w:r w:rsidRPr="00C91EEC">
      <w:rPr>
        <w:b/>
        <w:color w:val="001A70" w:themeColor="text2"/>
        <w:sz w:val="16"/>
      </w:rPr>
      <w:t xml:space="preserve"> </w:t>
    </w:r>
    <w:r w:rsidR="00824C87">
      <w:rPr>
        <w:b/>
        <w:color w:val="001A70" w:themeColor="text2"/>
        <w:sz w:val="16"/>
      </w:rPr>
      <w:t xml:space="preserve"> </w:t>
    </w:r>
    <w:r w:rsidR="00384E0E">
      <w:rPr>
        <w:b/>
        <w:color w:val="001A70" w:themeColor="text2"/>
        <w:sz w:val="16"/>
      </w:rPr>
      <w:t>0</w:t>
    </w:r>
    <w:r w:rsidR="001367D7">
      <w:rPr>
        <w:b/>
        <w:color w:val="001A70" w:themeColor="text2"/>
        <w:sz w:val="16"/>
      </w:rPr>
      <w:t>6</w:t>
    </w:r>
    <w:r w:rsidR="00384E0E">
      <w:rPr>
        <w:b/>
        <w:color w:val="001A70" w:themeColor="text2"/>
        <w:sz w:val="16"/>
      </w:rPr>
      <w:t xml:space="preserve"> July</w:t>
    </w:r>
    <w:r w:rsidR="00CD7C76">
      <w:rPr>
        <w:b/>
        <w:color w:val="001A70" w:themeColor="text2"/>
        <w:sz w:val="16"/>
      </w:rPr>
      <w:t xml:space="preserve"> </w:t>
    </w:r>
    <w:r w:rsidRPr="00C91EEC">
      <w:rPr>
        <w:b/>
        <w:color w:val="001A70" w:themeColor="text2"/>
        <w:sz w:val="16"/>
      </w:rPr>
      <w:t>20</w:t>
    </w:r>
    <w:bookmarkEnd w:id="4"/>
    <w:bookmarkEnd w:id="5"/>
    <w:r w:rsidRPr="00C91EEC">
      <w:rPr>
        <w:b/>
        <w:color w:val="001A70" w:themeColor="text2"/>
        <w:sz w:val="16"/>
      </w:rPr>
      <w:t>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0ECC6" w14:textId="77777777" w:rsidR="00D14C31" w:rsidRDefault="00D14C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B17949" w:rsidRPr="00C64B9E" w:rsidRDefault="00D14C31"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B17949" w:rsidRPr="00C64B9E">
      <w:rPr>
        <w:color w:val="001A70" w:themeColor="text2"/>
        <w:sz w:val="16"/>
      </w:rPr>
      <w:t>Medicare Benefits Schedule</w:t>
    </w:r>
  </w:p>
  <w:p w14:paraId="1AA4F7B5" w14:textId="5DE3468B" w:rsidR="00B17949" w:rsidRPr="00C64B9E" w:rsidRDefault="00B17949" w:rsidP="00C64B9E">
    <w:pPr>
      <w:tabs>
        <w:tab w:val="center" w:pos="4513"/>
        <w:tab w:val="right" w:pos="10466"/>
      </w:tabs>
      <w:spacing w:after="0" w:line="240" w:lineRule="auto"/>
      <w:rPr>
        <w:color w:val="001A70" w:themeColor="text2"/>
        <w:sz w:val="16"/>
      </w:rPr>
    </w:pPr>
    <w:r>
      <w:rPr>
        <w:b/>
        <w:color w:val="001A70" w:themeColor="text2"/>
        <w:sz w:val="16"/>
      </w:rPr>
      <w:t>1 July 2021 changes to Abdominal Wall Hernia MBS services</w:t>
    </w:r>
    <w:r w:rsidRPr="00C64B9E">
      <w:rPr>
        <w:b/>
        <w:color w:val="001A70" w:themeColor="text2"/>
        <w:sz w:val="16"/>
      </w:rPr>
      <w:t xml:space="preserve"> –</w:t>
    </w:r>
    <w:r>
      <w:rPr>
        <w:b/>
        <w:color w:val="001A70" w:themeColor="text2"/>
        <w:sz w:val="16"/>
      </w:rPr>
      <w:t xml:space="preserve"> Reference guide</w:t>
    </w:r>
    <w:r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D14C31">
                  <w:rPr>
                    <w:bCs/>
                    <w:noProof/>
                    <w:color w:val="001A70" w:themeColor="text2"/>
                    <w:sz w:val="16"/>
                  </w:rPr>
                  <w:t>5</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D14C31">
                  <w:rPr>
                    <w:bCs/>
                    <w:noProof/>
                    <w:color w:val="001A70" w:themeColor="text2"/>
                    <w:sz w:val="16"/>
                  </w:rPr>
                  <w:t>5</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45BF9366" w14:textId="77777777" w:rsidR="00B17949" w:rsidRDefault="00D14C31" w:rsidP="00C64B9E">
    <w:pPr>
      <w:pStyle w:val="Footer"/>
      <w:rPr>
        <w:color w:val="7D2248" w:themeColor="hyperlink"/>
        <w:sz w:val="16"/>
        <w:szCs w:val="18"/>
        <w:u w:val="single"/>
      </w:rPr>
    </w:pPr>
    <w:hyperlink r:id="rId1" w:history="1">
      <w:r w:rsidR="00B17949" w:rsidRPr="00AD581A">
        <w:rPr>
          <w:color w:val="7D2248" w:themeColor="hyperlink"/>
          <w:sz w:val="16"/>
          <w:szCs w:val="18"/>
          <w:u w:val="single"/>
        </w:rPr>
        <w:t>MBS Online</w:t>
      </w:r>
    </w:hyperlink>
  </w:p>
  <w:p w14:paraId="6186962E" w14:textId="340240F6" w:rsidR="00B17949" w:rsidRPr="00C91EEC" w:rsidRDefault="00B17949" w:rsidP="005B7573">
    <w:pPr>
      <w:tabs>
        <w:tab w:val="center" w:pos="4513"/>
        <w:tab w:val="right" w:pos="9026"/>
      </w:tabs>
      <w:spacing w:after="0" w:line="240" w:lineRule="auto"/>
      <w:rPr>
        <w:b/>
        <w:color w:val="001A70" w:themeColor="text2"/>
        <w:sz w:val="16"/>
      </w:rPr>
    </w:pPr>
    <w:r w:rsidRPr="00A57A17">
      <w:rPr>
        <w:color w:val="001A70" w:themeColor="text2"/>
        <w:sz w:val="16"/>
      </w:rPr>
      <w:t xml:space="preserve">Last updated </w:t>
    </w:r>
    <w:proofErr w:type="gramStart"/>
    <w:r w:rsidRPr="00A57A17">
      <w:rPr>
        <w:color w:val="001A70" w:themeColor="text2"/>
        <w:sz w:val="16"/>
      </w:rPr>
      <w:t xml:space="preserve">– </w:t>
    </w:r>
    <w:r w:rsidR="001367D7">
      <w:rPr>
        <w:color w:val="001A70" w:themeColor="text2"/>
        <w:sz w:val="16"/>
      </w:rPr>
      <w:t xml:space="preserve"> 06</w:t>
    </w:r>
    <w:proofErr w:type="gramEnd"/>
    <w:r w:rsidR="00824C87">
      <w:rPr>
        <w:color w:val="001A70" w:themeColor="text2"/>
        <w:sz w:val="16"/>
      </w:rPr>
      <w:t xml:space="preserve"> Ju</w:t>
    </w:r>
    <w:r w:rsidR="001367D7">
      <w:rPr>
        <w:color w:val="001A70" w:themeColor="text2"/>
        <w:sz w:val="16"/>
      </w:rPr>
      <w:t>ly</w:t>
    </w:r>
    <w:r w:rsidR="00824C87">
      <w:rPr>
        <w:color w:val="001A70" w:themeColor="text2"/>
        <w:sz w:val="16"/>
      </w:rPr>
      <w:t xml:space="preserve"> </w:t>
    </w:r>
    <w:r w:rsidRPr="00C91EEC">
      <w:rPr>
        <w:b/>
        <w:color w:val="001A70"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B17949" w:rsidRDefault="00B17949" w:rsidP="006D1088">
      <w:pPr>
        <w:spacing w:after="0" w:line="240" w:lineRule="auto"/>
      </w:pPr>
      <w:r>
        <w:separator/>
      </w:r>
    </w:p>
  </w:footnote>
  <w:footnote w:type="continuationSeparator" w:id="0">
    <w:p w14:paraId="7926CA62" w14:textId="77777777" w:rsidR="00B17949" w:rsidRDefault="00B1794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654A" w14:textId="77777777" w:rsidR="00D14C31" w:rsidRDefault="00D14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B17949" w:rsidRDefault="00B17949">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7" name="Picture 7"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387F" w14:textId="77777777" w:rsidR="00D14C31" w:rsidRDefault="00D14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B17949" w:rsidRDefault="00B17949">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F17ED9"/>
    <w:multiLevelType w:val="hybridMultilevel"/>
    <w:tmpl w:val="FFC83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3"/>
  </w:num>
  <w:num w:numId="5">
    <w:abstractNumId w:val="5"/>
  </w:num>
  <w:num w:numId="6">
    <w:abstractNumId w:val="7"/>
  </w:num>
  <w:num w:numId="7">
    <w:abstractNumId w:val="0"/>
  </w:num>
  <w:num w:numId="8">
    <w:abstractNumId w:val="7"/>
  </w:num>
  <w:num w:numId="9">
    <w:abstractNumId w:val="3"/>
  </w:num>
  <w:num w:numId="10">
    <w:abstractNumId w:val="1"/>
  </w:num>
  <w:num w:numId="11">
    <w:abstractNumId w:val="6"/>
  </w:num>
  <w:num w:numId="12">
    <w:abstractNumId w:val="4"/>
  </w:num>
  <w:num w:numId="13">
    <w:abstractNumId w:val="2"/>
  </w:num>
  <w:num w:numId="14">
    <w:abstractNumId w:val="8"/>
  </w:num>
  <w:num w:numId="15">
    <w:abstractNumId w:val="2"/>
  </w:num>
  <w:num w:numId="16">
    <w:abstractNumId w:val="8"/>
  </w:num>
  <w:num w:numId="17">
    <w:abstractNumId w:val="2"/>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69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16B8"/>
    <w:rsid w:val="00004431"/>
    <w:rsid w:val="0001305A"/>
    <w:rsid w:val="00017D5D"/>
    <w:rsid w:val="0003040F"/>
    <w:rsid w:val="00032635"/>
    <w:rsid w:val="00032AB6"/>
    <w:rsid w:val="00032FDC"/>
    <w:rsid w:val="00037F63"/>
    <w:rsid w:val="00042682"/>
    <w:rsid w:val="00042844"/>
    <w:rsid w:val="000523EF"/>
    <w:rsid w:val="0005295D"/>
    <w:rsid w:val="00053819"/>
    <w:rsid w:val="00054029"/>
    <w:rsid w:val="000711BC"/>
    <w:rsid w:val="000721D0"/>
    <w:rsid w:val="000742F2"/>
    <w:rsid w:val="00074AD7"/>
    <w:rsid w:val="00074D67"/>
    <w:rsid w:val="00074D9E"/>
    <w:rsid w:val="00077BFD"/>
    <w:rsid w:val="000802AA"/>
    <w:rsid w:val="0008555D"/>
    <w:rsid w:val="000856E4"/>
    <w:rsid w:val="00087AE5"/>
    <w:rsid w:val="000A37C5"/>
    <w:rsid w:val="000A43C6"/>
    <w:rsid w:val="000A44CF"/>
    <w:rsid w:val="000B01AE"/>
    <w:rsid w:val="000B1C57"/>
    <w:rsid w:val="000B1C83"/>
    <w:rsid w:val="000B4851"/>
    <w:rsid w:val="000C48FC"/>
    <w:rsid w:val="000C730C"/>
    <w:rsid w:val="000D6618"/>
    <w:rsid w:val="000D6DC4"/>
    <w:rsid w:val="000E1A3D"/>
    <w:rsid w:val="000E7D2B"/>
    <w:rsid w:val="000F3FF2"/>
    <w:rsid w:val="000F658B"/>
    <w:rsid w:val="00100783"/>
    <w:rsid w:val="00101643"/>
    <w:rsid w:val="00104EF5"/>
    <w:rsid w:val="00107BE4"/>
    <w:rsid w:val="00107E32"/>
    <w:rsid w:val="0011235D"/>
    <w:rsid w:val="00114BC8"/>
    <w:rsid w:val="0012480B"/>
    <w:rsid w:val="00126243"/>
    <w:rsid w:val="001367D7"/>
    <w:rsid w:val="001372D9"/>
    <w:rsid w:val="00137B7A"/>
    <w:rsid w:val="001428D6"/>
    <w:rsid w:val="00143300"/>
    <w:rsid w:val="00143450"/>
    <w:rsid w:val="00145D41"/>
    <w:rsid w:val="001620B2"/>
    <w:rsid w:val="001715BA"/>
    <w:rsid w:val="00180302"/>
    <w:rsid w:val="00181B52"/>
    <w:rsid w:val="0018226E"/>
    <w:rsid w:val="00184A4F"/>
    <w:rsid w:val="00184BC4"/>
    <w:rsid w:val="00191DE6"/>
    <w:rsid w:val="001A5EAB"/>
    <w:rsid w:val="001A7162"/>
    <w:rsid w:val="001A73A5"/>
    <w:rsid w:val="001B73FC"/>
    <w:rsid w:val="001C065B"/>
    <w:rsid w:val="001C2E6A"/>
    <w:rsid w:val="001C39EA"/>
    <w:rsid w:val="001C3B15"/>
    <w:rsid w:val="001D7BC7"/>
    <w:rsid w:val="001E2F17"/>
    <w:rsid w:val="001E31E8"/>
    <w:rsid w:val="001E3873"/>
    <w:rsid w:val="001E4AAE"/>
    <w:rsid w:val="001E6AB8"/>
    <w:rsid w:val="001F047B"/>
    <w:rsid w:val="001F1B42"/>
    <w:rsid w:val="001F2F2F"/>
    <w:rsid w:val="00207CE3"/>
    <w:rsid w:val="00215F3B"/>
    <w:rsid w:val="0022001B"/>
    <w:rsid w:val="00225FE2"/>
    <w:rsid w:val="00227391"/>
    <w:rsid w:val="00231B2F"/>
    <w:rsid w:val="00232633"/>
    <w:rsid w:val="00235EA5"/>
    <w:rsid w:val="002360FA"/>
    <w:rsid w:val="00237393"/>
    <w:rsid w:val="00237A74"/>
    <w:rsid w:val="00237BE8"/>
    <w:rsid w:val="00240530"/>
    <w:rsid w:val="00240B49"/>
    <w:rsid w:val="00241DF1"/>
    <w:rsid w:val="00243B53"/>
    <w:rsid w:val="00244C4C"/>
    <w:rsid w:val="00245EB1"/>
    <w:rsid w:val="00260E0E"/>
    <w:rsid w:val="00264E25"/>
    <w:rsid w:val="00265AF9"/>
    <w:rsid w:val="002672AF"/>
    <w:rsid w:val="00270AB0"/>
    <w:rsid w:val="002746BB"/>
    <w:rsid w:val="0027565A"/>
    <w:rsid w:val="00284D64"/>
    <w:rsid w:val="0028672C"/>
    <w:rsid w:val="0029176A"/>
    <w:rsid w:val="00296DD0"/>
    <w:rsid w:val="002A3C7C"/>
    <w:rsid w:val="002B3424"/>
    <w:rsid w:val="002B36A2"/>
    <w:rsid w:val="002B378B"/>
    <w:rsid w:val="002B39B2"/>
    <w:rsid w:val="002C0776"/>
    <w:rsid w:val="002C2303"/>
    <w:rsid w:val="002C6D3C"/>
    <w:rsid w:val="002D02F1"/>
    <w:rsid w:val="002D2DB8"/>
    <w:rsid w:val="002D5FAC"/>
    <w:rsid w:val="002E01B6"/>
    <w:rsid w:val="002E272C"/>
    <w:rsid w:val="002E3FE8"/>
    <w:rsid w:val="002F0178"/>
    <w:rsid w:val="003049BA"/>
    <w:rsid w:val="00306A61"/>
    <w:rsid w:val="003078BD"/>
    <w:rsid w:val="00307C6D"/>
    <w:rsid w:val="00316F29"/>
    <w:rsid w:val="00321E9D"/>
    <w:rsid w:val="00322ACB"/>
    <w:rsid w:val="00330556"/>
    <w:rsid w:val="00332D5E"/>
    <w:rsid w:val="00335B53"/>
    <w:rsid w:val="0033632B"/>
    <w:rsid w:val="003370DF"/>
    <w:rsid w:val="003435BA"/>
    <w:rsid w:val="0034678C"/>
    <w:rsid w:val="00352321"/>
    <w:rsid w:val="00352553"/>
    <w:rsid w:val="00354816"/>
    <w:rsid w:val="0035626F"/>
    <w:rsid w:val="00361C1A"/>
    <w:rsid w:val="00363A31"/>
    <w:rsid w:val="00365CEC"/>
    <w:rsid w:val="00365E4C"/>
    <w:rsid w:val="00366685"/>
    <w:rsid w:val="0037154A"/>
    <w:rsid w:val="00372A70"/>
    <w:rsid w:val="00372CD0"/>
    <w:rsid w:val="003737F7"/>
    <w:rsid w:val="00382354"/>
    <w:rsid w:val="00384E0E"/>
    <w:rsid w:val="003876F9"/>
    <w:rsid w:val="0039309C"/>
    <w:rsid w:val="00395FE7"/>
    <w:rsid w:val="003A2EE6"/>
    <w:rsid w:val="003A3465"/>
    <w:rsid w:val="003A43DE"/>
    <w:rsid w:val="003A7902"/>
    <w:rsid w:val="003B1121"/>
    <w:rsid w:val="003B4CD5"/>
    <w:rsid w:val="003B638F"/>
    <w:rsid w:val="003C02DA"/>
    <w:rsid w:val="003C0794"/>
    <w:rsid w:val="003C11D3"/>
    <w:rsid w:val="003C4768"/>
    <w:rsid w:val="003C68EF"/>
    <w:rsid w:val="003D3DF9"/>
    <w:rsid w:val="003D5CEF"/>
    <w:rsid w:val="003D7D55"/>
    <w:rsid w:val="003E0C6C"/>
    <w:rsid w:val="003E13D9"/>
    <w:rsid w:val="003E1487"/>
    <w:rsid w:val="003E265B"/>
    <w:rsid w:val="003E5FE6"/>
    <w:rsid w:val="003E6C41"/>
    <w:rsid w:val="003F2E62"/>
    <w:rsid w:val="003F53C7"/>
    <w:rsid w:val="003F5EB1"/>
    <w:rsid w:val="003F7346"/>
    <w:rsid w:val="004007BE"/>
    <w:rsid w:val="00402829"/>
    <w:rsid w:val="00404D59"/>
    <w:rsid w:val="0040562E"/>
    <w:rsid w:val="0041360F"/>
    <w:rsid w:val="00415F5E"/>
    <w:rsid w:val="00416574"/>
    <w:rsid w:val="00421E61"/>
    <w:rsid w:val="00432212"/>
    <w:rsid w:val="00432485"/>
    <w:rsid w:val="004327F7"/>
    <w:rsid w:val="004362C9"/>
    <w:rsid w:val="0044560A"/>
    <w:rsid w:val="0044625D"/>
    <w:rsid w:val="004517A8"/>
    <w:rsid w:val="00453FCB"/>
    <w:rsid w:val="00461F1D"/>
    <w:rsid w:val="00464E24"/>
    <w:rsid w:val="00466A32"/>
    <w:rsid w:val="00470DD5"/>
    <w:rsid w:val="00475508"/>
    <w:rsid w:val="004762A0"/>
    <w:rsid w:val="004775B0"/>
    <w:rsid w:val="00483353"/>
    <w:rsid w:val="004910D2"/>
    <w:rsid w:val="00492DDB"/>
    <w:rsid w:val="00493BC3"/>
    <w:rsid w:val="004A36D7"/>
    <w:rsid w:val="004A5360"/>
    <w:rsid w:val="004A627F"/>
    <w:rsid w:val="004C1290"/>
    <w:rsid w:val="004C4391"/>
    <w:rsid w:val="004C69B3"/>
    <w:rsid w:val="004D18D9"/>
    <w:rsid w:val="004E2B54"/>
    <w:rsid w:val="004E6BF7"/>
    <w:rsid w:val="004E721C"/>
    <w:rsid w:val="004F1680"/>
    <w:rsid w:val="004F2A0E"/>
    <w:rsid w:val="004F3581"/>
    <w:rsid w:val="00503A6B"/>
    <w:rsid w:val="00503E8D"/>
    <w:rsid w:val="00517B20"/>
    <w:rsid w:val="00520161"/>
    <w:rsid w:val="00522101"/>
    <w:rsid w:val="005264F6"/>
    <w:rsid w:val="00532C16"/>
    <w:rsid w:val="00533A4C"/>
    <w:rsid w:val="005428EE"/>
    <w:rsid w:val="00545884"/>
    <w:rsid w:val="00551374"/>
    <w:rsid w:val="00551DCB"/>
    <w:rsid w:val="0055701D"/>
    <w:rsid w:val="00562A42"/>
    <w:rsid w:val="00562DEF"/>
    <w:rsid w:val="005657CF"/>
    <w:rsid w:val="00571A9D"/>
    <w:rsid w:val="005721A7"/>
    <w:rsid w:val="005760C3"/>
    <w:rsid w:val="00582A66"/>
    <w:rsid w:val="005935A8"/>
    <w:rsid w:val="00596D8A"/>
    <w:rsid w:val="005A1F6C"/>
    <w:rsid w:val="005A3E55"/>
    <w:rsid w:val="005A55F0"/>
    <w:rsid w:val="005B20A9"/>
    <w:rsid w:val="005B40FE"/>
    <w:rsid w:val="005B7573"/>
    <w:rsid w:val="005C45EA"/>
    <w:rsid w:val="005D68EF"/>
    <w:rsid w:val="005E175A"/>
    <w:rsid w:val="005E4DC4"/>
    <w:rsid w:val="005E6BD6"/>
    <w:rsid w:val="005E729B"/>
    <w:rsid w:val="005F5C4A"/>
    <w:rsid w:val="005F624C"/>
    <w:rsid w:val="005F70A1"/>
    <w:rsid w:val="006054CC"/>
    <w:rsid w:val="00605562"/>
    <w:rsid w:val="006122D2"/>
    <w:rsid w:val="00617A39"/>
    <w:rsid w:val="00623477"/>
    <w:rsid w:val="006273FF"/>
    <w:rsid w:val="00627DF5"/>
    <w:rsid w:val="00630329"/>
    <w:rsid w:val="00633C96"/>
    <w:rsid w:val="00634816"/>
    <w:rsid w:val="00636431"/>
    <w:rsid w:val="00636AA5"/>
    <w:rsid w:val="006458B8"/>
    <w:rsid w:val="00645FD9"/>
    <w:rsid w:val="00652028"/>
    <w:rsid w:val="00654A34"/>
    <w:rsid w:val="0066084C"/>
    <w:rsid w:val="006624A9"/>
    <w:rsid w:val="00671AE2"/>
    <w:rsid w:val="00674645"/>
    <w:rsid w:val="006765F2"/>
    <w:rsid w:val="0067759F"/>
    <w:rsid w:val="00677973"/>
    <w:rsid w:val="00681667"/>
    <w:rsid w:val="00691DAB"/>
    <w:rsid w:val="006927B1"/>
    <w:rsid w:val="0069729D"/>
    <w:rsid w:val="006A2FD2"/>
    <w:rsid w:val="006A47D5"/>
    <w:rsid w:val="006A5D15"/>
    <w:rsid w:val="006B2891"/>
    <w:rsid w:val="006B3D2C"/>
    <w:rsid w:val="006B6DD9"/>
    <w:rsid w:val="006B6E54"/>
    <w:rsid w:val="006C1CA8"/>
    <w:rsid w:val="006C3F60"/>
    <w:rsid w:val="006C5021"/>
    <w:rsid w:val="006C54CE"/>
    <w:rsid w:val="006D1088"/>
    <w:rsid w:val="006D61CD"/>
    <w:rsid w:val="006D68E8"/>
    <w:rsid w:val="006D68F3"/>
    <w:rsid w:val="006F054D"/>
    <w:rsid w:val="006F27B7"/>
    <w:rsid w:val="006F5785"/>
    <w:rsid w:val="006F6358"/>
    <w:rsid w:val="0070201F"/>
    <w:rsid w:val="007020BF"/>
    <w:rsid w:val="00702D01"/>
    <w:rsid w:val="0070360F"/>
    <w:rsid w:val="00707670"/>
    <w:rsid w:val="00710D50"/>
    <w:rsid w:val="00712091"/>
    <w:rsid w:val="00712BF8"/>
    <w:rsid w:val="00712F33"/>
    <w:rsid w:val="00721396"/>
    <w:rsid w:val="00721B19"/>
    <w:rsid w:val="00722D08"/>
    <w:rsid w:val="00723C6B"/>
    <w:rsid w:val="00724713"/>
    <w:rsid w:val="0073257C"/>
    <w:rsid w:val="00736D31"/>
    <w:rsid w:val="00737C3C"/>
    <w:rsid w:val="0074190E"/>
    <w:rsid w:val="007456E7"/>
    <w:rsid w:val="00754B9B"/>
    <w:rsid w:val="00762CF6"/>
    <w:rsid w:val="00763E5B"/>
    <w:rsid w:val="00774C9D"/>
    <w:rsid w:val="00780EF8"/>
    <w:rsid w:val="00781237"/>
    <w:rsid w:val="0078238A"/>
    <w:rsid w:val="0078496D"/>
    <w:rsid w:val="00784CE3"/>
    <w:rsid w:val="00795CBA"/>
    <w:rsid w:val="007A232E"/>
    <w:rsid w:val="007B1CDA"/>
    <w:rsid w:val="007B2B43"/>
    <w:rsid w:val="007B70A7"/>
    <w:rsid w:val="007B7641"/>
    <w:rsid w:val="007C0941"/>
    <w:rsid w:val="007C0D87"/>
    <w:rsid w:val="007C304E"/>
    <w:rsid w:val="007C343E"/>
    <w:rsid w:val="007C381C"/>
    <w:rsid w:val="007D67B5"/>
    <w:rsid w:val="007D6EFC"/>
    <w:rsid w:val="007D70B2"/>
    <w:rsid w:val="007D7865"/>
    <w:rsid w:val="007E13D5"/>
    <w:rsid w:val="007E1681"/>
    <w:rsid w:val="007E2860"/>
    <w:rsid w:val="007E515A"/>
    <w:rsid w:val="007E6727"/>
    <w:rsid w:val="007F2092"/>
    <w:rsid w:val="007F463D"/>
    <w:rsid w:val="0080030B"/>
    <w:rsid w:val="00805D4B"/>
    <w:rsid w:val="0080635A"/>
    <w:rsid w:val="00814AE2"/>
    <w:rsid w:val="00814E9B"/>
    <w:rsid w:val="00817974"/>
    <w:rsid w:val="00820EBE"/>
    <w:rsid w:val="00821361"/>
    <w:rsid w:val="00822C59"/>
    <w:rsid w:val="008238F3"/>
    <w:rsid w:val="00824C87"/>
    <w:rsid w:val="00830DFD"/>
    <w:rsid w:val="0083186E"/>
    <w:rsid w:val="00841042"/>
    <w:rsid w:val="00844F7F"/>
    <w:rsid w:val="00847B94"/>
    <w:rsid w:val="00851087"/>
    <w:rsid w:val="00852651"/>
    <w:rsid w:val="00860376"/>
    <w:rsid w:val="00860A02"/>
    <w:rsid w:val="008629C0"/>
    <w:rsid w:val="00874995"/>
    <w:rsid w:val="008751D1"/>
    <w:rsid w:val="00884022"/>
    <w:rsid w:val="0088774D"/>
    <w:rsid w:val="00893C1C"/>
    <w:rsid w:val="00897D38"/>
    <w:rsid w:val="008A1973"/>
    <w:rsid w:val="008A4976"/>
    <w:rsid w:val="008A71B5"/>
    <w:rsid w:val="008A72FC"/>
    <w:rsid w:val="008B0313"/>
    <w:rsid w:val="008B049A"/>
    <w:rsid w:val="008C3475"/>
    <w:rsid w:val="008C370C"/>
    <w:rsid w:val="008C3BE4"/>
    <w:rsid w:val="008C667D"/>
    <w:rsid w:val="008D1172"/>
    <w:rsid w:val="008D2EF9"/>
    <w:rsid w:val="008D4339"/>
    <w:rsid w:val="008E48B0"/>
    <w:rsid w:val="008E5C77"/>
    <w:rsid w:val="008E681A"/>
    <w:rsid w:val="008F05A2"/>
    <w:rsid w:val="008F224D"/>
    <w:rsid w:val="008F47D0"/>
    <w:rsid w:val="008F531D"/>
    <w:rsid w:val="008F609B"/>
    <w:rsid w:val="008F6492"/>
    <w:rsid w:val="00900491"/>
    <w:rsid w:val="00903F2D"/>
    <w:rsid w:val="00906169"/>
    <w:rsid w:val="00910AE3"/>
    <w:rsid w:val="009111CE"/>
    <w:rsid w:val="00911BCA"/>
    <w:rsid w:val="00915F4D"/>
    <w:rsid w:val="00916BB3"/>
    <w:rsid w:val="0092459A"/>
    <w:rsid w:val="00925E9E"/>
    <w:rsid w:val="00930EE4"/>
    <w:rsid w:val="0093279E"/>
    <w:rsid w:val="00933CFA"/>
    <w:rsid w:val="009342F2"/>
    <w:rsid w:val="00936375"/>
    <w:rsid w:val="00950D27"/>
    <w:rsid w:val="00951EF0"/>
    <w:rsid w:val="00952204"/>
    <w:rsid w:val="00952A5A"/>
    <w:rsid w:val="00954554"/>
    <w:rsid w:val="00954BE6"/>
    <w:rsid w:val="009616BF"/>
    <w:rsid w:val="00962435"/>
    <w:rsid w:val="00971C5A"/>
    <w:rsid w:val="00984734"/>
    <w:rsid w:val="00992B3B"/>
    <w:rsid w:val="00992DB3"/>
    <w:rsid w:val="00993FAA"/>
    <w:rsid w:val="00997F33"/>
    <w:rsid w:val="009A01C4"/>
    <w:rsid w:val="009A4B09"/>
    <w:rsid w:val="009A4D5D"/>
    <w:rsid w:val="009A54FA"/>
    <w:rsid w:val="009B07CC"/>
    <w:rsid w:val="009B678C"/>
    <w:rsid w:val="009C0ED3"/>
    <w:rsid w:val="009C49FB"/>
    <w:rsid w:val="009C677C"/>
    <w:rsid w:val="009D08B7"/>
    <w:rsid w:val="009D412F"/>
    <w:rsid w:val="009D6CD1"/>
    <w:rsid w:val="009E11CB"/>
    <w:rsid w:val="009E7FAC"/>
    <w:rsid w:val="009F1E88"/>
    <w:rsid w:val="009F20FA"/>
    <w:rsid w:val="009F378B"/>
    <w:rsid w:val="009F5041"/>
    <w:rsid w:val="009F5E70"/>
    <w:rsid w:val="009F72E2"/>
    <w:rsid w:val="00A03571"/>
    <w:rsid w:val="00A040C1"/>
    <w:rsid w:val="00A04807"/>
    <w:rsid w:val="00A07963"/>
    <w:rsid w:val="00A12B19"/>
    <w:rsid w:val="00A12C9C"/>
    <w:rsid w:val="00A20278"/>
    <w:rsid w:val="00A20ECA"/>
    <w:rsid w:val="00A24EFD"/>
    <w:rsid w:val="00A254FB"/>
    <w:rsid w:val="00A27BC8"/>
    <w:rsid w:val="00A3145F"/>
    <w:rsid w:val="00A33ACB"/>
    <w:rsid w:val="00A41C50"/>
    <w:rsid w:val="00A44582"/>
    <w:rsid w:val="00A44E96"/>
    <w:rsid w:val="00A506CD"/>
    <w:rsid w:val="00A5706B"/>
    <w:rsid w:val="00A57A17"/>
    <w:rsid w:val="00A62251"/>
    <w:rsid w:val="00A64AF2"/>
    <w:rsid w:val="00A7039C"/>
    <w:rsid w:val="00A74962"/>
    <w:rsid w:val="00A74AA5"/>
    <w:rsid w:val="00A75EAC"/>
    <w:rsid w:val="00A76BB2"/>
    <w:rsid w:val="00A80234"/>
    <w:rsid w:val="00A821C8"/>
    <w:rsid w:val="00A90310"/>
    <w:rsid w:val="00A97817"/>
    <w:rsid w:val="00AB2425"/>
    <w:rsid w:val="00AB2B77"/>
    <w:rsid w:val="00AC0C2D"/>
    <w:rsid w:val="00AC2975"/>
    <w:rsid w:val="00AC679F"/>
    <w:rsid w:val="00AD2DB9"/>
    <w:rsid w:val="00AD327B"/>
    <w:rsid w:val="00AD581A"/>
    <w:rsid w:val="00AD59C6"/>
    <w:rsid w:val="00AE0D93"/>
    <w:rsid w:val="00AE78A2"/>
    <w:rsid w:val="00AF16E0"/>
    <w:rsid w:val="00AF1DE0"/>
    <w:rsid w:val="00AF28B7"/>
    <w:rsid w:val="00AF4CF0"/>
    <w:rsid w:val="00AF6193"/>
    <w:rsid w:val="00B040AB"/>
    <w:rsid w:val="00B074DF"/>
    <w:rsid w:val="00B14AE1"/>
    <w:rsid w:val="00B17949"/>
    <w:rsid w:val="00B21E9C"/>
    <w:rsid w:val="00B23A4C"/>
    <w:rsid w:val="00B23A92"/>
    <w:rsid w:val="00B3107B"/>
    <w:rsid w:val="00B31C3E"/>
    <w:rsid w:val="00B32BB7"/>
    <w:rsid w:val="00B344DF"/>
    <w:rsid w:val="00B34E0E"/>
    <w:rsid w:val="00B364A0"/>
    <w:rsid w:val="00B37AD4"/>
    <w:rsid w:val="00B45B2D"/>
    <w:rsid w:val="00B472BF"/>
    <w:rsid w:val="00B52AEB"/>
    <w:rsid w:val="00B53A5B"/>
    <w:rsid w:val="00B547A6"/>
    <w:rsid w:val="00B623B0"/>
    <w:rsid w:val="00B63FB9"/>
    <w:rsid w:val="00B64112"/>
    <w:rsid w:val="00B70DD3"/>
    <w:rsid w:val="00B73AFF"/>
    <w:rsid w:val="00B759C2"/>
    <w:rsid w:val="00B76F7F"/>
    <w:rsid w:val="00B869CD"/>
    <w:rsid w:val="00B92192"/>
    <w:rsid w:val="00B9746C"/>
    <w:rsid w:val="00BA17F4"/>
    <w:rsid w:val="00BA4E45"/>
    <w:rsid w:val="00BA657E"/>
    <w:rsid w:val="00BB30BB"/>
    <w:rsid w:val="00BC01C4"/>
    <w:rsid w:val="00BC19CF"/>
    <w:rsid w:val="00BC2D1F"/>
    <w:rsid w:val="00BC4E46"/>
    <w:rsid w:val="00BD1349"/>
    <w:rsid w:val="00BE034E"/>
    <w:rsid w:val="00BE4395"/>
    <w:rsid w:val="00BF1E71"/>
    <w:rsid w:val="00BF775D"/>
    <w:rsid w:val="00C060D4"/>
    <w:rsid w:val="00C11575"/>
    <w:rsid w:val="00C136F9"/>
    <w:rsid w:val="00C13B16"/>
    <w:rsid w:val="00C208FC"/>
    <w:rsid w:val="00C20F49"/>
    <w:rsid w:val="00C25560"/>
    <w:rsid w:val="00C2629E"/>
    <w:rsid w:val="00C313DF"/>
    <w:rsid w:val="00C33A20"/>
    <w:rsid w:val="00C3576D"/>
    <w:rsid w:val="00C3723C"/>
    <w:rsid w:val="00C46CF7"/>
    <w:rsid w:val="00C479DD"/>
    <w:rsid w:val="00C50A47"/>
    <w:rsid w:val="00C619ED"/>
    <w:rsid w:val="00C64B9E"/>
    <w:rsid w:val="00C67370"/>
    <w:rsid w:val="00C72C2D"/>
    <w:rsid w:val="00C736D6"/>
    <w:rsid w:val="00C8223A"/>
    <w:rsid w:val="00C831ED"/>
    <w:rsid w:val="00C85BCE"/>
    <w:rsid w:val="00C86856"/>
    <w:rsid w:val="00C91EEC"/>
    <w:rsid w:val="00CA1880"/>
    <w:rsid w:val="00CA4B80"/>
    <w:rsid w:val="00CA4B81"/>
    <w:rsid w:val="00CA69FB"/>
    <w:rsid w:val="00CA6C70"/>
    <w:rsid w:val="00CA743D"/>
    <w:rsid w:val="00CA7617"/>
    <w:rsid w:val="00CB2472"/>
    <w:rsid w:val="00CB6266"/>
    <w:rsid w:val="00CC3118"/>
    <w:rsid w:val="00CC4242"/>
    <w:rsid w:val="00CD7C76"/>
    <w:rsid w:val="00CE2BE8"/>
    <w:rsid w:val="00CF2530"/>
    <w:rsid w:val="00CF45C7"/>
    <w:rsid w:val="00D01EC1"/>
    <w:rsid w:val="00D03755"/>
    <w:rsid w:val="00D14C31"/>
    <w:rsid w:val="00D15BBE"/>
    <w:rsid w:val="00D1740E"/>
    <w:rsid w:val="00D22025"/>
    <w:rsid w:val="00D22E58"/>
    <w:rsid w:val="00D2350B"/>
    <w:rsid w:val="00D24276"/>
    <w:rsid w:val="00D24E30"/>
    <w:rsid w:val="00D2670B"/>
    <w:rsid w:val="00D2790B"/>
    <w:rsid w:val="00D30B91"/>
    <w:rsid w:val="00D311A2"/>
    <w:rsid w:val="00D31FD5"/>
    <w:rsid w:val="00D33A0D"/>
    <w:rsid w:val="00D37AB6"/>
    <w:rsid w:val="00D37FD2"/>
    <w:rsid w:val="00D407A1"/>
    <w:rsid w:val="00D440F1"/>
    <w:rsid w:val="00D4538C"/>
    <w:rsid w:val="00D453F6"/>
    <w:rsid w:val="00D46BFF"/>
    <w:rsid w:val="00D479BA"/>
    <w:rsid w:val="00D47DD1"/>
    <w:rsid w:val="00D531DE"/>
    <w:rsid w:val="00D545DC"/>
    <w:rsid w:val="00D55DE1"/>
    <w:rsid w:val="00D61FAB"/>
    <w:rsid w:val="00D620CE"/>
    <w:rsid w:val="00D640CC"/>
    <w:rsid w:val="00D71DC1"/>
    <w:rsid w:val="00D75478"/>
    <w:rsid w:val="00D759D5"/>
    <w:rsid w:val="00D76659"/>
    <w:rsid w:val="00D80465"/>
    <w:rsid w:val="00D83B4F"/>
    <w:rsid w:val="00D84D0E"/>
    <w:rsid w:val="00D8515A"/>
    <w:rsid w:val="00D90FBF"/>
    <w:rsid w:val="00D92038"/>
    <w:rsid w:val="00DA3FF6"/>
    <w:rsid w:val="00DA4519"/>
    <w:rsid w:val="00DA6D06"/>
    <w:rsid w:val="00DB0CC0"/>
    <w:rsid w:val="00DB1343"/>
    <w:rsid w:val="00DB1A46"/>
    <w:rsid w:val="00DB3039"/>
    <w:rsid w:val="00DB5CA5"/>
    <w:rsid w:val="00DC1E7D"/>
    <w:rsid w:val="00DC2695"/>
    <w:rsid w:val="00DC2E2F"/>
    <w:rsid w:val="00DC6FFE"/>
    <w:rsid w:val="00DD240D"/>
    <w:rsid w:val="00DD25ED"/>
    <w:rsid w:val="00DD3E9E"/>
    <w:rsid w:val="00DD4DF0"/>
    <w:rsid w:val="00DD6F61"/>
    <w:rsid w:val="00DD79D2"/>
    <w:rsid w:val="00DE22E2"/>
    <w:rsid w:val="00DE65D8"/>
    <w:rsid w:val="00DF283A"/>
    <w:rsid w:val="00DF5D4F"/>
    <w:rsid w:val="00DF71F1"/>
    <w:rsid w:val="00E00453"/>
    <w:rsid w:val="00E00D52"/>
    <w:rsid w:val="00E0254C"/>
    <w:rsid w:val="00E03F76"/>
    <w:rsid w:val="00E046A4"/>
    <w:rsid w:val="00E07359"/>
    <w:rsid w:val="00E100BC"/>
    <w:rsid w:val="00E10E1A"/>
    <w:rsid w:val="00E163A3"/>
    <w:rsid w:val="00E401CE"/>
    <w:rsid w:val="00E42C71"/>
    <w:rsid w:val="00E43F4A"/>
    <w:rsid w:val="00E4512F"/>
    <w:rsid w:val="00E45FA3"/>
    <w:rsid w:val="00E46170"/>
    <w:rsid w:val="00E51E56"/>
    <w:rsid w:val="00E53F12"/>
    <w:rsid w:val="00E53FF9"/>
    <w:rsid w:val="00E55B31"/>
    <w:rsid w:val="00E55E11"/>
    <w:rsid w:val="00E60F91"/>
    <w:rsid w:val="00E61304"/>
    <w:rsid w:val="00E66969"/>
    <w:rsid w:val="00E70D39"/>
    <w:rsid w:val="00E70E68"/>
    <w:rsid w:val="00E71B17"/>
    <w:rsid w:val="00E74ED8"/>
    <w:rsid w:val="00E804BF"/>
    <w:rsid w:val="00E86B6A"/>
    <w:rsid w:val="00E926FF"/>
    <w:rsid w:val="00E93321"/>
    <w:rsid w:val="00E95143"/>
    <w:rsid w:val="00E95C64"/>
    <w:rsid w:val="00EA08FE"/>
    <w:rsid w:val="00EA4C99"/>
    <w:rsid w:val="00EB7F73"/>
    <w:rsid w:val="00EC09E1"/>
    <w:rsid w:val="00EC6524"/>
    <w:rsid w:val="00EC6738"/>
    <w:rsid w:val="00EC7086"/>
    <w:rsid w:val="00ED03AA"/>
    <w:rsid w:val="00ED1EF8"/>
    <w:rsid w:val="00ED6C59"/>
    <w:rsid w:val="00EE0EC0"/>
    <w:rsid w:val="00EF0CBC"/>
    <w:rsid w:val="00EF4317"/>
    <w:rsid w:val="00EF7676"/>
    <w:rsid w:val="00EF7CA9"/>
    <w:rsid w:val="00F02D74"/>
    <w:rsid w:val="00F03026"/>
    <w:rsid w:val="00F074CE"/>
    <w:rsid w:val="00F11625"/>
    <w:rsid w:val="00F136CA"/>
    <w:rsid w:val="00F23348"/>
    <w:rsid w:val="00F247D4"/>
    <w:rsid w:val="00F254AE"/>
    <w:rsid w:val="00F273D9"/>
    <w:rsid w:val="00F30EA8"/>
    <w:rsid w:val="00F333A7"/>
    <w:rsid w:val="00F33706"/>
    <w:rsid w:val="00F37C06"/>
    <w:rsid w:val="00F46D9B"/>
    <w:rsid w:val="00F472AE"/>
    <w:rsid w:val="00F51BC4"/>
    <w:rsid w:val="00F54496"/>
    <w:rsid w:val="00F54658"/>
    <w:rsid w:val="00F625C9"/>
    <w:rsid w:val="00F636E2"/>
    <w:rsid w:val="00F64965"/>
    <w:rsid w:val="00F65902"/>
    <w:rsid w:val="00F67CB6"/>
    <w:rsid w:val="00F76A55"/>
    <w:rsid w:val="00F81D22"/>
    <w:rsid w:val="00F8662A"/>
    <w:rsid w:val="00F86706"/>
    <w:rsid w:val="00F87018"/>
    <w:rsid w:val="00F9586B"/>
    <w:rsid w:val="00FA0408"/>
    <w:rsid w:val="00FA6B83"/>
    <w:rsid w:val="00FA7AAF"/>
    <w:rsid w:val="00FB112A"/>
    <w:rsid w:val="00FB72A0"/>
    <w:rsid w:val="00FB7E86"/>
    <w:rsid w:val="00FC580B"/>
    <w:rsid w:val="00FC68CC"/>
    <w:rsid w:val="00FC7546"/>
    <w:rsid w:val="00FC77F3"/>
    <w:rsid w:val="00FD277F"/>
    <w:rsid w:val="00FD389F"/>
    <w:rsid w:val="00FE0DA8"/>
    <w:rsid w:val="00FE0FED"/>
    <w:rsid w:val="00FE612C"/>
    <w:rsid w:val="00FF0E5A"/>
    <w:rsid w:val="00FF2E5C"/>
    <w:rsid w:val="00FF491E"/>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9"/>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autoRedefine/>
    <w:qFormat/>
    <w:rsid w:val="00852651"/>
    <w:pPr>
      <w:numPr>
        <w:numId w:val="2"/>
      </w:numPr>
      <w:spacing w:after="60"/>
    </w:p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C91EEC"/>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238640417">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96392360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585797836">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789544515">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1july2021MBSchanges.generalsurgery@health.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skMBS@health.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HI@health.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2021-07-05T07:09:00Z</dcterms:created>
  <dcterms:modified xsi:type="dcterms:W3CDTF">2021-07-05T22:08:00Z</dcterms:modified>
</cp:coreProperties>
</file>