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2A93" w14:textId="2BF85A8B" w:rsidR="007E5A6D" w:rsidRDefault="007E5A6D" w:rsidP="007E5A6D">
      <w:pPr>
        <w:pStyle w:val="Title"/>
      </w:pPr>
      <w:bookmarkStart w:id="0" w:name="_Hlk143776089"/>
      <w:r>
        <w:t>Changes to allied health services for First Nations Australians</w:t>
      </w:r>
      <w:bookmarkEnd w:id="0"/>
    </w:p>
    <w:p w14:paraId="00A41768" w14:textId="77777777" w:rsidR="007E5A6D" w:rsidRPr="00867595" w:rsidRDefault="007E5A6D" w:rsidP="007E5A6D">
      <w:bookmarkStart w:id="1" w:name="_Hlk4568006"/>
      <w:r w:rsidRPr="00867595">
        <w:t xml:space="preserve">Last updated: </w:t>
      </w:r>
      <w:r>
        <w:t>1 February 2024</w:t>
      </w:r>
    </w:p>
    <w:bookmarkEnd w:id="1"/>
    <w:p w14:paraId="3222A7A1" w14:textId="77777777" w:rsidR="007E5A6D" w:rsidRPr="00B96C86" w:rsidRDefault="007E5A6D" w:rsidP="007E5A6D">
      <w:pPr>
        <w:pStyle w:val="ListBullet"/>
        <w:rPr>
          <w:color w:val="auto"/>
        </w:rPr>
      </w:pPr>
      <w:r>
        <w:t>Streamlining First Nations Australians’ access to allied health services.</w:t>
      </w:r>
    </w:p>
    <w:p w14:paraId="7685A3D4" w14:textId="77777777" w:rsidR="007E5A6D" w:rsidRPr="00867595" w:rsidRDefault="007E5A6D" w:rsidP="007E5A6D">
      <w:pPr>
        <w:pStyle w:val="Heading2"/>
      </w:pPr>
      <w:r w:rsidRPr="00867595">
        <w:t>What are the changes?</w:t>
      </w:r>
    </w:p>
    <w:p w14:paraId="7FEAE746" w14:textId="77777777" w:rsidR="007E5A6D" w:rsidRPr="00B96C86" w:rsidRDefault="007E5A6D" w:rsidP="007E5A6D">
      <w:pPr>
        <w:pStyle w:val="ListBullet"/>
        <w:rPr>
          <w:color w:val="auto"/>
        </w:rPr>
      </w:pPr>
      <w:r>
        <w:t>Currently, to access 10 allied health services per calendar year, First Nations Australians need both:</w:t>
      </w:r>
    </w:p>
    <w:p w14:paraId="71B75632" w14:textId="77777777" w:rsidR="007E5A6D" w:rsidRPr="00B96C86" w:rsidRDefault="007E5A6D" w:rsidP="007E5A6D">
      <w:pPr>
        <w:pStyle w:val="ListBullet"/>
        <w:numPr>
          <w:ilvl w:val="1"/>
          <w:numId w:val="27"/>
        </w:numPr>
        <w:ind w:left="851"/>
        <w:rPr>
          <w:color w:val="auto"/>
        </w:rPr>
      </w:pPr>
      <w:r>
        <w:rPr>
          <w:color w:val="auto"/>
        </w:rPr>
        <w:t xml:space="preserve">A </w:t>
      </w:r>
      <w:r w:rsidRPr="00EB1E0D">
        <w:rPr>
          <w:color w:val="auto"/>
        </w:rPr>
        <w:t>chronic d</w:t>
      </w:r>
      <w:r>
        <w:rPr>
          <w:color w:val="auto"/>
        </w:rPr>
        <w:t xml:space="preserve">isease </w:t>
      </w:r>
      <w:r w:rsidRPr="00EB1E0D">
        <w:rPr>
          <w:color w:val="auto"/>
        </w:rPr>
        <w:t>m</w:t>
      </w:r>
      <w:r>
        <w:rPr>
          <w:color w:val="auto"/>
        </w:rPr>
        <w:t>anagement</w:t>
      </w:r>
      <w:r w:rsidRPr="00EB1E0D">
        <w:rPr>
          <w:color w:val="auto"/>
        </w:rPr>
        <w:t xml:space="preserve"> (CDM)</w:t>
      </w:r>
      <w:r>
        <w:rPr>
          <w:color w:val="auto"/>
        </w:rPr>
        <w:t xml:space="preserve"> plan</w:t>
      </w:r>
      <w:r w:rsidRPr="00EB1E0D">
        <w:rPr>
          <w:color w:val="auto"/>
        </w:rPr>
        <w:t xml:space="preserve"> </w:t>
      </w:r>
      <w:r>
        <w:rPr>
          <w:color w:val="auto"/>
        </w:rPr>
        <w:t>that</w:t>
      </w:r>
      <w:r w:rsidRPr="00EB1E0D">
        <w:rPr>
          <w:color w:val="auto"/>
        </w:rPr>
        <w:t xml:space="preserve"> include</w:t>
      </w:r>
      <w:r>
        <w:rPr>
          <w:color w:val="auto"/>
        </w:rPr>
        <w:t>s</w:t>
      </w:r>
      <w:r w:rsidRPr="00EB1E0D">
        <w:rPr>
          <w:color w:val="auto"/>
        </w:rPr>
        <w:t xml:space="preserve"> a </w:t>
      </w:r>
      <w:r>
        <w:t xml:space="preserve">GP Management Plan and Team Care Arrangements </w:t>
      </w:r>
      <w:r w:rsidRPr="000D3EB1">
        <w:rPr>
          <w:u w:val="single"/>
        </w:rPr>
        <w:t>or</w:t>
      </w:r>
      <w:r>
        <w:t xml:space="preserve"> for </w:t>
      </w:r>
      <w:r w:rsidRPr="00EB1E0D">
        <w:t>resident</w:t>
      </w:r>
      <w:r>
        <w:t>s</w:t>
      </w:r>
      <w:r w:rsidRPr="00EB1E0D">
        <w:t xml:space="preserve"> of an aged care facility, a multidisciplinary care plan</w:t>
      </w:r>
      <w:r>
        <w:t>; and</w:t>
      </w:r>
    </w:p>
    <w:p w14:paraId="2172C06A" w14:textId="77777777" w:rsidR="007E5A6D" w:rsidRPr="00B96C86" w:rsidRDefault="007E5A6D" w:rsidP="007E5A6D">
      <w:pPr>
        <w:pStyle w:val="ListBullet"/>
        <w:numPr>
          <w:ilvl w:val="1"/>
          <w:numId w:val="27"/>
        </w:numPr>
        <w:ind w:left="851"/>
        <w:rPr>
          <w:color w:val="auto"/>
        </w:rPr>
      </w:pPr>
      <w:r>
        <w:t>a health assessment.</w:t>
      </w:r>
      <w:r w:rsidDel="002C2E85">
        <w:t xml:space="preserve"> </w:t>
      </w:r>
    </w:p>
    <w:p w14:paraId="4A4C6CE9" w14:textId="1AB71D25" w:rsidR="007E5A6D" w:rsidRPr="00B96C86" w:rsidRDefault="007E5A6D" w:rsidP="007E5A6D">
      <w:pPr>
        <w:pStyle w:val="ListBullet"/>
        <w:ind w:left="357" w:hanging="357"/>
        <w:rPr>
          <w:color w:val="auto"/>
        </w:rPr>
      </w:pPr>
      <w:r w:rsidRPr="006F5073">
        <w:t xml:space="preserve">From </w:t>
      </w:r>
      <w:r w:rsidRPr="000D3EB1">
        <w:rPr>
          <w:b/>
          <w:bCs/>
        </w:rPr>
        <w:t>1 March 2024</w:t>
      </w:r>
      <w:r>
        <w:t>, First Nations Australians only need to have either a CDM plan or a health assessment to access up to 10 allied health services per calendar year. There will be no requirement to have both services.</w:t>
      </w:r>
    </w:p>
    <w:p w14:paraId="70FB0EA4" w14:textId="77777777" w:rsidR="007E5A6D" w:rsidRPr="00B96C86" w:rsidRDefault="007E5A6D" w:rsidP="007E5A6D">
      <w:pPr>
        <w:pStyle w:val="ListBullet"/>
        <w:numPr>
          <w:ilvl w:val="0"/>
          <w:numId w:val="0"/>
        </w:numPr>
        <w:spacing w:before="120"/>
        <w:rPr>
          <w:b/>
          <w:bCs/>
          <w:color w:val="auto"/>
        </w:rPr>
      </w:pPr>
      <w:r w:rsidRPr="00B96C86">
        <w:rPr>
          <w:b/>
          <w:bCs/>
        </w:rPr>
        <w:t>Individual allied health services</w:t>
      </w:r>
      <w:r>
        <w:rPr>
          <w:b/>
          <w:bCs/>
        </w:rPr>
        <w:t xml:space="preserve"> items and claiming limits</w:t>
      </w:r>
    </w:p>
    <w:tbl>
      <w:tblPr>
        <w:tblStyle w:val="ListTable4-Accent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Caption w:val="Individual allied Health Service items and claiming limits"/>
        <w:tblDescription w:val="The first column identifies the type of allied health service. The second colunm identifies the Medicare item number under Chronic Disease Arrangements. The third column identifies the Medicare item numbers under health assessments. The last three rows note the claiming limitations for prior and post the 1 March 2024 changes and the total cap of claiming restrictions."/>
      </w:tblPr>
      <w:tblGrid>
        <w:gridCol w:w="3964"/>
        <w:gridCol w:w="2792"/>
        <w:gridCol w:w="2873"/>
      </w:tblGrid>
      <w:tr w:rsidR="007E5A6D" w:rsidRPr="0094051A" w14:paraId="112A2D53" w14:textId="77777777" w:rsidTr="000D3EB1">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058" w:type="pct"/>
            <w:tcBorders>
              <w:top w:val="single" w:sz="4" w:space="0" w:color="auto"/>
              <w:left w:val="single" w:sz="4" w:space="0" w:color="auto"/>
            </w:tcBorders>
            <w:shd w:val="clear" w:color="auto" w:fill="2F3757" w:themeFill="accent1" w:themeFillShade="BF"/>
            <w:noWrap/>
            <w:hideMark/>
          </w:tcPr>
          <w:p w14:paraId="6A6DAE46" w14:textId="77777777" w:rsidR="007E5A6D" w:rsidRDefault="007E5A6D" w:rsidP="000D3EB1">
            <w:pPr>
              <w:spacing w:before="0" w:after="0" w:line="240" w:lineRule="auto"/>
              <w:rPr>
                <w:rFonts w:ascii="Calibri" w:hAnsi="Calibri" w:cs="Calibri"/>
                <w:b w:val="0"/>
                <w:bCs w:val="0"/>
                <w:color w:val="FFFFFF" w:themeColor="background1"/>
                <w:szCs w:val="22"/>
              </w:rPr>
            </w:pPr>
            <w:bookmarkStart w:id="2" w:name="_Hlk153284587"/>
            <w:r w:rsidRPr="0094051A">
              <w:rPr>
                <w:rFonts w:ascii="Calibri" w:hAnsi="Calibri" w:cs="Calibri"/>
                <w:color w:val="FFFFFF" w:themeColor="background1"/>
                <w:szCs w:val="22"/>
              </w:rPr>
              <w:t>Type of Health Service</w:t>
            </w:r>
          </w:p>
          <w:p w14:paraId="0CC3A7A6" w14:textId="77777777" w:rsidR="007E5A6D" w:rsidRPr="0094051A" w:rsidRDefault="007E5A6D" w:rsidP="000D3EB1">
            <w:pPr>
              <w:spacing w:before="0" w:after="0" w:line="240" w:lineRule="auto"/>
              <w:rPr>
                <w:rFonts w:ascii="Calibri" w:hAnsi="Calibri" w:cs="Calibri"/>
                <w:color w:val="FFFFFF" w:themeColor="background1"/>
                <w:szCs w:val="22"/>
                <w:lang w:eastAsia="en-AU"/>
              </w:rPr>
            </w:pPr>
          </w:p>
        </w:tc>
        <w:tc>
          <w:tcPr>
            <w:tcW w:w="1450" w:type="pct"/>
            <w:tcBorders>
              <w:top w:val="single" w:sz="4" w:space="0" w:color="auto"/>
            </w:tcBorders>
            <w:shd w:val="clear" w:color="auto" w:fill="2F3757" w:themeFill="accent1" w:themeFillShade="BF"/>
            <w:hideMark/>
          </w:tcPr>
          <w:p w14:paraId="49033437" w14:textId="77777777" w:rsidR="007E5A6D" w:rsidRPr="0094051A" w:rsidRDefault="007E5A6D" w:rsidP="000D3EB1">
            <w:pPr>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rPr>
            </w:pPr>
            <w:r>
              <w:rPr>
                <w:rFonts w:ascii="Calibri" w:hAnsi="Calibri" w:cs="Calibri"/>
                <w:color w:val="FFFFFF" w:themeColor="background1"/>
                <w:szCs w:val="22"/>
              </w:rPr>
              <w:t>A</w:t>
            </w:r>
            <w:r w:rsidRPr="0094051A">
              <w:rPr>
                <w:rFonts w:ascii="Calibri" w:hAnsi="Calibri" w:cs="Calibri"/>
                <w:color w:val="FFFFFF" w:themeColor="background1"/>
                <w:szCs w:val="22"/>
              </w:rPr>
              <w:t>llied health services</w:t>
            </w:r>
            <w:r>
              <w:rPr>
                <w:rFonts w:ascii="Calibri" w:hAnsi="Calibri" w:cs="Calibri"/>
                <w:color w:val="FFFFFF" w:themeColor="background1"/>
                <w:szCs w:val="22"/>
              </w:rPr>
              <w:t xml:space="preserve"> u</w:t>
            </w:r>
            <w:r w:rsidRPr="0094051A">
              <w:rPr>
                <w:rFonts w:ascii="Calibri" w:hAnsi="Calibri" w:cs="Calibri"/>
                <w:color w:val="FFFFFF" w:themeColor="background1"/>
                <w:szCs w:val="22"/>
              </w:rPr>
              <w:t>nder CDM arrangements</w:t>
            </w:r>
          </w:p>
        </w:tc>
        <w:tc>
          <w:tcPr>
            <w:tcW w:w="1492" w:type="pct"/>
            <w:tcBorders>
              <w:top w:val="single" w:sz="4" w:space="0" w:color="auto"/>
              <w:right w:val="single" w:sz="4" w:space="0" w:color="auto"/>
            </w:tcBorders>
            <w:shd w:val="clear" w:color="auto" w:fill="2F3757" w:themeFill="accent1" w:themeFillShade="BF"/>
            <w:hideMark/>
          </w:tcPr>
          <w:p w14:paraId="1AF70291" w14:textId="77777777" w:rsidR="007E5A6D" w:rsidRPr="0094051A" w:rsidRDefault="007E5A6D" w:rsidP="000D3EB1">
            <w:pPr>
              <w:spacing w:before="0" w:after="0"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FFFFFF" w:themeColor="background1"/>
                <w:szCs w:val="22"/>
              </w:rPr>
            </w:pPr>
            <w:r>
              <w:rPr>
                <w:rFonts w:ascii="Calibri" w:hAnsi="Calibri" w:cs="Calibri"/>
                <w:color w:val="FFFFFF" w:themeColor="background1"/>
                <w:szCs w:val="22"/>
              </w:rPr>
              <w:t>A</w:t>
            </w:r>
            <w:r w:rsidRPr="0094051A">
              <w:rPr>
                <w:rFonts w:ascii="Calibri" w:hAnsi="Calibri" w:cs="Calibri"/>
                <w:color w:val="FFFFFF" w:themeColor="background1"/>
                <w:szCs w:val="22"/>
              </w:rPr>
              <w:t xml:space="preserve">llied health services </w:t>
            </w:r>
            <w:r>
              <w:rPr>
                <w:rFonts w:ascii="Calibri" w:hAnsi="Calibri" w:cs="Calibri"/>
                <w:color w:val="FFFFFF" w:themeColor="background1"/>
                <w:szCs w:val="22"/>
              </w:rPr>
              <w:t xml:space="preserve">for </w:t>
            </w:r>
            <w:r w:rsidRPr="00974547">
              <w:rPr>
                <w:rFonts w:ascii="Calibri" w:hAnsi="Calibri" w:cs="Calibri"/>
                <w:color w:val="FFFFFF" w:themeColor="background1"/>
                <w:szCs w:val="22"/>
              </w:rPr>
              <w:t>First Nations</w:t>
            </w:r>
            <w:r>
              <w:rPr>
                <w:rFonts w:ascii="Calibri" w:hAnsi="Calibri" w:cs="Calibri"/>
                <w:color w:val="FFFFFF" w:themeColor="background1"/>
                <w:szCs w:val="22"/>
              </w:rPr>
              <w:t xml:space="preserve"> Australians</w:t>
            </w:r>
          </w:p>
        </w:tc>
      </w:tr>
      <w:tr w:rsidR="007E5A6D" w14:paraId="23A0D400" w14:textId="77777777" w:rsidTr="000D3E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shd w:val="clear" w:color="auto" w:fill="F2F2F2" w:themeFill="background1" w:themeFillShade="F2"/>
            <w:noWrap/>
            <w:hideMark/>
          </w:tcPr>
          <w:p w14:paraId="1A1988EB" w14:textId="77777777" w:rsidR="007E5A6D" w:rsidRPr="005129C0" w:rsidRDefault="007E5A6D" w:rsidP="000D3EB1">
            <w:pPr>
              <w:spacing w:before="0" w:after="0" w:line="240" w:lineRule="auto"/>
              <w:rPr>
                <w:rFonts w:ascii="Calibri" w:hAnsi="Calibri" w:cs="Calibri"/>
                <w:b w:val="0"/>
                <w:bCs w:val="0"/>
                <w:color w:val="000000"/>
                <w:szCs w:val="22"/>
              </w:rPr>
            </w:pPr>
            <w:r w:rsidRPr="005129C0">
              <w:rPr>
                <w:rFonts w:ascii="Calibri" w:hAnsi="Calibri" w:cs="Calibri"/>
                <w:b w:val="0"/>
                <w:bCs w:val="0"/>
                <w:color w:val="000000"/>
                <w:szCs w:val="22"/>
              </w:rPr>
              <w:t xml:space="preserve">Aboriginal and Torres Strait Islander </w:t>
            </w:r>
          </w:p>
        </w:tc>
        <w:tc>
          <w:tcPr>
            <w:tcW w:w="1450" w:type="pct"/>
            <w:shd w:val="clear" w:color="auto" w:fill="F2F2F2" w:themeFill="background1" w:themeFillShade="F2"/>
            <w:noWrap/>
            <w:hideMark/>
          </w:tcPr>
          <w:p w14:paraId="60A668F3"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10950</w:t>
            </w:r>
          </w:p>
        </w:tc>
        <w:tc>
          <w:tcPr>
            <w:tcW w:w="1492" w:type="pct"/>
            <w:tcBorders>
              <w:right w:val="single" w:sz="4" w:space="0" w:color="auto"/>
            </w:tcBorders>
            <w:shd w:val="clear" w:color="auto" w:fill="F2F2F2" w:themeFill="background1" w:themeFillShade="F2"/>
            <w:noWrap/>
            <w:hideMark/>
          </w:tcPr>
          <w:p w14:paraId="6B151A5A"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81300</w:t>
            </w:r>
          </w:p>
        </w:tc>
      </w:tr>
      <w:tr w:rsidR="007E5A6D" w14:paraId="0B0D9CBF" w14:textId="77777777" w:rsidTr="000D3EB1">
        <w:trPr>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noWrap/>
            <w:hideMark/>
          </w:tcPr>
          <w:p w14:paraId="6BF1CDA7"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 xml:space="preserve">Diabetes Education </w:t>
            </w:r>
          </w:p>
        </w:tc>
        <w:tc>
          <w:tcPr>
            <w:tcW w:w="1450" w:type="pct"/>
            <w:noWrap/>
            <w:hideMark/>
          </w:tcPr>
          <w:p w14:paraId="366B6EB6"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10951</w:t>
            </w:r>
          </w:p>
        </w:tc>
        <w:tc>
          <w:tcPr>
            <w:tcW w:w="1492" w:type="pct"/>
            <w:tcBorders>
              <w:right w:val="single" w:sz="4" w:space="0" w:color="auto"/>
            </w:tcBorders>
            <w:noWrap/>
            <w:hideMark/>
          </w:tcPr>
          <w:p w14:paraId="52831D73"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81305</w:t>
            </w:r>
          </w:p>
        </w:tc>
      </w:tr>
      <w:tr w:rsidR="007E5A6D" w14:paraId="6E4F5776" w14:textId="77777777" w:rsidTr="000D3E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shd w:val="clear" w:color="auto" w:fill="F2F2F2" w:themeFill="background1" w:themeFillShade="F2"/>
            <w:noWrap/>
            <w:hideMark/>
          </w:tcPr>
          <w:p w14:paraId="2443084E"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Audiology</w:t>
            </w:r>
          </w:p>
        </w:tc>
        <w:tc>
          <w:tcPr>
            <w:tcW w:w="1450" w:type="pct"/>
            <w:shd w:val="clear" w:color="auto" w:fill="F2F2F2" w:themeFill="background1" w:themeFillShade="F2"/>
            <w:noWrap/>
            <w:hideMark/>
          </w:tcPr>
          <w:p w14:paraId="3AA265AA"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10952</w:t>
            </w:r>
          </w:p>
        </w:tc>
        <w:tc>
          <w:tcPr>
            <w:tcW w:w="1492" w:type="pct"/>
            <w:tcBorders>
              <w:right w:val="single" w:sz="4" w:space="0" w:color="auto"/>
            </w:tcBorders>
            <w:shd w:val="clear" w:color="auto" w:fill="F2F2F2" w:themeFill="background1" w:themeFillShade="F2"/>
            <w:noWrap/>
            <w:hideMark/>
          </w:tcPr>
          <w:p w14:paraId="0322EF9F"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81310</w:t>
            </w:r>
          </w:p>
        </w:tc>
      </w:tr>
      <w:tr w:rsidR="007E5A6D" w14:paraId="03C04127" w14:textId="77777777" w:rsidTr="000D3EB1">
        <w:trPr>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noWrap/>
            <w:hideMark/>
          </w:tcPr>
          <w:p w14:paraId="74DB4C9E"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Exercise Physiology</w:t>
            </w:r>
          </w:p>
        </w:tc>
        <w:tc>
          <w:tcPr>
            <w:tcW w:w="1450" w:type="pct"/>
            <w:noWrap/>
            <w:hideMark/>
          </w:tcPr>
          <w:p w14:paraId="1C1738D2"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10953</w:t>
            </w:r>
          </w:p>
        </w:tc>
        <w:tc>
          <w:tcPr>
            <w:tcW w:w="1492" w:type="pct"/>
            <w:tcBorders>
              <w:right w:val="single" w:sz="4" w:space="0" w:color="auto"/>
            </w:tcBorders>
            <w:noWrap/>
            <w:hideMark/>
          </w:tcPr>
          <w:p w14:paraId="41EB87A9"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81315</w:t>
            </w:r>
          </w:p>
        </w:tc>
      </w:tr>
      <w:tr w:rsidR="007E5A6D" w14:paraId="61268418" w14:textId="77777777" w:rsidTr="000D3E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shd w:val="clear" w:color="auto" w:fill="F2F2F2" w:themeFill="background1" w:themeFillShade="F2"/>
            <w:noWrap/>
            <w:hideMark/>
          </w:tcPr>
          <w:p w14:paraId="01903815"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 xml:space="preserve">Dietetic </w:t>
            </w:r>
          </w:p>
        </w:tc>
        <w:tc>
          <w:tcPr>
            <w:tcW w:w="1450" w:type="pct"/>
            <w:shd w:val="clear" w:color="auto" w:fill="F2F2F2" w:themeFill="background1" w:themeFillShade="F2"/>
            <w:noWrap/>
            <w:hideMark/>
          </w:tcPr>
          <w:p w14:paraId="14C438FA"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10954</w:t>
            </w:r>
          </w:p>
        </w:tc>
        <w:tc>
          <w:tcPr>
            <w:tcW w:w="1492" w:type="pct"/>
            <w:tcBorders>
              <w:right w:val="single" w:sz="4" w:space="0" w:color="auto"/>
            </w:tcBorders>
            <w:shd w:val="clear" w:color="auto" w:fill="F2F2F2" w:themeFill="background1" w:themeFillShade="F2"/>
            <w:noWrap/>
            <w:hideMark/>
          </w:tcPr>
          <w:p w14:paraId="46CA7CE7"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81320</w:t>
            </w:r>
          </w:p>
        </w:tc>
      </w:tr>
      <w:tr w:rsidR="007E5A6D" w14:paraId="55368F24" w14:textId="77777777" w:rsidTr="000D3EB1">
        <w:trPr>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noWrap/>
            <w:hideMark/>
          </w:tcPr>
          <w:p w14:paraId="1DA66A88"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Mental</w:t>
            </w:r>
            <w:r>
              <w:rPr>
                <w:rFonts w:ascii="Calibri" w:hAnsi="Calibri" w:cs="Calibri"/>
                <w:b w:val="0"/>
                <w:bCs w:val="0"/>
                <w:color w:val="000000"/>
                <w:szCs w:val="22"/>
              </w:rPr>
              <w:t xml:space="preserve"> Health Service</w:t>
            </w:r>
          </w:p>
        </w:tc>
        <w:tc>
          <w:tcPr>
            <w:tcW w:w="1450" w:type="pct"/>
            <w:noWrap/>
            <w:hideMark/>
          </w:tcPr>
          <w:p w14:paraId="1451A6C5"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10956</w:t>
            </w:r>
          </w:p>
        </w:tc>
        <w:tc>
          <w:tcPr>
            <w:tcW w:w="1492" w:type="pct"/>
            <w:tcBorders>
              <w:right w:val="single" w:sz="4" w:space="0" w:color="auto"/>
            </w:tcBorders>
            <w:noWrap/>
            <w:hideMark/>
          </w:tcPr>
          <w:p w14:paraId="1B77925C"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81325</w:t>
            </w:r>
          </w:p>
        </w:tc>
      </w:tr>
      <w:tr w:rsidR="007E5A6D" w14:paraId="5AFB850F" w14:textId="77777777" w:rsidTr="000D3E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shd w:val="clear" w:color="auto" w:fill="F2F2F2" w:themeFill="background1" w:themeFillShade="F2"/>
            <w:noWrap/>
            <w:hideMark/>
          </w:tcPr>
          <w:p w14:paraId="291E2901"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Occupational Therapy</w:t>
            </w:r>
          </w:p>
        </w:tc>
        <w:tc>
          <w:tcPr>
            <w:tcW w:w="1450" w:type="pct"/>
            <w:shd w:val="clear" w:color="auto" w:fill="F2F2F2" w:themeFill="background1" w:themeFillShade="F2"/>
            <w:noWrap/>
            <w:hideMark/>
          </w:tcPr>
          <w:p w14:paraId="0517C570"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10958</w:t>
            </w:r>
          </w:p>
        </w:tc>
        <w:tc>
          <w:tcPr>
            <w:tcW w:w="1492" w:type="pct"/>
            <w:tcBorders>
              <w:right w:val="single" w:sz="4" w:space="0" w:color="auto"/>
            </w:tcBorders>
            <w:shd w:val="clear" w:color="auto" w:fill="F2F2F2" w:themeFill="background1" w:themeFillShade="F2"/>
            <w:noWrap/>
            <w:hideMark/>
          </w:tcPr>
          <w:p w14:paraId="7BFE0465"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81330</w:t>
            </w:r>
          </w:p>
        </w:tc>
      </w:tr>
      <w:tr w:rsidR="007E5A6D" w14:paraId="4254B909" w14:textId="77777777" w:rsidTr="000D3EB1">
        <w:trPr>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noWrap/>
            <w:hideMark/>
          </w:tcPr>
          <w:p w14:paraId="7E2C7FB7"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Physiotherapy</w:t>
            </w:r>
          </w:p>
        </w:tc>
        <w:tc>
          <w:tcPr>
            <w:tcW w:w="1450" w:type="pct"/>
            <w:noWrap/>
            <w:hideMark/>
          </w:tcPr>
          <w:p w14:paraId="0C2C8592"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10960</w:t>
            </w:r>
          </w:p>
        </w:tc>
        <w:tc>
          <w:tcPr>
            <w:tcW w:w="1492" w:type="pct"/>
            <w:tcBorders>
              <w:right w:val="single" w:sz="4" w:space="0" w:color="auto"/>
            </w:tcBorders>
            <w:noWrap/>
            <w:hideMark/>
          </w:tcPr>
          <w:p w14:paraId="230CEFB5"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81335</w:t>
            </w:r>
          </w:p>
        </w:tc>
      </w:tr>
      <w:tr w:rsidR="007E5A6D" w14:paraId="42E4EB7C" w14:textId="77777777" w:rsidTr="000D3E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shd w:val="clear" w:color="auto" w:fill="F2F2F2" w:themeFill="background1" w:themeFillShade="F2"/>
            <w:noWrap/>
            <w:hideMark/>
          </w:tcPr>
          <w:p w14:paraId="474B76A5"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 xml:space="preserve">Podiatry </w:t>
            </w:r>
          </w:p>
        </w:tc>
        <w:tc>
          <w:tcPr>
            <w:tcW w:w="1450" w:type="pct"/>
            <w:shd w:val="clear" w:color="auto" w:fill="F2F2F2" w:themeFill="background1" w:themeFillShade="F2"/>
            <w:noWrap/>
            <w:hideMark/>
          </w:tcPr>
          <w:p w14:paraId="351372C1"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10962</w:t>
            </w:r>
          </w:p>
        </w:tc>
        <w:tc>
          <w:tcPr>
            <w:tcW w:w="1492" w:type="pct"/>
            <w:tcBorders>
              <w:right w:val="single" w:sz="4" w:space="0" w:color="auto"/>
            </w:tcBorders>
            <w:shd w:val="clear" w:color="auto" w:fill="F2F2F2" w:themeFill="background1" w:themeFillShade="F2"/>
            <w:noWrap/>
            <w:hideMark/>
          </w:tcPr>
          <w:p w14:paraId="462635A6"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81340</w:t>
            </w:r>
          </w:p>
        </w:tc>
      </w:tr>
      <w:tr w:rsidR="007E5A6D" w14:paraId="642166DC" w14:textId="77777777" w:rsidTr="000D3EB1">
        <w:trPr>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noWrap/>
            <w:hideMark/>
          </w:tcPr>
          <w:p w14:paraId="632AC724"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Chiropractic</w:t>
            </w:r>
          </w:p>
        </w:tc>
        <w:tc>
          <w:tcPr>
            <w:tcW w:w="1450" w:type="pct"/>
            <w:noWrap/>
            <w:hideMark/>
          </w:tcPr>
          <w:p w14:paraId="7B269AC6"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10964</w:t>
            </w:r>
          </w:p>
        </w:tc>
        <w:tc>
          <w:tcPr>
            <w:tcW w:w="1492" w:type="pct"/>
            <w:tcBorders>
              <w:right w:val="single" w:sz="4" w:space="0" w:color="auto"/>
            </w:tcBorders>
            <w:noWrap/>
            <w:hideMark/>
          </w:tcPr>
          <w:p w14:paraId="130C90F3"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81345</w:t>
            </w:r>
          </w:p>
        </w:tc>
      </w:tr>
      <w:tr w:rsidR="007E5A6D" w14:paraId="219D0A31" w14:textId="77777777" w:rsidTr="000D3E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shd w:val="clear" w:color="auto" w:fill="F2F2F2" w:themeFill="background1" w:themeFillShade="F2"/>
            <w:noWrap/>
            <w:hideMark/>
          </w:tcPr>
          <w:p w14:paraId="7073E2AE"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Osteopathy</w:t>
            </w:r>
          </w:p>
        </w:tc>
        <w:tc>
          <w:tcPr>
            <w:tcW w:w="1450" w:type="pct"/>
            <w:shd w:val="clear" w:color="auto" w:fill="F2F2F2" w:themeFill="background1" w:themeFillShade="F2"/>
            <w:noWrap/>
            <w:hideMark/>
          </w:tcPr>
          <w:p w14:paraId="28CC2878"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10966</w:t>
            </w:r>
          </w:p>
        </w:tc>
        <w:tc>
          <w:tcPr>
            <w:tcW w:w="1492" w:type="pct"/>
            <w:tcBorders>
              <w:right w:val="single" w:sz="4" w:space="0" w:color="auto"/>
            </w:tcBorders>
            <w:shd w:val="clear" w:color="auto" w:fill="F2F2F2" w:themeFill="background1" w:themeFillShade="F2"/>
            <w:noWrap/>
            <w:hideMark/>
          </w:tcPr>
          <w:p w14:paraId="3B3955CA"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81350</w:t>
            </w:r>
          </w:p>
        </w:tc>
      </w:tr>
      <w:tr w:rsidR="007E5A6D" w14:paraId="29C85050" w14:textId="77777777" w:rsidTr="000D3EB1">
        <w:trPr>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noWrap/>
            <w:hideMark/>
          </w:tcPr>
          <w:p w14:paraId="209CAB2E"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Psychology</w:t>
            </w:r>
          </w:p>
        </w:tc>
        <w:tc>
          <w:tcPr>
            <w:tcW w:w="1450" w:type="pct"/>
            <w:noWrap/>
            <w:hideMark/>
          </w:tcPr>
          <w:p w14:paraId="355FD216"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10968</w:t>
            </w:r>
          </w:p>
        </w:tc>
        <w:tc>
          <w:tcPr>
            <w:tcW w:w="1492" w:type="pct"/>
            <w:tcBorders>
              <w:right w:val="single" w:sz="4" w:space="0" w:color="auto"/>
            </w:tcBorders>
            <w:noWrap/>
            <w:hideMark/>
          </w:tcPr>
          <w:p w14:paraId="380B6FAF"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81355</w:t>
            </w:r>
          </w:p>
        </w:tc>
      </w:tr>
      <w:tr w:rsidR="007E5A6D" w14:paraId="2D0C6376" w14:textId="77777777" w:rsidTr="000D3E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tcBorders>
            <w:shd w:val="clear" w:color="auto" w:fill="F2F2F2" w:themeFill="background1" w:themeFillShade="F2"/>
            <w:noWrap/>
            <w:hideMark/>
          </w:tcPr>
          <w:p w14:paraId="04BDC856"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Speech pathology</w:t>
            </w:r>
          </w:p>
        </w:tc>
        <w:tc>
          <w:tcPr>
            <w:tcW w:w="1450" w:type="pct"/>
            <w:shd w:val="clear" w:color="auto" w:fill="F2F2F2" w:themeFill="background1" w:themeFillShade="F2"/>
            <w:noWrap/>
            <w:hideMark/>
          </w:tcPr>
          <w:p w14:paraId="7FBB325A"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10970</w:t>
            </w:r>
          </w:p>
        </w:tc>
        <w:tc>
          <w:tcPr>
            <w:tcW w:w="1492" w:type="pct"/>
            <w:tcBorders>
              <w:right w:val="single" w:sz="4" w:space="0" w:color="auto"/>
            </w:tcBorders>
            <w:shd w:val="clear" w:color="auto" w:fill="F2F2F2" w:themeFill="background1" w:themeFillShade="F2"/>
            <w:noWrap/>
            <w:hideMark/>
          </w:tcPr>
          <w:p w14:paraId="4B879FDB" w14:textId="77777777" w:rsidR="007E5A6D"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81360</w:t>
            </w:r>
          </w:p>
        </w:tc>
      </w:tr>
      <w:tr w:rsidR="007E5A6D" w14:paraId="2FEAA619" w14:textId="77777777" w:rsidTr="000D3EB1">
        <w:trPr>
          <w:trHeight w:val="300"/>
        </w:trPr>
        <w:tc>
          <w:tcPr>
            <w:cnfStyle w:val="001000000000" w:firstRow="0" w:lastRow="0" w:firstColumn="1" w:lastColumn="0" w:oddVBand="0" w:evenVBand="0" w:oddHBand="0" w:evenHBand="0" w:firstRowFirstColumn="0" w:firstRowLastColumn="0" w:lastRowFirstColumn="0" w:lastRowLastColumn="0"/>
            <w:tcW w:w="2058" w:type="pct"/>
            <w:tcBorders>
              <w:left w:val="single" w:sz="4" w:space="0" w:color="auto"/>
              <w:bottom w:val="single" w:sz="4" w:space="0" w:color="auto"/>
            </w:tcBorders>
            <w:noWrap/>
            <w:hideMark/>
          </w:tcPr>
          <w:p w14:paraId="4F50639C" w14:textId="77777777" w:rsidR="007E5A6D" w:rsidRPr="0094051A" w:rsidRDefault="007E5A6D" w:rsidP="000D3EB1">
            <w:pPr>
              <w:spacing w:before="0" w:after="0" w:line="240" w:lineRule="auto"/>
              <w:rPr>
                <w:rFonts w:ascii="Calibri" w:hAnsi="Calibri" w:cs="Calibri"/>
                <w:b w:val="0"/>
                <w:bCs w:val="0"/>
                <w:color w:val="000000"/>
                <w:szCs w:val="22"/>
              </w:rPr>
            </w:pPr>
            <w:r w:rsidRPr="0094051A">
              <w:rPr>
                <w:rFonts w:ascii="Calibri" w:hAnsi="Calibri" w:cs="Calibri"/>
                <w:b w:val="0"/>
                <w:bCs w:val="0"/>
                <w:color w:val="000000"/>
                <w:szCs w:val="22"/>
              </w:rPr>
              <w:t>Telehealth Video</w:t>
            </w:r>
            <w:r>
              <w:rPr>
                <w:rFonts w:ascii="Calibri" w:hAnsi="Calibri" w:cs="Calibri"/>
                <w:b w:val="0"/>
                <w:bCs w:val="0"/>
                <w:color w:val="000000"/>
                <w:szCs w:val="22"/>
              </w:rPr>
              <w:t>/telephone</w:t>
            </w:r>
          </w:p>
        </w:tc>
        <w:tc>
          <w:tcPr>
            <w:tcW w:w="1450" w:type="pct"/>
            <w:tcBorders>
              <w:bottom w:val="single" w:sz="4" w:space="0" w:color="auto"/>
            </w:tcBorders>
            <w:noWrap/>
            <w:hideMark/>
          </w:tcPr>
          <w:p w14:paraId="5A0A24EC"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93000/93013</w:t>
            </w:r>
          </w:p>
        </w:tc>
        <w:tc>
          <w:tcPr>
            <w:tcW w:w="1492" w:type="pct"/>
            <w:tcBorders>
              <w:bottom w:val="single" w:sz="4" w:space="0" w:color="auto"/>
              <w:right w:val="single" w:sz="4" w:space="0" w:color="auto"/>
            </w:tcBorders>
            <w:noWrap/>
            <w:hideMark/>
          </w:tcPr>
          <w:p w14:paraId="523755FD" w14:textId="77777777" w:rsidR="007E5A6D"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22"/>
              </w:rPr>
            </w:pPr>
            <w:r>
              <w:rPr>
                <w:rFonts w:ascii="Calibri" w:hAnsi="Calibri" w:cs="Calibri"/>
                <w:color w:val="000000"/>
                <w:szCs w:val="22"/>
              </w:rPr>
              <w:t>93048/93061</w:t>
            </w:r>
          </w:p>
        </w:tc>
      </w:tr>
      <w:tr w:rsidR="007E5A6D" w:rsidRPr="0094051A" w14:paraId="167D3418" w14:textId="77777777" w:rsidTr="000D3E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57F2E918" w14:textId="77777777" w:rsidR="007E5A6D" w:rsidRPr="0094051A" w:rsidRDefault="007E5A6D" w:rsidP="000D3EB1">
            <w:pPr>
              <w:spacing w:before="0" w:after="0" w:line="240" w:lineRule="auto"/>
            </w:pPr>
            <w:r w:rsidRPr="0094051A">
              <w:rPr>
                <w:rFonts w:ascii="Calibri" w:hAnsi="Calibri" w:cs="Calibri"/>
                <w:color w:val="000000"/>
                <w:szCs w:val="22"/>
              </w:rPr>
              <w:t>No. of services PRIOR to changes</w:t>
            </w:r>
          </w:p>
        </w:tc>
        <w:tc>
          <w:tcPr>
            <w:tcW w:w="145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CE519A9" w14:textId="77777777" w:rsidR="007E5A6D" w:rsidRPr="0094051A"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2"/>
              </w:rPr>
            </w:pPr>
            <w:r w:rsidRPr="0094051A">
              <w:rPr>
                <w:rFonts w:ascii="Calibri" w:hAnsi="Calibri" w:cs="Calibri"/>
                <w:b/>
                <w:bCs/>
                <w:color w:val="000000"/>
                <w:szCs w:val="22"/>
              </w:rPr>
              <w:t>5 services per calendar year</w:t>
            </w:r>
          </w:p>
        </w:tc>
        <w:tc>
          <w:tcPr>
            <w:tcW w:w="149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C161701" w14:textId="77777777" w:rsidR="007E5A6D" w:rsidRPr="0094051A" w:rsidRDefault="007E5A6D" w:rsidP="000D3EB1">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2"/>
              </w:rPr>
            </w:pPr>
            <w:r w:rsidRPr="0094051A">
              <w:rPr>
                <w:rFonts w:ascii="Calibri" w:hAnsi="Calibri" w:cs="Calibri"/>
                <w:b/>
                <w:bCs/>
                <w:color w:val="000000"/>
                <w:szCs w:val="22"/>
              </w:rPr>
              <w:t>5 services per calendar year</w:t>
            </w:r>
          </w:p>
        </w:tc>
      </w:tr>
      <w:tr w:rsidR="007E5A6D" w:rsidRPr="0094051A" w14:paraId="48E68989" w14:textId="77777777" w:rsidTr="00AB573A">
        <w:trPr>
          <w:trHeight w:val="300"/>
        </w:trPr>
        <w:tc>
          <w:tcPr>
            <w:cnfStyle w:val="001000000000" w:firstRow="0" w:lastRow="0" w:firstColumn="1" w:lastColumn="0" w:oddVBand="0" w:evenVBand="0" w:oddHBand="0" w:evenHBand="0" w:firstRowFirstColumn="0" w:firstRowLastColumn="0" w:lastRowFirstColumn="0" w:lastRowLastColumn="0"/>
            <w:tcW w:w="2058" w:type="pct"/>
            <w:tcBorders>
              <w:top w:val="single" w:sz="4" w:space="0" w:color="auto"/>
              <w:left w:val="single" w:sz="4" w:space="0" w:color="auto"/>
              <w:bottom w:val="single" w:sz="4" w:space="0" w:color="auto"/>
              <w:right w:val="single" w:sz="4" w:space="0" w:color="auto"/>
            </w:tcBorders>
            <w:noWrap/>
          </w:tcPr>
          <w:p w14:paraId="5C442F12" w14:textId="77777777" w:rsidR="007E5A6D" w:rsidRPr="0094051A" w:rsidRDefault="007E5A6D" w:rsidP="000D3EB1">
            <w:pPr>
              <w:spacing w:before="0" w:after="0" w:line="240" w:lineRule="auto"/>
            </w:pPr>
            <w:r w:rsidRPr="0094051A">
              <w:rPr>
                <w:rFonts w:ascii="Calibri" w:hAnsi="Calibri" w:cs="Calibri"/>
                <w:color w:val="000000"/>
                <w:szCs w:val="22"/>
              </w:rPr>
              <w:t>No. of services AFTER changes</w:t>
            </w:r>
          </w:p>
        </w:tc>
        <w:tc>
          <w:tcPr>
            <w:tcW w:w="1450" w:type="pct"/>
            <w:tcBorders>
              <w:top w:val="single" w:sz="4" w:space="0" w:color="auto"/>
              <w:left w:val="single" w:sz="4" w:space="0" w:color="auto"/>
              <w:bottom w:val="single" w:sz="4" w:space="0" w:color="auto"/>
              <w:right w:val="single" w:sz="4" w:space="0" w:color="auto"/>
            </w:tcBorders>
            <w:noWrap/>
          </w:tcPr>
          <w:p w14:paraId="3ECEA1C7" w14:textId="77777777" w:rsidR="007E5A6D" w:rsidRPr="0094051A"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94051A">
              <w:rPr>
                <w:rFonts w:ascii="Calibri" w:hAnsi="Calibri" w:cs="Calibri"/>
                <w:b/>
                <w:bCs/>
                <w:color w:val="000000"/>
                <w:szCs w:val="22"/>
              </w:rPr>
              <w:t>5 per calendar year</w:t>
            </w:r>
          </w:p>
        </w:tc>
        <w:tc>
          <w:tcPr>
            <w:tcW w:w="1492" w:type="pct"/>
            <w:tcBorders>
              <w:top w:val="single" w:sz="4" w:space="0" w:color="auto"/>
              <w:left w:val="single" w:sz="4" w:space="0" w:color="auto"/>
              <w:bottom w:val="single" w:sz="4" w:space="0" w:color="auto"/>
              <w:right w:val="single" w:sz="4" w:space="0" w:color="auto"/>
            </w:tcBorders>
            <w:noWrap/>
          </w:tcPr>
          <w:p w14:paraId="182119C6" w14:textId="77777777" w:rsidR="007E5A6D" w:rsidRPr="0094051A" w:rsidRDefault="007E5A6D" w:rsidP="000D3EB1">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r w:rsidRPr="0094051A">
              <w:rPr>
                <w:rFonts w:ascii="Calibri" w:hAnsi="Calibri" w:cs="Calibri"/>
                <w:b/>
                <w:bCs/>
                <w:color w:val="000000"/>
                <w:szCs w:val="22"/>
              </w:rPr>
              <w:t>10 per calendar year</w:t>
            </w:r>
          </w:p>
        </w:tc>
      </w:tr>
      <w:tr w:rsidR="00AB573A" w:rsidRPr="0094051A" w14:paraId="2FB3670D" w14:textId="77777777" w:rsidTr="00AB573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058" w:type="pct"/>
            <w:tcBorders>
              <w:top w:val="single" w:sz="4" w:space="0" w:color="auto"/>
              <w:left w:val="single" w:sz="4" w:space="0" w:color="auto"/>
              <w:bottom w:val="single" w:sz="4" w:space="0" w:color="auto"/>
              <w:right w:val="single" w:sz="4" w:space="0" w:color="auto"/>
            </w:tcBorders>
            <w:shd w:val="clear" w:color="auto" w:fill="auto"/>
            <w:noWrap/>
          </w:tcPr>
          <w:p w14:paraId="005D9827" w14:textId="346B8F2B" w:rsidR="00AB573A" w:rsidRPr="0094051A" w:rsidRDefault="00AB573A" w:rsidP="00AB573A">
            <w:pPr>
              <w:spacing w:before="0" w:after="0" w:line="240" w:lineRule="auto"/>
              <w:rPr>
                <w:rFonts w:ascii="Calibri" w:hAnsi="Calibri" w:cs="Calibri"/>
                <w:color w:val="000000"/>
                <w:szCs w:val="22"/>
              </w:rPr>
            </w:pPr>
            <w:r w:rsidRPr="0094051A">
              <w:rPr>
                <w:rFonts w:ascii="Calibri" w:hAnsi="Calibri" w:cs="Calibri"/>
                <w:color w:val="000000"/>
                <w:szCs w:val="22"/>
              </w:rPr>
              <w:t xml:space="preserve">Total capped services </w:t>
            </w:r>
            <w:r>
              <w:rPr>
                <w:rFonts w:ascii="Calibri" w:hAnsi="Calibri" w:cs="Calibri"/>
                <w:color w:val="000000"/>
                <w:szCs w:val="22"/>
              </w:rPr>
              <w:t>PRIOR</w:t>
            </w:r>
            <w:r w:rsidRPr="0094051A">
              <w:rPr>
                <w:rFonts w:ascii="Calibri" w:hAnsi="Calibri" w:cs="Calibri"/>
                <w:color w:val="000000"/>
                <w:szCs w:val="22"/>
              </w:rPr>
              <w:t xml:space="preserve"> to changes</w:t>
            </w:r>
          </w:p>
        </w:tc>
        <w:tc>
          <w:tcPr>
            <w:tcW w:w="1450" w:type="pct"/>
            <w:tcBorders>
              <w:top w:val="single" w:sz="4" w:space="0" w:color="auto"/>
              <w:left w:val="single" w:sz="4" w:space="0" w:color="auto"/>
              <w:bottom w:val="nil"/>
              <w:right w:val="nil"/>
            </w:tcBorders>
            <w:shd w:val="clear" w:color="auto" w:fill="auto"/>
            <w:noWrap/>
          </w:tcPr>
          <w:p w14:paraId="21A2C8F7" w14:textId="0CCD4100" w:rsidR="00AB573A" w:rsidRPr="0094051A" w:rsidRDefault="00AB573A" w:rsidP="00AB573A">
            <w:pPr>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2"/>
              </w:rPr>
            </w:pPr>
            <w:r w:rsidRPr="0094051A">
              <w:rPr>
                <w:rFonts w:ascii="Calibri" w:hAnsi="Calibri" w:cs="Calibri"/>
                <w:b/>
                <w:bCs/>
                <w:color w:val="000000"/>
                <w:szCs w:val="22"/>
              </w:rPr>
              <w:t>10 allied health services</w:t>
            </w:r>
          </w:p>
        </w:tc>
        <w:tc>
          <w:tcPr>
            <w:tcW w:w="1492" w:type="pct"/>
            <w:tcBorders>
              <w:top w:val="single" w:sz="4" w:space="0" w:color="auto"/>
              <w:left w:val="nil"/>
              <w:bottom w:val="nil"/>
              <w:right w:val="single" w:sz="4" w:space="0" w:color="auto"/>
            </w:tcBorders>
            <w:shd w:val="clear" w:color="auto" w:fill="auto"/>
            <w:noWrap/>
          </w:tcPr>
          <w:p w14:paraId="7D04796E" w14:textId="7C3D2756" w:rsidR="00AB573A" w:rsidRPr="0094051A" w:rsidRDefault="00AB573A" w:rsidP="00AB573A">
            <w:pPr>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Cs w:val="22"/>
              </w:rPr>
            </w:pPr>
            <w:r w:rsidRPr="0094051A">
              <w:rPr>
                <w:rFonts w:ascii="Calibri" w:hAnsi="Calibri" w:cs="Calibri"/>
                <w:b/>
                <w:bCs/>
                <w:color w:val="000000"/>
                <w:szCs w:val="22"/>
              </w:rPr>
              <w:t>per calendar year</w:t>
            </w:r>
          </w:p>
        </w:tc>
      </w:tr>
      <w:tr w:rsidR="00AB573A" w:rsidRPr="0094051A" w14:paraId="34C16292" w14:textId="77777777" w:rsidTr="00AB573A">
        <w:trPr>
          <w:trHeight w:val="300"/>
        </w:trPr>
        <w:tc>
          <w:tcPr>
            <w:cnfStyle w:val="001000000000" w:firstRow="0" w:lastRow="0" w:firstColumn="1" w:lastColumn="0" w:oddVBand="0" w:evenVBand="0" w:oddHBand="0" w:evenHBand="0" w:firstRowFirstColumn="0" w:firstRowLastColumn="0" w:lastRowFirstColumn="0" w:lastRowLastColumn="0"/>
            <w:tcW w:w="2058" w:type="pct"/>
            <w:tcBorders>
              <w:top w:val="single" w:sz="4" w:space="0" w:color="auto"/>
              <w:left w:val="single" w:sz="4" w:space="0" w:color="auto"/>
              <w:bottom w:val="single" w:sz="4" w:space="0" w:color="auto"/>
              <w:right w:val="single" w:sz="4" w:space="0" w:color="auto"/>
            </w:tcBorders>
            <w:noWrap/>
          </w:tcPr>
          <w:p w14:paraId="45E1A1B2" w14:textId="10268818" w:rsidR="00AB573A" w:rsidRPr="0094051A" w:rsidRDefault="00AB573A" w:rsidP="00AB573A">
            <w:pPr>
              <w:spacing w:before="0" w:after="0" w:line="240" w:lineRule="auto"/>
              <w:rPr>
                <w:rFonts w:ascii="Calibri" w:hAnsi="Calibri" w:cs="Calibri"/>
                <w:color w:val="000000"/>
                <w:szCs w:val="22"/>
              </w:rPr>
            </w:pPr>
            <w:r w:rsidRPr="0094051A">
              <w:rPr>
                <w:rFonts w:ascii="Calibri" w:hAnsi="Calibri" w:cs="Calibri"/>
                <w:color w:val="000000"/>
                <w:szCs w:val="22"/>
              </w:rPr>
              <w:t xml:space="preserve">Total capped services </w:t>
            </w:r>
            <w:r>
              <w:rPr>
                <w:rFonts w:ascii="Calibri" w:hAnsi="Calibri" w:cs="Calibri"/>
                <w:color w:val="000000"/>
                <w:szCs w:val="22"/>
              </w:rPr>
              <w:t>AFTER</w:t>
            </w:r>
            <w:r w:rsidRPr="0094051A">
              <w:rPr>
                <w:rFonts w:ascii="Calibri" w:hAnsi="Calibri" w:cs="Calibri"/>
                <w:color w:val="000000"/>
                <w:szCs w:val="22"/>
              </w:rPr>
              <w:t xml:space="preserve"> to changes</w:t>
            </w:r>
          </w:p>
        </w:tc>
        <w:tc>
          <w:tcPr>
            <w:tcW w:w="1450" w:type="pct"/>
            <w:tcBorders>
              <w:top w:val="nil"/>
              <w:left w:val="single" w:sz="4" w:space="0" w:color="auto"/>
              <w:bottom w:val="single" w:sz="4" w:space="0" w:color="auto"/>
              <w:right w:val="nil"/>
            </w:tcBorders>
            <w:noWrap/>
          </w:tcPr>
          <w:p w14:paraId="7C050B71" w14:textId="77777777" w:rsidR="00AB573A" w:rsidRPr="0094051A" w:rsidRDefault="00AB573A" w:rsidP="00AB573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p>
        </w:tc>
        <w:tc>
          <w:tcPr>
            <w:tcW w:w="1492" w:type="pct"/>
            <w:tcBorders>
              <w:top w:val="nil"/>
              <w:left w:val="nil"/>
              <w:bottom w:val="single" w:sz="4" w:space="0" w:color="auto"/>
              <w:right w:val="single" w:sz="4" w:space="0" w:color="auto"/>
            </w:tcBorders>
            <w:noWrap/>
          </w:tcPr>
          <w:p w14:paraId="6894EFD3" w14:textId="77777777" w:rsidR="00AB573A" w:rsidRPr="0094051A" w:rsidRDefault="00AB573A" w:rsidP="00AB573A">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Cs w:val="22"/>
              </w:rPr>
            </w:pPr>
          </w:p>
        </w:tc>
      </w:tr>
    </w:tbl>
    <w:bookmarkEnd w:id="2"/>
    <w:p w14:paraId="7E084E40" w14:textId="77777777" w:rsidR="007E5A6D" w:rsidRPr="00FE0DD7" w:rsidRDefault="007E5A6D" w:rsidP="007E5A6D">
      <w:pPr>
        <w:pStyle w:val="ListBullet"/>
        <w:numPr>
          <w:ilvl w:val="0"/>
          <w:numId w:val="29"/>
        </w:numPr>
        <w:rPr>
          <w:rFonts w:cs="Arial"/>
        </w:rPr>
      </w:pPr>
      <w:r w:rsidRPr="00FE0DD7">
        <w:lastRenderedPageBreak/>
        <w:t xml:space="preserve">A </w:t>
      </w:r>
      <w:r>
        <w:t xml:space="preserve">collective </w:t>
      </w:r>
      <w:r w:rsidRPr="00FE0DD7">
        <w:t xml:space="preserve">claiming cap of 10 services per calendar year </w:t>
      </w:r>
      <w:r>
        <w:t xml:space="preserve">will be applied to the </w:t>
      </w:r>
      <w:r w:rsidRPr="00FE0DD7">
        <w:t xml:space="preserve">allied health </w:t>
      </w:r>
      <w:r>
        <w:t>items in the groups specified below</w:t>
      </w:r>
      <w:r w:rsidRPr="00FE0DD7">
        <w:t>:</w:t>
      </w:r>
    </w:p>
    <w:p w14:paraId="1FAEDCF8" w14:textId="77777777" w:rsidR="007E5A6D" w:rsidRPr="00FE0DD7" w:rsidRDefault="007E5A6D" w:rsidP="007E5A6D">
      <w:pPr>
        <w:pStyle w:val="ListBullet"/>
        <w:numPr>
          <w:ilvl w:val="1"/>
          <w:numId w:val="29"/>
        </w:numPr>
        <w:rPr>
          <w:rFonts w:cs="Arial"/>
        </w:rPr>
      </w:pPr>
      <w:r w:rsidRPr="00FE0DD7">
        <w:t>81300 – 81360, 93048 and 93061</w:t>
      </w:r>
      <w:r>
        <w:t xml:space="preserve"> (a</w:t>
      </w:r>
      <w:r w:rsidRPr="00FE0DD7">
        <w:rPr>
          <w:rFonts w:cs="Arial"/>
          <w:color w:val="auto"/>
        </w:rPr>
        <w:t xml:space="preserve">llied health services for </w:t>
      </w:r>
      <w:r w:rsidRPr="00FE0DD7">
        <w:t>First Nations Australian</w:t>
      </w:r>
      <w:r>
        <w:t xml:space="preserve">s). </w:t>
      </w:r>
    </w:p>
    <w:p w14:paraId="125FE958" w14:textId="77777777" w:rsidR="007E5A6D" w:rsidRPr="000F2583" w:rsidRDefault="007E5A6D" w:rsidP="007E5A6D">
      <w:pPr>
        <w:pStyle w:val="ListBullet"/>
        <w:numPr>
          <w:ilvl w:val="1"/>
          <w:numId w:val="29"/>
        </w:numPr>
        <w:spacing w:after="120"/>
        <w:ind w:left="1077" w:hanging="357"/>
        <w:rPr>
          <w:rFonts w:cs="Arial"/>
        </w:rPr>
      </w:pPr>
      <w:r w:rsidRPr="00FE0DD7">
        <w:t>10950 – 10954</w:t>
      </w:r>
      <w:r>
        <w:t>,</w:t>
      </w:r>
      <w:r w:rsidRPr="00FE0DD7">
        <w:t xml:space="preserve"> </w:t>
      </w:r>
      <w:r>
        <w:t>1</w:t>
      </w:r>
      <w:r w:rsidRPr="00FE0DD7">
        <w:t>095</w:t>
      </w:r>
      <w:r>
        <w:t>6, 1</w:t>
      </w:r>
      <w:r w:rsidRPr="00FE0DD7">
        <w:t>095</w:t>
      </w:r>
      <w:r>
        <w:t>8, 10960</w:t>
      </w:r>
      <w:r w:rsidRPr="00FE0DD7">
        <w:t xml:space="preserve"> – 19070, 93000 and 93013</w:t>
      </w:r>
      <w:r>
        <w:t xml:space="preserve"> (CDM </w:t>
      </w:r>
      <w:r w:rsidRPr="00FE0DD7">
        <w:t>allied health services)</w:t>
      </w:r>
      <w:r>
        <w:t>.</w:t>
      </w:r>
    </w:p>
    <w:p w14:paraId="048780E1" w14:textId="77777777" w:rsidR="007E5A6D" w:rsidRPr="009A13F4" w:rsidRDefault="007E5A6D" w:rsidP="007E5A6D">
      <w:pPr>
        <w:pStyle w:val="ListBullet"/>
        <w:numPr>
          <w:ilvl w:val="0"/>
          <w:numId w:val="29"/>
        </w:numPr>
        <w:rPr>
          <w:rFonts w:cs="Arial"/>
        </w:rPr>
      </w:pPr>
      <w:r>
        <w:rPr>
          <w:rFonts w:cs="Arial"/>
        </w:rPr>
        <w:t>The collective cap of 10 services can be made of any combination of up to 10 allied health services for First Nations Australians, and up to 5 CDM allied health services. Please refer to the example scenarios for further clarification.</w:t>
      </w:r>
    </w:p>
    <w:p w14:paraId="5D67FC25" w14:textId="77777777" w:rsidR="007E5A6D" w:rsidRDefault="007E5A6D" w:rsidP="007E5A6D">
      <w:pPr>
        <w:pStyle w:val="ListBullet"/>
        <w:numPr>
          <w:ilvl w:val="0"/>
          <w:numId w:val="29"/>
        </w:numPr>
        <w:rPr>
          <w:rFonts w:cs="Arial"/>
        </w:rPr>
      </w:pPr>
      <w:r w:rsidRPr="00AD3A9E">
        <w:rPr>
          <w:rFonts w:cs="Arial"/>
          <w:color w:val="auto"/>
        </w:rPr>
        <w:t xml:space="preserve">These changes do not affect the patient's entitlement to access </w:t>
      </w:r>
      <w:r w:rsidRPr="00DE7D8D">
        <w:rPr>
          <w:rFonts w:cs="Arial"/>
        </w:rPr>
        <w:t>both CD</w:t>
      </w:r>
      <w:r>
        <w:rPr>
          <w:rFonts w:cs="Arial"/>
        </w:rPr>
        <w:t xml:space="preserve">M </w:t>
      </w:r>
      <w:r w:rsidRPr="00DE7D8D">
        <w:rPr>
          <w:rFonts w:cs="Arial"/>
        </w:rPr>
        <w:t>and health assessment services where they are eligible and clinically appropriate</w:t>
      </w:r>
      <w:r>
        <w:rPr>
          <w:rFonts w:cs="Arial"/>
        </w:rPr>
        <w:t>.</w:t>
      </w:r>
    </w:p>
    <w:p w14:paraId="7941116C" w14:textId="77777777" w:rsidR="007E5A6D" w:rsidRPr="00FE0DD7" w:rsidRDefault="007E5A6D" w:rsidP="007E5A6D">
      <w:pPr>
        <w:pStyle w:val="ListBullet"/>
        <w:numPr>
          <w:ilvl w:val="0"/>
          <w:numId w:val="0"/>
        </w:numPr>
        <w:spacing w:before="240"/>
        <w:rPr>
          <w:rFonts w:cs="Arial"/>
          <w:b/>
          <w:bCs/>
          <w:iCs/>
          <w:color w:val="358189"/>
          <w:sz w:val="36"/>
          <w:szCs w:val="28"/>
        </w:rPr>
      </w:pPr>
      <w:r w:rsidRPr="00FE0DD7">
        <w:rPr>
          <w:rFonts w:cs="Arial"/>
          <w:b/>
          <w:bCs/>
          <w:iCs/>
          <w:color w:val="358189"/>
          <w:sz w:val="36"/>
          <w:szCs w:val="28"/>
        </w:rPr>
        <w:t>Why are the changes being made?</w:t>
      </w:r>
    </w:p>
    <w:p w14:paraId="50465159" w14:textId="77777777" w:rsidR="007E5A6D" w:rsidRPr="00867595" w:rsidRDefault="007E5A6D" w:rsidP="007E5A6D">
      <w:pPr>
        <w:rPr>
          <w:szCs w:val="22"/>
        </w:rPr>
      </w:pPr>
      <w:bookmarkStart w:id="3" w:name="_Hlk535386664"/>
      <w:r w:rsidRPr="00867595">
        <w:rPr>
          <w:szCs w:val="22"/>
        </w:rPr>
        <w:t>Th</w:t>
      </w:r>
      <w:r>
        <w:rPr>
          <w:szCs w:val="22"/>
        </w:rPr>
        <w:t>is</w:t>
      </w:r>
      <w:r w:rsidRPr="00867595">
        <w:rPr>
          <w:szCs w:val="22"/>
        </w:rPr>
        <w:t xml:space="preserve"> change</w:t>
      </w:r>
      <w:r>
        <w:rPr>
          <w:szCs w:val="22"/>
        </w:rPr>
        <w:t xml:space="preserve"> is</w:t>
      </w:r>
      <w:r w:rsidRPr="00867595">
        <w:rPr>
          <w:szCs w:val="22"/>
        </w:rPr>
        <w:t xml:space="preserve"> a result o</w:t>
      </w:r>
      <w:r>
        <w:rPr>
          <w:szCs w:val="22"/>
        </w:rPr>
        <w:t>f</w:t>
      </w:r>
      <w:r w:rsidRPr="00867595">
        <w:rPr>
          <w:szCs w:val="22"/>
        </w:rPr>
        <w:t xml:space="preserve"> a </w:t>
      </w:r>
      <w:r>
        <w:rPr>
          <w:szCs w:val="22"/>
        </w:rPr>
        <w:t>recommendation</w:t>
      </w:r>
      <w:r w:rsidRPr="00867595">
        <w:rPr>
          <w:szCs w:val="22"/>
        </w:rPr>
        <w:t xml:space="preserve"> by the M</w:t>
      </w:r>
      <w:r>
        <w:rPr>
          <w:szCs w:val="22"/>
        </w:rPr>
        <w:t>edicare Benefit Schedule (M</w:t>
      </w:r>
      <w:r w:rsidRPr="00867595">
        <w:rPr>
          <w:szCs w:val="22"/>
        </w:rPr>
        <w:t>BS</w:t>
      </w:r>
      <w:r>
        <w:rPr>
          <w:szCs w:val="22"/>
        </w:rPr>
        <w:t>)</w:t>
      </w:r>
      <w:r w:rsidRPr="00867595">
        <w:rPr>
          <w:szCs w:val="22"/>
        </w:rPr>
        <w:t> Review Taskforce</w:t>
      </w:r>
      <w:r>
        <w:rPr>
          <w:szCs w:val="22"/>
        </w:rPr>
        <w:t xml:space="preserve"> (Taskforce)</w:t>
      </w:r>
      <w:r w:rsidRPr="00867595">
        <w:rPr>
          <w:szCs w:val="22"/>
        </w:rPr>
        <w:t xml:space="preserve">, which was informed by </w:t>
      </w:r>
      <w:r>
        <w:rPr>
          <w:szCs w:val="22"/>
        </w:rPr>
        <w:t>the Allied Health Reference Group</w:t>
      </w:r>
      <w:r w:rsidRPr="00EC4D70">
        <w:rPr>
          <w:rFonts w:cs="Arial"/>
        </w:rPr>
        <w:t xml:space="preserve">. </w:t>
      </w:r>
      <w:r w:rsidRPr="00867595">
        <w:rPr>
          <w:szCs w:val="22"/>
        </w:rPr>
        <w:t xml:space="preserve">More information about the Taskforce and associated Committees is available </w:t>
      </w:r>
      <w:r>
        <w:rPr>
          <w:szCs w:val="22"/>
        </w:rPr>
        <w:t xml:space="preserve">on the </w:t>
      </w:r>
      <w:hyperlink r:id="rId11" w:history="1">
        <w:r w:rsidRPr="00867595">
          <w:rPr>
            <w:rStyle w:val="Hyperlink"/>
            <w:szCs w:val="22"/>
          </w:rPr>
          <w:t>Department of Health</w:t>
        </w:r>
        <w:r>
          <w:rPr>
            <w:rStyle w:val="Hyperlink"/>
            <w:szCs w:val="22"/>
          </w:rPr>
          <w:t xml:space="preserve"> and Aged Care</w:t>
        </w:r>
        <w:r w:rsidRPr="00867595">
          <w:rPr>
            <w:rStyle w:val="Hyperlink"/>
            <w:szCs w:val="22"/>
          </w:rPr>
          <w:t xml:space="preserve"> website</w:t>
        </w:r>
      </w:hyperlink>
      <w:r w:rsidRPr="00867595">
        <w:rPr>
          <w:szCs w:val="22"/>
        </w:rPr>
        <w:t xml:space="preserve">. </w:t>
      </w:r>
      <w:r>
        <w:rPr>
          <w:szCs w:val="22"/>
        </w:rPr>
        <w:t>The c</w:t>
      </w:r>
      <w:r w:rsidRPr="00867595">
        <w:rPr>
          <w:szCs w:val="22"/>
        </w:rPr>
        <w:t xml:space="preserve">linical </w:t>
      </w:r>
      <w:r>
        <w:rPr>
          <w:szCs w:val="22"/>
        </w:rPr>
        <w:t>c</w:t>
      </w:r>
      <w:r w:rsidRPr="00867595">
        <w:rPr>
          <w:szCs w:val="22"/>
        </w:rPr>
        <w:t>ommittee final report</w:t>
      </w:r>
      <w:r>
        <w:rPr>
          <w:szCs w:val="22"/>
        </w:rPr>
        <w:t>s</w:t>
      </w:r>
      <w:r w:rsidRPr="00867595">
        <w:rPr>
          <w:szCs w:val="22"/>
        </w:rPr>
        <w:t xml:space="preserve"> can be found </w:t>
      </w:r>
      <w:r>
        <w:rPr>
          <w:szCs w:val="22"/>
        </w:rPr>
        <w:t>on</w:t>
      </w:r>
      <w:r w:rsidRPr="00867595">
        <w:rPr>
          <w:rStyle w:val="Strong"/>
          <w:szCs w:val="22"/>
        </w:rPr>
        <w:t xml:space="preserve"> </w:t>
      </w:r>
      <w:hyperlink r:id="rId12" w:history="1">
        <w:r w:rsidRPr="00DA0FC9">
          <w:rPr>
            <w:rStyle w:val="Hyperlink"/>
            <w:rFonts w:cs="Arial"/>
            <w:color w:val="auto"/>
            <w:u w:val="none"/>
          </w:rPr>
          <w:t xml:space="preserve">the </w:t>
        </w:r>
        <w:r>
          <w:rPr>
            <w:rStyle w:val="Hyperlink"/>
            <w:rFonts w:cs="Arial"/>
          </w:rPr>
          <w:t>Department's website</w:t>
        </w:r>
      </w:hyperlink>
      <w:bookmarkEnd w:id="3"/>
      <w:r w:rsidRPr="00F3408A">
        <w:rPr>
          <w:rStyle w:val="Hyperlink"/>
          <w:szCs w:val="22"/>
          <w:u w:val="none"/>
        </w:rPr>
        <w:t>.</w:t>
      </w:r>
    </w:p>
    <w:p w14:paraId="34AB9993" w14:textId="77777777" w:rsidR="007E5A6D" w:rsidRDefault="007E5A6D" w:rsidP="007E5A6D">
      <w:pPr>
        <w:pStyle w:val="Heading2"/>
      </w:pPr>
      <w:r>
        <w:t>What does this mean for providers/referrers/other stakeholders?</w:t>
      </w:r>
    </w:p>
    <w:p w14:paraId="362F78DD" w14:textId="77777777" w:rsidR="007E5A6D" w:rsidRDefault="007E5A6D" w:rsidP="007E5A6D">
      <w:pPr>
        <w:pStyle w:val="ListBullet"/>
      </w:pPr>
      <w:r>
        <w:t>GPs/</w:t>
      </w:r>
      <w:r w:rsidRPr="001D5AA0">
        <w:t xml:space="preserve"> </w:t>
      </w:r>
      <w:r>
        <w:t>Prescribed medical practitioners (</w:t>
      </w:r>
      <w:r>
        <w:rPr>
          <w:lang w:eastAsia="en-AU"/>
        </w:rPr>
        <w:t>a medical practitioner other than a GP, specialist, or consultant physician)</w:t>
      </w:r>
      <w:r>
        <w:t xml:space="preserve"> will be able to refer for up to 10 individual MBS eligible health services per calendar year if the patient identifies as a First Nations Australian and has a CDM plan </w:t>
      </w:r>
      <w:r w:rsidRPr="000D3EB1">
        <w:rPr>
          <w:b/>
        </w:rPr>
        <w:t>OR</w:t>
      </w:r>
      <w:r>
        <w:t xml:space="preserve"> has had a</w:t>
      </w:r>
      <w:r w:rsidRPr="003563F9">
        <w:t xml:space="preserve"> </w:t>
      </w:r>
      <w:r>
        <w:t xml:space="preserve">health assessment. </w:t>
      </w:r>
    </w:p>
    <w:p w14:paraId="563C95AB" w14:textId="77777777" w:rsidR="007E5A6D" w:rsidRPr="00EF3F62" w:rsidRDefault="007E5A6D" w:rsidP="007E5A6D">
      <w:pPr>
        <w:pStyle w:val="ListBullet"/>
        <w:rPr>
          <w:rFonts w:ascii="Calibri" w:hAnsi="Calibri"/>
          <w:color w:val="auto"/>
        </w:rPr>
      </w:pPr>
      <w:r>
        <w:t>To refer for up to 10 allied health services, GPs/Prescribed medical practitioners should refer using the new ‘</w:t>
      </w:r>
      <w:hyperlink r:id="rId13" w:history="1">
        <w:r w:rsidRPr="00D44D1F">
          <w:rPr>
            <w:rStyle w:val="Hyperlink"/>
            <w:i/>
            <w:iCs/>
          </w:rPr>
          <w:t>Referral form for eligible allied health services under Medicare for people of Aboriginal or Torres Strait Islander descent</w:t>
        </w:r>
        <w:r w:rsidRPr="00D44D1F">
          <w:rPr>
            <w:rStyle w:val="Hyperlink"/>
          </w:rPr>
          <w:t>’</w:t>
        </w:r>
      </w:hyperlink>
      <w:r>
        <w:t xml:space="preserve"> or a document that contains all components of the form.  </w:t>
      </w:r>
    </w:p>
    <w:p w14:paraId="6D46A3B9" w14:textId="77777777" w:rsidR="007E5A6D" w:rsidRDefault="007E5A6D" w:rsidP="007E5A6D">
      <w:pPr>
        <w:pStyle w:val="ListBullet"/>
      </w:pPr>
      <w:r>
        <w:t xml:space="preserve">Allied Health professionals </w:t>
      </w:r>
      <w:r w:rsidRPr="006050AC">
        <w:t xml:space="preserve">will be able to provide up to 10 </w:t>
      </w:r>
      <w:r>
        <w:t xml:space="preserve">MBS eligible </w:t>
      </w:r>
      <w:r w:rsidRPr="006050AC">
        <w:t>services per patient, per calendar year</w:t>
      </w:r>
      <w:r>
        <w:t xml:space="preserve">, with </w:t>
      </w:r>
      <w:r w:rsidRPr="006050AC">
        <w:t xml:space="preserve">a valid referral. </w:t>
      </w:r>
    </w:p>
    <w:p w14:paraId="4A03F1E8" w14:textId="77777777" w:rsidR="007E5A6D" w:rsidRPr="00B96C86" w:rsidRDefault="007E5A6D" w:rsidP="007E5A6D">
      <w:pPr>
        <w:rPr>
          <w:rFonts w:cs="Arial"/>
          <w:b/>
          <w:bCs/>
          <w:iCs/>
          <w:color w:val="358189"/>
          <w:sz w:val="36"/>
          <w:szCs w:val="28"/>
        </w:rPr>
      </w:pPr>
      <w:r w:rsidRPr="00B96C86">
        <w:rPr>
          <w:rFonts w:cs="Arial"/>
          <w:b/>
          <w:bCs/>
          <w:iCs/>
          <w:color w:val="358189"/>
          <w:sz w:val="36"/>
          <w:szCs w:val="28"/>
        </w:rPr>
        <w:t>Example</w:t>
      </w:r>
      <w:r>
        <w:rPr>
          <w:rFonts w:cs="Arial"/>
          <w:b/>
          <w:bCs/>
          <w:iCs/>
          <w:color w:val="358189"/>
          <w:sz w:val="36"/>
          <w:szCs w:val="28"/>
        </w:rPr>
        <w:t xml:space="preserve"> Scenarios</w:t>
      </w:r>
      <w:r w:rsidRPr="00B96C86">
        <w:rPr>
          <w:rFonts w:cs="Arial"/>
          <w:b/>
          <w:bCs/>
          <w:iCs/>
          <w:color w:val="358189"/>
          <w:sz w:val="36"/>
          <w:szCs w:val="28"/>
        </w:rPr>
        <w:t xml:space="preserve"> </w:t>
      </w:r>
    </w:p>
    <w:p w14:paraId="14643B4F" w14:textId="77777777" w:rsidR="007E5A6D" w:rsidRDefault="007E5A6D" w:rsidP="007E5A6D">
      <w:pPr>
        <w:rPr>
          <w:szCs w:val="22"/>
        </w:rPr>
      </w:pPr>
      <w:r w:rsidRPr="00B62B64">
        <w:rPr>
          <w:b/>
          <w:bCs/>
          <w:szCs w:val="22"/>
        </w:rPr>
        <w:t>Example One</w:t>
      </w:r>
      <w:r>
        <w:rPr>
          <w:szCs w:val="22"/>
        </w:rPr>
        <w:t>: A GP conducts a</w:t>
      </w:r>
      <w:r w:rsidRPr="003563F9">
        <w:t xml:space="preserve"> </w:t>
      </w:r>
      <w:r>
        <w:rPr>
          <w:szCs w:val="22"/>
        </w:rPr>
        <w:t>health assessment for a patient who identifies as being a First Nations Australian, and identifies the patient’s need for both dietetic and exercise physiology services. The GP refers for 6 dietetic services and 4 exercise physiology services using the ‘</w:t>
      </w:r>
      <w:hyperlink r:id="rId14" w:history="1">
        <w:r w:rsidRPr="00D44D1F">
          <w:rPr>
            <w:rStyle w:val="Hyperlink"/>
            <w:i/>
            <w:iCs/>
          </w:rPr>
          <w:t>Referral form for eligible allied health services under Medicare for people of Aboriginal or Torres Strait Islander descent</w:t>
        </w:r>
        <w:r w:rsidRPr="00D44D1F">
          <w:rPr>
            <w:rStyle w:val="Hyperlink"/>
          </w:rPr>
          <w:t>’</w:t>
        </w:r>
      </w:hyperlink>
      <w:r>
        <w:rPr>
          <w:szCs w:val="22"/>
        </w:rPr>
        <w:t xml:space="preserve">. </w:t>
      </w:r>
    </w:p>
    <w:p w14:paraId="6443F9FF" w14:textId="77777777" w:rsidR="007E5A6D" w:rsidRDefault="007E5A6D" w:rsidP="007E5A6D">
      <w:pPr>
        <w:rPr>
          <w:szCs w:val="22"/>
        </w:rPr>
      </w:pPr>
      <w:r w:rsidRPr="00B62B64">
        <w:rPr>
          <w:b/>
          <w:bCs/>
          <w:szCs w:val="22"/>
        </w:rPr>
        <w:t>Example Two</w:t>
      </w:r>
      <w:r>
        <w:rPr>
          <w:szCs w:val="22"/>
        </w:rPr>
        <w:t>: The chronic condition of a patient who identifies as being a First Nations Australian is being managed by their GP under an existing CDM plan. They have claimed 5 physiotherapy services (</w:t>
      </w:r>
      <w:r w:rsidRPr="001D5AA0">
        <w:rPr>
          <w:szCs w:val="22"/>
        </w:rPr>
        <w:t>10968</w:t>
      </w:r>
      <w:r>
        <w:rPr>
          <w:szCs w:val="22"/>
        </w:rPr>
        <w:t>)</w:t>
      </w:r>
      <w:r w:rsidRPr="001D5AA0">
        <w:rPr>
          <w:szCs w:val="22"/>
        </w:rPr>
        <w:t xml:space="preserve"> </w:t>
      </w:r>
      <w:r>
        <w:rPr>
          <w:szCs w:val="22"/>
        </w:rPr>
        <w:t>that calendar year</w:t>
      </w:r>
      <w:r>
        <w:t>. They were referred to these services using the ‘</w:t>
      </w:r>
      <w:hyperlink r:id="rId15" w:history="1">
        <w:r w:rsidRPr="007A45E2">
          <w:rPr>
            <w:rStyle w:val="Hyperlink"/>
            <w:i/>
            <w:iCs/>
            <w:szCs w:val="22"/>
          </w:rPr>
          <w:t>Referral form for chronic disease allied health services under Medicare</w:t>
        </w:r>
      </w:hyperlink>
      <w:r w:rsidRPr="00B96C86">
        <w:rPr>
          <w:szCs w:val="22"/>
        </w:rPr>
        <w:t>’</w:t>
      </w:r>
      <w:r>
        <w:rPr>
          <w:szCs w:val="22"/>
        </w:rPr>
        <w:t xml:space="preserve"> of which a maximum of 5 services can be referred. This referral form is not specific to patients who are First Nations Australians. To ensure that the patient can receive the full entitlement of up to 10 services per calendar year, the </w:t>
      </w:r>
      <w:r>
        <w:rPr>
          <w:szCs w:val="22"/>
        </w:rPr>
        <w:lastRenderedPageBreak/>
        <w:t>GP refers for a further 5 physiotherapy services using the ‘</w:t>
      </w:r>
      <w:hyperlink r:id="rId16" w:history="1">
        <w:r w:rsidRPr="002870B8">
          <w:rPr>
            <w:rStyle w:val="Hyperlink"/>
            <w:i/>
            <w:iCs/>
          </w:rPr>
          <w:t>Referral form for eligible allied health services under Medicare for people of Aboriginal or Torres Strait Islander descent</w:t>
        </w:r>
        <w:r w:rsidRPr="002870B8">
          <w:rPr>
            <w:rStyle w:val="Hyperlink"/>
          </w:rPr>
          <w:t>’</w:t>
        </w:r>
      </w:hyperlink>
      <w:r>
        <w:t>.</w:t>
      </w:r>
      <w:r>
        <w:rPr>
          <w:szCs w:val="22"/>
        </w:rPr>
        <w:t xml:space="preserve"> </w:t>
      </w:r>
    </w:p>
    <w:p w14:paraId="1EDAA399" w14:textId="77777777" w:rsidR="007E5A6D" w:rsidRDefault="007E5A6D" w:rsidP="007E5A6D">
      <w:pPr>
        <w:pStyle w:val="Heading2"/>
      </w:pPr>
      <w:r>
        <w:t>How will these changes affect patients</w:t>
      </w:r>
      <w:r w:rsidRPr="001A7FB7">
        <w:t>?</w:t>
      </w:r>
    </w:p>
    <w:p w14:paraId="44C2F701" w14:textId="77777777" w:rsidR="007E5A6D" w:rsidRDefault="007E5A6D" w:rsidP="007E5A6D">
      <w:pPr>
        <w:spacing w:after="0"/>
      </w:pPr>
      <w:r w:rsidRPr="00655D6D">
        <w:rPr>
          <w:rFonts w:cs="Arial"/>
          <w:szCs w:val="22"/>
        </w:rPr>
        <w:t xml:space="preserve">The changes will </w:t>
      </w:r>
      <w:r>
        <w:rPr>
          <w:rFonts w:cs="Arial"/>
          <w:szCs w:val="22"/>
        </w:rPr>
        <w:t>streamline</w:t>
      </w:r>
      <w:r w:rsidRPr="00655D6D">
        <w:rPr>
          <w:rFonts w:cs="Arial"/>
          <w:szCs w:val="22"/>
        </w:rPr>
        <w:t xml:space="preserve"> access for </w:t>
      </w:r>
      <w:r>
        <w:rPr>
          <w:rFonts w:cs="Arial"/>
          <w:szCs w:val="22"/>
        </w:rPr>
        <w:t>First Nation Australians needing individual MBS eligible health services</w:t>
      </w:r>
      <w:r w:rsidRPr="00655D6D">
        <w:rPr>
          <w:rFonts w:cs="Arial"/>
          <w:szCs w:val="22"/>
        </w:rPr>
        <w:t>.</w:t>
      </w:r>
      <w:r>
        <w:rPr>
          <w:rFonts w:cs="Arial"/>
          <w:szCs w:val="22"/>
        </w:rPr>
        <w:t xml:space="preserve"> </w:t>
      </w:r>
      <w:r>
        <w:t xml:space="preserve">They will no longer need to have a CDM plan </w:t>
      </w:r>
      <w:r w:rsidRPr="000D3EB1">
        <w:rPr>
          <w:u w:val="single"/>
        </w:rPr>
        <w:t>and</w:t>
      </w:r>
      <w:r>
        <w:t xml:space="preserve"> a health assessment to access up to 10 referred individual eligible health MBS services. </w:t>
      </w:r>
    </w:p>
    <w:p w14:paraId="068AB3B7" w14:textId="77777777" w:rsidR="007E5A6D" w:rsidRDefault="007E5A6D" w:rsidP="007E5A6D">
      <w:pPr>
        <w:pStyle w:val="Heading2"/>
      </w:pPr>
      <w:r w:rsidRPr="001A7FB7">
        <w:t>Who was consulted on the changes?</w:t>
      </w:r>
    </w:p>
    <w:p w14:paraId="121D1880" w14:textId="77777777" w:rsidR="007E5A6D" w:rsidRPr="0034043F" w:rsidRDefault="007E5A6D" w:rsidP="007E5A6D">
      <w:pPr>
        <w:spacing w:before="0" w:after="0"/>
        <w:rPr>
          <w:szCs w:val="22"/>
        </w:rPr>
      </w:pPr>
      <w:r w:rsidRPr="00E45853">
        <w:rPr>
          <w:rFonts w:cs="Arial"/>
          <w:szCs w:val="22"/>
        </w:rPr>
        <w:t xml:space="preserve">Consultation was undertaken </w:t>
      </w:r>
      <w:r>
        <w:rPr>
          <w:rFonts w:cs="Arial"/>
          <w:szCs w:val="22"/>
        </w:rPr>
        <w:t xml:space="preserve">with stakeholders </w:t>
      </w:r>
      <w:r w:rsidRPr="00E45853">
        <w:rPr>
          <w:rFonts w:cs="Arial"/>
          <w:szCs w:val="22"/>
        </w:rPr>
        <w:t xml:space="preserve">through the </w:t>
      </w:r>
      <w:r>
        <w:rPr>
          <w:rFonts w:cs="Arial"/>
          <w:szCs w:val="22"/>
        </w:rPr>
        <w:t>First Nations</w:t>
      </w:r>
      <w:r w:rsidRPr="00E45853">
        <w:rPr>
          <w:rFonts w:cs="Arial"/>
          <w:szCs w:val="22"/>
        </w:rPr>
        <w:t xml:space="preserve"> I</w:t>
      </w:r>
      <w:r>
        <w:rPr>
          <w:rFonts w:cs="Arial"/>
          <w:szCs w:val="22"/>
        </w:rPr>
        <w:t>mplementation Liaison Group (I</w:t>
      </w:r>
      <w:r w:rsidRPr="00E45853">
        <w:rPr>
          <w:rFonts w:cs="Arial"/>
          <w:szCs w:val="22"/>
        </w:rPr>
        <w:t>LG</w:t>
      </w:r>
      <w:r>
        <w:rPr>
          <w:rFonts w:cs="Arial"/>
          <w:szCs w:val="22"/>
        </w:rPr>
        <w:t>)</w:t>
      </w:r>
      <w:r w:rsidRPr="00E45853">
        <w:rPr>
          <w:rFonts w:cs="Arial"/>
          <w:szCs w:val="22"/>
        </w:rPr>
        <w:t>. Members of the ILG included</w:t>
      </w:r>
      <w:r>
        <w:rPr>
          <w:szCs w:val="22"/>
        </w:rPr>
        <w:t xml:space="preserve"> the </w:t>
      </w:r>
      <w:r w:rsidRPr="0034043F">
        <w:rPr>
          <w:szCs w:val="22"/>
        </w:rPr>
        <w:t>Australian Medical Association</w:t>
      </w:r>
      <w:r>
        <w:rPr>
          <w:szCs w:val="22"/>
        </w:rPr>
        <w:t xml:space="preserve">, </w:t>
      </w:r>
      <w:r w:rsidRPr="0034043F">
        <w:rPr>
          <w:szCs w:val="22"/>
        </w:rPr>
        <w:t>Indigenous Allied Health Australia</w:t>
      </w:r>
      <w:r>
        <w:rPr>
          <w:szCs w:val="22"/>
        </w:rPr>
        <w:t xml:space="preserve">, </w:t>
      </w:r>
      <w:r w:rsidRPr="0034043F">
        <w:rPr>
          <w:szCs w:val="22"/>
        </w:rPr>
        <w:t>Indigenous Urban Institute of Health</w:t>
      </w:r>
      <w:r>
        <w:rPr>
          <w:szCs w:val="22"/>
        </w:rPr>
        <w:t xml:space="preserve">, </w:t>
      </w:r>
      <w:r w:rsidRPr="0034043F">
        <w:rPr>
          <w:szCs w:val="22"/>
        </w:rPr>
        <w:t>National Association of Aboriginal and Torres Strait Islander Health Workers and Practitioners</w:t>
      </w:r>
      <w:r>
        <w:rPr>
          <w:szCs w:val="22"/>
        </w:rPr>
        <w:t xml:space="preserve">, </w:t>
      </w:r>
      <w:r w:rsidRPr="0034043F">
        <w:rPr>
          <w:szCs w:val="22"/>
        </w:rPr>
        <w:t>Royal Australian College of General Practitioners</w:t>
      </w:r>
      <w:r>
        <w:rPr>
          <w:szCs w:val="22"/>
        </w:rPr>
        <w:t xml:space="preserve">, </w:t>
      </w:r>
      <w:r w:rsidRPr="0034043F">
        <w:rPr>
          <w:szCs w:val="22"/>
        </w:rPr>
        <w:t>Services for Australian Rural and Remote Allied Health</w:t>
      </w:r>
      <w:r>
        <w:rPr>
          <w:szCs w:val="22"/>
        </w:rPr>
        <w:t xml:space="preserve">, and the </w:t>
      </w:r>
      <w:r w:rsidRPr="00092977">
        <w:rPr>
          <w:szCs w:val="22"/>
        </w:rPr>
        <w:t>Rural Doctors Association of Australia</w:t>
      </w:r>
      <w:r>
        <w:rPr>
          <w:rFonts w:cs="Arial"/>
          <w:szCs w:val="22"/>
        </w:rPr>
        <w:t>.</w:t>
      </w:r>
      <w:r w:rsidRPr="00E45853">
        <w:rPr>
          <w:rFonts w:cs="Arial"/>
          <w:szCs w:val="22"/>
        </w:rPr>
        <w:t xml:space="preserve"> </w:t>
      </w:r>
    </w:p>
    <w:p w14:paraId="01418FA4" w14:textId="77777777" w:rsidR="007E5A6D" w:rsidRDefault="007E5A6D" w:rsidP="007E5A6D">
      <w:pPr>
        <w:pStyle w:val="Heading2"/>
      </w:pPr>
      <w:r w:rsidRPr="001A7FB7">
        <w:t>How will the changes be monitored</w:t>
      </w:r>
      <w:r>
        <w:t xml:space="preserve"> and reviewed</w:t>
      </w:r>
      <w:r w:rsidRPr="001A7FB7">
        <w:t>?</w:t>
      </w:r>
    </w:p>
    <w:p w14:paraId="4B302F57" w14:textId="77777777" w:rsidR="007E5A6D" w:rsidRPr="00E45853" w:rsidRDefault="007E5A6D" w:rsidP="007E5A6D">
      <w:pPr>
        <w:spacing w:after="0"/>
        <w:rPr>
          <w:rFonts w:cs="Arial"/>
          <w:szCs w:val="22"/>
        </w:rPr>
      </w:pPr>
      <w:r w:rsidRPr="00E45853">
        <w:rPr>
          <w:rFonts w:cs="Arial"/>
          <w:szCs w:val="22"/>
        </w:rPr>
        <w:t xml:space="preserve">The </w:t>
      </w:r>
      <w:r>
        <w:rPr>
          <w:rFonts w:cs="Arial"/>
          <w:szCs w:val="22"/>
        </w:rPr>
        <w:t>D</w:t>
      </w:r>
      <w:r w:rsidRPr="00E45853">
        <w:rPr>
          <w:rFonts w:cs="Arial"/>
          <w:szCs w:val="22"/>
        </w:rPr>
        <w:t>epartment regularly reviews the usage of new and amended MBS items in consultation with the profession. All MBS items are subject to compliance processes and activities, including random and targeted audits</w:t>
      </w:r>
      <w:r>
        <w:rPr>
          <w:rFonts w:cs="Arial"/>
          <w:szCs w:val="22"/>
        </w:rPr>
        <w:t>,</w:t>
      </w:r>
      <w:r w:rsidRPr="00E45853">
        <w:rPr>
          <w:rFonts w:cs="Arial"/>
          <w:szCs w:val="22"/>
        </w:rPr>
        <w:t xml:space="preserve"> which may require a provider to submit evidence about the services claimed.</w:t>
      </w:r>
    </w:p>
    <w:p w14:paraId="1294EF41" w14:textId="77777777" w:rsidR="007E5A6D" w:rsidRDefault="007E5A6D" w:rsidP="007E5A6D">
      <w:pPr>
        <w:pStyle w:val="Heading2"/>
      </w:pPr>
      <w:r>
        <w:t>Where can I find more information?</w:t>
      </w:r>
    </w:p>
    <w:p w14:paraId="76AB5CF6" w14:textId="77777777" w:rsidR="007E5A6D" w:rsidRPr="00867595" w:rsidRDefault="007E5A6D" w:rsidP="007E5A6D">
      <w:pPr>
        <w:rPr>
          <w:szCs w:val="22"/>
        </w:rPr>
      </w:pPr>
      <w:r w:rsidRPr="00867595">
        <w:rPr>
          <w:szCs w:val="22"/>
        </w:rPr>
        <w:t xml:space="preserve">The full item descriptor(s) and information on other changes to the MBS can be found on the MBS Online website at </w:t>
      </w:r>
      <w:hyperlink r:id="rId17"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8" w:history="1">
        <w:r w:rsidRPr="00867595">
          <w:rPr>
            <w:rStyle w:val="Hyperlink"/>
            <w:szCs w:val="22"/>
          </w:rPr>
          <w:t>MBS Online</w:t>
        </w:r>
      </w:hyperlink>
      <w:r w:rsidRPr="00867595">
        <w:rPr>
          <w:szCs w:val="22"/>
        </w:rPr>
        <w:t xml:space="preserve"> and clicking ‘Subscribe’. </w:t>
      </w:r>
    </w:p>
    <w:p w14:paraId="271A4D18" w14:textId="77777777" w:rsidR="007E5A6D" w:rsidRDefault="007E5A6D" w:rsidP="007E5A6D">
      <w:pPr>
        <w:rPr>
          <w:szCs w:val="22"/>
        </w:rPr>
      </w:pPr>
      <w:r w:rsidRPr="00867595">
        <w:rPr>
          <w:szCs w:val="22"/>
        </w:rPr>
        <w:t xml:space="preserve">The Department of Health </w:t>
      </w:r>
      <w:r>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Pr="00E71492">
        <w:rPr>
          <w:i/>
          <w:iCs/>
          <w:szCs w:val="22"/>
        </w:rPr>
        <w:br/>
        <w:t>Act 1973</w:t>
      </w:r>
      <w:r w:rsidRPr="00867595">
        <w:rPr>
          <w:szCs w:val="22"/>
        </w:rPr>
        <w:t xml:space="preserve"> and associated regulations. If you have a query relating exclusively to interpretation of the Schedule, you should email </w:t>
      </w:r>
      <w:hyperlink r:id="rId19" w:history="1">
        <w:r w:rsidRPr="00867595">
          <w:rPr>
            <w:rStyle w:val="Hyperlink"/>
            <w:szCs w:val="22"/>
          </w:rPr>
          <w:t>askMBS@health.gov.au</w:t>
        </w:r>
      </w:hyperlink>
      <w:r w:rsidRPr="00867595">
        <w:rPr>
          <w:szCs w:val="22"/>
        </w:rPr>
        <w:t>.</w:t>
      </w:r>
    </w:p>
    <w:p w14:paraId="370C51C9" w14:textId="77777777" w:rsidR="007E5A6D" w:rsidRDefault="007E5A6D" w:rsidP="007E5A6D">
      <w:pPr>
        <w:rPr>
          <w:color w:val="auto"/>
          <w:sz w:val="20"/>
          <w:szCs w:val="21"/>
        </w:rPr>
      </w:pPr>
      <w:r>
        <w:t xml:space="preserve">Private health insurance information on the product tier arrangements is available at </w:t>
      </w:r>
      <w:hyperlink r:id="rId20" w:history="1">
        <w:r>
          <w:rPr>
            <w:rStyle w:val="Hyperlink"/>
          </w:rPr>
          <w:t>www.privatehealth.gov.au</w:t>
        </w:r>
      </w:hyperlink>
      <w:r>
        <w:t xml:space="preserve">. Detailed information on the MBS item listing within clinical categories is available on the </w:t>
      </w:r>
      <w:hyperlink r:id="rId21"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Pr>
          <w:i/>
        </w:rPr>
        <w:t xml:space="preserve"> </w:t>
      </w:r>
      <w:r>
        <w:rPr>
          <w:iCs/>
        </w:rPr>
        <w:t xml:space="preserve">found on the </w:t>
      </w:r>
      <w:hyperlink r:id="rId22" w:history="1">
        <w:r w:rsidRPr="005E2D76">
          <w:rPr>
            <w:rStyle w:val="Hyperlink"/>
            <w:iCs/>
          </w:rPr>
          <w:t>Federal Register of Legislation</w:t>
        </w:r>
      </w:hyperlink>
      <w:r>
        <w:t xml:space="preserve">. If you have a query in relation to private health insurance, you should email </w:t>
      </w:r>
      <w:hyperlink r:id="rId23" w:history="1">
        <w:r>
          <w:rPr>
            <w:rStyle w:val="Hyperlink"/>
          </w:rPr>
          <w:t>PHI@health.gov.au</w:t>
        </w:r>
      </w:hyperlink>
      <w:r>
        <w:t>.</w:t>
      </w:r>
    </w:p>
    <w:p w14:paraId="6EAA4B1B" w14:textId="77777777" w:rsidR="007E5A6D" w:rsidRPr="00867595" w:rsidRDefault="007E5A6D" w:rsidP="007E5A6D">
      <w:pPr>
        <w:rPr>
          <w:szCs w:val="22"/>
        </w:rPr>
      </w:pPr>
      <w:r w:rsidRPr="00867595">
        <w:rPr>
          <w:szCs w:val="22"/>
        </w:rPr>
        <w:t>Subscribe to ‘</w:t>
      </w:r>
      <w:hyperlink r:id="rId24" w:history="1">
        <w:r w:rsidRPr="00867595">
          <w:rPr>
            <w:rStyle w:val="Hyperlink"/>
            <w:szCs w:val="22"/>
          </w:rPr>
          <w:t>News for Health Professionals</w:t>
        </w:r>
      </w:hyperlink>
      <w:r w:rsidRPr="00867595">
        <w:rPr>
          <w:szCs w:val="22"/>
        </w:rPr>
        <w:t>’ on the Services Australia website and you will receive regular news highlights.</w:t>
      </w:r>
    </w:p>
    <w:p w14:paraId="161048C4" w14:textId="77777777" w:rsidR="007E5A6D" w:rsidRDefault="007E5A6D" w:rsidP="007E5A6D">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9C447B8" w14:textId="77777777" w:rsidR="007E5A6D" w:rsidRPr="00867595" w:rsidRDefault="007E5A6D" w:rsidP="007E5A6D">
      <w:pPr>
        <w:rPr>
          <w:szCs w:val="22"/>
        </w:rPr>
      </w:pPr>
      <w:r w:rsidRPr="00867595">
        <w:rPr>
          <w:szCs w:val="22"/>
        </w:rPr>
        <w:t xml:space="preserve">The data file for software vendors when available can be accessed via the </w:t>
      </w:r>
      <w:hyperlink r:id="rId25" w:history="1">
        <w:r w:rsidRPr="00867595">
          <w:rPr>
            <w:rStyle w:val="Hyperlink"/>
            <w:szCs w:val="22"/>
          </w:rPr>
          <w:t>Downloads</w:t>
        </w:r>
      </w:hyperlink>
      <w:r w:rsidRPr="00867595">
        <w:rPr>
          <w:szCs w:val="22"/>
        </w:rPr>
        <w:t xml:space="preserve"> page.</w:t>
      </w:r>
    </w:p>
    <w:p w14:paraId="4A002061" w14:textId="77777777" w:rsidR="007E5A6D" w:rsidRPr="00BE3ED5" w:rsidRDefault="007E5A6D" w:rsidP="007E5A6D">
      <w:pPr>
        <w:pStyle w:val="Disclaimer"/>
        <w:ind w:right="706"/>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1A3FE539" w:rsidR="007C31DD" w:rsidRPr="007E5A6D" w:rsidRDefault="007C31DD" w:rsidP="007E5A6D"/>
    <w:sectPr w:rsidR="007C31DD" w:rsidRPr="007E5A6D" w:rsidSect="005129C0">
      <w:footerReference w:type="default" r:id="rId26"/>
      <w:headerReference w:type="first" r:id="rId27"/>
      <w:footerReference w:type="first" r:id="rId28"/>
      <w:type w:val="continuous"/>
      <w:pgSz w:w="11906" w:h="16838"/>
      <w:pgMar w:top="1276"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30D9" w14:textId="77777777" w:rsidR="00B26BC2" w:rsidRDefault="00B26BC2" w:rsidP="006B56BB">
      <w:r>
        <w:separator/>
      </w:r>
    </w:p>
    <w:p w14:paraId="222ED737" w14:textId="77777777" w:rsidR="00B26BC2" w:rsidRDefault="00B26BC2"/>
  </w:endnote>
  <w:endnote w:type="continuationSeparator" w:id="0">
    <w:p w14:paraId="64D8F574" w14:textId="77777777" w:rsidR="00B26BC2" w:rsidRDefault="00B26BC2" w:rsidP="006B56BB">
      <w:r>
        <w:continuationSeparator/>
      </w:r>
    </w:p>
    <w:p w14:paraId="724D5C26" w14:textId="77777777" w:rsidR="00B26BC2" w:rsidRDefault="00B26BC2"/>
  </w:endnote>
  <w:endnote w:type="continuationNotice" w:id="1">
    <w:p w14:paraId="332FCF9D" w14:textId="77777777" w:rsidR="00B26BC2" w:rsidRDefault="00B26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F0DBB" w14:textId="7B346415" w:rsidR="006B6D1B" w:rsidRDefault="00000000" w:rsidP="006B6D1B">
    <w:pPr>
      <w:pStyle w:val="Footer"/>
      <w:jc w:val="left"/>
    </w:pPr>
    <w:r>
      <w:rPr>
        <w:rStyle w:val="BookTitle"/>
        <w:rFonts w:eastAsiaTheme="minorEastAsia"/>
        <w:noProof/>
      </w:rPr>
      <w:pict w14:anchorId="79578A0C">
        <v:rect id="_x0000_i1025" style="width:523.3pt;height:1.9pt" o:hralign="center" o:hrstd="t" o:hr="t" fillcolor="#a0a0a0" stroked="f"/>
      </w:pict>
    </w:r>
    <w:r w:rsidR="006B6D1B" w:rsidRPr="006B6D1B">
      <w:t xml:space="preserve"> </w:t>
    </w:r>
    <w:r w:rsidR="006B6D1B">
      <w:t>Medicare Benefits Schedule</w:t>
    </w:r>
  </w:p>
  <w:p w14:paraId="1ECE849F" w14:textId="021FB059" w:rsidR="006B6D1B" w:rsidRDefault="006B6D1B" w:rsidP="006B6D1B">
    <w:pPr>
      <w:pStyle w:val="Footer"/>
      <w:tabs>
        <w:tab w:val="clear" w:pos="9026"/>
        <w:tab w:val="right" w:pos="10466"/>
      </w:tabs>
    </w:pPr>
    <w:r w:rsidRPr="00997A27">
      <w:rPr>
        <w:b/>
      </w:rPr>
      <w:t xml:space="preserve">Changes to MBS </w:t>
    </w:r>
    <w:r w:rsidR="00035D99">
      <w:rPr>
        <w:b/>
      </w:rPr>
      <w:t>eligible</w:t>
    </w:r>
    <w:r w:rsidR="00035D99" w:rsidRPr="00997A27">
      <w:rPr>
        <w:b/>
      </w:rPr>
      <w:t xml:space="preserve"> </w:t>
    </w:r>
    <w:r w:rsidRPr="00997A27">
      <w:rPr>
        <w:b/>
      </w:rPr>
      <w:t>health items for First Nations Australians</w:t>
    </w:r>
    <w:r w:rsidRPr="00E863C4">
      <w:rPr>
        <w:b/>
      </w:rPr>
      <w:t xml:space="preserve"> – </w:t>
    </w:r>
    <w:r>
      <w:rPr>
        <w:b/>
      </w:rPr>
      <w:t>Factsheet</w:t>
    </w:r>
    <w:r w:rsidRPr="00E863C4">
      <w:t xml:space="preserve"> </w:t>
    </w:r>
    <w:sdt>
      <w:sdtPr>
        <w:id w:val="7492756"/>
        <w:docPartObj>
          <w:docPartGallery w:val="Page Numbers (Bottom of Page)"/>
          <w:docPartUnique/>
        </w:docPartObj>
      </w:sdtPr>
      <w:sdtEndPr>
        <w:rPr>
          <w:noProof/>
        </w:rPr>
      </w:sdtEndPr>
      <w:sdtContent>
        <w:r>
          <w:tab/>
        </w:r>
        <w:sdt>
          <w:sdtPr>
            <w:id w:val="47664323"/>
            <w:docPartObj>
              <w:docPartGallery w:val="Page Numbers (Bottom of Page)"/>
              <w:docPartUnique/>
            </w:docPartObj>
          </w:sdtPr>
          <w:sdtContent>
            <w:sdt>
              <w:sdtPr>
                <w:id w:val="953138047"/>
                <w:docPartObj>
                  <w:docPartGallery w:val="Page Numbers (Top of Page)"/>
                  <w:docPartUnique/>
                </w:docPartObj>
              </w:sdtPr>
              <w:sdtContent>
                <w:r w:rsidRPr="00F546CA">
                  <w:t xml:space="preserve">Page </w:t>
                </w:r>
                <w:r w:rsidRPr="00F546CA">
                  <w:rPr>
                    <w:bCs/>
                    <w:sz w:val="24"/>
                  </w:rPr>
                  <w:fldChar w:fldCharType="begin"/>
                </w:r>
                <w:r w:rsidRPr="00F546CA">
                  <w:rPr>
                    <w:bCs/>
                  </w:rPr>
                  <w:instrText xml:space="preserve"> PAGE </w:instrText>
                </w:r>
                <w:r w:rsidRPr="00F546CA">
                  <w:rPr>
                    <w:bCs/>
                    <w:sz w:val="24"/>
                  </w:rPr>
                  <w:fldChar w:fldCharType="separate"/>
                </w:r>
                <w:r>
                  <w:rPr>
                    <w:bCs/>
                    <w:sz w:val="24"/>
                  </w:rPr>
                  <w:t>1</w:t>
                </w:r>
                <w:r w:rsidRPr="00F546CA">
                  <w:rPr>
                    <w:bCs/>
                    <w:sz w:val="24"/>
                  </w:rPr>
                  <w:fldChar w:fldCharType="end"/>
                </w:r>
                <w:r w:rsidRPr="00F546CA">
                  <w:t xml:space="preserve"> of </w:t>
                </w:r>
                <w:r w:rsidRPr="00F546CA">
                  <w:rPr>
                    <w:bCs/>
                    <w:sz w:val="24"/>
                  </w:rPr>
                  <w:fldChar w:fldCharType="begin"/>
                </w:r>
                <w:r w:rsidRPr="00F546CA">
                  <w:rPr>
                    <w:bCs/>
                  </w:rPr>
                  <w:instrText xml:space="preserve"> NUMPAGES  </w:instrText>
                </w:r>
                <w:r w:rsidRPr="00F546CA">
                  <w:rPr>
                    <w:bCs/>
                    <w:sz w:val="24"/>
                  </w:rPr>
                  <w:fldChar w:fldCharType="separate"/>
                </w:r>
                <w:r>
                  <w:rPr>
                    <w:bCs/>
                    <w:sz w:val="24"/>
                  </w:rPr>
                  <w:t>3</w:t>
                </w:r>
                <w:r w:rsidRPr="00F546CA">
                  <w:rPr>
                    <w:bCs/>
                    <w:sz w:val="24"/>
                  </w:rPr>
                  <w:fldChar w:fldCharType="end"/>
                </w:r>
              </w:sdtContent>
            </w:sdt>
          </w:sdtContent>
        </w:sdt>
        <w:r>
          <w:t xml:space="preserve"> </w:t>
        </w:r>
      </w:sdtContent>
    </w:sdt>
  </w:p>
  <w:p w14:paraId="73C27863" w14:textId="77777777" w:rsidR="006B6D1B" w:rsidRDefault="00000000" w:rsidP="006B6D1B">
    <w:pPr>
      <w:pStyle w:val="Footer"/>
      <w:jc w:val="left"/>
      <w:rPr>
        <w:rStyle w:val="Hyperlink"/>
        <w:szCs w:val="18"/>
      </w:rPr>
    </w:pPr>
    <w:hyperlink r:id="rId1" w:history="1">
      <w:r w:rsidR="006B6D1B" w:rsidRPr="00E863C4">
        <w:rPr>
          <w:rStyle w:val="Hyperlink"/>
          <w:szCs w:val="18"/>
        </w:rPr>
        <w:t>MBS Online</w:t>
      </w:r>
    </w:hyperlink>
  </w:p>
  <w:p w14:paraId="78B91981" w14:textId="4D4B80A7" w:rsidR="00CB03B8" w:rsidRPr="00F51321" w:rsidRDefault="006B6D1B" w:rsidP="006B6D1B">
    <w:pPr>
      <w:pStyle w:val="Footer"/>
      <w:jc w:val="left"/>
    </w:pPr>
    <w:r w:rsidRPr="00870B05">
      <w:t>Last updated</w:t>
    </w:r>
    <w:r>
      <w:t xml:space="preserve"> – </w:t>
    </w:r>
    <w:r w:rsidR="007E5A6D" w:rsidRPr="007E5A6D">
      <w:t>1 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000000"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9FA17BF" w:rsidR="00064168" w:rsidRDefault="00997A27" w:rsidP="00064168">
    <w:pPr>
      <w:pStyle w:val="Footer"/>
      <w:tabs>
        <w:tab w:val="clear" w:pos="9026"/>
        <w:tab w:val="right" w:pos="10466"/>
      </w:tabs>
    </w:pPr>
    <w:r w:rsidRPr="00997A27">
      <w:rPr>
        <w:b/>
      </w:rPr>
      <w:t>Changes to MBS allied health items for First Nations Australians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000000" w:rsidP="00064168">
    <w:pPr>
      <w:pStyle w:val="Footer"/>
      <w:jc w:val="left"/>
      <w:rPr>
        <w:rStyle w:val="Hyperlink"/>
        <w:szCs w:val="18"/>
      </w:rPr>
    </w:pPr>
    <w:hyperlink r:id="rId1" w:history="1">
      <w:r w:rsidR="00064168" w:rsidRPr="00E863C4">
        <w:rPr>
          <w:rStyle w:val="Hyperlink"/>
          <w:szCs w:val="18"/>
        </w:rPr>
        <w:t>MBS Online</w:t>
      </w:r>
    </w:hyperlink>
  </w:p>
  <w:p w14:paraId="03585E81" w14:textId="6487DF88" w:rsidR="00064168" w:rsidRPr="009B32BA" w:rsidRDefault="00064168" w:rsidP="00064168">
    <w:pPr>
      <w:pStyle w:val="Footer"/>
      <w:jc w:val="left"/>
      <w:rPr>
        <w:szCs w:val="18"/>
      </w:rPr>
    </w:pPr>
    <w:r w:rsidRPr="00870B05">
      <w:t>Last updated</w:t>
    </w:r>
    <w:r>
      <w:t xml:space="preserve"> – </w:t>
    </w:r>
    <w:r w:rsidR="007E5A6D" w:rsidRPr="007E5A6D">
      <w:t>1 February 2024</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74D5" w14:textId="77777777" w:rsidR="00B26BC2" w:rsidRDefault="00B26BC2" w:rsidP="006B56BB">
      <w:r>
        <w:separator/>
      </w:r>
    </w:p>
    <w:p w14:paraId="56FBF129" w14:textId="77777777" w:rsidR="00B26BC2" w:rsidRDefault="00B26BC2"/>
  </w:footnote>
  <w:footnote w:type="continuationSeparator" w:id="0">
    <w:p w14:paraId="5EBCDA40" w14:textId="77777777" w:rsidR="00B26BC2" w:rsidRDefault="00B26BC2" w:rsidP="006B56BB">
      <w:r>
        <w:continuationSeparator/>
      </w:r>
    </w:p>
    <w:p w14:paraId="0E0DBF31" w14:textId="77777777" w:rsidR="00B26BC2" w:rsidRDefault="00B26BC2"/>
  </w:footnote>
  <w:footnote w:type="continuationNotice" w:id="1">
    <w:p w14:paraId="1A3FB1EF" w14:textId="77777777" w:rsidR="00B26BC2" w:rsidRDefault="00B26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2BC38A9"/>
    <w:multiLevelType w:val="hybridMultilevel"/>
    <w:tmpl w:val="F6720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62752B9"/>
    <w:multiLevelType w:val="hybridMultilevel"/>
    <w:tmpl w:val="6ACA5EF8"/>
    <w:lvl w:ilvl="0" w:tplc="A59E1C56">
      <w:start w:val="1"/>
      <w:numFmt w:val="bullet"/>
      <w:lvlText w:val=""/>
      <w:lvlJc w:val="left"/>
      <w:pPr>
        <w:ind w:left="360" w:hanging="360"/>
      </w:pPr>
      <w:rPr>
        <w:rFonts w:ascii="Symbol" w:hAnsi="Symbol" w:hint="default"/>
        <w:color w:val="2A7187" w:themeColor="accent5" w:themeShade="BF"/>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57416645">
    <w:abstractNumId w:val="7"/>
  </w:num>
  <w:num w:numId="2" w16cid:durableId="1235045069">
    <w:abstractNumId w:val="17"/>
  </w:num>
  <w:num w:numId="3" w16cid:durableId="2131821535">
    <w:abstractNumId w:val="21"/>
  </w:num>
  <w:num w:numId="4" w16cid:durableId="1649744137">
    <w:abstractNumId w:val="8"/>
  </w:num>
  <w:num w:numId="5" w16cid:durableId="1031609863">
    <w:abstractNumId w:val="8"/>
    <w:lvlOverride w:ilvl="0">
      <w:startOverride w:val="1"/>
    </w:lvlOverride>
  </w:num>
  <w:num w:numId="6" w16cid:durableId="1833375588">
    <w:abstractNumId w:val="9"/>
  </w:num>
  <w:num w:numId="7" w16cid:durableId="33897383">
    <w:abstractNumId w:val="15"/>
  </w:num>
  <w:num w:numId="8" w16cid:durableId="867833087">
    <w:abstractNumId w:val="20"/>
  </w:num>
  <w:num w:numId="9" w16cid:durableId="1782916754">
    <w:abstractNumId w:val="5"/>
  </w:num>
  <w:num w:numId="10" w16cid:durableId="822425612">
    <w:abstractNumId w:val="4"/>
  </w:num>
  <w:num w:numId="11" w16cid:durableId="1869873808">
    <w:abstractNumId w:val="3"/>
  </w:num>
  <w:num w:numId="12" w16cid:durableId="1512141183">
    <w:abstractNumId w:val="2"/>
  </w:num>
  <w:num w:numId="13" w16cid:durableId="961156458">
    <w:abstractNumId w:val="6"/>
  </w:num>
  <w:num w:numId="14" w16cid:durableId="994719176">
    <w:abstractNumId w:val="1"/>
  </w:num>
  <w:num w:numId="15" w16cid:durableId="307055338">
    <w:abstractNumId w:val="0"/>
  </w:num>
  <w:num w:numId="16" w16cid:durableId="702706875">
    <w:abstractNumId w:val="22"/>
  </w:num>
  <w:num w:numId="17" w16cid:durableId="1538468282">
    <w:abstractNumId w:val="10"/>
  </w:num>
  <w:num w:numId="18" w16cid:durableId="1586067886">
    <w:abstractNumId w:val="12"/>
  </w:num>
  <w:num w:numId="19" w16cid:durableId="924219719">
    <w:abstractNumId w:val="14"/>
  </w:num>
  <w:num w:numId="20" w16cid:durableId="1796289377">
    <w:abstractNumId w:val="10"/>
  </w:num>
  <w:num w:numId="21" w16cid:durableId="243032804">
    <w:abstractNumId w:val="14"/>
  </w:num>
  <w:num w:numId="22" w16cid:durableId="250817182">
    <w:abstractNumId w:val="22"/>
  </w:num>
  <w:num w:numId="23" w16cid:durableId="1670602047">
    <w:abstractNumId w:val="17"/>
  </w:num>
  <w:num w:numId="24" w16cid:durableId="1073090135">
    <w:abstractNumId w:val="21"/>
  </w:num>
  <w:num w:numId="25" w16cid:durableId="1303341836">
    <w:abstractNumId w:val="8"/>
  </w:num>
  <w:num w:numId="26" w16cid:durableId="390036605">
    <w:abstractNumId w:val="16"/>
  </w:num>
  <w:num w:numId="27" w16cid:durableId="295179724">
    <w:abstractNumId w:val="11"/>
  </w:num>
  <w:num w:numId="28" w16cid:durableId="1877738649">
    <w:abstractNumId w:val="13"/>
  </w:num>
  <w:num w:numId="29" w16cid:durableId="359210064">
    <w:abstractNumId w:val="19"/>
  </w:num>
  <w:num w:numId="30" w16cid:durableId="1527331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03F"/>
    <w:rsid w:val="00007FD8"/>
    <w:rsid w:val="000117F8"/>
    <w:rsid w:val="0001460F"/>
    <w:rsid w:val="00022629"/>
    <w:rsid w:val="00024DFE"/>
    <w:rsid w:val="00026139"/>
    <w:rsid w:val="00027601"/>
    <w:rsid w:val="00033321"/>
    <w:rsid w:val="000338E5"/>
    <w:rsid w:val="00033ECC"/>
    <w:rsid w:val="0003422F"/>
    <w:rsid w:val="00035D99"/>
    <w:rsid w:val="00046FF0"/>
    <w:rsid w:val="00050176"/>
    <w:rsid w:val="00050342"/>
    <w:rsid w:val="000559C9"/>
    <w:rsid w:val="00064168"/>
    <w:rsid w:val="00067456"/>
    <w:rsid w:val="00071506"/>
    <w:rsid w:val="0007154F"/>
    <w:rsid w:val="00080BAC"/>
    <w:rsid w:val="00081AB1"/>
    <w:rsid w:val="00090316"/>
    <w:rsid w:val="00092977"/>
    <w:rsid w:val="00093981"/>
    <w:rsid w:val="000A6FD7"/>
    <w:rsid w:val="000B067A"/>
    <w:rsid w:val="000B1540"/>
    <w:rsid w:val="000B1E53"/>
    <w:rsid w:val="000B33FD"/>
    <w:rsid w:val="000B4ABA"/>
    <w:rsid w:val="000C4B16"/>
    <w:rsid w:val="000C50C3"/>
    <w:rsid w:val="000C5E14"/>
    <w:rsid w:val="000D21F6"/>
    <w:rsid w:val="000D4500"/>
    <w:rsid w:val="000D7AEA"/>
    <w:rsid w:val="000E2C66"/>
    <w:rsid w:val="000F123C"/>
    <w:rsid w:val="000F2583"/>
    <w:rsid w:val="000F2FED"/>
    <w:rsid w:val="00102CB5"/>
    <w:rsid w:val="0010616D"/>
    <w:rsid w:val="0010783E"/>
    <w:rsid w:val="00110478"/>
    <w:rsid w:val="0011711B"/>
    <w:rsid w:val="00117F8A"/>
    <w:rsid w:val="00121B9B"/>
    <w:rsid w:val="00122ADC"/>
    <w:rsid w:val="001238B0"/>
    <w:rsid w:val="001245EF"/>
    <w:rsid w:val="00130F59"/>
    <w:rsid w:val="00133EC0"/>
    <w:rsid w:val="00134F63"/>
    <w:rsid w:val="00141CE5"/>
    <w:rsid w:val="00142045"/>
    <w:rsid w:val="00144908"/>
    <w:rsid w:val="00156D96"/>
    <w:rsid w:val="00157085"/>
    <w:rsid w:val="001571C7"/>
    <w:rsid w:val="00161094"/>
    <w:rsid w:val="001756C2"/>
    <w:rsid w:val="0017665C"/>
    <w:rsid w:val="00177AD2"/>
    <w:rsid w:val="001815A8"/>
    <w:rsid w:val="001840FA"/>
    <w:rsid w:val="00190079"/>
    <w:rsid w:val="0019020F"/>
    <w:rsid w:val="00191EEA"/>
    <w:rsid w:val="00192194"/>
    <w:rsid w:val="0019622E"/>
    <w:rsid w:val="001966A7"/>
    <w:rsid w:val="001A4627"/>
    <w:rsid w:val="001A4979"/>
    <w:rsid w:val="001B15D3"/>
    <w:rsid w:val="001B3443"/>
    <w:rsid w:val="001B4EC6"/>
    <w:rsid w:val="001C0326"/>
    <w:rsid w:val="001C192F"/>
    <w:rsid w:val="001C3C42"/>
    <w:rsid w:val="001D0400"/>
    <w:rsid w:val="001D1874"/>
    <w:rsid w:val="001D4A79"/>
    <w:rsid w:val="001D5AA0"/>
    <w:rsid w:val="001D7869"/>
    <w:rsid w:val="001E6777"/>
    <w:rsid w:val="002026CD"/>
    <w:rsid w:val="002033FC"/>
    <w:rsid w:val="002044BB"/>
    <w:rsid w:val="00204C09"/>
    <w:rsid w:val="00210B09"/>
    <w:rsid w:val="00210C9E"/>
    <w:rsid w:val="00211840"/>
    <w:rsid w:val="00220E5F"/>
    <w:rsid w:val="002212B5"/>
    <w:rsid w:val="00221A52"/>
    <w:rsid w:val="00226668"/>
    <w:rsid w:val="00232BB3"/>
    <w:rsid w:val="00233809"/>
    <w:rsid w:val="00240046"/>
    <w:rsid w:val="002471DD"/>
    <w:rsid w:val="0024797F"/>
    <w:rsid w:val="0025119E"/>
    <w:rsid w:val="00251269"/>
    <w:rsid w:val="002535C0"/>
    <w:rsid w:val="002579FE"/>
    <w:rsid w:val="00260552"/>
    <w:rsid w:val="0026311C"/>
    <w:rsid w:val="0026668C"/>
    <w:rsid w:val="00266AC1"/>
    <w:rsid w:val="0027178C"/>
    <w:rsid w:val="00271954"/>
    <w:rsid w:val="002719FA"/>
    <w:rsid w:val="00272668"/>
    <w:rsid w:val="0027330B"/>
    <w:rsid w:val="002803AD"/>
    <w:rsid w:val="00280540"/>
    <w:rsid w:val="0028076E"/>
    <w:rsid w:val="00280F17"/>
    <w:rsid w:val="00282052"/>
    <w:rsid w:val="002831A3"/>
    <w:rsid w:val="0028519E"/>
    <w:rsid w:val="002856A5"/>
    <w:rsid w:val="00285A80"/>
    <w:rsid w:val="002872ED"/>
    <w:rsid w:val="002905C2"/>
    <w:rsid w:val="00295AF2"/>
    <w:rsid w:val="00295C91"/>
    <w:rsid w:val="00297151"/>
    <w:rsid w:val="002A3A62"/>
    <w:rsid w:val="002B20E6"/>
    <w:rsid w:val="002B42A3"/>
    <w:rsid w:val="002C0CDD"/>
    <w:rsid w:val="002C38C4"/>
    <w:rsid w:val="002C46AA"/>
    <w:rsid w:val="002D337D"/>
    <w:rsid w:val="002E02CD"/>
    <w:rsid w:val="002E09FD"/>
    <w:rsid w:val="002E1A1D"/>
    <w:rsid w:val="002E4081"/>
    <w:rsid w:val="002E5B78"/>
    <w:rsid w:val="002F3AE3"/>
    <w:rsid w:val="0030464B"/>
    <w:rsid w:val="0030786C"/>
    <w:rsid w:val="0031332F"/>
    <w:rsid w:val="003233DE"/>
    <w:rsid w:val="0032466B"/>
    <w:rsid w:val="003322DD"/>
    <w:rsid w:val="003330EB"/>
    <w:rsid w:val="0034043F"/>
    <w:rsid w:val="003415FD"/>
    <w:rsid w:val="003429F0"/>
    <w:rsid w:val="00345A82"/>
    <w:rsid w:val="0035097A"/>
    <w:rsid w:val="003540A4"/>
    <w:rsid w:val="003563F9"/>
    <w:rsid w:val="00357BCC"/>
    <w:rsid w:val="00360E4E"/>
    <w:rsid w:val="00370AAA"/>
    <w:rsid w:val="00375F77"/>
    <w:rsid w:val="00381BBE"/>
    <w:rsid w:val="00382063"/>
    <w:rsid w:val="00382903"/>
    <w:rsid w:val="003846FF"/>
    <w:rsid w:val="003857D4"/>
    <w:rsid w:val="00385AD4"/>
    <w:rsid w:val="00385C01"/>
    <w:rsid w:val="00387924"/>
    <w:rsid w:val="0039384D"/>
    <w:rsid w:val="00395C23"/>
    <w:rsid w:val="003A2E4F"/>
    <w:rsid w:val="003A4438"/>
    <w:rsid w:val="003A5013"/>
    <w:rsid w:val="003A5078"/>
    <w:rsid w:val="003A5C62"/>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3F68DD"/>
    <w:rsid w:val="00400F00"/>
    <w:rsid w:val="00404F8B"/>
    <w:rsid w:val="00405256"/>
    <w:rsid w:val="00405ADD"/>
    <w:rsid w:val="00410031"/>
    <w:rsid w:val="00415C81"/>
    <w:rsid w:val="004175B6"/>
    <w:rsid w:val="00424C44"/>
    <w:rsid w:val="00432378"/>
    <w:rsid w:val="00440D65"/>
    <w:rsid w:val="004435E6"/>
    <w:rsid w:val="00447E31"/>
    <w:rsid w:val="00453923"/>
    <w:rsid w:val="00454B9B"/>
    <w:rsid w:val="00457858"/>
    <w:rsid w:val="00457D20"/>
    <w:rsid w:val="00460B0B"/>
    <w:rsid w:val="00461023"/>
    <w:rsid w:val="00462FAC"/>
    <w:rsid w:val="00464631"/>
    <w:rsid w:val="00464B79"/>
    <w:rsid w:val="00467BBF"/>
    <w:rsid w:val="0048355B"/>
    <w:rsid w:val="0048593C"/>
    <w:rsid w:val="004867E2"/>
    <w:rsid w:val="004929A9"/>
    <w:rsid w:val="00497A3D"/>
    <w:rsid w:val="004A78D9"/>
    <w:rsid w:val="004C1BCD"/>
    <w:rsid w:val="004C6BCF"/>
    <w:rsid w:val="004D58BF"/>
    <w:rsid w:val="004E3AD2"/>
    <w:rsid w:val="004E4335"/>
    <w:rsid w:val="004E5226"/>
    <w:rsid w:val="004F13EE"/>
    <w:rsid w:val="004F2022"/>
    <w:rsid w:val="004F7C05"/>
    <w:rsid w:val="00501C94"/>
    <w:rsid w:val="00506432"/>
    <w:rsid w:val="00506E82"/>
    <w:rsid w:val="005129C0"/>
    <w:rsid w:val="0052051D"/>
    <w:rsid w:val="005325E9"/>
    <w:rsid w:val="00545EE6"/>
    <w:rsid w:val="00547491"/>
    <w:rsid w:val="00547556"/>
    <w:rsid w:val="005550E7"/>
    <w:rsid w:val="00555550"/>
    <w:rsid w:val="005564FB"/>
    <w:rsid w:val="005572C7"/>
    <w:rsid w:val="005650ED"/>
    <w:rsid w:val="00571F8D"/>
    <w:rsid w:val="0057529B"/>
    <w:rsid w:val="00575754"/>
    <w:rsid w:val="00581FBA"/>
    <w:rsid w:val="005858A4"/>
    <w:rsid w:val="00591E20"/>
    <w:rsid w:val="00591F3F"/>
    <w:rsid w:val="00595408"/>
    <w:rsid w:val="00595E84"/>
    <w:rsid w:val="005A0C59"/>
    <w:rsid w:val="005A32B2"/>
    <w:rsid w:val="005A48EB"/>
    <w:rsid w:val="005A6B9C"/>
    <w:rsid w:val="005A6CFB"/>
    <w:rsid w:val="005C5AEB"/>
    <w:rsid w:val="005D3024"/>
    <w:rsid w:val="005D5F4E"/>
    <w:rsid w:val="005E0A3F"/>
    <w:rsid w:val="005E1AF9"/>
    <w:rsid w:val="005E2D76"/>
    <w:rsid w:val="005E6883"/>
    <w:rsid w:val="005E772F"/>
    <w:rsid w:val="005F4ECA"/>
    <w:rsid w:val="006041BE"/>
    <w:rsid w:val="006043C7"/>
    <w:rsid w:val="006050AC"/>
    <w:rsid w:val="00605385"/>
    <w:rsid w:val="00607C23"/>
    <w:rsid w:val="00624B52"/>
    <w:rsid w:val="00630794"/>
    <w:rsid w:val="00631DF4"/>
    <w:rsid w:val="00634175"/>
    <w:rsid w:val="0063574E"/>
    <w:rsid w:val="006408AC"/>
    <w:rsid w:val="00642F20"/>
    <w:rsid w:val="006511B6"/>
    <w:rsid w:val="00655D6D"/>
    <w:rsid w:val="00657FF8"/>
    <w:rsid w:val="00670D99"/>
    <w:rsid w:val="00670E2B"/>
    <w:rsid w:val="006734BB"/>
    <w:rsid w:val="0067697A"/>
    <w:rsid w:val="006821EB"/>
    <w:rsid w:val="00684231"/>
    <w:rsid w:val="00690CA3"/>
    <w:rsid w:val="006B06A7"/>
    <w:rsid w:val="006B2286"/>
    <w:rsid w:val="006B56BB"/>
    <w:rsid w:val="006B6D1B"/>
    <w:rsid w:val="006C085B"/>
    <w:rsid w:val="006C77A8"/>
    <w:rsid w:val="006D4098"/>
    <w:rsid w:val="006D7681"/>
    <w:rsid w:val="006D7B2E"/>
    <w:rsid w:val="006E02EA"/>
    <w:rsid w:val="006E0968"/>
    <w:rsid w:val="006E2AF6"/>
    <w:rsid w:val="006F5073"/>
    <w:rsid w:val="00701275"/>
    <w:rsid w:val="00703B1F"/>
    <w:rsid w:val="00707F56"/>
    <w:rsid w:val="00713558"/>
    <w:rsid w:val="007206CB"/>
    <w:rsid w:val="00720D08"/>
    <w:rsid w:val="007263B9"/>
    <w:rsid w:val="007334F8"/>
    <w:rsid w:val="007339CD"/>
    <w:rsid w:val="007359D8"/>
    <w:rsid w:val="007362D4"/>
    <w:rsid w:val="0076471A"/>
    <w:rsid w:val="0076672A"/>
    <w:rsid w:val="007735CC"/>
    <w:rsid w:val="00775E45"/>
    <w:rsid w:val="00776E74"/>
    <w:rsid w:val="00784348"/>
    <w:rsid w:val="00785169"/>
    <w:rsid w:val="00786A94"/>
    <w:rsid w:val="007933BF"/>
    <w:rsid w:val="007954AB"/>
    <w:rsid w:val="007A0E5F"/>
    <w:rsid w:val="007A14C5"/>
    <w:rsid w:val="007A4A10"/>
    <w:rsid w:val="007B1750"/>
    <w:rsid w:val="007B1760"/>
    <w:rsid w:val="007C1FDC"/>
    <w:rsid w:val="007C31DD"/>
    <w:rsid w:val="007C6D9C"/>
    <w:rsid w:val="007C7DDB"/>
    <w:rsid w:val="007D2CC7"/>
    <w:rsid w:val="007D673D"/>
    <w:rsid w:val="007D77DB"/>
    <w:rsid w:val="007E0068"/>
    <w:rsid w:val="007E0FB8"/>
    <w:rsid w:val="007E4D09"/>
    <w:rsid w:val="007E5962"/>
    <w:rsid w:val="007E5A6D"/>
    <w:rsid w:val="007F2220"/>
    <w:rsid w:val="007F4B3E"/>
    <w:rsid w:val="008127AF"/>
    <w:rsid w:val="00812B46"/>
    <w:rsid w:val="00815700"/>
    <w:rsid w:val="008177E8"/>
    <w:rsid w:val="00821771"/>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5EC2"/>
    <w:rsid w:val="00867538"/>
    <w:rsid w:val="00873D90"/>
    <w:rsid w:val="00873FC8"/>
    <w:rsid w:val="00884C63"/>
    <w:rsid w:val="00885908"/>
    <w:rsid w:val="008864B7"/>
    <w:rsid w:val="0089677E"/>
    <w:rsid w:val="008A7438"/>
    <w:rsid w:val="008B1334"/>
    <w:rsid w:val="008B25C7"/>
    <w:rsid w:val="008C0278"/>
    <w:rsid w:val="008C24E9"/>
    <w:rsid w:val="008D03C5"/>
    <w:rsid w:val="008D0533"/>
    <w:rsid w:val="008D42CB"/>
    <w:rsid w:val="008D48C9"/>
    <w:rsid w:val="008D6381"/>
    <w:rsid w:val="008E0C77"/>
    <w:rsid w:val="008E625F"/>
    <w:rsid w:val="008F1914"/>
    <w:rsid w:val="008F264D"/>
    <w:rsid w:val="00901932"/>
    <w:rsid w:val="009040E9"/>
    <w:rsid w:val="009074E1"/>
    <w:rsid w:val="009112F7"/>
    <w:rsid w:val="00911A0E"/>
    <w:rsid w:val="009122AF"/>
    <w:rsid w:val="00912D54"/>
    <w:rsid w:val="0091389F"/>
    <w:rsid w:val="009174A9"/>
    <w:rsid w:val="009208F7"/>
    <w:rsid w:val="00921649"/>
    <w:rsid w:val="00922517"/>
    <w:rsid w:val="00922722"/>
    <w:rsid w:val="009248A6"/>
    <w:rsid w:val="009261E6"/>
    <w:rsid w:val="009268E1"/>
    <w:rsid w:val="009271EE"/>
    <w:rsid w:val="009344AE"/>
    <w:rsid w:val="009344DE"/>
    <w:rsid w:val="00945E7F"/>
    <w:rsid w:val="009557C1"/>
    <w:rsid w:val="00960D6E"/>
    <w:rsid w:val="0096730F"/>
    <w:rsid w:val="00974B59"/>
    <w:rsid w:val="0098340B"/>
    <w:rsid w:val="00986830"/>
    <w:rsid w:val="009924C3"/>
    <w:rsid w:val="00993102"/>
    <w:rsid w:val="00997A27"/>
    <w:rsid w:val="009A0EEC"/>
    <w:rsid w:val="009A2954"/>
    <w:rsid w:val="009B1570"/>
    <w:rsid w:val="009B6379"/>
    <w:rsid w:val="009C6F10"/>
    <w:rsid w:val="009D148F"/>
    <w:rsid w:val="009D3D70"/>
    <w:rsid w:val="009E6F7E"/>
    <w:rsid w:val="009E7A57"/>
    <w:rsid w:val="009F0EA8"/>
    <w:rsid w:val="009F4803"/>
    <w:rsid w:val="009F4F6A"/>
    <w:rsid w:val="00A005E6"/>
    <w:rsid w:val="00A00E9D"/>
    <w:rsid w:val="00A05846"/>
    <w:rsid w:val="00A13EB5"/>
    <w:rsid w:val="00A165C8"/>
    <w:rsid w:val="00A16E36"/>
    <w:rsid w:val="00A23D50"/>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972E6"/>
    <w:rsid w:val="00AA1A95"/>
    <w:rsid w:val="00AA260F"/>
    <w:rsid w:val="00AB1EE7"/>
    <w:rsid w:val="00AB4B37"/>
    <w:rsid w:val="00AB573A"/>
    <w:rsid w:val="00AB5762"/>
    <w:rsid w:val="00AC2679"/>
    <w:rsid w:val="00AC4BE4"/>
    <w:rsid w:val="00AD05E6"/>
    <w:rsid w:val="00AD0D3F"/>
    <w:rsid w:val="00AD3A9E"/>
    <w:rsid w:val="00AE1D7D"/>
    <w:rsid w:val="00AE2A8B"/>
    <w:rsid w:val="00AE3F64"/>
    <w:rsid w:val="00AE7F61"/>
    <w:rsid w:val="00AF26EA"/>
    <w:rsid w:val="00AF7386"/>
    <w:rsid w:val="00AF7702"/>
    <w:rsid w:val="00AF7934"/>
    <w:rsid w:val="00B00B81"/>
    <w:rsid w:val="00B04580"/>
    <w:rsid w:val="00B04B09"/>
    <w:rsid w:val="00B16A51"/>
    <w:rsid w:val="00B26BC2"/>
    <w:rsid w:val="00B32222"/>
    <w:rsid w:val="00B35B2B"/>
    <w:rsid w:val="00B35E14"/>
    <w:rsid w:val="00B3618D"/>
    <w:rsid w:val="00B36233"/>
    <w:rsid w:val="00B42851"/>
    <w:rsid w:val="00B45350"/>
    <w:rsid w:val="00B45AC7"/>
    <w:rsid w:val="00B5372F"/>
    <w:rsid w:val="00B53987"/>
    <w:rsid w:val="00B61129"/>
    <w:rsid w:val="00B62B64"/>
    <w:rsid w:val="00B67E7F"/>
    <w:rsid w:val="00B76DB3"/>
    <w:rsid w:val="00B82F6E"/>
    <w:rsid w:val="00B839B2"/>
    <w:rsid w:val="00B94252"/>
    <w:rsid w:val="00B95AAB"/>
    <w:rsid w:val="00B96C86"/>
    <w:rsid w:val="00B9715A"/>
    <w:rsid w:val="00BA0C0C"/>
    <w:rsid w:val="00BA14BE"/>
    <w:rsid w:val="00BA2732"/>
    <w:rsid w:val="00BA293D"/>
    <w:rsid w:val="00BA3B95"/>
    <w:rsid w:val="00BA3DBC"/>
    <w:rsid w:val="00BA49BC"/>
    <w:rsid w:val="00BA56B7"/>
    <w:rsid w:val="00BA6711"/>
    <w:rsid w:val="00BA7A1E"/>
    <w:rsid w:val="00BB2F6C"/>
    <w:rsid w:val="00BB3875"/>
    <w:rsid w:val="00BB5860"/>
    <w:rsid w:val="00BB6AAD"/>
    <w:rsid w:val="00BB7617"/>
    <w:rsid w:val="00BC4A19"/>
    <w:rsid w:val="00BC4E6D"/>
    <w:rsid w:val="00BD0617"/>
    <w:rsid w:val="00BD0A9E"/>
    <w:rsid w:val="00BD2E9B"/>
    <w:rsid w:val="00BD3D1C"/>
    <w:rsid w:val="00BD7FB2"/>
    <w:rsid w:val="00BE3ED5"/>
    <w:rsid w:val="00BF6364"/>
    <w:rsid w:val="00C00930"/>
    <w:rsid w:val="00C060AD"/>
    <w:rsid w:val="00C113BF"/>
    <w:rsid w:val="00C14B48"/>
    <w:rsid w:val="00C2176E"/>
    <w:rsid w:val="00C23430"/>
    <w:rsid w:val="00C27D67"/>
    <w:rsid w:val="00C31CD2"/>
    <w:rsid w:val="00C42502"/>
    <w:rsid w:val="00C435AF"/>
    <w:rsid w:val="00C4631F"/>
    <w:rsid w:val="00C47CDE"/>
    <w:rsid w:val="00C50E16"/>
    <w:rsid w:val="00C55258"/>
    <w:rsid w:val="00C75FA3"/>
    <w:rsid w:val="00C80DBC"/>
    <w:rsid w:val="00C82EEB"/>
    <w:rsid w:val="00C93A95"/>
    <w:rsid w:val="00C971DC"/>
    <w:rsid w:val="00CA16B7"/>
    <w:rsid w:val="00CA62AE"/>
    <w:rsid w:val="00CB03B8"/>
    <w:rsid w:val="00CB5B1A"/>
    <w:rsid w:val="00CC220B"/>
    <w:rsid w:val="00CC5C43"/>
    <w:rsid w:val="00CD02AE"/>
    <w:rsid w:val="00CD24AB"/>
    <w:rsid w:val="00CD2A4F"/>
    <w:rsid w:val="00CD4684"/>
    <w:rsid w:val="00CE03CA"/>
    <w:rsid w:val="00CE22F1"/>
    <w:rsid w:val="00CE50F2"/>
    <w:rsid w:val="00CE6502"/>
    <w:rsid w:val="00CF2A41"/>
    <w:rsid w:val="00CF7D3C"/>
    <w:rsid w:val="00D01F09"/>
    <w:rsid w:val="00D03527"/>
    <w:rsid w:val="00D147EB"/>
    <w:rsid w:val="00D15676"/>
    <w:rsid w:val="00D268B0"/>
    <w:rsid w:val="00D32116"/>
    <w:rsid w:val="00D34667"/>
    <w:rsid w:val="00D401E1"/>
    <w:rsid w:val="00D408B4"/>
    <w:rsid w:val="00D44330"/>
    <w:rsid w:val="00D524C8"/>
    <w:rsid w:val="00D66480"/>
    <w:rsid w:val="00D70E24"/>
    <w:rsid w:val="00D72B61"/>
    <w:rsid w:val="00D801E6"/>
    <w:rsid w:val="00D820AC"/>
    <w:rsid w:val="00D97A24"/>
    <w:rsid w:val="00DA0FC9"/>
    <w:rsid w:val="00DA1499"/>
    <w:rsid w:val="00DA3D1D"/>
    <w:rsid w:val="00DB21B5"/>
    <w:rsid w:val="00DB42C7"/>
    <w:rsid w:val="00DB6286"/>
    <w:rsid w:val="00DB645F"/>
    <w:rsid w:val="00DB64E7"/>
    <w:rsid w:val="00DB76E9"/>
    <w:rsid w:val="00DC0A67"/>
    <w:rsid w:val="00DC1D5E"/>
    <w:rsid w:val="00DC5220"/>
    <w:rsid w:val="00DD2061"/>
    <w:rsid w:val="00DD7DAB"/>
    <w:rsid w:val="00DE3355"/>
    <w:rsid w:val="00DE7043"/>
    <w:rsid w:val="00DE7D8D"/>
    <w:rsid w:val="00DF0C60"/>
    <w:rsid w:val="00DF486F"/>
    <w:rsid w:val="00DF5B5B"/>
    <w:rsid w:val="00DF7619"/>
    <w:rsid w:val="00DF78D4"/>
    <w:rsid w:val="00E042D8"/>
    <w:rsid w:val="00E07EE7"/>
    <w:rsid w:val="00E1103B"/>
    <w:rsid w:val="00E14645"/>
    <w:rsid w:val="00E17B44"/>
    <w:rsid w:val="00E20F27"/>
    <w:rsid w:val="00E22443"/>
    <w:rsid w:val="00E25B1F"/>
    <w:rsid w:val="00E27FEA"/>
    <w:rsid w:val="00E4086F"/>
    <w:rsid w:val="00E43B3C"/>
    <w:rsid w:val="00E50188"/>
    <w:rsid w:val="00E50BB3"/>
    <w:rsid w:val="00E515CB"/>
    <w:rsid w:val="00E52260"/>
    <w:rsid w:val="00E5686C"/>
    <w:rsid w:val="00E639B6"/>
    <w:rsid w:val="00E6434B"/>
    <w:rsid w:val="00E6463D"/>
    <w:rsid w:val="00E71492"/>
    <w:rsid w:val="00E718BE"/>
    <w:rsid w:val="00E72E9B"/>
    <w:rsid w:val="00E779A5"/>
    <w:rsid w:val="00E850C3"/>
    <w:rsid w:val="00E8582E"/>
    <w:rsid w:val="00E87104"/>
    <w:rsid w:val="00E87DF2"/>
    <w:rsid w:val="00E9462E"/>
    <w:rsid w:val="00EA470E"/>
    <w:rsid w:val="00EA47A7"/>
    <w:rsid w:val="00EA57EB"/>
    <w:rsid w:val="00EB1E0D"/>
    <w:rsid w:val="00EB271C"/>
    <w:rsid w:val="00EB3226"/>
    <w:rsid w:val="00EC213A"/>
    <w:rsid w:val="00EC32FB"/>
    <w:rsid w:val="00EC60A7"/>
    <w:rsid w:val="00EC7744"/>
    <w:rsid w:val="00ED0DAD"/>
    <w:rsid w:val="00ED0F46"/>
    <w:rsid w:val="00ED2373"/>
    <w:rsid w:val="00ED24F9"/>
    <w:rsid w:val="00ED2E38"/>
    <w:rsid w:val="00EE3E8A"/>
    <w:rsid w:val="00EF3510"/>
    <w:rsid w:val="00EF58B8"/>
    <w:rsid w:val="00EF6ECA"/>
    <w:rsid w:val="00F024E1"/>
    <w:rsid w:val="00F06C10"/>
    <w:rsid w:val="00F1096F"/>
    <w:rsid w:val="00F12589"/>
    <w:rsid w:val="00F12595"/>
    <w:rsid w:val="00F134D9"/>
    <w:rsid w:val="00F1403D"/>
    <w:rsid w:val="00F1463F"/>
    <w:rsid w:val="00F160C7"/>
    <w:rsid w:val="00F21302"/>
    <w:rsid w:val="00F2430D"/>
    <w:rsid w:val="00F24604"/>
    <w:rsid w:val="00F27A24"/>
    <w:rsid w:val="00F321DE"/>
    <w:rsid w:val="00F33777"/>
    <w:rsid w:val="00F40648"/>
    <w:rsid w:val="00F47DA2"/>
    <w:rsid w:val="00F51321"/>
    <w:rsid w:val="00F519FC"/>
    <w:rsid w:val="00F60F44"/>
    <w:rsid w:val="00F6239D"/>
    <w:rsid w:val="00F6566B"/>
    <w:rsid w:val="00F677A8"/>
    <w:rsid w:val="00F715D2"/>
    <w:rsid w:val="00F7274F"/>
    <w:rsid w:val="00F74E84"/>
    <w:rsid w:val="00F75182"/>
    <w:rsid w:val="00F76FA8"/>
    <w:rsid w:val="00F77237"/>
    <w:rsid w:val="00F85AFE"/>
    <w:rsid w:val="00F93F08"/>
    <w:rsid w:val="00F94CED"/>
    <w:rsid w:val="00FA02BB"/>
    <w:rsid w:val="00FA2CEE"/>
    <w:rsid w:val="00FA2D66"/>
    <w:rsid w:val="00FA318C"/>
    <w:rsid w:val="00FA644A"/>
    <w:rsid w:val="00FB6F92"/>
    <w:rsid w:val="00FC026E"/>
    <w:rsid w:val="00FC5124"/>
    <w:rsid w:val="00FD4731"/>
    <w:rsid w:val="00FD5E8E"/>
    <w:rsid w:val="00FD6768"/>
    <w:rsid w:val="00FE0DD7"/>
    <w:rsid w:val="00FF0AB0"/>
    <w:rsid w:val="00FF28AC"/>
    <w:rsid w:val="00FF5299"/>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01932"/>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Revision">
    <w:name w:val="Revision"/>
    <w:hidden/>
    <w:uiPriority w:val="99"/>
    <w:semiHidden/>
    <w:rsid w:val="00690CA3"/>
    <w:rPr>
      <w:rFonts w:ascii="Arial" w:hAnsi="Arial"/>
      <w:color w:val="000000" w:themeColor="text1"/>
      <w:sz w:val="22"/>
      <w:szCs w:val="24"/>
      <w:lang w:eastAsia="en-US"/>
    </w:rPr>
  </w:style>
  <w:style w:type="character" w:styleId="CommentReference">
    <w:name w:val="annotation reference"/>
    <w:basedOn w:val="DefaultParagraphFont"/>
    <w:uiPriority w:val="99"/>
    <w:semiHidden/>
    <w:unhideWhenUsed/>
    <w:rsid w:val="00997A27"/>
    <w:rPr>
      <w:sz w:val="16"/>
      <w:szCs w:val="16"/>
    </w:rPr>
  </w:style>
  <w:style w:type="paragraph" w:styleId="CommentSubject">
    <w:name w:val="annotation subject"/>
    <w:basedOn w:val="CommentText"/>
    <w:next w:val="CommentText"/>
    <w:link w:val="CommentSubjectChar"/>
    <w:semiHidden/>
    <w:unhideWhenUsed/>
    <w:rsid w:val="00997A27"/>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997A27"/>
    <w:rPr>
      <w:rFonts w:ascii="Arial" w:eastAsiaTheme="minorEastAsia" w:hAnsi="Arial" w:cstheme="minorBidi"/>
      <w:b/>
      <w:bCs/>
      <w:color w:val="000000" w:themeColor="text1"/>
      <w:lang w:eastAsia="en-US"/>
    </w:rPr>
  </w:style>
  <w:style w:type="paragraph" w:styleId="ListParagraph">
    <w:name w:val="List Paragraph"/>
    <w:basedOn w:val="Normal"/>
    <w:uiPriority w:val="34"/>
    <w:qFormat/>
    <w:rsid w:val="0096730F"/>
    <w:pPr>
      <w:spacing w:before="0" w:after="160" w:line="259" w:lineRule="auto"/>
      <w:ind w:left="720"/>
      <w:contextualSpacing/>
    </w:pPr>
    <w:rPr>
      <w:rFonts w:ascii="Times New Roman" w:eastAsiaTheme="minorHAnsi" w:hAnsi="Times New Roman"/>
      <w:color w:val="auto"/>
      <w:sz w:val="24"/>
    </w:rPr>
  </w:style>
  <w:style w:type="character" w:customStyle="1" w:styleId="normaltextrun">
    <w:name w:val="normaltextrun"/>
    <w:basedOn w:val="DefaultParagraphFont"/>
    <w:rsid w:val="006050AC"/>
  </w:style>
  <w:style w:type="table" w:styleId="ListTable4-Accent1">
    <w:name w:val="List Table 4 Accent 1"/>
    <w:basedOn w:val="TableNormal"/>
    <w:uiPriority w:val="49"/>
    <w:rsid w:val="001B4EC6"/>
    <w:rPr>
      <w:rFonts w:eastAsiaTheme="minorHAnsi"/>
      <w:sz w:val="24"/>
      <w:szCs w:val="24"/>
      <w:lang w:eastAsia="en-US"/>
    </w:rPr>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tblBorders>
    </w:tblPr>
    <w:tblStylePr w:type="firstRow">
      <w:rPr>
        <w:b/>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tcBorders>
        <w:shd w:val="clear" w:color="auto" w:fill="3F4A75" w:themeFill="accent1"/>
      </w:tcPr>
    </w:tblStylePr>
    <w:tblStylePr w:type="lastRow">
      <w:rPr>
        <w:b/>
        <w:bCs/>
      </w:rPr>
      <w:tblPr/>
      <w:tcPr>
        <w:tcBorders>
          <w:top w:val="double" w:sz="4" w:space="0" w:color="7E8AB9" w:themeColor="accent1" w:themeTint="99"/>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70309698">
      <w:bodyDiv w:val="1"/>
      <w:marLeft w:val="0"/>
      <w:marRight w:val="0"/>
      <w:marTop w:val="0"/>
      <w:marBottom w:val="0"/>
      <w:divBdr>
        <w:top w:val="none" w:sz="0" w:space="0" w:color="auto"/>
        <w:left w:val="none" w:sz="0" w:space="0" w:color="auto"/>
        <w:bottom w:val="none" w:sz="0" w:space="0" w:color="auto"/>
        <w:right w:val="none" w:sz="0" w:space="0" w:color="auto"/>
      </w:divBdr>
      <w:divsChild>
        <w:div w:id="64576786">
          <w:marLeft w:val="0"/>
          <w:marRight w:val="0"/>
          <w:marTop w:val="0"/>
          <w:marBottom w:val="0"/>
          <w:divBdr>
            <w:top w:val="none" w:sz="0" w:space="0" w:color="auto"/>
            <w:left w:val="none" w:sz="0" w:space="0" w:color="auto"/>
            <w:bottom w:val="none" w:sz="0" w:space="0" w:color="auto"/>
            <w:right w:val="none" w:sz="0" w:space="0" w:color="auto"/>
          </w:divBdr>
        </w:div>
      </w:divsChild>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902705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03466916">
      <w:bodyDiv w:val="1"/>
      <w:marLeft w:val="0"/>
      <w:marRight w:val="0"/>
      <w:marTop w:val="0"/>
      <w:marBottom w:val="0"/>
      <w:divBdr>
        <w:top w:val="none" w:sz="0" w:space="0" w:color="auto"/>
        <w:left w:val="none" w:sz="0" w:space="0" w:color="auto"/>
        <w:bottom w:val="none" w:sz="0" w:space="0" w:color="auto"/>
        <w:right w:val="none" w:sz="0" w:space="0" w:color="auto"/>
      </w:divBdr>
    </w:div>
    <w:div w:id="1567493340">
      <w:bodyDiv w:val="1"/>
      <w:marLeft w:val="0"/>
      <w:marRight w:val="0"/>
      <w:marTop w:val="0"/>
      <w:marBottom w:val="0"/>
      <w:divBdr>
        <w:top w:val="none" w:sz="0" w:space="0" w:color="auto"/>
        <w:left w:val="none" w:sz="0" w:space="0" w:color="auto"/>
        <w:bottom w:val="none" w:sz="0" w:space="0" w:color="auto"/>
        <w:right w:val="none" w:sz="0" w:space="0" w:color="auto"/>
      </w:divBdr>
    </w:div>
    <w:div w:id="1589923320">
      <w:bodyDiv w:val="1"/>
      <w:marLeft w:val="0"/>
      <w:marRight w:val="0"/>
      <w:marTop w:val="0"/>
      <w:marBottom w:val="0"/>
      <w:divBdr>
        <w:top w:val="none" w:sz="0" w:space="0" w:color="auto"/>
        <w:left w:val="none" w:sz="0" w:space="0" w:color="auto"/>
        <w:bottom w:val="none" w:sz="0" w:space="0" w:color="auto"/>
        <w:right w:val="none" w:sz="0" w:space="0" w:color="auto"/>
      </w:divBdr>
      <w:divsChild>
        <w:div w:id="1039470899">
          <w:marLeft w:val="0"/>
          <w:marRight w:val="0"/>
          <w:marTop w:val="0"/>
          <w:marBottom w:val="0"/>
          <w:divBdr>
            <w:top w:val="none" w:sz="0" w:space="0" w:color="auto"/>
            <w:left w:val="none" w:sz="0" w:space="0" w:color="auto"/>
            <w:bottom w:val="none" w:sz="0" w:space="0" w:color="auto"/>
            <w:right w:val="none" w:sz="0" w:space="0" w:color="auto"/>
          </w:divBdr>
        </w:div>
      </w:divsChild>
    </w:div>
    <w:div w:id="1813329671">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annual-health-check-for-aboriginal-and-torres-strait-islander-people-referral-form-for-follow-up-allied-health-services" TargetMode="External"/><Relationship Id="rId18" Type="http://schemas.openxmlformats.org/officeDocument/2006/relationships/hyperlink" Target="http://www.mbsonline.gov.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ealth.gov.au/topics/private-health-insurance/private-health-insurance-reforms" TargetMode="External"/><Relationship Id="rId7" Type="http://schemas.openxmlformats.org/officeDocument/2006/relationships/settings" Target="settings.xml"/><Relationship Id="rId12" Type="http://schemas.openxmlformats.org/officeDocument/2006/relationships/hyperlink" Target="https://www.health.gov.au/resources/collections/mbs-review-clinical-committee-reports" TargetMode="External"/><Relationship Id="rId17" Type="http://schemas.openxmlformats.org/officeDocument/2006/relationships/hyperlink" Target="http://www.mbsonline.gov.au/" TargetMode="External"/><Relationship Id="rId25" Type="http://schemas.openxmlformats.org/officeDocument/2006/relationships/hyperlink" Target="http://www.mbsonline.gov.au/internet/mbsonline/publishing.nsf/Content/downloads" TargetMode="External"/><Relationship Id="rId2" Type="http://schemas.openxmlformats.org/officeDocument/2006/relationships/customXml" Target="../customXml/item2.xml"/><Relationship Id="rId16" Type="http://schemas.openxmlformats.org/officeDocument/2006/relationships/hyperlink" Target="https://www.health.gov.au/resources/publications/annual-health-check-for-aboriginal-and-torres-strait-islander-people-referral-form-for-follow-up-allied-health-services" TargetMode="External"/><Relationship Id="rId20" Type="http://schemas.openxmlformats.org/officeDocument/2006/relationships/hyperlink" Target="https://www.privatehealth.gov.au/health_insurance/phichanges/index.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mbs-review?utm_source=health.gov.au&amp;utm_medium=callout-auto-custom&amp;utm_campaign=digital_transformation" TargetMode="External"/><Relationship Id="rId24" Type="http://schemas.openxmlformats.org/officeDocument/2006/relationships/hyperlink" Target="https://www.servicesaustralia.gov.au/organisations/health-professionals/news/all" TargetMode="External"/><Relationship Id="rId5" Type="http://schemas.openxmlformats.org/officeDocument/2006/relationships/numbering" Target="numbering.xml"/><Relationship Id="rId15" Type="http://schemas.openxmlformats.org/officeDocument/2006/relationships/hyperlink" Target="https://www.health.gov.au/resources/publications/referral-form-for-chronic-disease-allied-health-services-under-medicare?language=en" TargetMode="External"/><Relationship Id="rId23" Type="http://schemas.openxmlformats.org/officeDocument/2006/relationships/hyperlink" Target="mailto:PHI@health.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skMBS@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annual-health-check-for-aboriginal-and-torres-strait-islander-people-referral-form-for-follow-up-allied-health-services" TargetMode="External"/><Relationship Id="rId22" Type="http://schemas.openxmlformats.org/officeDocument/2006/relationships/hyperlink" Target="https://www.legislation.gov.au"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3.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1</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Fact Sheet - First Nations Australians MBS Changes - 1 March 2024</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First Nations Australians MBS Changes - 1 March 2024</dc:title>
  <dc:subject>MBS</dc:subject>
  <dc:creator>Australian Government Department of Health and Aged Care</dc:creator>
  <cp:keywords>MBS;</cp:keywords>
  <cp:lastModifiedBy>WELIN, Greta</cp:lastModifiedBy>
  <cp:revision>61</cp:revision>
  <cp:lastPrinted>2024-02-07T22:25:00Z</cp:lastPrinted>
  <dcterms:created xsi:type="dcterms:W3CDTF">2023-08-23T03:26:00Z</dcterms:created>
  <dcterms:modified xsi:type="dcterms:W3CDTF">2024-02-07T22:26:00Z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