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17C48" w14:textId="77777777" w:rsidR="008C7228" w:rsidRPr="00A91AE0" w:rsidRDefault="008C7228" w:rsidP="008C7228">
      <w:pPr>
        <w:pStyle w:val="Heading1"/>
        <w:spacing w:before="120"/>
        <w:rPr>
          <w:rFonts w:ascii="Arial" w:hAnsi="Arial" w:cs="Arial"/>
          <w:color w:val="001A70"/>
          <w:sz w:val="48"/>
          <w:szCs w:val="48"/>
        </w:rPr>
      </w:pPr>
      <w:bookmarkStart w:id="0" w:name="_Hlk535506978"/>
      <w:r w:rsidRPr="00A91AE0">
        <w:rPr>
          <w:rFonts w:ascii="Arial" w:hAnsi="Arial" w:cs="Arial"/>
          <w:color w:val="001A70"/>
          <w:sz w:val="48"/>
          <w:szCs w:val="48"/>
        </w:rPr>
        <w:t xml:space="preserve">COVID-19 Temporary MBS </w:t>
      </w:r>
      <w:r w:rsidR="00906F78">
        <w:rPr>
          <w:rFonts w:ascii="Arial" w:hAnsi="Arial" w:cs="Arial"/>
          <w:color w:val="001A70"/>
          <w:sz w:val="48"/>
          <w:szCs w:val="48"/>
        </w:rPr>
        <w:t>GP/OMP</w:t>
      </w:r>
      <w:r w:rsidRPr="00A91AE0">
        <w:rPr>
          <w:rFonts w:ascii="Arial" w:hAnsi="Arial" w:cs="Arial"/>
          <w:color w:val="001A70"/>
          <w:sz w:val="48"/>
          <w:szCs w:val="48"/>
        </w:rPr>
        <w:t xml:space="preserve"> Services for Residents of Aged Care Facilities </w:t>
      </w:r>
    </w:p>
    <w:p w14:paraId="7E89B011" w14:textId="03D52CE7" w:rsidR="008C7228" w:rsidRPr="00D82DB4" w:rsidRDefault="008C7228" w:rsidP="008C7228">
      <w:pPr>
        <w:rPr>
          <w:rFonts w:cs="Arial"/>
          <w:szCs w:val="20"/>
        </w:rPr>
      </w:pPr>
      <w:bookmarkStart w:id="1" w:name="_Hlk4568006"/>
      <w:r w:rsidRPr="00D82DB4">
        <w:rPr>
          <w:rFonts w:cs="Arial"/>
          <w:szCs w:val="20"/>
        </w:rPr>
        <w:t xml:space="preserve">Last updated: </w:t>
      </w:r>
      <w:r w:rsidR="00CB795E">
        <w:rPr>
          <w:rFonts w:cs="Arial"/>
          <w:szCs w:val="20"/>
        </w:rPr>
        <w:t>1</w:t>
      </w:r>
      <w:r w:rsidR="00D33A43">
        <w:rPr>
          <w:rFonts w:cs="Arial"/>
          <w:szCs w:val="20"/>
        </w:rPr>
        <w:t xml:space="preserve"> October 2021</w:t>
      </w:r>
    </w:p>
    <w:bookmarkEnd w:id="1"/>
    <w:p w14:paraId="03347B2F" w14:textId="77777777" w:rsidR="008C7228" w:rsidRPr="003F54D0" w:rsidRDefault="008C7228" w:rsidP="008C7228">
      <w:pPr>
        <w:rPr>
          <w:rFonts w:cs="Arial"/>
          <w:szCs w:val="20"/>
        </w:rPr>
      </w:pPr>
      <w:r w:rsidRPr="003F54D0">
        <w:rPr>
          <w:rFonts w:cs="Arial"/>
          <w:szCs w:val="20"/>
        </w:rPr>
        <w:t xml:space="preserve">Commencing </w:t>
      </w:r>
      <w:r w:rsidRPr="007B3DFE">
        <w:rPr>
          <w:rFonts w:cs="Arial"/>
          <w:szCs w:val="20"/>
        </w:rPr>
        <w:t>10 December 2020</w:t>
      </w:r>
      <w:r w:rsidRPr="003F54D0">
        <w:rPr>
          <w:rFonts w:cs="Arial"/>
          <w:szCs w:val="20"/>
        </w:rPr>
        <w:t xml:space="preserve"> and available until 30 June 2022, temporary Medicare Benefits Schedule (MBS) items have been made available to improve access to multidisciplinary care for residents of </w:t>
      </w:r>
      <w:r>
        <w:rPr>
          <w:rFonts w:cs="Arial"/>
          <w:szCs w:val="20"/>
        </w:rPr>
        <w:t xml:space="preserve">residential </w:t>
      </w:r>
      <w:r w:rsidRPr="003F54D0">
        <w:rPr>
          <w:rFonts w:cs="Arial"/>
          <w:szCs w:val="20"/>
        </w:rPr>
        <w:t xml:space="preserve">aged care facilities (RACF) during the COVID-19 pandemic. </w:t>
      </w:r>
    </w:p>
    <w:p w14:paraId="0F66690F" w14:textId="77777777" w:rsidR="008C7228" w:rsidRDefault="008C7228" w:rsidP="008C7228">
      <w:pPr>
        <w:rPr>
          <w:rFonts w:cs="Arial"/>
          <w:szCs w:val="20"/>
        </w:rPr>
      </w:pPr>
      <w:r w:rsidRPr="003F54D0">
        <w:rPr>
          <w:rFonts w:cs="Arial"/>
          <w:szCs w:val="20"/>
        </w:rPr>
        <w:t xml:space="preserve">The new items apply to RACF residents </w:t>
      </w:r>
      <w:r>
        <w:rPr>
          <w:rFonts w:cs="Arial"/>
          <w:szCs w:val="20"/>
        </w:rPr>
        <w:t>referred for allied health services under the following</w:t>
      </w:r>
      <w:r w:rsidRPr="000A12EC">
        <w:rPr>
          <w:rFonts w:cs="Arial"/>
          <w:szCs w:val="20"/>
        </w:rPr>
        <w:t xml:space="preserve"> treatment, </w:t>
      </w:r>
      <w:proofErr w:type="gramStart"/>
      <w:r w:rsidRPr="000A12EC">
        <w:rPr>
          <w:rFonts w:cs="Arial"/>
          <w:szCs w:val="20"/>
        </w:rPr>
        <w:t>management</w:t>
      </w:r>
      <w:proofErr w:type="gramEnd"/>
      <w:r w:rsidRPr="000A12EC">
        <w:rPr>
          <w:rFonts w:cs="Arial"/>
          <w:szCs w:val="20"/>
        </w:rPr>
        <w:t xml:space="preserve"> or care plan</w:t>
      </w:r>
      <w:r>
        <w:rPr>
          <w:rFonts w:cs="Arial"/>
          <w:szCs w:val="20"/>
        </w:rPr>
        <w:t>s:</w:t>
      </w:r>
    </w:p>
    <w:p w14:paraId="66D913A8" w14:textId="77777777" w:rsidR="008C7228" w:rsidRPr="003F54D0" w:rsidRDefault="008C7228" w:rsidP="008C7228">
      <w:pPr>
        <w:pStyle w:val="ListParagraph"/>
        <w:numPr>
          <w:ilvl w:val="0"/>
          <w:numId w:val="27"/>
        </w:numPr>
        <w:spacing w:before="120" w:after="120" w:line="276" w:lineRule="auto"/>
        <w:ind w:left="851"/>
        <w:rPr>
          <w:rFonts w:cs="Arial"/>
          <w:szCs w:val="22"/>
        </w:rPr>
      </w:pPr>
      <w:r w:rsidRPr="003F54D0">
        <w:rPr>
          <w:rFonts w:cs="Arial"/>
          <w:szCs w:val="22"/>
        </w:rPr>
        <w:t>Multidisciplinary Care Plan</w:t>
      </w:r>
      <w:r>
        <w:rPr>
          <w:rFonts w:cs="Arial"/>
          <w:szCs w:val="22"/>
        </w:rPr>
        <w:t>s;</w:t>
      </w:r>
      <w:r w:rsidRPr="003F54D0">
        <w:rPr>
          <w:rFonts w:cs="Arial"/>
          <w:szCs w:val="22"/>
        </w:rPr>
        <w:t xml:space="preserve"> </w:t>
      </w:r>
      <w:r>
        <w:rPr>
          <w:rFonts w:cs="Arial"/>
          <w:szCs w:val="22"/>
        </w:rPr>
        <w:t>OR</w:t>
      </w:r>
    </w:p>
    <w:p w14:paraId="30D3EF25" w14:textId="77777777" w:rsidR="008C7228" w:rsidRPr="003F54D0" w:rsidRDefault="008C7228" w:rsidP="008C7228">
      <w:pPr>
        <w:pStyle w:val="ListParagraph"/>
        <w:numPr>
          <w:ilvl w:val="0"/>
          <w:numId w:val="27"/>
        </w:numPr>
        <w:spacing w:before="120" w:after="120" w:line="276" w:lineRule="auto"/>
        <w:ind w:left="851"/>
        <w:rPr>
          <w:rFonts w:cs="Arial"/>
          <w:szCs w:val="22"/>
        </w:rPr>
      </w:pPr>
      <w:r w:rsidRPr="003F54D0">
        <w:rPr>
          <w:rFonts w:cs="Arial"/>
          <w:szCs w:val="22"/>
        </w:rPr>
        <w:t>GP Management Plan</w:t>
      </w:r>
      <w:r>
        <w:rPr>
          <w:rFonts w:cs="Arial"/>
          <w:szCs w:val="22"/>
        </w:rPr>
        <w:t>s;</w:t>
      </w:r>
      <w:r w:rsidRPr="003F54D0">
        <w:rPr>
          <w:rFonts w:cs="Arial"/>
          <w:szCs w:val="22"/>
        </w:rPr>
        <w:t xml:space="preserve"> OR</w:t>
      </w:r>
    </w:p>
    <w:p w14:paraId="4D8A337C" w14:textId="77777777" w:rsidR="008C7228" w:rsidRPr="003F54D0" w:rsidRDefault="008C7228" w:rsidP="008C7228">
      <w:pPr>
        <w:pStyle w:val="ListParagraph"/>
        <w:numPr>
          <w:ilvl w:val="0"/>
          <w:numId w:val="27"/>
        </w:numPr>
        <w:spacing w:before="120" w:after="120" w:line="276" w:lineRule="auto"/>
        <w:ind w:left="851"/>
        <w:rPr>
          <w:rFonts w:cs="Arial"/>
          <w:szCs w:val="22"/>
        </w:rPr>
      </w:pPr>
      <w:r w:rsidRPr="003F54D0">
        <w:rPr>
          <w:rFonts w:cs="Arial"/>
          <w:szCs w:val="22"/>
        </w:rPr>
        <w:t>Shared Care Plan</w:t>
      </w:r>
      <w:r>
        <w:rPr>
          <w:rFonts w:cs="Arial"/>
          <w:szCs w:val="22"/>
        </w:rPr>
        <w:t>s;</w:t>
      </w:r>
      <w:r w:rsidRPr="003F54D0">
        <w:rPr>
          <w:rFonts w:cs="Arial"/>
          <w:szCs w:val="22"/>
        </w:rPr>
        <w:t xml:space="preserve"> </w:t>
      </w:r>
      <w:r>
        <w:rPr>
          <w:rFonts w:cs="Arial"/>
          <w:szCs w:val="22"/>
        </w:rPr>
        <w:t>OR</w:t>
      </w:r>
    </w:p>
    <w:p w14:paraId="49E5FC1B" w14:textId="77777777" w:rsidR="008C7228" w:rsidRPr="003F54D0" w:rsidRDefault="008C7228" w:rsidP="008C7228">
      <w:pPr>
        <w:pStyle w:val="ListParagraph"/>
        <w:numPr>
          <w:ilvl w:val="0"/>
          <w:numId w:val="27"/>
        </w:numPr>
        <w:spacing w:before="120" w:after="120" w:line="276" w:lineRule="auto"/>
        <w:ind w:left="851"/>
        <w:rPr>
          <w:rFonts w:cs="Arial"/>
          <w:szCs w:val="22"/>
        </w:rPr>
      </w:pPr>
      <w:r w:rsidRPr="003F54D0">
        <w:rPr>
          <w:rFonts w:cs="Arial"/>
          <w:szCs w:val="22"/>
        </w:rPr>
        <w:t>Team Care Plan</w:t>
      </w:r>
      <w:r>
        <w:rPr>
          <w:rFonts w:cs="Arial"/>
          <w:szCs w:val="22"/>
        </w:rPr>
        <w:t>s</w:t>
      </w:r>
      <w:r w:rsidRPr="003F54D0">
        <w:rPr>
          <w:rFonts w:cs="Arial"/>
          <w:szCs w:val="22"/>
        </w:rPr>
        <w:t>; AND/OR</w:t>
      </w:r>
    </w:p>
    <w:p w14:paraId="17056C68" w14:textId="77777777" w:rsidR="008C7228" w:rsidRPr="003F54D0" w:rsidRDefault="008C7228" w:rsidP="008C7228">
      <w:pPr>
        <w:pStyle w:val="ListParagraph"/>
        <w:numPr>
          <w:ilvl w:val="0"/>
          <w:numId w:val="27"/>
        </w:numPr>
        <w:spacing w:before="120" w:after="120" w:line="276" w:lineRule="auto"/>
        <w:ind w:left="851"/>
        <w:rPr>
          <w:rFonts w:cs="Arial"/>
          <w:szCs w:val="22"/>
        </w:rPr>
      </w:pPr>
      <w:r w:rsidRPr="003F54D0">
        <w:rPr>
          <w:rFonts w:cs="Arial"/>
          <w:szCs w:val="22"/>
        </w:rPr>
        <w:t>Aboriginal and Torres Strait Islander Health Assessment</w:t>
      </w:r>
      <w:r>
        <w:rPr>
          <w:rFonts w:cs="Arial"/>
          <w:szCs w:val="22"/>
        </w:rPr>
        <w:t>s</w:t>
      </w:r>
      <w:r w:rsidRPr="003F54D0">
        <w:rPr>
          <w:rFonts w:cs="Arial"/>
          <w:szCs w:val="22"/>
        </w:rPr>
        <w:t>.</w:t>
      </w:r>
    </w:p>
    <w:p w14:paraId="461C8807" w14:textId="4B1B88F3" w:rsidR="008C7228" w:rsidRPr="003F54D0" w:rsidRDefault="009632D6" w:rsidP="008C7228">
      <w:pPr>
        <w:rPr>
          <w:rFonts w:cs="Arial"/>
          <w:szCs w:val="20"/>
        </w:rPr>
      </w:pPr>
      <w:r>
        <w:t xml:space="preserve">GP and Other Medical </w:t>
      </w:r>
      <w:r w:rsidR="003D6463">
        <w:t>Practitioner (OMP) services</w:t>
      </w:r>
      <w:r w:rsidR="008C7228">
        <w:rPr>
          <w:rFonts w:cs="Arial"/>
          <w:szCs w:val="20"/>
        </w:rPr>
        <w:t xml:space="preserve"> eligible for </w:t>
      </w:r>
      <w:r w:rsidR="008C7228" w:rsidRPr="003F54D0">
        <w:rPr>
          <w:rFonts w:cs="Arial"/>
          <w:szCs w:val="20"/>
        </w:rPr>
        <w:t xml:space="preserve">a call-out or ‘flag-fall’ fee </w:t>
      </w:r>
      <w:r w:rsidR="008C7228">
        <w:rPr>
          <w:rFonts w:cs="Arial"/>
          <w:szCs w:val="20"/>
        </w:rPr>
        <w:t xml:space="preserve">will be expanded </w:t>
      </w:r>
      <w:r w:rsidR="008C7228" w:rsidRPr="003F54D0">
        <w:rPr>
          <w:rFonts w:cs="Arial"/>
          <w:szCs w:val="20"/>
        </w:rPr>
        <w:t>to</w:t>
      </w:r>
      <w:r w:rsidR="003D6463">
        <w:rPr>
          <w:rFonts w:cs="Arial"/>
          <w:szCs w:val="20"/>
        </w:rPr>
        <w:t xml:space="preserve"> include </w:t>
      </w:r>
      <w:r w:rsidR="00E93D7C">
        <w:rPr>
          <w:rFonts w:cs="Arial"/>
          <w:szCs w:val="20"/>
        </w:rPr>
        <w:t>contributions to multidisciplinary care plans and Aboriginal and Torres Strait Islander Health Assessments when provided in person</w:t>
      </w:r>
      <w:r w:rsidR="00175ECF">
        <w:rPr>
          <w:rFonts w:cs="Arial"/>
          <w:szCs w:val="20"/>
        </w:rPr>
        <w:t xml:space="preserve"> in a RACF</w:t>
      </w:r>
      <w:r w:rsidR="00E93D7C">
        <w:rPr>
          <w:rFonts w:cs="Arial"/>
          <w:szCs w:val="20"/>
        </w:rPr>
        <w:t xml:space="preserve">. </w:t>
      </w:r>
      <w:r w:rsidR="00175ECF">
        <w:rPr>
          <w:rFonts w:cs="Arial"/>
          <w:szCs w:val="20"/>
        </w:rPr>
        <w:t>The n</w:t>
      </w:r>
      <w:r w:rsidR="00E93D7C">
        <w:rPr>
          <w:rFonts w:cs="Arial"/>
          <w:szCs w:val="20"/>
        </w:rPr>
        <w:t xml:space="preserve">ew </w:t>
      </w:r>
      <w:r w:rsidR="003D6463">
        <w:rPr>
          <w:rFonts w:cs="Arial"/>
          <w:szCs w:val="20"/>
        </w:rPr>
        <w:t>temporary</w:t>
      </w:r>
      <w:r w:rsidR="00034641">
        <w:rPr>
          <w:rFonts w:cs="Arial"/>
          <w:szCs w:val="20"/>
        </w:rPr>
        <w:t xml:space="preserve"> MBS</w:t>
      </w:r>
      <w:r w:rsidR="003D6463">
        <w:rPr>
          <w:rFonts w:cs="Arial"/>
          <w:szCs w:val="20"/>
        </w:rPr>
        <w:t xml:space="preserve"> items in Group A43, sub-group 1 and 2</w:t>
      </w:r>
      <w:r w:rsidR="00034641">
        <w:rPr>
          <w:rFonts w:cs="Arial"/>
          <w:szCs w:val="20"/>
        </w:rPr>
        <w:t xml:space="preserve">, </w:t>
      </w:r>
      <w:r w:rsidR="00E93D7C">
        <w:rPr>
          <w:rFonts w:cs="Arial"/>
          <w:szCs w:val="20"/>
        </w:rPr>
        <w:t xml:space="preserve">better recognise the additional effort of providers who travel to RACF’s to provide these services to their patients. </w:t>
      </w:r>
    </w:p>
    <w:p w14:paraId="4F9B61DD" w14:textId="3055DC38" w:rsidR="00986C57" w:rsidRDefault="00986C57" w:rsidP="008C7228">
      <w:pPr>
        <w:rPr>
          <w:rFonts w:cs="Arial"/>
          <w:szCs w:val="20"/>
        </w:rPr>
      </w:pPr>
      <w:r>
        <w:rPr>
          <w:rFonts w:cs="Arial"/>
          <w:szCs w:val="20"/>
        </w:rPr>
        <w:t>These items complement new temporary allied health items for RACF, which include the provision of five (5) additional physical therapy services and two (2) additional exercise physiology group services for eligible RACF residents. F</w:t>
      </w:r>
      <w:r w:rsidRPr="00986C57">
        <w:rPr>
          <w:rFonts w:cs="Arial"/>
          <w:szCs w:val="20"/>
        </w:rPr>
        <w:t>ull item descriptors and information on</w:t>
      </w:r>
      <w:r>
        <w:rPr>
          <w:rFonts w:cs="Arial"/>
          <w:szCs w:val="20"/>
        </w:rPr>
        <w:t xml:space="preserve"> these changes </w:t>
      </w:r>
      <w:r w:rsidRPr="00986C57">
        <w:rPr>
          <w:rFonts w:cs="Arial"/>
          <w:szCs w:val="20"/>
        </w:rPr>
        <w:t xml:space="preserve">can be found on the MBS Online website at </w:t>
      </w:r>
      <w:r w:rsidRPr="00E1498A">
        <w:rPr>
          <w:rFonts w:cs="Arial"/>
          <w:color w:val="1047FF" w:themeColor="text2" w:themeTint="99"/>
          <w:szCs w:val="20"/>
          <w:u w:val="single"/>
        </w:rPr>
        <w:t>www.mbsonline.gov.au.</w:t>
      </w:r>
    </w:p>
    <w:p w14:paraId="170635A7" w14:textId="46C5E5F4" w:rsidR="00C00B47" w:rsidRDefault="00E06BC8" w:rsidP="008C7228">
      <w:r>
        <w:t>These temporary MBS items are applicable for non-admitted patients that reside in a RACF and cannot be claimed as part of hospital treatment</w:t>
      </w:r>
      <w:bookmarkEnd w:id="0"/>
    </w:p>
    <w:p w14:paraId="6444FD64" w14:textId="77777777" w:rsidR="0017279A" w:rsidRDefault="00ED5465" w:rsidP="00AB53A4">
      <w:pPr>
        <w:sectPr w:rsidR="0017279A" w:rsidSect="002A7B41">
          <w:headerReference w:type="default" r:id="rId7"/>
          <w:footerReference w:type="default" r:id="rId8"/>
          <w:type w:val="continuous"/>
          <w:pgSz w:w="11906" w:h="16838"/>
          <w:pgMar w:top="2836" w:right="720" w:bottom="720" w:left="720" w:header="708" w:footer="697" w:gutter="0"/>
          <w:cols w:space="708"/>
          <w:docGrid w:linePitch="360"/>
        </w:sectPr>
      </w:pPr>
      <w:r>
        <w:rPr>
          <w:rStyle w:val="BookTitle"/>
        </w:rPr>
        <w:pict w14:anchorId="5F2986BA">
          <v:rect id="_x0000_i1026" style="width:500.25pt;height:1.35pt" o:hrpct="990" o:hralign="center" o:hrstd="t" o:hr="t" fillcolor="#a0a0a0" stroked="f"/>
        </w:pict>
      </w:r>
    </w:p>
    <w:p w14:paraId="45B9C83C" w14:textId="77777777" w:rsidR="00F074CE" w:rsidRPr="00AB53A4" w:rsidRDefault="00F074CE" w:rsidP="00F605E6">
      <w:pPr>
        <w:pStyle w:val="Heading2"/>
        <w:spacing w:before="120"/>
      </w:pPr>
      <w:r w:rsidRPr="00AB53A4">
        <w:t>What are the changes</w:t>
      </w:r>
      <w:r w:rsidR="002A3C7C" w:rsidRPr="00AB53A4">
        <w:t>?</w:t>
      </w:r>
    </w:p>
    <w:p w14:paraId="034376A6" w14:textId="77777777" w:rsidR="009632D6" w:rsidRDefault="00300D87" w:rsidP="00BD55AD">
      <w:pPr>
        <w:spacing w:after="120" w:line="276" w:lineRule="auto"/>
        <w:rPr>
          <w:rFonts w:cs="Arial"/>
          <w:szCs w:val="20"/>
        </w:rPr>
      </w:pPr>
      <w:r>
        <w:t>As</w:t>
      </w:r>
      <w:r w:rsidR="00F605E6">
        <w:rPr>
          <w:bCs/>
        </w:rPr>
        <w:t xml:space="preserve"> part of the Australian Government’s response to COVID-19</w:t>
      </w:r>
      <w:r w:rsidR="00447A96">
        <w:rPr>
          <w:bCs/>
        </w:rPr>
        <w:t xml:space="preserve">, </w:t>
      </w:r>
      <w:r w:rsidR="00037534">
        <w:rPr>
          <w:bCs/>
        </w:rPr>
        <w:t>four</w:t>
      </w:r>
      <w:r w:rsidR="00037534">
        <w:t xml:space="preserve"> </w:t>
      </w:r>
      <w:r w:rsidR="00AB48B3">
        <w:t>(</w:t>
      </w:r>
      <w:r w:rsidR="00037534">
        <w:t>4</w:t>
      </w:r>
      <w:r w:rsidR="00AB48B3">
        <w:t>)</w:t>
      </w:r>
      <w:r w:rsidR="003E19EE">
        <w:t xml:space="preserve"> new </w:t>
      </w:r>
      <w:r w:rsidR="00281DBF">
        <w:t xml:space="preserve">GP and </w:t>
      </w:r>
      <w:r w:rsidR="009632D6">
        <w:t xml:space="preserve">OMP </w:t>
      </w:r>
      <w:r w:rsidR="009632D6" w:rsidRPr="007E1A4E">
        <w:rPr>
          <w:rFonts w:cs="Arial"/>
          <w:szCs w:val="20"/>
        </w:rPr>
        <w:t xml:space="preserve">new temporary MBS items </w:t>
      </w:r>
      <w:r w:rsidR="009632D6">
        <w:rPr>
          <w:rFonts w:cs="Arial"/>
          <w:szCs w:val="20"/>
        </w:rPr>
        <w:t xml:space="preserve">have been introduced to support </w:t>
      </w:r>
      <w:r w:rsidR="009632D6" w:rsidRPr="00D82DB4">
        <w:rPr>
          <w:rFonts w:cs="Arial"/>
          <w:szCs w:val="20"/>
        </w:rPr>
        <w:t xml:space="preserve">the provision of comprehensive care for </w:t>
      </w:r>
      <w:r w:rsidR="009632D6">
        <w:rPr>
          <w:rFonts w:cs="Arial"/>
          <w:szCs w:val="20"/>
        </w:rPr>
        <w:t>residents within RACF.</w:t>
      </w:r>
    </w:p>
    <w:p w14:paraId="4E2B7168" w14:textId="77777777" w:rsidR="00BD1C20" w:rsidRPr="00300D87" w:rsidRDefault="0035078F" w:rsidP="00BD55AD">
      <w:pPr>
        <w:spacing w:after="120" w:line="276" w:lineRule="auto"/>
      </w:pPr>
      <w:r w:rsidRPr="0035078F">
        <w:rPr>
          <w:szCs w:val="20"/>
          <w:lang w:eastAsia="en-AU"/>
        </w:rPr>
        <w:t>The new</w:t>
      </w:r>
      <w:r w:rsidR="009632D6">
        <w:rPr>
          <w:szCs w:val="20"/>
          <w:lang w:eastAsia="en-AU"/>
        </w:rPr>
        <w:t xml:space="preserve"> temporary GP and OMP MBS</w:t>
      </w:r>
      <w:r w:rsidRPr="0035078F">
        <w:rPr>
          <w:szCs w:val="20"/>
          <w:lang w:eastAsia="en-AU"/>
        </w:rPr>
        <w:t xml:space="preserve"> items are:</w:t>
      </w:r>
    </w:p>
    <w:p w14:paraId="73AA77F9" w14:textId="77777777" w:rsidR="003A097E" w:rsidRPr="003A097E" w:rsidRDefault="0021035A" w:rsidP="00BD55AD">
      <w:pPr>
        <w:pStyle w:val="ListParagraph"/>
        <w:spacing w:after="120" w:line="276" w:lineRule="auto"/>
      </w:pPr>
      <w:r w:rsidRPr="00475E53">
        <w:rPr>
          <w:u w:val="single"/>
        </w:rPr>
        <w:t>Group</w:t>
      </w:r>
      <w:r w:rsidR="009632D6">
        <w:rPr>
          <w:u w:val="single"/>
        </w:rPr>
        <w:t xml:space="preserve"> A43</w:t>
      </w:r>
      <w:r w:rsidRPr="00475E53">
        <w:rPr>
          <w:u w:val="single"/>
        </w:rPr>
        <w:t xml:space="preserve">, </w:t>
      </w:r>
      <w:r w:rsidR="00C05423" w:rsidRPr="00475E53">
        <w:rPr>
          <w:u w:val="single"/>
        </w:rPr>
        <w:t>sub-group</w:t>
      </w:r>
      <w:r w:rsidR="00124DA1">
        <w:rPr>
          <w:u w:val="single"/>
        </w:rPr>
        <w:t>s 1-</w:t>
      </w:r>
      <w:r w:rsidR="00541287">
        <w:rPr>
          <w:u w:val="single"/>
        </w:rPr>
        <w:t>2</w:t>
      </w:r>
      <w:r w:rsidR="003A097E">
        <w:t>:</w:t>
      </w:r>
    </w:p>
    <w:p w14:paraId="68B79BDD" w14:textId="33E1D79E" w:rsidR="003A097E" w:rsidRDefault="00037534">
      <w:pPr>
        <w:pStyle w:val="ListParagraph"/>
        <w:numPr>
          <w:ilvl w:val="0"/>
          <w:numId w:val="20"/>
        </w:numPr>
        <w:spacing w:after="120" w:line="276" w:lineRule="auto"/>
      </w:pPr>
      <w:r>
        <w:t>4</w:t>
      </w:r>
      <w:r w:rsidRPr="003A097E">
        <w:t xml:space="preserve"> </w:t>
      </w:r>
      <w:r w:rsidR="0018054B" w:rsidRPr="003A097E">
        <w:t xml:space="preserve">new </w:t>
      </w:r>
      <w:r w:rsidR="00124DA1">
        <w:t xml:space="preserve">items for </w:t>
      </w:r>
      <w:r w:rsidR="0018054B" w:rsidRPr="003A097E">
        <w:t>GP</w:t>
      </w:r>
      <w:r w:rsidR="003D6463">
        <w:t>s</w:t>
      </w:r>
      <w:r w:rsidR="00124DA1">
        <w:t xml:space="preserve"> and</w:t>
      </w:r>
      <w:r w:rsidR="0018054B" w:rsidRPr="003A097E">
        <w:t xml:space="preserve"> non-specialist </w:t>
      </w:r>
      <w:r w:rsidR="003D6463">
        <w:t>OMPs</w:t>
      </w:r>
      <w:r w:rsidR="00E93D7C">
        <w:t xml:space="preserve">: </w:t>
      </w:r>
      <w:r w:rsidR="009632D6">
        <w:t>93469,</w:t>
      </w:r>
      <w:r w:rsidR="009B2FB2">
        <w:t xml:space="preserve"> </w:t>
      </w:r>
      <w:r w:rsidR="009632D6">
        <w:t>93470,</w:t>
      </w:r>
      <w:r w:rsidR="009B2FB2">
        <w:t xml:space="preserve"> </w:t>
      </w:r>
      <w:r w:rsidR="009632D6">
        <w:t>93379 and 93475</w:t>
      </w:r>
    </w:p>
    <w:p w14:paraId="66E35283" w14:textId="77777777" w:rsidR="00281DBF" w:rsidRDefault="00281DBF" w:rsidP="007D734C">
      <w:pPr>
        <w:spacing w:after="120" w:line="276" w:lineRule="auto"/>
      </w:pPr>
      <w:r w:rsidRPr="00281DBF">
        <w:t>A guide to the new items and the existing items that they relate to is attached to this fact sheet.</w:t>
      </w:r>
    </w:p>
    <w:p w14:paraId="1478E462" w14:textId="77777777" w:rsidR="00E93D7C" w:rsidRDefault="00E93D7C" w:rsidP="00577266">
      <w:pPr>
        <w:spacing w:before="240" w:after="120" w:line="276" w:lineRule="auto"/>
        <w:rPr>
          <w:rFonts w:cs="Arial"/>
          <w:color w:val="001A70"/>
          <w:sz w:val="28"/>
          <w:szCs w:val="28"/>
        </w:rPr>
      </w:pPr>
    </w:p>
    <w:p w14:paraId="7CDE3E0B" w14:textId="77777777" w:rsidR="00D877AE" w:rsidRPr="00577266" w:rsidRDefault="00D877AE" w:rsidP="00577266">
      <w:pPr>
        <w:spacing w:before="240" w:after="120" w:line="276" w:lineRule="auto"/>
        <w:rPr>
          <w:rFonts w:cs="Arial"/>
          <w:color w:val="001A70"/>
          <w:sz w:val="28"/>
          <w:szCs w:val="28"/>
        </w:rPr>
      </w:pPr>
      <w:r w:rsidRPr="00577266">
        <w:rPr>
          <w:rFonts w:cs="Arial"/>
          <w:color w:val="001A70"/>
          <w:sz w:val="28"/>
          <w:szCs w:val="28"/>
        </w:rPr>
        <w:lastRenderedPageBreak/>
        <w:t>Who is eligible?</w:t>
      </w:r>
    </w:p>
    <w:p w14:paraId="74FF1FE8" w14:textId="53FE1629" w:rsidR="00E06BC8" w:rsidRDefault="00577266" w:rsidP="00577266">
      <w:pPr>
        <w:spacing w:before="240" w:after="120" w:line="276" w:lineRule="auto"/>
        <w:rPr>
          <w:rFonts w:cs="Arial"/>
          <w:szCs w:val="22"/>
        </w:rPr>
      </w:pPr>
      <w:r>
        <w:rPr>
          <w:rFonts w:cs="Arial"/>
          <w:szCs w:val="22"/>
        </w:rPr>
        <w:t>The n</w:t>
      </w:r>
      <w:r w:rsidRPr="00A37EF9">
        <w:rPr>
          <w:rFonts w:cs="Arial"/>
          <w:szCs w:val="22"/>
        </w:rPr>
        <w:t>ew temporary item</w:t>
      </w:r>
      <w:r>
        <w:rPr>
          <w:rFonts w:cs="Arial"/>
          <w:szCs w:val="22"/>
        </w:rPr>
        <w:t>s replicate</w:t>
      </w:r>
      <w:r w:rsidRPr="00A37EF9">
        <w:rPr>
          <w:rFonts w:cs="Arial"/>
          <w:szCs w:val="22"/>
        </w:rPr>
        <w:t xml:space="preserve"> the clinical</w:t>
      </w:r>
      <w:r>
        <w:rPr>
          <w:rFonts w:cs="Arial"/>
          <w:szCs w:val="22"/>
        </w:rPr>
        <w:t xml:space="preserve"> eligibility requirement</w:t>
      </w:r>
      <w:r w:rsidR="00175ECF">
        <w:rPr>
          <w:rFonts w:cs="Arial"/>
          <w:szCs w:val="22"/>
        </w:rPr>
        <w:t>s</w:t>
      </w:r>
      <w:r>
        <w:rPr>
          <w:rFonts w:cs="Arial"/>
          <w:szCs w:val="22"/>
        </w:rPr>
        <w:t xml:space="preserve"> for patients</w:t>
      </w:r>
      <w:r w:rsidRPr="00A37EF9">
        <w:rPr>
          <w:rFonts w:cs="Arial"/>
          <w:szCs w:val="22"/>
        </w:rPr>
        <w:t xml:space="preserve"> of existing </w:t>
      </w:r>
      <w:r w:rsidRPr="00577266">
        <w:rPr>
          <w:rFonts w:cs="Arial"/>
          <w:szCs w:val="22"/>
        </w:rPr>
        <w:t>tre</w:t>
      </w:r>
      <w:r>
        <w:rPr>
          <w:rFonts w:cs="Arial"/>
          <w:szCs w:val="22"/>
        </w:rPr>
        <w:t xml:space="preserve">atment, </w:t>
      </w:r>
      <w:proofErr w:type="gramStart"/>
      <w:r>
        <w:rPr>
          <w:rFonts w:cs="Arial"/>
          <w:szCs w:val="22"/>
        </w:rPr>
        <w:t>management</w:t>
      </w:r>
      <w:proofErr w:type="gramEnd"/>
      <w:r>
        <w:rPr>
          <w:rFonts w:cs="Arial"/>
          <w:szCs w:val="22"/>
        </w:rPr>
        <w:t xml:space="preserve"> or care items</w:t>
      </w:r>
      <w:r w:rsidRPr="00A37EF9">
        <w:rPr>
          <w:rFonts w:cs="Arial"/>
          <w:szCs w:val="22"/>
        </w:rPr>
        <w:t>, but enable providers to claim flag-fall for their attendance at a RACF (billed only for the first patient seen on a RACF visit).</w:t>
      </w:r>
    </w:p>
    <w:p w14:paraId="69C3F1CB" w14:textId="77777777" w:rsidR="00135417" w:rsidRDefault="00135417" w:rsidP="00BD55AD">
      <w:pPr>
        <w:pStyle w:val="Heading2"/>
        <w:spacing w:line="276" w:lineRule="auto"/>
      </w:pPr>
      <w:r>
        <w:t xml:space="preserve">Why </w:t>
      </w:r>
      <w:r w:rsidR="009F52D4">
        <w:t>are the changes being made</w:t>
      </w:r>
      <w:r>
        <w:t>?</w:t>
      </w:r>
    </w:p>
    <w:p w14:paraId="1D1FD92E" w14:textId="77777777" w:rsidR="009B2FB2" w:rsidRDefault="009B2FB2" w:rsidP="009B2FB2">
      <w:pPr>
        <w:spacing w:line="276" w:lineRule="auto"/>
      </w:pPr>
      <w:r>
        <w:t xml:space="preserve">Many people in RACF have experienced deconditioning because of the COVID-19 pandemic. Deconditioning is </w:t>
      </w:r>
      <w:r w:rsidRPr="00EF0A82">
        <w:t>a complex process of physiological change following a period of inactivity and bedrest.</w:t>
      </w:r>
    </w:p>
    <w:p w14:paraId="69DB8AC8" w14:textId="77777777" w:rsidR="009B2FB2" w:rsidRDefault="009B2FB2" w:rsidP="009B2FB2">
      <w:pPr>
        <w:spacing w:line="276" w:lineRule="auto"/>
        <w:rPr>
          <w:rFonts w:asciiTheme="minorHAnsi" w:hAnsiTheme="minorHAnsi" w:cstheme="minorHAnsi"/>
        </w:rPr>
      </w:pPr>
      <w:r>
        <w:t xml:space="preserve">Increasing </w:t>
      </w:r>
      <w:r w:rsidR="00316C0C">
        <w:t xml:space="preserve">access to multidisciplinary care, supported by specific </w:t>
      </w:r>
      <w:r>
        <w:t xml:space="preserve">allied health services </w:t>
      </w:r>
      <w:r w:rsidR="00316C0C">
        <w:t xml:space="preserve">for people in RACFs </w:t>
      </w:r>
      <w:r>
        <w:t xml:space="preserve">will help residents maintain and improve their health and wellbeing. </w:t>
      </w:r>
    </w:p>
    <w:p w14:paraId="26680907" w14:textId="77777777" w:rsidR="00425089" w:rsidRDefault="00425089" w:rsidP="00BD55AD">
      <w:pPr>
        <w:pStyle w:val="Heading2"/>
        <w:spacing w:line="276" w:lineRule="auto"/>
      </w:pPr>
      <w:r>
        <w:t xml:space="preserve">What does this mean for </w:t>
      </w:r>
      <w:r w:rsidR="00135417">
        <w:t>providers</w:t>
      </w:r>
      <w:r>
        <w:t>?</w:t>
      </w:r>
    </w:p>
    <w:p w14:paraId="002F1A61" w14:textId="41EA8AFE" w:rsidR="00577266" w:rsidRDefault="009B2FB2" w:rsidP="009B2FB2">
      <w:pPr>
        <w:spacing w:line="276" w:lineRule="auto"/>
      </w:pPr>
      <w:r w:rsidRPr="003F54D0">
        <w:t xml:space="preserve">The </w:t>
      </w:r>
      <w:r>
        <w:t xml:space="preserve">temporary MBS items </w:t>
      </w:r>
      <w:r w:rsidR="007205B0">
        <w:t xml:space="preserve">for services </w:t>
      </w:r>
      <w:r w:rsidRPr="003F54D0">
        <w:t xml:space="preserve">allow </w:t>
      </w:r>
      <w:r w:rsidR="00316C0C">
        <w:t>GPs and OMPs to</w:t>
      </w:r>
      <w:r>
        <w:t xml:space="preserve"> </w:t>
      </w:r>
      <w:r w:rsidR="007205B0">
        <w:t xml:space="preserve">claim a flag-fall fee which better recognises the additional effort required to travel from regular consultation rooms to provide these services in-person. </w:t>
      </w:r>
    </w:p>
    <w:p w14:paraId="2A139DA2" w14:textId="316A7CD2" w:rsidR="00986C57" w:rsidRDefault="007205B0" w:rsidP="00986C57">
      <w:pPr>
        <w:spacing w:before="240" w:after="120" w:line="276" w:lineRule="auto"/>
        <w:rPr>
          <w:rFonts w:cs="Arial"/>
          <w:szCs w:val="22"/>
        </w:rPr>
      </w:pPr>
      <w:r>
        <w:t xml:space="preserve">Patients living in RACF may be considered eligible for </w:t>
      </w:r>
      <w:r w:rsidR="00175ECF">
        <w:t xml:space="preserve">temporary </w:t>
      </w:r>
      <w:r>
        <w:t xml:space="preserve">additional Medicare-subsidised allied health services for physical therapies. </w:t>
      </w:r>
      <w:r w:rsidR="00175ECF">
        <w:t>Th</w:t>
      </w:r>
      <w:r w:rsidR="00144F22">
        <w:t xml:space="preserve">ese temporary items allow patients to </w:t>
      </w:r>
      <w:r w:rsidR="00175ECF">
        <w:t xml:space="preserve">access up to </w:t>
      </w:r>
      <w:r w:rsidR="00175ECF" w:rsidRPr="00986C57">
        <w:t>five (5) additional</w:t>
      </w:r>
      <w:r w:rsidR="00175ECF">
        <w:t xml:space="preserve"> allied</w:t>
      </w:r>
      <w:r w:rsidR="00175ECF" w:rsidRPr="00986C57">
        <w:t xml:space="preserve"> physical therapy services and two (2) additional</w:t>
      </w:r>
      <w:r w:rsidR="00175ECF">
        <w:t xml:space="preserve"> allied</w:t>
      </w:r>
      <w:r w:rsidR="00175ECF" w:rsidRPr="00986C57">
        <w:t xml:space="preserve"> exercise physiology group services</w:t>
      </w:r>
      <w:r w:rsidR="00175ECF">
        <w:t xml:space="preserve"> in a calendar year. </w:t>
      </w:r>
      <w:r w:rsidR="00144F22">
        <w:t>Where the</w:t>
      </w:r>
      <w:r>
        <w:t xml:space="preserve">se </w:t>
      </w:r>
      <w:r w:rsidR="00144F22">
        <w:t xml:space="preserve">temporary additional </w:t>
      </w:r>
      <w:r>
        <w:t xml:space="preserve">services are </w:t>
      </w:r>
      <w:r w:rsidR="00144F22">
        <w:t>included in</w:t>
      </w:r>
      <w:r w:rsidR="00986C57" w:rsidRPr="00986C57">
        <w:t xml:space="preserve"> </w:t>
      </w:r>
      <w:r w:rsidR="00664541">
        <w:t xml:space="preserve">the </w:t>
      </w:r>
      <w:r w:rsidR="00986C57" w:rsidRPr="00986C57">
        <w:t>patient</w:t>
      </w:r>
      <w:r w:rsidR="00664541">
        <w:t>’</w:t>
      </w:r>
      <w:r w:rsidR="00986C57" w:rsidRPr="00986C57">
        <w:t>s eligible treatment, management or care plan</w:t>
      </w:r>
      <w:r w:rsidR="00986C57">
        <w:t>, medical practitioners are not required to provide a</w:t>
      </w:r>
      <w:r>
        <w:t>n additional</w:t>
      </w:r>
      <w:r w:rsidR="00986C57">
        <w:t xml:space="preserve"> referral </w:t>
      </w:r>
      <w:r w:rsidR="00144F22">
        <w:t>to</w:t>
      </w:r>
      <w:r w:rsidR="00664541">
        <w:t xml:space="preserve"> the</w:t>
      </w:r>
      <w:r w:rsidR="00144F22">
        <w:t xml:space="preserve"> </w:t>
      </w:r>
      <w:r w:rsidR="00986C57">
        <w:t>patient</w:t>
      </w:r>
      <w:r w:rsidR="00144F22">
        <w:t>’</w:t>
      </w:r>
      <w:r w:rsidR="00664541">
        <w:t>s</w:t>
      </w:r>
      <w:r w:rsidR="00175ECF">
        <w:t xml:space="preserve"> allied health provider</w:t>
      </w:r>
      <w:r w:rsidR="00144F22">
        <w:t>/s</w:t>
      </w:r>
      <w:r w:rsidR="005A33AE">
        <w:t>.</w:t>
      </w:r>
    </w:p>
    <w:p w14:paraId="4D9311A4" w14:textId="1A9D1504" w:rsidR="00577266" w:rsidRDefault="00986C57" w:rsidP="009B2FB2">
      <w:pPr>
        <w:spacing w:line="276" w:lineRule="auto"/>
      </w:pPr>
      <w:r>
        <w:t xml:space="preserve">If an updated </w:t>
      </w:r>
      <w:r w:rsidR="00577266" w:rsidRPr="00577266">
        <w:t xml:space="preserve">treatment, </w:t>
      </w:r>
      <w:proofErr w:type="gramStart"/>
      <w:r w:rsidR="00577266" w:rsidRPr="00577266">
        <w:t>management</w:t>
      </w:r>
      <w:proofErr w:type="gramEnd"/>
      <w:r w:rsidR="00577266" w:rsidRPr="00577266">
        <w:t xml:space="preserve"> or care plan</w:t>
      </w:r>
      <w:r w:rsidR="00577266">
        <w:t xml:space="preserve"> is required</w:t>
      </w:r>
      <w:r>
        <w:t xml:space="preserve"> (</w:t>
      </w:r>
      <w:r w:rsidR="00577266">
        <w:t>for example when a patient transitions to aged care</w:t>
      </w:r>
      <w:r w:rsidR="007B3DFE">
        <w:t>)</w:t>
      </w:r>
      <w:r w:rsidR="00D33A43">
        <w:t xml:space="preserve"> </w:t>
      </w:r>
      <w:r>
        <w:t xml:space="preserve">medical practitioners may review patients’ plans to include the </w:t>
      </w:r>
      <w:r w:rsidR="00175ECF">
        <w:t xml:space="preserve">temporary </w:t>
      </w:r>
      <w:r>
        <w:t xml:space="preserve">additional allied health services. </w:t>
      </w:r>
      <w:r w:rsidR="00577266">
        <w:t xml:space="preserve"> </w:t>
      </w:r>
    </w:p>
    <w:p w14:paraId="1E1894E0" w14:textId="4977B252" w:rsidR="00D13D60" w:rsidRDefault="00D13D60" w:rsidP="009B2FB2">
      <w:pPr>
        <w:spacing w:line="276" w:lineRule="auto"/>
      </w:pPr>
      <w:r w:rsidRPr="00A137D1">
        <w:rPr>
          <w:rFonts w:cs="Arial"/>
          <w:szCs w:val="20"/>
        </w:rPr>
        <w:t xml:space="preserve">The </w:t>
      </w:r>
      <w:r>
        <w:rPr>
          <w:rFonts w:cs="Arial"/>
          <w:szCs w:val="20"/>
        </w:rPr>
        <w:t>flag-fall</w:t>
      </w:r>
      <w:r w:rsidRPr="00A137D1">
        <w:rPr>
          <w:rFonts w:cs="Arial"/>
          <w:szCs w:val="20"/>
        </w:rPr>
        <w:t xml:space="preserve"> items apply to a </w:t>
      </w:r>
      <w:r>
        <w:rPr>
          <w:rFonts w:cs="Arial"/>
          <w:szCs w:val="20"/>
        </w:rPr>
        <w:t>provider</w:t>
      </w:r>
      <w:r w:rsidRPr="00A137D1">
        <w:rPr>
          <w:rFonts w:cs="Arial"/>
          <w:szCs w:val="20"/>
        </w:rPr>
        <w:t xml:space="preserve">’s </w:t>
      </w:r>
      <w:r>
        <w:rPr>
          <w:rFonts w:cs="Arial"/>
          <w:szCs w:val="20"/>
        </w:rPr>
        <w:t xml:space="preserve">first </w:t>
      </w:r>
      <w:r w:rsidRPr="00A137D1">
        <w:rPr>
          <w:rFonts w:cs="Arial"/>
          <w:szCs w:val="20"/>
        </w:rPr>
        <w:t>attendance at a RACF</w:t>
      </w:r>
      <w:r>
        <w:rPr>
          <w:rFonts w:cs="Arial"/>
          <w:szCs w:val="20"/>
        </w:rPr>
        <w:t xml:space="preserve"> to provide an MBS service, per occasion. </w:t>
      </w:r>
      <w:r w:rsidRPr="00C739B0">
        <w:rPr>
          <w:rFonts w:cs="Arial"/>
          <w:szCs w:val="20"/>
        </w:rPr>
        <w:t>W</w:t>
      </w:r>
      <w:r w:rsidRPr="00C739B0">
        <w:rPr>
          <w:rFonts w:cs="Arial"/>
          <w:color w:val="222222"/>
          <w:szCs w:val="20"/>
          <w:shd w:val="clear" w:color="auto" w:fill="FFFFFF"/>
        </w:rPr>
        <w:t>here two or more RACFs are co-located or are adjacent to each other, a practitioner is not eligible for extra compensation for visiting the second</w:t>
      </w:r>
      <w:r w:rsidRPr="00654159">
        <w:rPr>
          <w:rFonts w:cs="Arial"/>
          <w:color w:val="222222"/>
          <w:szCs w:val="20"/>
          <w:shd w:val="clear" w:color="auto" w:fill="FFFFFF"/>
        </w:rPr>
        <w:t xml:space="preserve"> facility</w:t>
      </w:r>
      <w:r w:rsidR="00175ECF">
        <w:rPr>
          <w:rFonts w:cs="Arial"/>
          <w:color w:val="222222"/>
          <w:szCs w:val="20"/>
          <w:shd w:val="clear" w:color="auto" w:fill="FFFFFF"/>
        </w:rPr>
        <w:t>.</w:t>
      </w:r>
    </w:p>
    <w:p w14:paraId="3014161D" w14:textId="77777777" w:rsidR="00BF00A9" w:rsidRDefault="008766AD" w:rsidP="00BD55AD">
      <w:pPr>
        <w:pStyle w:val="Heading2"/>
        <w:spacing w:line="276" w:lineRule="auto"/>
      </w:pPr>
      <w:r>
        <w:t>How will</w:t>
      </w:r>
      <w:r w:rsidR="009F52D4">
        <w:t xml:space="preserve"> these changes affect patients</w:t>
      </w:r>
      <w:r w:rsidR="00BF00A9" w:rsidRPr="001A7FB7">
        <w:t>?</w:t>
      </w:r>
    </w:p>
    <w:p w14:paraId="0DA12DFB" w14:textId="25B4027B" w:rsidR="00316C0C" w:rsidRPr="003F54D0" w:rsidRDefault="005A33AE" w:rsidP="00316C0C">
      <w:pPr>
        <w:rPr>
          <w:rFonts w:cs="Arial"/>
          <w:szCs w:val="20"/>
        </w:rPr>
      </w:pPr>
      <w:r>
        <w:rPr>
          <w:rFonts w:cs="Arial"/>
          <w:szCs w:val="20"/>
        </w:rPr>
        <w:t xml:space="preserve">Patients may benefit from increased engagement with their GP for multidisciplinary care </w:t>
      </w:r>
      <w:proofErr w:type="gramStart"/>
      <w:r>
        <w:rPr>
          <w:rFonts w:cs="Arial"/>
          <w:szCs w:val="20"/>
        </w:rPr>
        <w:t>planning, and</w:t>
      </w:r>
      <w:proofErr w:type="gramEnd"/>
      <w:r>
        <w:rPr>
          <w:rFonts w:cs="Arial"/>
          <w:szCs w:val="20"/>
        </w:rPr>
        <w:t xml:space="preserve"> </w:t>
      </w:r>
      <w:r w:rsidR="00316C0C" w:rsidRPr="003F54D0">
        <w:rPr>
          <w:rFonts w:cs="Arial"/>
          <w:szCs w:val="20"/>
        </w:rPr>
        <w:t xml:space="preserve">should ask their </w:t>
      </w:r>
      <w:r w:rsidR="00577266">
        <w:rPr>
          <w:rFonts w:cs="Arial"/>
          <w:szCs w:val="20"/>
        </w:rPr>
        <w:t>GPs</w:t>
      </w:r>
      <w:r w:rsidR="00316C0C" w:rsidRPr="003F54D0">
        <w:rPr>
          <w:rFonts w:cs="Arial"/>
          <w:szCs w:val="20"/>
        </w:rPr>
        <w:t xml:space="preserve"> about their</w:t>
      </w:r>
      <w:r w:rsidR="00577266">
        <w:rPr>
          <w:rFonts w:cs="Arial"/>
          <w:szCs w:val="20"/>
        </w:rPr>
        <w:t xml:space="preserve"> multidisciplinary care needs. </w:t>
      </w:r>
      <w:r w:rsidR="00316C0C" w:rsidRPr="003F54D0">
        <w:rPr>
          <w:rFonts w:cs="Arial"/>
          <w:szCs w:val="20"/>
        </w:rPr>
        <w:t xml:space="preserve"> </w:t>
      </w:r>
    </w:p>
    <w:p w14:paraId="7B6DA8AF" w14:textId="77777777" w:rsidR="00577266" w:rsidRPr="00A137D1" w:rsidRDefault="00577266" w:rsidP="00577266">
      <w:pPr>
        <w:rPr>
          <w:rFonts w:cs="Arial"/>
          <w:szCs w:val="20"/>
        </w:rPr>
      </w:pPr>
      <w:r>
        <w:rPr>
          <w:rFonts w:cs="Arial"/>
          <w:szCs w:val="20"/>
        </w:rPr>
        <w:t xml:space="preserve">The temporary items </w:t>
      </w:r>
      <w:r w:rsidRPr="003F54D0">
        <w:rPr>
          <w:rFonts w:cs="Arial"/>
          <w:szCs w:val="20"/>
        </w:rPr>
        <w:t xml:space="preserve">do not need to be bulk billed, however, the provider must ensure informed financial consent is obtained prior to </w:t>
      </w:r>
      <w:r>
        <w:rPr>
          <w:rFonts w:cs="Arial"/>
          <w:szCs w:val="20"/>
        </w:rPr>
        <w:t>any service which attracts a co-payment</w:t>
      </w:r>
      <w:r w:rsidRPr="003F54D0">
        <w:rPr>
          <w:rFonts w:cs="Arial"/>
          <w:szCs w:val="20"/>
        </w:rPr>
        <w:t>.</w:t>
      </w:r>
    </w:p>
    <w:p w14:paraId="38ED2BC0" w14:textId="77777777" w:rsidR="00595BBD" w:rsidRDefault="00595BBD" w:rsidP="00BD55AD">
      <w:pPr>
        <w:pStyle w:val="Heading2"/>
        <w:spacing w:line="276" w:lineRule="auto"/>
      </w:pPr>
      <w:r w:rsidRPr="001A7FB7">
        <w:t>How will the changes be monitored</w:t>
      </w:r>
      <w:r w:rsidR="000367AA">
        <w:t xml:space="preserve"> and reviewed</w:t>
      </w:r>
      <w:r w:rsidRPr="001A7FB7">
        <w:t>?</w:t>
      </w:r>
    </w:p>
    <w:p w14:paraId="7DB4270F" w14:textId="77777777" w:rsidR="00AF51AC" w:rsidRDefault="00AF51AC" w:rsidP="00BD55AD">
      <w:pPr>
        <w:spacing w:line="276" w:lineRule="auto"/>
      </w:pPr>
      <w:r>
        <w:t>The Department of Health will monitor the use of the new MBS items by medical</w:t>
      </w:r>
      <w:r w:rsidR="00262717">
        <w:t>, nurs</w:t>
      </w:r>
      <w:r w:rsidR="00ED1011">
        <w:t>ing</w:t>
      </w:r>
      <w:r w:rsidR="00262717">
        <w:t xml:space="preserve"> and</w:t>
      </w:r>
      <w:r w:rsidR="00D07EC2">
        <w:t xml:space="preserve"> </w:t>
      </w:r>
      <w:r w:rsidR="00043A63">
        <w:t>allied mental</w:t>
      </w:r>
      <w:r w:rsidR="00D07EC2">
        <w:t xml:space="preserve"> health </w:t>
      </w:r>
      <w:r>
        <w:t>practitioners. Use of the items that does not seem to be in accordance with the relevant Medicare guidelines and legislation will be actioned appropriately.</w:t>
      </w:r>
    </w:p>
    <w:p w14:paraId="034B6124" w14:textId="77777777" w:rsidR="00316C0C" w:rsidRPr="003F54D0" w:rsidRDefault="00316C0C" w:rsidP="00316C0C">
      <w:pPr>
        <w:spacing w:before="240" w:after="120" w:line="276" w:lineRule="auto"/>
        <w:rPr>
          <w:rFonts w:cs="Arial"/>
          <w:color w:val="001A70"/>
          <w:sz w:val="28"/>
          <w:szCs w:val="28"/>
        </w:rPr>
      </w:pPr>
      <w:r w:rsidRPr="003F54D0">
        <w:rPr>
          <w:rFonts w:cs="Arial"/>
          <w:color w:val="001A70"/>
          <w:sz w:val="28"/>
          <w:szCs w:val="28"/>
        </w:rPr>
        <w:t>Where can I find more information?</w:t>
      </w:r>
    </w:p>
    <w:p w14:paraId="7DDA4AC3" w14:textId="77CB70F5" w:rsidR="00577266" w:rsidRDefault="00577266" w:rsidP="00316C0C">
      <w:pPr>
        <w:spacing w:line="276" w:lineRule="auto"/>
        <w:rPr>
          <w:rStyle w:val="Hyperlink"/>
        </w:rPr>
      </w:pPr>
      <w:r>
        <w:lastRenderedPageBreak/>
        <w:t xml:space="preserve">The Aged Care Royal Commission’s </w:t>
      </w:r>
      <w:r w:rsidRPr="009741EE">
        <w:t xml:space="preserve">special report on the COVID-19 pandemic in aged care </w:t>
      </w:r>
      <w:r>
        <w:t xml:space="preserve">is available from the </w:t>
      </w:r>
      <w:hyperlink r:id="rId9" w:history="1">
        <w:r w:rsidRPr="005E42EB">
          <w:rPr>
            <w:rStyle w:val="Hyperlink"/>
          </w:rPr>
          <w:t>Commission’s website</w:t>
        </w:r>
      </w:hyperlink>
      <w:r>
        <w:rPr>
          <w:rStyle w:val="Hyperlink"/>
        </w:rPr>
        <w:t>.</w:t>
      </w:r>
    </w:p>
    <w:p w14:paraId="3A730CE2" w14:textId="77777777" w:rsidR="00316C0C" w:rsidRDefault="00316C0C" w:rsidP="00316C0C">
      <w:pPr>
        <w:spacing w:line="276" w:lineRule="auto"/>
      </w:pPr>
      <w:r>
        <w:t xml:space="preserve">COVID-19 National Health Plan resources for </w:t>
      </w:r>
      <w:r w:rsidRPr="005D432F">
        <w:t>the general public, health professionals and industry</w:t>
      </w:r>
      <w:r>
        <w:t xml:space="preserve"> are available from the </w:t>
      </w:r>
      <w:hyperlink r:id="rId10" w:history="1">
        <w:r w:rsidRPr="005D432F">
          <w:rPr>
            <w:rStyle w:val="Hyperlink"/>
          </w:rPr>
          <w:t>Australian Government Department of Health website</w:t>
        </w:r>
      </w:hyperlink>
      <w:r>
        <w:t>.</w:t>
      </w:r>
    </w:p>
    <w:p w14:paraId="6AC21630" w14:textId="738675D8" w:rsidR="00316C0C" w:rsidRDefault="00316C0C" w:rsidP="00316C0C">
      <w:pPr>
        <w:spacing w:line="276" w:lineRule="auto"/>
      </w:pPr>
      <w:r>
        <w:t>The full item descriptors and</w:t>
      </w:r>
      <w:r w:rsidRPr="007E14C4">
        <w:t xml:space="preserve"> information on other changes to the MBS</w:t>
      </w:r>
      <w:r>
        <w:t xml:space="preserve"> can be found on the </w:t>
      </w:r>
      <w:r w:rsidRPr="003122B4">
        <w:t>MBS Online</w:t>
      </w:r>
      <w:r>
        <w:t xml:space="preserve"> website at </w:t>
      </w:r>
      <w:r w:rsidRPr="00E1498A">
        <w:rPr>
          <w:rFonts w:cs="Arial"/>
          <w:color w:val="1047FF" w:themeColor="text2" w:themeTint="99"/>
          <w:szCs w:val="20"/>
          <w:u w:val="single"/>
        </w:rPr>
        <w:t>www.mbsonline.gov.au</w:t>
      </w:r>
      <w:r w:rsidRPr="00E1498A">
        <w:rPr>
          <w:rFonts w:cs="Arial"/>
          <w:color w:val="1047FF" w:themeColor="text2" w:themeTint="99"/>
          <w:szCs w:val="20"/>
        </w:rPr>
        <w:t>.</w:t>
      </w:r>
      <w:r w:rsidRPr="001A7BED">
        <w:t xml:space="preserve"> </w:t>
      </w:r>
      <w:r>
        <w:t xml:space="preserve">You can also subscribe to </w:t>
      </w:r>
      <w:r w:rsidRPr="00C812D8">
        <w:t>future</w:t>
      </w:r>
      <w:r w:rsidRPr="00215118">
        <w:t xml:space="preserve"> MBS updates </w:t>
      </w:r>
      <w:r>
        <w:t xml:space="preserve">by visiting </w:t>
      </w:r>
      <w:hyperlink r:id="rId11" w:history="1">
        <w:r w:rsidRPr="00420023">
          <w:rPr>
            <w:rStyle w:val="Hyperlink"/>
          </w:rPr>
          <w:t>MBS Online</w:t>
        </w:r>
      </w:hyperlink>
      <w:r>
        <w:t xml:space="preserve"> and clicking ‘Subscribe’. </w:t>
      </w:r>
    </w:p>
    <w:p w14:paraId="32DA1258" w14:textId="77777777" w:rsidR="00316C0C" w:rsidRDefault="00316C0C" w:rsidP="00316C0C">
      <w:r w:rsidRPr="001F531E">
        <w:t xml:space="preserve">The Department of Health provides an email advice service for providers seeking advice on interpretation of the MBS items and rules and the Health Insurance Act and associated regulations. </w:t>
      </w:r>
      <w:r w:rsidRPr="00B92D0D">
        <w:t xml:space="preserve">If you have a query relating exclusively to interpretation of the Schedule, you should email </w:t>
      </w:r>
      <w:hyperlink r:id="rId12" w:history="1">
        <w:r w:rsidRPr="00715836">
          <w:rPr>
            <w:rStyle w:val="Hyperlink"/>
          </w:rPr>
          <w:t>askMBS@health.gov.au</w:t>
        </w:r>
      </w:hyperlink>
      <w:r w:rsidRPr="00B92D0D">
        <w:t>.</w:t>
      </w:r>
    </w:p>
    <w:p w14:paraId="72FE8AD0" w14:textId="29D71F6A" w:rsidR="00316C0C" w:rsidRDefault="00316C0C" w:rsidP="00316C0C">
      <w:r>
        <w:t>Subscribe to ‘</w:t>
      </w:r>
      <w:hyperlink r:id="rId13" w:history="1">
        <w:r w:rsidRPr="00B378D4">
          <w:rPr>
            <w:rStyle w:val="Hyperlink"/>
          </w:rPr>
          <w:t>News for Health Professionals</w:t>
        </w:r>
      </w:hyperlink>
      <w:r>
        <w:t>’ on the Services Australia website and you will receive regular news highlights.</w:t>
      </w:r>
    </w:p>
    <w:p w14:paraId="2A204D64" w14:textId="77777777" w:rsidR="00316C0C" w:rsidRDefault="00316C0C" w:rsidP="00316C0C">
      <w:pPr>
        <w:spacing w:line="276" w:lineRule="auto"/>
      </w:pPr>
      <w:r>
        <w:t xml:space="preserve">If you are seeking advice in relation to Medicare billing, claiming, payments, or obtaining a provider number, please </w:t>
      </w:r>
      <w:bookmarkStart w:id="2" w:name="_Hlk7773414"/>
      <w:r>
        <w:t xml:space="preserve">go to the Health Professionals page on the Services Australia website or </w:t>
      </w:r>
      <w:bookmarkEnd w:id="2"/>
      <w:r>
        <w:t xml:space="preserve">contact Services Australia on the Provider Enquiry Line – 13 21 50. </w:t>
      </w:r>
      <w:r>
        <w:br/>
      </w:r>
    </w:p>
    <w:p w14:paraId="3445CAAC" w14:textId="77777777" w:rsidR="00656F11" w:rsidRDefault="00656F11" w:rsidP="005E1472"/>
    <w:p w14:paraId="747CFE0D" w14:textId="77777777" w:rsidR="00656F11" w:rsidRDefault="00656F11" w:rsidP="00656F11">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14:paraId="7A2B2331" w14:textId="77777777" w:rsidR="00656F11" w:rsidRPr="0029176A" w:rsidRDefault="00656F11" w:rsidP="00656F11">
      <w:pPr>
        <w:pStyle w:val="Disclaimer"/>
      </w:pPr>
      <w:r w:rsidRPr="0029176A">
        <w:t xml:space="preserve">This sheet is current as of the </w:t>
      </w:r>
      <w:r>
        <w:t>L</w:t>
      </w:r>
      <w:r w:rsidRPr="0029176A">
        <w:t>ast updated date</w:t>
      </w:r>
      <w:r>
        <w:t xml:space="preserve"> shown </w:t>
      </w:r>
      <w:proofErr w:type="gramStart"/>
      <w:r>
        <w:t>above</w:t>
      </w:r>
      <w:r w:rsidRPr="0029176A">
        <w:t>, and</w:t>
      </w:r>
      <w:proofErr w:type="gramEnd"/>
      <w:r w:rsidRPr="0029176A">
        <w:t xml:space="preserve"> does not account for MBS changes</w:t>
      </w:r>
      <w:r>
        <w:t xml:space="preserve"> since that date</w:t>
      </w:r>
      <w:r w:rsidRPr="0029176A">
        <w:t>.</w:t>
      </w:r>
    </w:p>
    <w:p w14:paraId="63F21359" w14:textId="77777777" w:rsidR="00BD55AD" w:rsidRDefault="00BD55AD">
      <w:pPr>
        <w:spacing w:line="259" w:lineRule="auto"/>
        <w:rPr>
          <w:szCs w:val="20"/>
        </w:rPr>
      </w:pPr>
      <w:r>
        <w:rPr>
          <w:szCs w:val="20"/>
        </w:rPr>
        <w:br w:type="page"/>
      </w:r>
    </w:p>
    <w:p w14:paraId="58DD239C" w14:textId="77777777" w:rsidR="00BD55AD" w:rsidRPr="00316C0C" w:rsidRDefault="00BD55AD" w:rsidP="00316C0C">
      <w:pPr>
        <w:pStyle w:val="Heading2"/>
        <w:spacing w:line="276" w:lineRule="auto"/>
        <w:rPr>
          <w:color w:val="001A70"/>
          <w:sz w:val="26"/>
          <w:szCs w:val="26"/>
        </w:rPr>
      </w:pPr>
      <w:r w:rsidRPr="00316C0C">
        <w:rPr>
          <w:color w:val="001A70"/>
          <w:sz w:val="26"/>
          <w:szCs w:val="26"/>
        </w:rPr>
        <w:lastRenderedPageBreak/>
        <w:t xml:space="preserve">COVID-19 – </w:t>
      </w:r>
      <w:r w:rsidR="00316C0C" w:rsidRPr="00316C0C">
        <w:rPr>
          <w:color w:val="001A70"/>
          <w:sz w:val="26"/>
          <w:szCs w:val="26"/>
        </w:rPr>
        <w:t xml:space="preserve">TEMPORARY ACCESS TO ALLIED HEALTH IN RACF – GP/OMP ITEMS </w:t>
      </w:r>
    </w:p>
    <w:tbl>
      <w:tblPr>
        <w:tblStyle w:val="TableGrid"/>
        <w:tblW w:w="5000" w:type="pct"/>
        <w:tblLook w:val="04A0" w:firstRow="1" w:lastRow="0" w:firstColumn="1" w:lastColumn="0" w:noHBand="0" w:noVBand="1"/>
        <w:tblCaption w:val="GP Multidisciplinary Care Plan "/>
        <w:tblDescription w:val="Left to right, top row: Service, Existing items, RACF (Face to Face Only). Service type include: GP - Professional attendance by a general practitioner at a residential aged care facility to prepare or amend a multidisciplinary care plan and Professional attendance by a general practitioner at a residential aged care facility to perform a health assessment of a resident who is of Aboriginal or Torres Strait Islander descent&#10;OMP - Professional attendance by a medical practitioner (other than a general practitioner, and specialist) at a residential aged care facility to prepare or amend a multidisciplinary care plan and Professional attendance by a medical practitioner (not including a general practitioner, specialist or a consultant physician) at a residential aged care facility to perform a health assessment of a resident who is of Aboriginal or Torres Strait Islander descent&#10;&#10;&#10;"/>
      </w:tblPr>
      <w:tblGrid>
        <w:gridCol w:w="4673"/>
        <w:gridCol w:w="2834"/>
        <w:gridCol w:w="2949"/>
      </w:tblGrid>
      <w:tr w:rsidR="00404756" w:rsidRPr="009F19CA" w14:paraId="7D03E444" w14:textId="77777777" w:rsidTr="00E1498A">
        <w:trPr>
          <w:tblHeader/>
        </w:trPr>
        <w:tc>
          <w:tcPr>
            <w:tcW w:w="5000" w:type="pct"/>
            <w:gridSpan w:val="3"/>
          </w:tcPr>
          <w:p w14:paraId="36ABEF30" w14:textId="77777777" w:rsidR="00881E5F" w:rsidRPr="00881E5F" w:rsidRDefault="003D6463" w:rsidP="003D6463">
            <w:pPr>
              <w:jc w:val="center"/>
            </w:pPr>
            <w:r>
              <w:rPr>
                <w:rFonts w:cs="Arial"/>
                <w:b/>
                <w:color w:val="001A70"/>
                <w:szCs w:val="20"/>
              </w:rPr>
              <w:t xml:space="preserve">GP Multidisciplinary </w:t>
            </w:r>
            <w:r w:rsidRPr="00451896">
              <w:rPr>
                <w:rFonts w:cs="Arial"/>
                <w:b/>
                <w:color w:val="001A70"/>
                <w:szCs w:val="20"/>
              </w:rPr>
              <w:t>Care Plans</w:t>
            </w:r>
          </w:p>
        </w:tc>
      </w:tr>
      <w:tr w:rsidR="00E96071" w:rsidRPr="00141579" w14:paraId="32FC69A8" w14:textId="77777777" w:rsidTr="003D6463">
        <w:tc>
          <w:tcPr>
            <w:tcW w:w="2235" w:type="pct"/>
            <w:shd w:val="clear" w:color="auto" w:fill="D9D9D9" w:themeFill="background1" w:themeFillShade="D9"/>
            <w:vAlign w:val="center"/>
          </w:tcPr>
          <w:p w14:paraId="1959111F" w14:textId="77777777" w:rsidR="00E96071" w:rsidRPr="004E1559" w:rsidRDefault="00E96071" w:rsidP="003D6463">
            <w:pPr>
              <w:pStyle w:val="Heading2"/>
              <w:spacing w:before="0" w:after="0" w:line="276" w:lineRule="auto"/>
              <w:jc w:val="center"/>
              <w:outlineLvl w:val="1"/>
              <w:rPr>
                <w:rFonts w:asciiTheme="minorHAnsi" w:hAnsiTheme="minorHAnsi" w:cstheme="minorHAnsi"/>
                <w:b/>
                <w:color w:val="001A70"/>
                <w:sz w:val="20"/>
                <w:szCs w:val="20"/>
              </w:rPr>
            </w:pPr>
            <w:r>
              <w:rPr>
                <w:rFonts w:asciiTheme="minorHAnsi" w:hAnsiTheme="minorHAnsi" w:cstheme="minorHAnsi"/>
                <w:b/>
                <w:color w:val="001A70"/>
                <w:sz w:val="20"/>
                <w:szCs w:val="20"/>
              </w:rPr>
              <w:t>Service</w:t>
            </w:r>
          </w:p>
        </w:tc>
        <w:tc>
          <w:tcPr>
            <w:tcW w:w="1355" w:type="pct"/>
            <w:shd w:val="clear" w:color="auto" w:fill="D9D9D9" w:themeFill="background1" w:themeFillShade="D9"/>
            <w:vAlign w:val="center"/>
          </w:tcPr>
          <w:p w14:paraId="08F29507" w14:textId="77777777" w:rsidR="003D6463" w:rsidRPr="003D6463" w:rsidRDefault="003D6463" w:rsidP="003D6463">
            <w:pPr>
              <w:pStyle w:val="Heading2"/>
              <w:spacing w:after="0" w:line="276" w:lineRule="auto"/>
              <w:jc w:val="center"/>
              <w:outlineLvl w:val="1"/>
              <w:rPr>
                <w:rFonts w:asciiTheme="minorHAnsi" w:hAnsiTheme="minorHAnsi" w:cstheme="minorHAnsi"/>
                <w:b/>
                <w:color w:val="001A70"/>
                <w:sz w:val="20"/>
                <w:szCs w:val="20"/>
              </w:rPr>
            </w:pPr>
            <w:r w:rsidRPr="003D6463">
              <w:rPr>
                <w:rFonts w:asciiTheme="minorHAnsi" w:hAnsiTheme="minorHAnsi" w:cstheme="minorHAnsi"/>
                <w:b/>
                <w:color w:val="001A70"/>
                <w:sz w:val="20"/>
                <w:szCs w:val="20"/>
              </w:rPr>
              <w:t>Existing</w:t>
            </w:r>
            <w:r>
              <w:rPr>
                <w:rFonts w:asciiTheme="minorHAnsi" w:hAnsiTheme="minorHAnsi" w:cstheme="minorHAnsi"/>
                <w:b/>
                <w:color w:val="001A70"/>
                <w:sz w:val="20"/>
                <w:szCs w:val="20"/>
              </w:rPr>
              <w:t xml:space="preserve"> items</w:t>
            </w:r>
          </w:p>
          <w:p w14:paraId="5D4BDAF3" w14:textId="77777777" w:rsidR="00E96071" w:rsidRPr="000918D9" w:rsidRDefault="00E96071" w:rsidP="003D6463">
            <w:pPr>
              <w:pStyle w:val="Heading2"/>
              <w:spacing w:before="0" w:after="0" w:line="276" w:lineRule="auto"/>
              <w:jc w:val="center"/>
              <w:outlineLvl w:val="1"/>
              <w:rPr>
                <w:rFonts w:asciiTheme="minorHAnsi" w:hAnsiTheme="minorHAnsi" w:cstheme="minorHAnsi"/>
                <w:i/>
                <w:color w:val="001A70"/>
                <w:sz w:val="20"/>
                <w:szCs w:val="20"/>
              </w:rPr>
            </w:pPr>
          </w:p>
        </w:tc>
        <w:tc>
          <w:tcPr>
            <w:tcW w:w="1410" w:type="pct"/>
            <w:shd w:val="clear" w:color="auto" w:fill="D9D9D9" w:themeFill="background1" w:themeFillShade="D9"/>
            <w:vAlign w:val="center"/>
          </w:tcPr>
          <w:p w14:paraId="421B78F7" w14:textId="77777777" w:rsidR="00E96071" w:rsidRPr="003D6463" w:rsidRDefault="003D6463" w:rsidP="003D6463">
            <w:pPr>
              <w:pStyle w:val="Heading2"/>
              <w:spacing w:before="0" w:after="0" w:line="276" w:lineRule="auto"/>
              <w:jc w:val="center"/>
              <w:outlineLvl w:val="1"/>
              <w:rPr>
                <w:rFonts w:asciiTheme="minorHAnsi" w:hAnsiTheme="minorHAnsi" w:cstheme="minorHAnsi"/>
                <w:b/>
                <w:color w:val="001A70"/>
                <w:sz w:val="20"/>
                <w:szCs w:val="20"/>
              </w:rPr>
            </w:pPr>
            <w:r w:rsidRPr="003D6463">
              <w:rPr>
                <w:rFonts w:eastAsia="Times New Roman" w:cs="Arial"/>
                <w:b/>
                <w:color w:val="001A70"/>
                <w:sz w:val="20"/>
                <w:szCs w:val="20"/>
              </w:rPr>
              <w:t>RACF Face to Face (F2F) Only</w:t>
            </w:r>
          </w:p>
        </w:tc>
      </w:tr>
      <w:tr w:rsidR="00E96071" w:rsidRPr="009F19CA" w14:paraId="7B24770B" w14:textId="77777777" w:rsidTr="003D6463">
        <w:tc>
          <w:tcPr>
            <w:tcW w:w="2235" w:type="pct"/>
            <w:shd w:val="clear" w:color="auto" w:fill="F2F2F2" w:themeFill="background1" w:themeFillShade="F2"/>
            <w:vAlign w:val="center"/>
          </w:tcPr>
          <w:p w14:paraId="186E2847" w14:textId="77777777" w:rsidR="00E96071" w:rsidRDefault="00E96071" w:rsidP="003D6463">
            <w:pPr>
              <w:spacing w:line="240" w:lineRule="auto"/>
              <w:rPr>
                <w:rFonts w:ascii="Calibri" w:eastAsia="Times New Roman" w:hAnsi="Calibri" w:cs="Calibri"/>
                <w:color w:val="000000"/>
                <w:sz w:val="22"/>
                <w:szCs w:val="22"/>
              </w:rPr>
            </w:pPr>
            <w:r>
              <w:rPr>
                <w:rFonts w:ascii="Calibri" w:hAnsi="Calibri" w:cs="Calibri"/>
                <w:color w:val="000000"/>
                <w:sz w:val="22"/>
                <w:szCs w:val="22"/>
              </w:rPr>
              <w:t xml:space="preserve">Professional attendance by a general practitioner at a residential aged care facility to prepare or amend </w:t>
            </w:r>
            <w:r w:rsidRPr="00E96071">
              <w:rPr>
                <w:rFonts w:ascii="Calibri" w:hAnsi="Calibri" w:cs="Calibri"/>
                <w:color w:val="000000"/>
                <w:sz w:val="22"/>
                <w:szCs w:val="22"/>
              </w:rPr>
              <w:t>a multidisciplinary care plan</w:t>
            </w:r>
          </w:p>
        </w:tc>
        <w:tc>
          <w:tcPr>
            <w:tcW w:w="1355" w:type="pct"/>
            <w:shd w:val="clear" w:color="auto" w:fill="auto"/>
            <w:vAlign w:val="center"/>
          </w:tcPr>
          <w:p w14:paraId="550BE1E4" w14:textId="77777777" w:rsidR="00E96071" w:rsidRDefault="00E96071" w:rsidP="003D6463">
            <w:pPr>
              <w:spacing w:line="240" w:lineRule="auto"/>
              <w:jc w:val="center"/>
              <w:rPr>
                <w:rFonts w:ascii="Calibri" w:hAnsi="Calibri" w:cs="Calibri"/>
                <w:color w:val="000000"/>
                <w:sz w:val="22"/>
                <w:szCs w:val="22"/>
              </w:rPr>
            </w:pPr>
            <w:r>
              <w:rPr>
                <w:rFonts w:ascii="Calibri" w:hAnsi="Calibri" w:cs="Calibri"/>
                <w:color w:val="000000"/>
                <w:sz w:val="22"/>
                <w:szCs w:val="22"/>
              </w:rPr>
              <w:t>731</w:t>
            </w:r>
          </w:p>
          <w:p w14:paraId="43E5C736" w14:textId="77777777" w:rsidR="00E96071" w:rsidRDefault="00E96071" w:rsidP="003D6463">
            <w:pPr>
              <w:spacing w:line="240" w:lineRule="auto"/>
              <w:jc w:val="center"/>
              <w:rPr>
                <w:rFonts w:ascii="Calibri" w:eastAsia="Times New Roman" w:hAnsi="Calibri" w:cs="Calibri"/>
                <w:color w:val="000000"/>
                <w:sz w:val="22"/>
                <w:szCs w:val="22"/>
              </w:rPr>
            </w:pPr>
          </w:p>
        </w:tc>
        <w:tc>
          <w:tcPr>
            <w:tcW w:w="1410" w:type="pct"/>
            <w:vAlign w:val="center"/>
          </w:tcPr>
          <w:p w14:paraId="61184539" w14:textId="77777777" w:rsidR="00E96071" w:rsidRDefault="00E96071" w:rsidP="003D6463">
            <w:pPr>
              <w:spacing w:line="240" w:lineRule="auto"/>
              <w:jc w:val="center"/>
              <w:rPr>
                <w:rFonts w:ascii="Calibri" w:eastAsia="Times New Roman" w:hAnsi="Calibri" w:cs="Calibri"/>
                <w:color w:val="000000"/>
                <w:sz w:val="22"/>
                <w:szCs w:val="22"/>
              </w:rPr>
            </w:pPr>
            <w:r>
              <w:rPr>
                <w:rFonts w:ascii="Calibri" w:hAnsi="Calibri" w:cs="Calibri"/>
                <w:color w:val="000000"/>
                <w:sz w:val="22"/>
                <w:szCs w:val="22"/>
              </w:rPr>
              <w:t>93469</w:t>
            </w:r>
          </w:p>
        </w:tc>
      </w:tr>
      <w:tr w:rsidR="00E96071" w:rsidRPr="009F19CA" w14:paraId="443331F7" w14:textId="77777777" w:rsidTr="003D6463">
        <w:tc>
          <w:tcPr>
            <w:tcW w:w="2235" w:type="pct"/>
            <w:shd w:val="clear" w:color="auto" w:fill="F2F2F2" w:themeFill="background1" w:themeFillShade="F2"/>
            <w:vAlign w:val="center"/>
          </w:tcPr>
          <w:p w14:paraId="40F7CAF2" w14:textId="77777777" w:rsidR="00E96071" w:rsidRDefault="00E96071" w:rsidP="003D6463">
            <w:pPr>
              <w:rPr>
                <w:rFonts w:ascii="Calibri" w:hAnsi="Calibri" w:cs="Calibri"/>
                <w:color w:val="000000"/>
                <w:sz w:val="22"/>
                <w:szCs w:val="22"/>
              </w:rPr>
            </w:pPr>
            <w:r w:rsidRPr="00E96071">
              <w:rPr>
                <w:rFonts w:ascii="Calibri" w:hAnsi="Calibri" w:cs="Calibri"/>
                <w:color w:val="000000"/>
                <w:sz w:val="22"/>
                <w:szCs w:val="22"/>
              </w:rPr>
              <w:t>Professional attendance by a general practitioner at a residential aged care facility to perform a health</w:t>
            </w:r>
            <w:r>
              <w:rPr>
                <w:rFonts w:ascii="Calibri" w:hAnsi="Calibri" w:cs="Calibri"/>
                <w:color w:val="000000"/>
                <w:sz w:val="22"/>
                <w:szCs w:val="22"/>
              </w:rPr>
              <w:t xml:space="preserve"> assessment of a resident who is o</w:t>
            </w:r>
            <w:r w:rsidRPr="00E96071">
              <w:rPr>
                <w:rFonts w:ascii="Calibri" w:hAnsi="Calibri" w:cs="Calibri"/>
                <w:color w:val="000000"/>
                <w:sz w:val="22"/>
                <w:szCs w:val="22"/>
              </w:rPr>
              <w:t>f Aboriginal or Torres Strait Islander descent</w:t>
            </w:r>
          </w:p>
        </w:tc>
        <w:tc>
          <w:tcPr>
            <w:tcW w:w="1355" w:type="pct"/>
            <w:shd w:val="clear" w:color="auto" w:fill="auto"/>
            <w:vAlign w:val="center"/>
          </w:tcPr>
          <w:p w14:paraId="7D3179C1" w14:textId="77777777" w:rsidR="00E96071" w:rsidRDefault="00E96071" w:rsidP="003D6463">
            <w:pPr>
              <w:jc w:val="center"/>
              <w:rPr>
                <w:rFonts w:ascii="Calibri" w:hAnsi="Calibri" w:cs="Calibri"/>
                <w:color w:val="000000"/>
                <w:sz w:val="22"/>
                <w:szCs w:val="22"/>
              </w:rPr>
            </w:pPr>
            <w:r>
              <w:rPr>
                <w:rFonts w:ascii="Calibri" w:hAnsi="Calibri" w:cs="Calibri"/>
                <w:color w:val="000000"/>
                <w:sz w:val="22"/>
                <w:szCs w:val="22"/>
              </w:rPr>
              <w:t>715</w:t>
            </w:r>
          </w:p>
          <w:p w14:paraId="6E18EB21" w14:textId="77777777" w:rsidR="00E96071" w:rsidRDefault="00E96071" w:rsidP="003D6463">
            <w:pPr>
              <w:jc w:val="center"/>
              <w:rPr>
                <w:rFonts w:ascii="Calibri" w:hAnsi="Calibri" w:cs="Calibri"/>
                <w:color w:val="000000"/>
                <w:sz w:val="22"/>
                <w:szCs w:val="22"/>
              </w:rPr>
            </w:pPr>
          </w:p>
        </w:tc>
        <w:tc>
          <w:tcPr>
            <w:tcW w:w="1410" w:type="pct"/>
            <w:vAlign w:val="center"/>
          </w:tcPr>
          <w:p w14:paraId="4D01414E" w14:textId="77777777" w:rsidR="00E96071" w:rsidRDefault="00E96071" w:rsidP="003D6463">
            <w:pPr>
              <w:jc w:val="center"/>
              <w:rPr>
                <w:rFonts w:ascii="Calibri" w:hAnsi="Calibri" w:cs="Calibri"/>
                <w:color w:val="000000"/>
                <w:sz w:val="22"/>
                <w:szCs w:val="22"/>
              </w:rPr>
            </w:pPr>
            <w:r>
              <w:rPr>
                <w:rFonts w:ascii="Calibri" w:hAnsi="Calibri" w:cs="Calibri"/>
                <w:color w:val="000000"/>
                <w:sz w:val="22"/>
                <w:szCs w:val="22"/>
              </w:rPr>
              <w:t>93470</w:t>
            </w:r>
          </w:p>
        </w:tc>
      </w:tr>
      <w:tr w:rsidR="003D6463" w:rsidRPr="009F19CA" w14:paraId="49191876" w14:textId="77777777" w:rsidTr="003D6463">
        <w:trPr>
          <w:trHeight w:val="184"/>
        </w:trPr>
        <w:tc>
          <w:tcPr>
            <w:tcW w:w="5000" w:type="pct"/>
            <w:gridSpan w:val="3"/>
            <w:shd w:val="clear" w:color="auto" w:fill="F2F2F2" w:themeFill="background1" w:themeFillShade="F2"/>
            <w:vAlign w:val="center"/>
          </w:tcPr>
          <w:p w14:paraId="7B10A865" w14:textId="77777777" w:rsidR="003D6463" w:rsidRDefault="003D6463" w:rsidP="003D6463">
            <w:pPr>
              <w:jc w:val="center"/>
              <w:rPr>
                <w:rFonts w:ascii="Calibri" w:hAnsi="Calibri" w:cs="Calibri"/>
                <w:color w:val="000000"/>
                <w:sz w:val="22"/>
                <w:szCs w:val="22"/>
              </w:rPr>
            </w:pPr>
            <w:r>
              <w:rPr>
                <w:rFonts w:cs="Arial"/>
                <w:b/>
                <w:color w:val="001A70"/>
                <w:szCs w:val="20"/>
              </w:rPr>
              <w:t xml:space="preserve">OMP Multidisciplinary </w:t>
            </w:r>
            <w:r w:rsidRPr="00451896">
              <w:rPr>
                <w:rFonts w:cs="Arial"/>
                <w:b/>
                <w:color w:val="001A70"/>
                <w:szCs w:val="20"/>
              </w:rPr>
              <w:t>Care Plans</w:t>
            </w:r>
          </w:p>
        </w:tc>
      </w:tr>
      <w:tr w:rsidR="00E96071" w:rsidRPr="009F19CA" w14:paraId="59FFD215" w14:textId="77777777" w:rsidTr="003D6463">
        <w:tc>
          <w:tcPr>
            <w:tcW w:w="2235" w:type="pct"/>
            <w:shd w:val="clear" w:color="auto" w:fill="F2F2F2" w:themeFill="background1" w:themeFillShade="F2"/>
            <w:vAlign w:val="center"/>
          </w:tcPr>
          <w:p w14:paraId="62CC44C0" w14:textId="77777777" w:rsidR="00E96071" w:rsidRDefault="00E96071" w:rsidP="003D6463">
            <w:pPr>
              <w:rPr>
                <w:rFonts w:ascii="Calibri" w:hAnsi="Calibri" w:cs="Calibri"/>
                <w:color w:val="000000"/>
                <w:sz w:val="22"/>
                <w:szCs w:val="22"/>
              </w:rPr>
            </w:pPr>
            <w:r>
              <w:rPr>
                <w:rFonts w:ascii="Calibri" w:hAnsi="Calibri" w:cs="Calibri"/>
                <w:color w:val="000000"/>
                <w:sz w:val="22"/>
                <w:szCs w:val="22"/>
              </w:rPr>
              <w:t xml:space="preserve">Professional attendance by a medical practitioner (other than a general practitioner, and specialist) at a residential aged care facility to prepare or amend </w:t>
            </w:r>
            <w:r w:rsidRPr="00E96071">
              <w:rPr>
                <w:rFonts w:ascii="Calibri" w:hAnsi="Calibri" w:cs="Calibri"/>
                <w:color w:val="000000"/>
                <w:sz w:val="22"/>
                <w:szCs w:val="22"/>
              </w:rPr>
              <w:t xml:space="preserve">a multidisciplinary care </w:t>
            </w:r>
            <w:r>
              <w:rPr>
                <w:rFonts w:ascii="Calibri" w:hAnsi="Calibri" w:cs="Calibri"/>
                <w:color w:val="000000"/>
                <w:sz w:val="22"/>
                <w:szCs w:val="22"/>
              </w:rPr>
              <w:t>p</w:t>
            </w:r>
            <w:r w:rsidRPr="00E96071">
              <w:rPr>
                <w:rFonts w:ascii="Calibri" w:hAnsi="Calibri" w:cs="Calibri"/>
                <w:color w:val="000000"/>
                <w:sz w:val="22"/>
                <w:szCs w:val="22"/>
              </w:rPr>
              <w:t>lan</w:t>
            </w:r>
          </w:p>
        </w:tc>
        <w:tc>
          <w:tcPr>
            <w:tcW w:w="1355" w:type="pct"/>
            <w:shd w:val="clear" w:color="auto" w:fill="auto"/>
            <w:vAlign w:val="center"/>
          </w:tcPr>
          <w:p w14:paraId="51766A71" w14:textId="77777777" w:rsidR="00E96071" w:rsidRDefault="00E96071" w:rsidP="003D6463">
            <w:pPr>
              <w:jc w:val="center"/>
              <w:rPr>
                <w:rFonts w:ascii="Calibri" w:hAnsi="Calibri" w:cs="Calibri"/>
                <w:color w:val="000000"/>
                <w:sz w:val="22"/>
                <w:szCs w:val="22"/>
              </w:rPr>
            </w:pPr>
            <w:r>
              <w:rPr>
                <w:rFonts w:ascii="Calibri" w:hAnsi="Calibri" w:cs="Calibri"/>
                <w:color w:val="000000"/>
                <w:sz w:val="22"/>
                <w:szCs w:val="22"/>
              </w:rPr>
              <w:t>232</w:t>
            </w:r>
          </w:p>
        </w:tc>
        <w:tc>
          <w:tcPr>
            <w:tcW w:w="1410" w:type="pct"/>
            <w:vAlign w:val="center"/>
          </w:tcPr>
          <w:p w14:paraId="46DE5215" w14:textId="77777777" w:rsidR="00E96071" w:rsidRDefault="00E96071" w:rsidP="003D6463">
            <w:pPr>
              <w:jc w:val="center"/>
              <w:rPr>
                <w:rFonts w:ascii="Calibri" w:hAnsi="Calibri" w:cs="Calibri"/>
                <w:color w:val="000000"/>
                <w:sz w:val="22"/>
                <w:szCs w:val="22"/>
              </w:rPr>
            </w:pPr>
            <w:r>
              <w:rPr>
                <w:rFonts w:ascii="Calibri" w:hAnsi="Calibri" w:cs="Calibri"/>
                <w:color w:val="000000"/>
                <w:sz w:val="22"/>
                <w:szCs w:val="22"/>
              </w:rPr>
              <w:t>93475</w:t>
            </w:r>
          </w:p>
        </w:tc>
      </w:tr>
      <w:tr w:rsidR="00E96071" w:rsidRPr="009F19CA" w14:paraId="2977D11A" w14:textId="77777777" w:rsidTr="003D6463">
        <w:tc>
          <w:tcPr>
            <w:tcW w:w="2235" w:type="pct"/>
            <w:shd w:val="clear" w:color="auto" w:fill="F2F2F2" w:themeFill="background1" w:themeFillShade="F2"/>
            <w:vAlign w:val="center"/>
          </w:tcPr>
          <w:p w14:paraId="462B6365" w14:textId="77777777" w:rsidR="00E96071" w:rsidRDefault="00E96071" w:rsidP="003D6463">
            <w:pPr>
              <w:rPr>
                <w:rFonts w:ascii="Calibri" w:hAnsi="Calibri" w:cs="Calibri"/>
                <w:color w:val="000000"/>
                <w:sz w:val="22"/>
                <w:szCs w:val="22"/>
              </w:rPr>
            </w:pPr>
            <w:r w:rsidRPr="00E96071">
              <w:rPr>
                <w:rFonts w:ascii="Calibri" w:hAnsi="Calibri" w:cs="Calibri"/>
                <w:color w:val="000000"/>
                <w:sz w:val="22"/>
                <w:szCs w:val="22"/>
              </w:rPr>
              <w:t xml:space="preserve">Professional attendance by a medical practitioner (not including a general practitioner, </w:t>
            </w:r>
            <w:proofErr w:type="gramStart"/>
            <w:r w:rsidRPr="00E96071">
              <w:rPr>
                <w:rFonts w:ascii="Calibri" w:hAnsi="Calibri" w:cs="Calibri"/>
                <w:color w:val="000000"/>
                <w:sz w:val="22"/>
                <w:szCs w:val="22"/>
              </w:rPr>
              <w:t>specialist</w:t>
            </w:r>
            <w:proofErr w:type="gramEnd"/>
            <w:r w:rsidRPr="00E96071">
              <w:rPr>
                <w:rFonts w:ascii="Calibri" w:hAnsi="Calibri" w:cs="Calibri"/>
                <w:color w:val="000000"/>
                <w:sz w:val="22"/>
                <w:szCs w:val="22"/>
              </w:rPr>
              <w:t xml:space="preserve"> or a consultant physician) at a residential aged care facility to perform a health assessment of a </w:t>
            </w:r>
            <w:r>
              <w:rPr>
                <w:rFonts w:ascii="Calibri" w:hAnsi="Calibri" w:cs="Calibri"/>
                <w:color w:val="000000"/>
                <w:sz w:val="22"/>
                <w:szCs w:val="22"/>
              </w:rPr>
              <w:t>resident who is</w:t>
            </w:r>
            <w:r w:rsidRPr="00E96071">
              <w:rPr>
                <w:rFonts w:ascii="Calibri" w:hAnsi="Calibri" w:cs="Calibri"/>
                <w:color w:val="000000"/>
                <w:sz w:val="22"/>
                <w:szCs w:val="22"/>
              </w:rPr>
              <w:t xml:space="preserve"> of Aboriginal or Torres Strait Islander descent</w:t>
            </w:r>
          </w:p>
        </w:tc>
        <w:tc>
          <w:tcPr>
            <w:tcW w:w="1355" w:type="pct"/>
            <w:shd w:val="clear" w:color="auto" w:fill="auto"/>
            <w:vAlign w:val="center"/>
          </w:tcPr>
          <w:p w14:paraId="0990E586" w14:textId="77777777" w:rsidR="00E96071" w:rsidRDefault="00E96071" w:rsidP="003D6463">
            <w:pPr>
              <w:jc w:val="center"/>
              <w:rPr>
                <w:rFonts w:ascii="Calibri" w:hAnsi="Calibri" w:cs="Calibri"/>
                <w:color w:val="000000"/>
                <w:sz w:val="22"/>
                <w:szCs w:val="22"/>
              </w:rPr>
            </w:pPr>
            <w:r>
              <w:rPr>
                <w:rFonts w:ascii="Calibri" w:hAnsi="Calibri" w:cs="Calibri"/>
                <w:color w:val="000000"/>
                <w:sz w:val="22"/>
                <w:szCs w:val="22"/>
              </w:rPr>
              <w:t>228</w:t>
            </w:r>
          </w:p>
        </w:tc>
        <w:tc>
          <w:tcPr>
            <w:tcW w:w="1410" w:type="pct"/>
            <w:vAlign w:val="center"/>
          </w:tcPr>
          <w:p w14:paraId="16C1F244" w14:textId="77777777" w:rsidR="00E96071" w:rsidRDefault="00E96071" w:rsidP="003D6463">
            <w:pPr>
              <w:jc w:val="center"/>
              <w:rPr>
                <w:rFonts w:ascii="Calibri" w:hAnsi="Calibri" w:cs="Calibri"/>
                <w:color w:val="000000"/>
                <w:sz w:val="22"/>
                <w:szCs w:val="22"/>
              </w:rPr>
            </w:pPr>
            <w:r>
              <w:rPr>
                <w:rFonts w:ascii="Calibri" w:hAnsi="Calibri" w:cs="Calibri"/>
                <w:color w:val="000000"/>
                <w:sz w:val="22"/>
                <w:szCs w:val="22"/>
              </w:rPr>
              <w:t>93479</w:t>
            </w:r>
          </w:p>
        </w:tc>
      </w:tr>
    </w:tbl>
    <w:p w14:paraId="749DA756" w14:textId="77777777" w:rsidR="00404756" w:rsidRDefault="00404756" w:rsidP="00404756"/>
    <w:sectPr w:rsidR="00404756" w:rsidSect="002A7B41">
      <w:type w:val="continuous"/>
      <w:pgSz w:w="11906" w:h="16838"/>
      <w:pgMar w:top="3260" w:right="720" w:bottom="697" w:left="720"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464826" w14:textId="77777777" w:rsidR="000C70F9" w:rsidRDefault="000C70F9" w:rsidP="006D1088">
      <w:pPr>
        <w:spacing w:after="0" w:line="240" w:lineRule="auto"/>
      </w:pPr>
      <w:r>
        <w:separator/>
      </w:r>
    </w:p>
  </w:endnote>
  <w:endnote w:type="continuationSeparator" w:id="0">
    <w:p w14:paraId="5316EFE6" w14:textId="77777777" w:rsidR="000C70F9" w:rsidRDefault="000C70F9"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altName w:val="Segoe UI Semi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AEDCB" w14:textId="77777777" w:rsidR="009B32BA" w:rsidRPr="003E19EE" w:rsidRDefault="00ED5465" w:rsidP="00670DFE">
    <w:pPr>
      <w:pStyle w:val="Footer"/>
    </w:pPr>
    <w:r>
      <w:rPr>
        <w:rStyle w:val="BookTitle"/>
        <w:noProof/>
      </w:rPr>
      <w:pict w14:anchorId="0D45EAA9">
        <v:rect id="_x0000_i1025" style="width:523.3pt;height:1.9pt" o:hralign="center" o:hrstd="t" o:hr="t" fillcolor="#a0a0a0" stroked="f"/>
      </w:pict>
    </w:r>
    <w:r w:rsidR="009B32BA" w:rsidRPr="003E19EE">
      <w:t>Medicare Benefits Schedule</w:t>
    </w:r>
    <w:r w:rsidR="00A75DC5" w:rsidRPr="003E19EE">
      <w:tab/>
    </w:r>
  </w:p>
  <w:p w14:paraId="5C81669A" w14:textId="47C2368D" w:rsidR="009B32BA" w:rsidRPr="003E19EE" w:rsidRDefault="00034641" w:rsidP="00670DFE">
    <w:pPr>
      <w:pStyle w:val="Heading1"/>
      <w:spacing w:before="0" w:after="0"/>
      <w:rPr>
        <w:sz w:val="16"/>
        <w:szCs w:val="16"/>
      </w:rPr>
    </w:pPr>
    <w:r w:rsidRPr="00034641">
      <w:rPr>
        <w:rFonts w:ascii="Arial" w:hAnsi="Arial"/>
        <w:sz w:val="16"/>
      </w:rPr>
      <w:t>COVID-19 Temporary MBS Allied Health Services for Residents of Aged Care Facilities</w:t>
    </w:r>
    <w:r w:rsidR="009B32BA" w:rsidRPr="003E19EE">
      <w:rPr>
        <w:sz w:val="16"/>
        <w:szCs w:val="16"/>
      </w:rPr>
      <w:t xml:space="preserve"> </w:t>
    </w:r>
    <w:sdt>
      <w:sdtPr>
        <w:rPr>
          <w:sz w:val="16"/>
          <w:szCs w:val="16"/>
        </w:rPr>
        <w:id w:val="960607005"/>
        <w:docPartObj>
          <w:docPartGallery w:val="Page Numbers (Bottom of Page)"/>
          <w:docPartUnique/>
        </w:docPartObj>
      </w:sdtPr>
      <w:sdtEndPr>
        <w:rPr>
          <w:noProof/>
        </w:rPr>
      </w:sdtEndPr>
      <w:sdtContent>
        <w:r w:rsidR="009B32BA" w:rsidRPr="003E19EE">
          <w:rPr>
            <w:sz w:val="16"/>
            <w:szCs w:val="16"/>
          </w:rPr>
          <w:tab/>
        </w:r>
        <w:sdt>
          <w:sdtPr>
            <w:rPr>
              <w:sz w:val="16"/>
              <w:szCs w:val="16"/>
            </w:rPr>
            <w:id w:val="-720741692"/>
            <w:docPartObj>
              <w:docPartGallery w:val="Page Numbers (Bottom of Page)"/>
              <w:docPartUnique/>
            </w:docPartObj>
          </w:sdtPr>
          <w:sdtEndPr/>
          <w:sdtContent>
            <w:sdt>
              <w:sdtPr>
                <w:rPr>
                  <w:sz w:val="16"/>
                  <w:szCs w:val="16"/>
                </w:rPr>
                <w:id w:val="1701501531"/>
                <w:docPartObj>
                  <w:docPartGallery w:val="Page Numbers (Top of Page)"/>
                  <w:docPartUnique/>
                </w:docPartObj>
              </w:sdtPr>
              <w:sdtEndPr/>
              <w:sdtContent>
                <w:r>
                  <w:rPr>
                    <w:sz w:val="16"/>
                    <w:szCs w:val="16"/>
                  </w:rPr>
                  <w:tab/>
                </w:r>
                <w:r>
                  <w:rPr>
                    <w:sz w:val="16"/>
                    <w:szCs w:val="16"/>
                  </w:rPr>
                  <w:tab/>
                </w:r>
                <w:r>
                  <w:rPr>
                    <w:sz w:val="16"/>
                    <w:szCs w:val="16"/>
                  </w:rPr>
                  <w:tab/>
                </w:r>
                <w:r>
                  <w:rPr>
                    <w:sz w:val="16"/>
                    <w:szCs w:val="16"/>
                  </w:rPr>
                  <w:tab/>
                </w:r>
                <w:r w:rsidR="009B32BA" w:rsidRPr="003E19EE">
                  <w:rPr>
                    <w:sz w:val="16"/>
                    <w:szCs w:val="16"/>
                  </w:rPr>
                  <w:t xml:space="preserve">Page </w:t>
                </w:r>
                <w:r w:rsidR="009B32BA" w:rsidRPr="003E19EE">
                  <w:rPr>
                    <w:bCs/>
                    <w:sz w:val="16"/>
                    <w:szCs w:val="16"/>
                  </w:rPr>
                  <w:fldChar w:fldCharType="begin"/>
                </w:r>
                <w:r w:rsidR="009B32BA" w:rsidRPr="003E19EE">
                  <w:rPr>
                    <w:bCs/>
                    <w:sz w:val="16"/>
                    <w:szCs w:val="16"/>
                  </w:rPr>
                  <w:instrText xml:space="preserve"> PAGE </w:instrText>
                </w:r>
                <w:r w:rsidR="009B32BA" w:rsidRPr="003E19EE">
                  <w:rPr>
                    <w:bCs/>
                    <w:sz w:val="16"/>
                    <w:szCs w:val="16"/>
                  </w:rPr>
                  <w:fldChar w:fldCharType="separate"/>
                </w:r>
                <w:r w:rsidR="00665316">
                  <w:rPr>
                    <w:bCs/>
                    <w:noProof/>
                    <w:sz w:val="16"/>
                    <w:szCs w:val="16"/>
                  </w:rPr>
                  <w:t>1</w:t>
                </w:r>
                <w:r w:rsidR="009B32BA" w:rsidRPr="003E19EE">
                  <w:rPr>
                    <w:bCs/>
                    <w:sz w:val="16"/>
                    <w:szCs w:val="16"/>
                  </w:rPr>
                  <w:fldChar w:fldCharType="end"/>
                </w:r>
                <w:r w:rsidR="009B32BA" w:rsidRPr="003E19EE">
                  <w:rPr>
                    <w:sz w:val="16"/>
                    <w:szCs w:val="16"/>
                  </w:rPr>
                  <w:t xml:space="preserve"> of </w:t>
                </w:r>
                <w:r w:rsidR="009B32BA" w:rsidRPr="003E19EE">
                  <w:rPr>
                    <w:bCs/>
                    <w:sz w:val="16"/>
                    <w:szCs w:val="16"/>
                  </w:rPr>
                  <w:fldChar w:fldCharType="begin"/>
                </w:r>
                <w:r w:rsidR="009B32BA" w:rsidRPr="003E19EE">
                  <w:rPr>
                    <w:bCs/>
                    <w:sz w:val="16"/>
                    <w:szCs w:val="16"/>
                  </w:rPr>
                  <w:instrText xml:space="preserve"> NUMPAGES  </w:instrText>
                </w:r>
                <w:r w:rsidR="009B32BA" w:rsidRPr="003E19EE">
                  <w:rPr>
                    <w:bCs/>
                    <w:sz w:val="16"/>
                    <w:szCs w:val="16"/>
                  </w:rPr>
                  <w:fldChar w:fldCharType="separate"/>
                </w:r>
                <w:r w:rsidR="00665316">
                  <w:rPr>
                    <w:bCs/>
                    <w:noProof/>
                    <w:sz w:val="16"/>
                    <w:szCs w:val="16"/>
                  </w:rPr>
                  <w:t>4</w:t>
                </w:r>
                <w:r w:rsidR="009B32BA" w:rsidRPr="003E19EE">
                  <w:rPr>
                    <w:bCs/>
                    <w:sz w:val="16"/>
                    <w:szCs w:val="16"/>
                  </w:rPr>
                  <w:fldChar w:fldCharType="end"/>
                </w:r>
              </w:sdtContent>
            </w:sdt>
          </w:sdtContent>
        </w:sdt>
        <w:r w:rsidR="009B32BA" w:rsidRPr="003E19EE">
          <w:rPr>
            <w:sz w:val="16"/>
            <w:szCs w:val="16"/>
          </w:rPr>
          <w:t xml:space="preserve"> </w:t>
        </w:r>
      </w:sdtContent>
    </w:sdt>
  </w:p>
  <w:p w14:paraId="6B4A0453" w14:textId="77777777" w:rsidR="009B32BA" w:rsidRPr="00B94693" w:rsidRDefault="00ED5465" w:rsidP="003E19EE">
    <w:pPr>
      <w:pStyle w:val="Footer"/>
      <w:tabs>
        <w:tab w:val="clear" w:pos="4513"/>
        <w:tab w:val="clear" w:pos="9026"/>
        <w:tab w:val="left" w:pos="1244"/>
      </w:tabs>
    </w:pPr>
    <w:hyperlink r:id="rId1" w:history="1">
      <w:r w:rsidR="009B32BA" w:rsidRPr="00B94693">
        <w:t>MBS Online</w:t>
      </w:r>
    </w:hyperlink>
    <w:r w:rsidR="003E19EE" w:rsidRPr="00B94693">
      <w:tab/>
    </w:r>
  </w:p>
  <w:p w14:paraId="1194D0F4" w14:textId="3CF44866" w:rsidR="00570B62" w:rsidRPr="003E19EE" w:rsidRDefault="00570B62" w:rsidP="00670DFE">
    <w:pPr>
      <w:pStyle w:val="Footer"/>
      <w:rPr>
        <w:szCs w:val="16"/>
      </w:rPr>
    </w:pPr>
    <w:r w:rsidRPr="003E19EE">
      <w:rPr>
        <w:szCs w:val="16"/>
      </w:rPr>
      <w:t xml:space="preserve">Last updated – </w:t>
    </w:r>
    <w:r w:rsidR="00CB795E">
      <w:rPr>
        <w:szCs w:val="16"/>
      </w:rPr>
      <w:t>1</w:t>
    </w:r>
    <w:r w:rsidR="00D33A43">
      <w:rPr>
        <w:szCs w:val="16"/>
      </w:rPr>
      <w:t xml:space="preserve"> October </w:t>
    </w:r>
    <w:r w:rsidR="00034641">
      <w:rPr>
        <w:szCs w:val="16"/>
      </w:rPr>
      <w:t>202</w:t>
    </w:r>
    <w:r w:rsidR="00D33A43">
      <w:rPr>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F77AE" w14:textId="77777777" w:rsidR="000C70F9" w:rsidRDefault="000C70F9" w:rsidP="006D1088">
      <w:pPr>
        <w:spacing w:after="0" w:line="240" w:lineRule="auto"/>
      </w:pPr>
      <w:r>
        <w:separator/>
      </w:r>
    </w:p>
  </w:footnote>
  <w:footnote w:type="continuationSeparator" w:id="0">
    <w:p w14:paraId="3AF34D60" w14:textId="77777777" w:rsidR="000C70F9" w:rsidRDefault="000C70F9"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3D3A14" w14:textId="77777777" w:rsidR="006D1088" w:rsidRDefault="008553F7">
    <w:pPr>
      <w:pStyle w:val="Header"/>
    </w:pPr>
    <w:r w:rsidRPr="00113A85">
      <w:rPr>
        <w:noProof/>
        <w:lang w:eastAsia="en-AU"/>
      </w:rPr>
      <mc:AlternateContent>
        <mc:Choice Requires="wps">
          <w:drawing>
            <wp:anchor distT="0" distB="0" distL="114300" distR="114300" simplePos="0" relativeHeight="251660288" behindDoc="0" locked="0" layoutInCell="1" allowOverlap="1" wp14:anchorId="2548A4DD" wp14:editId="6EE9756B">
              <wp:simplePos x="0" y="0"/>
              <wp:positionH relativeFrom="column">
                <wp:align>right</wp:align>
              </wp:positionH>
              <wp:positionV relativeFrom="paragraph">
                <wp:posOffset>-288646</wp:posOffset>
              </wp:positionV>
              <wp:extent cx="2516400" cy="1285200"/>
              <wp:effectExtent l="0" t="0" r="0" b="0"/>
              <wp:wrapNone/>
              <wp:docPr id="6" name="Title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516400" cy="1285200"/>
                      </a:xfrm>
                      <a:prstGeom prst="rect">
                        <a:avLst/>
                      </a:prstGeom>
                    </wps:spPr>
                    <wps:txbx>
                      <w:txbxContent>
                        <w:p w14:paraId="4E48160F" w14:textId="77777777"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4EF2A2BD" id="Title 3" o:spid="_x0000_s1026" style="position:absolute;margin-left:146.95pt;margin-top:-22.75pt;width:198.15pt;height:101.2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" filled="f" stroked="f">
              <v:path arrowok="t"/>
              <o:lock v:ext="edit" grouping="t"/>
              <v:textbox>
                <w:txbxContent>
                  <w:p w:rsidR="008553F7" w:rsidRDefault="008553F7" w:rsidP="00420023">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MBS changes factsheet</w:t>
                    </w:r>
                  </w:p>
                </w:txbxContent>
              </v:textbox>
            </v:rect>
          </w:pict>
        </mc:Fallback>
      </mc:AlternateContent>
    </w:r>
    <w:r w:rsidR="006D1088" w:rsidRPr="006D1088">
      <w:rPr>
        <w:noProof/>
        <w:lang w:eastAsia="en-AU"/>
      </w:rPr>
      <w:drawing>
        <wp:anchor distT="0" distB="0" distL="114300" distR="114300" simplePos="0" relativeHeight="251658240" behindDoc="1" locked="0" layoutInCell="1" allowOverlap="1" wp14:anchorId="0D4A807C" wp14:editId="59DF1291">
          <wp:simplePos x="0" y="0"/>
          <wp:positionH relativeFrom="page">
            <wp:align>left</wp:align>
          </wp:positionH>
          <wp:positionV relativeFrom="paragraph">
            <wp:posOffset>-449580</wp:posOffset>
          </wp:positionV>
          <wp:extent cx="7643250" cy="1611213"/>
          <wp:effectExtent l="0" t="0" r="0" b="8255"/>
          <wp:wrapNone/>
          <wp:docPr id="3" name="Picture 3" descr="Department of Health &#10;MBS changes factsheet" title="Austral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3250" cy="161121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F4045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FEBD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C6C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8EEBC3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D30A8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76A0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527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9CCE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7A3C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E5238"/>
    <w:multiLevelType w:val="hybridMultilevel"/>
    <w:tmpl w:val="E99E100E"/>
    <w:lvl w:ilvl="0" w:tplc="0248EE72">
      <w:start w:val="1"/>
      <w:numFmt w:val="bullet"/>
      <w:lvlText w:val="-"/>
      <w:lvlJc w:val="left"/>
      <w:pPr>
        <w:ind w:left="1440" w:hanging="360"/>
      </w:pPr>
      <w:rPr>
        <w:rFonts w:ascii="Times New Roman" w:hAnsi="Times New Roman" w:cs="Times New Roman"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0EE2335C"/>
    <w:multiLevelType w:val="hybridMultilevel"/>
    <w:tmpl w:val="191A61CE"/>
    <w:lvl w:ilvl="0" w:tplc="6C76454A">
      <w:start w:val="1"/>
      <w:numFmt w:val="bullet"/>
      <w:pStyle w:val="Bullet"/>
      <w:lvlText w:val=""/>
      <w:lvlJc w:val="left"/>
      <w:pPr>
        <w:ind w:left="1914" w:hanging="360"/>
      </w:pPr>
      <w:rPr>
        <w:rFonts w:ascii="Wingdings 3" w:hAnsi="Wingdings 3" w:hint="default"/>
        <w:color w:val="auto"/>
        <w:position w:val="2"/>
        <w:sz w:val="16"/>
        <w:szCs w:val="16"/>
      </w:rPr>
    </w:lvl>
    <w:lvl w:ilvl="1" w:tplc="0C090003" w:tentative="1">
      <w:start w:val="1"/>
      <w:numFmt w:val="bullet"/>
      <w:lvlText w:val="o"/>
      <w:lvlJc w:val="left"/>
      <w:pPr>
        <w:ind w:left="1641" w:hanging="360"/>
      </w:pPr>
      <w:rPr>
        <w:rFonts w:ascii="Courier New" w:hAnsi="Courier New" w:cs="Courier New" w:hint="default"/>
      </w:rPr>
    </w:lvl>
    <w:lvl w:ilvl="2" w:tplc="0C090005" w:tentative="1">
      <w:start w:val="1"/>
      <w:numFmt w:val="bullet"/>
      <w:lvlText w:val=""/>
      <w:lvlJc w:val="left"/>
      <w:pPr>
        <w:ind w:left="2361" w:hanging="360"/>
      </w:pPr>
      <w:rPr>
        <w:rFonts w:ascii="Wingdings" w:hAnsi="Wingdings" w:hint="default"/>
      </w:rPr>
    </w:lvl>
    <w:lvl w:ilvl="3" w:tplc="0C090001" w:tentative="1">
      <w:start w:val="1"/>
      <w:numFmt w:val="bullet"/>
      <w:lvlText w:val=""/>
      <w:lvlJc w:val="left"/>
      <w:pPr>
        <w:ind w:left="3081" w:hanging="360"/>
      </w:pPr>
      <w:rPr>
        <w:rFonts w:ascii="Symbol" w:hAnsi="Symbol" w:hint="default"/>
      </w:rPr>
    </w:lvl>
    <w:lvl w:ilvl="4" w:tplc="0C090003" w:tentative="1">
      <w:start w:val="1"/>
      <w:numFmt w:val="bullet"/>
      <w:lvlText w:val="o"/>
      <w:lvlJc w:val="left"/>
      <w:pPr>
        <w:ind w:left="3801" w:hanging="360"/>
      </w:pPr>
      <w:rPr>
        <w:rFonts w:ascii="Courier New" w:hAnsi="Courier New" w:cs="Courier New" w:hint="default"/>
      </w:rPr>
    </w:lvl>
    <w:lvl w:ilvl="5" w:tplc="0C090005" w:tentative="1">
      <w:start w:val="1"/>
      <w:numFmt w:val="bullet"/>
      <w:lvlText w:val=""/>
      <w:lvlJc w:val="left"/>
      <w:pPr>
        <w:ind w:left="4521" w:hanging="360"/>
      </w:pPr>
      <w:rPr>
        <w:rFonts w:ascii="Wingdings" w:hAnsi="Wingdings" w:hint="default"/>
      </w:rPr>
    </w:lvl>
    <w:lvl w:ilvl="6" w:tplc="0C090001" w:tentative="1">
      <w:start w:val="1"/>
      <w:numFmt w:val="bullet"/>
      <w:lvlText w:val=""/>
      <w:lvlJc w:val="left"/>
      <w:pPr>
        <w:ind w:left="5241" w:hanging="360"/>
      </w:pPr>
      <w:rPr>
        <w:rFonts w:ascii="Symbol" w:hAnsi="Symbol" w:hint="default"/>
      </w:rPr>
    </w:lvl>
    <w:lvl w:ilvl="7" w:tplc="0C090003" w:tentative="1">
      <w:start w:val="1"/>
      <w:numFmt w:val="bullet"/>
      <w:lvlText w:val="o"/>
      <w:lvlJc w:val="left"/>
      <w:pPr>
        <w:ind w:left="5961" w:hanging="360"/>
      </w:pPr>
      <w:rPr>
        <w:rFonts w:ascii="Courier New" w:hAnsi="Courier New" w:cs="Courier New" w:hint="default"/>
      </w:rPr>
    </w:lvl>
    <w:lvl w:ilvl="8" w:tplc="0C090005" w:tentative="1">
      <w:start w:val="1"/>
      <w:numFmt w:val="bullet"/>
      <w:lvlText w:val=""/>
      <w:lvlJc w:val="left"/>
      <w:pPr>
        <w:ind w:left="6681" w:hanging="360"/>
      </w:pPr>
      <w:rPr>
        <w:rFonts w:ascii="Wingdings" w:hAnsi="Wingdings" w:hint="default"/>
      </w:rPr>
    </w:lvl>
  </w:abstractNum>
  <w:abstractNum w:abstractNumId="12" w15:restartNumberingAfterBreak="0">
    <w:nsid w:val="17012DC6"/>
    <w:multiLevelType w:val="hybridMultilevel"/>
    <w:tmpl w:val="7526A996"/>
    <w:lvl w:ilvl="0" w:tplc="8D86FADE">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183F6D43"/>
    <w:multiLevelType w:val="hybridMultilevel"/>
    <w:tmpl w:val="D85E07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E35A91"/>
    <w:multiLevelType w:val="hybridMultilevel"/>
    <w:tmpl w:val="13CE19E0"/>
    <w:lvl w:ilvl="0" w:tplc="819E1B38">
      <w:start w:val="1"/>
      <w:numFmt w:val="bullet"/>
      <w:pStyle w:val="ListParagraph"/>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261C44B9"/>
    <w:multiLevelType w:val="hybridMultilevel"/>
    <w:tmpl w:val="9DDEDFC0"/>
    <w:lvl w:ilvl="0" w:tplc="0248EE7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FF4A5E"/>
    <w:multiLevelType w:val="hybridMultilevel"/>
    <w:tmpl w:val="7E32B546"/>
    <w:lvl w:ilvl="0" w:tplc="456E2204">
      <w:start w:val="11"/>
      <w:numFmt w:val="bullet"/>
      <w:lvlText w:val=""/>
      <w:lvlJc w:val="left"/>
      <w:pPr>
        <w:ind w:left="720" w:hanging="360"/>
      </w:pPr>
      <w:rPr>
        <w:rFonts w:ascii="Symbol" w:eastAsiaTheme="minorHAnsi" w:hAnsi="Symbol" w:cs="Times New Roman" w:hint="default"/>
        <w:b w:val="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7EF5F32"/>
    <w:multiLevelType w:val="hybridMultilevel"/>
    <w:tmpl w:val="F92C92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 w15:restartNumberingAfterBreak="0">
    <w:nsid w:val="49CF405B"/>
    <w:multiLevelType w:val="hybridMultilevel"/>
    <w:tmpl w:val="D5781528"/>
    <w:lvl w:ilvl="0" w:tplc="0248EE7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3FD6286"/>
    <w:multiLevelType w:val="hybridMultilevel"/>
    <w:tmpl w:val="E7F438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568C7264"/>
    <w:multiLevelType w:val="hybridMultilevel"/>
    <w:tmpl w:val="6084FF98"/>
    <w:lvl w:ilvl="0" w:tplc="0248EE72">
      <w:start w:val="1"/>
      <w:numFmt w:val="bullet"/>
      <w:lvlText w:val="-"/>
      <w:lvlJc w:val="left"/>
      <w:pPr>
        <w:ind w:left="1800" w:hanging="360"/>
      </w:pPr>
      <w:rPr>
        <w:rFonts w:ascii="Times New Roman" w:hAnsi="Times New Roman" w:cs="Times New Roman"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14"/>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14"/>
  </w:num>
  <w:num w:numId="15">
    <w:abstractNumId w:val="13"/>
  </w:num>
  <w:num w:numId="16">
    <w:abstractNumId w:val="18"/>
  </w:num>
  <w:num w:numId="17">
    <w:abstractNumId w:val="12"/>
  </w:num>
  <w:num w:numId="18">
    <w:abstractNumId w:val="10"/>
  </w:num>
  <w:num w:numId="19">
    <w:abstractNumId w:val="11"/>
  </w:num>
  <w:num w:numId="20">
    <w:abstractNumId w:val="15"/>
  </w:num>
  <w:num w:numId="21">
    <w:abstractNumId w:val="16"/>
  </w:num>
  <w:num w:numId="22">
    <w:abstractNumId w:val="14"/>
  </w:num>
  <w:num w:numId="23">
    <w:abstractNumId w:val="11"/>
  </w:num>
  <w:num w:numId="24">
    <w:abstractNumId w:val="11"/>
  </w:num>
  <w:num w:numId="25">
    <w:abstractNumId w:val="14"/>
  </w:num>
  <w:num w:numId="26">
    <w:abstractNumId w:val="14"/>
  </w:num>
  <w:num w:numId="27">
    <w:abstractNumId w:val="2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FEE"/>
    <w:rsid w:val="000074DD"/>
    <w:rsid w:val="00034641"/>
    <w:rsid w:val="000367AA"/>
    <w:rsid w:val="00037534"/>
    <w:rsid w:val="000411E0"/>
    <w:rsid w:val="00043A63"/>
    <w:rsid w:val="00045810"/>
    <w:rsid w:val="00075CE0"/>
    <w:rsid w:val="00081B97"/>
    <w:rsid w:val="00085277"/>
    <w:rsid w:val="0009351A"/>
    <w:rsid w:val="000A2F0A"/>
    <w:rsid w:val="000B01AE"/>
    <w:rsid w:val="000B2A1B"/>
    <w:rsid w:val="000C2143"/>
    <w:rsid w:val="000C3B83"/>
    <w:rsid w:val="000C70F9"/>
    <w:rsid w:val="000D1778"/>
    <w:rsid w:val="001014EB"/>
    <w:rsid w:val="00102885"/>
    <w:rsid w:val="00105214"/>
    <w:rsid w:val="00121100"/>
    <w:rsid w:val="00124DA1"/>
    <w:rsid w:val="00124E0B"/>
    <w:rsid w:val="00130343"/>
    <w:rsid w:val="001353D6"/>
    <w:rsid w:val="00135417"/>
    <w:rsid w:val="00141BC3"/>
    <w:rsid w:val="001432AF"/>
    <w:rsid w:val="00144F22"/>
    <w:rsid w:val="00151636"/>
    <w:rsid w:val="00155BD4"/>
    <w:rsid w:val="0015621C"/>
    <w:rsid w:val="0016607B"/>
    <w:rsid w:val="00167446"/>
    <w:rsid w:val="0017279A"/>
    <w:rsid w:val="00172B1A"/>
    <w:rsid w:val="00175ECF"/>
    <w:rsid w:val="0018054B"/>
    <w:rsid w:val="00181B52"/>
    <w:rsid w:val="0018507E"/>
    <w:rsid w:val="0019170A"/>
    <w:rsid w:val="001A6FE6"/>
    <w:rsid w:val="001A7FB7"/>
    <w:rsid w:val="001B2AEE"/>
    <w:rsid w:val="001C5C56"/>
    <w:rsid w:val="001C73B8"/>
    <w:rsid w:val="001E6F63"/>
    <w:rsid w:val="001F0C83"/>
    <w:rsid w:val="001F49E8"/>
    <w:rsid w:val="00200902"/>
    <w:rsid w:val="00203F3E"/>
    <w:rsid w:val="00206D6E"/>
    <w:rsid w:val="0021035A"/>
    <w:rsid w:val="00221334"/>
    <w:rsid w:val="002427E0"/>
    <w:rsid w:val="00243D1C"/>
    <w:rsid w:val="00262717"/>
    <w:rsid w:val="0026502E"/>
    <w:rsid w:val="00276A29"/>
    <w:rsid w:val="00281820"/>
    <w:rsid w:val="00281DBF"/>
    <w:rsid w:val="002A2E66"/>
    <w:rsid w:val="002A3C7C"/>
    <w:rsid w:val="002A5A70"/>
    <w:rsid w:val="002A7B41"/>
    <w:rsid w:val="002B4D5C"/>
    <w:rsid w:val="002B70AC"/>
    <w:rsid w:val="002C1774"/>
    <w:rsid w:val="002C3EC0"/>
    <w:rsid w:val="002D2CC5"/>
    <w:rsid w:val="002E030C"/>
    <w:rsid w:val="00300D87"/>
    <w:rsid w:val="003122B4"/>
    <w:rsid w:val="00316C0C"/>
    <w:rsid w:val="00337919"/>
    <w:rsid w:val="00345DC5"/>
    <w:rsid w:val="0035078F"/>
    <w:rsid w:val="00352174"/>
    <w:rsid w:val="00355E8A"/>
    <w:rsid w:val="00363819"/>
    <w:rsid w:val="00374AE3"/>
    <w:rsid w:val="003A06B7"/>
    <w:rsid w:val="003A097E"/>
    <w:rsid w:val="003A52BA"/>
    <w:rsid w:val="003B56AD"/>
    <w:rsid w:val="003D5CEF"/>
    <w:rsid w:val="003D6463"/>
    <w:rsid w:val="003E0945"/>
    <w:rsid w:val="003E19EE"/>
    <w:rsid w:val="003E6457"/>
    <w:rsid w:val="003F6682"/>
    <w:rsid w:val="00404756"/>
    <w:rsid w:val="00405506"/>
    <w:rsid w:val="00420023"/>
    <w:rsid w:val="00422FF7"/>
    <w:rsid w:val="00425089"/>
    <w:rsid w:val="00425952"/>
    <w:rsid w:val="00427D7F"/>
    <w:rsid w:val="004324B6"/>
    <w:rsid w:val="00433682"/>
    <w:rsid w:val="0043744D"/>
    <w:rsid w:val="00445086"/>
    <w:rsid w:val="00447A96"/>
    <w:rsid w:val="004511F2"/>
    <w:rsid w:val="00467CD7"/>
    <w:rsid w:val="00475E53"/>
    <w:rsid w:val="004835F0"/>
    <w:rsid w:val="00494B72"/>
    <w:rsid w:val="00496081"/>
    <w:rsid w:val="004A1348"/>
    <w:rsid w:val="004B0FA1"/>
    <w:rsid w:val="004B198F"/>
    <w:rsid w:val="004B243F"/>
    <w:rsid w:val="004C2B08"/>
    <w:rsid w:val="004D2C7C"/>
    <w:rsid w:val="004D71C4"/>
    <w:rsid w:val="004E1559"/>
    <w:rsid w:val="004E52A2"/>
    <w:rsid w:val="004F0AA6"/>
    <w:rsid w:val="004F2B84"/>
    <w:rsid w:val="004F2E8D"/>
    <w:rsid w:val="005045B0"/>
    <w:rsid w:val="00510063"/>
    <w:rsid w:val="0052108D"/>
    <w:rsid w:val="005261D0"/>
    <w:rsid w:val="005316FD"/>
    <w:rsid w:val="005402B7"/>
    <w:rsid w:val="00541287"/>
    <w:rsid w:val="0054242B"/>
    <w:rsid w:val="00542F07"/>
    <w:rsid w:val="00543427"/>
    <w:rsid w:val="00550525"/>
    <w:rsid w:val="00570567"/>
    <w:rsid w:val="00570B62"/>
    <w:rsid w:val="00572B2A"/>
    <w:rsid w:val="00575F96"/>
    <w:rsid w:val="00577266"/>
    <w:rsid w:val="00595BBD"/>
    <w:rsid w:val="0059641E"/>
    <w:rsid w:val="005A33AE"/>
    <w:rsid w:val="005B0C46"/>
    <w:rsid w:val="005B5122"/>
    <w:rsid w:val="005E1472"/>
    <w:rsid w:val="005F0FEE"/>
    <w:rsid w:val="006173AC"/>
    <w:rsid w:val="0062100F"/>
    <w:rsid w:val="00634880"/>
    <w:rsid w:val="006425BA"/>
    <w:rsid w:val="00650B9A"/>
    <w:rsid w:val="00653345"/>
    <w:rsid w:val="00655D74"/>
    <w:rsid w:val="00656F11"/>
    <w:rsid w:val="00664541"/>
    <w:rsid w:val="00664E1C"/>
    <w:rsid w:val="00665316"/>
    <w:rsid w:val="00670DFE"/>
    <w:rsid w:val="00684D37"/>
    <w:rsid w:val="00684E10"/>
    <w:rsid w:val="00694030"/>
    <w:rsid w:val="006961D6"/>
    <w:rsid w:val="006A175B"/>
    <w:rsid w:val="006A788C"/>
    <w:rsid w:val="006D04CC"/>
    <w:rsid w:val="006D1088"/>
    <w:rsid w:val="006D2A35"/>
    <w:rsid w:val="006D41F1"/>
    <w:rsid w:val="006E3573"/>
    <w:rsid w:val="006E6E56"/>
    <w:rsid w:val="006F5785"/>
    <w:rsid w:val="00713519"/>
    <w:rsid w:val="00716BC7"/>
    <w:rsid w:val="007205B0"/>
    <w:rsid w:val="00726103"/>
    <w:rsid w:val="00727F4C"/>
    <w:rsid w:val="00734F6B"/>
    <w:rsid w:val="00736D31"/>
    <w:rsid w:val="0074126B"/>
    <w:rsid w:val="007430C1"/>
    <w:rsid w:val="00762561"/>
    <w:rsid w:val="00781867"/>
    <w:rsid w:val="00785ABB"/>
    <w:rsid w:val="007B3DFE"/>
    <w:rsid w:val="007C4686"/>
    <w:rsid w:val="007D1D3A"/>
    <w:rsid w:val="007D734C"/>
    <w:rsid w:val="007E2604"/>
    <w:rsid w:val="007E33D2"/>
    <w:rsid w:val="00832CC2"/>
    <w:rsid w:val="00834903"/>
    <w:rsid w:val="008352AC"/>
    <w:rsid w:val="00852651"/>
    <w:rsid w:val="008553F7"/>
    <w:rsid w:val="00864E28"/>
    <w:rsid w:val="00866E0C"/>
    <w:rsid w:val="00870A95"/>
    <w:rsid w:val="008766AD"/>
    <w:rsid w:val="00881219"/>
    <w:rsid w:val="0088144D"/>
    <w:rsid w:val="00881E5F"/>
    <w:rsid w:val="00883DEC"/>
    <w:rsid w:val="00885D94"/>
    <w:rsid w:val="008957B9"/>
    <w:rsid w:val="008A6F4F"/>
    <w:rsid w:val="008C7228"/>
    <w:rsid w:val="008D21AC"/>
    <w:rsid w:val="008E258C"/>
    <w:rsid w:val="008E4C9B"/>
    <w:rsid w:val="008E7B7C"/>
    <w:rsid w:val="008F1594"/>
    <w:rsid w:val="008F4B45"/>
    <w:rsid w:val="009000AA"/>
    <w:rsid w:val="00906F78"/>
    <w:rsid w:val="00907B4A"/>
    <w:rsid w:val="0091706C"/>
    <w:rsid w:val="009364C1"/>
    <w:rsid w:val="00942A31"/>
    <w:rsid w:val="009542F2"/>
    <w:rsid w:val="009562F4"/>
    <w:rsid w:val="009632D6"/>
    <w:rsid w:val="00977405"/>
    <w:rsid w:val="009858E2"/>
    <w:rsid w:val="00986C57"/>
    <w:rsid w:val="009B2BE2"/>
    <w:rsid w:val="009B2FB2"/>
    <w:rsid w:val="009B32BA"/>
    <w:rsid w:val="009B51E7"/>
    <w:rsid w:val="009B5206"/>
    <w:rsid w:val="009B7859"/>
    <w:rsid w:val="009C742B"/>
    <w:rsid w:val="009D0B98"/>
    <w:rsid w:val="009D57DF"/>
    <w:rsid w:val="009E4A9E"/>
    <w:rsid w:val="009E66EE"/>
    <w:rsid w:val="009E6DE2"/>
    <w:rsid w:val="009F52D4"/>
    <w:rsid w:val="00A26321"/>
    <w:rsid w:val="00A3287F"/>
    <w:rsid w:val="00A37CE3"/>
    <w:rsid w:val="00A37FE6"/>
    <w:rsid w:val="00A51FC5"/>
    <w:rsid w:val="00A5641C"/>
    <w:rsid w:val="00A56E47"/>
    <w:rsid w:val="00A60FB7"/>
    <w:rsid w:val="00A64177"/>
    <w:rsid w:val="00A7172E"/>
    <w:rsid w:val="00A75DC5"/>
    <w:rsid w:val="00A8308E"/>
    <w:rsid w:val="00A91196"/>
    <w:rsid w:val="00AA41CD"/>
    <w:rsid w:val="00AA5232"/>
    <w:rsid w:val="00AA69A9"/>
    <w:rsid w:val="00AB48B3"/>
    <w:rsid w:val="00AB53A4"/>
    <w:rsid w:val="00AD3EAC"/>
    <w:rsid w:val="00AE2F7E"/>
    <w:rsid w:val="00AF51AC"/>
    <w:rsid w:val="00B06E28"/>
    <w:rsid w:val="00B15CE8"/>
    <w:rsid w:val="00B2044B"/>
    <w:rsid w:val="00B23A4C"/>
    <w:rsid w:val="00B31FBA"/>
    <w:rsid w:val="00B378D4"/>
    <w:rsid w:val="00B3793F"/>
    <w:rsid w:val="00B542FB"/>
    <w:rsid w:val="00B646DC"/>
    <w:rsid w:val="00B714E8"/>
    <w:rsid w:val="00B83E3D"/>
    <w:rsid w:val="00B90DB5"/>
    <w:rsid w:val="00B94693"/>
    <w:rsid w:val="00BA0109"/>
    <w:rsid w:val="00BA2BCF"/>
    <w:rsid w:val="00BA7CA8"/>
    <w:rsid w:val="00BA7E22"/>
    <w:rsid w:val="00BB25DE"/>
    <w:rsid w:val="00BC50C1"/>
    <w:rsid w:val="00BC7811"/>
    <w:rsid w:val="00BD1C20"/>
    <w:rsid w:val="00BD1F64"/>
    <w:rsid w:val="00BD205A"/>
    <w:rsid w:val="00BD2649"/>
    <w:rsid w:val="00BD55AD"/>
    <w:rsid w:val="00BE2018"/>
    <w:rsid w:val="00BE505F"/>
    <w:rsid w:val="00BF00A9"/>
    <w:rsid w:val="00BF426F"/>
    <w:rsid w:val="00C00B47"/>
    <w:rsid w:val="00C0126E"/>
    <w:rsid w:val="00C05423"/>
    <w:rsid w:val="00C11326"/>
    <w:rsid w:val="00C131D7"/>
    <w:rsid w:val="00C13ABA"/>
    <w:rsid w:val="00C2264F"/>
    <w:rsid w:val="00C27A3D"/>
    <w:rsid w:val="00C4491F"/>
    <w:rsid w:val="00C53BF7"/>
    <w:rsid w:val="00C55B57"/>
    <w:rsid w:val="00C61A31"/>
    <w:rsid w:val="00C66700"/>
    <w:rsid w:val="00C73719"/>
    <w:rsid w:val="00CA5F76"/>
    <w:rsid w:val="00CB795E"/>
    <w:rsid w:val="00CC39C8"/>
    <w:rsid w:val="00CF45CC"/>
    <w:rsid w:val="00D07EC2"/>
    <w:rsid w:val="00D10AF1"/>
    <w:rsid w:val="00D11EDB"/>
    <w:rsid w:val="00D13181"/>
    <w:rsid w:val="00D13D60"/>
    <w:rsid w:val="00D16EF3"/>
    <w:rsid w:val="00D3244E"/>
    <w:rsid w:val="00D33A43"/>
    <w:rsid w:val="00D3673A"/>
    <w:rsid w:val="00D37294"/>
    <w:rsid w:val="00D3741F"/>
    <w:rsid w:val="00D40067"/>
    <w:rsid w:val="00D422E5"/>
    <w:rsid w:val="00D45610"/>
    <w:rsid w:val="00D471A6"/>
    <w:rsid w:val="00D62923"/>
    <w:rsid w:val="00D6302E"/>
    <w:rsid w:val="00D67E9A"/>
    <w:rsid w:val="00D76659"/>
    <w:rsid w:val="00D877AE"/>
    <w:rsid w:val="00D92D77"/>
    <w:rsid w:val="00DA50D6"/>
    <w:rsid w:val="00DB54A4"/>
    <w:rsid w:val="00DC127A"/>
    <w:rsid w:val="00DC2A79"/>
    <w:rsid w:val="00DC356C"/>
    <w:rsid w:val="00DD2E79"/>
    <w:rsid w:val="00DE22E2"/>
    <w:rsid w:val="00DF7606"/>
    <w:rsid w:val="00DF7C32"/>
    <w:rsid w:val="00E00F9B"/>
    <w:rsid w:val="00E0423D"/>
    <w:rsid w:val="00E06BC8"/>
    <w:rsid w:val="00E1498A"/>
    <w:rsid w:val="00E15169"/>
    <w:rsid w:val="00E35AAA"/>
    <w:rsid w:val="00E43F82"/>
    <w:rsid w:val="00E7460D"/>
    <w:rsid w:val="00E82C89"/>
    <w:rsid w:val="00E91760"/>
    <w:rsid w:val="00E92B9E"/>
    <w:rsid w:val="00E93D7C"/>
    <w:rsid w:val="00E96071"/>
    <w:rsid w:val="00EA2CDC"/>
    <w:rsid w:val="00EA483C"/>
    <w:rsid w:val="00EC2DBE"/>
    <w:rsid w:val="00ED1011"/>
    <w:rsid w:val="00ED1055"/>
    <w:rsid w:val="00ED2B70"/>
    <w:rsid w:val="00ED5465"/>
    <w:rsid w:val="00ED60EE"/>
    <w:rsid w:val="00EE0868"/>
    <w:rsid w:val="00EF7D89"/>
    <w:rsid w:val="00F074CE"/>
    <w:rsid w:val="00F07E89"/>
    <w:rsid w:val="00F162F1"/>
    <w:rsid w:val="00F2545E"/>
    <w:rsid w:val="00F33D07"/>
    <w:rsid w:val="00F50491"/>
    <w:rsid w:val="00F50994"/>
    <w:rsid w:val="00F53D5A"/>
    <w:rsid w:val="00F605E6"/>
    <w:rsid w:val="00F74AD4"/>
    <w:rsid w:val="00F74DFC"/>
    <w:rsid w:val="00F93F71"/>
    <w:rsid w:val="00F96FDB"/>
    <w:rsid w:val="00FB4DEF"/>
    <w:rsid w:val="00FC690D"/>
    <w:rsid w:val="00FD1E77"/>
    <w:rsid w:val="00FE50B6"/>
    <w:rsid w:val="00FF3B7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14:docId w14:val="06A956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109"/>
    <w:pPr>
      <w:spacing w:line="280" w:lineRule="exact"/>
    </w:pPr>
    <w:rPr>
      <w:rFonts w:ascii="Arial" w:eastAsiaTheme="minorEastAsia" w:hAnsi="Arial"/>
      <w:sz w:val="20"/>
      <w:szCs w:val="21"/>
    </w:rPr>
  </w:style>
  <w:style w:type="paragraph" w:styleId="Heading1">
    <w:name w:val="heading 1"/>
    <w:basedOn w:val="Normal"/>
    <w:next w:val="Normal"/>
    <w:link w:val="Heading1Char"/>
    <w:uiPriority w:val="2"/>
    <w:qFormat/>
    <w:rsid w:val="00AB53A4"/>
    <w:pPr>
      <w:spacing w:before="240" w:line="240" w:lineRule="auto"/>
      <w:outlineLvl w:val="0"/>
    </w:pPr>
    <w:rPr>
      <w:rFonts w:asciiTheme="majorHAnsi" w:hAnsiTheme="majorHAnsi"/>
      <w:color w:val="001A70" w:themeColor="text2"/>
      <w:sz w:val="52"/>
    </w:rPr>
  </w:style>
  <w:style w:type="paragraph" w:styleId="Heading2">
    <w:name w:val="heading 2"/>
    <w:basedOn w:val="Heading1"/>
    <w:next w:val="Normal"/>
    <w:link w:val="Heading2Char"/>
    <w:uiPriority w:val="9"/>
    <w:unhideWhenUsed/>
    <w:qFormat/>
    <w:rsid w:val="00AB53A4"/>
    <w:pPr>
      <w:spacing w:after="120" w:line="280" w:lineRule="exac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AB53A4"/>
    <w:rPr>
      <w:rFonts w:asciiTheme="majorHAnsi" w:eastAsiaTheme="minorEastAsia" w:hAnsiTheme="majorHAnsi"/>
      <w:color w:val="001A70" w:themeColor="text2"/>
      <w:sz w:val="52"/>
      <w:szCs w:val="21"/>
    </w:rPr>
  </w:style>
  <w:style w:type="paragraph" w:styleId="ListParagraph">
    <w:name w:val="List Paragraph"/>
    <w:aliases w:val="Bullet point,Bullets,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135417"/>
    <w:pPr>
      <w:numPr>
        <w:numId w:val="2"/>
      </w:numPr>
      <w:spacing w:after="60"/>
    </w:pPr>
  </w:style>
  <w:style w:type="character" w:customStyle="1" w:styleId="Heading2Char">
    <w:name w:val="Heading 2 Char"/>
    <w:basedOn w:val="DefaultParagraphFont"/>
    <w:link w:val="Heading2"/>
    <w:uiPriority w:val="9"/>
    <w:rsid w:val="00AB53A4"/>
    <w:rPr>
      <w:rFonts w:asciiTheme="majorHAnsi" w:eastAsiaTheme="minorEastAsia" w:hAnsiTheme="majorHAnsi"/>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autoRedefine/>
    <w:uiPriority w:val="99"/>
    <w:unhideWhenUsed/>
    <w:rsid w:val="00D37294"/>
    <w:pPr>
      <w:tabs>
        <w:tab w:val="center" w:pos="4513"/>
        <w:tab w:val="right" w:pos="9026"/>
      </w:tabs>
      <w:spacing w:after="0" w:line="240" w:lineRule="auto"/>
    </w:pPr>
    <w:rPr>
      <w:color w:val="001A70" w:themeColor="text2"/>
      <w:sz w:val="16"/>
    </w:rPr>
  </w:style>
  <w:style w:type="character" w:customStyle="1" w:styleId="FooterChar">
    <w:name w:val="Footer Char"/>
    <w:basedOn w:val="DefaultParagraphFont"/>
    <w:link w:val="Footer"/>
    <w:uiPriority w:val="99"/>
    <w:rsid w:val="00D37294"/>
    <w:rPr>
      <w:rFonts w:ascii="Arial" w:eastAsiaTheme="minorEastAsia" w:hAnsi="Arial"/>
      <w:color w:val="001A70" w:themeColor="text2"/>
      <w:sz w:val="16"/>
      <w:szCs w:val="21"/>
    </w:rPr>
  </w:style>
  <w:style w:type="paragraph" w:styleId="Title">
    <w:name w:val="Title"/>
    <w:basedOn w:val="Normal"/>
    <w:next w:val="Normal"/>
    <w:link w:val="TitleChar"/>
    <w:autoRedefine/>
    <w:rsid w:val="009F52D4"/>
    <w:pPr>
      <w:framePr w:w="10096" w:wrap="auto" w:hAnchor="text" w:y="-5"/>
      <w:spacing w:after="0" w:line="240" w:lineRule="auto"/>
      <w:contextualSpacing/>
    </w:pPr>
    <w:rPr>
      <w:rFonts w:asciiTheme="majorHAnsi" w:eastAsiaTheme="majorEastAsia" w:hAnsiTheme="majorHAnsi" w:cstheme="majorBidi"/>
      <w:color w:val="001A70" w:themeColor="text2"/>
      <w:spacing w:val="-10"/>
      <w:kern w:val="28"/>
      <w:sz w:val="52"/>
      <w:szCs w:val="56"/>
    </w:rPr>
  </w:style>
  <w:style w:type="character" w:customStyle="1" w:styleId="TitleChar">
    <w:name w:val="Title Char"/>
    <w:basedOn w:val="DefaultParagraphFont"/>
    <w:link w:val="Title"/>
    <w:rsid w:val="009F52D4"/>
    <w:rPr>
      <w:rFonts w:asciiTheme="majorHAnsi" w:eastAsiaTheme="majorEastAsia" w:hAnsiTheme="majorHAnsi" w:cstheme="majorBidi"/>
      <w:color w:val="001A70" w:themeColor="text2"/>
      <w:spacing w:val="-10"/>
      <w:kern w:val="28"/>
      <w:sz w:val="52"/>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B8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E3D"/>
    <w:rPr>
      <w:rFonts w:ascii="Segoe UI" w:eastAsiaTheme="minorEastAsia" w:hAnsi="Segoe UI" w:cs="Segoe UI"/>
      <w:sz w:val="18"/>
      <w:szCs w:val="18"/>
    </w:rPr>
  </w:style>
  <w:style w:type="character" w:styleId="BookTitle">
    <w:name w:val="Book Title"/>
    <w:aliases w:val="Description"/>
    <w:basedOn w:val="DefaultParagraphFont"/>
    <w:uiPriority w:val="33"/>
    <w:rsid w:val="009000AA"/>
    <w:rPr>
      <w:rFonts w:asciiTheme="minorHAnsi" w:hAnsiTheme="minorHAnsi"/>
      <w:b/>
      <w:bCs/>
      <w:i/>
      <w:iCs/>
      <w:spacing w:val="5"/>
      <w:sz w:val="22"/>
    </w:rPr>
  </w:style>
  <w:style w:type="paragraph" w:customStyle="1" w:styleId="Default">
    <w:name w:val="Default"/>
    <w:rsid w:val="0055052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907B4A"/>
    <w:rPr>
      <w:sz w:val="16"/>
      <w:szCs w:val="16"/>
    </w:rPr>
  </w:style>
  <w:style w:type="paragraph" w:styleId="CommentText">
    <w:name w:val="annotation text"/>
    <w:basedOn w:val="Normal"/>
    <w:link w:val="CommentTextChar"/>
    <w:uiPriority w:val="99"/>
    <w:unhideWhenUsed/>
    <w:rsid w:val="00907B4A"/>
    <w:pPr>
      <w:spacing w:line="240" w:lineRule="auto"/>
    </w:pPr>
    <w:rPr>
      <w:szCs w:val="20"/>
    </w:rPr>
  </w:style>
  <w:style w:type="character" w:customStyle="1" w:styleId="CommentTextChar">
    <w:name w:val="Comment Text Char"/>
    <w:basedOn w:val="DefaultParagraphFont"/>
    <w:link w:val="CommentText"/>
    <w:uiPriority w:val="99"/>
    <w:rsid w:val="00907B4A"/>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907B4A"/>
    <w:rPr>
      <w:b/>
      <w:bCs/>
    </w:rPr>
  </w:style>
  <w:style w:type="character" w:customStyle="1" w:styleId="CommentSubjectChar">
    <w:name w:val="Comment Subject Char"/>
    <w:basedOn w:val="CommentTextChar"/>
    <w:link w:val="CommentSubject"/>
    <w:uiPriority w:val="99"/>
    <w:semiHidden/>
    <w:rsid w:val="00907B4A"/>
    <w:rPr>
      <w:rFonts w:ascii="Arial" w:eastAsiaTheme="minorEastAsia" w:hAnsi="Arial"/>
      <w:b/>
      <w:bCs/>
      <w:sz w:val="20"/>
      <w:szCs w:val="20"/>
    </w:rPr>
  </w:style>
  <w:style w:type="paragraph" w:styleId="Revision">
    <w:name w:val="Revision"/>
    <w:hidden/>
    <w:uiPriority w:val="99"/>
    <w:semiHidden/>
    <w:rsid w:val="004B243F"/>
    <w:pPr>
      <w:spacing w:after="0" w:line="240" w:lineRule="auto"/>
    </w:pPr>
    <w:rPr>
      <w:rFonts w:ascii="Arial" w:eastAsiaTheme="minorEastAsia" w:hAnsi="Arial"/>
      <w:sz w:val="20"/>
      <w:szCs w:val="21"/>
    </w:rPr>
  </w:style>
  <w:style w:type="character" w:styleId="Hyperlink">
    <w:name w:val="Hyperlink"/>
    <w:basedOn w:val="DefaultParagraphFont"/>
    <w:uiPriority w:val="99"/>
    <w:unhideWhenUsed/>
    <w:rsid w:val="009B32BA"/>
    <w:rPr>
      <w:color w:val="7D2248" w:themeColor="hyperlink"/>
      <w:u w:val="single"/>
    </w:rPr>
  </w:style>
  <w:style w:type="character" w:customStyle="1" w:styleId="UnresolvedMention1">
    <w:name w:val="Unresolved Mention1"/>
    <w:basedOn w:val="DefaultParagraphFont"/>
    <w:uiPriority w:val="99"/>
    <w:semiHidden/>
    <w:unhideWhenUsed/>
    <w:rsid w:val="001C5C56"/>
    <w:rPr>
      <w:color w:val="808080"/>
      <w:shd w:val="clear" w:color="auto" w:fill="E6E6E6"/>
    </w:rPr>
  </w:style>
  <w:style w:type="character" w:styleId="Strong">
    <w:name w:val="Strong"/>
    <w:basedOn w:val="DefaultParagraphFont"/>
    <w:uiPriority w:val="22"/>
    <w:rsid w:val="001E6F63"/>
    <w:rPr>
      <w:b/>
      <w:bCs/>
    </w:rPr>
  </w:style>
  <w:style w:type="character" w:styleId="FollowedHyperlink">
    <w:name w:val="FollowedHyperlink"/>
    <w:basedOn w:val="DefaultParagraphFont"/>
    <w:uiPriority w:val="99"/>
    <w:semiHidden/>
    <w:unhideWhenUsed/>
    <w:rsid w:val="005E1472"/>
    <w:rPr>
      <w:color w:val="5F259F" w:themeColor="followedHyperlink"/>
      <w:u w:val="single"/>
    </w:rPr>
  </w:style>
  <w:style w:type="paragraph" w:customStyle="1" w:styleId="Disclaimer">
    <w:name w:val="Disclaimer"/>
    <w:basedOn w:val="Normal"/>
    <w:uiPriority w:val="10"/>
    <w:qFormat/>
    <w:rsid w:val="00656F11"/>
    <w:pPr>
      <w:ind w:left="567" w:right="1394"/>
    </w:pPr>
    <w:rPr>
      <w:i/>
      <w:sz w:val="16"/>
      <w:szCs w:val="16"/>
    </w:rPr>
  </w:style>
  <w:style w:type="paragraph" w:styleId="NormalWeb">
    <w:name w:val="Normal (Web)"/>
    <w:basedOn w:val="Normal"/>
    <w:uiPriority w:val="99"/>
    <w:semiHidden/>
    <w:unhideWhenUsed/>
    <w:rsid w:val="008553F7"/>
    <w:pPr>
      <w:spacing w:before="100" w:beforeAutospacing="1" w:after="100" w:afterAutospacing="1" w:line="240" w:lineRule="auto"/>
    </w:pPr>
    <w:rPr>
      <w:rFonts w:ascii="Times New Roman" w:hAnsi="Times New Roman" w:cs="Times New Roman"/>
      <w:sz w:val="24"/>
      <w:szCs w:val="24"/>
      <w:lang w:eastAsia="en-AU"/>
    </w:rPr>
  </w:style>
  <w:style w:type="character" w:customStyle="1" w:styleId="UnresolvedMention2">
    <w:name w:val="Unresolved Mention2"/>
    <w:basedOn w:val="DefaultParagraphFont"/>
    <w:uiPriority w:val="99"/>
    <w:semiHidden/>
    <w:unhideWhenUsed/>
    <w:rsid w:val="00420023"/>
    <w:rPr>
      <w:color w:val="605E5C"/>
      <w:shd w:val="clear" w:color="auto" w:fill="E1DFDD"/>
    </w:rPr>
  </w:style>
  <w:style w:type="character" w:customStyle="1" w:styleId="NEWItemNumber">
    <w:name w:val="NEW Item Number"/>
    <w:basedOn w:val="DefaultParagraphFont"/>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customStyle="1" w:styleId="AmendedItemNumber">
    <w:name w:val="Amended Item Number"/>
    <w:basedOn w:val="DeletedItemNumber"/>
    <w:uiPriority w:val="1"/>
    <w:qFormat/>
    <w:rsid w:val="000C3B83"/>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Bullet">
    <w:name w:val="Bullet"/>
    <w:basedOn w:val="Normal"/>
    <w:qFormat/>
    <w:rsid w:val="00F96FDB"/>
    <w:pPr>
      <w:keepNext/>
      <w:keepLines/>
      <w:numPr>
        <w:numId w:val="19"/>
      </w:numPr>
      <w:spacing w:before="60" w:after="60" w:line="300" w:lineRule="auto"/>
      <w:outlineLvl w:val="2"/>
    </w:pPr>
    <w:rPr>
      <w:rFonts w:ascii="Times New Roman" w:hAnsi="Times New Roman"/>
      <w:sz w:val="24"/>
      <w:szCs w:val="24"/>
    </w:rPr>
  </w:style>
  <w:style w:type="table" w:styleId="TableGrid">
    <w:name w:val="Table Grid"/>
    <w:basedOn w:val="TableNormal"/>
    <w:uiPriority w:val="39"/>
    <w:rsid w:val="00BD55AD"/>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 point Char,Bullets Char,CV text Char,Dot pt Char,F5 List Paragraph Char,FooterText Char,L Char,List Paragraph1 Char,List Paragraph11 Char,List Paragraph111 Char,List Paragraph2 Char,Medium Grid 1 - Accent 21 Char,列 Char"/>
    <w:basedOn w:val="DefaultParagraphFont"/>
    <w:link w:val="ListParagraph"/>
    <w:uiPriority w:val="34"/>
    <w:locked/>
    <w:rsid w:val="008C7228"/>
    <w:rPr>
      <w:rFonts w:ascii="Arial" w:eastAsiaTheme="minorEastAsia" w:hAnsi="Arial"/>
      <w:sz w:val="20"/>
      <w:szCs w:val="21"/>
    </w:rPr>
  </w:style>
  <w:style w:type="character" w:styleId="Emphasis">
    <w:name w:val="Emphasis"/>
    <w:basedOn w:val="DefaultParagraphFont"/>
    <w:uiPriority w:val="20"/>
    <w:qFormat/>
    <w:rsid w:val="00E06B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445513">
      <w:bodyDiv w:val="1"/>
      <w:marLeft w:val="0"/>
      <w:marRight w:val="0"/>
      <w:marTop w:val="0"/>
      <w:marBottom w:val="0"/>
      <w:divBdr>
        <w:top w:val="none" w:sz="0" w:space="0" w:color="auto"/>
        <w:left w:val="none" w:sz="0" w:space="0" w:color="auto"/>
        <w:bottom w:val="none" w:sz="0" w:space="0" w:color="auto"/>
        <w:right w:val="none" w:sz="0" w:space="0" w:color="auto"/>
      </w:divBdr>
    </w:div>
    <w:div w:id="715858324">
      <w:bodyDiv w:val="1"/>
      <w:marLeft w:val="0"/>
      <w:marRight w:val="0"/>
      <w:marTop w:val="0"/>
      <w:marBottom w:val="0"/>
      <w:divBdr>
        <w:top w:val="none" w:sz="0" w:space="0" w:color="auto"/>
        <w:left w:val="none" w:sz="0" w:space="0" w:color="auto"/>
        <w:bottom w:val="none" w:sz="0" w:space="0" w:color="auto"/>
        <w:right w:val="none" w:sz="0" w:space="0" w:color="auto"/>
      </w:divBdr>
    </w:div>
    <w:div w:id="949438345">
      <w:bodyDiv w:val="1"/>
      <w:marLeft w:val="0"/>
      <w:marRight w:val="0"/>
      <w:marTop w:val="0"/>
      <w:marBottom w:val="0"/>
      <w:divBdr>
        <w:top w:val="none" w:sz="0" w:space="0" w:color="auto"/>
        <w:left w:val="none" w:sz="0" w:space="0" w:color="auto"/>
        <w:bottom w:val="none" w:sz="0" w:space="0" w:color="auto"/>
        <w:right w:val="none" w:sz="0" w:space="0" w:color="auto"/>
      </w:divBdr>
    </w:div>
    <w:div w:id="207854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ervicesaustralia.gov.au/organisations/health-professionals/news/al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askMBS@health.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sonline.gov.a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health.gov.au/resources/collections/coronavirus-covid-19-national-health-plan-resources" TargetMode="External"/><Relationship Id="rId4" Type="http://schemas.openxmlformats.org/officeDocument/2006/relationships/webSettings" Target="webSettings.xml"/><Relationship Id="rId9" Type="http://schemas.openxmlformats.org/officeDocument/2006/relationships/hyperlink" Target="https://agedcare.royalcommission.gov.au/publications/aged-care-and-covid-19-special-repor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1224</Words>
  <Characters>6697</Characters>
  <Application>Microsoft Office Word</Application>
  <DocSecurity>0</DocSecurity>
  <Lines>106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2021-09-30T04:18:00Z</dcterms:created>
  <dcterms:modified xsi:type="dcterms:W3CDTF">2021-10-06T04:34:00Z</dcterms:modified>
</cp:coreProperties>
</file>