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AA4C" w14:textId="7D2FB3F3" w:rsidR="00AD63C7" w:rsidRPr="00E3072A" w:rsidRDefault="00E82B2E" w:rsidP="00703900">
      <w:pPr>
        <w:pStyle w:val="Heading1"/>
        <w:ind w:right="95"/>
        <w:rPr>
          <w:szCs w:val="36"/>
        </w:rPr>
      </w:pPr>
      <w:bookmarkStart w:id="0" w:name="_Ref394501517"/>
      <w:bookmarkStart w:id="1" w:name="_GoBack"/>
      <w:bookmarkEnd w:id="1"/>
      <w:r w:rsidRPr="00E3072A">
        <w:rPr>
          <w:szCs w:val="36"/>
        </w:rPr>
        <w:t xml:space="preserve">New </w:t>
      </w:r>
      <w:r w:rsidR="00740567" w:rsidRPr="00E3072A">
        <w:rPr>
          <w:szCs w:val="36"/>
        </w:rPr>
        <w:t>arrangements for</w:t>
      </w:r>
      <w:r w:rsidRPr="00E3072A">
        <w:rPr>
          <w:szCs w:val="36"/>
        </w:rPr>
        <w:t xml:space="preserve"> </w:t>
      </w:r>
      <w:bookmarkEnd w:id="0"/>
      <w:r w:rsidR="00740567" w:rsidRPr="00E3072A">
        <w:rPr>
          <w:szCs w:val="36"/>
        </w:rPr>
        <w:t xml:space="preserve">GP </w:t>
      </w:r>
      <w:r w:rsidR="00191B6D" w:rsidRPr="00E3072A">
        <w:rPr>
          <w:szCs w:val="36"/>
        </w:rPr>
        <w:t>Residential Aged Care Facility</w:t>
      </w:r>
      <w:r w:rsidR="00740567" w:rsidRPr="00E3072A">
        <w:rPr>
          <w:szCs w:val="36"/>
        </w:rPr>
        <w:t xml:space="preserve"> </w:t>
      </w:r>
      <w:r w:rsidR="00FE1C01">
        <w:rPr>
          <w:szCs w:val="36"/>
        </w:rPr>
        <w:t xml:space="preserve">(RACF) </w:t>
      </w:r>
      <w:r w:rsidR="00740567" w:rsidRPr="00E3072A">
        <w:rPr>
          <w:szCs w:val="36"/>
        </w:rPr>
        <w:t>services</w:t>
      </w:r>
    </w:p>
    <w:p w14:paraId="3831E3CD" w14:textId="63CF8362" w:rsidR="00AD63C7" w:rsidRDefault="00AD63C7" w:rsidP="00893413">
      <w:pPr>
        <w:pStyle w:val="Footnote"/>
        <w:spacing w:before="240"/>
      </w:pPr>
      <w:r w:rsidRPr="00990076">
        <w:t xml:space="preserve">Last updated: </w:t>
      </w:r>
      <w:r w:rsidR="00BD7D8E">
        <w:t>05/04/2019</w:t>
      </w:r>
    </w:p>
    <w:p w14:paraId="6CFD002B" w14:textId="6B9C4F27" w:rsidR="00AD63C7" w:rsidRPr="00E3072A" w:rsidRDefault="00740567" w:rsidP="003C124B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24"/>
          <w:szCs w:val="24"/>
        </w:rPr>
      </w:pPr>
      <w:r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N</w:t>
      </w:r>
      <w:r w:rsidR="00993972"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ew</w:t>
      </w:r>
      <w:r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 xml:space="preserve"> </w:t>
      </w:r>
      <w:r w:rsidR="00142DC5"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items</w:t>
      </w:r>
      <w:r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 xml:space="preserve"> for doctors’ RACF services</w:t>
      </w:r>
    </w:p>
    <w:p w14:paraId="2823B68D" w14:textId="2C3B9516" w:rsidR="00142DC5" w:rsidRDefault="00344FC5" w:rsidP="00F60A61">
      <w:pPr>
        <w:spacing w:before="0"/>
      </w:pPr>
      <w:r>
        <w:t xml:space="preserve">On 1 March 2019, </w:t>
      </w:r>
      <w:r w:rsidR="00991D2F">
        <w:t xml:space="preserve">the Government introduced </w:t>
      </w:r>
      <w:r>
        <w:t>n</w:t>
      </w:r>
      <w:r w:rsidR="00F60A61">
        <w:t>ew</w:t>
      </w:r>
      <w:r w:rsidR="0033528F">
        <w:t xml:space="preserve"> </w:t>
      </w:r>
      <w:r w:rsidR="00991D2F">
        <w:t xml:space="preserve">MBS </w:t>
      </w:r>
      <w:r w:rsidR="003B63F6">
        <w:t>items</w:t>
      </w:r>
      <w:r w:rsidR="00BD7D8E">
        <w:t xml:space="preserve"> for </w:t>
      </w:r>
      <w:r w:rsidR="00D60153">
        <w:t xml:space="preserve">professional </w:t>
      </w:r>
      <w:r w:rsidR="00000C55">
        <w:t>services</w:t>
      </w:r>
      <w:r w:rsidR="003B5B33">
        <w:t xml:space="preserve"> </w:t>
      </w:r>
      <w:r w:rsidR="003B63F6">
        <w:t xml:space="preserve">provided </w:t>
      </w:r>
      <w:r w:rsidR="003B5B33">
        <w:t>by a</w:t>
      </w:r>
      <w:r w:rsidR="00D60153">
        <w:t xml:space="preserve"> </w:t>
      </w:r>
      <w:r w:rsidR="00817D7A">
        <w:t xml:space="preserve">general </w:t>
      </w:r>
      <w:r w:rsidR="00721A2C">
        <w:t>practitioner</w:t>
      </w:r>
      <w:r w:rsidR="0033528F">
        <w:t xml:space="preserve"> </w:t>
      </w:r>
      <w:r w:rsidR="00EA5511">
        <w:t xml:space="preserve">(GP) </w:t>
      </w:r>
      <w:r w:rsidR="00725AC5">
        <w:t xml:space="preserve">or </w:t>
      </w:r>
      <w:r w:rsidR="00721A2C">
        <w:t>medical p</w:t>
      </w:r>
      <w:r w:rsidR="002A453F" w:rsidRPr="002A453F">
        <w:t>ractitioner</w:t>
      </w:r>
      <w:r w:rsidR="00721A2C">
        <w:t xml:space="preserve"> at</w:t>
      </w:r>
      <w:r w:rsidR="00817D7A">
        <w:t xml:space="preserve"> a</w:t>
      </w:r>
      <w:r w:rsidR="00721A2C">
        <w:t xml:space="preserve"> </w:t>
      </w:r>
      <w:r w:rsidR="00EA5511">
        <w:t>RACF</w:t>
      </w:r>
      <w:r w:rsidR="003B5B33">
        <w:t>.</w:t>
      </w:r>
      <w:r w:rsidR="00F60A61">
        <w:t xml:space="preserve"> </w:t>
      </w:r>
      <w:r w:rsidR="00205E87">
        <w:t>T</w:t>
      </w:r>
      <w:r w:rsidR="003B63F6">
        <w:t>he new items</w:t>
      </w:r>
      <w:r w:rsidR="00205E87">
        <w:t xml:space="preserve"> </w:t>
      </w:r>
      <w:r w:rsidR="003B63F6">
        <w:t xml:space="preserve">include </w:t>
      </w:r>
      <w:r w:rsidR="00F60A61">
        <w:t xml:space="preserve">a </w:t>
      </w:r>
      <w:r w:rsidR="002A453F">
        <w:t xml:space="preserve">call-out fee </w:t>
      </w:r>
      <w:r w:rsidR="003B63F6">
        <w:t>to cover doctors’ costs of travel to a RACF</w:t>
      </w:r>
      <w:r w:rsidR="00142DC5">
        <w:t xml:space="preserve"> </w:t>
      </w:r>
      <w:r w:rsidR="00142DC5" w:rsidRPr="00F60A61">
        <w:t xml:space="preserve">(MBS items </w:t>
      </w:r>
      <w:r w:rsidR="00142DC5">
        <w:t>90001 and 90002)</w:t>
      </w:r>
      <w:r w:rsidR="003B63F6">
        <w:t xml:space="preserve">, </w:t>
      </w:r>
      <w:r w:rsidR="00205E87">
        <w:t xml:space="preserve">and </w:t>
      </w:r>
      <w:r w:rsidR="00991D2F">
        <w:t xml:space="preserve">new </w:t>
      </w:r>
      <w:r w:rsidR="003B63F6">
        <w:t>(</w:t>
      </w:r>
      <w:r w:rsidR="00991D2F" w:rsidRPr="00205E87">
        <w:t xml:space="preserve">standard </w:t>
      </w:r>
      <w:r w:rsidR="00205E87" w:rsidRPr="00205E87">
        <w:t>Level A to D</w:t>
      </w:r>
      <w:r w:rsidR="003B63F6">
        <w:t>)</w:t>
      </w:r>
      <w:r w:rsidR="00205E87" w:rsidRPr="00205E87">
        <w:t xml:space="preserve"> </w:t>
      </w:r>
      <w:r w:rsidR="00D2150E">
        <w:t>attendance items.</w:t>
      </w:r>
      <w:r w:rsidR="00142DC5">
        <w:t xml:space="preserve"> </w:t>
      </w:r>
    </w:p>
    <w:p w14:paraId="40FC6383" w14:textId="75DBE3D3" w:rsidR="00725AC5" w:rsidRPr="00F60A61" w:rsidRDefault="00142DC5" w:rsidP="00F60A61">
      <w:pPr>
        <w:spacing w:before="0"/>
      </w:pPr>
      <w:r>
        <w:t xml:space="preserve">The new items </w:t>
      </w:r>
      <w:r w:rsidR="00991D2F">
        <w:t>simplify claims for RACF services, and replace the derived fee payment model.</w:t>
      </w:r>
      <w:r>
        <w:t xml:space="preserve"> </w:t>
      </w:r>
    </w:p>
    <w:p w14:paraId="2D827607" w14:textId="1ACFF07A" w:rsidR="00F60A61" w:rsidRPr="00E3072A" w:rsidRDefault="00991D2F" w:rsidP="003C124B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24"/>
          <w:szCs w:val="24"/>
        </w:rPr>
      </w:pPr>
      <w:r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C</w:t>
      </w:r>
      <w:r w:rsidR="00817D7A"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all-out</w:t>
      </w:r>
      <w:r w:rsidR="00F60A61" w:rsidRPr="00E3072A"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 xml:space="preserve"> fee</w:t>
      </w:r>
    </w:p>
    <w:p w14:paraId="474DC5D1" w14:textId="4B64624D" w:rsidR="00142DC5" w:rsidRPr="00F60A61" w:rsidRDefault="00FF3090" w:rsidP="00142DC5">
      <w:pPr>
        <w:spacing w:before="0"/>
      </w:pPr>
      <w:r w:rsidRPr="00F60A61">
        <w:t xml:space="preserve">The </w:t>
      </w:r>
      <w:r>
        <w:t>call-out item</w:t>
      </w:r>
      <w:r w:rsidR="00344FC5">
        <w:t xml:space="preserve">s </w:t>
      </w:r>
      <w:r w:rsidR="00142DC5">
        <w:t>apply</w:t>
      </w:r>
      <w:r>
        <w:t xml:space="preserve"> to</w:t>
      </w:r>
      <w:r w:rsidRPr="00F60A61">
        <w:t xml:space="preserve"> </w:t>
      </w:r>
      <w:r w:rsidR="00344FC5">
        <w:t>a doctor’s</w:t>
      </w:r>
      <w:r w:rsidRPr="00F60A61">
        <w:t xml:space="preserve"> initial attendance at </w:t>
      </w:r>
      <w:r w:rsidR="00344FC5">
        <w:t>a</w:t>
      </w:r>
      <w:r w:rsidRPr="00F60A61">
        <w:t xml:space="preserve"> </w:t>
      </w:r>
      <w:r>
        <w:t>RACF,</w:t>
      </w:r>
      <w:r w:rsidRPr="00F60A61">
        <w:t xml:space="preserve"> </w:t>
      </w:r>
      <w:r w:rsidR="00344FC5">
        <w:t xml:space="preserve">and </w:t>
      </w:r>
      <w:r w:rsidR="00142DC5">
        <w:t>are bill</w:t>
      </w:r>
      <w:r w:rsidR="00344FC5">
        <w:t>able</w:t>
      </w:r>
      <w:r>
        <w:t xml:space="preserve"> only </w:t>
      </w:r>
      <w:r w:rsidR="00344FC5">
        <w:t>for</w:t>
      </w:r>
      <w:r>
        <w:t xml:space="preserve"> the first patient seen on </w:t>
      </w:r>
      <w:r w:rsidR="00142DC5">
        <w:t>a</w:t>
      </w:r>
      <w:r>
        <w:t xml:space="preserve"> RACF visit</w:t>
      </w:r>
      <w:r w:rsidRPr="00F60A61">
        <w:t>.</w:t>
      </w:r>
      <w:r w:rsidR="00344FC5">
        <w:t xml:space="preserve"> </w:t>
      </w:r>
      <w:r w:rsidR="00142DC5">
        <w:t>Once a call-out item is billed, d</w:t>
      </w:r>
      <w:r w:rsidR="002A453F">
        <w:t xml:space="preserve">octors </w:t>
      </w:r>
      <w:r w:rsidR="00142DC5">
        <w:t>may then bill an applicable attendance item for each of the RACF patients they see.</w:t>
      </w:r>
      <w:r w:rsidR="00740567">
        <w:t xml:space="preserve"> </w:t>
      </w:r>
      <w:r w:rsidR="00142DC5">
        <w:t>The fees for the call-out items</w:t>
      </w:r>
      <w:r w:rsidR="00142DC5" w:rsidRPr="00F60A61">
        <w:t xml:space="preserve"> </w:t>
      </w:r>
      <w:r w:rsidR="00142DC5">
        <w:t xml:space="preserve">are </w:t>
      </w:r>
      <w:r w:rsidR="00142DC5" w:rsidRPr="00F60A61">
        <w:t xml:space="preserve">$55 for GPs and $40 </w:t>
      </w:r>
      <w:r w:rsidR="00142DC5">
        <w:t>f</w:t>
      </w:r>
      <w:r w:rsidR="00142DC5" w:rsidRPr="00F60A61">
        <w:t xml:space="preserve">or </w:t>
      </w:r>
      <w:r w:rsidR="00C85698">
        <w:t xml:space="preserve">other </w:t>
      </w:r>
      <w:r w:rsidR="00142DC5">
        <w:t>medical practitioners</w:t>
      </w:r>
      <w:r w:rsidR="00FE1C01">
        <w:t>.</w:t>
      </w:r>
    </w:p>
    <w:p w14:paraId="686D9E76" w14:textId="4ED5BECF" w:rsidR="00991D2F" w:rsidRPr="00E3072A" w:rsidRDefault="00991D2F" w:rsidP="00E3072A">
      <w:pPr>
        <w:rPr>
          <w:rFonts w:eastAsiaTheme="majorEastAsia"/>
          <w:b/>
          <w:i/>
          <w:iCs/>
          <w:color w:val="117254"/>
          <w:sz w:val="24"/>
        </w:rPr>
      </w:pPr>
      <w:r w:rsidRPr="00E3072A">
        <w:rPr>
          <w:rFonts w:eastAsiaTheme="majorEastAsia"/>
          <w:color w:val="117254"/>
          <w:sz w:val="24"/>
        </w:rPr>
        <w:t>GP RACF derived fee model</w:t>
      </w:r>
      <w:r w:rsidRPr="00E3072A">
        <w:rPr>
          <w:rFonts w:eastAsiaTheme="majorEastAsia"/>
          <w:b/>
          <w:i/>
          <w:iCs/>
          <w:color w:val="117254"/>
          <w:sz w:val="24"/>
        </w:rPr>
        <w:t xml:space="preserve"> </w:t>
      </w:r>
      <w:r w:rsidRPr="00E3072A">
        <w:rPr>
          <w:rFonts w:eastAsiaTheme="majorEastAsia"/>
          <w:iCs/>
          <w:color w:val="117254"/>
          <w:sz w:val="24"/>
        </w:rPr>
        <w:t>is now obsolete</w:t>
      </w:r>
    </w:p>
    <w:p w14:paraId="3FC299B6" w14:textId="7905F020" w:rsidR="00991D2F" w:rsidRDefault="00991D2F" w:rsidP="00E3072A">
      <w:pPr>
        <w:spacing w:before="0"/>
      </w:pPr>
      <w:r w:rsidRPr="00F97987">
        <w:t>This simplified arrangement replaces the</w:t>
      </w:r>
      <w:r>
        <w:t xml:space="preserve"> derived fee model which was</w:t>
      </w:r>
      <w:r w:rsidRPr="00F97987">
        <w:t xml:space="preserve"> based on a sliding scale related to the number of patients seen.</w:t>
      </w:r>
      <w:r>
        <w:t xml:space="preserve"> RACF derived fee MBS items 20, 35, 43, 51, 92, 93, 95, 96, 183, 188, 202 and 212 are now obsolete.</w:t>
      </w:r>
      <w:r w:rsidR="00740567">
        <w:t xml:space="preserve"> </w:t>
      </w:r>
    </w:p>
    <w:p w14:paraId="7BD444F3" w14:textId="37CE049C" w:rsidR="00A630B5" w:rsidRDefault="00740567" w:rsidP="00E3072A">
      <w:r>
        <w:t xml:space="preserve">Under the new arrangements </w:t>
      </w:r>
      <w:r w:rsidR="00991D2F" w:rsidRPr="00E46F74">
        <w:t>GP</w:t>
      </w:r>
      <w:r w:rsidR="00991D2F">
        <w:t xml:space="preserve">s attending a RACF use </w:t>
      </w:r>
      <w:r w:rsidR="00991D2F" w:rsidRPr="00077CAC">
        <w:t xml:space="preserve">MBS </w:t>
      </w:r>
      <w:r w:rsidR="00991D2F">
        <w:t>items 90020, 90035, 90043, 90051</w:t>
      </w:r>
      <w:r w:rsidR="00FE1C01">
        <w:t>, irrespective of Modified Monash Model (MMM) location</w:t>
      </w:r>
      <w:r w:rsidR="00991D2F">
        <w:t>; and</w:t>
      </w:r>
      <w:r>
        <w:t xml:space="preserve"> </w:t>
      </w:r>
      <w:r w:rsidR="00A630B5">
        <w:t>m</w:t>
      </w:r>
      <w:r w:rsidR="00991D2F">
        <w:t xml:space="preserve">edical practitioners attending a RACF use </w:t>
      </w:r>
      <w:r w:rsidR="00991D2F" w:rsidRPr="00077CAC">
        <w:t>MBS item</w:t>
      </w:r>
      <w:r w:rsidR="00991D2F">
        <w:t>s</w:t>
      </w:r>
      <w:r w:rsidR="00991D2F" w:rsidRPr="00077CAC">
        <w:t xml:space="preserve"> 90092, 90093, 90095, 90096</w:t>
      </w:r>
      <w:r w:rsidR="00991D2F">
        <w:t>, 90183, 90188, 90202, 90212</w:t>
      </w:r>
      <w:r w:rsidR="00A630B5">
        <w:t xml:space="preserve">, depending on </w:t>
      </w:r>
      <w:r w:rsidR="00FE1C01">
        <w:t>MMM</w:t>
      </w:r>
      <w:r w:rsidR="00A630B5">
        <w:t xml:space="preserve"> location</w:t>
      </w:r>
      <w:r>
        <w:t xml:space="preserve">. 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3969"/>
      </w:tblGrid>
      <w:tr w:rsidR="00991D2F" w:rsidRPr="006C027D" w14:paraId="35397F74" w14:textId="77777777" w:rsidTr="00A922BC">
        <w:tc>
          <w:tcPr>
            <w:tcW w:w="1413" w:type="dxa"/>
          </w:tcPr>
          <w:p w14:paraId="55BCFE8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6C027D">
              <w:rPr>
                <w:rFonts w:asciiTheme="minorHAnsi" w:hAnsiTheme="minorHAnsi"/>
                <w:b/>
                <w:szCs w:val="22"/>
              </w:rPr>
              <w:t>Current item (</w:t>
            </w:r>
            <w:r>
              <w:rPr>
                <w:rFonts w:asciiTheme="minorHAnsi" w:hAnsiTheme="minorHAnsi"/>
                <w:b/>
                <w:szCs w:val="22"/>
              </w:rPr>
              <w:t>obsolete from 1 March 2019</w:t>
            </w:r>
            <w:r w:rsidRPr="006C027D">
              <w:rPr>
                <w:rFonts w:asciiTheme="minorHAnsi" w:hAnsiTheme="minorHAnsi"/>
                <w:b/>
                <w:szCs w:val="22"/>
              </w:rPr>
              <w:t>)</w:t>
            </w:r>
          </w:p>
        </w:tc>
        <w:tc>
          <w:tcPr>
            <w:tcW w:w="1701" w:type="dxa"/>
          </w:tcPr>
          <w:p w14:paraId="4E7D7196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6C027D">
              <w:rPr>
                <w:rFonts w:asciiTheme="minorHAnsi" w:hAnsiTheme="minorHAnsi"/>
                <w:b/>
                <w:szCs w:val="22"/>
              </w:rPr>
              <w:t>New item</w:t>
            </w:r>
            <w:r>
              <w:rPr>
                <w:rFonts w:asciiTheme="minorHAnsi" w:hAnsiTheme="minorHAnsi"/>
                <w:b/>
                <w:szCs w:val="22"/>
              </w:rPr>
              <w:t xml:space="preserve"> from 1 March 2019</w:t>
            </w:r>
          </w:p>
        </w:tc>
        <w:tc>
          <w:tcPr>
            <w:tcW w:w="2268" w:type="dxa"/>
          </w:tcPr>
          <w:p w14:paraId="3D7B5A9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6C027D">
              <w:rPr>
                <w:rFonts w:asciiTheme="minorHAnsi" w:hAnsiTheme="minorHAnsi"/>
                <w:b/>
                <w:szCs w:val="22"/>
              </w:rPr>
              <w:t xml:space="preserve">Fee/Benefit </w:t>
            </w:r>
          </w:p>
        </w:tc>
        <w:tc>
          <w:tcPr>
            <w:tcW w:w="3969" w:type="dxa"/>
          </w:tcPr>
          <w:p w14:paraId="404F173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6C027D">
              <w:rPr>
                <w:rFonts w:asciiTheme="minorHAnsi" w:hAnsiTheme="minorHAnsi"/>
                <w:b/>
                <w:szCs w:val="22"/>
              </w:rPr>
              <w:t>Provider</w:t>
            </w:r>
          </w:p>
        </w:tc>
      </w:tr>
      <w:tr w:rsidR="00D56A4B" w:rsidRPr="006C027D" w14:paraId="0347C2EF" w14:textId="77777777" w:rsidTr="00A922BC">
        <w:tc>
          <w:tcPr>
            <w:tcW w:w="1413" w:type="dxa"/>
          </w:tcPr>
          <w:p w14:paraId="0BEC72E1" w14:textId="19FC6F77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N/A</w:t>
            </w:r>
          </w:p>
        </w:tc>
        <w:tc>
          <w:tcPr>
            <w:tcW w:w="1701" w:type="dxa"/>
          </w:tcPr>
          <w:p w14:paraId="08FFD13F" w14:textId="097FFC4E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90001</w:t>
            </w:r>
          </w:p>
        </w:tc>
        <w:tc>
          <w:tcPr>
            <w:tcW w:w="2268" w:type="dxa"/>
          </w:tcPr>
          <w:p w14:paraId="590B1781" w14:textId="4E8CA1B2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$55/</w:t>
            </w:r>
            <w:r w:rsidRPr="006C027D">
              <w:rPr>
                <w:rFonts w:asciiTheme="minorHAnsi" w:hAnsiTheme="minorHAnsi"/>
                <w:szCs w:val="22"/>
              </w:rPr>
              <w:t>(100% of fee)</w:t>
            </w:r>
          </w:p>
        </w:tc>
        <w:tc>
          <w:tcPr>
            <w:tcW w:w="3969" w:type="dxa"/>
          </w:tcPr>
          <w:p w14:paraId="1991A3DB" w14:textId="1F11DC65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GP</w:t>
            </w:r>
          </w:p>
        </w:tc>
      </w:tr>
      <w:tr w:rsidR="00D56A4B" w:rsidRPr="006C027D" w14:paraId="08983528" w14:textId="77777777" w:rsidTr="00A922BC">
        <w:tc>
          <w:tcPr>
            <w:tcW w:w="1413" w:type="dxa"/>
          </w:tcPr>
          <w:p w14:paraId="124FF161" w14:textId="79C0726C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N/A</w:t>
            </w:r>
          </w:p>
        </w:tc>
        <w:tc>
          <w:tcPr>
            <w:tcW w:w="1701" w:type="dxa"/>
          </w:tcPr>
          <w:p w14:paraId="1FEBBE41" w14:textId="0A6100B1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90002</w:t>
            </w:r>
          </w:p>
        </w:tc>
        <w:tc>
          <w:tcPr>
            <w:tcW w:w="2268" w:type="dxa"/>
          </w:tcPr>
          <w:p w14:paraId="31EE76F1" w14:textId="31C0751E" w:rsidR="00D56A4B" w:rsidRPr="006C027D" w:rsidRDefault="00D56A4B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$40 </w:t>
            </w:r>
            <w:r w:rsidRPr="006C027D">
              <w:rPr>
                <w:rFonts w:asciiTheme="minorHAnsi" w:hAnsiTheme="minorHAnsi"/>
                <w:szCs w:val="22"/>
              </w:rPr>
              <w:t>/(100% of fee)</w:t>
            </w:r>
          </w:p>
        </w:tc>
        <w:tc>
          <w:tcPr>
            <w:tcW w:w="3969" w:type="dxa"/>
          </w:tcPr>
          <w:p w14:paraId="2455BF4A" w14:textId="4F976AF4" w:rsidR="00D56A4B" w:rsidRPr="006C027D" w:rsidRDefault="006C7909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 Medical P</w:t>
            </w:r>
            <w:r w:rsidR="00D56A4B">
              <w:rPr>
                <w:rFonts w:asciiTheme="minorHAnsi" w:hAnsiTheme="minorHAnsi"/>
                <w:szCs w:val="22"/>
              </w:rPr>
              <w:t>ractitioner</w:t>
            </w:r>
          </w:p>
        </w:tc>
      </w:tr>
      <w:tr w:rsidR="00991D2F" w:rsidRPr="006C027D" w14:paraId="4A5EE30F" w14:textId="77777777" w:rsidTr="00A922BC">
        <w:tc>
          <w:tcPr>
            <w:tcW w:w="1413" w:type="dxa"/>
          </w:tcPr>
          <w:p w14:paraId="79DB5802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20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ECC40E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90020</w:t>
            </w:r>
          </w:p>
        </w:tc>
        <w:tc>
          <w:tcPr>
            <w:tcW w:w="2268" w:type="dxa"/>
          </w:tcPr>
          <w:p w14:paraId="2CE1F73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$17.20/(100% of fee)</w:t>
            </w:r>
          </w:p>
        </w:tc>
        <w:tc>
          <w:tcPr>
            <w:tcW w:w="3969" w:type="dxa"/>
          </w:tcPr>
          <w:p w14:paraId="73D4EB9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 xml:space="preserve">GP </w:t>
            </w:r>
          </w:p>
        </w:tc>
      </w:tr>
      <w:tr w:rsidR="00991D2F" w:rsidRPr="006C027D" w14:paraId="61F7C1F8" w14:textId="77777777" w:rsidTr="00A922BC">
        <w:tc>
          <w:tcPr>
            <w:tcW w:w="1413" w:type="dxa"/>
          </w:tcPr>
          <w:p w14:paraId="3539A32C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35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F3597F6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90035</w:t>
            </w:r>
          </w:p>
        </w:tc>
        <w:tc>
          <w:tcPr>
            <w:tcW w:w="2268" w:type="dxa"/>
          </w:tcPr>
          <w:p w14:paraId="4613B56C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$37.60/(100% of fee)</w:t>
            </w:r>
          </w:p>
        </w:tc>
        <w:tc>
          <w:tcPr>
            <w:tcW w:w="3969" w:type="dxa"/>
          </w:tcPr>
          <w:p w14:paraId="7D23D03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 xml:space="preserve">GP </w:t>
            </w:r>
          </w:p>
        </w:tc>
      </w:tr>
      <w:tr w:rsidR="00991D2F" w:rsidRPr="006C027D" w14:paraId="6192948C" w14:textId="77777777" w:rsidTr="00A922BC">
        <w:tc>
          <w:tcPr>
            <w:tcW w:w="1413" w:type="dxa"/>
          </w:tcPr>
          <w:p w14:paraId="78D927D3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43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DD9B699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90043</w:t>
            </w:r>
          </w:p>
        </w:tc>
        <w:tc>
          <w:tcPr>
            <w:tcW w:w="2268" w:type="dxa"/>
          </w:tcPr>
          <w:p w14:paraId="643EE99D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$72.80/(100% of fee)</w:t>
            </w:r>
          </w:p>
        </w:tc>
        <w:tc>
          <w:tcPr>
            <w:tcW w:w="3969" w:type="dxa"/>
          </w:tcPr>
          <w:p w14:paraId="5C952AAA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 xml:space="preserve">GP </w:t>
            </w:r>
          </w:p>
        </w:tc>
      </w:tr>
      <w:tr w:rsidR="00991D2F" w:rsidRPr="006C027D" w14:paraId="695326F5" w14:textId="77777777" w:rsidTr="00A922BC">
        <w:tc>
          <w:tcPr>
            <w:tcW w:w="1413" w:type="dxa"/>
          </w:tcPr>
          <w:p w14:paraId="4F59A210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51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CAB2C89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90051</w:t>
            </w:r>
          </w:p>
        </w:tc>
        <w:tc>
          <w:tcPr>
            <w:tcW w:w="2268" w:type="dxa"/>
          </w:tcPr>
          <w:p w14:paraId="0DD84CC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$107.15/(100% of fee)</w:t>
            </w:r>
          </w:p>
        </w:tc>
        <w:tc>
          <w:tcPr>
            <w:tcW w:w="3969" w:type="dxa"/>
          </w:tcPr>
          <w:p w14:paraId="3E05387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 xml:space="preserve">GP </w:t>
            </w:r>
          </w:p>
        </w:tc>
      </w:tr>
      <w:tr w:rsidR="00991D2F" w:rsidRPr="006C027D" w14:paraId="12CC0382" w14:textId="77777777" w:rsidTr="00A922BC">
        <w:tc>
          <w:tcPr>
            <w:tcW w:w="1413" w:type="dxa"/>
          </w:tcPr>
          <w:p w14:paraId="360A720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92</w:t>
            </w:r>
          </w:p>
        </w:tc>
        <w:tc>
          <w:tcPr>
            <w:tcW w:w="1701" w:type="dxa"/>
          </w:tcPr>
          <w:p w14:paraId="49C53508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90092</w:t>
            </w:r>
          </w:p>
        </w:tc>
        <w:tc>
          <w:tcPr>
            <w:tcW w:w="2268" w:type="dxa"/>
          </w:tcPr>
          <w:p w14:paraId="2D90607B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$8.50/(100% of fee)</w:t>
            </w:r>
          </w:p>
        </w:tc>
        <w:tc>
          <w:tcPr>
            <w:tcW w:w="3969" w:type="dxa"/>
          </w:tcPr>
          <w:p w14:paraId="16D209BB" w14:textId="3957141C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Other </w:t>
            </w:r>
            <w:r w:rsidR="00991D2F">
              <w:rPr>
                <w:rFonts w:asciiTheme="minorHAnsi" w:hAnsiTheme="minorHAnsi"/>
                <w:szCs w:val="22"/>
              </w:rPr>
              <w:t>M</w:t>
            </w:r>
            <w:r w:rsidR="00991D2F" w:rsidRPr="00E46F74">
              <w:rPr>
                <w:rFonts w:asciiTheme="minorHAnsi" w:hAnsiTheme="minorHAnsi"/>
                <w:szCs w:val="22"/>
              </w:rPr>
              <w:t>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</w:t>
            </w:r>
            <w:r w:rsidR="00991D2F">
              <w:rPr>
                <w:rFonts w:asciiTheme="minorHAnsi" w:hAnsiTheme="minorHAnsi"/>
                <w:szCs w:val="22"/>
              </w:rPr>
              <w:t xml:space="preserve">MM 1 </w:t>
            </w:r>
          </w:p>
        </w:tc>
      </w:tr>
      <w:tr w:rsidR="00991D2F" w:rsidRPr="006C027D" w14:paraId="62935DD9" w14:textId="77777777" w:rsidTr="00A922BC">
        <w:tc>
          <w:tcPr>
            <w:tcW w:w="1413" w:type="dxa"/>
          </w:tcPr>
          <w:p w14:paraId="37AF4B06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93</w:t>
            </w:r>
          </w:p>
        </w:tc>
        <w:tc>
          <w:tcPr>
            <w:tcW w:w="1701" w:type="dxa"/>
          </w:tcPr>
          <w:p w14:paraId="5ADDF2E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90093</w:t>
            </w:r>
          </w:p>
        </w:tc>
        <w:tc>
          <w:tcPr>
            <w:tcW w:w="2268" w:type="dxa"/>
          </w:tcPr>
          <w:p w14:paraId="0FBB897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$16/(100% of fee)</w:t>
            </w:r>
          </w:p>
        </w:tc>
        <w:tc>
          <w:tcPr>
            <w:tcW w:w="3969" w:type="dxa"/>
          </w:tcPr>
          <w:p w14:paraId="28947684" w14:textId="2F088BF1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</w:t>
            </w:r>
            <w:r w:rsidR="00991D2F">
              <w:rPr>
                <w:rFonts w:asciiTheme="minorHAnsi" w:hAnsiTheme="minorHAnsi"/>
                <w:szCs w:val="22"/>
              </w:rPr>
              <w:t xml:space="preserve">MM 1 </w:t>
            </w:r>
          </w:p>
        </w:tc>
      </w:tr>
      <w:tr w:rsidR="00991D2F" w:rsidRPr="006C027D" w14:paraId="3BC7F353" w14:textId="77777777" w:rsidTr="00A922BC">
        <w:tc>
          <w:tcPr>
            <w:tcW w:w="1413" w:type="dxa"/>
          </w:tcPr>
          <w:p w14:paraId="4A843B0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95</w:t>
            </w:r>
          </w:p>
        </w:tc>
        <w:tc>
          <w:tcPr>
            <w:tcW w:w="1701" w:type="dxa"/>
          </w:tcPr>
          <w:p w14:paraId="4DD861CA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90095</w:t>
            </w:r>
          </w:p>
        </w:tc>
        <w:tc>
          <w:tcPr>
            <w:tcW w:w="2268" w:type="dxa"/>
          </w:tcPr>
          <w:p w14:paraId="012C66B7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$35.50/(100% of fee)</w:t>
            </w:r>
          </w:p>
        </w:tc>
        <w:tc>
          <w:tcPr>
            <w:tcW w:w="3969" w:type="dxa"/>
          </w:tcPr>
          <w:p w14:paraId="1F6D3647" w14:textId="53AA1ABA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E10A92">
              <w:rPr>
                <w:rFonts w:asciiTheme="minorHAnsi" w:hAnsiTheme="minorHAnsi"/>
                <w:szCs w:val="22"/>
              </w:rPr>
              <w:t xml:space="preserve"> MM</w:t>
            </w:r>
            <w:r w:rsidR="00991D2F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10A92">
              <w:rPr>
                <w:rFonts w:asciiTheme="minorHAnsi" w:hAnsiTheme="minorHAnsi"/>
                <w:szCs w:val="22"/>
              </w:rPr>
              <w:t>1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991D2F" w:rsidRPr="006C027D" w14:paraId="26A01D78" w14:textId="77777777" w:rsidTr="00A922BC">
        <w:tc>
          <w:tcPr>
            <w:tcW w:w="1413" w:type="dxa"/>
          </w:tcPr>
          <w:p w14:paraId="00CE789B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96</w:t>
            </w:r>
          </w:p>
        </w:tc>
        <w:tc>
          <w:tcPr>
            <w:tcW w:w="1701" w:type="dxa"/>
          </w:tcPr>
          <w:p w14:paraId="0BF58C02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90096</w:t>
            </w:r>
          </w:p>
        </w:tc>
        <w:tc>
          <w:tcPr>
            <w:tcW w:w="2268" w:type="dxa"/>
          </w:tcPr>
          <w:p w14:paraId="6608D6F5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$57.50/(100% of fee)</w:t>
            </w:r>
          </w:p>
        </w:tc>
        <w:tc>
          <w:tcPr>
            <w:tcW w:w="3969" w:type="dxa"/>
          </w:tcPr>
          <w:p w14:paraId="7C2B5D1D" w14:textId="7FF6A0E1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E10A92">
              <w:rPr>
                <w:rFonts w:asciiTheme="minorHAnsi" w:hAnsiTheme="minorHAnsi"/>
                <w:szCs w:val="22"/>
              </w:rPr>
              <w:t xml:space="preserve"> MM</w:t>
            </w:r>
            <w:r w:rsidR="00991D2F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10A92">
              <w:rPr>
                <w:rFonts w:asciiTheme="minorHAnsi" w:hAnsiTheme="minorHAnsi"/>
                <w:szCs w:val="22"/>
              </w:rPr>
              <w:t>1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991D2F" w:rsidRPr="006C027D" w14:paraId="1254C60D" w14:textId="77777777" w:rsidTr="00A922BC">
        <w:tc>
          <w:tcPr>
            <w:tcW w:w="1413" w:type="dxa"/>
          </w:tcPr>
          <w:p w14:paraId="679748DA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183</w:t>
            </w:r>
          </w:p>
        </w:tc>
        <w:tc>
          <w:tcPr>
            <w:tcW w:w="1701" w:type="dxa"/>
          </w:tcPr>
          <w:p w14:paraId="31D2BF3E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90183</w:t>
            </w:r>
          </w:p>
        </w:tc>
        <w:tc>
          <w:tcPr>
            <w:tcW w:w="2268" w:type="dxa"/>
          </w:tcPr>
          <w:p w14:paraId="7CFF8483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$13.75/(100% of fee)</w:t>
            </w:r>
          </w:p>
        </w:tc>
        <w:tc>
          <w:tcPr>
            <w:tcW w:w="3969" w:type="dxa"/>
          </w:tcPr>
          <w:p w14:paraId="718B915E" w14:textId="418E5409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MM 2-7 </w:t>
            </w:r>
          </w:p>
        </w:tc>
      </w:tr>
      <w:tr w:rsidR="00991D2F" w:rsidRPr="006C027D" w14:paraId="6B792753" w14:textId="77777777" w:rsidTr="00A922BC">
        <w:tc>
          <w:tcPr>
            <w:tcW w:w="1413" w:type="dxa"/>
          </w:tcPr>
          <w:p w14:paraId="593EA0C9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188</w:t>
            </w:r>
          </w:p>
        </w:tc>
        <w:tc>
          <w:tcPr>
            <w:tcW w:w="1701" w:type="dxa"/>
          </w:tcPr>
          <w:p w14:paraId="52AB2479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90188</w:t>
            </w:r>
          </w:p>
        </w:tc>
        <w:tc>
          <w:tcPr>
            <w:tcW w:w="2268" w:type="dxa"/>
          </w:tcPr>
          <w:p w14:paraId="0AA30D8D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$30.10/(100% of fee)</w:t>
            </w:r>
          </w:p>
        </w:tc>
        <w:tc>
          <w:tcPr>
            <w:tcW w:w="3969" w:type="dxa"/>
          </w:tcPr>
          <w:p w14:paraId="2C4B9AAA" w14:textId="5AB47077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MM 2-7 </w:t>
            </w:r>
          </w:p>
        </w:tc>
      </w:tr>
      <w:tr w:rsidR="00991D2F" w:rsidRPr="006C027D" w14:paraId="57F2C9DB" w14:textId="77777777" w:rsidTr="00A922BC">
        <w:tc>
          <w:tcPr>
            <w:tcW w:w="1413" w:type="dxa"/>
          </w:tcPr>
          <w:p w14:paraId="21E6848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202</w:t>
            </w:r>
          </w:p>
        </w:tc>
        <w:tc>
          <w:tcPr>
            <w:tcW w:w="1701" w:type="dxa"/>
          </w:tcPr>
          <w:p w14:paraId="23760B54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90202</w:t>
            </w:r>
          </w:p>
        </w:tc>
        <w:tc>
          <w:tcPr>
            <w:tcW w:w="2268" w:type="dxa"/>
          </w:tcPr>
          <w:p w14:paraId="029D4D6B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$58.25/(100% of fee)</w:t>
            </w:r>
          </w:p>
        </w:tc>
        <w:tc>
          <w:tcPr>
            <w:tcW w:w="3969" w:type="dxa"/>
          </w:tcPr>
          <w:p w14:paraId="67AFA250" w14:textId="5EFF8394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MM 2-7 </w:t>
            </w:r>
          </w:p>
        </w:tc>
      </w:tr>
      <w:tr w:rsidR="00991D2F" w:rsidRPr="006C027D" w14:paraId="06DCACFE" w14:textId="77777777" w:rsidTr="00A922BC">
        <w:tc>
          <w:tcPr>
            <w:tcW w:w="1413" w:type="dxa"/>
          </w:tcPr>
          <w:p w14:paraId="1836AB88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212</w:t>
            </w:r>
          </w:p>
        </w:tc>
        <w:tc>
          <w:tcPr>
            <w:tcW w:w="1701" w:type="dxa"/>
          </w:tcPr>
          <w:p w14:paraId="045F3323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90212</w:t>
            </w:r>
          </w:p>
        </w:tc>
        <w:tc>
          <w:tcPr>
            <w:tcW w:w="2268" w:type="dxa"/>
          </w:tcPr>
          <w:p w14:paraId="53397811" w14:textId="77777777" w:rsidR="00991D2F" w:rsidRPr="006C027D" w:rsidRDefault="00991D2F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6C027D">
              <w:rPr>
                <w:rFonts w:asciiTheme="minorHAnsi" w:hAnsiTheme="minorHAnsi"/>
                <w:szCs w:val="22"/>
              </w:rPr>
              <w:t>$85.70/(100% of fee)</w:t>
            </w:r>
          </w:p>
        </w:tc>
        <w:tc>
          <w:tcPr>
            <w:tcW w:w="3969" w:type="dxa"/>
          </w:tcPr>
          <w:p w14:paraId="5EC00069" w14:textId="1CAAD7C3" w:rsidR="00991D2F" w:rsidRPr="006C027D" w:rsidRDefault="006C7909" w:rsidP="00A922BC">
            <w:pPr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  <w:r w:rsidRPr="00E46F74">
              <w:rPr>
                <w:rFonts w:asciiTheme="minorHAnsi" w:hAnsiTheme="minorHAnsi"/>
                <w:szCs w:val="22"/>
              </w:rPr>
              <w:t xml:space="preserve"> </w:t>
            </w:r>
            <w:r w:rsidR="00991D2F" w:rsidRPr="00E46F74">
              <w:rPr>
                <w:rFonts w:asciiTheme="minorHAnsi" w:hAnsiTheme="minorHAnsi"/>
                <w:szCs w:val="22"/>
              </w:rPr>
              <w:t>Medical practitioner</w:t>
            </w:r>
            <w:r w:rsidR="00991D2F" w:rsidRPr="006C027D">
              <w:rPr>
                <w:rFonts w:asciiTheme="minorHAnsi" w:hAnsiTheme="minorHAnsi"/>
                <w:szCs w:val="22"/>
              </w:rPr>
              <w:t xml:space="preserve"> MM 2-7 </w:t>
            </w:r>
          </w:p>
        </w:tc>
      </w:tr>
    </w:tbl>
    <w:p w14:paraId="52EC16D6" w14:textId="763B0B0D" w:rsidR="00A630B5" w:rsidRDefault="00A630B5" w:rsidP="00A630B5">
      <w:r>
        <w:lastRenderedPageBreak/>
        <w:t xml:space="preserve">The MM </w:t>
      </w:r>
      <w:r w:rsidRPr="00DC7582">
        <w:t>classification</w:t>
      </w:r>
      <w:r>
        <w:t>s</w:t>
      </w:r>
      <w:r w:rsidRPr="00DC7582">
        <w:t xml:space="preserve"> of </w:t>
      </w:r>
      <w:r>
        <w:t xml:space="preserve">RACF </w:t>
      </w:r>
      <w:r w:rsidRPr="00DC7582">
        <w:t>location</w:t>
      </w:r>
      <w:r>
        <w:t>s can be found at the</w:t>
      </w:r>
      <w:r w:rsidRPr="00DC7582">
        <w:t> </w:t>
      </w:r>
      <w:hyperlink r:id="rId7" w:history="1">
        <w:r w:rsidRPr="00DC7582">
          <w:rPr>
            <w:rStyle w:val="Hyperlink"/>
          </w:rPr>
          <w:t>Modified Monash Model locator</w:t>
        </w:r>
      </w:hyperlink>
      <w:r w:rsidRPr="00DC7582">
        <w:t>.</w:t>
      </w:r>
    </w:p>
    <w:p w14:paraId="6DA5E32E" w14:textId="5D501F71" w:rsidR="007B19BB" w:rsidRPr="00E3072A" w:rsidRDefault="00F6621D" w:rsidP="007B19BB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24"/>
          <w:szCs w:val="24"/>
        </w:rPr>
      </w:pPr>
      <w:r>
        <w:rPr>
          <w:rFonts w:eastAsiaTheme="majorEastAsia"/>
          <w:b w:val="0"/>
          <w:i w:val="0"/>
          <w:iCs w:val="0"/>
          <w:color w:val="117254"/>
          <w:sz w:val="24"/>
          <w:szCs w:val="24"/>
        </w:rPr>
        <w:t>Billing</w:t>
      </w:r>
    </w:p>
    <w:p w14:paraId="1D1EDF59" w14:textId="75939E06" w:rsidR="00443A16" w:rsidRDefault="00443A16" w:rsidP="00C47F2D">
      <w:pPr>
        <w:spacing w:before="240"/>
      </w:pPr>
      <w:r>
        <w:t xml:space="preserve">The RACF items are only for Medicare-eligible </w:t>
      </w:r>
      <w:r w:rsidR="00FE1C01">
        <w:t>GP</w:t>
      </w:r>
      <w:r>
        <w:t xml:space="preserve"> </w:t>
      </w:r>
      <w:r w:rsidR="00A1296E">
        <w:t>and</w:t>
      </w:r>
      <w:r>
        <w:t xml:space="preserve"> other medical practitioners providing primary care services in RACFs.</w:t>
      </w:r>
      <w:r w:rsidDel="00740567">
        <w:t xml:space="preserve"> </w:t>
      </w:r>
      <w:r w:rsidR="00D56A4B">
        <w:t>Doctors employed by RACFs cannot claim the items, nor can specialists, consultant physicians, nurses and other allied health practitioners.</w:t>
      </w:r>
    </w:p>
    <w:p w14:paraId="0D7C7894" w14:textId="78DB9367" w:rsidR="0051629F" w:rsidRDefault="00C47F2D" w:rsidP="00C47F2D">
      <w:pPr>
        <w:spacing w:before="240"/>
      </w:pPr>
      <w:r>
        <w:t>I</w:t>
      </w:r>
      <w:r w:rsidRPr="00C47F2D">
        <w:t>tem</w:t>
      </w:r>
      <w:r>
        <w:t>s</w:t>
      </w:r>
      <w:r w:rsidRPr="00C47F2D">
        <w:t xml:space="preserve"> 90001</w:t>
      </w:r>
      <w:r>
        <w:t xml:space="preserve"> and 90002</w:t>
      </w:r>
      <w:r w:rsidRPr="00C47F2D">
        <w:t xml:space="preserve"> provide a call-out fee for the initial attendance by a </w:t>
      </w:r>
      <w:r w:rsidR="00FE1C01">
        <w:t>GP</w:t>
      </w:r>
      <w:r w:rsidRPr="00C47F2D">
        <w:t xml:space="preserve"> </w:t>
      </w:r>
      <w:r>
        <w:t xml:space="preserve">or other medical practitioner </w:t>
      </w:r>
      <w:r w:rsidRPr="00C47F2D">
        <w:t>at one RACF, on one occasion, applicable only to the first patient seen on the RACF visit.</w:t>
      </w:r>
      <w:r w:rsidR="00CE2F41">
        <w:t xml:space="preserve"> </w:t>
      </w:r>
      <w:r w:rsidRPr="00C47F2D">
        <w:t>The item</w:t>
      </w:r>
      <w:r>
        <w:t>s</w:t>
      </w:r>
      <w:r w:rsidRPr="00C47F2D">
        <w:t xml:space="preserve"> must be billed in association with a</w:t>
      </w:r>
      <w:r w:rsidR="00F6621D">
        <w:t>n attendance item</w:t>
      </w:r>
      <w:r w:rsidRPr="00C47F2D">
        <w:t xml:space="preserve"> and both services</w:t>
      </w:r>
      <w:r w:rsidR="00F6621D">
        <w:t xml:space="preserve"> (call-out and attendance)</w:t>
      </w:r>
      <w:r w:rsidRPr="00C47F2D">
        <w:t xml:space="preserve"> must be billed in the same way (i.e. either both bulk-</w:t>
      </w:r>
      <w:r>
        <w:t>billed or both patient billed).</w:t>
      </w:r>
      <w:r w:rsidR="0051629F">
        <w:t xml:space="preserve"> </w:t>
      </w:r>
    </w:p>
    <w:p w14:paraId="46B9BCB7" w14:textId="79DEB78F" w:rsidR="00F6621D" w:rsidRPr="00E3072A" w:rsidRDefault="00443A16" w:rsidP="00F6621D">
      <w:pPr>
        <w:spacing w:before="0" w:after="60"/>
        <w:rPr>
          <w:i/>
        </w:rPr>
      </w:pPr>
      <w:r>
        <w:rPr>
          <w:i/>
        </w:rPr>
        <w:t>Item</w:t>
      </w:r>
      <w:r w:rsidR="00F6621D" w:rsidRPr="00E3072A">
        <w:rPr>
          <w:i/>
        </w:rPr>
        <w:t xml:space="preserve"> restrictions</w:t>
      </w:r>
    </w:p>
    <w:p w14:paraId="368C81E0" w14:textId="238021FA" w:rsidR="00443A16" w:rsidRPr="005D5459" w:rsidRDefault="00443A16" w:rsidP="00443A16">
      <w:r>
        <w:t xml:space="preserve">In general, the call-out fee is intended as </w:t>
      </w:r>
      <w:r w:rsidR="00D56A4B">
        <w:t>a</w:t>
      </w:r>
      <w:r>
        <w:t xml:space="preserve"> one-off payment to help reimburse travel expenses, but i</w:t>
      </w:r>
      <w:r w:rsidRPr="005D5459">
        <w:t xml:space="preserve">f a doctor has to return to </w:t>
      </w:r>
      <w:r>
        <w:t>a</w:t>
      </w:r>
      <w:r w:rsidRPr="005D5459">
        <w:t xml:space="preserve"> RACF</w:t>
      </w:r>
      <w:r>
        <w:t xml:space="preserve">, </w:t>
      </w:r>
      <w:r w:rsidRPr="005D5459">
        <w:t>on the same day and the attendances are not a continuation of an earlier episode of treatment, another call-out fee would apply per subsequent RACF visit.</w:t>
      </w:r>
      <w:r w:rsidR="00CE2F41">
        <w:t xml:space="preserve"> </w:t>
      </w:r>
      <w:r>
        <w:t>In such circumstances, doctors should retain evidence to support their claims</w:t>
      </w:r>
      <w:r w:rsidR="00123A3E">
        <w:t>, and should note that rest breaks would not warrant billing another call-out item.</w:t>
      </w:r>
    </w:p>
    <w:p w14:paraId="1481E363" w14:textId="77777777" w:rsidR="00B96337" w:rsidRDefault="00B96337" w:rsidP="00B96337">
      <w:r>
        <w:t>The call-out fee is payable once per visit to any RACF regardless of whether the practitioner sees DVA or non-DVA patients or a combination of both.</w:t>
      </w:r>
    </w:p>
    <w:p w14:paraId="55FCF68D" w14:textId="77777777" w:rsidR="00B96337" w:rsidRPr="00423284" w:rsidRDefault="00B96337" w:rsidP="00B96337">
      <w:r w:rsidRPr="004C7318">
        <w:rPr>
          <w:rFonts w:eastAsia="Calibri" w:cs="Times New Roman"/>
        </w:rPr>
        <w:t xml:space="preserve">Similarly, where two or more RACFs are co-located or are adjacent to each other, a </w:t>
      </w:r>
      <w:r>
        <w:rPr>
          <w:rFonts w:eastAsia="Calibri" w:cs="Times New Roman"/>
        </w:rPr>
        <w:t>practitioner</w:t>
      </w:r>
      <w:r w:rsidRPr="004C7318">
        <w:rPr>
          <w:rFonts w:eastAsia="Calibri" w:cs="Times New Roman"/>
        </w:rPr>
        <w:t xml:space="preserve"> is not eligible for </w:t>
      </w:r>
      <w:r>
        <w:rPr>
          <w:rFonts w:eastAsia="Calibri" w:cs="Times New Roman"/>
        </w:rPr>
        <w:t>extra</w:t>
      </w:r>
      <w:r w:rsidRPr="004C7318">
        <w:rPr>
          <w:rFonts w:eastAsia="Calibri" w:cs="Times New Roman"/>
        </w:rPr>
        <w:t xml:space="preserve"> compensation for visiting the second </w:t>
      </w:r>
      <w:r>
        <w:rPr>
          <w:rFonts w:eastAsia="Calibri" w:cs="Times New Roman"/>
        </w:rPr>
        <w:t>facility</w:t>
      </w:r>
      <w:r w:rsidRPr="004C7318">
        <w:rPr>
          <w:rFonts w:eastAsia="Calibri" w:cs="Times New Roman"/>
        </w:rPr>
        <w:t>.</w:t>
      </w:r>
      <w:r>
        <w:t xml:space="preserve"> </w:t>
      </w:r>
    </w:p>
    <w:p w14:paraId="2CDBFB5C" w14:textId="77777777" w:rsidR="00DB10E0" w:rsidRDefault="00DB10E0" w:rsidP="00DB10E0">
      <w:pPr>
        <w:spacing w:before="240"/>
      </w:pPr>
      <w:r w:rsidRPr="00F6621D">
        <w:t>The call-out items cannot be billed with existing derived fee services, including afterhours</w:t>
      </w:r>
      <w:r w:rsidRPr="00E3072A">
        <w:t xml:space="preserve"> or telehealth services</w:t>
      </w:r>
      <w:r>
        <w:t xml:space="preserve">, nor can they be billed with </w:t>
      </w:r>
      <w:r w:rsidRPr="00E3072A">
        <w:t>urgent afterhours</w:t>
      </w:r>
      <w:r>
        <w:t xml:space="preserve"> items</w:t>
      </w:r>
      <w:r w:rsidRPr="00E3072A">
        <w:t xml:space="preserve">. </w:t>
      </w:r>
      <w:r>
        <w:t>In addition, b</w:t>
      </w:r>
      <w:r w:rsidRPr="00F6621D">
        <w:t>ulk billing</w:t>
      </w:r>
      <w:r>
        <w:t xml:space="preserve"> (items 10990 or 10991)</w:t>
      </w:r>
      <w:r w:rsidRPr="00F6621D">
        <w:t xml:space="preserve"> and rural incentives</w:t>
      </w:r>
      <w:r>
        <w:t xml:space="preserve"> </w:t>
      </w:r>
      <w:r w:rsidRPr="00F6621D">
        <w:t xml:space="preserve">apply only to attendance items, not to the </w:t>
      </w:r>
      <w:r w:rsidRPr="00E3072A">
        <w:t>call-out items 90001 and 90002</w:t>
      </w:r>
      <w:r>
        <w:t>, and may be claimed only once per patient.</w:t>
      </w:r>
      <w:r w:rsidRPr="00F6621D">
        <w:t xml:space="preserve"> </w:t>
      </w:r>
      <w:r>
        <w:t>Bulk billing incentive and rural incentive items have not changed.</w:t>
      </w:r>
    </w:p>
    <w:p w14:paraId="6030F454" w14:textId="22BF411C" w:rsidR="00D2150E" w:rsidRPr="004C657B" w:rsidRDefault="00D2150E" w:rsidP="00E65FD6">
      <w:pPr>
        <w:spacing w:before="240"/>
        <w:rPr>
          <w:sz w:val="24"/>
        </w:rPr>
      </w:pPr>
      <w:r w:rsidRPr="004C657B">
        <w:rPr>
          <w:rFonts w:eastAsiaTheme="majorEastAsia" w:cs="Arial"/>
          <w:bCs/>
          <w:color w:val="117254"/>
          <w:sz w:val="24"/>
        </w:rPr>
        <w:t xml:space="preserve">Find out more </w:t>
      </w:r>
    </w:p>
    <w:p w14:paraId="0A53C39C" w14:textId="6363162D" w:rsidR="00D2150E" w:rsidRPr="00347EF6" w:rsidRDefault="00D2150E" w:rsidP="00D2150E">
      <w:r>
        <w:t xml:space="preserve">The full item descriptor and information on other changes to the MBS can be found at the </w:t>
      </w:r>
      <w:hyperlink r:id="rId8" w:history="1">
        <w:r w:rsidRPr="00E65FD6">
          <w:rPr>
            <w:rStyle w:val="Hyperlink"/>
          </w:rPr>
          <w:t>MBS Online website</w:t>
        </w:r>
      </w:hyperlink>
      <w:r w:rsidR="00191B6D">
        <w:t>.</w:t>
      </w:r>
    </w:p>
    <w:sectPr w:rsidR="00D2150E" w:rsidRPr="00347EF6" w:rsidSect="00AD6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0CE3" w14:textId="77777777" w:rsidR="00CE11EC" w:rsidRDefault="00CE11EC">
      <w:pPr>
        <w:spacing w:before="0" w:after="0"/>
      </w:pPr>
      <w:r>
        <w:separator/>
      </w:r>
    </w:p>
  </w:endnote>
  <w:endnote w:type="continuationSeparator" w:id="0">
    <w:p w14:paraId="79DB93E4" w14:textId="77777777" w:rsidR="00CE11EC" w:rsidRDefault="00CE11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521BT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6B69" w14:textId="77777777" w:rsidR="00990076" w:rsidRDefault="008D27BA" w:rsidP="00743091"/>
  <w:p w14:paraId="5DC47847" w14:textId="77777777" w:rsidR="00A87435" w:rsidRDefault="008D27BA" w:rsidP="007430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855F" w14:textId="267C9403" w:rsidR="00E2002F" w:rsidRPr="00E3072A" w:rsidRDefault="00D32A36" w:rsidP="00E2002F">
    <w:pPr>
      <w:pStyle w:val="Heading1"/>
      <w:ind w:right="95"/>
      <w:rPr>
        <w:szCs w:val="36"/>
      </w:rPr>
    </w:pPr>
    <w:r w:rsidRPr="00893413">
      <w:rPr>
        <w:rStyle w:val="Strong"/>
        <w:sz w:val="16"/>
        <w:szCs w:val="16"/>
      </w:rPr>
      <w:t xml:space="preserve">Medicare Benefits Schedule </w:t>
    </w:r>
    <w:r w:rsidRPr="00893413">
      <w:rPr>
        <w:rStyle w:val="Strong"/>
        <w:sz w:val="16"/>
        <w:szCs w:val="16"/>
      </w:rPr>
      <w:br/>
      <w:t xml:space="preserve">Fact Sheet: </w:t>
    </w:r>
    <w:r w:rsidR="00E2002F" w:rsidRPr="00E2002F">
      <w:rPr>
        <w:b w:val="0"/>
        <w:sz w:val="16"/>
        <w:szCs w:val="16"/>
      </w:rPr>
      <w:t>New arrangements for GP Residential Aged Care Facility services</w:t>
    </w:r>
  </w:p>
  <w:p w14:paraId="2790A5ED" w14:textId="4A7EAF68" w:rsidR="00690C0B" w:rsidRPr="00A563EC" w:rsidRDefault="00E679D2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E679D2">
      <w:rPr>
        <w:rStyle w:val="Strong"/>
        <w:sz w:val="16"/>
        <w:szCs w:val="16"/>
      </w:rPr>
      <w:t>)</w:t>
    </w:r>
    <w:r w:rsidR="00D32A36"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="00D32A36" w:rsidRPr="00A563EC">
          <w:t xml:space="preserve">Page </w:t>
        </w:r>
        <w:r w:rsidR="00D32A36" w:rsidRPr="00A563EC">
          <w:fldChar w:fldCharType="begin"/>
        </w:r>
        <w:r w:rsidR="00D32A36" w:rsidRPr="00A563EC">
          <w:instrText xml:space="preserve"> PAGE  \* Arabic  \* MERGEFORMAT </w:instrText>
        </w:r>
        <w:r w:rsidR="00D32A36" w:rsidRPr="00A563EC">
          <w:fldChar w:fldCharType="separate"/>
        </w:r>
        <w:r w:rsidR="008D27BA">
          <w:rPr>
            <w:noProof/>
          </w:rPr>
          <w:t>1</w:t>
        </w:r>
        <w:r w:rsidR="00D32A36" w:rsidRPr="00A563EC">
          <w:fldChar w:fldCharType="end"/>
        </w:r>
        <w:r w:rsidR="00D32A36" w:rsidRPr="00A563EC">
          <w:t xml:space="preserve"> of </w:t>
        </w:r>
        <w:r w:rsidR="007503FE">
          <w:rPr>
            <w:noProof/>
          </w:rPr>
          <w:fldChar w:fldCharType="begin"/>
        </w:r>
        <w:r w:rsidR="007503FE">
          <w:rPr>
            <w:noProof/>
          </w:rPr>
          <w:instrText xml:space="preserve"> NUMPAGES  \* Arabic  \* MERGEFORMAT </w:instrText>
        </w:r>
        <w:r w:rsidR="007503FE">
          <w:rPr>
            <w:noProof/>
          </w:rPr>
          <w:fldChar w:fldCharType="separate"/>
        </w:r>
        <w:r w:rsidR="008D27BA">
          <w:rPr>
            <w:noProof/>
          </w:rPr>
          <w:t>1</w:t>
        </w:r>
        <w:r w:rsidR="007503FE">
          <w:rPr>
            <w:noProof/>
          </w:rPr>
          <w:fldChar w:fldCharType="end"/>
        </w:r>
      </w:sdtContent>
    </w:sdt>
    <w:r w:rsidR="00D32A36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1B86" w14:textId="77777777" w:rsidR="0091062C" w:rsidRDefault="008D27BA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716B0" w14:textId="77777777" w:rsidR="00CE11EC" w:rsidRDefault="00CE11EC">
      <w:pPr>
        <w:spacing w:before="0" w:after="0"/>
      </w:pPr>
      <w:r>
        <w:separator/>
      </w:r>
    </w:p>
  </w:footnote>
  <w:footnote w:type="continuationSeparator" w:id="0">
    <w:p w14:paraId="384AF1D9" w14:textId="77777777" w:rsidR="00CE11EC" w:rsidRDefault="00CE11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7EF35" w14:textId="77777777" w:rsidR="00990076" w:rsidRDefault="008D27BA" w:rsidP="00743091"/>
  <w:p w14:paraId="32209DF2" w14:textId="77777777" w:rsidR="00A87435" w:rsidRDefault="008D27BA" w:rsidP="007430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91EF" w14:textId="77777777" w:rsidR="00A563EC" w:rsidRDefault="008D27BA" w:rsidP="00743091"/>
  <w:p w14:paraId="338271AA" w14:textId="77777777" w:rsidR="00A87435" w:rsidRDefault="00D32A36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61B43222" wp14:editId="58F42541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8AC" w14:textId="77777777" w:rsidR="0091062C" w:rsidRDefault="008D27BA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91B"/>
    <w:multiLevelType w:val="hybridMultilevel"/>
    <w:tmpl w:val="088C6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6E8"/>
    <w:multiLevelType w:val="hybridMultilevel"/>
    <w:tmpl w:val="2C121502"/>
    <w:lvl w:ilvl="0" w:tplc="505EB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5CA2"/>
    <w:multiLevelType w:val="hybridMultilevel"/>
    <w:tmpl w:val="935E1932"/>
    <w:lvl w:ilvl="0" w:tplc="CFE62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C2A64"/>
    <w:multiLevelType w:val="hybridMultilevel"/>
    <w:tmpl w:val="8F985D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E3A31"/>
    <w:multiLevelType w:val="hybridMultilevel"/>
    <w:tmpl w:val="3ED4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B66E7"/>
    <w:multiLevelType w:val="hybridMultilevel"/>
    <w:tmpl w:val="E988B46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3D432CA"/>
    <w:multiLevelType w:val="hybridMultilevel"/>
    <w:tmpl w:val="43BAB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01C6F"/>
    <w:multiLevelType w:val="hybridMultilevel"/>
    <w:tmpl w:val="42B22A92"/>
    <w:lvl w:ilvl="0" w:tplc="7B1E9E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7617"/>
    <w:multiLevelType w:val="hybridMultilevel"/>
    <w:tmpl w:val="CA7EC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7"/>
    <w:rsid w:val="00000522"/>
    <w:rsid w:val="00000C55"/>
    <w:rsid w:val="00003743"/>
    <w:rsid w:val="00067456"/>
    <w:rsid w:val="00077CAC"/>
    <w:rsid w:val="000A1074"/>
    <w:rsid w:val="000B3ACD"/>
    <w:rsid w:val="000B52B1"/>
    <w:rsid w:val="000D485C"/>
    <w:rsid w:val="000E4A93"/>
    <w:rsid w:val="000E7701"/>
    <w:rsid w:val="001111C2"/>
    <w:rsid w:val="00123A3E"/>
    <w:rsid w:val="00134FD0"/>
    <w:rsid w:val="00142DC5"/>
    <w:rsid w:val="0015450E"/>
    <w:rsid w:val="00183CB1"/>
    <w:rsid w:val="00186F73"/>
    <w:rsid w:val="00191B6D"/>
    <w:rsid w:val="001952DB"/>
    <w:rsid w:val="00197ACE"/>
    <w:rsid w:val="001B3443"/>
    <w:rsid w:val="001B5ADC"/>
    <w:rsid w:val="00205E87"/>
    <w:rsid w:val="00207D79"/>
    <w:rsid w:val="002475B1"/>
    <w:rsid w:val="00265596"/>
    <w:rsid w:val="0029304D"/>
    <w:rsid w:val="002A453F"/>
    <w:rsid w:val="002D4450"/>
    <w:rsid w:val="002F3AE3"/>
    <w:rsid w:val="0030786C"/>
    <w:rsid w:val="003114B1"/>
    <w:rsid w:val="0033528F"/>
    <w:rsid w:val="00335866"/>
    <w:rsid w:val="00344FC5"/>
    <w:rsid w:val="00347EF6"/>
    <w:rsid w:val="00357352"/>
    <w:rsid w:val="00365657"/>
    <w:rsid w:val="003779CB"/>
    <w:rsid w:val="00394FA5"/>
    <w:rsid w:val="003A79BE"/>
    <w:rsid w:val="003B4BC6"/>
    <w:rsid w:val="003B5B33"/>
    <w:rsid w:val="003B5B4A"/>
    <w:rsid w:val="003B63F6"/>
    <w:rsid w:val="003C124B"/>
    <w:rsid w:val="003C167A"/>
    <w:rsid w:val="003C4437"/>
    <w:rsid w:val="003C4568"/>
    <w:rsid w:val="003C6F94"/>
    <w:rsid w:val="003D17F9"/>
    <w:rsid w:val="003F445F"/>
    <w:rsid w:val="00423284"/>
    <w:rsid w:val="00434B51"/>
    <w:rsid w:val="00443A16"/>
    <w:rsid w:val="004867E2"/>
    <w:rsid w:val="00491484"/>
    <w:rsid w:val="004A6DE3"/>
    <w:rsid w:val="004C657B"/>
    <w:rsid w:val="004C7318"/>
    <w:rsid w:val="004E340A"/>
    <w:rsid w:val="004F0ACD"/>
    <w:rsid w:val="004F147D"/>
    <w:rsid w:val="005053D1"/>
    <w:rsid w:val="0051629F"/>
    <w:rsid w:val="005216A3"/>
    <w:rsid w:val="0052766A"/>
    <w:rsid w:val="00565D0F"/>
    <w:rsid w:val="005B71AC"/>
    <w:rsid w:val="005C2DFA"/>
    <w:rsid w:val="005E1290"/>
    <w:rsid w:val="005F2E00"/>
    <w:rsid w:val="0060321A"/>
    <w:rsid w:val="006052BB"/>
    <w:rsid w:val="00630269"/>
    <w:rsid w:val="006524AD"/>
    <w:rsid w:val="00656305"/>
    <w:rsid w:val="00657CEE"/>
    <w:rsid w:val="006616A5"/>
    <w:rsid w:val="00677C64"/>
    <w:rsid w:val="006C00A2"/>
    <w:rsid w:val="006C027D"/>
    <w:rsid w:val="006C7909"/>
    <w:rsid w:val="006F1D09"/>
    <w:rsid w:val="00703900"/>
    <w:rsid w:val="00715A82"/>
    <w:rsid w:val="0071655B"/>
    <w:rsid w:val="00721A2C"/>
    <w:rsid w:val="00725AC5"/>
    <w:rsid w:val="00733AA8"/>
    <w:rsid w:val="0074026D"/>
    <w:rsid w:val="00740567"/>
    <w:rsid w:val="00743463"/>
    <w:rsid w:val="007503FE"/>
    <w:rsid w:val="007544B8"/>
    <w:rsid w:val="007B19BB"/>
    <w:rsid w:val="007B6FF7"/>
    <w:rsid w:val="007D6A4F"/>
    <w:rsid w:val="007E6770"/>
    <w:rsid w:val="007F3C55"/>
    <w:rsid w:val="00817D7A"/>
    <w:rsid w:val="008264EB"/>
    <w:rsid w:val="00841525"/>
    <w:rsid w:val="008453EC"/>
    <w:rsid w:val="00854ECB"/>
    <w:rsid w:val="00873B8C"/>
    <w:rsid w:val="008804C8"/>
    <w:rsid w:val="00893413"/>
    <w:rsid w:val="008C2D41"/>
    <w:rsid w:val="008D27BA"/>
    <w:rsid w:val="008D5BB2"/>
    <w:rsid w:val="008F1D33"/>
    <w:rsid w:val="0096112B"/>
    <w:rsid w:val="00971405"/>
    <w:rsid w:val="00977CF1"/>
    <w:rsid w:val="0098460C"/>
    <w:rsid w:val="00991D2F"/>
    <w:rsid w:val="00993972"/>
    <w:rsid w:val="009B4F4A"/>
    <w:rsid w:val="009B517F"/>
    <w:rsid w:val="009D19B6"/>
    <w:rsid w:val="009E7082"/>
    <w:rsid w:val="009F2B8B"/>
    <w:rsid w:val="009F5A72"/>
    <w:rsid w:val="00A10F55"/>
    <w:rsid w:val="00A1296E"/>
    <w:rsid w:val="00A12BDA"/>
    <w:rsid w:val="00A3303F"/>
    <w:rsid w:val="00A4512D"/>
    <w:rsid w:val="00A574D3"/>
    <w:rsid w:val="00A62F01"/>
    <w:rsid w:val="00A630B5"/>
    <w:rsid w:val="00A705AF"/>
    <w:rsid w:val="00A85F21"/>
    <w:rsid w:val="00AB6650"/>
    <w:rsid w:val="00AD14AB"/>
    <w:rsid w:val="00AD25B2"/>
    <w:rsid w:val="00AD63C7"/>
    <w:rsid w:val="00B414E2"/>
    <w:rsid w:val="00B42851"/>
    <w:rsid w:val="00B5325A"/>
    <w:rsid w:val="00B916F5"/>
    <w:rsid w:val="00B96337"/>
    <w:rsid w:val="00BA2CBD"/>
    <w:rsid w:val="00BA3570"/>
    <w:rsid w:val="00BD7D8E"/>
    <w:rsid w:val="00BF255D"/>
    <w:rsid w:val="00C04276"/>
    <w:rsid w:val="00C14EE3"/>
    <w:rsid w:val="00C22F12"/>
    <w:rsid w:val="00C47F2D"/>
    <w:rsid w:val="00C525B2"/>
    <w:rsid w:val="00C82D3F"/>
    <w:rsid w:val="00C84B08"/>
    <w:rsid w:val="00C85698"/>
    <w:rsid w:val="00CB5B1A"/>
    <w:rsid w:val="00CC1A5E"/>
    <w:rsid w:val="00CE11EC"/>
    <w:rsid w:val="00CE2F41"/>
    <w:rsid w:val="00CE4A6E"/>
    <w:rsid w:val="00CE6DD8"/>
    <w:rsid w:val="00CE7D8E"/>
    <w:rsid w:val="00D0522C"/>
    <w:rsid w:val="00D113F3"/>
    <w:rsid w:val="00D14D0F"/>
    <w:rsid w:val="00D14EB3"/>
    <w:rsid w:val="00D2150E"/>
    <w:rsid w:val="00D32A36"/>
    <w:rsid w:val="00D56A4B"/>
    <w:rsid w:val="00D60153"/>
    <w:rsid w:val="00D61E43"/>
    <w:rsid w:val="00D66B99"/>
    <w:rsid w:val="00DB10E0"/>
    <w:rsid w:val="00DB4EDA"/>
    <w:rsid w:val="00DC52F2"/>
    <w:rsid w:val="00DC7582"/>
    <w:rsid w:val="00DE03E4"/>
    <w:rsid w:val="00DF3D42"/>
    <w:rsid w:val="00DF7DF1"/>
    <w:rsid w:val="00E02E84"/>
    <w:rsid w:val="00E10A92"/>
    <w:rsid w:val="00E2002F"/>
    <w:rsid w:val="00E2779A"/>
    <w:rsid w:val="00E3072A"/>
    <w:rsid w:val="00E32BFD"/>
    <w:rsid w:val="00E46F74"/>
    <w:rsid w:val="00E61682"/>
    <w:rsid w:val="00E65FD6"/>
    <w:rsid w:val="00E679D2"/>
    <w:rsid w:val="00E82B2E"/>
    <w:rsid w:val="00E8450D"/>
    <w:rsid w:val="00EA5511"/>
    <w:rsid w:val="00EC5535"/>
    <w:rsid w:val="00EC7251"/>
    <w:rsid w:val="00F31656"/>
    <w:rsid w:val="00F36486"/>
    <w:rsid w:val="00F43419"/>
    <w:rsid w:val="00F52335"/>
    <w:rsid w:val="00F60A61"/>
    <w:rsid w:val="00F6621D"/>
    <w:rsid w:val="00F72A5B"/>
    <w:rsid w:val="00F74179"/>
    <w:rsid w:val="00F7442D"/>
    <w:rsid w:val="00F83CA8"/>
    <w:rsid w:val="00F97987"/>
    <w:rsid w:val="00FA0E34"/>
    <w:rsid w:val="00FB2077"/>
    <w:rsid w:val="00FB4309"/>
    <w:rsid w:val="00FC0CA2"/>
    <w:rsid w:val="00FE1C01"/>
    <w:rsid w:val="00FE21A6"/>
    <w:rsid w:val="00FE4EAD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94625D3"/>
  <w15:docId w15:val="{E6A5C0BD-6E1E-4AE0-883B-2C2FB4A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C02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47E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7EF6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7EF6"/>
    <w:rPr>
      <w:rFonts w:ascii="Arial" w:eastAsiaTheme="minorHAnsi" w:hAnsi="Arial" w:cstheme="minorBidi"/>
      <w:b/>
      <w:bCs/>
      <w:lang w:eastAsia="en-US"/>
    </w:rPr>
  </w:style>
  <w:style w:type="paragraph" w:customStyle="1" w:styleId="CharCharChar">
    <w:name w:val="Char Char Char"/>
    <w:basedOn w:val="Normal"/>
    <w:rsid w:val="00F74179"/>
    <w:pPr>
      <w:spacing w:before="0" w:after="160" w:line="240" w:lineRule="exact"/>
    </w:pPr>
    <w:rPr>
      <w:rFonts w:ascii="Verdana" w:eastAsia="Times New Roman" w:hAnsi="Verdan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sonline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ctorconnect.gov.au/internet/otd/publishing.nsf/content/loca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3823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BLISS, Emma</dc:creator>
  <cp:lastModifiedBy>MAGPANTAY, Cynthia</cp:lastModifiedBy>
  <cp:revision>2</cp:revision>
  <cp:lastPrinted>2019-04-05T02:00:00Z</cp:lastPrinted>
  <dcterms:created xsi:type="dcterms:W3CDTF">2019-04-05T03:35:00Z</dcterms:created>
  <dcterms:modified xsi:type="dcterms:W3CDTF">2019-04-05T03:35:00Z</dcterms:modified>
</cp:coreProperties>
</file>