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9FFE3" w14:textId="2272D93B" w:rsidR="00C72C2D" w:rsidRPr="00432212" w:rsidRDefault="00A44582" w:rsidP="00E95C64">
      <w:pPr>
        <w:pStyle w:val="Heading1"/>
        <w:rPr>
          <w:noProof/>
        </w:rPr>
      </w:pPr>
      <w:r>
        <w:rPr>
          <w:noProof/>
        </w:rPr>
        <w:t>MSAC</w:t>
      </w:r>
      <w:r w:rsidR="00C72C2D" w:rsidRPr="00432212">
        <w:rPr>
          <w:noProof/>
        </w:rPr>
        <w:t xml:space="preserve"> </w:t>
      </w:r>
      <w:r w:rsidR="00B623B0">
        <w:rPr>
          <w:noProof/>
        </w:rPr>
        <w:t>r</w:t>
      </w:r>
      <w:r w:rsidR="00C72C2D" w:rsidRPr="00432212">
        <w:rPr>
          <w:noProof/>
        </w:rPr>
        <w:t xml:space="preserve">ecommendation: </w:t>
      </w:r>
      <w:r w:rsidR="007C4C98">
        <w:rPr>
          <w:noProof/>
        </w:rPr>
        <w:t>New item for diagnosis of hypertension through Ambulatory blood pressure monitoring</w:t>
      </w:r>
    </w:p>
    <w:p w14:paraId="4F84A885" w14:textId="22B57E15" w:rsidR="0003040F" w:rsidRPr="00432212" w:rsidRDefault="0003040F" w:rsidP="00296DD0">
      <w:pPr>
        <w:pStyle w:val="Heading2"/>
      </w:pPr>
      <w:r w:rsidRPr="00432212">
        <w:t>Date of change</w:t>
      </w:r>
      <w:r w:rsidR="00774C9D">
        <w:t>:</w:t>
      </w:r>
      <w:r w:rsidRPr="00432212">
        <w:tab/>
      </w:r>
      <w:r w:rsidR="007C4C98">
        <w:t>1 November</w:t>
      </w:r>
      <w:r w:rsidRPr="00432212">
        <w:t xml:space="preserve"> 20</w:t>
      </w:r>
      <w:r w:rsidR="007C4C98">
        <w:t>21</w:t>
      </w:r>
      <w:r w:rsidR="005D31D6">
        <w:tab/>
      </w:r>
    </w:p>
    <w:p w14:paraId="5A4DCD79" w14:textId="24E2FA73" w:rsidR="0033632B" w:rsidRDefault="00630329" w:rsidP="00296DD0">
      <w:pPr>
        <w:pStyle w:val="Heading2"/>
        <w:rPr>
          <w:rStyle w:val="NEWItemNumber"/>
        </w:rPr>
      </w:pPr>
      <w:bookmarkStart w:id="0" w:name="_Hlk10794542"/>
      <w:r>
        <w:t>New item:</w:t>
      </w:r>
      <w:r>
        <w:tab/>
      </w:r>
      <w:r w:rsidR="00C33613">
        <w:tab/>
      </w:r>
      <w:r>
        <w:rPr>
          <w:rStyle w:val="NEWItemNumber"/>
        </w:rPr>
        <w:t xml:space="preserve"> </w:t>
      </w:r>
      <w:r w:rsidR="007C4C98">
        <w:rPr>
          <w:rStyle w:val="NEWItemNumber"/>
        </w:rPr>
        <w:t>11607</w:t>
      </w:r>
      <w:r>
        <w:rPr>
          <w:rStyle w:val="NEWItemNumber"/>
        </w:rPr>
        <w:t> </w:t>
      </w:r>
      <w:r w:rsidRPr="00630329">
        <w:t xml:space="preserve"> </w:t>
      </w:r>
      <w:r>
        <w:rPr>
          <w:rStyle w:val="NEWItemNumber"/>
        </w:rPr>
        <w:t xml:space="preserve"> </w:t>
      </w:r>
    </w:p>
    <w:p w14:paraId="65B31FC0" w14:textId="55A36578" w:rsidR="00817E4F" w:rsidRPr="00817E4F" w:rsidRDefault="00CD4EAB" w:rsidP="00E63754">
      <w:pPr>
        <w:rPr>
          <w:color w:val="0563C1"/>
          <w:u w:val="single"/>
        </w:rPr>
      </w:pPr>
      <w:r w:rsidRPr="00E63754">
        <w:rPr>
          <w:noProof/>
          <w:color w:val="001A70" w:themeColor="text2"/>
          <w:sz w:val="28"/>
        </w:rPr>
        <w:t xml:space="preserve">Legislation: </w:t>
      </w:r>
      <w:r>
        <w:rPr>
          <w:noProof/>
          <w:color w:val="001A70" w:themeColor="text2"/>
          <w:sz w:val="28"/>
        </w:rPr>
        <w:t xml:space="preserve">  </w:t>
      </w:r>
      <w:hyperlink r:id="rId7" w:history="1">
        <w:r w:rsidR="00EF382F">
          <w:rPr>
            <w:rStyle w:val="Hyperlink"/>
          </w:rPr>
          <w:t>Health Insurance Legislation Amendment (2021 Measures No. 2) Regulations 2021</w:t>
        </w:r>
      </w:hyperlink>
    </w:p>
    <w:bookmarkEnd w:id="0"/>
    <w:p w14:paraId="6D5033ED" w14:textId="3DDA3212" w:rsidR="00464E24" w:rsidRPr="00432212" w:rsidRDefault="003C7791" w:rsidP="008B049A">
      <w:pPr>
        <w:spacing w:after="0" w:line="240" w:lineRule="auto"/>
        <w:rPr>
          <w:noProof/>
        </w:rPr>
      </w:pPr>
      <w:r>
        <w:rPr>
          <w:rStyle w:val="BookTitle"/>
          <w:noProof/>
        </w:rPr>
        <w:pict w14:anchorId="48D12961">
          <v:rect id="_x0000_i1025" style="width:0;height:1.5pt" o:hralign="center" o:hrstd="t" o:hr="t" fillcolor="#a0a0a0" stroked="f"/>
        </w:pict>
      </w:r>
    </w:p>
    <w:p w14:paraId="6A42C6BB" w14:textId="1C47517D" w:rsidR="00F333A7" w:rsidRPr="00520161" w:rsidRDefault="00954745" w:rsidP="00296DD0">
      <w:pPr>
        <w:pStyle w:val="Heading2"/>
      </w:pPr>
      <w:r>
        <w:t>What are the changes?</w:t>
      </w:r>
    </w:p>
    <w:p w14:paraId="3CBFA4CA" w14:textId="77777777" w:rsidR="007C4C98" w:rsidRPr="007C4C98" w:rsidRDefault="007C4C98" w:rsidP="007C4C98">
      <w:pPr>
        <w:pStyle w:val="ListParagraph"/>
        <w:numPr>
          <w:ilvl w:val="0"/>
          <w:numId w:val="1"/>
        </w:numPr>
        <w:rPr>
          <w:noProof/>
          <w:color w:val="001A70" w:themeColor="text2"/>
        </w:rPr>
      </w:pPr>
      <w:bookmarkStart w:id="1" w:name="_Hlk535506978"/>
      <w:r w:rsidRPr="007C4C98">
        <w:rPr>
          <w:noProof/>
          <w:color w:val="001A70" w:themeColor="text2"/>
        </w:rPr>
        <w:t>From 1 November 2021, the Australian Government will introduce a new MBS item for diagnosis of hypertension through Ambulatory blood pressure monitoring for people with suspected hypertension (high blood pressure).</w:t>
      </w:r>
    </w:p>
    <w:bookmarkEnd w:id="1"/>
    <w:p w14:paraId="1F21AA88" w14:textId="1F22B4FB" w:rsidR="007C4C98" w:rsidRPr="007C4C98" w:rsidRDefault="007C4C98" w:rsidP="007C4C98">
      <w:pPr>
        <w:pStyle w:val="ListParagraph"/>
        <w:numPr>
          <w:ilvl w:val="0"/>
          <w:numId w:val="1"/>
        </w:numPr>
        <w:rPr>
          <w:noProof/>
          <w:color w:val="001A70" w:themeColor="text2"/>
        </w:rPr>
      </w:pPr>
      <w:r w:rsidRPr="007C4C98">
        <w:rPr>
          <w:noProof/>
          <w:color w:val="001A70" w:themeColor="text2"/>
        </w:rPr>
        <w:t xml:space="preserve">The </w:t>
      </w:r>
      <w:r w:rsidR="00AC0091">
        <w:rPr>
          <w:noProof/>
          <w:color w:val="001A70" w:themeColor="text2"/>
        </w:rPr>
        <w:t>intention</w:t>
      </w:r>
      <w:r w:rsidRPr="007C4C98">
        <w:rPr>
          <w:noProof/>
          <w:color w:val="001A70" w:themeColor="text2"/>
        </w:rPr>
        <w:t xml:space="preserve"> of the service is to monitor a patient’s blood pressure continuously over 24 hours via a wearable device to diagnose if they are hypertensive or not. The service includes analysis of the data, generation of a report and development of a treatment plan. </w:t>
      </w:r>
    </w:p>
    <w:p w14:paraId="053A5E51" w14:textId="1891F95F" w:rsidR="007C4C98" w:rsidRDefault="007C4C98" w:rsidP="007C4C98">
      <w:pPr>
        <w:pStyle w:val="ListParagraph"/>
        <w:numPr>
          <w:ilvl w:val="0"/>
          <w:numId w:val="1"/>
        </w:numPr>
        <w:rPr>
          <w:noProof/>
          <w:color w:val="001A70" w:themeColor="text2"/>
        </w:rPr>
      </w:pPr>
      <w:r w:rsidRPr="007C4C98">
        <w:rPr>
          <w:noProof/>
          <w:color w:val="001A70" w:themeColor="text2"/>
        </w:rPr>
        <w:t xml:space="preserve">Ambulatory blood pressure monitoring is the best available test for diagnosing hypertension and is more effective than </w:t>
      </w:r>
      <w:r w:rsidR="006E44DB" w:rsidRPr="00E63754">
        <w:rPr>
          <w:noProof/>
          <w:color w:val="001A70" w:themeColor="text2"/>
        </w:rPr>
        <w:t>in clinic blood pressure monitoring</w:t>
      </w:r>
      <w:r w:rsidRPr="007C4C98">
        <w:rPr>
          <w:noProof/>
          <w:color w:val="001A70" w:themeColor="text2"/>
        </w:rPr>
        <w:t>.</w:t>
      </w:r>
    </w:p>
    <w:p w14:paraId="48C2C057" w14:textId="41CF5A70" w:rsidR="00DC3CCB" w:rsidRPr="00DC3CCB" w:rsidRDefault="00DC3CCB" w:rsidP="00DC3CCB">
      <w:pPr>
        <w:pStyle w:val="ListParagraph"/>
        <w:numPr>
          <w:ilvl w:val="0"/>
          <w:numId w:val="1"/>
        </w:numPr>
        <w:rPr>
          <w:noProof/>
          <w:color w:val="001A70" w:themeColor="text2"/>
        </w:rPr>
      </w:pPr>
      <w:bookmarkStart w:id="2" w:name="_Hlk535386664"/>
      <w:r w:rsidRPr="00DC3CCB">
        <w:rPr>
          <w:noProof/>
          <w:color w:val="001A70" w:themeColor="text2"/>
        </w:rPr>
        <w:t xml:space="preserve">The listing of this service was recommended by the Medical Services Advisory Committee (MSAC) in April 2020. Further details about MSAC applications can be found under </w:t>
      </w:r>
      <w:hyperlink r:id="rId8" w:history="1">
        <w:r w:rsidRPr="00DC3CCB">
          <w:rPr>
            <w:noProof/>
            <w:color w:val="001A70" w:themeColor="text2"/>
          </w:rPr>
          <w:t>MSAC Applications</w:t>
        </w:r>
      </w:hyperlink>
      <w:r w:rsidRPr="00DC3CCB">
        <w:rPr>
          <w:noProof/>
          <w:color w:val="001A70" w:themeColor="text2"/>
        </w:rPr>
        <w:t xml:space="preserve"> on the MSAC website (</w:t>
      </w:r>
      <w:hyperlink r:id="rId9" w:history="1">
        <w:r w:rsidRPr="00DC3CCB">
          <w:rPr>
            <w:noProof/>
            <w:color w:val="001A70" w:themeColor="text2"/>
          </w:rPr>
          <w:t>www.msac.gov.au</w:t>
        </w:r>
      </w:hyperlink>
      <w:r w:rsidRPr="00DC3CCB">
        <w:rPr>
          <w:noProof/>
          <w:color w:val="001A70" w:themeColor="text2"/>
        </w:rPr>
        <w:t>).</w:t>
      </w:r>
      <w:bookmarkEnd w:id="2"/>
    </w:p>
    <w:p w14:paraId="7A7BDC40" w14:textId="04706106" w:rsidR="00F333A7" w:rsidRPr="00432212" w:rsidRDefault="00763E5B" w:rsidP="00296DD0">
      <w:pPr>
        <w:pStyle w:val="Heading2"/>
      </w:pPr>
      <w:r w:rsidRPr="00432212">
        <w:t xml:space="preserve">Patient </w:t>
      </w:r>
      <w:r w:rsidR="00884022">
        <w:t>impacts</w:t>
      </w:r>
      <w:r w:rsidRPr="00432212">
        <w:t xml:space="preserve"> </w:t>
      </w:r>
    </w:p>
    <w:p w14:paraId="5CCD63CC" w14:textId="10650ABC" w:rsidR="005E6D13" w:rsidRPr="005E6D13" w:rsidRDefault="005E6D13" w:rsidP="005E6D13">
      <w:pPr>
        <w:pStyle w:val="ListParagraph"/>
        <w:numPr>
          <w:ilvl w:val="0"/>
          <w:numId w:val="1"/>
        </w:numPr>
        <w:rPr>
          <w:noProof/>
          <w:color w:val="001A70" w:themeColor="text2"/>
        </w:rPr>
      </w:pPr>
      <w:bookmarkStart w:id="3" w:name="_Hlk271137"/>
      <w:r w:rsidRPr="00016CC6">
        <w:rPr>
          <w:noProof/>
          <w:color w:val="001A70" w:themeColor="text2"/>
        </w:rPr>
        <w:t>Patients with suspected hypertension</w:t>
      </w:r>
      <w:r w:rsidR="00160793" w:rsidRPr="00016CC6">
        <w:rPr>
          <w:noProof/>
          <w:color w:val="001A70" w:themeColor="text2"/>
        </w:rPr>
        <w:t>, a clinic blood pressure reading of ≥140/90 mmHg and ≤180/110 mmHg,</w:t>
      </w:r>
      <w:r w:rsidR="00160793">
        <w:rPr>
          <w:noProof/>
          <w:color w:val="001A70" w:themeColor="text2"/>
        </w:rPr>
        <w:t xml:space="preserve"> </w:t>
      </w:r>
      <w:r w:rsidRPr="005E6D13">
        <w:rPr>
          <w:noProof/>
          <w:color w:val="001A70" w:themeColor="text2"/>
        </w:rPr>
        <w:t xml:space="preserve">will now have access to an MBS rebate for </w:t>
      </w:r>
      <w:r w:rsidR="00160793">
        <w:rPr>
          <w:noProof/>
          <w:color w:val="001A70" w:themeColor="text2"/>
        </w:rPr>
        <w:t>the most</w:t>
      </w:r>
      <w:r w:rsidRPr="005E6D13">
        <w:rPr>
          <w:noProof/>
          <w:color w:val="001A70" w:themeColor="text2"/>
        </w:rPr>
        <w:t xml:space="preserve"> accurate </w:t>
      </w:r>
      <w:r w:rsidR="00160793">
        <w:rPr>
          <w:noProof/>
          <w:color w:val="001A70" w:themeColor="text2"/>
        </w:rPr>
        <w:t>method</w:t>
      </w:r>
      <w:r w:rsidRPr="005E6D13">
        <w:rPr>
          <w:noProof/>
          <w:color w:val="001A70" w:themeColor="text2"/>
        </w:rPr>
        <w:t xml:space="preserve"> of </w:t>
      </w:r>
      <w:r w:rsidR="00160793">
        <w:rPr>
          <w:noProof/>
          <w:color w:val="001A70" w:themeColor="text2"/>
        </w:rPr>
        <w:t>confirming a diagnosis of hypertension.</w:t>
      </w:r>
      <w:r w:rsidRPr="005E6D13">
        <w:rPr>
          <w:noProof/>
          <w:color w:val="001A70" w:themeColor="text2"/>
        </w:rPr>
        <w:t xml:space="preserve"> Ambulatory blood pressure monitoring gives a range of readings over 24 hours, while people are doing different activities and also allows for situations where a person is nervous about having their blood pressure measured, resulting in a misleading high blood pressure result.</w:t>
      </w:r>
      <w:r w:rsidR="00160793">
        <w:rPr>
          <w:noProof/>
          <w:color w:val="001A70" w:themeColor="text2"/>
        </w:rPr>
        <w:t xml:space="preserve"> This method of monitoring should reduce unnecessary treatment in people who do not have true hypertension</w:t>
      </w:r>
      <w:r w:rsidR="00EA56C4">
        <w:rPr>
          <w:noProof/>
          <w:color w:val="001A70" w:themeColor="text2"/>
        </w:rPr>
        <w:t>,</w:t>
      </w:r>
      <w:r w:rsidR="00160793">
        <w:rPr>
          <w:noProof/>
          <w:color w:val="001A70" w:themeColor="text2"/>
        </w:rPr>
        <w:t xml:space="preserve"> and patients shown to have hypertension can progress to appropriate management through development of a treatment plan.</w:t>
      </w:r>
    </w:p>
    <w:p w14:paraId="61A8AE1C" w14:textId="2830C2DE" w:rsidR="00911BCA" w:rsidRDefault="00911BCA" w:rsidP="00296DD0">
      <w:pPr>
        <w:pStyle w:val="Heading2"/>
      </w:pPr>
      <w:r>
        <w:t>Restrictions or requirements</w:t>
      </w:r>
    </w:p>
    <w:p w14:paraId="2770AE60" w14:textId="77777777" w:rsidR="005F6FBC" w:rsidRDefault="00861639" w:rsidP="00455768">
      <w:pPr>
        <w:pStyle w:val="RecommendationsBullets"/>
      </w:pPr>
      <w:r>
        <w:t xml:space="preserve">This is a diagnostic test; it is not for </w:t>
      </w:r>
      <w:r w:rsidR="001561B3">
        <w:t xml:space="preserve">ongoing </w:t>
      </w:r>
      <w:r>
        <w:t>blood pressure</w:t>
      </w:r>
      <w:r w:rsidR="001561B3">
        <w:t xml:space="preserve"> monitoring.</w:t>
      </w:r>
      <w:r w:rsidR="0062770E">
        <w:t xml:space="preserve"> </w:t>
      </w:r>
    </w:p>
    <w:p w14:paraId="633EBC2E" w14:textId="3DF48F1F" w:rsidR="00861639" w:rsidRPr="00016CC6" w:rsidRDefault="0062770E" w:rsidP="00455768">
      <w:pPr>
        <w:pStyle w:val="RecommendationsBullets"/>
      </w:pPr>
      <w:r w:rsidRPr="00016CC6">
        <w:lastRenderedPageBreak/>
        <w:t>For a patient to be eligible for the service they must have demonstrated/recorded in a clinic consultation</w:t>
      </w:r>
      <w:r w:rsidR="001D0399" w:rsidRPr="00016CC6">
        <w:t>,</w:t>
      </w:r>
      <w:r w:rsidR="00D61DDF" w:rsidRPr="00016CC6">
        <w:t xml:space="preserve"> a systolic</w:t>
      </w:r>
      <w:r w:rsidRPr="00016CC6">
        <w:t xml:space="preserve"> blood pressure measurement </w:t>
      </w:r>
      <w:r w:rsidR="00D61DDF" w:rsidRPr="00016CC6">
        <w:t>between</w:t>
      </w:r>
      <w:r w:rsidRPr="00016CC6">
        <w:t xml:space="preserve"> ≥140</w:t>
      </w:r>
      <w:r w:rsidR="00D61DDF" w:rsidRPr="00016CC6">
        <w:t xml:space="preserve"> to</w:t>
      </w:r>
      <w:r w:rsidRPr="00016CC6">
        <w:t xml:space="preserve"> ≤180</w:t>
      </w:r>
      <w:r w:rsidR="00D61DDF" w:rsidRPr="00016CC6">
        <w:t xml:space="preserve"> </w:t>
      </w:r>
      <w:r w:rsidRPr="00016CC6">
        <w:t>mmHg</w:t>
      </w:r>
      <w:r w:rsidR="002F2987" w:rsidRPr="00016CC6">
        <w:t xml:space="preserve">, </w:t>
      </w:r>
      <w:r w:rsidR="00D61DDF" w:rsidRPr="00016CC6">
        <w:t>and/or a diastolic blood pressure meas</w:t>
      </w:r>
      <w:r w:rsidR="005F6FBC" w:rsidRPr="00016CC6">
        <w:t>ur</w:t>
      </w:r>
      <w:r w:rsidR="00D61DDF" w:rsidRPr="00016CC6">
        <w:t xml:space="preserve">ement between ≥90 to ≤110 mmHg </w:t>
      </w:r>
      <w:r w:rsidR="00D43F57" w:rsidRPr="00016CC6">
        <w:t>and have not commenced anti-hypertensive medication.</w:t>
      </w:r>
    </w:p>
    <w:p w14:paraId="6424C883" w14:textId="071B4711" w:rsidR="00861639" w:rsidRDefault="00861639" w:rsidP="00455768">
      <w:pPr>
        <w:pStyle w:val="RecommendationsBullets"/>
      </w:pPr>
      <w:r>
        <w:t>Restricted to one service per patient per year</w:t>
      </w:r>
      <w:r w:rsidR="001561B3">
        <w:t>.</w:t>
      </w:r>
    </w:p>
    <w:p w14:paraId="6C6400AC" w14:textId="7DED6172" w:rsidR="005E6D13" w:rsidRDefault="005E6D13" w:rsidP="00455768">
      <w:pPr>
        <w:pStyle w:val="RecommendationsBullets"/>
      </w:pPr>
      <w:r>
        <w:t>MSAC</w:t>
      </w:r>
      <w:r w:rsidR="00861639">
        <w:t xml:space="preserve"> concluded that management of hypertension is best placed in primary practice and this service is inte</w:t>
      </w:r>
      <w:r w:rsidR="00696CC9">
        <w:t>n</w:t>
      </w:r>
      <w:r w:rsidR="00861639">
        <w:t>ded for use by GPs</w:t>
      </w:r>
      <w:r w:rsidR="00696CC9">
        <w:t xml:space="preserve"> although the service is open to all medical practitioners.</w:t>
      </w:r>
      <w:r w:rsidR="00861639">
        <w:t xml:space="preserve">  </w:t>
      </w:r>
    </w:p>
    <w:p w14:paraId="432DD30B" w14:textId="576AB51D" w:rsidR="00861639" w:rsidRDefault="00696CC9" w:rsidP="00455768">
      <w:pPr>
        <w:pStyle w:val="RecommendationsBullets"/>
      </w:pPr>
      <w:r>
        <w:t>Elements of this service can be performed on behalf of the medical practitioner (e.g. fitting the monitor, downloading the results) under 1.2.11 of the General Services Medical Table regulation</w:t>
      </w:r>
      <w:r w:rsidR="00455768">
        <w:t xml:space="preserve">s. </w:t>
      </w:r>
      <w:r w:rsidR="00D72D54">
        <w:t>However, i</w:t>
      </w:r>
      <w:r w:rsidR="00455768">
        <w:t xml:space="preserve">t is expected that the provider claiming the service </w:t>
      </w:r>
      <w:r w:rsidR="001561B3">
        <w:t xml:space="preserve">must </w:t>
      </w:r>
      <w:r w:rsidR="00455768">
        <w:t>analyse the results</w:t>
      </w:r>
      <w:r w:rsidR="0062770E">
        <w:t xml:space="preserve"> and</w:t>
      </w:r>
      <w:r w:rsidR="00455768">
        <w:t xml:space="preserve"> write the report.</w:t>
      </w:r>
      <w:r w:rsidR="00E0454B">
        <w:t xml:space="preserve"> </w:t>
      </w:r>
    </w:p>
    <w:p w14:paraId="56C0FDD3" w14:textId="331864C4" w:rsidR="0062770E" w:rsidRDefault="004E2D2D" w:rsidP="00455768">
      <w:pPr>
        <w:pStyle w:val="RecommendationsBullets"/>
      </w:pPr>
      <w:r w:rsidRPr="004E2D2D">
        <w:t>The medical practitioner may bill the entire pre-ambulatory blood pressure monitor consultation against a current MBS item for a general consultation. The ambulatory blood pressure monitoring service will commence with application of the monitor and includes the subsequent consultation with the patient for the discussion of results. No additional reimbursement is applicable for fitting the monitor.</w:t>
      </w:r>
    </w:p>
    <w:p w14:paraId="222CBAF1" w14:textId="27B58A3D" w:rsidR="00D72D54" w:rsidRDefault="00D72D54" w:rsidP="00455768">
      <w:pPr>
        <w:pStyle w:val="RecommendationsBullets"/>
      </w:pPr>
      <w:r>
        <w:t>The service is not able to be claimed in association with ambulatory electrocardiogram services</w:t>
      </w:r>
      <w:r w:rsidR="004E2D2D">
        <w:t xml:space="preserve"> or other treatment plan attendance items, as listed in the item descriptor.</w:t>
      </w:r>
    </w:p>
    <w:p w14:paraId="17B2B843" w14:textId="54F8967A" w:rsidR="00696CC9" w:rsidRDefault="00696CC9" w:rsidP="00455768">
      <w:pPr>
        <w:pStyle w:val="RecommendationsBullets"/>
      </w:pPr>
      <w:r>
        <w:t>The service provide</w:t>
      </w:r>
      <w:r w:rsidR="0062770E">
        <w:t>s</w:t>
      </w:r>
      <w:r>
        <w:t xml:space="preserve"> a complete package of care to the patient including analysis</w:t>
      </w:r>
      <w:r w:rsidR="001561B3">
        <w:t xml:space="preserve"> and </w:t>
      </w:r>
      <w:r>
        <w:t xml:space="preserve">reporting </w:t>
      </w:r>
      <w:r w:rsidR="001561B3">
        <w:t xml:space="preserve">of data </w:t>
      </w:r>
      <w:r>
        <w:t>and preparation of treatment plan as described in Explanatory Note DN.1.35.</w:t>
      </w:r>
    </w:p>
    <w:bookmarkEnd w:id="3"/>
    <w:p w14:paraId="7CE3DB83" w14:textId="1A854AD7" w:rsidR="0003040F" w:rsidRPr="00432212" w:rsidRDefault="003C7791" w:rsidP="004A36D7">
      <w:pPr>
        <w:rPr>
          <w:noProof/>
        </w:rPr>
        <w:sectPr w:rsidR="0003040F" w:rsidRPr="00432212" w:rsidSect="004C1290">
          <w:headerReference w:type="default" r:id="rId10"/>
          <w:footerReference w:type="default" r:id="rId11"/>
          <w:type w:val="continuous"/>
          <w:pgSz w:w="11906" w:h="16838"/>
          <w:pgMar w:top="2694" w:right="720" w:bottom="720" w:left="720" w:header="708" w:footer="708" w:gutter="0"/>
          <w:cols w:space="567"/>
          <w:docGrid w:linePitch="360"/>
        </w:sectPr>
      </w:pPr>
      <w:r>
        <w:rPr>
          <w:rStyle w:val="BookTitle"/>
          <w:noProof/>
        </w:rPr>
        <w:pict w14:anchorId="1B2D43E2">
          <v:rect id="_x0000_i1027" style="width:0;height:1.5pt" o:hralign="center" o:hrstd="t" o:hr="t" fillcolor="#a0a0a0" stroked="f"/>
        </w:pict>
      </w:r>
    </w:p>
    <w:p w14:paraId="3E8D6A20" w14:textId="4B558F0F" w:rsidR="00AC679F" w:rsidRPr="001C39EA" w:rsidRDefault="00681667" w:rsidP="00E95C64">
      <w:pPr>
        <w:pStyle w:val="NEWItem"/>
        <w:rPr>
          <w:rStyle w:val="NEWItemNumber"/>
        </w:rPr>
      </w:pPr>
      <w:r w:rsidRPr="00432212">
        <w:rPr>
          <w:noProof/>
        </w:rPr>
        <w:t>New i</w:t>
      </w:r>
      <w:r w:rsidR="00AC679F" w:rsidRPr="00432212">
        <w:rPr>
          <w:noProof/>
        </w:rPr>
        <w:t>te</w:t>
      </w:r>
      <w:r w:rsidR="00AC679F" w:rsidRPr="00C33A20">
        <w:t>m</w:t>
      </w:r>
      <w:r w:rsidR="00AC679F" w:rsidRPr="001C39EA">
        <w:rPr>
          <w:rStyle w:val="NEWItemNumber"/>
        </w:rPr>
        <w:t xml:space="preserve"> </w:t>
      </w:r>
      <w:r w:rsidR="006C52C6">
        <w:rPr>
          <w:rStyle w:val="NEWItemNumber"/>
        </w:rPr>
        <w:t>11607</w:t>
      </w:r>
      <w:r w:rsidR="00AC679F" w:rsidRPr="001C39EA">
        <w:rPr>
          <w:rStyle w:val="NEWItemNumber"/>
        </w:rPr>
        <w:t xml:space="preserve"> </w:t>
      </w:r>
      <w:r w:rsidR="00D46BFF" w:rsidRPr="00C33A20">
        <w:t>–</w:t>
      </w:r>
      <w:r w:rsidR="00AC679F" w:rsidRPr="00C33A20">
        <w:t xml:space="preserve"> </w:t>
      </w:r>
      <w:r w:rsidR="006C52C6">
        <w:t>Continuous ambulatory blood pressure recording for 24 hours or more for a patient</w:t>
      </w:r>
      <w:r w:rsidR="00D72D54">
        <w:t xml:space="preserve"> to diagnose hypertension</w:t>
      </w:r>
    </w:p>
    <w:p w14:paraId="095C6B72" w14:textId="72FF372A" w:rsidR="00BA657E" w:rsidRPr="00DC3CCB" w:rsidRDefault="00BA657E" w:rsidP="00DC3CCB">
      <w:r w:rsidRPr="00BA657E">
        <w:rPr>
          <w:rStyle w:val="Descriptorheader"/>
        </w:rPr>
        <w:t>Overview:</w:t>
      </w:r>
      <w:r w:rsidRPr="00BA657E">
        <w:t xml:space="preserve"> </w:t>
      </w:r>
      <w:r w:rsidR="00DC3CCB">
        <w:t xml:space="preserve">This item introduces a new service for </w:t>
      </w:r>
      <w:r w:rsidR="00696CC9">
        <w:t xml:space="preserve">diagnosing hypertension using </w:t>
      </w:r>
      <w:r w:rsidR="00861639">
        <w:t>ambulatory blood pressure monitoring</w:t>
      </w:r>
      <w:r w:rsidR="00DC3CCB">
        <w:t xml:space="preserve"> for patient’s with suspected hypertension, as shown by a clinic </w:t>
      </w:r>
      <w:r w:rsidR="00DC3CCB" w:rsidRPr="00DC3CCB">
        <w:rPr>
          <w:noProof/>
        </w:rPr>
        <w:t>blood pressure reading of ≥140/90 mmHg and ≤180/110 mmHg.</w:t>
      </w:r>
      <w:r w:rsidR="00D14F14">
        <w:rPr>
          <w:noProof/>
        </w:rPr>
        <w:t xml:space="preserve"> </w:t>
      </w:r>
    </w:p>
    <w:p w14:paraId="04871389" w14:textId="77777777" w:rsidR="006C52C6" w:rsidRDefault="00BA657E" w:rsidP="00DC3CCB">
      <w:pPr>
        <w:pStyle w:val="Tabletext"/>
        <w:spacing w:after="160" w:line="280" w:lineRule="exact"/>
      </w:pPr>
      <w:r w:rsidRPr="00BA657E">
        <w:rPr>
          <w:rStyle w:val="Descriptorheader"/>
        </w:rPr>
        <w:t>Service</w:t>
      </w:r>
      <w:r w:rsidR="009C49FB">
        <w:rPr>
          <w:rStyle w:val="Descriptorheader"/>
        </w:rPr>
        <w:t>/Descriptor</w:t>
      </w:r>
      <w:r w:rsidRPr="00BA657E">
        <w:rPr>
          <w:rStyle w:val="Descriptorheader"/>
        </w:rPr>
        <w:t>:</w:t>
      </w:r>
      <w:r w:rsidRPr="00BA657E">
        <w:t xml:space="preserve"> </w:t>
      </w:r>
    </w:p>
    <w:p w14:paraId="7A31A548" w14:textId="43F0B61B" w:rsidR="006C52C6" w:rsidRPr="006C52C6" w:rsidRDefault="006C52C6" w:rsidP="00DC3CCB">
      <w:pPr>
        <w:pStyle w:val="Tabletext"/>
        <w:spacing w:before="0" w:after="160" w:line="280" w:lineRule="exact"/>
        <w:rPr>
          <w:rFonts w:ascii="Arial" w:eastAsiaTheme="minorEastAsia" w:hAnsi="Arial" w:cstheme="minorBidi"/>
          <w:szCs w:val="21"/>
          <w:lang w:eastAsia="en-US"/>
        </w:rPr>
      </w:pPr>
      <w:r w:rsidRPr="006C52C6">
        <w:rPr>
          <w:rFonts w:ascii="Arial" w:eastAsiaTheme="minorEastAsia" w:hAnsi="Arial" w:cstheme="minorBidi"/>
          <w:szCs w:val="21"/>
          <w:lang w:eastAsia="en-US"/>
        </w:rPr>
        <w:t>Continuous ambulatory blood pressure recording for 24 hours or more for a patient if:</w:t>
      </w:r>
    </w:p>
    <w:p w14:paraId="5D9EA99A" w14:textId="77777777" w:rsidR="006C52C6" w:rsidRPr="006C52C6" w:rsidRDefault="006C52C6" w:rsidP="00DC3CCB">
      <w:pPr>
        <w:pStyle w:val="Tablea"/>
        <w:spacing w:before="0" w:after="160" w:line="280" w:lineRule="exact"/>
        <w:ind w:left="993"/>
        <w:rPr>
          <w:rFonts w:ascii="Arial" w:eastAsiaTheme="minorEastAsia" w:hAnsi="Arial" w:cstheme="minorBidi"/>
          <w:szCs w:val="21"/>
          <w:lang w:eastAsia="en-US"/>
        </w:rPr>
      </w:pPr>
      <w:r w:rsidRPr="006C52C6">
        <w:rPr>
          <w:rFonts w:ascii="Arial" w:eastAsiaTheme="minorEastAsia" w:hAnsi="Arial" w:cstheme="minorBidi"/>
          <w:szCs w:val="21"/>
          <w:lang w:eastAsia="en-US"/>
        </w:rPr>
        <w:t>(a) the patient has a clinic blood pressure measurement (using a sphygmomanometer or a validated oscillometric blood pressure monitoring device) of either or both of the following measurements:</w:t>
      </w:r>
    </w:p>
    <w:p w14:paraId="2ADD5FD3" w14:textId="77777777" w:rsidR="006C52C6" w:rsidRPr="006C52C6" w:rsidRDefault="006C52C6" w:rsidP="00DC3CCB">
      <w:pPr>
        <w:pStyle w:val="Tablei"/>
        <w:spacing w:after="160" w:line="280" w:lineRule="exact"/>
        <w:ind w:left="993" w:firstLine="283"/>
        <w:rPr>
          <w:rFonts w:ascii="Arial" w:eastAsiaTheme="minorEastAsia" w:hAnsi="Arial" w:cstheme="minorBidi"/>
          <w:szCs w:val="21"/>
          <w:lang w:eastAsia="en-US"/>
        </w:rPr>
      </w:pPr>
      <w:r w:rsidRPr="006C52C6">
        <w:rPr>
          <w:rFonts w:ascii="Arial" w:eastAsiaTheme="minorEastAsia" w:hAnsi="Arial" w:cstheme="minorBidi"/>
          <w:szCs w:val="21"/>
          <w:lang w:eastAsia="en-US"/>
        </w:rPr>
        <w:t>(i) systolic blood pressure greater than or equal to 140 mmHg and less than or equal to 180 mmHg;</w:t>
      </w:r>
    </w:p>
    <w:p w14:paraId="09B1E431" w14:textId="77777777" w:rsidR="006C52C6" w:rsidRPr="006C52C6" w:rsidRDefault="006C52C6" w:rsidP="00DC3CCB">
      <w:pPr>
        <w:pStyle w:val="Tablei"/>
        <w:spacing w:after="160" w:line="280" w:lineRule="exact"/>
        <w:ind w:left="993" w:firstLine="283"/>
        <w:rPr>
          <w:rFonts w:ascii="Arial" w:eastAsiaTheme="minorEastAsia" w:hAnsi="Arial" w:cstheme="minorBidi"/>
          <w:szCs w:val="21"/>
          <w:lang w:eastAsia="en-US"/>
        </w:rPr>
      </w:pPr>
      <w:r w:rsidRPr="006C52C6">
        <w:rPr>
          <w:rFonts w:ascii="Arial" w:eastAsiaTheme="minorEastAsia" w:hAnsi="Arial" w:cstheme="minorBidi"/>
          <w:szCs w:val="21"/>
          <w:lang w:eastAsia="en-US"/>
        </w:rPr>
        <w:t>(ii) diastolic blood pressure greater than or equal to 90 mmHg and less than or equal to 110 mmHg; and</w:t>
      </w:r>
    </w:p>
    <w:p w14:paraId="088BEAAB" w14:textId="77777777" w:rsidR="006C52C6" w:rsidRPr="006C52C6" w:rsidRDefault="006C52C6" w:rsidP="00DC3CCB">
      <w:pPr>
        <w:pStyle w:val="Tablea"/>
        <w:spacing w:before="0" w:after="160" w:line="280" w:lineRule="exact"/>
        <w:ind w:left="993"/>
        <w:rPr>
          <w:rFonts w:ascii="Arial" w:eastAsiaTheme="minorEastAsia" w:hAnsi="Arial" w:cstheme="minorBidi"/>
          <w:szCs w:val="21"/>
          <w:lang w:eastAsia="en-US"/>
        </w:rPr>
      </w:pPr>
      <w:r w:rsidRPr="006C52C6">
        <w:rPr>
          <w:rFonts w:ascii="Arial" w:eastAsiaTheme="minorEastAsia" w:hAnsi="Arial" w:cstheme="minorBidi"/>
          <w:szCs w:val="21"/>
          <w:lang w:eastAsia="en-US"/>
        </w:rPr>
        <w:t>(b) the patient has not commenced anti</w:t>
      </w:r>
      <w:r w:rsidRPr="006C52C6">
        <w:rPr>
          <w:rFonts w:ascii="Arial" w:eastAsiaTheme="minorEastAsia" w:hAnsi="Arial" w:cstheme="minorBidi"/>
          <w:szCs w:val="21"/>
          <w:lang w:eastAsia="en-US"/>
        </w:rPr>
        <w:noBreakHyphen/>
        <w:t>hypertensive therapy; and</w:t>
      </w:r>
    </w:p>
    <w:p w14:paraId="7AB664CE" w14:textId="77777777" w:rsidR="006C52C6" w:rsidRPr="006C52C6" w:rsidRDefault="006C52C6" w:rsidP="00DC3CCB">
      <w:pPr>
        <w:pStyle w:val="Tablea"/>
        <w:spacing w:before="0" w:after="160" w:line="280" w:lineRule="exact"/>
        <w:ind w:left="993"/>
        <w:rPr>
          <w:rFonts w:ascii="Arial" w:eastAsiaTheme="minorEastAsia" w:hAnsi="Arial" w:cstheme="minorBidi"/>
          <w:szCs w:val="21"/>
          <w:lang w:eastAsia="en-US"/>
        </w:rPr>
      </w:pPr>
      <w:r w:rsidRPr="006C52C6">
        <w:rPr>
          <w:rFonts w:ascii="Arial" w:eastAsiaTheme="minorEastAsia" w:hAnsi="Arial" w:cstheme="minorBidi"/>
          <w:szCs w:val="21"/>
          <w:lang w:eastAsia="en-US"/>
        </w:rPr>
        <w:t>(c) the recording includes the patient’s resting blood pressure; and</w:t>
      </w:r>
    </w:p>
    <w:p w14:paraId="42462600" w14:textId="77777777" w:rsidR="006C52C6" w:rsidRPr="006C52C6" w:rsidRDefault="006C52C6" w:rsidP="00DC3CCB">
      <w:pPr>
        <w:pStyle w:val="Tablea"/>
        <w:spacing w:before="0" w:after="160" w:line="280" w:lineRule="exact"/>
        <w:ind w:left="993"/>
        <w:rPr>
          <w:rFonts w:ascii="Arial" w:eastAsiaTheme="minorEastAsia" w:hAnsi="Arial" w:cstheme="minorBidi"/>
          <w:szCs w:val="21"/>
          <w:lang w:eastAsia="en-US"/>
        </w:rPr>
      </w:pPr>
      <w:r w:rsidRPr="006C52C6">
        <w:rPr>
          <w:rFonts w:ascii="Arial" w:eastAsiaTheme="minorEastAsia" w:hAnsi="Arial" w:cstheme="minorBidi"/>
          <w:szCs w:val="21"/>
          <w:lang w:eastAsia="en-US"/>
        </w:rPr>
        <w:t>(d) the recording is conducted using microprocessor</w:t>
      </w:r>
      <w:r w:rsidRPr="006C52C6">
        <w:rPr>
          <w:rFonts w:ascii="Arial" w:eastAsiaTheme="minorEastAsia" w:hAnsi="Arial" w:cstheme="minorBidi"/>
          <w:szCs w:val="21"/>
          <w:lang w:eastAsia="en-US"/>
        </w:rPr>
        <w:noBreakHyphen/>
        <w:t>based analysis equipment; and</w:t>
      </w:r>
    </w:p>
    <w:p w14:paraId="182CAEE3" w14:textId="77777777" w:rsidR="006C52C6" w:rsidRPr="006C52C6" w:rsidRDefault="006C52C6" w:rsidP="00DC3CCB">
      <w:pPr>
        <w:pStyle w:val="Tablea"/>
        <w:spacing w:before="0" w:after="160" w:line="280" w:lineRule="exact"/>
        <w:ind w:left="993"/>
        <w:rPr>
          <w:rFonts w:ascii="Arial" w:eastAsiaTheme="minorEastAsia" w:hAnsi="Arial" w:cstheme="minorBidi"/>
          <w:szCs w:val="21"/>
          <w:lang w:eastAsia="en-US"/>
        </w:rPr>
      </w:pPr>
      <w:r w:rsidRPr="006C52C6">
        <w:rPr>
          <w:rFonts w:ascii="Arial" w:eastAsiaTheme="minorEastAsia" w:hAnsi="Arial" w:cstheme="minorBidi"/>
          <w:szCs w:val="21"/>
          <w:lang w:eastAsia="en-US"/>
        </w:rPr>
        <w:lastRenderedPageBreak/>
        <w:t>(e) the recording is interpreted by a medical practitioner and a report is prepared by the same medical practitioner; and</w:t>
      </w:r>
    </w:p>
    <w:p w14:paraId="053DE8A0" w14:textId="77777777" w:rsidR="006C52C6" w:rsidRPr="006C52C6" w:rsidRDefault="006C52C6" w:rsidP="00DC3CCB">
      <w:pPr>
        <w:pStyle w:val="Tablea"/>
        <w:spacing w:before="0" w:after="160" w:line="280" w:lineRule="exact"/>
        <w:ind w:left="993"/>
        <w:rPr>
          <w:rFonts w:ascii="Arial" w:eastAsiaTheme="minorEastAsia" w:hAnsi="Arial" w:cstheme="minorBidi"/>
          <w:szCs w:val="21"/>
          <w:lang w:eastAsia="en-US"/>
        </w:rPr>
      </w:pPr>
      <w:r w:rsidRPr="006C52C6">
        <w:rPr>
          <w:rFonts w:ascii="Arial" w:eastAsiaTheme="minorEastAsia" w:hAnsi="Arial" w:cstheme="minorBidi"/>
          <w:szCs w:val="21"/>
          <w:lang w:eastAsia="en-US"/>
        </w:rPr>
        <w:t>(f) a treatment plan is provided for the patient; and</w:t>
      </w:r>
    </w:p>
    <w:p w14:paraId="3311F168" w14:textId="77777777" w:rsidR="006C52C6" w:rsidRPr="006C52C6" w:rsidRDefault="006C52C6" w:rsidP="00DC3CCB">
      <w:pPr>
        <w:pStyle w:val="Tablea"/>
        <w:spacing w:before="0" w:after="160" w:line="280" w:lineRule="exact"/>
        <w:ind w:left="993"/>
        <w:rPr>
          <w:rFonts w:ascii="Arial" w:eastAsiaTheme="minorEastAsia" w:hAnsi="Arial" w:cstheme="minorBidi"/>
          <w:szCs w:val="21"/>
          <w:lang w:eastAsia="en-US"/>
        </w:rPr>
      </w:pPr>
      <w:r w:rsidRPr="006C52C6">
        <w:rPr>
          <w:rFonts w:ascii="Arial" w:eastAsiaTheme="minorEastAsia" w:hAnsi="Arial" w:cstheme="minorBidi"/>
          <w:szCs w:val="21"/>
          <w:lang w:eastAsia="en-US"/>
        </w:rPr>
        <w:t>(g) the service:</w:t>
      </w:r>
    </w:p>
    <w:p w14:paraId="5266EDDC" w14:textId="77777777" w:rsidR="006C52C6" w:rsidRPr="006C52C6" w:rsidRDefault="006C52C6" w:rsidP="00DC3CCB">
      <w:pPr>
        <w:pStyle w:val="Tablei"/>
        <w:tabs>
          <w:tab w:val="clear" w:pos="970"/>
          <w:tab w:val="right" w:pos="851"/>
        </w:tabs>
        <w:spacing w:after="160" w:line="280" w:lineRule="exact"/>
        <w:ind w:firstLine="306"/>
        <w:rPr>
          <w:rFonts w:ascii="Arial" w:eastAsiaTheme="minorEastAsia" w:hAnsi="Arial" w:cstheme="minorBidi"/>
          <w:szCs w:val="21"/>
          <w:lang w:eastAsia="en-US"/>
        </w:rPr>
      </w:pPr>
      <w:r w:rsidRPr="006C52C6">
        <w:rPr>
          <w:rFonts w:ascii="Arial" w:eastAsiaTheme="minorEastAsia" w:hAnsi="Arial" w:cstheme="minorBidi"/>
          <w:szCs w:val="21"/>
          <w:lang w:eastAsia="en-US"/>
        </w:rPr>
        <w:t>(i) is not provided in association with ambulatory electrocardiogram recording, and</w:t>
      </w:r>
    </w:p>
    <w:p w14:paraId="51BFEAE9" w14:textId="77777777" w:rsidR="006C52C6" w:rsidRPr="006C52C6" w:rsidRDefault="006C52C6" w:rsidP="00DC3CCB">
      <w:pPr>
        <w:pStyle w:val="Tablei"/>
        <w:tabs>
          <w:tab w:val="clear" w:pos="970"/>
          <w:tab w:val="right" w:pos="851"/>
        </w:tabs>
        <w:spacing w:after="160" w:line="280" w:lineRule="exact"/>
        <w:ind w:firstLine="306"/>
        <w:rPr>
          <w:rFonts w:ascii="Arial" w:eastAsiaTheme="minorEastAsia" w:hAnsi="Arial" w:cstheme="minorBidi"/>
          <w:szCs w:val="21"/>
          <w:lang w:eastAsia="en-US"/>
        </w:rPr>
      </w:pPr>
      <w:r w:rsidRPr="006C52C6">
        <w:rPr>
          <w:rFonts w:ascii="Arial" w:eastAsiaTheme="minorEastAsia" w:hAnsi="Arial" w:cstheme="minorBidi"/>
          <w:szCs w:val="21"/>
          <w:lang w:eastAsia="en-US"/>
        </w:rPr>
        <w:t>(ii) is not associated with a service to which any of the following items apply:</w:t>
      </w:r>
    </w:p>
    <w:p w14:paraId="4AA3CC41" w14:textId="77777777" w:rsidR="006C52C6" w:rsidRPr="006C52C6" w:rsidRDefault="006C52C6" w:rsidP="00DC3CCB">
      <w:pPr>
        <w:pStyle w:val="TableAA"/>
        <w:spacing w:after="160" w:line="280" w:lineRule="exact"/>
        <w:ind w:firstLine="788"/>
        <w:rPr>
          <w:rFonts w:ascii="Arial" w:eastAsiaTheme="minorEastAsia" w:hAnsi="Arial" w:cstheme="minorBidi"/>
          <w:szCs w:val="21"/>
          <w:lang w:eastAsia="en-US"/>
        </w:rPr>
      </w:pPr>
      <w:r w:rsidRPr="006C52C6">
        <w:rPr>
          <w:rFonts w:ascii="Arial" w:eastAsiaTheme="minorEastAsia" w:hAnsi="Arial" w:cstheme="minorBidi"/>
          <w:szCs w:val="21"/>
          <w:lang w:eastAsia="en-US"/>
        </w:rPr>
        <w:t>(A) 177;</w:t>
      </w:r>
    </w:p>
    <w:p w14:paraId="08DFAAC4" w14:textId="77777777" w:rsidR="006C52C6" w:rsidRPr="006C52C6" w:rsidRDefault="006C52C6" w:rsidP="00DC3CCB">
      <w:pPr>
        <w:pStyle w:val="TableAA"/>
        <w:spacing w:after="160" w:line="280" w:lineRule="exact"/>
        <w:ind w:firstLine="788"/>
        <w:rPr>
          <w:rFonts w:ascii="Arial" w:eastAsiaTheme="minorEastAsia" w:hAnsi="Arial" w:cstheme="minorBidi"/>
          <w:szCs w:val="21"/>
          <w:lang w:eastAsia="en-US"/>
        </w:rPr>
      </w:pPr>
      <w:r w:rsidRPr="006C52C6">
        <w:rPr>
          <w:rFonts w:ascii="Arial" w:eastAsiaTheme="minorEastAsia" w:hAnsi="Arial" w:cstheme="minorBidi"/>
          <w:szCs w:val="21"/>
          <w:lang w:eastAsia="en-US"/>
        </w:rPr>
        <w:t>(B) 224 to 228;</w:t>
      </w:r>
    </w:p>
    <w:p w14:paraId="07A6C9D1" w14:textId="77777777" w:rsidR="006C52C6" w:rsidRPr="006C52C6" w:rsidRDefault="006C52C6" w:rsidP="00DC3CCB">
      <w:pPr>
        <w:pStyle w:val="TableAA"/>
        <w:spacing w:after="160" w:line="280" w:lineRule="exact"/>
        <w:ind w:firstLine="788"/>
        <w:rPr>
          <w:rFonts w:ascii="Arial" w:eastAsiaTheme="minorEastAsia" w:hAnsi="Arial" w:cstheme="minorBidi"/>
          <w:szCs w:val="21"/>
          <w:lang w:eastAsia="en-US"/>
        </w:rPr>
      </w:pPr>
      <w:r w:rsidRPr="006C52C6">
        <w:rPr>
          <w:rFonts w:ascii="Arial" w:eastAsiaTheme="minorEastAsia" w:hAnsi="Arial" w:cstheme="minorBidi"/>
          <w:szCs w:val="21"/>
          <w:lang w:eastAsia="en-US"/>
        </w:rPr>
        <w:t>(C) 229 to 244;</w:t>
      </w:r>
    </w:p>
    <w:p w14:paraId="24991BA3" w14:textId="77777777" w:rsidR="006C52C6" w:rsidRPr="006C52C6" w:rsidRDefault="006C52C6" w:rsidP="00DC3CCB">
      <w:pPr>
        <w:pStyle w:val="TableAA"/>
        <w:spacing w:after="160" w:line="280" w:lineRule="exact"/>
        <w:ind w:firstLine="788"/>
        <w:rPr>
          <w:rFonts w:ascii="Arial" w:eastAsiaTheme="minorEastAsia" w:hAnsi="Arial" w:cstheme="minorBidi"/>
          <w:szCs w:val="21"/>
          <w:lang w:eastAsia="en-US"/>
        </w:rPr>
      </w:pPr>
      <w:r w:rsidRPr="006C52C6">
        <w:rPr>
          <w:rFonts w:ascii="Arial" w:eastAsiaTheme="minorEastAsia" w:hAnsi="Arial" w:cstheme="minorBidi"/>
          <w:szCs w:val="21"/>
          <w:lang w:eastAsia="en-US"/>
        </w:rPr>
        <w:t>(D) 699;</w:t>
      </w:r>
    </w:p>
    <w:p w14:paraId="20C60559" w14:textId="77777777" w:rsidR="006C52C6" w:rsidRPr="006C52C6" w:rsidRDefault="006C52C6" w:rsidP="00DC3CCB">
      <w:pPr>
        <w:pStyle w:val="TableAA"/>
        <w:spacing w:after="160" w:line="280" w:lineRule="exact"/>
        <w:ind w:firstLine="788"/>
        <w:rPr>
          <w:rFonts w:ascii="Arial" w:eastAsiaTheme="minorEastAsia" w:hAnsi="Arial" w:cstheme="minorBidi"/>
          <w:szCs w:val="21"/>
          <w:lang w:eastAsia="en-US"/>
        </w:rPr>
      </w:pPr>
      <w:r w:rsidRPr="006C52C6">
        <w:rPr>
          <w:rFonts w:ascii="Arial" w:eastAsiaTheme="minorEastAsia" w:hAnsi="Arial" w:cstheme="minorBidi"/>
          <w:szCs w:val="21"/>
          <w:lang w:eastAsia="en-US"/>
        </w:rPr>
        <w:t>(E) 701 to 707;</w:t>
      </w:r>
    </w:p>
    <w:p w14:paraId="67C7E598" w14:textId="77777777" w:rsidR="006C52C6" w:rsidRPr="006C52C6" w:rsidRDefault="006C52C6" w:rsidP="00DC3CCB">
      <w:pPr>
        <w:pStyle w:val="TableAA"/>
        <w:spacing w:after="160" w:line="280" w:lineRule="exact"/>
        <w:ind w:firstLine="788"/>
        <w:rPr>
          <w:rFonts w:ascii="Arial" w:eastAsiaTheme="minorEastAsia" w:hAnsi="Arial" w:cstheme="minorBidi"/>
          <w:szCs w:val="21"/>
          <w:lang w:eastAsia="en-US"/>
        </w:rPr>
      </w:pPr>
      <w:r w:rsidRPr="006C52C6">
        <w:rPr>
          <w:rFonts w:ascii="Arial" w:eastAsiaTheme="minorEastAsia" w:hAnsi="Arial" w:cstheme="minorBidi"/>
          <w:szCs w:val="21"/>
          <w:lang w:eastAsia="en-US"/>
        </w:rPr>
        <w:t>(F) 721 to 732;</w:t>
      </w:r>
    </w:p>
    <w:p w14:paraId="7ABFF63F" w14:textId="77777777" w:rsidR="006C52C6" w:rsidRPr="006C52C6" w:rsidRDefault="006C52C6" w:rsidP="00DC3CCB">
      <w:pPr>
        <w:pStyle w:val="TableAA"/>
        <w:spacing w:after="160" w:line="280" w:lineRule="exact"/>
        <w:ind w:firstLine="788"/>
        <w:rPr>
          <w:rFonts w:ascii="Arial" w:eastAsiaTheme="minorEastAsia" w:hAnsi="Arial" w:cstheme="minorBidi"/>
          <w:szCs w:val="21"/>
          <w:lang w:eastAsia="en-US"/>
        </w:rPr>
      </w:pPr>
      <w:r w:rsidRPr="006C52C6">
        <w:rPr>
          <w:rFonts w:ascii="Arial" w:eastAsiaTheme="minorEastAsia" w:hAnsi="Arial" w:cstheme="minorBidi"/>
          <w:szCs w:val="21"/>
          <w:lang w:eastAsia="en-US"/>
        </w:rPr>
        <w:t>(G) 735 to 758.</w:t>
      </w:r>
    </w:p>
    <w:p w14:paraId="3156BCA8" w14:textId="180154FA" w:rsidR="006C52C6" w:rsidRDefault="006C52C6" w:rsidP="006C52C6">
      <w:pPr>
        <w:pStyle w:val="Tabletext"/>
        <w:rPr>
          <w:rFonts w:ascii="Arial" w:eastAsiaTheme="minorEastAsia" w:hAnsi="Arial" w:cstheme="minorBidi"/>
          <w:szCs w:val="21"/>
          <w:lang w:eastAsia="en-US"/>
        </w:rPr>
      </w:pPr>
      <w:r w:rsidRPr="006C52C6">
        <w:rPr>
          <w:rFonts w:ascii="Arial" w:eastAsiaTheme="minorEastAsia" w:hAnsi="Arial" w:cstheme="minorBidi"/>
          <w:szCs w:val="21"/>
          <w:lang w:eastAsia="en-US"/>
        </w:rPr>
        <w:t>Applicable only once in any 12 month period</w:t>
      </w:r>
      <w:r w:rsidR="00DC3CCB">
        <w:rPr>
          <w:rFonts w:ascii="Arial" w:eastAsiaTheme="minorEastAsia" w:hAnsi="Arial" w:cstheme="minorBidi"/>
          <w:szCs w:val="21"/>
          <w:lang w:eastAsia="en-US"/>
        </w:rPr>
        <w:t>.</w:t>
      </w:r>
    </w:p>
    <w:p w14:paraId="0625C3A8" w14:textId="71CFBD6C" w:rsidR="00D14F14" w:rsidRDefault="00D14F14" w:rsidP="006C52C6">
      <w:pPr>
        <w:pStyle w:val="Tabletext"/>
        <w:rPr>
          <w:rFonts w:ascii="Arial" w:eastAsiaTheme="minorEastAsia" w:hAnsi="Arial" w:cstheme="minorBidi"/>
          <w:szCs w:val="21"/>
          <w:lang w:eastAsia="en-US"/>
        </w:rPr>
      </w:pPr>
    </w:p>
    <w:p w14:paraId="49A2DDAE" w14:textId="0F8F78E1" w:rsidR="00D14F14" w:rsidRDefault="00D14F14" w:rsidP="006C52C6">
      <w:pPr>
        <w:pStyle w:val="Tabletext"/>
        <w:rPr>
          <w:rFonts w:ascii="Arial" w:eastAsiaTheme="minorEastAsia" w:hAnsi="Arial" w:cstheme="minorBidi"/>
          <w:szCs w:val="21"/>
          <w:lang w:eastAsia="en-US"/>
        </w:rPr>
      </w:pPr>
      <w:r w:rsidRPr="00D14F14">
        <w:rPr>
          <w:rFonts w:ascii="Arial" w:eastAsiaTheme="minorEastAsia" w:hAnsi="Arial" w:cstheme="minorBidi"/>
          <w:b/>
          <w:bCs/>
          <w:szCs w:val="21"/>
          <w:lang w:eastAsia="en-US"/>
        </w:rPr>
        <w:t>Note:</w:t>
      </w:r>
      <w:r w:rsidRPr="00D14F14">
        <w:rPr>
          <w:rFonts w:ascii="Arial" w:eastAsiaTheme="minorEastAsia" w:hAnsi="Arial" w:cstheme="minorBidi"/>
          <w:szCs w:val="21"/>
          <w:lang w:eastAsia="en-US"/>
        </w:rPr>
        <w:tab/>
        <w:t>Items 177, 224 to 228, 229 to 244 and 699 are specified in determinations made under subsection 3C(1) of the Act.</w:t>
      </w:r>
    </w:p>
    <w:p w14:paraId="0D0C4055" w14:textId="77777777" w:rsidR="00DC3CCB" w:rsidRPr="006C52C6" w:rsidRDefault="00DC3CCB" w:rsidP="006C52C6">
      <w:pPr>
        <w:pStyle w:val="Tabletext"/>
        <w:rPr>
          <w:rFonts w:ascii="Arial" w:eastAsiaTheme="minorEastAsia" w:hAnsi="Arial" w:cstheme="minorBidi"/>
          <w:szCs w:val="21"/>
          <w:lang w:eastAsia="en-US"/>
        </w:rPr>
      </w:pPr>
    </w:p>
    <w:p w14:paraId="1FC403F4" w14:textId="0363E192" w:rsidR="00861639" w:rsidRPr="00861639" w:rsidRDefault="00C831ED" w:rsidP="00696CC9">
      <w:r>
        <w:rPr>
          <w:rStyle w:val="Descriptorheader"/>
        </w:rPr>
        <w:t>Other requirements</w:t>
      </w:r>
      <w:r w:rsidR="00BA657E" w:rsidRPr="00BA657E">
        <w:rPr>
          <w:rStyle w:val="Descriptorheader"/>
        </w:rPr>
        <w:t>:</w:t>
      </w:r>
      <w:r w:rsidR="00BA657E" w:rsidRPr="00244C4C">
        <w:rPr>
          <w:noProof/>
          <w:szCs w:val="20"/>
        </w:rPr>
        <w:t xml:space="preserve"> </w:t>
      </w:r>
      <w:r w:rsidR="00455768">
        <w:rPr>
          <w:noProof/>
          <w:szCs w:val="20"/>
        </w:rPr>
        <w:t xml:space="preserve">This </w:t>
      </w:r>
      <w:r w:rsidR="00D14F14">
        <w:rPr>
          <w:noProof/>
          <w:szCs w:val="20"/>
        </w:rPr>
        <w:t>service provides for</w:t>
      </w:r>
      <w:r w:rsidR="00455768">
        <w:rPr>
          <w:noProof/>
          <w:szCs w:val="20"/>
        </w:rPr>
        <w:t xml:space="preserve"> a complete </w:t>
      </w:r>
      <w:r w:rsidR="00455768">
        <w:t>package of care to the patient</w:t>
      </w:r>
      <w:r w:rsidR="00D14F14">
        <w:t>,</w:t>
      </w:r>
      <w:r w:rsidR="00455768">
        <w:t xml:space="preserve"> including analysis and reporting and preparation of treatment plan as described in Explanatory Note DN.1.35</w:t>
      </w:r>
    </w:p>
    <w:p w14:paraId="46412581" w14:textId="7845638A" w:rsidR="00BA657E" w:rsidRPr="00432212" w:rsidRDefault="00BA657E" w:rsidP="00BA657E">
      <w:pPr>
        <w:rPr>
          <w:noProof/>
        </w:rPr>
      </w:pPr>
      <w:r w:rsidRPr="00BA657E">
        <w:rPr>
          <w:rStyle w:val="Descriptorheader"/>
        </w:rPr>
        <w:t>Billing requirement:</w:t>
      </w:r>
      <w:r w:rsidRPr="00432212">
        <w:rPr>
          <w:noProof/>
        </w:rPr>
        <w:t xml:space="preserve"> </w:t>
      </w:r>
      <w:r w:rsidR="006C52C6">
        <w:rPr>
          <w:noProof/>
        </w:rPr>
        <w:t>Applicable only once in any 12 month period</w:t>
      </w:r>
      <w:r w:rsidR="009E7FAC">
        <w:rPr>
          <w:noProof/>
        </w:rPr>
        <w:t>.</w:t>
      </w:r>
    </w:p>
    <w:p w14:paraId="4C48AA6B" w14:textId="75639D71" w:rsidR="00BA657E" w:rsidRDefault="00BA657E" w:rsidP="00BA657E">
      <w:pPr>
        <w:rPr>
          <w:noProof/>
        </w:rPr>
      </w:pPr>
      <w:r w:rsidRPr="00BA657E">
        <w:rPr>
          <w:rStyle w:val="Descriptorheader"/>
        </w:rPr>
        <w:t>MBS fee:</w:t>
      </w:r>
      <w:r w:rsidRPr="00432212">
        <w:rPr>
          <w:noProof/>
        </w:rPr>
        <w:t xml:space="preserve"> </w:t>
      </w:r>
      <w:r w:rsidR="006C52C6">
        <w:rPr>
          <w:noProof/>
        </w:rPr>
        <w:t>$107</w:t>
      </w:r>
      <w:r w:rsidR="009E7FAC">
        <w:rPr>
          <w:noProof/>
        </w:rPr>
        <w:t>.</w:t>
      </w:r>
      <w:r w:rsidR="006C52C6">
        <w:rPr>
          <w:noProof/>
        </w:rPr>
        <w:t>20</w:t>
      </w:r>
      <w:r w:rsidR="00627DF5">
        <w:rPr>
          <w:noProof/>
        </w:rPr>
        <w:t xml:space="preserve"> </w:t>
      </w:r>
    </w:p>
    <w:p w14:paraId="1ABE9B92" w14:textId="1CFA41CD" w:rsidR="00BA657E" w:rsidRDefault="00BA657E" w:rsidP="00BA657E">
      <w:pPr>
        <w:rPr>
          <w:noProof/>
        </w:rPr>
      </w:pPr>
      <w:r w:rsidRPr="00BA657E">
        <w:rPr>
          <w:rStyle w:val="Descriptorheader"/>
        </w:rPr>
        <w:t>Benefit:</w:t>
      </w:r>
      <w:r w:rsidRPr="00432212">
        <w:rPr>
          <w:noProof/>
        </w:rPr>
        <w:t xml:space="preserve"> </w:t>
      </w:r>
      <w:r w:rsidR="00F91003">
        <w:rPr>
          <w:b/>
          <w:bCs/>
          <w:noProof/>
        </w:rPr>
        <w:t>8</w:t>
      </w:r>
      <w:r w:rsidR="002F2987" w:rsidRPr="00073728">
        <w:rPr>
          <w:b/>
          <w:bCs/>
          <w:noProof/>
        </w:rPr>
        <w:t>5%</w:t>
      </w:r>
      <w:r w:rsidR="00073728">
        <w:rPr>
          <w:noProof/>
        </w:rPr>
        <w:t xml:space="preserve"> $91.15 </w:t>
      </w:r>
      <w:r w:rsidR="002F2987">
        <w:rPr>
          <w:noProof/>
        </w:rPr>
        <w:t xml:space="preserve"> and </w:t>
      </w:r>
      <w:r w:rsidR="00F91003">
        <w:rPr>
          <w:b/>
          <w:bCs/>
          <w:noProof/>
        </w:rPr>
        <w:t>7</w:t>
      </w:r>
      <w:r w:rsidR="002F2987" w:rsidRPr="00073728">
        <w:rPr>
          <w:b/>
          <w:bCs/>
          <w:noProof/>
        </w:rPr>
        <w:t>5%</w:t>
      </w:r>
      <w:r w:rsidR="00073728">
        <w:rPr>
          <w:noProof/>
        </w:rPr>
        <w:t xml:space="preserve"> $80.40</w:t>
      </w:r>
      <w:r w:rsidR="00F91003">
        <w:rPr>
          <w:noProof/>
        </w:rPr>
        <w:t>*</w:t>
      </w:r>
    </w:p>
    <w:p w14:paraId="47BB13AA" w14:textId="77777777" w:rsidR="00B108DE" w:rsidRDefault="00B108DE" w:rsidP="00BA657E">
      <w:pPr>
        <w:rPr>
          <w:noProof/>
        </w:rPr>
      </w:pPr>
    </w:p>
    <w:p w14:paraId="2C4895F1" w14:textId="4B9FC20F" w:rsidR="005D31D6" w:rsidRDefault="005D31D6" w:rsidP="005D31D6">
      <w:pPr>
        <w:pStyle w:val="RecommendationsBullets"/>
        <w:numPr>
          <w:ilvl w:val="0"/>
          <w:numId w:val="0"/>
        </w:numPr>
        <w:ind w:left="360" w:hanging="360"/>
        <w:rPr>
          <w:rStyle w:val="Descriptorheader"/>
        </w:rPr>
      </w:pPr>
      <w:r>
        <w:rPr>
          <w:rStyle w:val="Descriptorheader"/>
        </w:rPr>
        <w:t>Private Health Insurance Classifications:</w:t>
      </w:r>
    </w:p>
    <w:p w14:paraId="77AD10F8" w14:textId="10506EF3" w:rsidR="005D31D6" w:rsidRDefault="005D31D6" w:rsidP="005D31D6">
      <w:pPr>
        <w:ind w:firstLine="720"/>
      </w:pPr>
      <w:r>
        <w:rPr>
          <w:b/>
          <w:noProof/>
        </w:rPr>
        <w:t>Clinical Category:</w:t>
      </w:r>
      <w:r>
        <w:rPr>
          <w:noProof/>
        </w:rPr>
        <w:tab/>
      </w:r>
      <w:r w:rsidR="00120D1F">
        <w:rPr>
          <w:noProof/>
        </w:rPr>
        <w:t xml:space="preserve">Heart and Vascular System </w:t>
      </w:r>
    </w:p>
    <w:p w14:paraId="4DA189D7" w14:textId="5D1437C8" w:rsidR="005D31D6" w:rsidRDefault="005D31D6" w:rsidP="005D31D6">
      <w:pPr>
        <w:ind w:firstLine="720"/>
        <w:rPr>
          <w:noProof/>
        </w:rPr>
      </w:pPr>
      <w:r>
        <w:rPr>
          <w:b/>
          <w:noProof/>
        </w:rPr>
        <w:t>Procedure Type:</w:t>
      </w:r>
      <w:r>
        <w:rPr>
          <w:noProof/>
        </w:rPr>
        <w:tab/>
        <w:t xml:space="preserve">Type C </w:t>
      </w:r>
    </w:p>
    <w:p w14:paraId="359129B8" w14:textId="1A4476E8" w:rsidR="00B108DE" w:rsidRDefault="00073728" w:rsidP="00BA657E">
      <w:pPr>
        <w:rPr>
          <w:noProof/>
        </w:rPr>
      </w:pPr>
      <w:r w:rsidRPr="00073728">
        <w:rPr>
          <w:rStyle w:val="Descriptorheader"/>
          <w:color w:val="001A70" w:themeColor="text2"/>
        </w:rPr>
        <w:t>Note:</w:t>
      </w:r>
      <w:r>
        <w:rPr>
          <w:noProof/>
        </w:rPr>
        <w:t xml:space="preserve"> * This item is primarily intended for use in the </w:t>
      </w:r>
      <w:r w:rsidR="00F91003">
        <w:rPr>
          <w:noProof/>
        </w:rPr>
        <w:t>primary care</w:t>
      </w:r>
      <w:r>
        <w:rPr>
          <w:noProof/>
        </w:rPr>
        <w:t xml:space="preserve"> setting and is not intended for hospital use unless there are appropriate clinically necessary </w:t>
      </w:r>
      <w:r w:rsidR="00F91003">
        <w:rPr>
          <w:noProof/>
        </w:rPr>
        <w:t xml:space="preserve">reasons for this service being performed as part of a hospital admission. The Department of Health will monitor the use of this item by eligible providers to ensure claiming of services is in accordance with these guidelines. </w:t>
      </w:r>
    </w:p>
    <w:p w14:paraId="7D37AAE1" w14:textId="77777777" w:rsidR="00D72D54" w:rsidRPr="00D72D54" w:rsidRDefault="00D72D54" w:rsidP="00D72D54">
      <w:pPr>
        <w:pStyle w:val="RecommendationsSubBullets"/>
        <w:numPr>
          <w:ilvl w:val="0"/>
          <w:numId w:val="0"/>
        </w:numPr>
        <w:rPr>
          <w:color w:val="auto"/>
        </w:rPr>
      </w:pPr>
      <w:r w:rsidRPr="00D72D54">
        <w:rPr>
          <w:rStyle w:val="Descriptorheader"/>
          <w:color w:val="auto"/>
        </w:rPr>
        <w:lastRenderedPageBreak/>
        <w:t>Explanatory Note:</w:t>
      </w:r>
      <w:r>
        <w:t xml:space="preserve"> </w:t>
      </w:r>
      <w:r w:rsidRPr="00D72D54">
        <w:rPr>
          <w:color w:val="auto"/>
        </w:rPr>
        <w:t>Explanatory Note DN.1.35</w:t>
      </w:r>
    </w:p>
    <w:p w14:paraId="5BA37332" w14:textId="77777777" w:rsidR="00D72D54" w:rsidRPr="00D72D54" w:rsidRDefault="00D72D54" w:rsidP="00D72D54">
      <w:pPr>
        <w:ind w:left="360" w:hanging="360"/>
        <w:rPr>
          <w:noProof/>
        </w:rPr>
      </w:pPr>
      <w:r w:rsidRPr="00D72D54">
        <w:rPr>
          <w:noProof/>
        </w:rPr>
        <w:t>To fulfil the treatment plan of item 11607, a comprehensive written plan must be prepared describing:</w:t>
      </w:r>
    </w:p>
    <w:p w14:paraId="28872FF0" w14:textId="77777777" w:rsidR="00D72D54" w:rsidRPr="00D72D54" w:rsidRDefault="00D72D54" w:rsidP="00D72D54">
      <w:pPr>
        <w:numPr>
          <w:ilvl w:val="1"/>
          <w:numId w:val="14"/>
        </w:numPr>
        <w:ind w:left="1701"/>
        <w:rPr>
          <w:noProof/>
        </w:rPr>
      </w:pPr>
      <w:r w:rsidRPr="00D72D54">
        <w:rPr>
          <w:noProof/>
        </w:rPr>
        <w:t>the patient's diagnosis;</w:t>
      </w:r>
    </w:p>
    <w:p w14:paraId="6546DDCE" w14:textId="77777777" w:rsidR="00D72D54" w:rsidRPr="00D72D54" w:rsidRDefault="00D72D54" w:rsidP="00D72D54">
      <w:pPr>
        <w:numPr>
          <w:ilvl w:val="1"/>
          <w:numId w:val="14"/>
        </w:numPr>
        <w:ind w:left="1701"/>
        <w:rPr>
          <w:noProof/>
        </w:rPr>
      </w:pPr>
      <w:r w:rsidRPr="00D72D54">
        <w:rPr>
          <w:noProof/>
        </w:rPr>
        <w:t>management goals with which the patient agrees;</w:t>
      </w:r>
    </w:p>
    <w:p w14:paraId="6AB81CF2" w14:textId="77777777" w:rsidR="00D72D54" w:rsidRPr="00D72D54" w:rsidRDefault="00D72D54" w:rsidP="00D72D54">
      <w:pPr>
        <w:numPr>
          <w:ilvl w:val="1"/>
          <w:numId w:val="14"/>
        </w:numPr>
        <w:ind w:left="1701"/>
        <w:rPr>
          <w:noProof/>
        </w:rPr>
      </w:pPr>
      <w:r w:rsidRPr="00D72D54">
        <w:rPr>
          <w:noProof/>
        </w:rPr>
        <w:t>appropriate interventions including lifestyle modification;</w:t>
      </w:r>
    </w:p>
    <w:p w14:paraId="343B6C72" w14:textId="77777777" w:rsidR="00D72D54" w:rsidRPr="00D72D54" w:rsidRDefault="00D72D54" w:rsidP="00D72D54">
      <w:pPr>
        <w:numPr>
          <w:ilvl w:val="1"/>
          <w:numId w:val="14"/>
        </w:numPr>
        <w:ind w:left="1701"/>
        <w:rPr>
          <w:noProof/>
        </w:rPr>
      </w:pPr>
      <w:r w:rsidRPr="00D72D54">
        <w:rPr>
          <w:noProof/>
        </w:rPr>
        <w:t>treatment the patient may need; and</w:t>
      </w:r>
    </w:p>
    <w:p w14:paraId="66BC26E8" w14:textId="77777777" w:rsidR="00D72D54" w:rsidRPr="00D72D54" w:rsidRDefault="00D72D54" w:rsidP="00D72D54">
      <w:pPr>
        <w:numPr>
          <w:ilvl w:val="1"/>
          <w:numId w:val="14"/>
        </w:numPr>
        <w:ind w:left="1701"/>
        <w:rPr>
          <w:noProof/>
        </w:rPr>
      </w:pPr>
      <w:r w:rsidRPr="00D72D54">
        <w:rPr>
          <w:noProof/>
        </w:rPr>
        <w:t>arrangements to review the plan by a date specified in the plan.</w:t>
      </w:r>
    </w:p>
    <w:p w14:paraId="7A0C823F" w14:textId="77777777" w:rsidR="00D72D54" w:rsidRPr="00D72D54" w:rsidRDefault="00D72D54" w:rsidP="00D72D54">
      <w:pPr>
        <w:ind w:left="360" w:hanging="360"/>
        <w:rPr>
          <w:noProof/>
        </w:rPr>
      </w:pPr>
      <w:r w:rsidRPr="00D72D54">
        <w:rPr>
          <w:noProof/>
        </w:rPr>
        <w:t>In preparing the plan, the medical practitioner must:</w:t>
      </w:r>
    </w:p>
    <w:p w14:paraId="4CEDB01C" w14:textId="77777777" w:rsidR="00D72D54" w:rsidRPr="00D72D54" w:rsidRDefault="00D72D54" w:rsidP="00D72D54">
      <w:pPr>
        <w:numPr>
          <w:ilvl w:val="1"/>
          <w:numId w:val="15"/>
        </w:numPr>
        <w:ind w:left="1701"/>
        <w:rPr>
          <w:noProof/>
        </w:rPr>
      </w:pPr>
      <w:r w:rsidRPr="00D72D54">
        <w:rPr>
          <w:noProof/>
        </w:rPr>
        <w:t>explain to the patient and the patient's carer (if any, and if the medical practitioner considers it appropriate and the patient agrees) the steps involved in preparing the plan; and</w:t>
      </w:r>
    </w:p>
    <w:p w14:paraId="5589FA83" w14:textId="77777777" w:rsidR="00D72D54" w:rsidRPr="00D72D54" w:rsidRDefault="00D72D54" w:rsidP="00D72D54">
      <w:pPr>
        <w:numPr>
          <w:ilvl w:val="1"/>
          <w:numId w:val="15"/>
        </w:numPr>
        <w:ind w:left="1701"/>
        <w:rPr>
          <w:noProof/>
        </w:rPr>
      </w:pPr>
      <w:r w:rsidRPr="00D72D54">
        <w:rPr>
          <w:noProof/>
        </w:rPr>
        <w:t>record the plan; and</w:t>
      </w:r>
    </w:p>
    <w:p w14:paraId="295C535A" w14:textId="77777777" w:rsidR="00D72D54" w:rsidRPr="00D72D54" w:rsidRDefault="00D72D54" w:rsidP="00D72D54">
      <w:pPr>
        <w:numPr>
          <w:ilvl w:val="1"/>
          <w:numId w:val="15"/>
        </w:numPr>
        <w:ind w:left="1701"/>
        <w:rPr>
          <w:noProof/>
        </w:rPr>
      </w:pPr>
      <w:r w:rsidRPr="00D72D54">
        <w:rPr>
          <w:noProof/>
        </w:rPr>
        <w:t>record the patient's agreement to the preparation of the plan; and</w:t>
      </w:r>
    </w:p>
    <w:p w14:paraId="55F65C6A" w14:textId="77777777" w:rsidR="00D72D54" w:rsidRPr="00D72D54" w:rsidRDefault="00D72D54" w:rsidP="00D72D54">
      <w:pPr>
        <w:numPr>
          <w:ilvl w:val="1"/>
          <w:numId w:val="15"/>
        </w:numPr>
        <w:ind w:left="1701"/>
        <w:rPr>
          <w:noProof/>
        </w:rPr>
      </w:pPr>
      <w:r w:rsidRPr="00D72D54">
        <w:rPr>
          <w:noProof/>
        </w:rPr>
        <w:t>offer a copy of the plan to the patient and the patient's carer (if any, and if the medical practitioner considers it appropriate and the patient agrees); and</w:t>
      </w:r>
    </w:p>
    <w:p w14:paraId="7CE56E49" w14:textId="4FFADEBF" w:rsidR="00D72D54" w:rsidRDefault="00D72D54" w:rsidP="00BA657E">
      <w:pPr>
        <w:numPr>
          <w:ilvl w:val="1"/>
          <w:numId w:val="15"/>
        </w:numPr>
        <w:ind w:left="1701"/>
        <w:rPr>
          <w:noProof/>
        </w:rPr>
      </w:pPr>
      <w:r w:rsidRPr="00D72D54">
        <w:rPr>
          <w:noProof/>
        </w:rPr>
        <w:t>add a copy of the plan to the patient's medical records.</w:t>
      </w:r>
    </w:p>
    <w:p w14:paraId="034F2A74" w14:textId="77777777" w:rsidR="001B096E" w:rsidRPr="001B096E" w:rsidRDefault="001B096E" w:rsidP="001B096E">
      <w:pPr>
        <w:rPr>
          <w:noProof/>
          <w:u w:val="single"/>
        </w:rPr>
      </w:pPr>
      <w:r w:rsidRPr="001B096E">
        <w:rPr>
          <w:noProof/>
          <w:u w:val="single"/>
        </w:rPr>
        <w:t>Blood pressure monitoring equipment:</w:t>
      </w:r>
    </w:p>
    <w:p w14:paraId="6F47AD1D" w14:textId="2E943BEA" w:rsidR="004416F2" w:rsidRDefault="001B096E" w:rsidP="001B096E">
      <w:pPr>
        <w:rPr>
          <w:noProof/>
        </w:rPr>
      </w:pPr>
      <w:r>
        <w:rPr>
          <w:noProof/>
        </w:rPr>
        <w:t>Both the in-clinic blood pressure monitor and the ambulatory blood monitoring equipment (cuff and monitor) used for services under item 11607 must be listed on the Australian Register of Therapeutic Goods, with monitoring devices recalibrated at time intervals as per the manufacturer's recommendations.</w:t>
      </w:r>
    </w:p>
    <w:p w14:paraId="07CB5162" w14:textId="6261D0CB" w:rsidR="001B096E" w:rsidRPr="001B096E" w:rsidRDefault="001B096E" w:rsidP="001B096E">
      <w:pPr>
        <w:rPr>
          <w:noProof/>
          <w:u w:val="single"/>
        </w:rPr>
      </w:pPr>
      <w:r w:rsidRPr="001B096E">
        <w:rPr>
          <w:noProof/>
          <w:u w:val="single"/>
        </w:rPr>
        <w:t>Additional Claiming Guidelines:</w:t>
      </w:r>
    </w:p>
    <w:p w14:paraId="76B4B1A8" w14:textId="533966D4" w:rsidR="004416F2" w:rsidRDefault="004416F2" w:rsidP="004416F2">
      <w:pPr>
        <w:rPr>
          <w:noProof/>
        </w:rPr>
      </w:pPr>
      <w:r>
        <w:rPr>
          <w:noProof/>
        </w:rPr>
        <w:t>If a consultation is for the purpose of an Ambulatory blood pressure monitoring Treatment Plan, a separate and additional consultation should not be undertaken in conjunction with the Ambulatory blood pressure monitoring consultation, unless it is clinically indicated that a separate problem must be treated immediately.</w:t>
      </w:r>
    </w:p>
    <w:p w14:paraId="7D5F60FC" w14:textId="4B112D28" w:rsidR="00DC3CCB" w:rsidRDefault="004416F2" w:rsidP="00120D1F">
      <w:pPr>
        <w:rPr>
          <w:noProof/>
        </w:rPr>
      </w:pPr>
      <w:r>
        <w:rPr>
          <w:noProof/>
        </w:rPr>
        <w:t>Where a separate consultation is undertaken in conjunction with an Ambulatory blood pressure monitoring consultation, the patient's invoice or Medicare voucher (assignment of benefit form) for the separate consultation should be annotated (e.g. separate consultation clinically required/indicated).</w:t>
      </w:r>
    </w:p>
    <w:p w14:paraId="42EC2108" w14:textId="77BC0D57" w:rsidR="00B108DE" w:rsidRDefault="00B108DE" w:rsidP="001B096E">
      <w:pPr>
        <w:rPr>
          <w:noProof/>
        </w:rPr>
      </w:pPr>
    </w:p>
    <w:p w14:paraId="51262003" w14:textId="3EA700A3" w:rsidR="00B108DE" w:rsidRDefault="005F6FBC" w:rsidP="005F6FBC">
      <w:pPr>
        <w:spacing w:line="259" w:lineRule="auto"/>
        <w:rPr>
          <w:noProof/>
        </w:rPr>
      </w:pPr>
      <w:r>
        <w:rPr>
          <w:noProof/>
        </w:rPr>
        <w:br w:type="page"/>
      </w:r>
    </w:p>
    <w:p w14:paraId="22B9F108" w14:textId="77777777" w:rsidR="00120D1F" w:rsidRDefault="00120D1F" w:rsidP="00120D1F">
      <w:pPr>
        <w:pStyle w:val="Heading2"/>
      </w:pPr>
      <w:r>
        <w:lastRenderedPageBreak/>
        <w:t>Where can I find more information?</w:t>
      </w:r>
    </w:p>
    <w:p w14:paraId="74234316" w14:textId="77777777" w:rsidR="00120D1F" w:rsidRPr="0042406B" w:rsidRDefault="00120D1F" w:rsidP="00120D1F">
      <w:r>
        <w:t>The full item descriptor(s) and</w:t>
      </w:r>
      <w:r w:rsidRPr="007E14C4">
        <w:t xml:space="preserve"> information on other changes to the MBS</w:t>
      </w:r>
      <w:r>
        <w:t xml:space="preserve"> will be available on 1 July 2021 on the </w:t>
      </w:r>
      <w:r w:rsidRPr="003122B4">
        <w:t>MBS Online</w:t>
      </w:r>
      <w:r>
        <w:t xml:space="preserve"> website at </w:t>
      </w:r>
      <w:hyperlink r:id="rId12" w:history="1">
        <w:r w:rsidRPr="00420023">
          <w:rPr>
            <w:rStyle w:val="Hyperlink"/>
          </w:rPr>
          <w:t>MBS Online</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3" w:history="1">
        <w:r w:rsidRPr="00420023">
          <w:rPr>
            <w:rStyle w:val="Hyperlink"/>
          </w:rPr>
          <w:t>MBS Online</w:t>
        </w:r>
      </w:hyperlink>
      <w:r>
        <w:t xml:space="preserve"> and clicking ‘Subscribe’. </w:t>
      </w:r>
    </w:p>
    <w:p w14:paraId="07D19569" w14:textId="360C1DEE" w:rsidR="00120D1F" w:rsidRDefault="00120D1F" w:rsidP="00120D1F">
      <w:r>
        <w:t xml:space="preserve">For questions relating to implementation, or to the interpretation of the ambulatory blood pressure monitoring item prior to 1 November 2021, please email </w:t>
      </w:r>
      <w:hyperlink r:id="rId14" w:history="1">
        <w:r w:rsidRPr="0010174C">
          <w:rPr>
            <w:rStyle w:val="Hyperlink"/>
          </w:rPr>
          <w:t>cardiacservices@health.gov.au</w:t>
        </w:r>
      </w:hyperlink>
      <w:r>
        <w:rPr>
          <w:u w:val="single"/>
        </w:rPr>
        <w:t>.</w:t>
      </w:r>
      <w:r>
        <w:t xml:space="preserve"> </w:t>
      </w:r>
    </w:p>
    <w:p w14:paraId="0E5D9EB6" w14:textId="77777777" w:rsidR="00120D1F" w:rsidRPr="00630479" w:rsidRDefault="00120D1F" w:rsidP="00120D1F">
      <w:pPr>
        <w:rPr>
          <w:rFonts w:asciiTheme="minorHAnsi" w:eastAsiaTheme="minorHAnsi" w:hAnsiTheme="minorHAnsi"/>
          <w:szCs w:val="22"/>
        </w:rPr>
      </w:pPr>
      <w:r>
        <w:t xml:space="preserve">For questions regarding the proposed PHI classifications, please email </w:t>
      </w:r>
      <w:hyperlink r:id="rId15" w:history="1">
        <w:r>
          <w:rPr>
            <w:rStyle w:val="Hyperlink"/>
            <w:szCs w:val="20"/>
          </w:rPr>
          <w:t>PHI@health.gov.au</w:t>
        </w:r>
      </w:hyperlink>
      <w:r>
        <w:rPr>
          <w:rStyle w:val="Hyperlink"/>
          <w:b/>
          <w:szCs w:val="20"/>
        </w:rPr>
        <w:t>.</w:t>
      </w:r>
    </w:p>
    <w:p w14:paraId="389E5D1F" w14:textId="77777777" w:rsidR="00120D1F" w:rsidRDefault="00120D1F" w:rsidP="00120D1F">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6" w:history="1">
        <w:r w:rsidRPr="005F6569">
          <w:rPr>
            <w:rStyle w:val="Hyperlink"/>
          </w:rPr>
          <w:t>askMBS</w:t>
        </w:r>
      </w:hyperlink>
      <w:r>
        <w:t>.</w:t>
      </w:r>
    </w:p>
    <w:p w14:paraId="2E674029" w14:textId="7CEE4885" w:rsidR="00120D1F" w:rsidRDefault="00120D1F" w:rsidP="00120D1F">
      <w:r>
        <w:t>Subscribe to ‘</w:t>
      </w:r>
      <w:hyperlink r:id="rId17" w:history="1">
        <w:r w:rsidRPr="00B378D4">
          <w:rPr>
            <w:rStyle w:val="Hyperlink"/>
          </w:rPr>
          <w:t>News for Health Professionals</w:t>
        </w:r>
      </w:hyperlink>
      <w:r>
        <w:t xml:space="preserve">’ on the Services </w:t>
      </w:r>
      <w:r w:rsidR="00176D62">
        <w:t xml:space="preserve">Australia </w:t>
      </w:r>
      <w:r>
        <w:t>website and you will receive regular news highlights.</w:t>
      </w:r>
    </w:p>
    <w:p w14:paraId="4A152CD3" w14:textId="77777777" w:rsidR="00120D1F" w:rsidRDefault="00120D1F" w:rsidP="00120D1F">
      <w:r>
        <w:t xml:space="preserve">If you are seeking advice in relation to Medicare billing, claiming, payments, or obtaining a provider number, please go to the Health Professionals page on the Department of Human Services website or contact the Department of Human Services on the Provider Enquiry Line – 13 21 50. </w:t>
      </w:r>
    </w:p>
    <w:p w14:paraId="2FA9B596" w14:textId="389934C9" w:rsidR="00DC3CCB" w:rsidRPr="00D72D54" w:rsidRDefault="00120D1F" w:rsidP="00120D1F">
      <w:r>
        <w:t xml:space="preserve">The data file for software vendors is available </w:t>
      </w:r>
      <w:r w:rsidR="00583DE0">
        <w:t>in the</w:t>
      </w:r>
      <w:r>
        <w:t xml:space="preserve"> June 2021</w:t>
      </w:r>
      <w:r w:rsidR="00583DE0">
        <w:t xml:space="preserve"> downloads</w:t>
      </w:r>
      <w:r>
        <w:t xml:space="preserve"> and can be accessed via the MBS Online website under the </w:t>
      </w:r>
      <w:hyperlink r:id="rId18" w:history="1">
        <w:r w:rsidRPr="002427E0">
          <w:rPr>
            <w:rStyle w:val="Hyperlink"/>
          </w:rPr>
          <w:t>Downloads</w:t>
        </w:r>
      </w:hyperlink>
      <w:r>
        <w:t xml:space="preserve"> page.</w:t>
      </w:r>
    </w:p>
    <w:p w14:paraId="4246F3C4" w14:textId="1453FD22" w:rsidR="00AB2425" w:rsidRDefault="00D640CC" w:rsidP="0029176A">
      <w:r w:rsidRPr="00897D38">
        <w:t>To view previous item descriptors and deleted items, visit MBS Online at</w:t>
      </w:r>
      <w:r>
        <w:rPr>
          <w:color w:val="1F497D"/>
        </w:rPr>
        <w:t xml:space="preserve"> </w:t>
      </w:r>
      <w:hyperlink r:id="rId19" w:history="1">
        <w:r>
          <w:rPr>
            <w:rStyle w:val="Hyperlink"/>
          </w:rPr>
          <w:t>www.mbsonline.gov.au</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rsidR="0073257C">
        <w:t xml:space="preserve">before </w:t>
      </w:r>
      <w:r w:rsidRPr="00897D38">
        <w:t>implementation of the changes</w:t>
      </w:r>
    </w:p>
    <w:p w14:paraId="645EFF15" w14:textId="77777777" w:rsidR="0029176A" w:rsidRDefault="0029176A" w:rsidP="0029176A">
      <w:pPr>
        <w:pStyle w:val="Disclaimer"/>
      </w:pPr>
      <w:bookmarkStart w:id="6" w:name="_Hlk1375085"/>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1A9E6ECD" w14:textId="343133AB" w:rsidR="0029176A" w:rsidRDefault="0029176A" w:rsidP="00D72D54">
      <w:pPr>
        <w:pStyle w:val="Disclaime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bookmarkEnd w:id="6"/>
    </w:p>
    <w:sectPr w:rsidR="0029176A" w:rsidSect="005F6FBC">
      <w:type w:val="continuous"/>
      <w:pgSz w:w="11906" w:h="16838"/>
      <w:pgMar w:top="2977"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03334" w14:textId="77777777" w:rsidR="00B247B3" w:rsidRDefault="00B247B3" w:rsidP="006D1088">
      <w:pPr>
        <w:spacing w:after="0" w:line="240" w:lineRule="auto"/>
      </w:pPr>
      <w:r>
        <w:separator/>
      </w:r>
    </w:p>
  </w:endnote>
  <w:endnote w:type="continuationSeparator" w:id="0">
    <w:p w14:paraId="57725CA0" w14:textId="77777777" w:rsidR="00B247B3" w:rsidRDefault="00B247B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AB2DA" w14:textId="77777777" w:rsidR="00C64B9E" w:rsidRPr="00C64B9E" w:rsidRDefault="003C7791"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1DF155F1">
        <v:rect id="_x0000_i1026" style="width:523.3pt;height:1.9pt" o:hralign="center" o:hrstd="t" o:hr="t" fillcolor="#a0a0a0" stroked="f"/>
      </w:pict>
    </w:r>
    <w:r w:rsidR="00C64B9E" w:rsidRPr="00C64B9E">
      <w:rPr>
        <w:color w:val="001A70" w:themeColor="text2"/>
        <w:sz w:val="16"/>
      </w:rPr>
      <w:t>Medicare Benefits Schedule</w:t>
    </w:r>
  </w:p>
  <w:p w14:paraId="542C26CB" w14:textId="2E9B11E3" w:rsidR="00C64B9E" w:rsidRPr="00C64B9E" w:rsidRDefault="00455768" w:rsidP="00C64B9E">
    <w:pPr>
      <w:tabs>
        <w:tab w:val="center" w:pos="4513"/>
        <w:tab w:val="right" w:pos="10466"/>
      </w:tabs>
      <w:spacing w:after="0" w:line="240" w:lineRule="auto"/>
      <w:rPr>
        <w:color w:val="001A70" w:themeColor="text2"/>
        <w:sz w:val="16"/>
      </w:rPr>
    </w:pPr>
    <w:r>
      <w:rPr>
        <w:b/>
        <w:color w:val="001A70" w:themeColor="text2"/>
        <w:sz w:val="16"/>
      </w:rPr>
      <w:t>Ambulatory blood pressure monitoring</w:t>
    </w:r>
    <w:r w:rsidR="00C64B9E" w:rsidRPr="00C64B9E">
      <w:rPr>
        <w:b/>
        <w:color w:val="001A70" w:themeColor="text2"/>
        <w:sz w:val="16"/>
      </w:rPr>
      <w:t xml:space="preserve"> – </w:t>
    </w:r>
    <w:r w:rsidR="003E1487">
      <w:rPr>
        <w:b/>
        <w:color w:val="001A70" w:themeColor="text2"/>
        <w:sz w:val="16"/>
      </w:rPr>
      <w:t>Quick reference guide</w:t>
    </w:r>
    <w:r w:rsidR="00C64B9E"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00C64B9E" w:rsidRPr="00C64B9E">
          <w:rPr>
            <w:color w:val="001A70" w:themeColor="text2"/>
            <w:sz w:val="16"/>
          </w:rPr>
          <w:tab/>
        </w:r>
        <w:r w:rsidR="00C64B9E"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006E44DB">
                  <w:rPr>
                    <w:color w:val="001A70" w:themeColor="text2"/>
                    <w:sz w:val="16"/>
                  </w:rPr>
                  <w:tab/>
                </w:r>
                <w:r w:rsidR="00C64B9E" w:rsidRPr="00C64B9E">
                  <w:rPr>
                    <w:color w:val="001A70" w:themeColor="text2"/>
                    <w:sz w:val="16"/>
                  </w:rPr>
                  <w:t xml:space="preserve">Page </w:t>
                </w:r>
                <w:r w:rsidR="00C64B9E" w:rsidRPr="00C64B9E">
                  <w:rPr>
                    <w:bCs/>
                    <w:color w:val="001A70" w:themeColor="text2"/>
                    <w:sz w:val="24"/>
                    <w:szCs w:val="24"/>
                  </w:rPr>
                  <w:fldChar w:fldCharType="begin"/>
                </w:r>
                <w:r w:rsidR="00C64B9E" w:rsidRPr="00C64B9E">
                  <w:rPr>
                    <w:bCs/>
                    <w:color w:val="001A70" w:themeColor="text2"/>
                    <w:sz w:val="16"/>
                  </w:rPr>
                  <w:instrText xml:space="preserve"> PAGE </w:instrText>
                </w:r>
                <w:r w:rsidR="00C64B9E" w:rsidRPr="00C64B9E">
                  <w:rPr>
                    <w:bCs/>
                    <w:color w:val="001A70" w:themeColor="text2"/>
                    <w:sz w:val="24"/>
                    <w:szCs w:val="24"/>
                  </w:rPr>
                  <w:fldChar w:fldCharType="separate"/>
                </w:r>
                <w:r w:rsidR="00C208FC">
                  <w:rPr>
                    <w:bCs/>
                    <w:noProof/>
                    <w:color w:val="001A70" w:themeColor="text2"/>
                    <w:sz w:val="16"/>
                  </w:rPr>
                  <w:t>1</w:t>
                </w:r>
                <w:r w:rsidR="00C64B9E" w:rsidRPr="00C64B9E">
                  <w:rPr>
                    <w:bCs/>
                    <w:color w:val="001A70" w:themeColor="text2"/>
                    <w:sz w:val="24"/>
                    <w:szCs w:val="24"/>
                  </w:rPr>
                  <w:fldChar w:fldCharType="end"/>
                </w:r>
                <w:r w:rsidR="00C64B9E" w:rsidRPr="00C64B9E">
                  <w:rPr>
                    <w:color w:val="001A70" w:themeColor="text2"/>
                    <w:sz w:val="16"/>
                  </w:rPr>
                  <w:t xml:space="preserve"> of </w:t>
                </w:r>
                <w:r w:rsidR="00C64B9E" w:rsidRPr="00C64B9E">
                  <w:rPr>
                    <w:bCs/>
                    <w:color w:val="001A70" w:themeColor="text2"/>
                    <w:sz w:val="24"/>
                    <w:szCs w:val="24"/>
                  </w:rPr>
                  <w:fldChar w:fldCharType="begin"/>
                </w:r>
                <w:r w:rsidR="00C64B9E" w:rsidRPr="00C64B9E">
                  <w:rPr>
                    <w:bCs/>
                    <w:color w:val="001A70" w:themeColor="text2"/>
                    <w:sz w:val="16"/>
                  </w:rPr>
                  <w:instrText xml:space="preserve"> NUMPAGES  </w:instrText>
                </w:r>
                <w:r w:rsidR="00C64B9E" w:rsidRPr="00C64B9E">
                  <w:rPr>
                    <w:bCs/>
                    <w:color w:val="001A70" w:themeColor="text2"/>
                    <w:sz w:val="24"/>
                    <w:szCs w:val="24"/>
                  </w:rPr>
                  <w:fldChar w:fldCharType="separate"/>
                </w:r>
                <w:r w:rsidR="00C208FC">
                  <w:rPr>
                    <w:bCs/>
                    <w:noProof/>
                    <w:color w:val="001A70" w:themeColor="text2"/>
                    <w:sz w:val="16"/>
                  </w:rPr>
                  <w:t>4</w:t>
                </w:r>
                <w:r w:rsidR="00C64B9E" w:rsidRPr="00C64B9E">
                  <w:rPr>
                    <w:bCs/>
                    <w:color w:val="001A70" w:themeColor="text2"/>
                    <w:sz w:val="24"/>
                    <w:szCs w:val="24"/>
                  </w:rPr>
                  <w:fldChar w:fldCharType="end"/>
                </w:r>
              </w:sdtContent>
            </w:sdt>
          </w:sdtContent>
        </w:sdt>
        <w:r w:rsidR="00C64B9E" w:rsidRPr="00C64B9E">
          <w:rPr>
            <w:color w:val="001A70" w:themeColor="text2"/>
            <w:sz w:val="16"/>
          </w:rPr>
          <w:t xml:space="preserve"> </w:t>
        </w:r>
      </w:sdtContent>
    </w:sdt>
  </w:p>
  <w:p w14:paraId="28DD59F2" w14:textId="5DFEF251" w:rsidR="00C64B9E" w:rsidRDefault="003C7791" w:rsidP="00C64B9E">
    <w:pPr>
      <w:pStyle w:val="Footer"/>
      <w:rPr>
        <w:color w:val="7D2248" w:themeColor="hyperlink"/>
        <w:sz w:val="16"/>
        <w:szCs w:val="18"/>
        <w:u w:val="single"/>
      </w:rPr>
    </w:pPr>
    <w:hyperlink r:id="rId1" w:history="1">
      <w:r w:rsidR="00C64B9E" w:rsidRPr="00AD581A">
        <w:rPr>
          <w:color w:val="7D2248" w:themeColor="hyperlink"/>
          <w:sz w:val="16"/>
          <w:szCs w:val="18"/>
          <w:u w:val="single"/>
        </w:rPr>
        <w:t>MBS Online</w:t>
      </w:r>
    </w:hyperlink>
  </w:p>
  <w:p w14:paraId="18A2F86D" w14:textId="647B16E1" w:rsidR="005B7573" w:rsidRPr="005B7573" w:rsidRDefault="005B7573" w:rsidP="005B7573">
    <w:pPr>
      <w:tabs>
        <w:tab w:val="center" w:pos="4513"/>
        <w:tab w:val="right" w:pos="9026"/>
      </w:tabs>
      <w:spacing w:after="0" w:line="240" w:lineRule="auto"/>
      <w:rPr>
        <w:color w:val="001A70" w:themeColor="text2"/>
        <w:sz w:val="16"/>
      </w:rPr>
    </w:pPr>
    <w:bookmarkStart w:id="4" w:name="_Hlk6912109"/>
    <w:bookmarkStart w:id="5" w:name="_Hlk6912110"/>
    <w:r w:rsidRPr="005B7573">
      <w:rPr>
        <w:color w:val="001A70" w:themeColor="text2"/>
        <w:sz w:val="16"/>
      </w:rPr>
      <w:t>Last updated</w:t>
    </w:r>
    <w:r>
      <w:rPr>
        <w:color w:val="001A70" w:themeColor="text2"/>
        <w:sz w:val="16"/>
      </w:rPr>
      <w:t xml:space="preserve"> </w:t>
    </w:r>
    <w:r w:rsidR="001E3873">
      <w:rPr>
        <w:color w:val="001A70" w:themeColor="text2"/>
        <w:sz w:val="16"/>
      </w:rPr>
      <w:t>–</w:t>
    </w:r>
    <w:r>
      <w:rPr>
        <w:color w:val="001A70" w:themeColor="text2"/>
        <w:sz w:val="16"/>
      </w:rPr>
      <w:t xml:space="preserve"> </w:t>
    </w:r>
    <w:r w:rsidR="00D61DDF">
      <w:rPr>
        <w:color w:val="001A70" w:themeColor="text2"/>
        <w:sz w:val="16"/>
      </w:rPr>
      <w:t>10 January</w:t>
    </w:r>
    <w:r>
      <w:rPr>
        <w:color w:val="001A70" w:themeColor="text2"/>
        <w:sz w:val="16"/>
      </w:rPr>
      <w:t xml:space="preserve"> 20</w:t>
    </w:r>
    <w:bookmarkEnd w:id="4"/>
    <w:bookmarkEnd w:id="5"/>
    <w:r w:rsidR="00455768">
      <w:rPr>
        <w:color w:val="001A70" w:themeColor="text2"/>
        <w:sz w:val="16"/>
      </w:rPr>
      <w:t>2</w:t>
    </w:r>
    <w:r w:rsidR="00D61DDF">
      <w:rPr>
        <w:color w:val="001A70" w:themeColor="text2"/>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4E650" w14:textId="77777777" w:rsidR="00B247B3" w:rsidRDefault="00B247B3" w:rsidP="006D1088">
      <w:pPr>
        <w:spacing w:after="0" w:line="240" w:lineRule="auto"/>
      </w:pPr>
      <w:r>
        <w:separator/>
      </w:r>
    </w:p>
  </w:footnote>
  <w:footnote w:type="continuationSeparator" w:id="0">
    <w:p w14:paraId="38FDB10B" w14:textId="77777777" w:rsidR="00B247B3" w:rsidRDefault="00B247B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D3AC" w14:textId="420FE883" w:rsidR="00897D38" w:rsidRDefault="00906169">
    <w:pPr>
      <w:pStyle w:val="Header"/>
    </w:pPr>
    <w:r w:rsidRPr="00906169">
      <w:rPr>
        <w:noProof/>
        <w:lang w:eastAsia="en-AU"/>
      </w:rPr>
      <mc:AlternateContent>
        <mc:Choice Requires="wps">
          <w:drawing>
            <wp:anchor distT="0" distB="0" distL="114300" distR="114300" simplePos="0" relativeHeight="251659776" behindDoc="0" locked="0" layoutInCell="1" allowOverlap="1" wp14:anchorId="7757D423" wp14:editId="0CD1C107">
              <wp:simplePos x="0" y="0"/>
              <wp:positionH relativeFrom="column">
                <wp:align>right</wp:align>
              </wp:positionH>
              <wp:positionV relativeFrom="paragraph">
                <wp:posOffset>-288646</wp:posOffset>
              </wp:positionV>
              <wp:extent cx="2912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12400" cy="1285200"/>
                      </a:xfrm>
                      <a:prstGeom prst="rect">
                        <a:avLst/>
                      </a:prstGeom>
                    </wps:spPr>
                    <wps:txbx>
                      <w:txbxContent>
                        <w:p w14:paraId="3D27FC89" w14:textId="14A51A67" w:rsidR="00906169" w:rsidRDefault="00906169"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757D423" id="Title 3" o:spid="_x0000_s1026" style="position:absolute;margin-left:178.1pt;margin-top:-22.75pt;width:229.3pt;height:101.2pt;z-index:2516597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" filled="f" stroked="f">
              <o:lock v:ext="edit" grouping="t"/>
              <v:textbox>
                <w:txbxContent>
                  <w:p w14:paraId="3D27FC89" w14:textId="14A51A67" w:rsidR="00906169" w:rsidRDefault="00906169"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v:textbox>
            </v:rect>
          </w:pict>
        </mc:Fallback>
      </mc:AlternateContent>
    </w:r>
    <w:r w:rsidR="00897D38" w:rsidRPr="006D1088">
      <w:rPr>
        <w:noProof/>
        <w:lang w:eastAsia="en-AU"/>
      </w:rPr>
      <w:drawing>
        <wp:anchor distT="0" distB="0" distL="114300" distR="114300" simplePos="0" relativeHeight="251657728" behindDoc="1" locked="0" layoutInCell="1" allowOverlap="1" wp14:anchorId="41D1303B" wp14:editId="471146B9">
          <wp:simplePos x="0" y="0"/>
          <wp:positionH relativeFrom="page">
            <wp:posOffset>-38100</wp:posOffset>
          </wp:positionH>
          <wp:positionV relativeFrom="paragraph">
            <wp:posOffset>-486410</wp:posOffset>
          </wp:positionV>
          <wp:extent cx="7642860" cy="16109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B81595"/>
    <w:multiLevelType w:val="hybridMultilevel"/>
    <w:tmpl w:val="6820E9C2"/>
    <w:lvl w:ilvl="0" w:tplc="0C090003">
      <w:start w:val="1"/>
      <w:numFmt w:val="bullet"/>
      <w:lvlText w:val="o"/>
      <w:lvlJc w:val="left"/>
      <w:pPr>
        <w:ind w:left="720" w:hanging="360"/>
      </w:pPr>
      <w:rPr>
        <w:rFonts w:ascii="Courier New" w:hAnsi="Courier New" w:cs="Courier New"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7D2755"/>
    <w:multiLevelType w:val="hybridMultilevel"/>
    <w:tmpl w:val="4BE4CD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E35A91"/>
    <w:multiLevelType w:val="hybridMultilevel"/>
    <w:tmpl w:val="EA2E6D08"/>
    <w:lvl w:ilvl="0" w:tplc="2E4C6A52">
      <w:start w:val="1"/>
      <w:numFmt w:val="bullet"/>
      <w:pStyle w:val="ListParagraph"/>
      <w:lvlText w:val=""/>
      <w:lvlJc w:val="left"/>
      <w:pPr>
        <w:ind w:left="360" w:hanging="360"/>
      </w:pPr>
      <w:rPr>
        <w:rFonts w:ascii="Symbol" w:hAnsi="Symbol" w:hint="default"/>
        <w:color w:val="001353" w:themeColor="text2" w:themeShade="BF"/>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34080F"/>
    <w:multiLevelType w:val="hybridMultilevel"/>
    <w:tmpl w:val="ABC66A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AF67CD"/>
    <w:multiLevelType w:val="hybridMultilevel"/>
    <w:tmpl w:val="CA28FBC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0605D8"/>
    <w:multiLevelType w:val="hybridMultilevel"/>
    <w:tmpl w:val="A3F8DFD8"/>
    <w:lvl w:ilvl="0" w:tplc="0C090003">
      <w:start w:val="1"/>
      <w:numFmt w:val="bullet"/>
      <w:lvlText w:val="o"/>
      <w:lvlJc w:val="left"/>
      <w:pPr>
        <w:ind w:left="720" w:hanging="360"/>
      </w:pPr>
      <w:rPr>
        <w:rFonts w:ascii="Courier New" w:hAnsi="Courier New" w:cs="Courier New"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8C407D"/>
    <w:multiLevelType w:val="hybridMultilevel"/>
    <w:tmpl w:val="E2B49F68"/>
    <w:lvl w:ilvl="0" w:tplc="FED00D4A">
      <w:start w:val="1"/>
      <w:numFmt w:val="bullet"/>
      <w:pStyle w:val="RecommendationsBullets"/>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9"/>
  </w:num>
  <w:num w:numId="4">
    <w:abstractNumId w:val="4"/>
  </w:num>
  <w:num w:numId="5">
    <w:abstractNumId w:val="7"/>
  </w:num>
  <w:num w:numId="6">
    <w:abstractNumId w:val="9"/>
  </w:num>
  <w:num w:numId="7">
    <w:abstractNumId w:val="0"/>
  </w:num>
  <w:num w:numId="8">
    <w:abstractNumId w:val="9"/>
  </w:num>
  <w:num w:numId="9">
    <w:abstractNumId w:val="4"/>
  </w:num>
  <w:num w:numId="10">
    <w:abstractNumId w:val="3"/>
  </w:num>
  <w:num w:numId="11">
    <w:abstractNumId w:val="5"/>
  </w:num>
  <w:num w:numId="12">
    <w:abstractNumId w:val="2"/>
  </w:num>
  <w:num w:numId="13">
    <w:abstractNumId w:val="6"/>
  </w:num>
  <w:num w:numId="14">
    <w:abstractNumId w:val="1"/>
  </w:num>
  <w:num w:numId="15">
    <w:abstractNumId w:val="8"/>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3B"/>
    <w:rsid w:val="00016CC6"/>
    <w:rsid w:val="00017D5D"/>
    <w:rsid w:val="0003040F"/>
    <w:rsid w:val="00032635"/>
    <w:rsid w:val="00032AB6"/>
    <w:rsid w:val="00037F63"/>
    <w:rsid w:val="00050A5B"/>
    <w:rsid w:val="00051765"/>
    <w:rsid w:val="00073728"/>
    <w:rsid w:val="000A43C6"/>
    <w:rsid w:val="000B01AE"/>
    <w:rsid w:val="000B1C83"/>
    <w:rsid w:val="000E4415"/>
    <w:rsid w:val="000E7D2B"/>
    <w:rsid w:val="000F0539"/>
    <w:rsid w:val="00101643"/>
    <w:rsid w:val="00120D1F"/>
    <w:rsid w:val="00143450"/>
    <w:rsid w:val="001561B3"/>
    <w:rsid w:val="00160793"/>
    <w:rsid w:val="001620B2"/>
    <w:rsid w:val="00167A8A"/>
    <w:rsid w:val="00176D62"/>
    <w:rsid w:val="00181B52"/>
    <w:rsid w:val="001B096E"/>
    <w:rsid w:val="001C39EA"/>
    <w:rsid w:val="001D0399"/>
    <w:rsid w:val="001D7BC7"/>
    <w:rsid w:val="001E3873"/>
    <w:rsid w:val="001E4AAE"/>
    <w:rsid w:val="0020342D"/>
    <w:rsid w:val="00215F3B"/>
    <w:rsid w:val="00225FE2"/>
    <w:rsid w:val="002360FA"/>
    <w:rsid w:val="00237393"/>
    <w:rsid w:val="00237BE8"/>
    <w:rsid w:val="00240B49"/>
    <w:rsid w:val="00244C4C"/>
    <w:rsid w:val="002746BB"/>
    <w:rsid w:val="0027565A"/>
    <w:rsid w:val="0029176A"/>
    <w:rsid w:val="00296DD0"/>
    <w:rsid w:val="002A3C7C"/>
    <w:rsid w:val="002C47E3"/>
    <w:rsid w:val="002D02F1"/>
    <w:rsid w:val="002F2987"/>
    <w:rsid w:val="00322ACB"/>
    <w:rsid w:val="00332D5E"/>
    <w:rsid w:val="0033632B"/>
    <w:rsid w:val="003370DF"/>
    <w:rsid w:val="00352321"/>
    <w:rsid w:val="00354816"/>
    <w:rsid w:val="00363A31"/>
    <w:rsid w:val="00372A70"/>
    <w:rsid w:val="003A7902"/>
    <w:rsid w:val="003C7791"/>
    <w:rsid w:val="003D3DF9"/>
    <w:rsid w:val="003D5CEF"/>
    <w:rsid w:val="003E1487"/>
    <w:rsid w:val="003E5FE6"/>
    <w:rsid w:val="003E7839"/>
    <w:rsid w:val="00403EBE"/>
    <w:rsid w:val="0040562E"/>
    <w:rsid w:val="0041360F"/>
    <w:rsid w:val="00432212"/>
    <w:rsid w:val="004327F7"/>
    <w:rsid w:val="004416F2"/>
    <w:rsid w:val="00455768"/>
    <w:rsid w:val="00456CDE"/>
    <w:rsid w:val="00464617"/>
    <w:rsid w:val="00464E24"/>
    <w:rsid w:val="00466A32"/>
    <w:rsid w:val="00470DD5"/>
    <w:rsid w:val="004762A0"/>
    <w:rsid w:val="004775B0"/>
    <w:rsid w:val="00492DDB"/>
    <w:rsid w:val="00493BC3"/>
    <w:rsid w:val="004A36D7"/>
    <w:rsid w:val="004C1290"/>
    <w:rsid w:val="004E2D2D"/>
    <w:rsid w:val="00520161"/>
    <w:rsid w:val="00551374"/>
    <w:rsid w:val="00562A42"/>
    <w:rsid w:val="005657CF"/>
    <w:rsid w:val="005721A7"/>
    <w:rsid w:val="00583DE0"/>
    <w:rsid w:val="005A3E55"/>
    <w:rsid w:val="005A60E6"/>
    <w:rsid w:val="005B7573"/>
    <w:rsid w:val="005D31D6"/>
    <w:rsid w:val="005E6D13"/>
    <w:rsid w:val="005F6FBC"/>
    <w:rsid w:val="005F70A1"/>
    <w:rsid w:val="006054CC"/>
    <w:rsid w:val="0060693B"/>
    <w:rsid w:val="00623477"/>
    <w:rsid w:val="0062770E"/>
    <w:rsid w:val="00627DF5"/>
    <w:rsid w:val="00630329"/>
    <w:rsid w:val="00671AE2"/>
    <w:rsid w:val="00681667"/>
    <w:rsid w:val="00696CC9"/>
    <w:rsid w:val="006A2FD2"/>
    <w:rsid w:val="006B2891"/>
    <w:rsid w:val="006B6DD9"/>
    <w:rsid w:val="006C5021"/>
    <w:rsid w:val="006C52C6"/>
    <w:rsid w:val="006D1088"/>
    <w:rsid w:val="006E44DB"/>
    <w:rsid w:val="006F5785"/>
    <w:rsid w:val="007020BF"/>
    <w:rsid w:val="00712091"/>
    <w:rsid w:val="00712F33"/>
    <w:rsid w:val="00721396"/>
    <w:rsid w:val="00723C6B"/>
    <w:rsid w:val="0073257C"/>
    <w:rsid w:val="00736D31"/>
    <w:rsid w:val="00763E5B"/>
    <w:rsid w:val="00774C9D"/>
    <w:rsid w:val="007A232E"/>
    <w:rsid w:val="007C304E"/>
    <w:rsid w:val="007C343E"/>
    <w:rsid w:val="007C4C98"/>
    <w:rsid w:val="007D0E7A"/>
    <w:rsid w:val="007D1A03"/>
    <w:rsid w:val="007F463D"/>
    <w:rsid w:val="0080635A"/>
    <w:rsid w:val="008105C0"/>
    <w:rsid w:val="00814AE2"/>
    <w:rsid w:val="00817E4F"/>
    <w:rsid w:val="00820EBE"/>
    <w:rsid w:val="00821361"/>
    <w:rsid w:val="00852651"/>
    <w:rsid w:val="008542BB"/>
    <w:rsid w:val="00861639"/>
    <w:rsid w:val="00884022"/>
    <w:rsid w:val="008846C3"/>
    <w:rsid w:val="00897D38"/>
    <w:rsid w:val="008A71B5"/>
    <w:rsid w:val="008A72FC"/>
    <w:rsid w:val="008B049A"/>
    <w:rsid w:val="008C230B"/>
    <w:rsid w:val="008C370C"/>
    <w:rsid w:val="008E48B0"/>
    <w:rsid w:val="00906169"/>
    <w:rsid w:val="00907D55"/>
    <w:rsid w:val="00911BCA"/>
    <w:rsid w:val="009342F2"/>
    <w:rsid w:val="00952A5A"/>
    <w:rsid w:val="00954745"/>
    <w:rsid w:val="00993FAA"/>
    <w:rsid w:val="0099759F"/>
    <w:rsid w:val="009A4B09"/>
    <w:rsid w:val="009A4D5D"/>
    <w:rsid w:val="009C49FB"/>
    <w:rsid w:val="009E7FAC"/>
    <w:rsid w:val="00A040C1"/>
    <w:rsid w:val="00A12B19"/>
    <w:rsid w:val="00A44582"/>
    <w:rsid w:val="00A44E96"/>
    <w:rsid w:val="00A80234"/>
    <w:rsid w:val="00AB2425"/>
    <w:rsid w:val="00AB78F9"/>
    <w:rsid w:val="00AC0091"/>
    <w:rsid w:val="00AC679F"/>
    <w:rsid w:val="00AD2DB9"/>
    <w:rsid w:val="00AD581A"/>
    <w:rsid w:val="00AE0D93"/>
    <w:rsid w:val="00AE23A8"/>
    <w:rsid w:val="00B108DE"/>
    <w:rsid w:val="00B23A4C"/>
    <w:rsid w:val="00B247B3"/>
    <w:rsid w:val="00B3107B"/>
    <w:rsid w:val="00B31C3E"/>
    <w:rsid w:val="00B344DF"/>
    <w:rsid w:val="00B472BF"/>
    <w:rsid w:val="00B563A9"/>
    <w:rsid w:val="00B623B0"/>
    <w:rsid w:val="00B63FB9"/>
    <w:rsid w:val="00B70DD3"/>
    <w:rsid w:val="00B96AD0"/>
    <w:rsid w:val="00BA657E"/>
    <w:rsid w:val="00BC4E46"/>
    <w:rsid w:val="00C060D4"/>
    <w:rsid w:val="00C13B16"/>
    <w:rsid w:val="00C208FC"/>
    <w:rsid w:val="00C33613"/>
    <w:rsid w:val="00C33A20"/>
    <w:rsid w:val="00C50A47"/>
    <w:rsid w:val="00C64B9E"/>
    <w:rsid w:val="00C72C2D"/>
    <w:rsid w:val="00C8223A"/>
    <w:rsid w:val="00C831ED"/>
    <w:rsid w:val="00C86856"/>
    <w:rsid w:val="00CA743D"/>
    <w:rsid w:val="00CD4EAB"/>
    <w:rsid w:val="00CF66A4"/>
    <w:rsid w:val="00D14F14"/>
    <w:rsid w:val="00D24276"/>
    <w:rsid w:val="00D2513C"/>
    <w:rsid w:val="00D30B91"/>
    <w:rsid w:val="00D33A0D"/>
    <w:rsid w:val="00D359EC"/>
    <w:rsid w:val="00D37FD2"/>
    <w:rsid w:val="00D43F57"/>
    <w:rsid w:val="00D46BFF"/>
    <w:rsid w:val="00D61DDF"/>
    <w:rsid w:val="00D640CC"/>
    <w:rsid w:val="00D72D54"/>
    <w:rsid w:val="00D76659"/>
    <w:rsid w:val="00DA6D06"/>
    <w:rsid w:val="00DB1343"/>
    <w:rsid w:val="00DB1A46"/>
    <w:rsid w:val="00DC3CCB"/>
    <w:rsid w:val="00DD31CF"/>
    <w:rsid w:val="00DD3E9E"/>
    <w:rsid w:val="00DE22E2"/>
    <w:rsid w:val="00DF283A"/>
    <w:rsid w:val="00E00453"/>
    <w:rsid w:val="00E0454B"/>
    <w:rsid w:val="00E100BC"/>
    <w:rsid w:val="00E401CE"/>
    <w:rsid w:val="00E60F91"/>
    <w:rsid w:val="00E63754"/>
    <w:rsid w:val="00E86B6A"/>
    <w:rsid w:val="00E926FF"/>
    <w:rsid w:val="00E95C64"/>
    <w:rsid w:val="00EA56C4"/>
    <w:rsid w:val="00EF382F"/>
    <w:rsid w:val="00EF7676"/>
    <w:rsid w:val="00F074CE"/>
    <w:rsid w:val="00F11625"/>
    <w:rsid w:val="00F333A7"/>
    <w:rsid w:val="00F33706"/>
    <w:rsid w:val="00F37C06"/>
    <w:rsid w:val="00F46D9B"/>
    <w:rsid w:val="00F54658"/>
    <w:rsid w:val="00F8662A"/>
    <w:rsid w:val="00F91003"/>
    <w:rsid w:val="00F9216C"/>
    <w:rsid w:val="00FC7546"/>
    <w:rsid w:val="00FD389F"/>
    <w:rsid w:val="00FF5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2B878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E95C64"/>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296DD0"/>
    <w:pPr>
      <w:spacing w:before="240" w:after="120" w:line="276" w:lineRule="auto"/>
      <w:outlineLvl w:val="1"/>
    </w:pPr>
    <w:rPr>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329"/>
    <w:rPr>
      <w:rFonts w:asciiTheme="majorHAnsi" w:eastAsiaTheme="majorEastAsia" w:hAnsiTheme="majorHAnsi" w:cstheme="majorBidi"/>
      <w:color w:val="001A70" w:themeColor="text2"/>
      <w:sz w:val="52"/>
      <w:szCs w:val="40"/>
    </w:rPr>
  </w:style>
  <w:style w:type="paragraph" w:styleId="ListParagraph">
    <w:name w:val="List Paragraph"/>
    <w:basedOn w:val="Normal"/>
    <w:autoRedefine/>
    <w:qFormat/>
    <w:rsid w:val="00852651"/>
    <w:pPr>
      <w:numPr>
        <w:numId w:val="2"/>
      </w:numPr>
      <w:spacing w:after="60"/>
    </w:pPr>
  </w:style>
  <w:style w:type="character" w:customStyle="1" w:styleId="Heading2Char">
    <w:name w:val="Heading 2 Char"/>
    <w:basedOn w:val="DefaultParagraphFont"/>
    <w:link w:val="Heading2"/>
    <w:rsid w:val="00296DD0"/>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455768"/>
    <w:pPr>
      <w:numPr>
        <w:numId w:val="3"/>
      </w:numPr>
      <w:ind w:left="360"/>
    </w:pPr>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semiHidden/>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paragraph" w:customStyle="1" w:styleId="Tablea">
    <w:name w:val="Table(a)"/>
    <w:aliases w:val="ta"/>
    <w:basedOn w:val="Normal"/>
    <w:rsid w:val="006C52C6"/>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AA">
    <w:name w:val="Table(AA)"/>
    <w:aliases w:val="taaa"/>
    <w:basedOn w:val="Normal"/>
    <w:rsid w:val="006C52C6"/>
    <w:pPr>
      <w:tabs>
        <w:tab w:val="left" w:pos="-6543"/>
        <w:tab w:val="left" w:pos="-6260"/>
      </w:tabs>
      <w:spacing w:after="0" w:line="240" w:lineRule="exact"/>
      <w:ind w:left="1055" w:hanging="284"/>
    </w:pPr>
    <w:rPr>
      <w:rFonts w:ascii="Times New Roman" w:eastAsia="Times New Roman" w:hAnsi="Times New Roman" w:cs="Times New Roman"/>
      <w:szCs w:val="20"/>
      <w:lang w:eastAsia="en-AU"/>
    </w:rPr>
  </w:style>
  <w:style w:type="paragraph" w:customStyle="1" w:styleId="Tablei">
    <w:name w:val="Table(i)"/>
    <w:aliases w:val="taa"/>
    <w:basedOn w:val="Normal"/>
    <w:rsid w:val="006C52C6"/>
    <w:pPr>
      <w:tabs>
        <w:tab w:val="left" w:pos="-6543"/>
        <w:tab w:val="left" w:pos="-6260"/>
        <w:tab w:val="right" w:pos="970"/>
      </w:tabs>
      <w:spacing w:after="0" w:line="240" w:lineRule="exact"/>
      <w:ind w:left="828" w:hanging="284"/>
    </w:pPr>
    <w:rPr>
      <w:rFonts w:ascii="Times New Roman" w:eastAsia="Times New Roman" w:hAnsi="Times New Roman" w:cs="Times New Roman"/>
      <w:szCs w:val="20"/>
      <w:lang w:eastAsia="en-AU"/>
    </w:rPr>
  </w:style>
  <w:style w:type="paragraph" w:customStyle="1" w:styleId="Tabletext">
    <w:name w:val="Tabletext"/>
    <w:aliases w:val="tt"/>
    <w:basedOn w:val="Normal"/>
    <w:rsid w:val="006C52C6"/>
    <w:pPr>
      <w:spacing w:before="60" w:after="0" w:line="240" w:lineRule="atLeast"/>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120D1F"/>
    <w:rPr>
      <w:color w:val="5F25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167184001">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737896246">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198658008">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http://www.mbsonline.gov.au/" TargetMode="External"/><Relationship Id="rId18" Type="http://schemas.openxmlformats.org/officeDocument/2006/relationships/hyperlink" Target="https://protect-au.mimecast.com/s/YGuBCWLVnwSNGEDUxwHa2?domain=mbsonline.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gislation.gov.au/Details/F2021L01281" TargetMode="External"/><Relationship Id="rId12" Type="http://schemas.openxmlformats.org/officeDocument/2006/relationships/hyperlink" Target="http://www.mbsonline.gov.au/" TargetMode="External"/><Relationship Id="rId17" Type="http://schemas.openxmlformats.org/officeDocument/2006/relationships/hyperlink" Target="https://www.servicesaustralia.gov.au/news-for-health-professionals?type%5Bvalue%5D%5Bnews%5D=news" TargetMode="External"/><Relationship Id="rId2" Type="http://schemas.openxmlformats.org/officeDocument/2006/relationships/styles" Target="styles.xml"/><Relationship Id="rId16" Type="http://schemas.openxmlformats.org/officeDocument/2006/relationships/hyperlink" Target="mailto:askMBS@health.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PHI@health.gov.au" TargetMode="External"/><Relationship Id="rId10" Type="http://schemas.openxmlformats.org/officeDocument/2006/relationships/header" Target="header1.xml"/><Relationship Id="rId19" Type="http://schemas.openxmlformats.org/officeDocument/2006/relationships/hyperlink" Target="https://protect-au.mimecast.com/s/Mx3bCxngGVH9J8zcvfYJU?domain=mbsonline.gov.au" TargetMode="External"/><Relationship Id="rId4" Type="http://schemas.openxmlformats.org/officeDocument/2006/relationships/webSettings" Target="webSettings.xml"/><Relationship Id="rId9" Type="http://schemas.openxmlformats.org/officeDocument/2006/relationships/hyperlink" Target="http://www.msac.gov.au/" TargetMode="External"/><Relationship Id="rId14" Type="http://schemas.openxmlformats.org/officeDocument/2006/relationships/hyperlink" Target="mailto:cardiacservices@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1679</Words>
  <Characters>9254</Characters>
  <Application>Microsoft Office Word</Application>
  <DocSecurity>0</DocSecurity>
  <Lines>154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2022-01-11T04:10:00Z</dcterms:created>
  <dcterms:modified xsi:type="dcterms:W3CDTF">2022-01-13T03:35:00Z</dcterms:modified>
</cp:coreProperties>
</file>