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4156" w14:textId="053F99D6" w:rsidR="00AB53A4" w:rsidRPr="008F2E7A" w:rsidRDefault="00613310" w:rsidP="004F272F">
      <w:pPr>
        <w:pStyle w:val="Heading1"/>
        <w:spacing w:before="120"/>
        <w:rPr>
          <w:sz w:val="44"/>
        </w:rPr>
      </w:pPr>
      <w:r w:rsidRPr="008F2E7A">
        <w:rPr>
          <w:sz w:val="44"/>
        </w:rPr>
        <w:t xml:space="preserve">Changes to MBS Items for Orthopaedic </w:t>
      </w:r>
      <w:r w:rsidR="00E0587C">
        <w:rPr>
          <w:sz w:val="44"/>
        </w:rPr>
        <w:t>Hip</w:t>
      </w:r>
      <w:r w:rsidR="003E0EB0" w:rsidRPr="003E0EB0">
        <w:rPr>
          <w:sz w:val="44"/>
        </w:rPr>
        <w:t xml:space="preserve"> </w:t>
      </w:r>
      <w:r w:rsidRPr="008F2E7A">
        <w:rPr>
          <w:sz w:val="44"/>
        </w:rPr>
        <w:t xml:space="preserve">Surgery  </w:t>
      </w:r>
    </w:p>
    <w:p w14:paraId="164E6074" w14:textId="5873D8A2" w:rsidR="00907B4A" w:rsidRPr="00AB53A4" w:rsidRDefault="00907B4A" w:rsidP="00AB53A4">
      <w:bookmarkStart w:id="0" w:name="_Hlk4568006"/>
      <w:r w:rsidRPr="00C23DC4">
        <w:t xml:space="preserve">Last updated: </w:t>
      </w:r>
      <w:r w:rsidR="00502381">
        <w:t>1 July</w:t>
      </w:r>
      <w:r w:rsidR="00613310" w:rsidRPr="00C23DC4">
        <w:t xml:space="preserve"> 2021</w:t>
      </w:r>
    </w:p>
    <w:bookmarkEnd w:id="0"/>
    <w:p w14:paraId="57D6FE4F" w14:textId="4E921DB2" w:rsidR="00045810" w:rsidRDefault="00907B4A" w:rsidP="009E66EE">
      <w:pPr>
        <w:pStyle w:val="ListParagraph"/>
      </w:pPr>
      <w:r>
        <w:t xml:space="preserve">From </w:t>
      </w:r>
      <w:r w:rsidR="00613310">
        <w:t>1 July 2021, the</w:t>
      </w:r>
      <w:r>
        <w:t xml:space="preserve"> MBS items for </w:t>
      </w:r>
      <w:r w:rsidR="00613310">
        <w:t xml:space="preserve">orthopaedic </w:t>
      </w:r>
      <w:r w:rsidR="00E0587C">
        <w:t>hip</w:t>
      </w:r>
      <w:r w:rsidR="00983045">
        <w:t xml:space="preserve"> </w:t>
      </w:r>
      <w:r w:rsidR="00613310">
        <w:t>surgery</w:t>
      </w:r>
      <w:r w:rsidR="00B714E8">
        <w:t xml:space="preserve"> </w:t>
      </w:r>
      <w:r w:rsidR="006E4F95">
        <w:t>will be</w:t>
      </w:r>
      <w:r>
        <w:t xml:space="preserve"> changing to</w:t>
      </w:r>
      <w:r w:rsidR="00EC1B51">
        <w:t xml:space="preserve"> support high value care,</w:t>
      </w:r>
      <w:r>
        <w:t xml:space="preserve"> </w:t>
      </w:r>
      <w:r w:rsidR="006E4F95">
        <w:t>reflect contemporary clinical practice</w:t>
      </w:r>
      <w:r w:rsidR="00EC1B51">
        <w:t>, and improve quality of care and safety for patients</w:t>
      </w:r>
      <w:r w:rsidR="006E4F95">
        <w:t xml:space="preserve">. These changes are a result of the MBS Review Taskforce (the Taskforce) recommendations and </w:t>
      </w:r>
      <w:r w:rsidR="00AB57A3">
        <w:t xml:space="preserve">extensive </w:t>
      </w:r>
      <w:r w:rsidR="006E4F95">
        <w:t xml:space="preserve">consultation with </w:t>
      </w:r>
      <w:r w:rsidR="00AB57A3">
        <w:t xml:space="preserve">key </w:t>
      </w:r>
      <w:r w:rsidR="006E4F95">
        <w:t xml:space="preserve">stakeholders. </w:t>
      </w:r>
    </w:p>
    <w:p w14:paraId="6DE6F111" w14:textId="170B4FCA" w:rsidR="00045810" w:rsidRDefault="003E0EB0" w:rsidP="00045810">
      <w:pPr>
        <w:pStyle w:val="ListParagraph"/>
      </w:pPr>
      <w:r>
        <w:t xml:space="preserve">These changes are relevant to </w:t>
      </w:r>
      <w:r w:rsidR="00621A16">
        <w:t>specialists</w:t>
      </w:r>
      <w:r w:rsidR="006E4F95">
        <w:t xml:space="preserve"> involved in the provision of orthopaedic surgery services, consumers claiming these services, private hospitals, and private health insurers. </w:t>
      </w:r>
    </w:p>
    <w:p w14:paraId="4FBB073F" w14:textId="1346D867" w:rsidR="00AB53A4" w:rsidRDefault="006E4F95" w:rsidP="00AB53A4">
      <w:pPr>
        <w:pStyle w:val="ListParagraph"/>
      </w:pPr>
      <w:r>
        <w:t xml:space="preserve">Billing practices from 1 July 2021 will need to be adjusted to reflect these changes. </w:t>
      </w:r>
    </w:p>
    <w:p w14:paraId="5511CF48" w14:textId="77777777" w:rsidR="0017279A" w:rsidRDefault="009C206C" w:rsidP="00AB53A4">
      <w:pPr>
        <w:sectPr w:rsidR="0017279A"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09B4E7E7">
          <v:rect id="_x0000_i1026" style="width:500.25pt;height:1.35pt" o:hrpct="990" o:hralign="center" o:hrstd="t" o:hr="t" fillcolor="#a0a0a0" stroked="f"/>
        </w:pict>
      </w:r>
    </w:p>
    <w:p w14:paraId="2749DD5E" w14:textId="235D815B" w:rsidR="00F074CE" w:rsidRPr="0071212A" w:rsidRDefault="003E0EB0" w:rsidP="00AB53A4">
      <w:pPr>
        <w:pStyle w:val="Heading2"/>
        <w:rPr>
          <w:sz w:val="26"/>
          <w:szCs w:val="26"/>
        </w:rPr>
      </w:pPr>
      <w:r>
        <w:rPr>
          <w:sz w:val="26"/>
          <w:szCs w:val="26"/>
        </w:rPr>
        <w:t>Summary of the</w:t>
      </w:r>
      <w:r w:rsidR="00E370F4" w:rsidRPr="0071212A">
        <w:rPr>
          <w:sz w:val="26"/>
          <w:szCs w:val="26"/>
        </w:rPr>
        <w:t xml:space="preserve"> changes</w:t>
      </w:r>
    </w:p>
    <w:p w14:paraId="57BE1B51" w14:textId="43769A28" w:rsidR="00BD1C20" w:rsidRDefault="009E66EE" w:rsidP="00E81287">
      <w:r>
        <w:t xml:space="preserve">From </w:t>
      </w:r>
      <w:r w:rsidR="006E4F95">
        <w:t>1 July 2021</w:t>
      </w:r>
      <w:r>
        <w:t xml:space="preserve">, there </w:t>
      </w:r>
      <w:bookmarkStart w:id="1" w:name="_Hlk535507068"/>
      <w:r>
        <w:t xml:space="preserve">will be </w:t>
      </w:r>
      <w:r w:rsidR="00135417">
        <w:t xml:space="preserve">a </w:t>
      </w:r>
      <w:bookmarkEnd w:id="1"/>
      <w:r w:rsidR="00135417">
        <w:t xml:space="preserve">revised </w:t>
      </w:r>
      <w:r w:rsidR="00EC1B51">
        <w:t xml:space="preserve">MBS item structure </w:t>
      </w:r>
      <w:r w:rsidR="00921291">
        <w:t>for</w:t>
      </w:r>
      <w:r w:rsidR="00135417">
        <w:t xml:space="preserve"> </w:t>
      </w:r>
      <w:r w:rsidR="006E4F95">
        <w:t xml:space="preserve">orthopaedic </w:t>
      </w:r>
      <w:r w:rsidR="00E0587C">
        <w:t>hip</w:t>
      </w:r>
      <w:r w:rsidR="00921291">
        <w:t xml:space="preserve"> </w:t>
      </w:r>
      <w:r w:rsidR="006E4F95">
        <w:t>surgery services</w:t>
      </w:r>
      <w:r>
        <w:t xml:space="preserve">. </w:t>
      </w:r>
      <w:r w:rsidR="006E4F95">
        <w:t>Overall, t</w:t>
      </w:r>
      <w:r w:rsidR="00135417">
        <w:t>he new structure includes</w:t>
      </w:r>
      <w:r>
        <w:t>:</w:t>
      </w:r>
    </w:p>
    <w:p w14:paraId="332AC6CC" w14:textId="440BE2CD" w:rsidR="00135417" w:rsidRPr="000F2165" w:rsidRDefault="008224EA" w:rsidP="00135417">
      <w:pPr>
        <w:pStyle w:val="ListParagraph"/>
        <w:rPr>
          <w:rStyle w:val="NEWItemNumber"/>
        </w:rPr>
      </w:pPr>
      <w:r>
        <w:rPr>
          <w:rStyle w:val="NEWItemNumber"/>
        </w:rPr>
        <w:t>25</w:t>
      </w:r>
      <w:r w:rsidR="00135417" w:rsidRPr="000F2165">
        <w:rPr>
          <w:rStyle w:val="NEWItemNumber"/>
        </w:rPr>
        <w:t xml:space="preserve"> new items</w:t>
      </w:r>
      <w:r w:rsidR="00983045">
        <w:rPr>
          <w:rStyle w:val="NEWItemNumber"/>
        </w:rPr>
        <w:t>.</w:t>
      </w:r>
    </w:p>
    <w:p w14:paraId="737CB17A" w14:textId="1668075B" w:rsidR="00135417" w:rsidRDefault="008224EA" w:rsidP="00135417">
      <w:pPr>
        <w:pStyle w:val="ListParagraph"/>
        <w:rPr>
          <w:rStyle w:val="AmendedItemNumber"/>
        </w:rPr>
      </w:pPr>
      <w:r>
        <w:rPr>
          <w:rStyle w:val="AmendedItemNumber"/>
        </w:rPr>
        <w:t>6</w:t>
      </w:r>
      <w:r w:rsidR="009E4A9E" w:rsidRPr="000F2165">
        <w:rPr>
          <w:rStyle w:val="AmendedItemNumber"/>
        </w:rPr>
        <w:t xml:space="preserve"> amended </w:t>
      </w:r>
      <w:r w:rsidR="00135417" w:rsidRPr="000F2165">
        <w:rPr>
          <w:rStyle w:val="AmendedItemNumber"/>
        </w:rPr>
        <w:t>item</w:t>
      </w:r>
      <w:r w:rsidR="006E4F95" w:rsidRPr="000F2165">
        <w:rPr>
          <w:rStyle w:val="AmendedItemNumber"/>
        </w:rPr>
        <w:t>s</w:t>
      </w:r>
      <w:r w:rsidR="00135417" w:rsidRPr="000F2165">
        <w:rPr>
          <w:rStyle w:val="AmendedItemNumber"/>
        </w:rPr>
        <w:t xml:space="preserve"> </w:t>
      </w:r>
      <w:r w:rsidR="00256296" w:rsidRPr="000F2165">
        <w:rPr>
          <w:rStyle w:val="AmendedItemNumber"/>
        </w:rPr>
        <w:t xml:space="preserve">for services considered </w:t>
      </w:r>
      <w:r w:rsidR="009840B4" w:rsidRPr="000F2165">
        <w:rPr>
          <w:rStyle w:val="AmendedItemNumber"/>
        </w:rPr>
        <w:t xml:space="preserve">as requiring change in order to improve clarity of services for patients and providers, and improve the MBS to better reflect contemporary clinical practice. </w:t>
      </w:r>
    </w:p>
    <w:p w14:paraId="2851C3D9" w14:textId="3DDF1EC6" w:rsidR="00921291" w:rsidRDefault="008224EA" w:rsidP="003E0EB0">
      <w:pPr>
        <w:pStyle w:val="ListParagraph"/>
        <w:rPr>
          <w:rStyle w:val="DeletedItemNumber"/>
        </w:rPr>
      </w:pPr>
      <w:r>
        <w:rPr>
          <w:rStyle w:val="DeletedItemNumber"/>
          <w:highlight w:val="darkGray"/>
        </w:rPr>
        <w:t>14</w:t>
      </w:r>
      <w:r w:rsidR="00402153">
        <w:rPr>
          <w:rStyle w:val="DeletedItemNumber"/>
          <w:highlight w:val="darkGray"/>
        </w:rPr>
        <w:t xml:space="preserve"> </w:t>
      </w:r>
      <w:r w:rsidR="0071212A" w:rsidRPr="00983045">
        <w:rPr>
          <w:rStyle w:val="DeletedItemNumber"/>
          <w:highlight w:val="darkGray"/>
        </w:rPr>
        <w:t>superseded items where services have been consolidated into new or amended items.</w:t>
      </w:r>
    </w:p>
    <w:p w14:paraId="32316100" w14:textId="5BEBFF2C" w:rsidR="00921291" w:rsidRDefault="00921291" w:rsidP="00921291">
      <w:pPr>
        <w:pStyle w:val="Heading2"/>
        <w:rPr>
          <w:sz w:val="26"/>
          <w:szCs w:val="26"/>
        </w:rPr>
      </w:pPr>
      <w:r w:rsidRPr="003E0EB0">
        <w:rPr>
          <w:sz w:val="26"/>
          <w:szCs w:val="26"/>
        </w:rPr>
        <w:t>Wh</w:t>
      </w:r>
      <w:r>
        <w:rPr>
          <w:sz w:val="26"/>
          <w:szCs w:val="26"/>
        </w:rPr>
        <w:t>at</w:t>
      </w:r>
      <w:r w:rsidRPr="003E0EB0">
        <w:rPr>
          <w:sz w:val="26"/>
          <w:szCs w:val="26"/>
        </w:rPr>
        <w:t xml:space="preserve"> are the </w:t>
      </w:r>
      <w:r>
        <w:rPr>
          <w:sz w:val="26"/>
          <w:szCs w:val="26"/>
        </w:rPr>
        <w:t xml:space="preserve">key </w:t>
      </w:r>
      <w:r w:rsidRPr="003E0EB0">
        <w:rPr>
          <w:sz w:val="26"/>
          <w:szCs w:val="26"/>
        </w:rPr>
        <w:t>changes?</w:t>
      </w:r>
    </w:p>
    <w:p w14:paraId="6E4551CD" w14:textId="75A602A2" w:rsidR="0009225E" w:rsidRDefault="00AB0A13" w:rsidP="00921291">
      <w:pPr>
        <w:rPr>
          <w:szCs w:val="20"/>
        </w:rPr>
      </w:pPr>
      <w:r>
        <w:rPr>
          <w:szCs w:val="20"/>
        </w:rPr>
        <w:t xml:space="preserve">The new </w:t>
      </w:r>
      <w:r w:rsidR="00E0587C">
        <w:rPr>
          <w:szCs w:val="20"/>
        </w:rPr>
        <w:t>hip</w:t>
      </w:r>
      <w:r>
        <w:rPr>
          <w:szCs w:val="20"/>
        </w:rPr>
        <w:t xml:space="preserve"> orthopaedic item structure will be included in the </w:t>
      </w:r>
      <w:r w:rsidRPr="006005AF">
        <w:rPr>
          <w:szCs w:val="20"/>
        </w:rPr>
        <w:t xml:space="preserve">MBS </w:t>
      </w:r>
      <w:r w:rsidRPr="008224EA">
        <w:rPr>
          <w:szCs w:val="20"/>
        </w:rPr>
        <w:t xml:space="preserve">under Subgroup </w:t>
      </w:r>
      <w:r w:rsidR="008224EA" w:rsidRPr="008224EA">
        <w:rPr>
          <w:szCs w:val="20"/>
        </w:rPr>
        <w:t>15</w:t>
      </w:r>
      <w:r w:rsidRPr="006005AF">
        <w:rPr>
          <w:szCs w:val="20"/>
        </w:rPr>
        <w:t xml:space="preserve"> of Group T8 –</w:t>
      </w:r>
      <w:r>
        <w:rPr>
          <w:szCs w:val="20"/>
        </w:rPr>
        <w:t xml:space="preserve"> Surgical Operations.</w:t>
      </w:r>
    </w:p>
    <w:p w14:paraId="1ED6B7E0" w14:textId="2C21CBE2" w:rsidR="008733B2" w:rsidRDefault="008733B2" w:rsidP="00921291">
      <w:pPr>
        <w:rPr>
          <w:szCs w:val="20"/>
        </w:rPr>
      </w:pPr>
      <w:r>
        <w:rPr>
          <w:szCs w:val="20"/>
        </w:rPr>
        <w:t xml:space="preserve">The </w:t>
      </w:r>
      <w:r w:rsidR="00E0587C">
        <w:rPr>
          <w:szCs w:val="20"/>
        </w:rPr>
        <w:t>hip</w:t>
      </w:r>
      <w:r>
        <w:rPr>
          <w:szCs w:val="20"/>
        </w:rPr>
        <w:t xml:space="preserve"> MBS items have been restructured to create a more logical and streamlined group of items with fees reflecting the level of service involved in line with contemporary practice.</w:t>
      </w:r>
    </w:p>
    <w:p w14:paraId="613896DD" w14:textId="04D9D363" w:rsidR="0009225E" w:rsidRDefault="00F0776F" w:rsidP="00921291">
      <w:pPr>
        <w:rPr>
          <w:szCs w:val="20"/>
        </w:rPr>
      </w:pPr>
      <w:r>
        <w:rPr>
          <w:szCs w:val="20"/>
        </w:rPr>
        <w:t>C</w:t>
      </w:r>
      <w:r w:rsidR="0009225E">
        <w:rPr>
          <w:szCs w:val="20"/>
        </w:rPr>
        <w:t xml:space="preserve">hanges have been made to some item descriptors to create complete medical services. Descriptors now </w:t>
      </w:r>
      <w:r w:rsidR="00621A16">
        <w:rPr>
          <w:szCs w:val="20"/>
        </w:rPr>
        <w:t>specify</w:t>
      </w:r>
      <w:r w:rsidR="0009225E">
        <w:rPr>
          <w:szCs w:val="20"/>
        </w:rPr>
        <w:t xml:space="preserve"> the components to be included in a procedure to provide greater clarity on the use of the items. Additional revision and recurrence items have been created to reflect the increased complexity of these procedures.</w:t>
      </w:r>
    </w:p>
    <w:p w14:paraId="4115B738" w14:textId="6E873B0F" w:rsidR="0009225E" w:rsidRDefault="0009225E" w:rsidP="00921291">
      <w:pPr>
        <w:rPr>
          <w:szCs w:val="20"/>
        </w:rPr>
      </w:pPr>
      <w:r>
        <w:rPr>
          <w:szCs w:val="20"/>
        </w:rPr>
        <w:t>A number of items have been amended to include a provision for surgical assistance to reflect the complexity of the procedures and support patient safety and outcomes.</w:t>
      </w:r>
    </w:p>
    <w:p w14:paraId="595CE4EC" w14:textId="5CF77D3C" w:rsidR="0077058B" w:rsidRDefault="0077058B" w:rsidP="00921291">
      <w:pPr>
        <w:rPr>
          <w:szCs w:val="20"/>
        </w:rPr>
      </w:pPr>
      <w:r>
        <w:rPr>
          <w:szCs w:val="20"/>
        </w:rPr>
        <w:t xml:space="preserve">The amended </w:t>
      </w:r>
      <w:r w:rsidR="00B17E27">
        <w:rPr>
          <w:szCs w:val="20"/>
        </w:rPr>
        <w:t>schedule</w:t>
      </w:r>
      <w:r>
        <w:rPr>
          <w:szCs w:val="20"/>
        </w:rPr>
        <w:t xml:space="preserve"> more clearly defines </w:t>
      </w:r>
      <w:r w:rsidRPr="0077058B">
        <w:rPr>
          <w:szCs w:val="20"/>
        </w:rPr>
        <w:t xml:space="preserve">major and minor bone grafting for primary hip replacement items. This was done through reference to the need for internal fixation. </w:t>
      </w:r>
      <w:r>
        <w:rPr>
          <w:szCs w:val="20"/>
        </w:rPr>
        <w:t>T</w:t>
      </w:r>
      <w:r w:rsidRPr="0077058B">
        <w:rPr>
          <w:szCs w:val="20"/>
        </w:rPr>
        <w:t xml:space="preserve">he existing hip revision items </w:t>
      </w:r>
      <w:r>
        <w:rPr>
          <w:szCs w:val="20"/>
        </w:rPr>
        <w:t xml:space="preserve">have been replaced </w:t>
      </w:r>
      <w:r w:rsidRPr="0077058B">
        <w:rPr>
          <w:szCs w:val="20"/>
        </w:rPr>
        <w:t>with 16 new items that reflect the range of complexity associated with hip revision replacements, including the components replaced, the requirement for femoral osteotomy and the degree of bone grafting required.</w:t>
      </w:r>
    </w:p>
    <w:p w14:paraId="3813E05C" w14:textId="77777777" w:rsidR="0077058B" w:rsidRDefault="0077058B" w:rsidP="00921291">
      <w:pPr>
        <w:rPr>
          <w:szCs w:val="20"/>
        </w:rPr>
      </w:pPr>
    </w:p>
    <w:p w14:paraId="73B742CF" w14:textId="77777777" w:rsidR="0077058B" w:rsidRDefault="0077058B" w:rsidP="00921291">
      <w:pPr>
        <w:rPr>
          <w:szCs w:val="20"/>
        </w:rPr>
      </w:pPr>
    </w:p>
    <w:p w14:paraId="3E9A9BF3" w14:textId="59A03FAA" w:rsidR="00921291" w:rsidRDefault="00921291" w:rsidP="00921291">
      <w:pPr>
        <w:rPr>
          <w:szCs w:val="20"/>
        </w:rPr>
      </w:pPr>
      <w:r w:rsidRPr="00921291">
        <w:rPr>
          <w:szCs w:val="20"/>
        </w:rPr>
        <w:lastRenderedPageBreak/>
        <w:t>Please note that the information provided is a general guide only and subject to revision.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7D348876" w14:textId="78FF1380" w:rsidR="0077058B" w:rsidRPr="0026124E" w:rsidRDefault="00F0776F" w:rsidP="008733B2">
      <w:pPr>
        <w:rPr>
          <w:szCs w:val="20"/>
        </w:rPr>
      </w:pPr>
      <w:r>
        <w:rPr>
          <w:szCs w:val="20"/>
        </w:rPr>
        <w:t xml:space="preserve">The following information provides an overview of key changes within the </w:t>
      </w:r>
      <w:r w:rsidR="00E0587C">
        <w:rPr>
          <w:szCs w:val="20"/>
        </w:rPr>
        <w:t>hip</w:t>
      </w:r>
      <w:r>
        <w:rPr>
          <w:szCs w:val="20"/>
        </w:rPr>
        <w:t xml:space="preserve"> surgery schedule. </w:t>
      </w:r>
    </w:p>
    <w:p w14:paraId="2E57B928" w14:textId="77777777" w:rsidR="0026124E" w:rsidRDefault="0026124E" w:rsidP="006F1DAD">
      <w:pPr>
        <w:spacing w:after="120"/>
        <w:rPr>
          <w:rFonts w:asciiTheme="minorHAnsi" w:eastAsiaTheme="minorHAnsi" w:hAnsiTheme="minorHAnsi" w:cstheme="minorHAnsi"/>
          <w:b/>
          <w:szCs w:val="20"/>
        </w:rPr>
      </w:pPr>
    </w:p>
    <w:p w14:paraId="70C5E91A" w14:textId="44593BCB" w:rsidR="00E0587C" w:rsidRPr="00834D28" w:rsidRDefault="00E0587C" w:rsidP="006F1DAD">
      <w:pPr>
        <w:spacing w:after="120"/>
        <w:rPr>
          <w:szCs w:val="20"/>
        </w:rPr>
      </w:pPr>
      <w:r w:rsidRPr="00E0587C">
        <w:rPr>
          <w:rFonts w:asciiTheme="minorHAnsi" w:eastAsiaTheme="minorHAnsi" w:hAnsiTheme="minorHAnsi" w:cstheme="minorHAnsi"/>
          <w:b/>
          <w:szCs w:val="20"/>
        </w:rPr>
        <w:t xml:space="preserve">General Hip Surgery </w:t>
      </w:r>
    </w:p>
    <w:p w14:paraId="0D9BFFFC" w14:textId="24D8A618" w:rsidR="00432021" w:rsidRDefault="00E0587C" w:rsidP="006F1DAD">
      <w:pPr>
        <w:spacing w:after="120"/>
      </w:pPr>
      <w:r>
        <w:t>Item 49303:</w:t>
      </w:r>
    </w:p>
    <w:p w14:paraId="0DCA1637" w14:textId="0BFEC737" w:rsidR="00E0587C" w:rsidRDefault="00E0587C" w:rsidP="006F1DAD">
      <w:pPr>
        <w:pStyle w:val="ListParagraph"/>
        <w:numPr>
          <w:ilvl w:val="0"/>
          <w:numId w:val="20"/>
        </w:numPr>
        <w:spacing w:after="120"/>
      </w:pPr>
      <w:r>
        <w:t>Has been amended to specify that the procedure is for open arthrotomy of the hip</w:t>
      </w:r>
      <w:r w:rsidR="00923966">
        <w:t>.</w:t>
      </w:r>
    </w:p>
    <w:p w14:paraId="2B6700C3" w14:textId="2E4AD6F8" w:rsidR="006F1DAD" w:rsidRDefault="00E0587C" w:rsidP="006F1DAD">
      <w:pPr>
        <w:pStyle w:val="ListParagraph"/>
        <w:numPr>
          <w:ilvl w:val="0"/>
          <w:numId w:val="20"/>
        </w:numPr>
        <w:spacing w:after="120" w:line="276" w:lineRule="auto"/>
      </w:pPr>
      <w:r>
        <w:t>This provides</w:t>
      </w:r>
      <w:r w:rsidRPr="00F2381C">
        <w:t xml:space="preserve"> a more accurate and complete description of the surgery perform</w:t>
      </w:r>
      <w:r w:rsidR="006F1DAD">
        <w:t>ed.</w:t>
      </w:r>
    </w:p>
    <w:p w14:paraId="0E7561A0" w14:textId="77777777" w:rsidR="006F1DAD" w:rsidRDefault="006F1DAD" w:rsidP="006F1DAD">
      <w:pPr>
        <w:spacing w:after="120" w:line="276" w:lineRule="auto"/>
        <w:rPr>
          <w:b/>
        </w:rPr>
      </w:pPr>
    </w:p>
    <w:p w14:paraId="607238AD" w14:textId="61BF999F" w:rsidR="00E0587C" w:rsidRPr="006F1DAD" w:rsidRDefault="00E0587C" w:rsidP="006F1DAD">
      <w:pPr>
        <w:spacing w:after="120" w:line="276" w:lineRule="auto"/>
      </w:pPr>
      <w:r w:rsidRPr="006F1DAD">
        <w:rPr>
          <w:b/>
        </w:rPr>
        <w:t>Hip Replacement (Primary)</w:t>
      </w:r>
    </w:p>
    <w:p w14:paraId="78A07C0A" w14:textId="7B4F5A79" w:rsidR="00E0587C" w:rsidRDefault="00E0587C" w:rsidP="006F1DAD">
      <w:pPr>
        <w:spacing w:after="120"/>
      </w:pPr>
      <w:r>
        <w:t>Item 49309:</w:t>
      </w:r>
    </w:p>
    <w:p w14:paraId="2E4ED270" w14:textId="667B5365" w:rsidR="00E0587C" w:rsidRDefault="00E0587C" w:rsidP="006F1DAD">
      <w:pPr>
        <w:pStyle w:val="ListParagraph"/>
        <w:numPr>
          <w:ilvl w:val="0"/>
          <w:numId w:val="22"/>
        </w:numPr>
        <w:spacing w:after="120"/>
      </w:pPr>
      <w:r>
        <w:t>Has been amended to remove reference to removal of a prosthesis.</w:t>
      </w:r>
    </w:p>
    <w:p w14:paraId="354BDC34" w14:textId="03E4DFC4" w:rsidR="006F1DAD" w:rsidRDefault="00E0587C" w:rsidP="006F1DAD">
      <w:pPr>
        <w:pStyle w:val="ListParagraph"/>
        <w:numPr>
          <w:ilvl w:val="0"/>
          <w:numId w:val="22"/>
        </w:numPr>
        <w:spacing w:after="120" w:line="240" w:lineRule="auto"/>
      </w:pPr>
      <w:r>
        <w:t>The item should be</w:t>
      </w:r>
      <w:r w:rsidR="00FE2AE8">
        <w:t xml:space="preserve"> used </w:t>
      </w:r>
      <w:r>
        <w:t>for the removal of a native hip; i</w:t>
      </w:r>
      <w:r w:rsidRPr="00E0587C">
        <w:t xml:space="preserve">t is not intended for </w:t>
      </w:r>
      <w:r>
        <w:t>the first stage</w:t>
      </w:r>
      <w:r w:rsidRPr="00E0587C">
        <w:t xml:space="preserve"> of a two-stage rev</w:t>
      </w:r>
      <w:r>
        <w:t>ision procedure.</w:t>
      </w:r>
    </w:p>
    <w:p w14:paraId="7F6C6C2C" w14:textId="77777777" w:rsidR="00C23DC4" w:rsidRDefault="00C23DC4" w:rsidP="006F1DAD">
      <w:pPr>
        <w:spacing w:after="120" w:line="240" w:lineRule="auto"/>
      </w:pPr>
    </w:p>
    <w:p w14:paraId="243B3AD6" w14:textId="3D1F938D" w:rsidR="00E0587C" w:rsidRDefault="00E0587C" w:rsidP="006F1DAD">
      <w:pPr>
        <w:spacing w:after="120" w:line="240" w:lineRule="auto"/>
      </w:pPr>
      <w:r>
        <w:t>Items 49318 and 49319:</w:t>
      </w:r>
    </w:p>
    <w:p w14:paraId="61627DB9" w14:textId="09C7064C" w:rsidR="00BB5FAB" w:rsidRDefault="00E0587C" w:rsidP="006F1DAD">
      <w:pPr>
        <w:pStyle w:val="ListParagraph"/>
        <w:numPr>
          <w:ilvl w:val="0"/>
          <w:numId w:val="23"/>
        </w:numPr>
        <w:spacing w:after="120"/>
      </w:pPr>
      <w:r>
        <w:t>Have been amended to</w:t>
      </w:r>
      <w:r w:rsidRPr="00E0587C">
        <w:t xml:space="preserve"> reflect modern clinical practice and clarify that </w:t>
      </w:r>
      <w:r w:rsidR="00923966">
        <w:t xml:space="preserve">these </w:t>
      </w:r>
      <w:r w:rsidRPr="00E0587C">
        <w:t xml:space="preserve">items </w:t>
      </w:r>
      <w:r w:rsidR="00923966">
        <w:t>cannot be co-claimed with items from the</w:t>
      </w:r>
      <w:r w:rsidRPr="00E0587C">
        <w:t xml:space="preserve"> bone graft section </w:t>
      </w:r>
      <w:r w:rsidR="00923966">
        <w:t>as</w:t>
      </w:r>
      <w:r w:rsidRPr="00E0587C">
        <w:t xml:space="preserve"> bone </w:t>
      </w:r>
      <w:r w:rsidR="00BB5FAB">
        <w:t>grafting is</w:t>
      </w:r>
      <w:r w:rsidR="00923966">
        <w:t xml:space="preserve"> considered</w:t>
      </w:r>
      <w:r w:rsidR="00BB5FAB">
        <w:t xml:space="preserve"> a component of the service</w:t>
      </w:r>
      <w:r w:rsidR="00923966">
        <w:t>s</w:t>
      </w:r>
      <w:r w:rsidRPr="00E0587C">
        <w:t>.</w:t>
      </w:r>
    </w:p>
    <w:p w14:paraId="669A758B" w14:textId="345323B5" w:rsidR="00923966" w:rsidRDefault="00BB5FAB" w:rsidP="006F1DAD">
      <w:pPr>
        <w:pStyle w:val="ListParagraph"/>
        <w:numPr>
          <w:ilvl w:val="0"/>
          <w:numId w:val="23"/>
        </w:numPr>
        <w:spacing w:after="120"/>
      </w:pPr>
      <w:r>
        <w:t>The amended items no longer include the word ‘replac</w:t>
      </w:r>
      <w:r w:rsidR="008C04CE">
        <w:t>e</w:t>
      </w:r>
      <w:r>
        <w:t>ment’.</w:t>
      </w:r>
    </w:p>
    <w:p w14:paraId="49E766F1" w14:textId="77777777" w:rsidR="00C23DC4" w:rsidRDefault="00C23DC4" w:rsidP="006F1DAD">
      <w:pPr>
        <w:spacing w:after="120"/>
      </w:pPr>
    </w:p>
    <w:p w14:paraId="450F4583" w14:textId="54187904" w:rsidR="00BB5FAB" w:rsidRDefault="00BB5FAB" w:rsidP="006F1DAD">
      <w:pPr>
        <w:spacing w:after="120"/>
      </w:pPr>
      <w:r>
        <w:t>Item 49321:</w:t>
      </w:r>
    </w:p>
    <w:p w14:paraId="09360751" w14:textId="271EE89F" w:rsidR="00BB5FAB" w:rsidRDefault="00BB5FAB" w:rsidP="006F1DAD">
      <w:pPr>
        <w:pStyle w:val="ListParagraph"/>
        <w:numPr>
          <w:ilvl w:val="0"/>
          <w:numId w:val="24"/>
        </w:numPr>
        <w:spacing w:after="120"/>
      </w:pPr>
      <w:r>
        <w:t xml:space="preserve">Has been amended to specify that </w:t>
      </w:r>
      <w:r w:rsidRPr="00BB5FAB">
        <w:t>the surgery can include bone graft, synthetic substitutes or metal augments</w:t>
      </w:r>
      <w:r w:rsidR="00683235">
        <w:t>, and clarifies that internal fixation is a mandatory part of the procedure.</w:t>
      </w:r>
    </w:p>
    <w:p w14:paraId="6A672662" w14:textId="25CD0685" w:rsidR="00BB5FAB" w:rsidRDefault="00BB5FAB" w:rsidP="006F1DAD">
      <w:pPr>
        <w:pStyle w:val="ListParagraph"/>
        <w:numPr>
          <w:ilvl w:val="0"/>
          <w:numId w:val="24"/>
        </w:numPr>
        <w:spacing w:after="120"/>
      </w:pPr>
      <w:r>
        <w:t xml:space="preserve">The changes </w:t>
      </w:r>
      <w:r w:rsidRPr="00BB5FAB">
        <w:t xml:space="preserve">reflect modern clinical practice and identify the circumstances in which it is appropriate for a patient to </w:t>
      </w:r>
      <w:r w:rsidR="00C23DC4">
        <w:t>receive</w:t>
      </w:r>
      <w:r w:rsidR="00FE2AE8">
        <w:t xml:space="preserve"> a</w:t>
      </w:r>
      <w:r w:rsidRPr="00BB5FAB">
        <w:t xml:space="preserve"> complex primary hip replacement</w:t>
      </w:r>
      <w:r>
        <w:t>.</w:t>
      </w:r>
    </w:p>
    <w:p w14:paraId="25AA4261" w14:textId="2F4E8D21" w:rsidR="0026124E" w:rsidRDefault="00BB5FAB" w:rsidP="006F1DAD">
      <w:pPr>
        <w:pStyle w:val="ListParagraph"/>
        <w:numPr>
          <w:ilvl w:val="0"/>
          <w:numId w:val="24"/>
        </w:numPr>
        <w:spacing w:after="120"/>
      </w:pPr>
      <w:r w:rsidRPr="00BB5FAB">
        <w:t>Removing ‘major bone grafting’ from the item descriptor addresses ambiguity and variations in billing practices.</w:t>
      </w:r>
      <w:r w:rsidR="0026124E">
        <w:br/>
      </w:r>
    </w:p>
    <w:p w14:paraId="738909C5" w14:textId="77777777" w:rsidR="0026124E" w:rsidRDefault="0026124E" w:rsidP="006F1DAD">
      <w:pPr>
        <w:spacing w:after="120" w:line="259" w:lineRule="auto"/>
      </w:pPr>
      <w:r>
        <w:br w:type="page"/>
      </w:r>
    </w:p>
    <w:p w14:paraId="4E523924" w14:textId="07376861" w:rsidR="00BB5FAB" w:rsidRDefault="00BB5FAB" w:rsidP="006F1DAD">
      <w:pPr>
        <w:spacing w:after="120" w:line="276" w:lineRule="auto"/>
        <w:rPr>
          <w:b/>
        </w:rPr>
      </w:pPr>
      <w:r w:rsidRPr="00E0587C">
        <w:rPr>
          <w:b/>
        </w:rPr>
        <w:lastRenderedPageBreak/>
        <w:t>Hip Replacement (</w:t>
      </w:r>
      <w:r>
        <w:rPr>
          <w:b/>
        </w:rPr>
        <w:t>Revision</w:t>
      </w:r>
      <w:r w:rsidRPr="00E0587C">
        <w:rPr>
          <w:b/>
        </w:rPr>
        <w:t>)</w:t>
      </w:r>
    </w:p>
    <w:p w14:paraId="24C93F39" w14:textId="19B96296" w:rsidR="00BB5FAB" w:rsidRDefault="00BB5FAB" w:rsidP="006F1DAD">
      <w:pPr>
        <w:spacing w:after="120" w:line="276" w:lineRule="auto"/>
      </w:pPr>
      <w:r>
        <w:t>Items 49312, 49324-49346, 49372-49398:</w:t>
      </w:r>
    </w:p>
    <w:p w14:paraId="328C691A" w14:textId="02B0900F" w:rsidR="00BB5FAB" w:rsidRDefault="00BB5FAB" w:rsidP="006F1DAD">
      <w:pPr>
        <w:pStyle w:val="ListParagraph"/>
        <w:numPr>
          <w:ilvl w:val="0"/>
          <w:numId w:val="25"/>
        </w:numPr>
        <w:spacing w:after="120" w:line="276" w:lineRule="auto"/>
        <w:ind w:left="714" w:hanging="357"/>
      </w:pPr>
      <w:r>
        <w:t xml:space="preserve">Items 49312 and 49324-49346 have been replaced </w:t>
      </w:r>
      <w:r w:rsidR="003A2FBD">
        <w:t>with</w:t>
      </w:r>
      <w:r>
        <w:t xml:space="preserve"> 14 new items for hip revision (49372-49398).</w:t>
      </w:r>
    </w:p>
    <w:p w14:paraId="6690F5B7" w14:textId="77777777" w:rsidR="00BB5FAB" w:rsidRDefault="00BB5FAB" w:rsidP="006F1DAD">
      <w:pPr>
        <w:pStyle w:val="ListParagraph"/>
        <w:numPr>
          <w:ilvl w:val="0"/>
          <w:numId w:val="25"/>
        </w:numPr>
        <w:spacing w:after="120" w:line="276" w:lineRule="auto"/>
        <w:ind w:left="714" w:hanging="357"/>
      </w:pPr>
      <w:r>
        <w:t xml:space="preserve">The </w:t>
      </w:r>
      <w:r w:rsidRPr="00BB5FAB">
        <w:t>new items better reflect modern clinical practice and the range of complexity associated with hip revision procedures</w:t>
      </w:r>
      <w:r>
        <w:t>.</w:t>
      </w:r>
    </w:p>
    <w:p w14:paraId="5751F889" w14:textId="41E18E39" w:rsidR="00BB5FAB" w:rsidRDefault="00BB5FAB" w:rsidP="006F1DAD">
      <w:pPr>
        <w:pStyle w:val="ListParagraph"/>
        <w:numPr>
          <w:ilvl w:val="0"/>
          <w:numId w:val="25"/>
        </w:numPr>
        <w:spacing w:after="120" w:line="276" w:lineRule="auto"/>
        <w:ind w:left="714" w:hanging="357"/>
      </w:pPr>
      <w:r>
        <w:t>The items are differentiated by surgical complexity, with reference to the components replaced, t</w:t>
      </w:r>
      <w:r w:rsidRPr="00BB5FAB">
        <w:t>he requirement for femoral osteotomy and the degree of bone grafting required.</w:t>
      </w:r>
    </w:p>
    <w:p w14:paraId="556584FE" w14:textId="209D1198" w:rsidR="00BB5FAB" w:rsidRDefault="00BB5FAB" w:rsidP="006F1DAD">
      <w:pPr>
        <w:pStyle w:val="ListParagraph"/>
        <w:numPr>
          <w:ilvl w:val="0"/>
          <w:numId w:val="25"/>
        </w:numPr>
        <w:spacing w:after="120" w:line="276" w:lineRule="auto"/>
        <w:ind w:left="714" w:hanging="357"/>
      </w:pPr>
      <w:r w:rsidRPr="00BB5FAB">
        <w:t>The new items include major or minor bone grafting, d</w:t>
      </w:r>
      <w:r w:rsidR="00273014">
        <w:t xml:space="preserve">efined using the </w:t>
      </w:r>
      <w:proofErr w:type="spellStart"/>
      <w:r w:rsidR="00273014">
        <w:t>Paprosky</w:t>
      </w:r>
      <w:proofErr w:type="spellEnd"/>
      <w:r w:rsidR="00273014">
        <w:t xml:space="preserve"> scale</w:t>
      </w:r>
      <w:r w:rsidRPr="00BB5FAB">
        <w:t xml:space="preserve"> </w:t>
      </w:r>
      <w:r w:rsidR="00273014">
        <w:t>and</w:t>
      </w:r>
      <w:r w:rsidRPr="00BB5FAB">
        <w:t xml:space="preserve"> cannot be co-claimed with the bone graft section.</w:t>
      </w:r>
      <w:r w:rsidR="0026124E">
        <w:br/>
      </w:r>
    </w:p>
    <w:p w14:paraId="1E4797FA" w14:textId="5FE96B8C" w:rsidR="00BB5FAB" w:rsidRPr="00273014" w:rsidRDefault="00273014" w:rsidP="006F1DAD">
      <w:pPr>
        <w:spacing w:after="120"/>
        <w:rPr>
          <w:b/>
        </w:rPr>
      </w:pPr>
      <w:r w:rsidRPr="00273014">
        <w:rPr>
          <w:b/>
        </w:rPr>
        <w:t>Fractures</w:t>
      </w:r>
    </w:p>
    <w:p w14:paraId="721F2801" w14:textId="214AFDE6" w:rsidR="00BB5FAB" w:rsidRDefault="00273014" w:rsidP="006F1DAD">
      <w:pPr>
        <w:spacing w:after="120"/>
      </w:pPr>
      <w:r>
        <w:t>Items 47522 and 49315:</w:t>
      </w:r>
    </w:p>
    <w:p w14:paraId="7EA4223B" w14:textId="4B97DDCA" w:rsidR="00273014" w:rsidRDefault="00273014" w:rsidP="006F1DAD">
      <w:pPr>
        <w:pStyle w:val="ListParagraph"/>
        <w:numPr>
          <w:ilvl w:val="0"/>
          <w:numId w:val="26"/>
        </w:numPr>
        <w:spacing w:after="120"/>
      </w:pPr>
      <w:r>
        <w:t>Item 47522 has been consolidate</w:t>
      </w:r>
      <w:r w:rsidR="0087641E">
        <w:t>d</w:t>
      </w:r>
      <w:r>
        <w:t xml:space="preserve"> with item 49315</w:t>
      </w:r>
      <w:r w:rsidR="0087641E">
        <w:t xml:space="preserve"> as</w:t>
      </w:r>
      <w:r>
        <w:t xml:space="preserve"> </w:t>
      </w:r>
      <w:r w:rsidRPr="00273014">
        <w:t>it is not an independent procedure and should form part of other hip procedures</w:t>
      </w:r>
      <w:r>
        <w:t>.</w:t>
      </w:r>
      <w:r w:rsidR="0026124E">
        <w:br/>
      </w:r>
    </w:p>
    <w:p w14:paraId="172069E5" w14:textId="51A33E91" w:rsidR="00273014" w:rsidRPr="00273014" w:rsidRDefault="00273014" w:rsidP="006F1DAD">
      <w:pPr>
        <w:spacing w:after="120"/>
        <w:rPr>
          <w:b/>
        </w:rPr>
      </w:pPr>
      <w:r w:rsidRPr="00273014">
        <w:rPr>
          <w:b/>
        </w:rPr>
        <w:t xml:space="preserve">Dislocations </w:t>
      </w:r>
    </w:p>
    <w:p w14:paraId="452697D9" w14:textId="2FB4E9BA" w:rsidR="00BB5FAB" w:rsidRDefault="00273014" w:rsidP="006F1DAD">
      <w:pPr>
        <w:spacing w:after="120"/>
      </w:pPr>
      <w:r>
        <w:t>Items 47048, 47047 and 47052:</w:t>
      </w:r>
    </w:p>
    <w:p w14:paraId="4A774C34" w14:textId="69213903" w:rsidR="00273014" w:rsidRDefault="00273014" w:rsidP="006F1DAD">
      <w:pPr>
        <w:pStyle w:val="ListParagraph"/>
        <w:numPr>
          <w:ilvl w:val="0"/>
          <w:numId w:val="27"/>
        </w:numPr>
        <w:spacing w:after="120"/>
      </w:pPr>
      <w:r>
        <w:t>Item 47048 has been consolidated under two new items for closed reduction of a hip dislocation (47047 and 47052).</w:t>
      </w:r>
    </w:p>
    <w:p w14:paraId="06E883D8" w14:textId="4BC6EBA0" w:rsidR="0087641E" w:rsidRDefault="00273014" w:rsidP="006F1DAD">
      <w:pPr>
        <w:pStyle w:val="ListParagraph"/>
        <w:numPr>
          <w:ilvl w:val="0"/>
          <w:numId w:val="27"/>
        </w:numPr>
        <w:spacing w:after="120"/>
      </w:pPr>
      <w:r>
        <w:t xml:space="preserve">The </w:t>
      </w:r>
      <w:r w:rsidRPr="00273014">
        <w:t>new items distinguish between the treatment of native and prosthetic hips</w:t>
      </w:r>
      <w:r>
        <w:t>.</w:t>
      </w:r>
    </w:p>
    <w:p w14:paraId="2249BA88" w14:textId="77777777" w:rsidR="00C23DC4" w:rsidRDefault="00C23DC4" w:rsidP="006F1DAD">
      <w:pPr>
        <w:spacing w:after="120"/>
      </w:pPr>
    </w:p>
    <w:p w14:paraId="7B5A17FC" w14:textId="16A3BB00" w:rsidR="00273014" w:rsidRDefault="00273014" w:rsidP="006F1DAD">
      <w:pPr>
        <w:spacing w:after="120"/>
      </w:pPr>
      <w:r>
        <w:t>Items 47051, 47049 and 47053:</w:t>
      </w:r>
    </w:p>
    <w:p w14:paraId="4A571469" w14:textId="70A26BEB" w:rsidR="00273014" w:rsidRDefault="00273014" w:rsidP="006F1DAD">
      <w:pPr>
        <w:pStyle w:val="ListParagraph"/>
        <w:numPr>
          <w:ilvl w:val="0"/>
          <w:numId w:val="27"/>
        </w:numPr>
        <w:spacing w:after="120"/>
      </w:pPr>
      <w:r>
        <w:t>Item 47051 has been consolidated under two new items for open reduction of a hip dislocation (47049 and 47053).</w:t>
      </w:r>
    </w:p>
    <w:p w14:paraId="2213062B" w14:textId="310D02C8" w:rsidR="00273014" w:rsidRDefault="00273014" w:rsidP="006F1DAD">
      <w:pPr>
        <w:pStyle w:val="ListParagraph"/>
        <w:numPr>
          <w:ilvl w:val="0"/>
          <w:numId w:val="27"/>
        </w:numPr>
        <w:spacing w:after="120"/>
      </w:pPr>
      <w:r>
        <w:t xml:space="preserve">The </w:t>
      </w:r>
      <w:r w:rsidRPr="00273014">
        <w:t>new items distinguish between the treatment of native and prosthetic hips</w:t>
      </w:r>
      <w:r>
        <w:t>.</w:t>
      </w:r>
    </w:p>
    <w:p w14:paraId="6D211D25" w14:textId="028BC67F" w:rsidR="0026124E" w:rsidRPr="0026124E" w:rsidRDefault="0087641E" w:rsidP="006F1DAD">
      <w:pPr>
        <w:pStyle w:val="ListParagraph"/>
        <w:numPr>
          <w:ilvl w:val="0"/>
          <w:numId w:val="27"/>
        </w:numPr>
        <w:spacing w:after="120"/>
      </w:pPr>
      <w:r>
        <w:t>The amendment</w:t>
      </w:r>
      <w:r w:rsidR="00273014" w:rsidRPr="00273014">
        <w:t xml:space="preserve"> reflect</w:t>
      </w:r>
      <w:r>
        <w:t>s</w:t>
      </w:r>
      <w:r w:rsidR="00273014" w:rsidRPr="00273014">
        <w:t xml:space="preserve"> the range of complexity</w:t>
      </w:r>
      <w:r w:rsidR="00273014">
        <w:t xml:space="preserve"> involved in these procedures; t</w:t>
      </w:r>
      <w:r w:rsidR="00273014" w:rsidRPr="00273014">
        <w:t>he treatment of a native hip dislocation is more complex than treatment of a prosthetic dislocation because it involves longer follow-up and has a higher risk of potential complications.</w:t>
      </w:r>
      <w:r w:rsidR="0026124E">
        <w:br/>
      </w:r>
    </w:p>
    <w:p w14:paraId="20C36B53" w14:textId="668E9963" w:rsidR="00273014" w:rsidRPr="00273014" w:rsidRDefault="00273014" w:rsidP="006F1DAD">
      <w:pPr>
        <w:spacing w:after="120"/>
        <w:rPr>
          <w:b/>
        </w:rPr>
      </w:pPr>
      <w:r w:rsidRPr="00273014">
        <w:rPr>
          <w:b/>
        </w:rPr>
        <w:t>Joint Procedures</w:t>
      </w:r>
    </w:p>
    <w:p w14:paraId="616A5EEB" w14:textId="4A22314F" w:rsidR="00BB5FAB" w:rsidRDefault="00273014" w:rsidP="006F1DAD">
      <w:pPr>
        <w:spacing w:after="120"/>
      </w:pPr>
      <w:r>
        <w:t>Item 50121:</w:t>
      </w:r>
    </w:p>
    <w:p w14:paraId="31A819C9" w14:textId="77777777" w:rsidR="00273014" w:rsidRDefault="00273014" w:rsidP="006F1DAD">
      <w:pPr>
        <w:pStyle w:val="ListParagraph"/>
        <w:numPr>
          <w:ilvl w:val="0"/>
          <w:numId w:val="28"/>
        </w:numPr>
        <w:spacing w:after="120"/>
      </w:pPr>
      <w:r>
        <w:t xml:space="preserve">Has been deleted </w:t>
      </w:r>
      <w:r w:rsidRPr="00273014">
        <w:t xml:space="preserve">because it no longer reflects clinical practice. </w:t>
      </w:r>
    </w:p>
    <w:p w14:paraId="2D6B1B57" w14:textId="77777777" w:rsidR="00C23DC4" w:rsidRDefault="00273014" w:rsidP="006F1DAD">
      <w:pPr>
        <w:pStyle w:val="ListParagraph"/>
        <w:numPr>
          <w:ilvl w:val="0"/>
          <w:numId w:val="28"/>
        </w:numPr>
        <w:spacing w:after="120"/>
      </w:pPr>
      <w:r w:rsidRPr="00CC28E2">
        <w:t>New items</w:t>
      </w:r>
      <w:r w:rsidR="009C5A38" w:rsidRPr="00CC28E2">
        <w:t xml:space="preserve"> </w:t>
      </w:r>
      <w:r w:rsidR="00CC28E2" w:rsidRPr="00CC28E2">
        <w:t>(47964, 47955 and 47956)</w:t>
      </w:r>
      <w:r w:rsidRPr="00CC28E2">
        <w:t xml:space="preserve"> for</w:t>
      </w:r>
      <w:r w:rsidRPr="00273014">
        <w:t xml:space="preserve"> the repair of tendons around the hip have been created to account for services that may have previously been </w:t>
      </w:r>
      <w:r w:rsidR="00FE2AE8">
        <w:t>claimed</w:t>
      </w:r>
      <w:r w:rsidRPr="00273014">
        <w:t xml:space="preserve"> using this item</w:t>
      </w:r>
      <w:r>
        <w:t>.</w:t>
      </w:r>
    </w:p>
    <w:p w14:paraId="67B88B65" w14:textId="546E7AD5" w:rsidR="001E259D" w:rsidRDefault="001E259D" w:rsidP="00C23DC4">
      <w:pPr>
        <w:spacing w:after="120"/>
      </w:pPr>
      <w:r>
        <w:lastRenderedPageBreak/>
        <w:t>Item 50107:</w:t>
      </w:r>
    </w:p>
    <w:p w14:paraId="1BBFFA3C" w14:textId="2C4A3188" w:rsidR="001E259D" w:rsidRDefault="001E259D" w:rsidP="006F1DAD">
      <w:pPr>
        <w:pStyle w:val="ListParagraph"/>
        <w:numPr>
          <w:ilvl w:val="0"/>
          <w:numId w:val="29"/>
        </w:numPr>
        <w:spacing w:after="120"/>
      </w:pPr>
      <w:r>
        <w:t>Has been creat</w:t>
      </w:r>
      <w:r w:rsidR="00CC28E2">
        <w:t>ed to provide a new item stabili</w:t>
      </w:r>
      <w:r>
        <w:t>s</w:t>
      </w:r>
      <w:r w:rsidR="00CC28E2">
        <w:t>a</w:t>
      </w:r>
      <w:r>
        <w:t>tion of a hip joint.</w:t>
      </w:r>
    </w:p>
    <w:p w14:paraId="25ED9A9F" w14:textId="03FC7B89" w:rsidR="001E259D" w:rsidRDefault="00CC28E2" w:rsidP="006F1DAD">
      <w:pPr>
        <w:pStyle w:val="ListParagraph"/>
        <w:numPr>
          <w:ilvl w:val="0"/>
          <w:numId w:val="29"/>
        </w:numPr>
        <w:spacing w:after="120"/>
      </w:pPr>
      <w:r>
        <w:t>The item should be cla</w:t>
      </w:r>
      <w:r w:rsidR="001E259D">
        <w:t xml:space="preserve">imed as an independent procedure and now specifies that </w:t>
      </w:r>
      <w:r w:rsidR="001E259D" w:rsidRPr="001E259D">
        <w:t xml:space="preserve">at least one of the following is a mandatory component of </w:t>
      </w:r>
      <w:r w:rsidR="001E259D">
        <w:t>the service</w:t>
      </w:r>
      <w:r w:rsidR="001E259D" w:rsidRPr="001E259D">
        <w:t xml:space="preserve">: repair of capsule, </w:t>
      </w:r>
      <w:proofErr w:type="spellStart"/>
      <w:r w:rsidR="001E259D" w:rsidRPr="001E259D">
        <w:t>labrum</w:t>
      </w:r>
      <w:proofErr w:type="spellEnd"/>
      <w:r w:rsidR="001E259D" w:rsidRPr="001E259D">
        <w:t xml:space="preserve">, </w:t>
      </w:r>
      <w:proofErr w:type="spellStart"/>
      <w:r w:rsidR="001E259D" w:rsidRPr="001E259D">
        <w:t>capsulorraphy</w:t>
      </w:r>
      <w:proofErr w:type="spellEnd"/>
      <w:r w:rsidR="001E259D" w:rsidRPr="001E259D">
        <w:t xml:space="preserve"> or repair of ligament.</w:t>
      </w:r>
    </w:p>
    <w:p w14:paraId="081BDA70" w14:textId="2168ED8E" w:rsidR="00CC28E2" w:rsidRDefault="00CC28E2" w:rsidP="006F1DAD">
      <w:pPr>
        <w:pStyle w:val="ListParagraph"/>
        <w:numPr>
          <w:ilvl w:val="0"/>
          <w:numId w:val="29"/>
        </w:numPr>
        <w:spacing w:after="120"/>
      </w:pPr>
      <w:r>
        <w:t>Internal fixation is an optional component of the procedure.</w:t>
      </w:r>
    </w:p>
    <w:p w14:paraId="0B4DCDD2" w14:textId="574432BE" w:rsidR="001E259D" w:rsidRDefault="001E259D" w:rsidP="006F1DAD">
      <w:pPr>
        <w:pStyle w:val="ListParagraph"/>
        <w:numPr>
          <w:ilvl w:val="0"/>
          <w:numId w:val="29"/>
        </w:numPr>
        <w:spacing w:after="120"/>
      </w:pPr>
      <w:r w:rsidRPr="001E259D">
        <w:t>This item is required to account for the recommended deletion of item 50106 (joint stabilisation item).</w:t>
      </w:r>
      <w:r w:rsidR="0026124E">
        <w:br/>
      </w:r>
    </w:p>
    <w:p w14:paraId="4922CD73" w14:textId="5A970B9C" w:rsidR="001E259D" w:rsidRDefault="001E259D" w:rsidP="006F1DAD">
      <w:pPr>
        <w:spacing w:after="120"/>
        <w:rPr>
          <w:b/>
        </w:rPr>
      </w:pPr>
      <w:r w:rsidRPr="001E259D">
        <w:rPr>
          <w:b/>
        </w:rPr>
        <w:t>Tendon Procedures</w:t>
      </w:r>
    </w:p>
    <w:p w14:paraId="17C7962A" w14:textId="199E32A7" w:rsidR="001E259D" w:rsidRPr="001E259D" w:rsidRDefault="001E259D" w:rsidP="006F1DAD">
      <w:pPr>
        <w:spacing w:after="120"/>
      </w:pPr>
      <w:r w:rsidRPr="001E259D">
        <w:t>Item 47964:</w:t>
      </w:r>
    </w:p>
    <w:p w14:paraId="70DE2DFC" w14:textId="77777777" w:rsidR="001E259D" w:rsidRPr="001E259D" w:rsidRDefault="001E259D" w:rsidP="006F1DAD">
      <w:pPr>
        <w:pStyle w:val="ListParagraph"/>
        <w:numPr>
          <w:ilvl w:val="0"/>
          <w:numId w:val="32"/>
        </w:numPr>
        <w:spacing w:after="120"/>
      </w:pPr>
      <w:r w:rsidRPr="001E259D">
        <w:t>Has been created to provide a new item for iliopsoas tenotomy.</w:t>
      </w:r>
    </w:p>
    <w:p w14:paraId="19C55396" w14:textId="3DCAB687" w:rsidR="001E259D" w:rsidRDefault="001E259D" w:rsidP="006F1DAD">
      <w:pPr>
        <w:pStyle w:val="ListParagraph"/>
        <w:numPr>
          <w:ilvl w:val="0"/>
          <w:numId w:val="32"/>
        </w:numPr>
        <w:spacing w:after="120"/>
      </w:pPr>
      <w:r w:rsidRPr="001E259D">
        <w:t xml:space="preserve">Tenotomy of the iliopsoas is currently reimbursed using general open tenotomy item 47963, </w:t>
      </w:r>
      <w:r w:rsidR="00356CDE">
        <w:t>which has been deleted</w:t>
      </w:r>
      <w:r w:rsidRPr="001E259D">
        <w:t>.</w:t>
      </w:r>
    </w:p>
    <w:p w14:paraId="7952A6A5" w14:textId="77777777" w:rsidR="00C23DC4" w:rsidRDefault="00C23DC4" w:rsidP="006F1DAD">
      <w:pPr>
        <w:spacing w:after="120"/>
      </w:pPr>
    </w:p>
    <w:p w14:paraId="5A8B7A45" w14:textId="671A5C45" w:rsidR="001E259D" w:rsidRDefault="001E259D" w:rsidP="006F1DAD">
      <w:pPr>
        <w:spacing w:after="120"/>
      </w:pPr>
      <w:r>
        <w:t>Item 47955:</w:t>
      </w:r>
    </w:p>
    <w:p w14:paraId="537E4348" w14:textId="3512F61F" w:rsidR="001E259D" w:rsidRPr="001E259D" w:rsidRDefault="001E259D" w:rsidP="006F1DAD">
      <w:pPr>
        <w:pStyle w:val="ListParagraph"/>
        <w:numPr>
          <w:ilvl w:val="0"/>
          <w:numId w:val="33"/>
        </w:numPr>
        <w:spacing w:after="120"/>
      </w:pPr>
      <w:r w:rsidRPr="001E259D">
        <w:t>Has been created to provide a new item for gluteal tendon repair.</w:t>
      </w:r>
    </w:p>
    <w:p w14:paraId="1D350C55" w14:textId="4C65D918" w:rsidR="001E259D" w:rsidRDefault="001E259D" w:rsidP="006F1DAD">
      <w:pPr>
        <w:pStyle w:val="ListParagraph"/>
        <w:numPr>
          <w:ilvl w:val="0"/>
          <w:numId w:val="33"/>
        </w:numPr>
        <w:spacing w:after="120"/>
      </w:pPr>
      <w:r>
        <w:t>A new item is required as c</w:t>
      </w:r>
      <w:r w:rsidRPr="001E259D">
        <w:t>linical evidence suggests that surgical intervention is superior to corticosteroid therapy and physical therapy</w:t>
      </w:r>
      <w:r>
        <w:t xml:space="preserve"> and at present no specific item number is available for the service.</w:t>
      </w:r>
    </w:p>
    <w:p w14:paraId="3F42B862" w14:textId="77777777" w:rsidR="00C23DC4" w:rsidRDefault="00C23DC4" w:rsidP="006F1DAD">
      <w:pPr>
        <w:spacing w:after="120"/>
      </w:pPr>
    </w:p>
    <w:p w14:paraId="7A465B43" w14:textId="55E7F8DA" w:rsidR="001E259D" w:rsidRDefault="001E259D" w:rsidP="006F1DAD">
      <w:pPr>
        <w:spacing w:after="120"/>
      </w:pPr>
      <w:r>
        <w:t>Item 47956:</w:t>
      </w:r>
    </w:p>
    <w:p w14:paraId="6F6D310C" w14:textId="7D8453BB" w:rsidR="001E259D" w:rsidRDefault="001E259D" w:rsidP="006F1DAD">
      <w:pPr>
        <w:pStyle w:val="ListParagraph"/>
        <w:numPr>
          <w:ilvl w:val="0"/>
          <w:numId w:val="34"/>
        </w:numPr>
        <w:spacing w:after="120"/>
      </w:pPr>
      <w:r w:rsidRPr="001E259D">
        <w:t>Has been created to provide a new item for repair of the proximal ham</w:t>
      </w:r>
      <w:r>
        <w:t>string or rectus femoris tendon.</w:t>
      </w:r>
    </w:p>
    <w:p w14:paraId="22DC74B6" w14:textId="356A4926" w:rsidR="001E259D" w:rsidRDefault="001E259D" w:rsidP="006F1DAD">
      <w:pPr>
        <w:pStyle w:val="ListParagraph"/>
        <w:numPr>
          <w:ilvl w:val="0"/>
          <w:numId w:val="34"/>
        </w:numPr>
        <w:spacing w:after="120"/>
      </w:pPr>
      <w:r>
        <w:t>R</w:t>
      </w:r>
      <w:r w:rsidRPr="001E259D">
        <w:t xml:space="preserve">epair of the proximal hamstring or rectus femoris tendon </w:t>
      </w:r>
      <w:r w:rsidR="00356CDE">
        <w:t>has been</w:t>
      </w:r>
      <w:r w:rsidRPr="001E259D">
        <w:t xml:space="preserve"> reimbursed using general tendon </w:t>
      </w:r>
      <w:r w:rsidR="00356CDE">
        <w:t>repair item 47954</w:t>
      </w:r>
      <w:r w:rsidR="00CC28E2">
        <w:t>.</w:t>
      </w:r>
      <w:r w:rsidR="0026124E">
        <w:br/>
      </w:r>
    </w:p>
    <w:p w14:paraId="49EED64F" w14:textId="760D3126" w:rsidR="008224EA" w:rsidRPr="008224EA" w:rsidRDefault="008224EA" w:rsidP="006F1DAD">
      <w:pPr>
        <w:spacing w:after="120"/>
        <w:rPr>
          <w:b/>
        </w:rPr>
      </w:pPr>
      <w:r>
        <w:rPr>
          <w:b/>
        </w:rPr>
        <w:t xml:space="preserve">New Osteotomy Items </w:t>
      </w:r>
    </w:p>
    <w:p w14:paraId="3760E771" w14:textId="49288ACD" w:rsidR="001E259D" w:rsidRDefault="008224EA" w:rsidP="006F1DAD">
      <w:pPr>
        <w:spacing w:after="120"/>
      </w:pPr>
      <w:r>
        <w:t>Items 48423 and 48426:</w:t>
      </w:r>
    </w:p>
    <w:p w14:paraId="3361C4F2" w14:textId="4F5D7C2C" w:rsidR="008224EA" w:rsidRDefault="008224EA" w:rsidP="006F1DAD">
      <w:pPr>
        <w:pStyle w:val="ListParagraph"/>
        <w:numPr>
          <w:ilvl w:val="0"/>
          <w:numId w:val="35"/>
        </w:numPr>
        <w:spacing w:after="120"/>
      </w:pPr>
      <w:r>
        <w:t xml:space="preserve">Have been created to provide new items for </w:t>
      </w:r>
      <w:r w:rsidRPr="008224EA">
        <w:t>pelvic and femoral osteotomy in adult patients</w:t>
      </w:r>
      <w:r>
        <w:t xml:space="preserve"> (based on items 48424 and 48427).</w:t>
      </w:r>
    </w:p>
    <w:p w14:paraId="4DD07A5C" w14:textId="629D8B81" w:rsidR="0026124E" w:rsidRDefault="008224EA" w:rsidP="006F1DAD">
      <w:pPr>
        <w:pStyle w:val="ListParagraph"/>
        <w:numPr>
          <w:ilvl w:val="0"/>
          <w:numId w:val="35"/>
        </w:numPr>
        <w:spacing w:after="120"/>
      </w:pPr>
      <w:r w:rsidRPr="008224EA">
        <w:t xml:space="preserve">The exclusion for </w:t>
      </w:r>
      <w:proofErr w:type="spellStart"/>
      <w:r w:rsidRPr="008224EA">
        <w:t>femoroacetabular</w:t>
      </w:r>
      <w:proofErr w:type="spellEnd"/>
      <w:r w:rsidRPr="008224EA">
        <w:t xml:space="preserve"> impingement </w:t>
      </w:r>
      <w:r>
        <w:t>under the existing items</w:t>
      </w:r>
      <w:r w:rsidRPr="008224EA">
        <w:t xml:space="preserve"> has not been included </w:t>
      </w:r>
      <w:r>
        <w:t>as</w:t>
      </w:r>
      <w:r w:rsidRPr="008224EA">
        <w:t xml:space="preserve"> this was relevant to </w:t>
      </w:r>
      <w:proofErr w:type="spellStart"/>
      <w:r w:rsidRPr="008224EA">
        <w:t>osteectomy</w:t>
      </w:r>
      <w:proofErr w:type="spellEnd"/>
      <w:r w:rsidR="0026124E">
        <w:t>.</w:t>
      </w:r>
    </w:p>
    <w:p w14:paraId="2C6742D9" w14:textId="77777777" w:rsidR="00E27F7D" w:rsidRDefault="00E27F7D" w:rsidP="006F1DAD">
      <w:pPr>
        <w:spacing w:after="120" w:line="259" w:lineRule="auto"/>
      </w:pPr>
    </w:p>
    <w:p w14:paraId="50FDB38C" w14:textId="4E8A5838" w:rsidR="0026124E" w:rsidRDefault="0026124E" w:rsidP="006F1DAD">
      <w:pPr>
        <w:spacing w:after="120" w:line="259" w:lineRule="auto"/>
      </w:pPr>
      <w:r>
        <w:br w:type="page"/>
      </w:r>
    </w:p>
    <w:p w14:paraId="766237B0" w14:textId="77777777" w:rsidR="00E27F7D" w:rsidRPr="00E27F7D" w:rsidRDefault="00E27F7D" w:rsidP="00E27F7D">
      <w:pPr>
        <w:rPr>
          <w:rFonts w:asciiTheme="minorHAnsi" w:eastAsiaTheme="minorHAnsi" w:hAnsiTheme="minorHAnsi"/>
          <w:b/>
          <w:szCs w:val="22"/>
        </w:rPr>
      </w:pPr>
      <w:r w:rsidRPr="00E27F7D">
        <w:rPr>
          <w:b/>
        </w:rPr>
        <w:lastRenderedPageBreak/>
        <w:t>Arthroscopic hip surgery</w:t>
      </w:r>
    </w:p>
    <w:p w14:paraId="30FF5898" w14:textId="77777777" w:rsidR="00E27F7D" w:rsidRPr="00E27F7D" w:rsidRDefault="00E27F7D" w:rsidP="00E27F7D">
      <w:r w:rsidRPr="00E27F7D">
        <w:t>Items 49360 and 49363:</w:t>
      </w:r>
    </w:p>
    <w:p w14:paraId="4EF68A39" w14:textId="77777777" w:rsidR="00E27F7D" w:rsidRPr="00E27F7D" w:rsidRDefault="00E27F7D" w:rsidP="00E27F7D">
      <w:pPr>
        <w:pStyle w:val="ListParagraph"/>
        <w:numPr>
          <w:ilvl w:val="0"/>
          <w:numId w:val="36"/>
        </w:numPr>
        <w:spacing w:after="0" w:line="240" w:lineRule="auto"/>
      </w:pPr>
      <w:r w:rsidRPr="00E27F7D">
        <w:t>Have been amended to restrict the items with any other hip joint procedure.</w:t>
      </w:r>
    </w:p>
    <w:p w14:paraId="63217FBA" w14:textId="77777777" w:rsidR="00E27F7D" w:rsidRPr="00E27F7D" w:rsidRDefault="00E27F7D" w:rsidP="00E27F7D"/>
    <w:p w14:paraId="172DE64D" w14:textId="77777777" w:rsidR="00E27F7D" w:rsidRPr="00E27F7D" w:rsidRDefault="00E27F7D" w:rsidP="00E27F7D">
      <w:r w:rsidRPr="00E27F7D">
        <w:t>Item 49366:</w:t>
      </w:r>
    </w:p>
    <w:p w14:paraId="56E8E8BF" w14:textId="77777777" w:rsidR="00E27F7D" w:rsidRPr="00E27F7D" w:rsidRDefault="00E27F7D" w:rsidP="00E27F7D">
      <w:pPr>
        <w:pStyle w:val="ListParagraph"/>
        <w:numPr>
          <w:ilvl w:val="0"/>
          <w:numId w:val="36"/>
        </w:numPr>
        <w:spacing w:after="0" w:line="240" w:lineRule="auto"/>
      </w:pPr>
      <w:r w:rsidRPr="00E27F7D">
        <w:t>Has been amended to better describe inherent components of the procedure that are included if performed.</w:t>
      </w:r>
    </w:p>
    <w:p w14:paraId="4035B9E2" w14:textId="242A82B7" w:rsidR="00E27F7D" w:rsidRPr="00E27F7D" w:rsidRDefault="00E27F7D" w:rsidP="00E27F7D">
      <w:pPr>
        <w:pStyle w:val="ListParagraph"/>
        <w:numPr>
          <w:ilvl w:val="0"/>
          <w:numId w:val="36"/>
        </w:numPr>
        <w:spacing w:after="0" w:line="240" w:lineRule="auto"/>
      </w:pPr>
      <w:r w:rsidRPr="00E27F7D">
        <w:t xml:space="preserve">The item now includes any associated bony or soft tissue procedure.   </w:t>
      </w:r>
    </w:p>
    <w:p w14:paraId="62617131" w14:textId="77777777" w:rsidR="00E27F7D" w:rsidRDefault="00E27F7D" w:rsidP="003E0EB0">
      <w:pPr>
        <w:pStyle w:val="Heading2"/>
        <w:rPr>
          <w:sz w:val="26"/>
          <w:szCs w:val="26"/>
        </w:rPr>
      </w:pPr>
    </w:p>
    <w:p w14:paraId="0A8BA0D5" w14:textId="384C4E37" w:rsidR="003E0EB0" w:rsidRPr="003E0EB0" w:rsidRDefault="003E0EB0" w:rsidP="003E0EB0">
      <w:pPr>
        <w:pStyle w:val="Heading2"/>
        <w:rPr>
          <w:sz w:val="26"/>
          <w:szCs w:val="26"/>
        </w:rPr>
      </w:pPr>
      <w:r w:rsidRPr="003E0EB0">
        <w:rPr>
          <w:sz w:val="26"/>
          <w:szCs w:val="26"/>
        </w:rPr>
        <w:t>Why are the changes being made?</w:t>
      </w:r>
    </w:p>
    <w:p w14:paraId="5FA45F06" w14:textId="6277363E" w:rsidR="008B1BED" w:rsidRDefault="003E0EB0" w:rsidP="003E0EB0">
      <w:pPr>
        <w:pStyle w:val="Heading2"/>
        <w:rPr>
          <w:color w:val="auto"/>
          <w:sz w:val="20"/>
          <w:szCs w:val="20"/>
        </w:rPr>
      </w:pPr>
      <w:r w:rsidRPr="003E0EB0">
        <w:rPr>
          <w:color w:val="auto"/>
          <w:sz w:val="20"/>
          <w:szCs w:val="20"/>
        </w:rPr>
        <w:t xml:space="preserve">The MBS Review Taskforce (the Taskforce) found that changes to </w:t>
      </w:r>
      <w:r>
        <w:rPr>
          <w:color w:val="auto"/>
          <w:sz w:val="20"/>
          <w:szCs w:val="20"/>
        </w:rPr>
        <w:t xml:space="preserve">orthopaedic </w:t>
      </w:r>
      <w:r w:rsidR="00E0587C">
        <w:rPr>
          <w:color w:val="auto"/>
          <w:sz w:val="20"/>
          <w:szCs w:val="20"/>
        </w:rPr>
        <w:t>hip</w:t>
      </w:r>
      <w:r w:rsidR="00921291">
        <w:rPr>
          <w:color w:val="auto"/>
          <w:sz w:val="20"/>
          <w:szCs w:val="20"/>
        </w:rPr>
        <w:t xml:space="preserve"> </w:t>
      </w:r>
      <w:r>
        <w:rPr>
          <w:color w:val="auto"/>
          <w:sz w:val="20"/>
          <w:szCs w:val="20"/>
        </w:rPr>
        <w:t>surgery</w:t>
      </w:r>
      <w:r w:rsidRPr="003E0EB0">
        <w:rPr>
          <w:color w:val="auto"/>
          <w:sz w:val="20"/>
          <w:szCs w:val="20"/>
        </w:rPr>
        <w:t xml:space="preserve"> were required </w:t>
      </w:r>
      <w:r w:rsidR="008B1BED">
        <w:rPr>
          <w:color w:val="auto"/>
          <w:sz w:val="20"/>
          <w:szCs w:val="20"/>
        </w:rPr>
        <w:t xml:space="preserve">to reduce ambiguity among item descriptors, and to ensure the </w:t>
      </w:r>
      <w:r w:rsidR="00621A16">
        <w:rPr>
          <w:color w:val="auto"/>
          <w:sz w:val="20"/>
          <w:szCs w:val="20"/>
        </w:rPr>
        <w:t>schedule</w:t>
      </w:r>
      <w:r w:rsidR="008B1BED">
        <w:rPr>
          <w:color w:val="auto"/>
          <w:sz w:val="20"/>
          <w:szCs w:val="20"/>
        </w:rPr>
        <w:t xml:space="preserve"> is structured logically and </w:t>
      </w:r>
      <w:r w:rsidR="008B1BED" w:rsidRPr="003E0EB0">
        <w:rPr>
          <w:color w:val="auto"/>
          <w:sz w:val="20"/>
          <w:szCs w:val="20"/>
        </w:rPr>
        <w:t>reflect</w:t>
      </w:r>
      <w:r w:rsidR="008B1BED">
        <w:rPr>
          <w:color w:val="auto"/>
          <w:sz w:val="20"/>
          <w:szCs w:val="20"/>
        </w:rPr>
        <w:t>s</w:t>
      </w:r>
      <w:r w:rsidR="008B1BED" w:rsidRPr="003E0EB0">
        <w:rPr>
          <w:color w:val="auto"/>
          <w:sz w:val="20"/>
          <w:szCs w:val="20"/>
        </w:rPr>
        <w:t xml:space="preserve"> modern clinical practice</w:t>
      </w:r>
      <w:r w:rsidR="008B1BED">
        <w:rPr>
          <w:color w:val="auto"/>
          <w:sz w:val="20"/>
          <w:szCs w:val="20"/>
        </w:rPr>
        <w:t>.</w:t>
      </w:r>
    </w:p>
    <w:p w14:paraId="77C47DF0" w14:textId="036B3974" w:rsidR="00485895" w:rsidRDefault="00485895" w:rsidP="00485895">
      <w:pPr>
        <w:pStyle w:val="Heading2"/>
        <w:rPr>
          <w:color w:val="auto"/>
          <w:sz w:val="20"/>
          <w:szCs w:val="20"/>
        </w:rPr>
      </w:pPr>
      <w:r w:rsidRPr="003E0EB0">
        <w:rPr>
          <w:color w:val="auto"/>
          <w:sz w:val="20"/>
          <w:szCs w:val="20"/>
        </w:rPr>
        <w:t xml:space="preserve">These changes are a result of a review by the Taskforce, which was informed by the </w:t>
      </w:r>
      <w:r>
        <w:rPr>
          <w:color w:val="auto"/>
          <w:sz w:val="20"/>
          <w:szCs w:val="20"/>
        </w:rPr>
        <w:t>Orthopaedics</w:t>
      </w:r>
      <w:r w:rsidRPr="003E0EB0">
        <w:rPr>
          <w:color w:val="auto"/>
          <w:sz w:val="20"/>
          <w:szCs w:val="20"/>
        </w:rPr>
        <w:t xml:space="preserve"> Clinical Committee and discussion with key stakeholders. More information about the Taskforce and associated Committees is available via the Medicare Benefits Schedule Review page, within the ‘for consumers’ tab.</w:t>
      </w:r>
    </w:p>
    <w:p w14:paraId="379144FE" w14:textId="4FBEDFDA" w:rsidR="00F666EE" w:rsidRDefault="00F666EE" w:rsidP="00F666EE">
      <w:r w:rsidRPr="00E62B97">
        <w:t xml:space="preserve">In </w:t>
      </w:r>
      <w:r>
        <w:t>some</w:t>
      </w:r>
      <w:r w:rsidRPr="00E62B97">
        <w:t xml:space="preserve"> instances</w:t>
      </w:r>
      <w:r>
        <w:t>,</w:t>
      </w:r>
      <w:r w:rsidRPr="00E62B97">
        <w:t xml:space="preserve"> item descriptors may differ from the descriptors proposed by the </w:t>
      </w:r>
      <w:r>
        <w:t>Taskforce. This is a result of</w:t>
      </w:r>
      <w:r w:rsidRPr="00E62B97">
        <w:t xml:space="preserve"> </w:t>
      </w:r>
      <w:r>
        <w:t xml:space="preserve">recommendations made by the Orthopaedic Surgery </w:t>
      </w:r>
      <w:r w:rsidRPr="00E62B97">
        <w:t>Implementation Liaison Group (</w:t>
      </w:r>
      <w:r>
        <w:t>OS</w:t>
      </w:r>
      <w:r w:rsidRPr="00E62B97">
        <w:t xml:space="preserve">ILG). The </w:t>
      </w:r>
      <w:r>
        <w:t>OS</w:t>
      </w:r>
      <w:r w:rsidRPr="00E62B97">
        <w:t xml:space="preserve">ILG </w:t>
      </w:r>
      <w:r>
        <w:t xml:space="preserve">comprised </w:t>
      </w:r>
      <w:r w:rsidRPr="0058292E">
        <w:t xml:space="preserve">representatives </w:t>
      </w:r>
      <w:r>
        <w:t xml:space="preserve">of orthopaedic sub-specialty societies, the Australian Medical Association (AMA) and the private hospital and health insurance sectors. The OSILG provided advice on the </w:t>
      </w:r>
      <w:r w:rsidRPr="00E62B97">
        <w:t>implementation</w:t>
      </w:r>
      <w:r>
        <w:t xml:space="preserve"> of the item changes, including</w:t>
      </w:r>
      <w:r w:rsidRPr="00E62B97">
        <w:t xml:space="preserve"> identifying </w:t>
      </w:r>
      <w:r w:rsidR="00502381">
        <w:t xml:space="preserve">potential </w:t>
      </w:r>
      <w:r w:rsidRPr="00E62B97">
        <w:t>service gaps and preventing unintended consequences arising as an outcome of the review.</w:t>
      </w:r>
    </w:p>
    <w:p w14:paraId="1E803E3F" w14:textId="77777777" w:rsidR="00485895" w:rsidRDefault="00485895" w:rsidP="00485895">
      <w:pPr>
        <w:pStyle w:val="Heading2"/>
        <w:rPr>
          <w:color w:val="auto"/>
          <w:sz w:val="20"/>
          <w:szCs w:val="20"/>
        </w:rPr>
      </w:pPr>
      <w:r>
        <w:rPr>
          <w:color w:val="auto"/>
          <w:sz w:val="20"/>
          <w:szCs w:val="20"/>
        </w:rPr>
        <w:t xml:space="preserve">A copy of the final Taskforce Orthopaedic Review report is available on the Department of Health’s website </w:t>
      </w:r>
      <w:r w:rsidRPr="00F263E5">
        <w:rPr>
          <w:color w:val="auto"/>
          <w:sz w:val="20"/>
          <w:szCs w:val="20"/>
        </w:rPr>
        <w:t>at:</w:t>
      </w:r>
      <w:r>
        <w:rPr>
          <w:color w:val="auto"/>
          <w:sz w:val="20"/>
          <w:szCs w:val="20"/>
        </w:rPr>
        <w:t xml:space="preserve"> </w:t>
      </w:r>
      <w:hyperlink r:id="rId9" w:history="1">
        <w:r w:rsidRPr="00F160D4">
          <w:rPr>
            <w:rStyle w:val="Hyperlink"/>
            <w:sz w:val="20"/>
            <w:szCs w:val="20"/>
          </w:rPr>
          <w:t>www.health.gov.au/resources/publications/taskforce-final-report-orthopaedic-mbs-items</w:t>
        </w:r>
      </w:hyperlink>
    </w:p>
    <w:p w14:paraId="18F8BD6D" w14:textId="03E9C377" w:rsidR="008B1BED" w:rsidRPr="008B1BED" w:rsidRDefault="008B1BED" w:rsidP="008B1BED">
      <w:pPr>
        <w:pStyle w:val="Heading2"/>
        <w:rPr>
          <w:sz w:val="26"/>
          <w:szCs w:val="26"/>
        </w:rPr>
      </w:pPr>
      <w:r w:rsidRPr="008B1BED">
        <w:rPr>
          <w:sz w:val="26"/>
          <w:szCs w:val="26"/>
        </w:rPr>
        <w:t>What does this mean for providers?</w:t>
      </w:r>
    </w:p>
    <w:p w14:paraId="3702BCD9" w14:textId="5EB96B35" w:rsidR="008B1BED" w:rsidRPr="00921291" w:rsidRDefault="008B1BED" w:rsidP="008B1BED">
      <w:pPr>
        <w:pStyle w:val="Heading2"/>
        <w:rPr>
          <w:color w:val="auto"/>
          <w:sz w:val="20"/>
          <w:szCs w:val="20"/>
        </w:rPr>
      </w:pPr>
      <w:r w:rsidRPr="008B1BED">
        <w:rPr>
          <w:color w:val="auto"/>
          <w:sz w:val="20"/>
          <w:szCs w:val="20"/>
        </w:rPr>
        <w:t xml:space="preserve">Providers will need to familiarise themselves with the descriptor changes in the </w:t>
      </w:r>
      <w:r>
        <w:rPr>
          <w:color w:val="auto"/>
          <w:sz w:val="20"/>
          <w:szCs w:val="20"/>
        </w:rPr>
        <w:t>orthopaedic</w:t>
      </w:r>
      <w:r w:rsidRPr="008B1BED">
        <w:rPr>
          <w:color w:val="auto"/>
          <w:sz w:val="20"/>
          <w:szCs w:val="20"/>
        </w:rPr>
        <w:t xml:space="preserve"> schedule, and any associated rules and explanatory notes. Providers have a responsibility to ensure that any services they bill to Medicare fully meet the eligibility requirements outlined in the legislation.</w:t>
      </w:r>
    </w:p>
    <w:p w14:paraId="0A0BA36F" w14:textId="3D2B08F0" w:rsidR="008B1BED" w:rsidRPr="008B1BED" w:rsidRDefault="008B1BED" w:rsidP="008B1BED">
      <w:pPr>
        <w:pStyle w:val="Heading2"/>
        <w:rPr>
          <w:sz w:val="26"/>
          <w:szCs w:val="26"/>
        </w:rPr>
      </w:pPr>
      <w:r w:rsidRPr="008B1BED">
        <w:rPr>
          <w:sz w:val="26"/>
          <w:szCs w:val="26"/>
        </w:rPr>
        <w:t>How will these changes affect patients?</w:t>
      </w:r>
    </w:p>
    <w:p w14:paraId="14BA5D84" w14:textId="59178E65" w:rsidR="003E0EB0" w:rsidRPr="008B1BED" w:rsidRDefault="008B1BED" w:rsidP="008B1BED">
      <w:pPr>
        <w:pStyle w:val="Heading2"/>
        <w:rPr>
          <w:color w:val="auto"/>
          <w:sz w:val="20"/>
          <w:szCs w:val="20"/>
        </w:rPr>
      </w:pPr>
      <w:r w:rsidRPr="008B1BED">
        <w:rPr>
          <w:color w:val="auto"/>
          <w:sz w:val="20"/>
          <w:szCs w:val="20"/>
        </w:rPr>
        <w:t xml:space="preserve">Patients will continue to receive Medicare rebates for </w:t>
      </w:r>
      <w:r>
        <w:rPr>
          <w:color w:val="auto"/>
          <w:sz w:val="20"/>
          <w:szCs w:val="20"/>
        </w:rPr>
        <w:t>orthopaedic</w:t>
      </w:r>
      <w:r w:rsidRPr="008B1BED">
        <w:rPr>
          <w:color w:val="auto"/>
          <w:sz w:val="20"/>
          <w:szCs w:val="20"/>
        </w:rPr>
        <w:t xml:space="preserve"> </w:t>
      </w:r>
      <w:r w:rsidR="00E0587C">
        <w:rPr>
          <w:color w:val="auto"/>
          <w:sz w:val="20"/>
          <w:szCs w:val="20"/>
        </w:rPr>
        <w:t>hip</w:t>
      </w:r>
      <w:r w:rsidR="00921291">
        <w:rPr>
          <w:color w:val="auto"/>
          <w:sz w:val="20"/>
          <w:szCs w:val="20"/>
        </w:rPr>
        <w:t xml:space="preserve"> surgery </w:t>
      </w:r>
      <w:r w:rsidRPr="008B1BED">
        <w:rPr>
          <w:color w:val="auto"/>
          <w:sz w:val="20"/>
          <w:szCs w:val="20"/>
        </w:rPr>
        <w:t>services that are clinically appropriate and reflect modern clinical practice.</w:t>
      </w:r>
    </w:p>
    <w:p w14:paraId="14AE70FC" w14:textId="77777777" w:rsidR="00E27F7D" w:rsidRDefault="00E27F7D" w:rsidP="008B1BED">
      <w:pPr>
        <w:pStyle w:val="Heading2"/>
        <w:rPr>
          <w:sz w:val="26"/>
          <w:szCs w:val="26"/>
        </w:rPr>
      </w:pPr>
    </w:p>
    <w:p w14:paraId="0CC8C300" w14:textId="53418C41" w:rsidR="008B1BED" w:rsidRPr="008B1BED" w:rsidRDefault="008B1BED" w:rsidP="008B1BED">
      <w:pPr>
        <w:pStyle w:val="Heading2"/>
        <w:rPr>
          <w:sz w:val="26"/>
          <w:szCs w:val="26"/>
        </w:rPr>
      </w:pPr>
      <w:r w:rsidRPr="008B1BED">
        <w:rPr>
          <w:sz w:val="26"/>
          <w:szCs w:val="26"/>
        </w:rPr>
        <w:lastRenderedPageBreak/>
        <w:t>Who was consulted on the changes?</w:t>
      </w:r>
    </w:p>
    <w:p w14:paraId="4F8B94EC" w14:textId="77777777" w:rsidR="00485895" w:rsidRDefault="00485895" w:rsidP="00485895">
      <w:pPr>
        <w:pStyle w:val="Heading2"/>
        <w:rPr>
          <w:color w:val="auto"/>
          <w:sz w:val="20"/>
          <w:szCs w:val="20"/>
        </w:rPr>
      </w:pPr>
      <w:r w:rsidRPr="008B1BED">
        <w:rPr>
          <w:color w:val="auto"/>
          <w:sz w:val="20"/>
          <w:szCs w:val="20"/>
        </w:rPr>
        <w:t xml:space="preserve">The MBS Review </w:t>
      </w:r>
      <w:r>
        <w:rPr>
          <w:color w:val="auto"/>
          <w:sz w:val="20"/>
          <w:szCs w:val="20"/>
        </w:rPr>
        <w:t>Orthopaedic Clinical Committee was established in September 2016 to provide expert clinical advice and make recommendations to the MBS Review Taskforce on Orthopaedic MBS services.</w:t>
      </w:r>
    </w:p>
    <w:p w14:paraId="730975C4" w14:textId="77777777" w:rsidR="005F4E3D" w:rsidRDefault="005F4E3D" w:rsidP="005F4E3D">
      <w:pPr>
        <w:pStyle w:val="Heading2"/>
        <w:rPr>
          <w:color w:val="auto"/>
          <w:sz w:val="20"/>
          <w:szCs w:val="20"/>
        </w:rPr>
      </w:pPr>
      <w:r>
        <w:rPr>
          <w:color w:val="auto"/>
          <w:sz w:val="20"/>
          <w:szCs w:val="20"/>
        </w:rPr>
        <w:t>The MBS Review included a public consultation process which provided feedback from peak bodies, clinical experts and consumers. Feedback from stakeholders was considered by the Taskforce prior to making its final recommendations to the Government.</w:t>
      </w:r>
    </w:p>
    <w:p w14:paraId="6E762F5C" w14:textId="40742B2D" w:rsidR="00921291" w:rsidRPr="00921291" w:rsidRDefault="00921291" w:rsidP="00921291">
      <w:pPr>
        <w:pStyle w:val="Heading2"/>
        <w:rPr>
          <w:sz w:val="26"/>
          <w:szCs w:val="26"/>
        </w:rPr>
      </w:pPr>
      <w:r w:rsidRPr="00921291">
        <w:rPr>
          <w:sz w:val="26"/>
          <w:szCs w:val="26"/>
        </w:rPr>
        <w:t>How will the changes be monitored and reviewed?</w:t>
      </w:r>
    </w:p>
    <w:p w14:paraId="4703D462" w14:textId="65D453E5" w:rsidR="00921291" w:rsidRPr="00921291" w:rsidRDefault="00921291" w:rsidP="00921291">
      <w:pPr>
        <w:pStyle w:val="Heading2"/>
        <w:rPr>
          <w:color w:val="auto"/>
          <w:sz w:val="20"/>
          <w:szCs w:val="20"/>
        </w:rPr>
      </w:pPr>
      <w:r w:rsidRPr="00921291">
        <w:rPr>
          <w:color w:val="auto"/>
          <w:sz w:val="20"/>
          <w:szCs w:val="20"/>
        </w:rPr>
        <w:t xml:space="preserve">Service use of amended MBS </w:t>
      </w:r>
      <w:r>
        <w:rPr>
          <w:color w:val="auto"/>
          <w:sz w:val="20"/>
          <w:szCs w:val="20"/>
        </w:rPr>
        <w:t xml:space="preserve">orthopaedic </w:t>
      </w:r>
      <w:r w:rsidR="00E0587C">
        <w:rPr>
          <w:color w:val="auto"/>
          <w:sz w:val="20"/>
          <w:szCs w:val="20"/>
        </w:rPr>
        <w:t>hip</w:t>
      </w:r>
      <w:r>
        <w:rPr>
          <w:color w:val="auto"/>
          <w:sz w:val="20"/>
          <w:szCs w:val="20"/>
        </w:rPr>
        <w:t xml:space="preserve"> surgery </w:t>
      </w:r>
      <w:r w:rsidRPr="00921291">
        <w:rPr>
          <w:color w:val="auto"/>
          <w:sz w:val="20"/>
          <w:szCs w:val="20"/>
        </w:rPr>
        <w:t>items will be monitored and reviewed post implementation.</w:t>
      </w:r>
    </w:p>
    <w:p w14:paraId="78F78618" w14:textId="787E8E37" w:rsidR="00921291" w:rsidRPr="00921291" w:rsidRDefault="00921291" w:rsidP="00921291">
      <w:pPr>
        <w:pStyle w:val="Heading2"/>
        <w:rPr>
          <w:color w:val="auto"/>
          <w:sz w:val="20"/>
          <w:szCs w:val="20"/>
        </w:rPr>
      </w:pPr>
      <w:r>
        <w:rPr>
          <w:color w:val="auto"/>
          <w:sz w:val="20"/>
          <w:szCs w:val="20"/>
        </w:rPr>
        <w:t>All orthopaedic hand surgery</w:t>
      </w:r>
      <w:r w:rsidRPr="00921291">
        <w:rPr>
          <w:color w:val="auto"/>
          <w:sz w:val="20"/>
          <w:szCs w:val="20"/>
        </w:rPr>
        <w:t xml:space="preserve"> items will continue to be subject to MBS compliance processes and activities, including random and targeted audits which may require a provider to submit evidence about the services claimed.</w:t>
      </w:r>
    </w:p>
    <w:p w14:paraId="5D7DD123" w14:textId="0DCDE134" w:rsidR="0022036E" w:rsidRPr="00C23DC4" w:rsidRDefault="00921291" w:rsidP="00C23DC4">
      <w:pPr>
        <w:pStyle w:val="Heading2"/>
        <w:rPr>
          <w:color w:val="auto"/>
          <w:sz w:val="20"/>
          <w:szCs w:val="20"/>
        </w:rPr>
      </w:pPr>
      <w:r w:rsidRPr="00921291">
        <w:rPr>
          <w:color w:val="auto"/>
          <w:sz w:val="20"/>
          <w:szCs w:val="20"/>
        </w:rPr>
        <w:t>Significant variation from forecasted expenditure may warrant review and amendment of fees, and incorrect use of MBS items can result in penalties including the health professional being asked to repay monies that have been incorrectly received.</w:t>
      </w:r>
    </w:p>
    <w:p w14:paraId="3D675523" w14:textId="00F3DC4E" w:rsidR="0071212A" w:rsidRPr="0071212A" w:rsidRDefault="00921291" w:rsidP="0071212A">
      <w:pPr>
        <w:pStyle w:val="Heading2"/>
        <w:rPr>
          <w:sz w:val="26"/>
          <w:szCs w:val="26"/>
        </w:rPr>
      </w:pPr>
      <w:r>
        <w:rPr>
          <w:sz w:val="26"/>
          <w:szCs w:val="26"/>
        </w:rPr>
        <w:t>Further information</w:t>
      </w:r>
    </w:p>
    <w:p w14:paraId="16018D37" w14:textId="759C3533" w:rsidR="00485895" w:rsidRPr="00DD2B7C" w:rsidRDefault="00485895" w:rsidP="00485895">
      <w:r>
        <w:t xml:space="preserve">The full item descriptor(s) and </w:t>
      </w:r>
      <w:r w:rsidRPr="007E14C4">
        <w:t xml:space="preserve">information on </w:t>
      </w:r>
      <w:r>
        <w:t xml:space="preserve">amended schedule fees are now available on the </w:t>
      </w:r>
      <w:hyperlink r:id="rId10" w:history="1">
        <w:r w:rsidRPr="00CA6B0F">
          <w:rPr>
            <w:rStyle w:val="Hyperlink"/>
          </w:rPr>
          <w:t>MBS Online</w:t>
        </w:r>
      </w:hyperlink>
      <w:r>
        <w:t xml:space="preserve"> website</w:t>
      </w:r>
      <w:r>
        <w:rPr>
          <w:rStyle w:val="Hyperlink"/>
        </w:rPr>
        <w:t>.</w:t>
      </w:r>
      <w:r w:rsidRPr="001A7BED">
        <w:t xml:space="preserve"> </w:t>
      </w:r>
      <w:r>
        <w:t xml:space="preserve">You can also subscribe to </w:t>
      </w:r>
      <w:r w:rsidRPr="00C812D8">
        <w:t>future</w:t>
      </w:r>
      <w:r w:rsidRPr="00215118">
        <w:t xml:space="preserve"> MBS updates </w:t>
      </w:r>
      <w:r>
        <w:t xml:space="preserve">by visiting MBS Online and clicking ‘Subscribe’. </w:t>
      </w:r>
    </w:p>
    <w:p w14:paraId="2D436BCB" w14:textId="74BB315D" w:rsidR="006116F4" w:rsidRPr="00921291" w:rsidRDefault="006116F4" w:rsidP="006116F4">
      <w:pPr>
        <w:pStyle w:val="Heading2"/>
        <w:rPr>
          <w:sz w:val="26"/>
          <w:szCs w:val="26"/>
        </w:rPr>
      </w:pPr>
      <w:r w:rsidRPr="00921291">
        <w:rPr>
          <w:sz w:val="26"/>
          <w:szCs w:val="26"/>
        </w:rPr>
        <w:t>Enquiries</w:t>
      </w:r>
    </w:p>
    <w:p w14:paraId="62BF804D" w14:textId="60D7DF81" w:rsidR="00E370F4" w:rsidRDefault="00E370F4" w:rsidP="00E370F4">
      <w:r>
        <w:t xml:space="preserve">For questions relating to implementation, or to the interpretation of the new orthopaedic surgery MBS items, please email </w:t>
      </w:r>
      <w:hyperlink r:id="rId11" w:history="1">
        <w:r w:rsidR="00B13AA5" w:rsidRPr="00B13AA5">
          <w:rPr>
            <w:rStyle w:val="Hyperlink"/>
          </w:rPr>
          <w:t>1july2021MBSchanges.orthopaedics@health.gov.au</w:t>
        </w:r>
      </w:hyperlink>
      <w:r w:rsidRPr="00B13AA5">
        <w:t>.</w:t>
      </w:r>
      <w:r>
        <w:t xml:space="preserve"> </w:t>
      </w:r>
    </w:p>
    <w:p w14:paraId="7D55E00E" w14:textId="48B30427" w:rsidR="00E370F4" w:rsidRDefault="00E370F4" w:rsidP="00E370F4">
      <w:r>
        <w:t>Subscribe to ‘</w:t>
      </w:r>
      <w:hyperlink r:id="rId12" w:history="1">
        <w:r w:rsidRPr="00B7675E">
          <w:rPr>
            <w:rStyle w:val="Hyperlink"/>
          </w:rPr>
          <w:t>News for Health Professionals</w:t>
        </w:r>
      </w:hyperlink>
      <w:r>
        <w:t xml:space="preserve">’ on the Services </w:t>
      </w:r>
      <w:r w:rsidR="004521A7">
        <w:t xml:space="preserve">Australia </w:t>
      </w:r>
      <w:r>
        <w:t>website and you will receive regular news highlights.</w:t>
      </w:r>
    </w:p>
    <w:p w14:paraId="4AD5C09A" w14:textId="3DD29897" w:rsidR="001A0DFF" w:rsidRDefault="00E370F4" w:rsidP="00E370F4">
      <w:r>
        <w:t xml:space="preserve">If you are seeking advice in relation to Medicare billing, claiming, payments, or obtaining a provider number, please </w:t>
      </w:r>
      <w:bookmarkStart w:id="2" w:name="_Hlk7773414"/>
      <w:r>
        <w:t xml:space="preserve">go to the Health Professionals page on the </w:t>
      </w:r>
      <w:r w:rsidR="004521A7">
        <w:t>Services Australia</w:t>
      </w:r>
      <w:r>
        <w:t xml:space="preserve"> website or </w:t>
      </w:r>
      <w:bookmarkEnd w:id="2"/>
      <w:r>
        <w:t xml:space="preserve">contact Services </w:t>
      </w:r>
      <w:r w:rsidR="004521A7">
        <w:t xml:space="preserve">Australia </w:t>
      </w:r>
      <w:r>
        <w:t xml:space="preserve">on the Provider Enquiry Line – 13 21 50. </w:t>
      </w:r>
    </w:p>
    <w:p w14:paraId="73D6570C" w14:textId="77777777" w:rsidR="001A0DFF" w:rsidRDefault="001A0DFF" w:rsidP="00E370F4"/>
    <w:p w14:paraId="4CE7CBDD" w14:textId="30B67BB4" w:rsidR="00E370F4" w:rsidRDefault="00E370F4" w:rsidP="006116F4">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7384AFDA" w14:textId="7DDA4C47" w:rsidR="00E370F4" w:rsidRPr="0029176A" w:rsidRDefault="00E370F4" w:rsidP="006116F4">
      <w:pPr>
        <w:pStyle w:val="Disclaimer"/>
        <w:jc w:val="center"/>
      </w:pPr>
      <w:r w:rsidRPr="0029176A">
        <w:t xml:space="preserve">This sheet is current as of the </w:t>
      </w:r>
      <w:r>
        <w:t>L</w:t>
      </w:r>
      <w:r w:rsidRPr="0029176A">
        <w:t>ast updated date</w:t>
      </w:r>
      <w:r>
        <w:t xml:space="preserve"> shown </w:t>
      </w:r>
      <w:r w:rsidR="005F4E3D">
        <w:t>below</w:t>
      </w:r>
      <w:r w:rsidRPr="0029176A">
        <w:t>, and does not account for MBS changes</w:t>
      </w:r>
      <w:r>
        <w:t xml:space="preserve"> since that date</w:t>
      </w:r>
      <w:r w:rsidRPr="0029176A">
        <w:t>.</w:t>
      </w:r>
    </w:p>
    <w:p w14:paraId="209EDDEF" w14:textId="3C537E93"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6866" w14:textId="77777777" w:rsidR="00636B0E" w:rsidRDefault="00636B0E" w:rsidP="006D1088">
      <w:pPr>
        <w:spacing w:after="0" w:line="240" w:lineRule="auto"/>
      </w:pPr>
      <w:r>
        <w:separator/>
      </w:r>
    </w:p>
  </w:endnote>
  <w:endnote w:type="continuationSeparator" w:id="0">
    <w:p w14:paraId="3530A130" w14:textId="77777777" w:rsidR="00636B0E" w:rsidRDefault="00636B0E"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5A80" w14:textId="1D5BF8EF" w:rsidR="00636B0E" w:rsidRDefault="009C206C" w:rsidP="0001798A">
    <w:pPr>
      <w:pStyle w:val="Footer"/>
    </w:pPr>
    <w:r>
      <w:rPr>
        <w:rStyle w:val="BookTitle"/>
        <w:noProof/>
      </w:rPr>
      <w:pict w14:anchorId="0B51D9CD">
        <v:rect id="_x0000_i1025" style="width:523.3pt;height:1.9pt" o:hralign="center" o:hrstd="t" o:hr="t" fillcolor="#a0a0a0" stroked="f"/>
      </w:pict>
    </w:r>
    <w:r w:rsidR="00636B0E" w:rsidRPr="0001798A">
      <w:rPr>
        <w:b/>
      </w:rPr>
      <w:t>Medicare Benefits Schedule</w:t>
    </w:r>
    <w:r w:rsidR="00636B0E">
      <w:t xml:space="preserve"> </w:t>
    </w:r>
    <w:r w:rsidR="00636B0E" w:rsidRPr="0001798A">
      <w:rPr>
        <w:b/>
      </w:rPr>
      <w:t>Orthopaedic Surgery Items</w:t>
    </w:r>
    <w:r w:rsidR="00636B0E" w:rsidRPr="00E863C4">
      <w:rPr>
        <w:b/>
      </w:rPr>
      <w:t xml:space="preserve"> – </w:t>
    </w:r>
    <w:r w:rsidR="00636B0E">
      <w:rPr>
        <w:b/>
      </w:rPr>
      <w:t>Factsheet</w:t>
    </w:r>
    <w:r w:rsidR="00636B0E" w:rsidRPr="00E863C4">
      <w:t xml:space="preserve"> </w:t>
    </w:r>
    <w:sdt>
      <w:sdtPr>
        <w:id w:val="960607005"/>
        <w:docPartObj>
          <w:docPartGallery w:val="Page Numbers (Bottom of Page)"/>
          <w:docPartUnique/>
        </w:docPartObj>
      </w:sdtPr>
      <w:sdtEndPr>
        <w:rPr>
          <w:noProof/>
        </w:rPr>
      </w:sdtEndPr>
      <w:sdtContent>
        <w:r w:rsidR="00636B0E">
          <w:tab/>
        </w:r>
        <w:r w:rsidR="00636B0E">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636B0E" w:rsidRPr="00F546CA">
                  <w:t xml:space="preserve">Page </w:t>
                </w:r>
                <w:r w:rsidR="00636B0E" w:rsidRPr="00F546CA">
                  <w:rPr>
                    <w:bCs/>
                    <w:sz w:val="24"/>
                    <w:szCs w:val="24"/>
                  </w:rPr>
                  <w:fldChar w:fldCharType="begin"/>
                </w:r>
                <w:r w:rsidR="00636B0E" w:rsidRPr="00F546CA">
                  <w:rPr>
                    <w:bCs/>
                  </w:rPr>
                  <w:instrText xml:space="preserve"> PAGE </w:instrText>
                </w:r>
                <w:r w:rsidR="00636B0E" w:rsidRPr="00F546CA">
                  <w:rPr>
                    <w:bCs/>
                    <w:sz w:val="24"/>
                    <w:szCs w:val="24"/>
                  </w:rPr>
                  <w:fldChar w:fldCharType="separate"/>
                </w:r>
                <w:r w:rsidR="00502381">
                  <w:rPr>
                    <w:bCs/>
                    <w:noProof/>
                  </w:rPr>
                  <w:t>6</w:t>
                </w:r>
                <w:r w:rsidR="00636B0E" w:rsidRPr="00F546CA">
                  <w:rPr>
                    <w:bCs/>
                    <w:sz w:val="24"/>
                    <w:szCs w:val="24"/>
                  </w:rPr>
                  <w:fldChar w:fldCharType="end"/>
                </w:r>
                <w:r w:rsidR="00636B0E" w:rsidRPr="00F546CA">
                  <w:t xml:space="preserve"> of </w:t>
                </w:r>
                <w:r w:rsidR="00636B0E" w:rsidRPr="00F546CA">
                  <w:rPr>
                    <w:bCs/>
                    <w:sz w:val="24"/>
                    <w:szCs w:val="24"/>
                  </w:rPr>
                  <w:fldChar w:fldCharType="begin"/>
                </w:r>
                <w:r w:rsidR="00636B0E" w:rsidRPr="00F546CA">
                  <w:rPr>
                    <w:bCs/>
                  </w:rPr>
                  <w:instrText xml:space="preserve"> NUMPAGES  </w:instrText>
                </w:r>
                <w:r w:rsidR="00636B0E" w:rsidRPr="00F546CA">
                  <w:rPr>
                    <w:bCs/>
                    <w:sz w:val="24"/>
                    <w:szCs w:val="24"/>
                  </w:rPr>
                  <w:fldChar w:fldCharType="separate"/>
                </w:r>
                <w:r w:rsidR="00502381">
                  <w:rPr>
                    <w:bCs/>
                    <w:noProof/>
                  </w:rPr>
                  <w:t>6</w:t>
                </w:r>
                <w:r w:rsidR="00636B0E" w:rsidRPr="00F546CA">
                  <w:rPr>
                    <w:bCs/>
                    <w:sz w:val="24"/>
                    <w:szCs w:val="24"/>
                  </w:rPr>
                  <w:fldChar w:fldCharType="end"/>
                </w:r>
              </w:sdtContent>
            </w:sdt>
          </w:sdtContent>
        </w:sdt>
        <w:r w:rsidR="00636B0E">
          <w:t xml:space="preserve"> </w:t>
        </w:r>
      </w:sdtContent>
    </w:sdt>
  </w:p>
  <w:p w14:paraId="706AA6C8" w14:textId="77777777" w:rsidR="00636B0E" w:rsidRDefault="009C206C">
    <w:pPr>
      <w:pStyle w:val="Footer"/>
      <w:rPr>
        <w:rStyle w:val="Hyperlink"/>
        <w:szCs w:val="18"/>
      </w:rPr>
    </w:pPr>
    <w:hyperlink r:id="rId1" w:history="1">
      <w:r w:rsidR="00636B0E" w:rsidRPr="00E863C4">
        <w:rPr>
          <w:rStyle w:val="Hyperlink"/>
          <w:szCs w:val="18"/>
        </w:rPr>
        <w:t>MBS Online</w:t>
      </w:r>
    </w:hyperlink>
  </w:p>
  <w:p w14:paraId="468D2F08" w14:textId="65B8A2AB" w:rsidR="00636B0E" w:rsidRPr="009B32BA" w:rsidRDefault="00CA311E">
    <w:pPr>
      <w:pStyle w:val="Footer"/>
      <w:rPr>
        <w:szCs w:val="18"/>
      </w:rPr>
    </w:pPr>
    <w:r w:rsidRPr="00F90CCF">
      <w:t xml:space="preserve">Last updated – </w:t>
    </w:r>
    <w:r w:rsidR="00502381">
      <w:t>1 July</w:t>
    </w:r>
    <w:r w:rsidR="00636B0E" w:rsidRPr="00F90CCF">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B55DE" w14:textId="77777777" w:rsidR="00636B0E" w:rsidRDefault="00636B0E" w:rsidP="006D1088">
      <w:pPr>
        <w:spacing w:after="0" w:line="240" w:lineRule="auto"/>
      </w:pPr>
      <w:r>
        <w:separator/>
      </w:r>
    </w:p>
  </w:footnote>
  <w:footnote w:type="continuationSeparator" w:id="0">
    <w:p w14:paraId="089BECC8" w14:textId="77777777" w:rsidR="00636B0E" w:rsidRDefault="00636B0E"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1DAB" w14:textId="75603773" w:rsidR="00636B0E" w:rsidRDefault="00636B0E">
    <w:pPr>
      <w:pStyle w:val="Header"/>
    </w:pPr>
    <w:r w:rsidRPr="006D1088">
      <w:rPr>
        <w:noProof/>
        <w:lang w:eastAsia="en-AU"/>
      </w:rPr>
      <w:drawing>
        <wp:anchor distT="0" distB="0" distL="114300" distR="114300" simplePos="0" relativeHeight="251657216" behindDoc="1" locked="0" layoutInCell="1" allowOverlap="1" wp14:anchorId="231A474F" wp14:editId="422E752B">
          <wp:simplePos x="0" y="0"/>
          <wp:positionH relativeFrom="page">
            <wp:align>left</wp:align>
          </wp:positionH>
          <wp:positionV relativeFrom="paragraph">
            <wp:posOffset>-449580</wp:posOffset>
          </wp:positionV>
          <wp:extent cx="7643250" cy="1611213"/>
          <wp:effectExtent l="0" t="0" r="0" b="8255"/>
          <wp:wrapNone/>
          <wp:docPr id="1" name="Picture 1"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4A5B"/>
    <w:multiLevelType w:val="hybridMultilevel"/>
    <w:tmpl w:val="B1F22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4070D"/>
    <w:multiLevelType w:val="hybridMultilevel"/>
    <w:tmpl w:val="3D229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706F9"/>
    <w:multiLevelType w:val="hybridMultilevel"/>
    <w:tmpl w:val="54244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0B165D"/>
    <w:multiLevelType w:val="hybridMultilevel"/>
    <w:tmpl w:val="67745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D3EFF"/>
    <w:multiLevelType w:val="hybridMultilevel"/>
    <w:tmpl w:val="DD2ED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152A5"/>
    <w:multiLevelType w:val="hybridMultilevel"/>
    <w:tmpl w:val="A07A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C3417"/>
    <w:multiLevelType w:val="hybridMultilevel"/>
    <w:tmpl w:val="1B0CF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7476F"/>
    <w:multiLevelType w:val="hybridMultilevel"/>
    <w:tmpl w:val="49DA8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9E35A91"/>
    <w:multiLevelType w:val="hybridMultilevel"/>
    <w:tmpl w:val="DAE06CC6"/>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7916DF7E">
      <w:start w:val="1"/>
      <w:numFmt w:val="bullet"/>
      <w:lvlText w:val="o"/>
      <w:lvlJc w:val="left"/>
      <w:pPr>
        <w:ind w:left="794" w:hanging="227"/>
      </w:pPr>
      <w:rPr>
        <w:rFonts w:ascii="Courier New" w:hAnsi="Courier New" w:hint="default"/>
      </w:rPr>
    </w:lvl>
    <w:lvl w:ilvl="2" w:tplc="5DF4BDF4">
      <w:start w:val="1"/>
      <w:numFmt w:val="bullet"/>
      <w:lvlText w:val=""/>
      <w:lvlJc w:val="left"/>
      <w:pPr>
        <w:ind w:left="1701" w:hanging="283"/>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8C118F"/>
    <w:multiLevelType w:val="hybridMultilevel"/>
    <w:tmpl w:val="7AE6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A7CF5"/>
    <w:multiLevelType w:val="hybridMultilevel"/>
    <w:tmpl w:val="32C88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9721C"/>
    <w:multiLevelType w:val="hybridMultilevel"/>
    <w:tmpl w:val="DF42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D03230"/>
    <w:multiLevelType w:val="hybridMultilevel"/>
    <w:tmpl w:val="257E9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224CD1"/>
    <w:multiLevelType w:val="hybridMultilevel"/>
    <w:tmpl w:val="6C987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DC3F75"/>
    <w:multiLevelType w:val="hybridMultilevel"/>
    <w:tmpl w:val="6BF2B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2D35C2"/>
    <w:multiLevelType w:val="hybridMultilevel"/>
    <w:tmpl w:val="29367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5204BC"/>
    <w:multiLevelType w:val="hybridMultilevel"/>
    <w:tmpl w:val="AB1A9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22608"/>
    <w:multiLevelType w:val="hybridMultilevel"/>
    <w:tmpl w:val="6368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876A93"/>
    <w:multiLevelType w:val="hybridMultilevel"/>
    <w:tmpl w:val="98D0F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9947EA"/>
    <w:multiLevelType w:val="hybridMultilevel"/>
    <w:tmpl w:val="543CE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4051FF"/>
    <w:multiLevelType w:val="hybridMultilevel"/>
    <w:tmpl w:val="C95A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4E729C"/>
    <w:multiLevelType w:val="hybridMultilevel"/>
    <w:tmpl w:val="22FA4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6E3469"/>
    <w:multiLevelType w:val="hybridMultilevel"/>
    <w:tmpl w:val="BFD0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1519D4"/>
    <w:multiLevelType w:val="hybridMultilevel"/>
    <w:tmpl w:val="22C40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9F502E"/>
    <w:multiLevelType w:val="hybridMultilevel"/>
    <w:tmpl w:val="80D60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1E7F5B"/>
    <w:multiLevelType w:val="hybridMultilevel"/>
    <w:tmpl w:val="59C41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861032"/>
    <w:multiLevelType w:val="hybridMultilevel"/>
    <w:tmpl w:val="DD049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8A6584"/>
    <w:multiLevelType w:val="hybridMultilevel"/>
    <w:tmpl w:val="A440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B4281C"/>
    <w:multiLevelType w:val="hybridMultilevel"/>
    <w:tmpl w:val="D18A4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FE7512"/>
    <w:multiLevelType w:val="hybridMultilevel"/>
    <w:tmpl w:val="EC3C3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4D50A4"/>
    <w:multiLevelType w:val="hybridMultilevel"/>
    <w:tmpl w:val="BB22A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495134"/>
    <w:multiLevelType w:val="hybridMultilevel"/>
    <w:tmpl w:val="11BEF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686C27"/>
    <w:multiLevelType w:val="hybridMultilevel"/>
    <w:tmpl w:val="A6E6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F43826"/>
    <w:multiLevelType w:val="hybridMultilevel"/>
    <w:tmpl w:val="A84C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7B5872"/>
    <w:multiLevelType w:val="hybridMultilevel"/>
    <w:tmpl w:val="AA3C6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85A"/>
    <w:multiLevelType w:val="hybridMultilevel"/>
    <w:tmpl w:val="939E8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5"/>
  </w:num>
  <w:num w:numId="4">
    <w:abstractNumId w:val="27"/>
  </w:num>
  <w:num w:numId="5">
    <w:abstractNumId w:val="35"/>
  </w:num>
  <w:num w:numId="6">
    <w:abstractNumId w:val="1"/>
  </w:num>
  <w:num w:numId="7">
    <w:abstractNumId w:val="10"/>
  </w:num>
  <w:num w:numId="8">
    <w:abstractNumId w:val="23"/>
  </w:num>
  <w:num w:numId="9">
    <w:abstractNumId w:val="9"/>
  </w:num>
  <w:num w:numId="10">
    <w:abstractNumId w:val="11"/>
  </w:num>
  <w:num w:numId="11">
    <w:abstractNumId w:val="31"/>
  </w:num>
  <w:num w:numId="12">
    <w:abstractNumId w:val="32"/>
  </w:num>
  <w:num w:numId="13">
    <w:abstractNumId w:val="18"/>
  </w:num>
  <w:num w:numId="14">
    <w:abstractNumId w:val="25"/>
  </w:num>
  <w:num w:numId="15">
    <w:abstractNumId w:val="22"/>
  </w:num>
  <w:num w:numId="16">
    <w:abstractNumId w:val="17"/>
  </w:num>
  <w:num w:numId="17">
    <w:abstractNumId w:val="33"/>
  </w:num>
  <w:num w:numId="18">
    <w:abstractNumId w:val="26"/>
  </w:num>
  <w:num w:numId="19">
    <w:abstractNumId w:val="13"/>
  </w:num>
  <w:num w:numId="20">
    <w:abstractNumId w:val="20"/>
  </w:num>
  <w:num w:numId="21">
    <w:abstractNumId w:val="14"/>
  </w:num>
  <w:num w:numId="22">
    <w:abstractNumId w:val="3"/>
  </w:num>
  <w:num w:numId="23">
    <w:abstractNumId w:val="19"/>
  </w:num>
  <w:num w:numId="24">
    <w:abstractNumId w:val="5"/>
  </w:num>
  <w:num w:numId="25">
    <w:abstractNumId w:val="29"/>
  </w:num>
  <w:num w:numId="26">
    <w:abstractNumId w:val="2"/>
  </w:num>
  <w:num w:numId="27">
    <w:abstractNumId w:val="24"/>
  </w:num>
  <w:num w:numId="28">
    <w:abstractNumId w:val="12"/>
  </w:num>
  <w:num w:numId="29">
    <w:abstractNumId w:val="34"/>
  </w:num>
  <w:num w:numId="30">
    <w:abstractNumId w:val="0"/>
  </w:num>
  <w:num w:numId="31">
    <w:abstractNumId w:val="21"/>
  </w:num>
  <w:num w:numId="32">
    <w:abstractNumId w:val="28"/>
  </w:num>
  <w:num w:numId="33">
    <w:abstractNumId w:val="6"/>
  </w:num>
  <w:num w:numId="34">
    <w:abstractNumId w:val="30"/>
  </w:num>
  <w:num w:numId="35">
    <w:abstractNumId w:val="16"/>
  </w:num>
  <w:num w:numId="3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10"/>
    <w:rsid w:val="000074DD"/>
    <w:rsid w:val="0001798A"/>
    <w:rsid w:val="000337A4"/>
    <w:rsid w:val="000367AA"/>
    <w:rsid w:val="00044217"/>
    <w:rsid w:val="00045810"/>
    <w:rsid w:val="00081B97"/>
    <w:rsid w:val="0009225E"/>
    <w:rsid w:val="000A2F0A"/>
    <w:rsid w:val="000B01AE"/>
    <w:rsid w:val="000B233B"/>
    <w:rsid w:val="000B2A1B"/>
    <w:rsid w:val="000B616E"/>
    <w:rsid w:val="000C2143"/>
    <w:rsid w:val="000C3B83"/>
    <w:rsid w:val="000D1778"/>
    <w:rsid w:val="000F2165"/>
    <w:rsid w:val="000F737E"/>
    <w:rsid w:val="001014EB"/>
    <w:rsid w:val="00102885"/>
    <w:rsid w:val="0010555F"/>
    <w:rsid w:val="00111196"/>
    <w:rsid w:val="00121100"/>
    <w:rsid w:val="00124E0B"/>
    <w:rsid w:val="00130343"/>
    <w:rsid w:val="00135417"/>
    <w:rsid w:val="00137B05"/>
    <w:rsid w:val="00141BC3"/>
    <w:rsid w:val="001432AF"/>
    <w:rsid w:val="00150C0D"/>
    <w:rsid w:val="00151636"/>
    <w:rsid w:val="00155BD4"/>
    <w:rsid w:val="00167446"/>
    <w:rsid w:val="0017279A"/>
    <w:rsid w:val="00181B52"/>
    <w:rsid w:val="0018507E"/>
    <w:rsid w:val="0019170A"/>
    <w:rsid w:val="001A0DFF"/>
    <w:rsid w:val="001A1CAE"/>
    <w:rsid w:val="001A6FE6"/>
    <w:rsid w:val="001A7FB7"/>
    <w:rsid w:val="001C5C56"/>
    <w:rsid w:val="001E259D"/>
    <w:rsid w:val="001E4DE0"/>
    <w:rsid w:val="001E6F63"/>
    <w:rsid w:val="001F49E8"/>
    <w:rsid w:val="00200902"/>
    <w:rsid w:val="00201831"/>
    <w:rsid w:val="00203F3E"/>
    <w:rsid w:val="00204B01"/>
    <w:rsid w:val="00210EF2"/>
    <w:rsid w:val="00215A92"/>
    <w:rsid w:val="0022036E"/>
    <w:rsid w:val="00221334"/>
    <w:rsid w:val="002279B5"/>
    <w:rsid w:val="002427E0"/>
    <w:rsid w:val="00243D1C"/>
    <w:rsid w:val="00253CDA"/>
    <w:rsid w:val="00256296"/>
    <w:rsid w:val="0026124E"/>
    <w:rsid w:val="002648D6"/>
    <w:rsid w:val="0026502E"/>
    <w:rsid w:val="00273014"/>
    <w:rsid w:val="00276A29"/>
    <w:rsid w:val="00281820"/>
    <w:rsid w:val="00291041"/>
    <w:rsid w:val="002A3C7C"/>
    <w:rsid w:val="002A4A05"/>
    <w:rsid w:val="002A5A70"/>
    <w:rsid w:val="002B3FCB"/>
    <w:rsid w:val="002B6E10"/>
    <w:rsid w:val="002B70AC"/>
    <w:rsid w:val="002D2CC5"/>
    <w:rsid w:val="002E6682"/>
    <w:rsid w:val="003122B4"/>
    <w:rsid w:val="00337919"/>
    <w:rsid w:val="00345DC5"/>
    <w:rsid w:val="003513B8"/>
    <w:rsid w:val="00352174"/>
    <w:rsid w:val="00352F9A"/>
    <w:rsid w:val="00355E8A"/>
    <w:rsid w:val="00356CDE"/>
    <w:rsid w:val="00360EAE"/>
    <w:rsid w:val="00361D3E"/>
    <w:rsid w:val="00363819"/>
    <w:rsid w:val="00374AE3"/>
    <w:rsid w:val="003844D9"/>
    <w:rsid w:val="003A2FBD"/>
    <w:rsid w:val="003A52BA"/>
    <w:rsid w:val="003B56AD"/>
    <w:rsid w:val="003D0206"/>
    <w:rsid w:val="003D418E"/>
    <w:rsid w:val="003D5CEF"/>
    <w:rsid w:val="003E0945"/>
    <w:rsid w:val="003E0EB0"/>
    <w:rsid w:val="003E6457"/>
    <w:rsid w:val="003E6884"/>
    <w:rsid w:val="003F2620"/>
    <w:rsid w:val="003F6682"/>
    <w:rsid w:val="00402153"/>
    <w:rsid w:val="00405506"/>
    <w:rsid w:val="00420023"/>
    <w:rsid w:val="00425089"/>
    <w:rsid w:val="00427D7F"/>
    <w:rsid w:val="00432021"/>
    <w:rsid w:val="004324B6"/>
    <w:rsid w:val="00433682"/>
    <w:rsid w:val="004354A9"/>
    <w:rsid w:val="0043744D"/>
    <w:rsid w:val="00445086"/>
    <w:rsid w:val="00445A3E"/>
    <w:rsid w:val="004511F2"/>
    <w:rsid w:val="004521A7"/>
    <w:rsid w:val="00471B48"/>
    <w:rsid w:val="00484C45"/>
    <w:rsid w:val="00485895"/>
    <w:rsid w:val="004933FA"/>
    <w:rsid w:val="00494B72"/>
    <w:rsid w:val="00496081"/>
    <w:rsid w:val="004A1348"/>
    <w:rsid w:val="004B243F"/>
    <w:rsid w:val="004C2B08"/>
    <w:rsid w:val="004C70DD"/>
    <w:rsid w:val="004D2C7C"/>
    <w:rsid w:val="004D309E"/>
    <w:rsid w:val="004D71C4"/>
    <w:rsid w:val="004E04F5"/>
    <w:rsid w:val="004E52A2"/>
    <w:rsid w:val="004F0AA6"/>
    <w:rsid w:val="004F272F"/>
    <w:rsid w:val="004F7E8D"/>
    <w:rsid w:val="00502381"/>
    <w:rsid w:val="00510063"/>
    <w:rsid w:val="00525223"/>
    <w:rsid w:val="005261D0"/>
    <w:rsid w:val="0054242B"/>
    <w:rsid w:val="00542F07"/>
    <w:rsid w:val="00543427"/>
    <w:rsid w:val="00545A8A"/>
    <w:rsid w:val="00550525"/>
    <w:rsid w:val="00552645"/>
    <w:rsid w:val="005527FD"/>
    <w:rsid w:val="00553847"/>
    <w:rsid w:val="00564B90"/>
    <w:rsid w:val="00570B62"/>
    <w:rsid w:val="00583515"/>
    <w:rsid w:val="00583AED"/>
    <w:rsid w:val="00595BBD"/>
    <w:rsid w:val="0059641E"/>
    <w:rsid w:val="005E1472"/>
    <w:rsid w:val="005F4E3D"/>
    <w:rsid w:val="006005AF"/>
    <w:rsid w:val="006116F4"/>
    <w:rsid w:val="00613310"/>
    <w:rsid w:val="006173AC"/>
    <w:rsid w:val="0062100F"/>
    <w:rsid w:val="00621A16"/>
    <w:rsid w:val="00630810"/>
    <w:rsid w:val="00634880"/>
    <w:rsid w:val="00636B0E"/>
    <w:rsid w:val="006425BA"/>
    <w:rsid w:val="006507DA"/>
    <w:rsid w:val="00650B9A"/>
    <w:rsid w:val="00653345"/>
    <w:rsid w:val="006545AD"/>
    <w:rsid w:val="00654680"/>
    <w:rsid w:val="00655D74"/>
    <w:rsid w:val="00656F11"/>
    <w:rsid w:val="00661565"/>
    <w:rsid w:val="006730E9"/>
    <w:rsid w:val="00683235"/>
    <w:rsid w:val="00684D37"/>
    <w:rsid w:val="006938EB"/>
    <w:rsid w:val="00694030"/>
    <w:rsid w:val="006961D6"/>
    <w:rsid w:val="006A175B"/>
    <w:rsid w:val="006A257C"/>
    <w:rsid w:val="006C1378"/>
    <w:rsid w:val="006C5BDB"/>
    <w:rsid w:val="006D04CC"/>
    <w:rsid w:val="006D1088"/>
    <w:rsid w:val="006D2A35"/>
    <w:rsid w:val="006D48D3"/>
    <w:rsid w:val="006E4F95"/>
    <w:rsid w:val="006F1DAD"/>
    <w:rsid w:val="006F5785"/>
    <w:rsid w:val="007108CD"/>
    <w:rsid w:val="0071212A"/>
    <w:rsid w:val="00726103"/>
    <w:rsid w:val="00727F4C"/>
    <w:rsid w:val="0073312C"/>
    <w:rsid w:val="00734F6B"/>
    <w:rsid w:val="00736D31"/>
    <w:rsid w:val="00746CF8"/>
    <w:rsid w:val="007552EF"/>
    <w:rsid w:val="007645F6"/>
    <w:rsid w:val="0077058B"/>
    <w:rsid w:val="00777029"/>
    <w:rsid w:val="00781867"/>
    <w:rsid w:val="007851A7"/>
    <w:rsid w:val="00794645"/>
    <w:rsid w:val="007A0F3E"/>
    <w:rsid w:val="007C4513"/>
    <w:rsid w:val="007C7A0B"/>
    <w:rsid w:val="007D1D3A"/>
    <w:rsid w:val="007E2604"/>
    <w:rsid w:val="007E2749"/>
    <w:rsid w:val="007E33D2"/>
    <w:rsid w:val="00820202"/>
    <w:rsid w:val="008224EA"/>
    <w:rsid w:val="00834903"/>
    <w:rsid w:val="00834D28"/>
    <w:rsid w:val="008352AC"/>
    <w:rsid w:val="00840473"/>
    <w:rsid w:val="00841B9B"/>
    <w:rsid w:val="00842080"/>
    <w:rsid w:val="00845C67"/>
    <w:rsid w:val="00851D19"/>
    <w:rsid w:val="00852651"/>
    <w:rsid w:val="008530FA"/>
    <w:rsid w:val="008553F7"/>
    <w:rsid w:val="00864E28"/>
    <w:rsid w:val="008733B2"/>
    <w:rsid w:val="0087641E"/>
    <w:rsid w:val="008766AD"/>
    <w:rsid w:val="00881219"/>
    <w:rsid w:val="00886EEF"/>
    <w:rsid w:val="008936CF"/>
    <w:rsid w:val="008957B9"/>
    <w:rsid w:val="008A6F4F"/>
    <w:rsid w:val="008B1BED"/>
    <w:rsid w:val="008C04CE"/>
    <w:rsid w:val="008E258C"/>
    <w:rsid w:val="008E4C9B"/>
    <w:rsid w:val="008E7B7C"/>
    <w:rsid w:val="008F1594"/>
    <w:rsid w:val="008F2E7A"/>
    <w:rsid w:val="008F4B45"/>
    <w:rsid w:val="008F60F0"/>
    <w:rsid w:val="009000AA"/>
    <w:rsid w:val="0090265D"/>
    <w:rsid w:val="00907B4A"/>
    <w:rsid w:val="0091706C"/>
    <w:rsid w:val="00921291"/>
    <w:rsid w:val="00922755"/>
    <w:rsid w:val="00923966"/>
    <w:rsid w:val="00925595"/>
    <w:rsid w:val="009258F4"/>
    <w:rsid w:val="00934ED4"/>
    <w:rsid w:val="00941379"/>
    <w:rsid w:val="00942A31"/>
    <w:rsid w:val="0094532F"/>
    <w:rsid w:val="009542F2"/>
    <w:rsid w:val="009562F4"/>
    <w:rsid w:val="009676E7"/>
    <w:rsid w:val="00977405"/>
    <w:rsid w:val="00980E56"/>
    <w:rsid w:val="00983045"/>
    <w:rsid w:val="0098399A"/>
    <w:rsid w:val="009840B4"/>
    <w:rsid w:val="009858E2"/>
    <w:rsid w:val="009A6B12"/>
    <w:rsid w:val="009B32BA"/>
    <w:rsid w:val="009B51E7"/>
    <w:rsid w:val="009B5206"/>
    <w:rsid w:val="009B7859"/>
    <w:rsid w:val="009C1A29"/>
    <w:rsid w:val="009C206C"/>
    <w:rsid w:val="009C5A38"/>
    <w:rsid w:val="009C742B"/>
    <w:rsid w:val="009D0B98"/>
    <w:rsid w:val="009D1906"/>
    <w:rsid w:val="009E4A9E"/>
    <w:rsid w:val="009E66EE"/>
    <w:rsid w:val="009E6DE2"/>
    <w:rsid w:val="009F52D4"/>
    <w:rsid w:val="00A006BA"/>
    <w:rsid w:val="00A24056"/>
    <w:rsid w:val="00A26321"/>
    <w:rsid w:val="00A3287F"/>
    <w:rsid w:val="00A37CE3"/>
    <w:rsid w:val="00A51FC5"/>
    <w:rsid w:val="00A5339D"/>
    <w:rsid w:val="00A5641C"/>
    <w:rsid w:val="00A60FB7"/>
    <w:rsid w:val="00A64177"/>
    <w:rsid w:val="00A7172E"/>
    <w:rsid w:val="00A77FC9"/>
    <w:rsid w:val="00A87D37"/>
    <w:rsid w:val="00A91196"/>
    <w:rsid w:val="00A93CB3"/>
    <w:rsid w:val="00AA41CD"/>
    <w:rsid w:val="00AA5232"/>
    <w:rsid w:val="00AA69A9"/>
    <w:rsid w:val="00AB0A13"/>
    <w:rsid w:val="00AB53A4"/>
    <w:rsid w:val="00AB57A3"/>
    <w:rsid w:val="00AC7828"/>
    <w:rsid w:val="00AD48B1"/>
    <w:rsid w:val="00AE2F7E"/>
    <w:rsid w:val="00AE423E"/>
    <w:rsid w:val="00AE525E"/>
    <w:rsid w:val="00AE53A3"/>
    <w:rsid w:val="00AE6945"/>
    <w:rsid w:val="00AF2F9B"/>
    <w:rsid w:val="00B04DA0"/>
    <w:rsid w:val="00B06E28"/>
    <w:rsid w:val="00B13AA5"/>
    <w:rsid w:val="00B15CE8"/>
    <w:rsid w:val="00B17E27"/>
    <w:rsid w:val="00B2044B"/>
    <w:rsid w:val="00B23A4C"/>
    <w:rsid w:val="00B23AF1"/>
    <w:rsid w:val="00B31FBA"/>
    <w:rsid w:val="00B378D4"/>
    <w:rsid w:val="00B3793F"/>
    <w:rsid w:val="00B37D92"/>
    <w:rsid w:val="00B37FAE"/>
    <w:rsid w:val="00B4302C"/>
    <w:rsid w:val="00B47E3F"/>
    <w:rsid w:val="00B542FB"/>
    <w:rsid w:val="00B650BE"/>
    <w:rsid w:val="00B677E2"/>
    <w:rsid w:val="00B70743"/>
    <w:rsid w:val="00B714E8"/>
    <w:rsid w:val="00B7675E"/>
    <w:rsid w:val="00B83E3D"/>
    <w:rsid w:val="00B90DB5"/>
    <w:rsid w:val="00BA0109"/>
    <w:rsid w:val="00BA7CA8"/>
    <w:rsid w:val="00BB25DE"/>
    <w:rsid w:val="00BB5FAB"/>
    <w:rsid w:val="00BC50C1"/>
    <w:rsid w:val="00BD1C20"/>
    <w:rsid w:val="00BD2402"/>
    <w:rsid w:val="00BD2649"/>
    <w:rsid w:val="00BE2018"/>
    <w:rsid w:val="00BE505F"/>
    <w:rsid w:val="00BF00A9"/>
    <w:rsid w:val="00BF426F"/>
    <w:rsid w:val="00C0126E"/>
    <w:rsid w:val="00C11326"/>
    <w:rsid w:val="00C11C1C"/>
    <w:rsid w:val="00C131B4"/>
    <w:rsid w:val="00C131D7"/>
    <w:rsid w:val="00C13ABA"/>
    <w:rsid w:val="00C23DC4"/>
    <w:rsid w:val="00C4491F"/>
    <w:rsid w:val="00C605D3"/>
    <w:rsid w:val="00C61A31"/>
    <w:rsid w:val="00C66700"/>
    <w:rsid w:val="00C74DB6"/>
    <w:rsid w:val="00C81123"/>
    <w:rsid w:val="00CA311E"/>
    <w:rsid w:val="00CA5F76"/>
    <w:rsid w:val="00CB3388"/>
    <w:rsid w:val="00CC28E2"/>
    <w:rsid w:val="00CC39C8"/>
    <w:rsid w:val="00CF1D41"/>
    <w:rsid w:val="00CF45CC"/>
    <w:rsid w:val="00D061E9"/>
    <w:rsid w:val="00D11EDB"/>
    <w:rsid w:val="00D1394A"/>
    <w:rsid w:val="00D16EF3"/>
    <w:rsid w:val="00D3244E"/>
    <w:rsid w:val="00D36F35"/>
    <w:rsid w:val="00D37294"/>
    <w:rsid w:val="00D3741F"/>
    <w:rsid w:val="00D422E5"/>
    <w:rsid w:val="00D56070"/>
    <w:rsid w:val="00D62923"/>
    <w:rsid w:val="00D6302E"/>
    <w:rsid w:val="00D67E9A"/>
    <w:rsid w:val="00D76659"/>
    <w:rsid w:val="00D832B0"/>
    <w:rsid w:val="00D86EFC"/>
    <w:rsid w:val="00DA50D6"/>
    <w:rsid w:val="00DB54A4"/>
    <w:rsid w:val="00DB5F69"/>
    <w:rsid w:val="00DC127A"/>
    <w:rsid w:val="00DC356C"/>
    <w:rsid w:val="00DD2B7C"/>
    <w:rsid w:val="00DE22E2"/>
    <w:rsid w:val="00DF7606"/>
    <w:rsid w:val="00DF7C32"/>
    <w:rsid w:val="00E00B27"/>
    <w:rsid w:val="00E0587C"/>
    <w:rsid w:val="00E135B8"/>
    <w:rsid w:val="00E16637"/>
    <w:rsid w:val="00E27F7D"/>
    <w:rsid w:val="00E370F4"/>
    <w:rsid w:val="00E43F82"/>
    <w:rsid w:val="00E4614A"/>
    <w:rsid w:val="00E530F4"/>
    <w:rsid w:val="00E669BD"/>
    <w:rsid w:val="00E7403A"/>
    <w:rsid w:val="00E7460D"/>
    <w:rsid w:val="00E81287"/>
    <w:rsid w:val="00E8532F"/>
    <w:rsid w:val="00E906B0"/>
    <w:rsid w:val="00E9481A"/>
    <w:rsid w:val="00EA2CDC"/>
    <w:rsid w:val="00EB74D2"/>
    <w:rsid w:val="00EC1B51"/>
    <w:rsid w:val="00EC2DBE"/>
    <w:rsid w:val="00ED1055"/>
    <w:rsid w:val="00ED2B70"/>
    <w:rsid w:val="00ED60EE"/>
    <w:rsid w:val="00F0162F"/>
    <w:rsid w:val="00F074CE"/>
    <w:rsid w:val="00F0776F"/>
    <w:rsid w:val="00F07E89"/>
    <w:rsid w:val="00F2048D"/>
    <w:rsid w:val="00F22823"/>
    <w:rsid w:val="00F2381C"/>
    <w:rsid w:val="00F24F33"/>
    <w:rsid w:val="00F33D07"/>
    <w:rsid w:val="00F4507E"/>
    <w:rsid w:val="00F50491"/>
    <w:rsid w:val="00F50994"/>
    <w:rsid w:val="00F666EE"/>
    <w:rsid w:val="00F74AD4"/>
    <w:rsid w:val="00F74DFC"/>
    <w:rsid w:val="00F90CCF"/>
    <w:rsid w:val="00F93F71"/>
    <w:rsid w:val="00FB4DEF"/>
    <w:rsid w:val="00FC690D"/>
    <w:rsid w:val="00FD1E77"/>
    <w:rsid w:val="00FE2AE8"/>
    <w:rsid w:val="00FE50B6"/>
    <w:rsid w:val="00FF0A0A"/>
    <w:rsid w:val="00FF3729"/>
    <w:rsid w:val="00FF3A75"/>
    <w:rsid w:val="00FF3B72"/>
    <w:rsid w:val="00FF46B9"/>
    <w:rsid w:val="00FF54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4ED42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uiPriority w:val="34"/>
    <w:qFormat/>
    <w:rsid w:val="00135417"/>
    <w:pPr>
      <w:numPr>
        <w:numId w:val="1"/>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16948">
      <w:bodyDiv w:val="1"/>
      <w:marLeft w:val="0"/>
      <w:marRight w:val="0"/>
      <w:marTop w:val="0"/>
      <w:marBottom w:val="0"/>
      <w:divBdr>
        <w:top w:val="none" w:sz="0" w:space="0" w:color="auto"/>
        <w:left w:val="none" w:sz="0" w:space="0" w:color="auto"/>
        <w:bottom w:val="none" w:sz="0" w:space="0" w:color="auto"/>
        <w:right w:val="none" w:sz="0" w:space="0" w:color="auto"/>
      </w:divBdr>
    </w:div>
    <w:div w:id="347171995">
      <w:bodyDiv w:val="1"/>
      <w:marLeft w:val="0"/>
      <w:marRight w:val="0"/>
      <w:marTop w:val="0"/>
      <w:marBottom w:val="0"/>
      <w:divBdr>
        <w:top w:val="none" w:sz="0" w:space="0" w:color="auto"/>
        <w:left w:val="none" w:sz="0" w:space="0" w:color="auto"/>
        <w:bottom w:val="none" w:sz="0" w:space="0" w:color="auto"/>
        <w:right w:val="none" w:sz="0" w:space="0" w:color="auto"/>
      </w:divBdr>
    </w:div>
    <w:div w:id="412354901">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33423241">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452632730">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 w:id="21273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july2021MBSchanges.orthopaedics@health.gov.au" TargetMode="External"/><Relationship Id="rId5" Type="http://schemas.openxmlformats.org/officeDocument/2006/relationships/footnotes" Target="footnotes.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health.gov.au/resources/publications/taskforce-final-report-orthopaedic-mbs-item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2021-07-07T03:40:00Z</dcterms:created>
  <dcterms:modified xsi:type="dcterms:W3CDTF">2021-07-08T01:57:00Z</dcterms:modified>
</cp:coreProperties>
</file>