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1E46C" w14:textId="2FCEB930" w:rsidR="008B3C98" w:rsidRDefault="00F105E0" w:rsidP="008B3C98">
      <w:pPr>
        <w:pStyle w:val="Heading1"/>
      </w:pPr>
      <w:r>
        <w:t xml:space="preserve">Participating </w:t>
      </w:r>
      <w:r w:rsidR="00A55978">
        <w:t>M</w:t>
      </w:r>
      <w:r>
        <w:t>idwives</w:t>
      </w:r>
      <w:r w:rsidR="00A55978">
        <w:t>’</w:t>
      </w:r>
      <w:r>
        <w:t xml:space="preserve"> </w:t>
      </w:r>
      <w:r w:rsidR="00A55978">
        <w:t>S</w:t>
      </w:r>
      <w:r>
        <w:t>ervices</w:t>
      </w:r>
      <w:r w:rsidR="008B3C98">
        <w:t xml:space="preserve"> FAQs</w:t>
      </w:r>
    </w:p>
    <w:p w14:paraId="5F14EC0F" w14:textId="6AEE98C1" w:rsidR="00907B4A" w:rsidRPr="00BA1B9D" w:rsidRDefault="00907B4A" w:rsidP="006F117C">
      <w:r w:rsidRPr="00BA1B9D">
        <w:t>Last updated:</w:t>
      </w:r>
      <w:r w:rsidR="00F105E0">
        <w:t xml:space="preserve"> </w:t>
      </w:r>
      <w:r w:rsidR="00F336EA">
        <w:t>1 March</w:t>
      </w:r>
      <w:r w:rsidR="00FB4CB1">
        <w:t xml:space="preserve"> 20</w:t>
      </w:r>
      <w:r w:rsidR="003828FD">
        <w:t>22</w:t>
      </w:r>
    </w:p>
    <w:p w14:paraId="40B0D9B6" w14:textId="77777777" w:rsidR="003E601E" w:rsidRPr="00215118" w:rsidRDefault="00B83C75" w:rsidP="00C812D8">
      <w:pPr>
        <w:pStyle w:val="ListParagraph"/>
      </w:pPr>
      <w:r w:rsidRPr="00215118">
        <w:t xml:space="preserve">This change is effective from </w:t>
      </w:r>
      <w:r w:rsidR="00F105E0">
        <w:t>1</w:t>
      </w:r>
      <w:r w:rsidRPr="00215118">
        <w:t xml:space="preserve"> M</w:t>
      </w:r>
      <w:r w:rsidR="00F105E0">
        <w:t>arch</w:t>
      </w:r>
      <w:r w:rsidRPr="00215118">
        <w:t xml:space="preserve"> </w:t>
      </w:r>
      <w:r w:rsidR="00BA1B9D" w:rsidRPr="00215118">
        <w:t>20</w:t>
      </w:r>
      <w:r w:rsidR="00F105E0">
        <w:t>22</w:t>
      </w:r>
      <w:r w:rsidR="000B4C5D">
        <w:t>.</w:t>
      </w:r>
      <w:r w:rsidR="00F57D06">
        <w:t xml:space="preserve"> </w:t>
      </w:r>
    </w:p>
    <w:p w14:paraId="5B9CE1EC" w14:textId="7C928A22" w:rsidR="00215118" w:rsidRDefault="00CA184A" w:rsidP="00C812D8">
      <w:pPr>
        <w:pStyle w:val="ListParagraph"/>
      </w:pPr>
      <w:r w:rsidRPr="00215118">
        <w:t xml:space="preserve">A factsheet summarising </w:t>
      </w:r>
      <w:r w:rsidR="00215118" w:rsidRPr="00215118">
        <w:t>what the change is</w:t>
      </w:r>
      <w:r w:rsidRPr="00215118">
        <w:t xml:space="preserve">, </w:t>
      </w:r>
      <w:r w:rsidR="00215118" w:rsidRPr="00215118">
        <w:t xml:space="preserve">why the change has been made, </w:t>
      </w:r>
      <w:r w:rsidRPr="00215118">
        <w:t xml:space="preserve">how it will affect </w:t>
      </w:r>
      <w:r w:rsidR="00FB4CB1">
        <w:t xml:space="preserve">stakeholders </w:t>
      </w:r>
      <w:r w:rsidRPr="00215118">
        <w:t xml:space="preserve">and what </w:t>
      </w:r>
      <w:r w:rsidR="00FB4CB1">
        <w:t>they</w:t>
      </w:r>
      <w:r w:rsidR="00FB4CB1" w:rsidRPr="00215118">
        <w:t xml:space="preserve"> </w:t>
      </w:r>
      <w:r w:rsidRPr="00215118">
        <w:t xml:space="preserve">need to do is available </w:t>
      </w:r>
      <w:r w:rsidR="00C812D8">
        <w:t>on MBS Online at</w:t>
      </w:r>
      <w:r w:rsidR="003828FD">
        <w:t xml:space="preserve"> </w:t>
      </w:r>
      <w:hyperlink r:id="rId7" w:history="1">
        <w:r w:rsidR="003828FD">
          <w:rPr>
            <w:rStyle w:val="Hyperlink"/>
          </w:rPr>
          <w:t>MBS online - Participating Midwives MBS Item Changes</w:t>
        </w:r>
      </w:hyperlink>
      <w:r w:rsidRPr="00215118">
        <w:t>.</w:t>
      </w:r>
    </w:p>
    <w:p w14:paraId="2C940D87" w14:textId="77777777" w:rsidR="00CA184A" w:rsidRPr="00215118" w:rsidRDefault="00215118" w:rsidP="00C812D8">
      <w:pPr>
        <w:pStyle w:val="ListParagraph"/>
      </w:pPr>
      <w:r>
        <w:t>M</w:t>
      </w:r>
      <w:r w:rsidR="00CA184A" w:rsidRPr="00215118">
        <w:t xml:space="preserve">ore information </w:t>
      </w:r>
      <w:r>
        <w:t xml:space="preserve">about the change is provided below, </w:t>
      </w:r>
      <w:r w:rsidR="00CA184A" w:rsidRPr="00215118">
        <w:t xml:space="preserve">in response to </w:t>
      </w:r>
      <w:r>
        <w:t xml:space="preserve">frequently </w:t>
      </w:r>
      <w:r w:rsidR="00CA184A" w:rsidRPr="00215118">
        <w:t xml:space="preserve">asked questions. If you cannot find the information you </w:t>
      </w:r>
      <w:r w:rsidR="008B3C98">
        <w:t>need</w:t>
      </w:r>
      <w:r w:rsidR="00CA184A" w:rsidRPr="00215118">
        <w:t xml:space="preserve">, please </w:t>
      </w:r>
      <w:r w:rsidR="00F57D06">
        <w:t xml:space="preserve">contact the Department </w:t>
      </w:r>
      <w:r w:rsidR="00971D9E">
        <w:t xml:space="preserve">of Health </w:t>
      </w:r>
      <w:r w:rsidR="00F57D06">
        <w:t xml:space="preserve">at </w:t>
      </w:r>
      <w:hyperlink r:id="rId8" w:history="1">
        <w:r w:rsidR="00F57D06" w:rsidRPr="00AF4D21">
          <w:rPr>
            <w:rStyle w:val="Hyperlink"/>
          </w:rPr>
          <w:t>askMBS@health.gov.au</w:t>
        </w:r>
      </w:hyperlink>
      <w:r w:rsidR="00F57D06">
        <w:t xml:space="preserve">. </w:t>
      </w:r>
    </w:p>
    <w:p w14:paraId="46D7B202" w14:textId="77777777" w:rsidR="00B23662" w:rsidRDefault="00CA184A" w:rsidP="00B23662">
      <w:pPr>
        <w:pStyle w:val="ListParagraph"/>
      </w:pPr>
      <w:r w:rsidRPr="00C812D8">
        <w:t xml:space="preserve">To subscribe </w:t>
      </w:r>
      <w:r w:rsidRPr="008B3C98">
        <w:t>to</w:t>
      </w:r>
      <w:r w:rsidRPr="00C812D8">
        <w:t xml:space="preserve"> future</w:t>
      </w:r>
      <w:r w:rsidRPr="00215118">
        <w:t xml:space="preserve"> MBS Online </w:t>
      </w:r>
      <w:r w:rsidR="00B23662" w:rsidRPr="00215118">
        <w:t>updates,</w:t>
      </w:r>
      <w:r w:rsidRPr="00215118">
        <w:t xml:space="preserve"> visit</w:t>
      </w:r>
      <w:r w:rsidR="00FB4CB1">
        <w:t xml:space="preserve"> </w:t>
      </w:r>
      <w:hyperlink r:id="rId9" w:history="1">
        <w:r w:rsidR="00FB4CB1" w:rsidRPr="00A8047C">
          <w:rPr>
            <w:rStyle w:val="Hyperlink"/>
          </w:rPr>
          <w:t>www.mbsonline.gov.au</w:t>
        </w:r>
      </w:hyperlink>
      <w:r w:rsidR="00FB4CB1">
        <w:t xml:space="preserve"> and click </w:t>
      </w:r>
      <w:r w:rsidR="001B0B09">
        <w:t>‘</w:t>
      </w:r>
      <w:r w:rsidR="00FB4CB1">
        <w:t>Subscribe</w:t>
      </w:r>
      <w:r w:rsidR="001B0B09">
        <w:t>’</w:t>
      </w:r>
      <w:r w:rsidR="00FB4CB1">
        <w:t>.</w:t>
      </w:r>
    </w:p>
    <w:p w14:paraId="5BD4D8E2" w14:textId="77777777" w:rsidR="00CA184A" w:rsidRDefault="00B553E8" w:rsidP="00B23662">
      <w:r>
        <w:rPr>
          <w:rStyle w:val="BookTitle"/>
        </w:rPr>
        <w:pict w14:anchorId="2C10F4A2">
          <v:rect id="_x0000_i1025" style="width:0;height:1.5pt" o:hralign="center" o:hrstd="t" o:hr="t" fillcolor="#a0a0a0" stroked="f"/>
        </w:pict>
      </w:r>
    </w:p>
    <w:p w14:paraId="0F912DFF" w14:textId="77777777" w:rsidR="00B83C75" w:rsidRPr="0046571A" w:rsidRDefault="00B83C75" w:rsidP="008B3C98">
      <w:pPr>
        <w:pStyle w:val="Heading2"/>
      </w:pPr>
      <w:r>
        <w:t xml:space="preserve">Why </w:t>
      </w:r>
      <w:r w:rsidR="003E601E">
        <w:t>are the changes being made</w:t>
      </w:r>
      <w:r w:rsidRPr="0046571A">
        <w:t>?</w:t>
      </w:r>
    </w:p>
    <w:p w14:paraId="4F9E4596" w14:textId="77777777" w:rsidR="001072B5" w:rsidRDefault="003E601E">
      <w:pPr>
        <w:rPr>
          <w:rFonts w:eastAsia="Times New Roman"/>
        </w:rPr>
      </w:pPr>
      <w:r>
        <w:rPr>
          <w:rFonts w:eastAsia="Times New Roman"/>
        </w:rPr>
        <w:t xml:space="preserve">From </w:t>
      </w:r>
      <w:r w:rsidR="00F105E0">
        <w:rPr>
          <w:rFonts w:eastAsia="Times New Roman"/>
        </w:rPr>
        <w:t>1</w:t>
      </w:r>
      <w:r>
        <w:rPr>
          <w:rFonts w:eastAsia="Times New Roman"/>
        </w:rPr>
        <w:t xml:space="preserve"> M</w:t>
      </w:r>
      <w:r w:rsidR="00F105E0">
        <w:rPr>
          <w:rFonts w:eastAsia="Times New Roman"/>
        </w:rPr>
        <w:t>arch</w:t>
      </w:r>
      <w:r>
        <w:rPr>
          <w:rFonts w:eastAsia="Times New Roman"/>
        </w:rPr>
        <w:t xml:space="preserve"> 20</w:t>
      </w:r>
      <w:r w:rsidR="00F105E0">
        <w:rPr>
          <w:rFonts w:eastAsia="Times New Roman"/>
        </w:rPr>
        <w:t>22</w:t>
      </w:r>
      <w:r>
        <w:rPr>
          <w:rFonts w:eastAsia="Times New Roman"/>
        </w:rPr>
        <w:t xml:space="preserve">, there will be a revised structure </w:t>
      </w:r>
      <w:r w:rsidR="00AB0197">
        <w:rPr>
          <w:rFonts w:eastAsia="Times New Roman"/>
        </w:rPr>
        <w:t xml:space="preserve">of </w:t>
      </w:r>
      <w:r>
        <w:rPr>
          <w:rFonts w:eastAsia="Times New Roman"/>
        </w:rPr>
        <w:t xml:space="preserve">items for </w:t>
      </w:r>
      <w:r w:rsidR="00F105E0">
        <w:rPr>
          <w:rFonts w:eastAsia="Times New Roman"/>
        </w:rPr>
        <w:t>participating midwives’ services</w:t>
      </w:r>
      <w:r>
        <w:rPr>
          <w:rFonts w:eastAsia="Times New Roman"/>
        </w:rPr>
        <w:t>.</w:t>
      </w:r>
    </w:p>
    <w:p w14:paraId="05E05CF1" w14:textId="73C670D0" w:rsidR="00DF106D" w:rsidRDefault="00DF106D" w:rsidP="00DF106D">
      <w:bookmarkStart w:id="0" w:name="_Hlk93304805"/>
      <w:bookmarkStart w:id="1" w:name="_Hlk535386664"/>
      <w:r>
        <w:t>These changes are a result of a review by the MBS Review Taskforce</w:t>
      </w:r>
      <w:r w:rsidR="00762247">
        <w:t xml:space="preserve"> (Taskforce)</w:t>
      </w:r>
      <w:r>
        <w:t>, which was informed by</w:t>
      </w:r>
      <w:r w:rsidR="0030252A">
        <w:t xml:space="preserve"> the</w:t>
      </w:r>
      <w:r>
        <w:t xml:space="preserve"> </w:t>
      </w:r>
      <w:r w:rsidRPr="00836E2A">
        <w:rPr>
          <w:szCs w:val="24"/>
        </w:rPr>
        <w:t>Participating Midwives Reference Group</w:t>
      </w:r>
      <w:r>
        <w:rPr>
          <w:szCs w:val="24"/>
        </w:rPr>
        <w:t xml:space="preserve"> (PMRG)</w:t>
      </w:r>
      <w:r>
        <w:t xml:space="preserve">. More information about the Taskforce and associated Committees is available in </w:t>
      </w:r>
      <w:hyperlink r:id="rId10" w:history="1">
        <w:r w:rsidRPr="00FE50B6">
          <w:rPr>
            <w:rStyle w:val="Hyperlink"/>
          </w:rPr>
          <w:t>Medicare Benefits Schedule Review</w:t>
        </w:r>
      </w:hyperlink>
      <w:r w:rsidR="00762247">
        <w:rPr>
          <w:rStyle w:val="Hyperlink"/>
        </w:rPr>
        <w:t>.</w:t>
      </w:r>
      <w:r>
        <w:t xml:space="preserve"> </w:t>
      </w:r>
      <w:bookmarkEnd w:id="0"/>
    </w:p>
    <w:p w14:paraId="0B5A4E0A" w14:textId="138196B9" w:rsidR="00DF106D" w:rsidRPr="00135417" w:rsidRDefault="00762247" w:rsidP="00DF106D">
      <w:r>
        <w:t xml:space="preserve">The Taskforce’s report and recommendations on primary care </w:t>
      </w:r>
      <w:r w:rsidR="00DF106D">
        <w:t>can be found</w:t>
      </w:r>
      <w:r w:rsidR="0042239E">
        <w:t xml:space="preserve"> on</w:t>
      </w:r>
      <w:r w:rsidR="00DF106D">
        <w:t xml:space="preserve"> </w:t>
      </w:r>
      <w:hyperlink r:id="rId11" w:history="1">
        <w:r w:rsidR="00DF106D" w:rsidRPr="0042239E">
          <w:rPr>
            <w:rStyle w:val="Hyperlink"/>
          </w:rPr>
          <w:t>Department of Health</w:t>
        </w:r>
        <w:r w:rsidR="0042239E">
          <w:rPr>
            <w:rStyle w:val="Hyperlink"/>
          </w:rPr>
          <w:t>’s</w:t>
        </w:r>
        <w:r w:rsidR="00DF106D" w:rsidRPr="0042239E">
          <w:rPr>
            <w:rStyle w:val="Hyperlink"/>
          </w:rPr>
          <w:t xml:space="preserve"> website</w:t>
        </w:r>
      </w:hyperlink>
      <w:r w:rsidR="0042239E">
        <w:t>.</w:t>
      </w:r>
      <w:bookmarkEnd w:id="1"/>
    </w:p>
    <w:p w14:paraId="227089DC" w14:textId="77777777" w:rsidR="00FB4CB1" w:rsidRDefault="00FB4CB1" w:rsidP="008B3C98">
      <w:pPr>
        <w:pStyle w:val="Heading2"/>
        <w:rPr>
          <w:rFonts w:eastAsia="Times New Roman"/>
        </w:rPr>
      </w:pPr>
      <w:r>
        <w:rPr>
          <w:rFonts w:eastAsia="Times New Roman"/>
        </w:rPr>
        <w:t xml:space="preserve">How </w:t>
      </w:r>
      <w:r w:rsidR="00214B52">
        <w:rPr>
          <w:rFonts w:eastAsia="Times New Roman"/>
        </w:rPr>
        <w:t>have these changes been communicated to stakeholders?</w:t>
      </w:r>
    </w:p>
    <w:p w14:paraId="5265878D" w14:textId="5467C108" w:rsidR="00FB4CB1" w:rsidRPr="00FB4CB1" w:rsidRDefault="0042239E" w:rsidP="00FB4CB1">
      <w:pPr>
        <w:rPr>
          <w:rFonts w:eastAsia="Times New Roman"/>
        </w:rPr>
      </w:pPr>
      <w:r>
        <w:rPr>
          <w:rFonts w:eastAsia="Times New Roman"/>
        </w:rPr>
        <w:t>T</w:t>
      </w:r>
      <w:r w:rsidR="00FB4CB1" w:rsidRPr="00FB4CB1">
        <w:rPr>
          <w:rFonts w:eastAsia="Times New Roman"/>
        </w:rPr>
        <w:t xml:space="preserve">he Department circulated communication materials (including factsheets about the changes) to relevant professional groups in </w:t>
      </w:r>
      <w:r>
        <w:rPr>
          <w:rFonts w:eastAsia="Times New Roman"/>
        </w:rPr>
        <w:t>January 2022</w:t>
      </w:r>
      <w:r w:rsidR="003828FD">
        <w:rPr>
          <w:rFonts w:eastAsia="Times New Roman"/>
        </w:rPr>
        <w:t xml:space="preserve"> </w:t>
      </w:r>
      <w:r w:rsidR="00FB4CB1" w:rsidRPr="00FB4CB1">
        <w:rPr>
          <w:rFonts w:eastAsia="Times New Roman"/>
        </w:rPr>
        <w:t>and encouraged dissemination of these materials. Information was also made available through the MBS website (</w:t>
      </w:r>
      <w:hyperlink r:id="rId12" w:history="1">
        <w:r w:rsidR="003D300C" w:rsidRPr="00A8047C">
          <w:rPr>
            <w:rStyle w:val="Hyperlink"/>
          </w:rPr>
          <w:t>www.mbsonline.gov.au</w:t>
        </w:r>
      </w:hyperlink>
      <w:r w:rsidR="00FB4CB1" w:rsidRPr="00FB4CB1">
        <w:rPr>
          <w:rFonts w:eastAsia="Times New Roman"/>
        </w:rPr>
        <w:t>).</w:t>
      </w:r>
    </w:p>
    <w:p w14:paraId="1C0E02C4" w14:textId="19F38C60" w:rsidR="00B83C75" w:rsidRDefault="00DF106D" w:rsidP="00A44A12">
      <w:pPr>
        <w:pStyle w:val="Heading2"/>
        <w:rPr>
          <w:rFonts w:eastAsia="Times New Roman"/>
        </w:rPr>
      </w:pPr>
      <w:r>
        <w:rPr>
          <w:rFonts w:eastAsia="Times New Roman"/>
        </w:rPr>
        <w:t>Claiming requirements</w:t>
      </w:r>
    </w:p>
    <w:p w14:paraId="05526CDC" w14:textId="77777777" w:rsidR="00E03A20" w:rsidRPr="002D4654" w:rsidRDefault="00E03A20" w:rsidP="00E03A20">
      <w:pPr>
        <w:pStyle w:val="Heading3"/>
      </w:pPr>
      <w:r>
        <w:t>Can I claim an intrapartum item</w:t>
      </w:r>
      <w:r w:rsidRPr="009A4C2F">
        <w:t xml:space="preserve"> </w:t>
      </w:r>
      <w:r>
        <w:t>if I attend the labour but do not undertake the birth?</w:t>
      </w:r>
    </w:p>
    <w:p w14:paraId="7C762F51" w14:textId="216EDB39" w:rsidR="003F074E" w:rsidRPr="003F074E" w:rsidRDefault="00E03A20" w:rsidP="00E03A20">
      <w:pPr>
        <w:pStyle w:val="ListParagraph"/>
        <w:rPr>
          <w:rFonts w:eastAsiaTheme="minorHAnsi"/>
        </w:rPr>
      </w:pPr>
      <w:r w:rsidRPr="00D53137">
        <w:rPr>
          <w:rFonts w:cstheme="minorHAnsi"/>
        </w:rPr>
        <w:t xml:space="preserve">It is not intended that the intrapartum items </w:t>
      </w:r>
      <w:r w:rsidR="00DE444B">
        <w:rPr>
          <w:rFonts w:cstheme="minorHAnsi"/>
        </w:rPr>
        <w:t>are</w:t>
      </w:r>
      <w:r w:rsidR="00DE444B" w:rsidRPr="00D53137">
        <w:rPr>
          <w:rFonts w:cstheme="minorHAnsi"/>
        </w:rPr>
        <w:t xml:space="preserve"> </w:t>
      </w:r>
      <w:r w:rsidRPr="00D53137">
        <w:rPr>
          <w:rFonts w:cstheme="minorHAnsi"/>
        </w:rPr>
        <w:t xml:space="preserve">claimed by a participating midwife if they do not intend to undertake the </w:t>
      </w:r>
      <w:r w:rsidRPr="001C1E64">
        <w:rPr>
          <w:rFonts w:cstheme="minorHAnsi"/>
        </w:rPr>
        <w:t xml:space="preserve">birth. </w:t>
      </w:r>
    </w:p>
    <w:p w14:paraId="4626E227" w14:textId="68D6946F" w:rsidR="00E03A20" w:rsidRPr="00D53137" w:rsidRDefault="00E03A20" w:rsidP="00E03A20">
      <w:pPr>
        <w:pStyle w:val="ListParagraph"/>
        <w:rPr>
          <w:rFonts w:eastAsiaTheme="minorHAnsi"/>
        </w:rPr>
      </w:pPr>
      <w:r w:rsidRPr="001C1E64">
        <w:rPr>
          <w:rFonts w:cstheme="minorHAnsi"/>
        </w:rPr>
        <w:t xml:space="preserve">A Medicare benefit </w:t>
      </w:r>
      <w:r w:rsidR="00A266C9">
        <w:rPr>
          <w:rFonts w:cstheme="minorHAnsi"/>
        </w:rPr>
        <w:t>can only be claimed by a</w:t>
      </w:r>
      <w:r w:rsidRPr="001C1E64">
        <w:rPr>
          <w:rFonts w:cstheme="minorHAnsi"/>
        </w:rPr>
        <w:t xml:space="preserve"> participating midwife</w:t>
      </w:r>
      <w:r w:rsidR="00A266C9">
        <w:rPr>
          <w:rFonts w:cstheme="minorHAnsi"/>
        </w:rPr>
        <w:t xml:space="preserve"> who</w:t>
      </w:r>
      <w:r w:rsidRPr="001C1E64">
        <w:rPr>
          <w:rFonts w:cstheme="minorHAnsi"/>
        </w:rPr>
        <w:t xml:space="preserve"> does not undertake the birth if there was a clinical need to escalate care to an obstetrician or medical practitioner who provides obstetric services; or</w:t>
      </w:r>
      <w:r w:rsidRPr="00D53137">
        <w:rPr>
          <w:rFonts w:eastAsiaTheme="minorHAnsi"/>
        </w:rPr>
        <w:t xml:space="preserve"> </w:t>
      </w:r>
      <w:r w:rsidR="00A266C9">
        <w:rPr>
          <w:rFonts w:cstheme="minorHAnsi"/>
        </w:rPr>
        <w:t>if</w:t>
      </w:r>
      <w:r w:rsidRPr="00D53137">
        <w:rPr>
          <w:rFonts w:cstheme="minorHAnsi"/>
        </w:rPr>
        <w:t xml:space="preserve"> care was transferred to another participating midwife </w:t>
      </w:r>
      <w:r w:rsidR="00A266C9">
        <w:rPr>
          <w:rFonts w:cstheme="minorHAnsi"/>
        </w:rPr>
        <w:t>to undertake</w:t>
      </w:r>
      <w:r w:rsidRPr="00D53137">
        <w:rPr>
          <w:rFonts w:cstheme="minorHAnsi"/>
        </w:rPr>
        <w:t xml:space="preserve"> labour</w:t>
      </w:r>
      <w:r w:rsidR="00A266C9">
        <w:rPr>
          <w:rFonts w:cstheme="minorHAnsi"/>
        </w:rPr>
        <w:t xml:space="preserve"> or </w:t>
      </w:r>
      <w:r>
        <w:rPr>
          <w:rFonts w:cstheme="minorHAnsi"/>
        </w:rPr>
        <w:t>birth</w:t>
      </w:r>
      <w:r w:rsidR="00A266C9">
        <w:rPr>
          <w:rFonts w:cstheme="minorHAnsi"/>
        </w:rPr>
        <w:t xml:space="preserve">, to manage the </w:t>
      </w:r>
      <w:r w:rsidR="004A6F92">
        <w:rPr>
          <w:rFonts w:cstheme="minorHAnsi"/>
        </w:rPr>
        <w:t>transferring</w:t>
      </w:r>
      <w:r w:rsidR="00246A9C">
        <w:rPr>
          <w:rFonts w:cstheme="minorHAnsi"/>
        </w:rPr>
        <w:t xml:space="preserve"> </w:t>
      </w:r>
      <w:r w:rsidR="00A266C9">
        <w:rPr>
          <w:rFonts w:cstheme="minorHAnsi"/>
        </w:rPr>
        <w:t>midwife’s fatigue</w:t>
      </w:r>
      <w:r w:rsidRPr="00D53137">
        <w:rPr>
          <w:rFonts w:cstheme="minorHAnsi"/>
        </w:rPr>
        <w:t>.</w:t>
      </w:r>
    </w:p>
    <w:p w14:paraId="3EEE0A1E" w14:textId="148D2EC0" w:rsidR="00466A21" w:rsidRPr="00360408" w:rsidRDefault="00861A9F" w:rsidP="00466A21">
      <w:pPr>
        <w:pStyle w:val="Heading3"/>
      </w:pPr>
      <w:r>
        <w:t xml:space="preserve">What is </w:t>
      </w:r>
      <w:r w:rsidRPr="00861A9F">
        <w:t xml:space="preserve">the </w:t>
      </w:r>
      <w:r w:rsidR="008F70CC">
        <w:t>intended</w:t>
      </w:r>
      <w:r w:rsidRPr="00861A9F">
        <w:t xml:space="preserve"> use of </w:t>
      </w:r>
      <w:r w:rsidR="00406652">
        <w:t>the out-of-hospital intrapartum item</w:t>
      </w:r>
      <w:r w:rsidR="008D19A8">
        <w:t>?</w:t>
      </w:r>
    </w:p>
    <w:p w14:paraId="4D0703BA" w14:textId="6EF92DA4" w:rsidR="00466A21" w:rsidRDefault="00466A21" w:rsidP="00466A21">
      <w:pPr>
        <w:pStyle w:val="ListParagraph"/>
      </w:pPr>
      <w:r>
        <w:rPr>
          <w:rFonts w:eastAsia="Times New Roman"/>
          <w:lang w:eastAsia="en-AU"/>
        </w:rPr>
        <w:t>T</w:t>
      </w:r>
      <w:r w:rsidRPr="009474D8">
        <w:rPr>
          <w:rFonts w:cstheme="minorHAnsi"/>
        </w:rPr>
        <w:t xml:space="preserve">he creation of </w:t>
      </w:r>
      <w:r w:rsidR="002F67E8">
        <w:rPr>
          <w:rFonts w:cstheme="minorHAnsi"/>
        </w:rPr>
        <w:t xml:space="preserve">item </w:t>
      </w:r>
      <w:r w:rsidR="008D19A8">
        <w:rPr>
          <w:rFonts w:cstheme="minorHAnsi"/>
        </w:rPr>
        <w:t>82116</w:t>
      </w:r>
      <w:r w:rsidR="002F67E8">
        <w:rPr>
          <w:rFonts w:cstheme="minorHAnsi"/>
        </w:rPr>
        <w:t xml:space="preserve"> is </w:t>
      </w:r>
      <w:r w:rsidR="009A4C2F">
        <w:rPr>
          <w:rFonts w:cstheme="minorHAnsi"/>
        </w:rPr>
        <w:t>intended</w:t>
      </w:r>
      <w:r w:rsidR="002F67E8" w:rsidRPr="009474D8">
        <w:rPr>
          <w:rFonts w:cstheme="minorHAnsi"/>
        </w:rPr>
        <w:t xml:space="preserve"> to </w:t>
      </w:r>
      <w:r w:rsidR="003F074E">
        <w:rPr>
          <w:rFonts w:cstheme="minorHAnsi"/>
        </w:rPr>
        <w:t xml:space="preserve">allow participating midwives to manage a </w:t>
      </w:r>
      <w:r w:rsidR="00A266C9">
        <w:rPr>
          <w:rFonts w:cstheme="minorHAnsi"/>
        </w:rPr>
        <w:t>patient’s</w:t>
      </w:r>
      <w:r w:rsidR="003F074E">
        <w:rPr>
          <w:rFonts w:cstheme="minorHAnsi"/>
        </w:rPr>
        <w:t xml:space="preserve"> labour for up to six hours </w:t>
      </w:r>
      <w:r w:rsidR="002F67E8">
        <w:rPr>
          <w:rFonts w:cstheme="minorHAnsi"/>
        </w:rPr>
        <w:t xml:space="preserve">prior to </w:t>
      </w:r>
      <w:r w:rsidR="003F074E">
        <w:rPr>
          <w:rFonts w:cstheme="minorHAnsi"/>
        </w:rPr>
        <w:t xml:space="preserve">the </w:t>
      </w:r>
      <w:r w:rsidR="00A266C9">
        <w:rPr>
          <w:rFonts w:cstheme="minorHAnsi"/>
        </w:rPr>
        <w:t>patient’s</w:t>
      </w:r>
      <w:r w:rsidR="003F074E">
        <w:rPr>
          <w:rFonts w:cstheme="minorHAnsi"/>
        </w:rPr>
        <w:t xml:space="preserve"> </w:t>
      </w:r>
      <w:r w:rsidR="002F67E8">
        <w:rPr>
          <w:rFonts w:cstheme="minorHAnsi"/>
        </w:rPr>
        <w:t>hospital admission for birth.</w:t>
      </w:r>
    </w:p>
    <w:p w14:paraId="2126E6D1" w14:textId="0FF2B9C1" w:rsidR="00466A21" w:rsidRDefault="009116F1" w:rsidP="00466A21">
      <w:pPr>
        <w:pStyle w:val="ListParagraph"/>
        <w:rPr>
          <w:rFonts w:cstheme="minorHAnsi"/>
        </w:rPr>
      </w:pPr>
      <w:r>
        <w:rPr>
          <w:rFonts w:cstheme="minorHAnsi"/>
        </w:rPr>
        <w:lastRenderedPageBreak/>
        <w:t>The attendance may take place</w:t>
      </w:r>
      <w:r w:rsidRPr="009116F1">
        <w:rPr>
          <w:rFonts w:cstheme="minorHAnsi"/>
        </w:rPr>
        <w:t xml:space="preserve"> in a range of </w:t>
      </w:r>
      <w:r w:rsidR="00755336">
        <w:rPr>
          <w:rFonts w:cstheme="minorHAnsi"/>
        </w:rPr>
        <w:t xml:space="preserve">out of hospital </w:t>
      </w:r>
      <w:r w:rsidRPr="009116F1">
        <w:rPr>
          <w:rFonts w:cstheme="minorHAnsi"/>
        </w:rPr>
        <w:t xml:space="preserve">settings including the </w:t>
      </w:r>
      <w:r w:rsidR="00755336">
        <w:rPr>
          <w:rFonts w:cstheme="minorHAnsi"/>
        </w:rPr>
        <w:t xml:space="preserve">in the </w:t>
      </w:r>
      <w:r w:rsidR="00A266C9">
        <w:rPr>
          <w:rFonts w:cstheme="minorHAnsi"/>
        </w:rPr>
        <w:t>patient’s</w:t>
      </w:r>
      <w:r w:rsidR="00755336">
        <w:rPr>
          <w:rFonts w:cstheme="minorHAnsi"/>
        </w:rPr>
        <w:t xml:space="preserve"> </w:t>
      </w:r>
      <w:r w:rsidRPr="009116F1">
        <w:rPr>
          <w:rFonts w:cstheme="minorHAnsi"/>
        </w:rPr>
        <w:t xml:space="preserve">home, clinics, health units, a medical practice or the </w:t>
      </w:r>
      <w:r w:rsidR="00755336">
        <w:rPr>
          <w:rFonts w:cstheme="minorHAnsi"/>
        </w:rPr>
        <w:t xml:space="preserve">participating </w:t>
      </w:r>
      <w:r w:rsidRPr="009116F1">
        <w:rPr>
          <w:rFonts w:cstheme="minorHAnsi"/>
        </w:rPr>
        <w:t>midwife’s rooms</w:t>
      </w:r>
      <w:r w:rsidR="00C22958">
        <w:rPr>
          <w:rFonts w:cstheme="minorHAnsi"/>
        </w:rPr>
        <w:t>.</w:t>
      </w:r>
    </w:p>
    <w:p w14:paraId="4D154D59" w14:textId="7A62E5AE" w:rsidR="009A4C2F" w:rsidRPr="009A4C2F" w:rsidRDefault="00755336" w:rsidP="009A4C2F">
      <w:pPr>
        <w:pStyle w:val="ListParagraph"/>
        <w:rPr>
          <w:rFonts w:cstheme="minorHAnsi"/>
        </w:rPr>
      </w:pPr>
      <w:r>
        <w:rPr>
          <w:rFonts w:cstheme="minorHAnsi"/>
        </w:rPr>
        <w:t>It is expected that i</w:t>
      </w:r>
      <w:r w:rsidR="001935F8" w:rsidRPr="0086725F">
        <w:rPr>
          <w:rFonts w:cstheme="minorHAnsi"/>
        </w:rPr>
        <w:t>tem</w:t>
      </w:r>
      <w:r w:rsidR="001935F8">
        <w:rPr>
          <w:rFonts w:cstheme="minorHAnsi"/>
        </w:rPr>
        <w:t xml:space="preserve"> 82116 </w:t>
      </w:r>
      <w:r>
        <w:rPr>
          <w:rFonts w:cstheme="minorHAnsi"/>
        </w:rPr>
        <w:t xml:space="preserve">will </w:t>
      </w:r>
      <w:r w:rsidR="001935F8">
        <w:rPr>
          <w:rFonts w:cstheme="minorHAnsi"/>
        </w:rPr>
        <w:t>be co-claimed with</w:t>
      </w:r>
      <w:r w:rsidR="00AE37C7">
        <w:rPr>
          <w:rFonts w:cstheme="minorHAnsi"/>
        </w:rPr>
        <w:t xml:space="preserve"> the applicable in-hospital intrapartum item</w:t>
      </w:r>
      <w:r>
        <w:rPr>
          <w:rFonts w:cstheme="minorHAnsi"/>
        </w:rPr>
        <w:t>/s.</w:t>
      </w:r>
      <w:r w:rsidRPr="009A4C2F">
        <w:rPr>
          <w:rFonts w:cstheme="minorHAnsi"/>
        </w:rPr>
        <w:t xml:space="preserve"> </w:t>
      </w:r>
    </w:p>
    <w:p w14:paraId="5EE0E04C" w14:textId="336CCF99" w:rsidR="009A4C2F" w:rsidRPr="00360408" w:rsidRDefault="009A4C2F" w:rsidP="009A4C2F">
      <w:pPr>
        <w:pStyle w:val="Heading3"/>
      </w:pPr>
      <w:r w:rsidRPr="002D4654">
        <w:t>If</w:t>
      </w:r>
      <w:r w:rsidRPr="009A4C2F">
        <w:t xml:space="preserve"> </w:t>
      </w:r>
      <w:r w:rsidR="0067584B">
        <w:t>I attend</w:t>
      </w:r>
      <w:r w:rsidRPr="009A4C2F">
        <w:t xml:space="preserve"> a homebirth</w:t>
      </w:r>
      <w:r w:rsidR="0067584B">
        <w:t xml:space="preserve"> </w:t>
      </w:r>
      <w:r w:rsidRPr="009A4C2F">
        <w:t xml:space="preserve">can </w:t>
      </w:r>
      <w:r>
        <w:t>I</w:t>
      </w:r>
      <w:r w:rsidRPr="009A4C2F">
        <w:t xml:space="preserve"> claim </w:t>
      </w:r>
      <w:r>
        <w:t>82116</w:t>
      </w:r>
      <w:r w:rsidRPr="009A4C2F">
        <w:t>?</w:t>
      </w:r>
    </w:p>
    <w:p w14:paraId="4E2F6F5A" w14:textId="2B72376A" w:rsidR="002D4654" w:rsidRDefault="002D4654" w:rsidP="00566581">
      <w:pPr>
        <w:pStyle w:val="ListParagraph"/>
        <w:rPr>
          <w:rFonts w:cstheme="minorHAnsi"/>
        </w:rPr>
      </w:pPr>
      <w:r>
        <w:rPr>
          <w:rFonts w:cstheme="minorHAnsi"/>
        </w:rPr>
        <w:t>No.</w:t>
      </w:r>
      <w:r w:rsidR="009A4C2F" w:rsidRPr="002D4654">
        <w:rPr>
          <w:rFonts w:cstheme="minorHAnsi"/>
        </w:rPr>
        <w:t xml:space="preserve"> </w:t>
      </w:r>
      <w:r w:rsidRPr="009A4C2F">
        <w:rPr>
          <w:rFonts w:cstheme="minorHAnsi"/>
        </w:rPr>
        <w:t>Medicare benefits are not payable for homebirth</w:t>
      </w:r>
      <w:r w:rsidR="00755336">
        <w:rPr>
          <w:rFonts w:cstheme="minorHAnsi"/>
        </w:rPr>
        <w:t>s</w:t>
      </w:r>
      <w:r>
        <w:rPr>
          <w:rFonts w:cstheme="minorHAnsi"/>
        </w:rPr>
        <w:t>.</w:t>
      </w:r>
    </w:p>
    <w:p w14:paraId="04124956" w14:textId="1295DF21" w:rsidR="00C22958" w:rsidRDefault="00C22958" w:rsidP="00C22958">
      <w:pPr>
        <w:pStyle w:val="ListParagraph"/>
      </w:pPr>
      <w:r w:rsidRPr="00C14B0A">
        <w:t>The stipulation that the item is not claimable if a birth is performed during the attendance is to ensure that MBS benefits are not payable for home births. The participating midwife must continue to exercise best practice or their clinical judgment where an unexpected birth occurs. If a home birth is performed during the attendance, unexpected or planned, this item will not be claimable.</w:t>
      </w:r>
    </w:p>
    <w:p w14:paraId="3AA59FBF" w14:textId="0014130E" w:rsidR="00C22958" w:rsidRPr="00C22958" w:rsidRDefault="00C22958" w:rsidP="00C22958">
      <w:pPr>
        <w:pStyle w:val="ListParagraph"/>
      </w:pPr>
      <w:r w:rsidRPr="00C14B0A">
        <w:t>If a birth unexpectedly occurs during the patient</w:t>
      </w:r>
      <w:r w:rsidR="00E24545">
        <w:t>’</w:t>
      </w:r>
      <w:r w:rsidRPr="00C14B0A">
        <w:t xml:space="preserve">s transfer to hospital, the participating midwife’s attendance for the management of labour prior to the transfer is still claimable under item 82116.  </w:t>
      </w:r>
    </w:p>
    <w:p w14:paraId="2F06DDFD" w14:textId="67A2F75F" w:rsidR="00861A9F" w:rsidRPr="00360408" w:rsidRDefault="009116F1" w:rsidP="00861A9F">
      <w:pPr>
        <w:pStyle w:val="Heading3"/>
      </w:pPr>
      <w:r w:rsidRPr="009116F1">
        <w:t xml:space="preserve">The </w:t>
      </w:r>
      <w:r w:rsidR="00174958">
        <w:t>in-hospital intrapartum</w:t>
      </w:r>
      <w:r w:rsidRPr="009116F1">
        <w:t xml:space="preserve"> attendances</w:t>
      </w:r>
      <w:r w:rsidR="00174958">
        <w:t xml:space="preserve"> items</w:t>
      </w:r>
      <w:r w:rsidRPr="009116F1">
        <w:t xml:space="preserve"> are time based. </w:t>
      </w:r>
      <w:r w:rsidR="00976C74" w:rsidRPr="00976C74">
        <w:t>What does the time component cover?</w:t>
      </w:r>
    </w:p>
    <w:p w14:paraId="5CC3EB70" w14:textId="1F8D8F71" w:rsidR="00174958" w:rsidRPr="00174958" w:rsidRDefault="00976C74" w:rsidP="00174958">
      <w:pPr>
        <w:pStyle w:val="ListParagraph"/>
        <w:rPr>
          <w:rFonts w:cstheme="minorHAnsi"/>
        </w:rPr>
      </w:pPr>
      <w:bookmarkStart w:id="2" w:name="_Hlk92784908"/>
      <w:r w:rsidRPr="00976C74">
        <w:rPr>
          <w:rFonts w:eastAsia="Times New Roman"/>
          <w:lang w:eastAsia="en-AU"/>
        </w:rPr>
        <w:t xml:space="preserve">The MBS items cover the period of </w:t>
      </w:r>
      <w:r w:rsidR="00174958">
        <w:rPr>
          <w:rFonts w:eastAsia="Times New Roman"/>
          <w:lang w:eastAsia="en-AU"/>
        </w:rPr>
        <w:t>total attendance</w:t>
      </w:r>
      <w:r w:rsidRPr="00976C74">
        <w:rPr>
          <w:rFonts w:eastAsia="Times New Roman"/>
          <w:lang w:eastAsia="en-AU"/>
        </w:rPr>
        <w:t xml:space="preserve"> by a </w:t>
      </w:r>
      <w:r w:rsidR="00D53137">
        <w:rPr>
          <w:rFonts w:eastAsia="Times New Roman"/>
          <w:lang w:eastAsia="en-AU"/>
        </w:rPr>
        <w:t>participating</w:t>
      </w:r>
      <w:r w:rsidR="00D53137" w:rsidRPr="00976C74">
        <w:rPr>
          <w:rFonts w:eastAsia="Times New Roman"/>
          <w:lang w:eastAsia="en-AU"/>
        </w:rPr>
        <w:t xml:space="preserve"> </w:t>
      </w:r>
      <w:r w:rsidRPr="00976C74">
        <w:rPr>
          <w:rFonts w:eastAsia="Times New Roman"/>
          <w:lang w:eastAsia="en-AU"/>
        </w:rPr>
        <w:t xml:space="preserve">midwife of an in-hospital patient in labour, including </w:t>
      </w:r>
      <w:r w:rsidR="0086725F">
        <w:rPr>
          <w:rFonts w:eastAsia="Times New Roman"/>
          <w:lang w:eastAsia="en-AU"/>
        </w:rPr>
        <w:t>birth</w:t>
      </w:r>
      <w:r w:rsidRPr="00976C74">
        <w:rPr>
          <w:rFonts w:eastAsia="Times New Roman"/>
          <w:lang w:eastAsia="en-AU"/>
        </w:rPr>
        <w:t xml:space="preserve"> where performed.</w:t>
      </w:r>
    </w:p>
    <w:p w14:paraId="3CEC1854" w14:textId="7A9710D6" w:rsidR="00174958" w:rsidRPr="00174958" w:rsidRDefault="00174958" w:rsidP="00174958">
      <w:pPr>
        <w:pStyle w:val="ListParagraph"/>
        <w:rPr>
          <w:rFonts w:cstheme="minorHAnsi"/>
        </w:rPr>
      </w:pPr>
      <w:r>
        <w:rPr>
          <w:rFonts w:eastAsia="Times New Roman"/>
          <w:lang w:eastAsia="en-AU"/>
        </w:rPr>
        <w:t>These items are claimable from when the patient is admitted to hospital.</w:t>
      </w:r>
    </w:p>
    <w:p w14:paraId="0C5EAA85" w14:textId="1CEFB68A" w:rsidR="006B5EFD" w:rsidRPr="006B5EFD" w:rsidRDefault="00174958" w:rsidP="006B5EFD">
      <w:pPr>
        <w:pStyle w:val="ListParagraph"/>
        <w:rPr>
          <w:rFonts w:cstheme="minorHAnsi"/>
        </w:rPr>
      </w:pPr>
      <w:r>
        <w:rPr>
          <w:rFonts w:eastAsia="Times New Roman"/>
          <w:lang w:eastAsia="en-AU"/>
        </w:rPr>
        <w:t>Breaks taken to manage fatigue are not counted towards the total claimable</w:t>
      </w:r>
      <w:r w:rsidR="00AE37C7">
        <w:rPr>
          <w:rFonts w:eastAsia="Times New Roman"/>
          <w:lang w:eastAsia="en-AU"/>
        </w:rPr>
        <w:t xml:space="preserve"> </w:t>
      </w:r>
      <w:r w:rsidR="00AE37C7" w:rsidRPr="00DD0D8C">
        <w:t>meaning the participating midwife can go on a break and then continue the attendance.</w:t>
      </w:r>
    </w:p>
    <w:p w14:paraId="1079F24F" w14:textId="7AC6BEDF" w:rsidR="006B5EFD" w:rsidRPr="006B5EFD" w:rsidRDefault="006B5EFD" w:rsidP="006B5EFD">
      <w:pPr>
        <w:pStyle w:val="ListParagraph"/>
      </w:pPr>
      <w:r>
        <w:t xml:space="preserve">The time taken to conduct a patient handover to another participating midwife is counted towards the total attendance. </w:t>
      </w:r>
    </w:p>
    <w:bookmarkEnd w:id="2"/>
    <w:p w14:paraId="639FFFC4" w14:textId="1798F28E" w:rsidR="00976C74" w:rsidRPr="00976C74" w:rsidRDefault="008F70CC" w:rsidP="00976C74">
      <w:pPr>
        <w:pStyle w:val="Heading3"/>
      </w:pPr>
      <w:r>
        <w:t>What is the intended use of</w:t>
      </w:r>
      <w:r w:rsidR="00406652">
        <w:t xml:space="preserve"> the in-hospital intrapartum</w:t>
      </w:r>
      <w:r>
        <w:t xml:space="preserve"> items?</w:t>
      </w:r>
    </w:p>
    <w:p w14:paraId="00DDDD3B" w14:textId="5BB8D48D" w:rsidR="00976C74" w:rsidRPr="00DD516A" w:rsidRDefault="00DD516A" w:rsidP="00976C74">
      <w:pPr>
        <w:pStyle w:val="ListParagraph"/>
        <w:rPr>
          <w:rFonts w:cstheme="minorHAnsi"/>
        </w:rPr>
      </w:pPr>
      <w:r w:rsidRPr="00DD516A">
        <w:rPr>
          <w:rFonts w:eastAsia="Times New Roman"/>
          <w:lang w:eastAsia="en-AU"/>
        </w:rPr>
        <w:t xml:space="preserve">To manage working hours during birth and labour, participating midwives </w:t>
      </w:r>
      <w:r>
        <w:rPr>
          <w:rFonts w:eastAsia="Times New Roman"/>
          <w:lang w:eastAsia="en-AU"/>
        </w:rPr>
        <w:t>wil</w:t>
      </w:r>
      <w:r w:rsidR="008F70CC">
        <w:rPr>
          <w:rFonts w:eastAsia="Times New Roman"/>
          <w:lang w:eastAsia="en-AU"/>
        </w:rPr>
        <w:t>l</w:t>
      </w:r>
      <w:r>
        <w:rPr>
          <w:rFonts w:eastAsia="Times New Roman"/>
          <w:lang w:eastAsia="en-AU"/>
        </w:rPr>
        <w:t xml:space="preserve"> be</w:t>
      </w:r>
      <w:r w:rsidRPr="00DD516A">
        <w:rPr>
          <w:rFonts w:eastAsia="Times New Roman"/>
          <w:lang w:eastAsia="en-AU"/>
        </w:rPr>
        <w:t xml:space="preserve"> able to flexibly transfer care to a</w:t>
      </w:r>
      <w:r>
        <w:rPr>
          <w:rFonts w:eastAsia="Times New Roman"/>
          <w:lang w:eastAsia="en-AU"/>
        </w:rPr>
        <w:t>nother</w:t>
      </w:r>
      <w:r w:rsidRPr="00DD516A">
        <w:rPr>
          <w:rFonts w:eastAsia="Times New Roman"/>
          <w:lang w:eastAsia="en-AU"/>
        </w:rPr>
        <w:t xml:space="preserve"> participating midwife when they deem it appropriate to do so</w:t>
      </w:r>
      <w:r w:rsidR="00F24354">
        <w:rPr>
          <w:rFonts w:eastAsia="Times New Roman"/>
          <w:lang w:eastAsia="en-AU"/>
        </w:rPr>
        <w:t>,</w:t>
      </w:r>
      <w:r w:rsidR="008126B3">
        <w:rPr>
          <w:rFonts w:eastAsia="Times New Roman"/>
          <w:lang w:eastAsia="en-AU"/>
        </w:rPr>
        <w:t xml:space="preserve"> </w:t>
      </w:r>
      <w:r w:rsidR="008126B3">
        <w:rPr>
          <w:rFonts w:cstheme="minorHAnsi"/>
        </w:rPr>
        <w:t>to negate the impacts of fatigue</w:t>
      </w:r>
      <w:r w:rsidR="00C45A2C">
        <w:rPr>
          <w:rFonts w:cstheme="minorHAnsi"/>
        </w:rPr>
        <w:t xml:space="preserve"> while supporting the </w:t>
      </w:r>
      <w:r w:rsidR="00F37D8E">
        <w:rPr>
          <w:rFonts w:cstheme="minorHAnsi"/>
        </w:rPr>
        <w:t>continuity</w:t>
      </w:r>
      <w:r w:rsidR="00C45A2C">
        <w:rPr>
          <w:rFonts w:cstheme="minorHAnsi"/>
        </w:rPr>
        <w:t xml:space="preserve"> of care model</w:t>
      </w:r>
      <w:r w:rsidRPr="00DD516A">
        <w:rPr>
          <w:rFonts w:eastAsia="Times New Roman"/>
          <w:lang w:eastAsia="en-AU"/>
        </w:rPr>
        <w:t>.</w:t>
      </w:r>
    </w:p>
    <w:p w14:paraId="6378FF39" w14:textId="1B98913C" w:rsidR="00DD516A" w:rsidRDefault="00DD516A" w:rsidP="00976C74">
      <w:pPr>
        <w:pStyle w:val="ListParagraph"/>
        <w:rPr>
          <w:rFonts w:cstheme="minorHAnsi"/>
        </w:rPr>
      </w:pPr>
      <w:r>
        <w:rPr>
          <w:rFonts w:cstheme="minorHAnsi"/>
        </w:rPr>
        <w:t xml:space="preserve">The first </w:t>
      </w:r>
      <w:r w:rsidR="001C1E64">
        <w:rPr>
          <w:rFonts w:cstheme="minorHAnsi"/>
        </w:rPr>
        <w:t xml:space="preserve">participating </w:t>
      </w:r>
      <w:r>
        <w:rPr>
          <w:rFonts w:cstheme="minorHAnsi"/>
        </w:rPr>
        <w:t xml:space="preserve">midwife will be able to </w:t>
      </w:r>
      <w:r w:rsidR="002E437E">
        <w:rPr>
          <w:rFonts w:cstheme="minorHAnsi"/>
        </w:rPr>
        <w:t xml:space="preserve">transfer </w:t>
      </w:r>
      <w:r w:rsidR="00406652">
        <w:rPr>
          <w:rFonts w:cstheme="minorHAnsi"/>
        </w:rPr>
        <w:t>care</w:t>
      </w:r>
      <w:r>
        <w:rPr>
          <w:rFonts w:cstheme="minorHAnsi"/>
        </w:rPr>
        <w:t xml:space="preserve"> to a second midwife and </w:t>
      </w:r>
      <w:r w:rsidR="00246A9C">
        <w:rPr>
          <w:rFonts w:cstheme="minorHAnsi"/>
        </w:rPr>
        <w:t xml:space="preserve">if required, </w:t>
      </w:r>
      <w:r>
        <w:rPr>
          <w:rFonts w:cstheme="minorHAnsi"/>
        </w:rPr>
        <w:t xml:space="preserve">may return after a rest to resume caring for the </w:t>
      </w:r>
      <w:r w:rsidR="00D53137">
        <w:rPr>
          <w:rFonts w:cstheme="minorHAnsi"/>
        </w:rPr>
        <w:t xml:space="preserve">patient </w:t>
      </w:r>
      <w:r>
        <w:rPr>
          <w:rFonts w:cstheme="minorHAnsi"/>
        </w:rPr>
        <w:t>in labour</w:t>
      </w:r>
      <w:r w:rsidR="004411DF">
        <w:rPr>
          <w:rFonts w:cstheme="minorHAnsi"/>
        </w:rPr>
        <w:t>. The first midwife will be able to claim 82118</w:t>
      </w:r>
      <w:r w:rsidR="003E6FA7">
        <w:rPr>
          <w:rFonts w:cstheme="minorHAnsi"/>
        </w:rPr>
        <w:t xml:space="preserve"> (up to 6 hours)</w:t>
      </w:r>
      <w:r w:rsidR="004411DF">
        <w:rPr>
          <w:rFonts w:cstheme="minorHAnsi"/>
        </w:rPr>
        <w:t xml:space="preserve"> </w:t>
      </w:r>
      <w:r w:rsidR="00406652">
        <w:rPr>
          <w:rFonts w:cstheme="minorHAnsi"/>
        </w:rPr>
        <w:t xml:space="preserve">or </w:t>
      </w:r>
      <w:r w:rsidR="004411DF">
        <w:rPr>
          <w:rFonts w:cstheme="minorHAnsi"/>
        </w:rPr>
        <w:t>82120</w:t>
      </w:r>
      <w:r w:rsidR="003E6FA7">
        <w:rPr>
          <w:rFonts w:cstheme="minorHAnsi"/>
        </w:rPr>
        <w:t xml:space="preserve"> (between 6 - 12 hours)</w:t>
      </w:r>
      <w:r w:rsidR="004411DF">
        <w:rPr>
          <w:rFonts w:cstheme="minorHAnsi"/>
        </w:rPr>
        <w:t xml:space="preserve"> depending on the collective attendance time.</w:t>
      </w:r>
    </w:p>
    <w:p w14:paraId="03F3D4BA" w14:textId="5CDB09BE" w:rsidR="006E7984" w:rsidRPr="00C45A2C" w:rsidRDefault="004411DF" w:rsidP="00C45A2C">
      <w:pPr>
        <w:pStyle w:val="ListParagraph"/>
        <w:rPr>
          <w:rFonts w:cstheme="minorHAnsi"/>
        </w:rPr>
      </w:pPr>
      <w:bookmarkStart w:id="3" w:name="_Hlk96526102"/>
      <w:r>
        <w:rPr>
          <w:rFonts w:cstheme="minorHAnsi"/>
        </w:rPr>
        <w:t>The second participating midwife will be able to claim</w:t>
      </w:r>
      <w:r w:rsidR="00406652">
        <w:rPr>
          <w:rFonts w:cstheme="minorHAnsi"/>
        </w:rPr>
        <w:t xml:space="preserve"> 82123</w:t>
      </w:r>
      <w:r w:rsidR="003E6FA7">
        <w:rPr>
          <w:rFonts w:cstheme="minorHAnsi"/>
        </w:rPr>
        <w:t xml:space="preserve"> (up to 6 hours)</w:t>
      </w:r>
      <w:r w:rsidR="00406652">
        <w:rPr>
          <w:rFonts w:cstheme="minorHAnsi"/>
        </w:rPr>
        <w:t xml:space="preserve"> or</w:t>
      </w:r>
      <w:r>
        <w:rPr>
          <w:rFonts w:cstheme="minorHAnsi"/>
        </w:rPr>
        <w:t xml:space="preserve"> </w:t>
      </w:r>
      <w:r w:rsidR="00406652">
        <w:rPr>
          <w:rFonts w:cstheme="minorHAnsi"/>
        </w:rPr>
        <w:t>82125</w:t>
      </w:r>
      <w:r w:rsidR="003E6FA7">
        <w:rPr>
          <w:rFonts w:cstheme="minorHAnsi"/>
        </w:rPr>
        <w:t xml:space="preserve"> (between 6 – 12 hours)</w:t>
      </w:r>
      <w:r w:rsidR="00406652">
        <w:rPr>
          <w:rFonts w:cstheme="minorHAnsi"/>
        </w:rPr>
        <w:t xml:space="preserve"> depending on the collective attendance time</w:t>
      </w:r>
      <w:r w:rsidR="00E16522">
        <w:rPr>
          <w:rFonts w:cstheme="minorHAnsi"/>
        </w:rPr>
        <w:t xml:space="preserve"> and i</w:t>
      </w:r>
      <w:r w:rsidR="00246A9C">
        <w:rPr>
          <w:rFonts w:cstheme="minorHAnsi"/>
        </w:rPr>
        <w:t>f required,</w:t>
      </w:r>
      <w:r w:rsidR="00406652">
        <w:rPr>
          <w:rFonts w:cstheme="minorHAnsi"/>
        </w:rPr>
        <w:t xml:space="preserve"> return care </w:t>
      </w:r>
      <w:r w:rsidR="00A37B6B">
        <w:rPr>
          <w:rFonts w:cstheme="minorHAnsi"/>
        </w:rPr>
        <w:t xml:space="preserve">of the patient </w:t>
      </w:r>
      <w:r w:rsidR="00406652">
        <w:rPr>
          <w:rFonts w:cstheme="minorHAnsi"/>
        </w:rPr>
        <w:t>to the first midwife</w:t>
      </w:r>
      <w:r w:rsidR="00E16522">
        <w:rPr>
          <w:rFonts w:cstheme="minorHAnsi"/>
        </w:rPr>
        <w:t>,</w:t>
      </w:r>
      <w:r w:rsidR="00406652">
        <w:rPr>
          <w:rFonts w:cstheme="minorHAnsi"/>
        </w:rPr>
        <w:t xml:space="preserve"> or </w:t>
      </w:r>
      <w:r w:rsidR="002E437E">
        <w:rPr>
          <w:rFonts w:cstheme="minorHAnsi"/>
        </w:rPr>
        <w:t xml:space="preserve">transfer </w:t>
      </w:r>
      <w:r w:rsidR="00406652">
        <w:rPr>
          <w:rFonts w:cstheme="minorHAnsi"/>
        </w:rPr>
        <w:t>care to a third participating midwife.</w:t>
      </w:r>
      <w:r w:rsidR="0061198C">
        <w:rPr>
          <w:rFonts w:cstheme="minorHAnsi"/>
        </w:rPr>
        <w:t xml:space="preserve"> </w:t>
      </w:r>
      <w:bookmarkEnd w:id="3"/>
      <w:r w:rsidR="00246A9C" w:rsidRPr="00001683">
        <w:rPr>
          <w:rFonts w:cstheme="minorHAnsi"/>
        </w:rPr>
        <w:t xml:space="preserve">A </w:t>
      </w:r>
      <w:r w:rsidR="008F70CC" w:rsidRPr="00001683">
        <w:rPr>
          <w:rFonts w:cstheme="minorHAnsi"/>
        </w:rPr>
        <w:t>thi</w:t>
      </w:r>
      <w:r w:rsidRPr="00001683">
        <w:rPr>
          <w:rFonts w:cstheme="minorHAnsi"/>
        </w:rPr>
        <w:t>rd participating</w:t>
      </w:r>
      <w:r w:rsidR="008F70CC" w:rsidRPr="00001683">
        <w:rPr>
          <w:rFonts w:cstheme="minorHAnsi"/>
        </w:rPr>
        <w:t xml:space="preserve"> midwife </w:t>
      </w:r>
      <w:r w:rsidR="003E6FA7" w:rsidRPr="00C45A2C">
        <w:rPr>
          <w:rFonts w:cstheme="minorHAnsi"/>
        </w:rPr>
        <w:t>will be able to</w:t>
      </w:r>
      <w:r w:rsidR="00246A9C" w:rsidRPr="00C45A2C">
        <w:rPr>
          <w:rFonts w:cstheme="minorHAnsi"/>
        </w:rPr>
        <w:t xml:space="preserve"> claim 82127 </w:t>
      </w:r>
      <w:r w:rsidR="003E6FA7" w:rsidRPr="00C45A2C">
        <w:rPr>
          <w:rFonts w:cstheme="minorHAnsi"/>
        </w:rPr>
        <w:t>(up to 6 hours)</w:t>
      </w:r>
      <w:r w:rsidR="00246A9C" w:rsidRPr="00C45A2C">
        <w:rPr>
          <w:rFonts w:cstheme="minorHAnsi"/>
        </w:rPr>
        <w:t xml:space="preserve"> and</w:t>
      </w:r>
      <w:r w:rsidR="0061198C">
        <w:rPr>
          <w:rFonts w:cstheme="minorHAnsi"/>
        </w:rPr>
        <w:t xml:space="preserve"> if</w:t>
      </w:r>
      <w:r w:rsidR="00246A9C" w:rsidRPr="00C45A2C">
        <w:rPr>
          <w:rFonts w:cstheme="minorHAnsi"/>
        </w:rPr>
        <w:t xml:space="preserve"> </w:t>
      </w:r>
      <w:r w:rsidR="00F37D8E">
        <w:rPr>
          <w:rFonts w:cstheme="minorHAnsi"/>
        </w:rPr>
        <w:t>the birth has not occurred</w:t>
      </w:r>
      <w:r w:rsidR="00246A9C" w:rsidRPr="00C45A2C">
        <w:rPr>
          <w:rFonts w:cstheme="minorHAnsi"/>
        </w:rPr>
        <w:t>, will either return care of the patient to the first or second participating midwife</w:t>
      </w:r>
      <w:bookmarkStart w:id="4" w:name="_Hlk96527251"/>
      <w:r w:rsidR="00246A9C" w:rsidRPr="00C45A2C">
        <w:rPr>
          <w:rFonts w:cstheme="minorHAnsi"/>
        </w:rPr>
        <w:t>.</w:t>
      </w:r>
      <w:r w:rsidR="000B19F3" w:rsidRPr="00C45A2C">
        <w:rPr>
          <w:rFonts w:cstheme="minorHAnsi"/>
        </w:rPr>
        <w:t xml:space="preserve"> </w:t>
      </w:r>
      <w:bookmarkEnd w:id="4"/>
      <w:r w:rsidR="006E7984" w:rsidRPr="00C45A2C">
        <w:rPr>
          <w:rFonts w:cstheme="minorHAnsi"/>
        </w:rPr>
        <w:t>82127 cannot be claimed by the third participating midwife if the second participating midwife claims item 82125 (between 6 - 12 hours)</w:t>
      </w:r>
      <w:r w:rsidR="0061198C">
        <w:rPr>
          <w:rFonts w:cstheme="minorHAnsi"/>
        </w:rPr>
        <w:t>.</w:t>
      </w:r>
      <w:r w:rsidR="00F37D8E">
        <w:rPr>
          <w:rFonts w:cstheme="minorHAnsi"/>
        </w:rPr>
        <w:t xml:space="preserve"> </w:t>
      </w:r>
      <w:r w:rsidR="0061198C">
        <w:rPr>
          <w:rFonts w:cstheme="minorHAnsi"/>
        </w:rPr>
        <w:t>T</w:t>
      </w:r>
      <w:r w:rsidR="00F37D8E">
        <w:rPr>
          <w:rFonts w:cstheme="minorHAnsi"/>
        </w:rPr>
        <w:t xml:space="preserve">his is due to the </w:t>
      </w:r>
      <w:r w:rsidR="00F336EA">
        <w:t>30-hour</w:t>
      </w:r>
      <w:r w:rsidR="00F37D8E">
        <w:t xml:space="preserve"> collective limit for intrapartum attendance items (in hospital and out of hospital)</w:t>
      </w:r>
      <w:r w:rsidR="006E7984" w:rsidRPr="00C45A2C">
        <w:rPr>
          <w:rFonts w:cstheme="minorHAnsi"/>
        </w:rPr>
        <w:t>.</w:t>
      </w:r>
    </w:p>
    <w:p w14:paraId="4D31EF88" w14:textId="77777777" w:rsidR="00755336" w:rsidRPr="00360408" w:rsidRDefault="00755336" w:rsidP="00755336">
      <w:pPr>
        <w:pStyle w:val="Heading3"/>
      </w:pPr>
      <w:r>
        <w:lastRenderedPageBreak/>
        <w:t xml:space="preserve">Why has the maternity care plan item changed to a service provision </w:t>
      </w:r>
      <w:r w:rsidRPr="00B64598">
        <w:t>across a pregnancy that has progressed beyond 28 weeks</w:t>
      </w:r>
      <w:r>
        <w:t>?</w:t>
      </w:r>
    </w:p>
    <w:p w14:paraId="0FBF0D0D" w14:textId="213F13A5" w:rsidR="00755336" w:rsidRDefault="00755336" w:rsidP="00755336">
      <w:pPr>
        <w:pStyle w:val="ListParagraph"/>
      </w:pPr>
      <w:r>
        <w:t xml:space="preserve">Following the release of the MBS Review Taskforce report, the Department of Health </w:t>
      </w:r>
      <w:r w:rsidRPr="006E2ACD">
        <w:t>established the Participating Midwives</w:t>
      </w:r>
      <w:r w:rsidRPr="00D933AE">
        <w:t xml:space="preserve"> </w:t>
      </w:r>
      <w:r>
        <w:t xml:space="preserve">(PM) </w:t>
      </w:r>
      <w:r w:rsidRPr="00D933AE">
        <w:t>Implementation Liaison Group (ILG) for ongoing stakeholder consultation</w:t>
      </w:r>
      <w:r w:rsidRPr="006E2ACD">
        <w:t xml:space="preserve"> to inform</w:t>
      </w:r>
      <w:r w:rsidRPr="00D933AE">
        <w:t xml:space="preserve"> </w:t>
      </w:r>
      <w:r w:rsidRPr="006E2ACD">
        <w:t>the</w:t>
      </w:r>
      <w:r w:rsidRPr="00D933AE">
        <w:t xml:space="preserve"> implement</w:t>
      </w:r>
      <w:r w:rsidRPr="006E2ACD">
        <w:t>ation of Taskforce endorsed</w:t>
      </w:r>
      <w:r w:rsidRPr="00D933AE">
        <w:t xml:space="preserve"> recommendations</w:t>
      </w:r>
      <w:r w:rsidRPr="006E2ACD">
        <w:t>.</w:t>
      </w:r>
      <w:r w:rsidRPr="00D933AE">
        <w:t xml:space="preserve"> </w:t>
      </w:r>
      <w:r w:rsidRPr="006E2ACD">
        <w:t>The</w:t>
      </w:r>
      <w:r w:rsidRPr="00D933AE">
        <w:t xml:space="preserve"> </w:t>
      </w:r>
      <w:r w:rsidRPr="006E2ACD">
        <w:t>PM ILG</w:t>
      </w:r>
      <w:r w:rsidRPr="00D933AE">
        <w:t xml:space="preserve"> </w:t>
      </w:r>
      <w:r>
        <w:t>assisted</w:t>
      </w:r>
      <w:r w:rsidRPr="00D933AE">
        <w:t xml:space="preserve"> </w:t>
      </w:r>
      <w:r>
        <w:t>the department</w:t>
      </w:r>
      <w:r w:rsidRPr="00D933AE">
        <w:t xml:space="preserve"> to</w:t>
      </w:r>
      <w:r>
        <w:t xml:space="preserve"> i</w:t>
      </w:r>
      <w:r w:rsidRPr="006E2ACD">
        <w:t>mplement the changes</w:t>
      </w:r>
      <w:r w:rsidRPr="00D933AE">
        <w:t xml:space="preserve"> in a way that best meets patient safety and care needs</w:t>
      </w:r>
      <w:r>
        <w:t xml:space="preserve"> and aims to ensure</w:t>
      </w:r>
      <w:r w:rsidRPr="00D933AE">
        <w:t xml:space="preserve"> there are no unintended consequences.</w:t>
      </w:r>
      <w:r>
        <w:t xml:space="preserve"> </w:t>
      </w:r>
      <w:r w:rsidRPr="00D933AE">
        <w:t>ILG members are</w:t>
      </w:r>
      <w:r w:rsidRPr="006E2ACD">
        <w:t xml:space="preserve"> independent experts, </w:t>
      </w:r>
      <w:r>
        <w:t xml:space="preserve">representatives of </w:t>
      </w:r>
      <w:r w:rsidRPr="00D933AE">
        <w:t>professional organisations, practicing clinicians, and consumer representatives.</w:t>
      </w:r>
    </w:p>
    <w:p w14:paraId="2F645AA1" w14:textId="078562FA" w:rsidR="00755336" w:rsidRDefault="00755336" w:rsidP="00755336">
      <w:pPr>
        <w:pStyle w:val="ListParagraph"/>
      </w:pPr>
      <w:r>
        <w:t xml:space="preserve">The PM ILG considered the Taskforce recommendation that resulted in a change to the maternity </w:t>
      </w:r>
      <w:r w:rsidRPr="006E2ACD">
        <w:t>care plan item (82115)</w:t>
      </w:r>
      <w:r w:rsidR="00DB5467">
        <w:t>,</w:t>
      </w:r>
      <w:r w:rsidRPr="006E2ACD">
        <w:t xml:space="preserve"> </w:t>
      </w:r>
      <w:r>
        <w:t>which has been amended to</w:t>
      </w:r>
      <w:r w:rsidRPr="006E2ACD">
        <w:t xml:space="preserve"> restrict claiming to instances where the patient has had at least two antenatal attendances with the claiming participating midwife in the preceding six months</w:t>
      </w:r>
      <w:r w:rsidR="00DB5467">
        <w:t>,</w:t>
      </w:r>
      <w:r w:rsidRPr="006E2ACD">
        <w:t xml:space="preserve"> and to prevent the co-claiming of this item with </w:t>
      </w:r>
      <w:r>
        <w:t xml:space="preserve">the Obstetric items </w:t>
      </w:r>
      <w:r w:rsidRPr="006E2ACD">
        <w:t>16590 or 16591 except in exceptional circumstances.</w:t>
      </w:r>
    </w:p>
    <w:p w14:paraId="37F5A117" w14:textId="77777777" w:rsidR="00755336" w:rsidRPr="0036671A" w:rsidRDefault="00755336" w:rsidP="00755336">
      <w:pPr>
        <w:pStyle w:val="ListParagraph"/>
      </w:pPr>
      <w:r>
        <w:t xml:space="preserve">The PM ILG agreed that an amendment to the maternity care plan item descriptor to allow service provision </w:t>
      </w:r>
      <w:r w:rsidRPr="006E2ACD">
        <w:t>across a pregnancy that has progressed beyond 28 weeks</w:t>
      </w:r>
      <w:r>
        <w:t xml:space="preserve"> will reduce claiming confusion and will provide parity with GP Obstetrician care plan item numbers.</w:t>
      </w:r>
    </w:p>
    <w:p w14:paraId="6531B796" w14:textId="77777777" w:rsidR="00755336" w:rsidRPr="00360408" w:rsidRDefault="00755336" w:rsidP="00755336">
      <w:pPr>
        <w:pStyle w:val="Heading3"/>
      </w:pPr>
      <w:r>
        <w:t xml:space="preserve">How will I know what </w:t>
      </w:r>
      <w:r w:rsidRPr="006E2ACD">
        <w:t>exceptional circumstances</w:t>
      </w:r>
      <w:r>
        <w:t xml:space="preserve"> means for the maternity care plan item?</w:t>
      </w:r>
    </w:p>
    <w:p w14:paraId="3F5CD33A" w14:textId="2962D33A" w:rsidR="00755336" w:rsidRDefault="00755336" w:rsidP="00755336">
      <w:pPr>
        <w:pStyle w:val="ListParagraph"/>
      </w:pPr>
      <w:r>
        <w:rPr>
          <w:rFonts w:eastAsia="Times New Roman"/>
          <w:lang w:eastAsia="en-AU"/>
        </w:rPr>
        <w:t>T</w:t>
      </w:r>
      <w:r w:rsidRPr="009474D8">
        <w:rPr>
          <w:rFonts w:cstheme="minorHAnsi"/>
        </w:rPr>
        <w:t xml:space="preserve">he creation of more than two maternity care plans for a patient, regardless of provider, </w:t>
      </w:r>
      <w:r>
        <w:rPr>
          <w:rFonts w:cstheme="minorHAnsi"/>
        </w:rPr>
        <w:t>is</w:t>
      </w:r>
      <w:r w:rsidRPr="009474D8">
        <w:rPr>
          <w:rFonts w:cstheme="minorHAnsi"/>
        </w:rPr>
        <w:t xml:space="preserve"> unlikely to </w:t>
      </w:r>
      <w:r w:rsidR="00DB5467">
        <w:rPr>
          <w:rFonts w:cstheme="minorHAnsi"/>
        </w:rPr>
        <w:t>support</w:t>
      </w:r>
      <w:r w:rsidR="00DB5467" w:rsidRPr="009474D8">
        <w:rPr>
          <w:rFonts w:cstheme="minorHAnsi"/>
        </w:rPr>
        <w:t xml:space="preserve"> </w:t>
      </w:r>
      <w:r w:rsidRPr="009474D8">
        <w:rPr>
          <w:rFonts w:cstheme="minorHAnsi"/>
        </w:rPr>
        <w:t xml:space="preserve">high-quality care. To mitigate this, </w:t>
      </w:r>
      <w:r>
        <w:rPr>
          <w:rFonts w:cstheme="minorHAnsi"/>
        </w:rPr>
        <w:t>item</w:t>
      </w:r>
      <w:r w:rsidRPr="009474D8">
        <w:rPr>
          <w:rFonts w:cstheme="minorHAnsi"/>
        </w:rPr>
        <w:t xml:space="preserve"> 82115 should not be co-claimed with </w:t>
      </w:r>
      <w:r>
        <w:rPr>
          <w:rFonts w:cstheme="minorHAnsi"/>
        </w:rPr>
        <w:t>item</w:t>
      </w:r>
      <w:r w:rsidRPr="009474D8">
        <w:rPr>
          <w:rFonts w:cstheme="minorHAnsi"/>
        </w:rPr>
        <w:t xml:space="preserve"> 16590 or 16591 in the same pregnancy</w:t>
      </w:r>
      <w:r w:rsidR="00DB5467">
        <w:rPr>
          <w:rFonts w:cstheme="minorHAnsi"/>
        </w:rPr>
        <w:t>,</w:t>
      </w:r>
      <w:r>
        <w:rPr>
          <w:rFonts w:cstheme="minorHAnsi"/>
        </w:rPr>
        <w:t xml:space="preserve"> </w:t>
      </w:r>
      <w:r w:rsidRPr="006E2ACD">
        <w:t>except in exceptional circumstances.</w:t>
      </w:r>
    </w:p>
    <w:p w14:paraId="1BEB5C76" w14:textId="580F42DD" w:rsidR="008448C8" w:rsidRPr="00B55391" w:rsidRDefault="00A75162" w:rsidP="00B55391">
      <w:pPr>
        <w:pStyle w:val="ListParagraph"/>
        <w:rPr>
          <w:rFonts w:cstheme="minorHAnsi"/>
        </w:rPr>
      </w:pPr>
      <w:r>
        <w:t>An exceptional circumstance where a new maternity care plan may be required includes where there has been a significant change in the patient's clinical condition or maternity care requirements.</w:t>
      </w:r>
      <w:r w:rsidRPr="00466A21">
        <w:rPr>
          <w:rFonts w:cstheme="minorHAnsi"/>
        </w:rPr>
        <w:t xml:space="preserve"> </w:t>
      </w:r>
      <w:r>
        <w:rPr>
          <w:rFonts w:cstheme="minorHAnsi"/>
        </w:rPr>
        <w:t xml:space="preserve">For </w:t>
      </w:r>
      <w:r w:rsidR="00755336" w:rsidRPr="00466A21">
        <w:rPr>
          <w:rFonts w:cstheme="minorHAnsi"/>
        </w:rPr>
        <w:t xml:space="preserve">example, </w:t>
      </w:r>
      <w:r>
        <w:rPr>
          <w:rFonts w:cstheme="minorHAnsi"/>
        </w:rPr>
        <w:t xml:space="preserve">where there has been a diagnosis that will significantly affect the maternity care </w:t>
      </w:r>
      <w:r w:rsidR="00DB5467">
        <w:rPr>
          <w:rFonts w:cstheme="minorHAnsi"/>
        </w:rPr>
        <w:t>requirements,</w:t>
      </w:r>
      <w:r w:rsidR="00755336">
        <w:rPr>
          <w:rFonts w:cstheme="minorHAnsi"/>
        </w:rPr>
        <w:t xml:space="preserve"> or the </w:t>
      </w:r>
      <w:r w:rsidR="00DB5467">
        <w:rPr>
          <w:rFonts w:cstheme="minorHAnsi"/>
        </w:rPr>
        <w:t xml:space="preserve">participating midwife </w:t>
      </w:r>
      <w:r>
        <w:rPr>
          <w:rFonts w:cstheme="minorHAnsi"/>
        </w:rPr>
        <w:t xml:space="preserve">becomes the </w:t>
      </w:r>
      <w:r w:rsidR="00755336">
        <w:rPr>
          <w:rFonts w:cstheme="minorHAnsi"/>
        </w:rPr>
        <w:t>primary care provider</w:t>
      </w:r>
      <w:r>
        <w:rPr>
          <w:rFonts w:cstheme="minorHAnsi"/>
        </w:rPr>
        <w:t xml:space="preserve"> with the intention </w:t>
      </w:r>
      <w:r w:rsidR="00755336">
        <w:rPr>
          <w:rFonts w:cstheme="minorHAnsi"/>
        </w:rPr>
        <w:t>to attend the birth</w:t>
      </w:r>
      <w:r w:rsidR="00DB5467">
        <w:rPr>
          <w:rFonts w:cstheme="minorHAnsi"/>
        </w:rPr>
        <w:t>,</w:t>
      </w:r>
      <w:r>
        <w:rPr>
          <w:rFonts w:cstheme="minorHAnsi"/>
        </w:rPr>
        <w:t xml:space="preserve"> but the previously completed maternity care plan </w:t>
      </w:r>
      <w:r w:rsidR="00DB5467">
        <w:rPr>
          <w:rFonts w:cstheme="minorHAnsi"/>
        </w:rPr>
        <w:t xml:space="preserve">prepared </w:t>
      </w:r>
      <w:r>
        <w:rPr>
          <w:rFonts w:cstheme="minorHAnsi"/>
        </w:rPr>
        <w:t>by a GP/</w:t>
      </w:r>
      <w:r w:rsidR="003F074E">
        <w:rPr>
          <w:rFonts w:cstheme="minorHAnsi"/>
        </w:rPr>
        <w:t>obstetrician</w:t>
      </w:r>
      <w:r>
        <w:rPr>
          <w:rFonts w:cstheme="minorHAnsi"/>
        </w:rPr>
        <w:t xml:space="preserve"> cannot be accessed.</w:t>
      </w:r>
    </w:p>
    <w:p w14:paraId="363C5C58" w14:textId="77777777" w:rsidR="008448C8" w:rsidRPr="004157F8" w:rsidRDefault="008448C8" w:rsidP="008448C8">
      <w:pPr>
        <w:pStyle w:val="ListParagraph"/>
      </w:pPr>
      <w:r w:rsidRPr="004157F8">
        <w:t>For claiming purposes, the exceptional circumstance requiring another maternity care plan needs to be recorded in the patient’s notes, and “exceptional circumstance” notated when submitting the claim.</w:t>
      </w:r>
    </w:p>
    <w:p w14:paraId="43F4D8B4" w14:textId="609E7225" w:rsidR="00533167" w:rsidRPr="004157F8" w:rsidRDefault="00E94EC7" w:rsidP="008448C8">
      <w:pPr>
        <w:pStyle w:val="Heading3"/>
      </w:pPr>
      <w:r>
        <w:t xml:space="preserve">What </w:t>
      </w:r>
      <w:r w:rsidR="00C80E94">
        <w:t xml:space="preserve">are the antenatal attendance requirements </w:t>
      </w:r>
      <w:r w:rsidR="00A2198E">
        <w:t>for</w:t>
      </w:r>
      <w:r w:rsidR="00C80E94">
        <w:t xml:space="preserve"> claiming </w:t>
      </w:r>
      <w:r>
        <w:t>a maternity care plan (82115)</w:t>
      </w:r>
      <w:r w:rsidR="00533167" w:rsidRPr="004157F8">
        <w:t xml:space="preserve">?  </w:t>
      </w:r>
    </w:p>
    <w:p w14:paraId="0DB47FCD" w14:textId="5C84F32C" w:rsidR="00C80E94" w:rsidRDefault="00124AC8" w:rsidP="00862FEB">
      <w:pPr>
        <w:pStyle w:val="ListParagraph"/>
      </w:pPr>
      <w:r>
        <w:t>From 1 March 2022</w:t>
      </w:r>
      <w:r w:rsidR="008306CB">
        <w:t>,</w:t>
      </w:r>
      <w:r>
        <w:t xml:space="preserve"> </w:t>
      </w:r>
      <w:r w:rsidR="00BE1FCF">
        <w:t xml:space="preserve">item 82115 </w:t>
      </w:r>
      <w:r w:rsidR="005A0E64" w:rsidRPr="00DD0D8C">
        <w:t xml:space="preserve">will be amended to restrict claiming to instances </w:t>
      </w:r>
      <w:r w:rsidR="005A0E64">
        <w:t>in which</w:t>
      </w:r>
      <w:r w:rsidR="005A0E64" w:rsidRPr="00DD0D8C">
        <w:t xml:space="preserve"> the patient has had at least two antenatal attendances</w:t>
      </w:r>
      <w:r w:rsidR="00BE1FCF">
        <w:t>,</w:t>
      </w:r>
      <w:r w:rsidR="005A0E64" w:rsidRPr="00DD0D8C">
        <w:t xml:space="preserve"> with the claiming participating midwife</w:t>
      </w:r>
      <w:r w:rsidR="00BE1FCF">
        <w:t>,</w:t>
      </w:r>
      <w:r w:rsidR="005A0E64" w:rsidRPr="00DD0D8C">
        <w:t xml:space="preserve"> in the preceding six months</w:t>
      </w:r>
      <w:r w:rsidR="005A0E64">
        <w:t>.</w:t>
      </w:r>
    </w:p>
    <w:p w14:paraId="094C2D31" w14:textId="2F3B817B" w:rsidR="005A0E64" w:rsidRDefault="005A0E64" w:rsidP="00862FEB">
      <w:pPr>
        <w:pStyle w:val="ListParagraph"/>
      </w:pPr>
      <w:r>
        <w:t>Th</w:t>
      </w:r>
      <w:r w:rsidR="00533167" w:rsidRPr="0004311F">
        <w:t xml:space="preserve">ere will be a </w:t>
      </w:r>
      <w:r w:rsidR="00F336EA">
        <w:t>six</w:t>
      </w:r>
      <w:r w:rsidR="00F336EA" w:rsidRPr="0004311F">
        <w:t>-month</w:t>
      </w:r>
      <w:r w:rsidR="00533167" w:rsidRPr="0004311F">
        <w:t xml:space="preserve"> </w:t>
      </w:r>
      <w:r w:rsidR="008306CB">
        <w:t xml:space="preserve">transition </w:t>
      </w:r>
      <w:r w:rsidR="00533167" w:rsidRPr="0004311F">
        <w:t xml:space="preserve">period </w:t>
      </w:r>
      <w:r w:rsidR="00E94EC7">
        <w:t>for th</w:t>
      </w:r>
      <w:r>
        <w:t xml:space="preserve">is requirement. </w:t>
      </w:r>
      <w:r w:rsidR="00A2198E">
        <w:t xml:space="preserve">This </w:t>
      </w:r>
      <w:r w:rsidR="00FC514A">
        <w:t>transition period acknowledges</w:t>
      </w:r>
      <w:r w:rsidR="00A2198E">
        <w:t xml:space="preserve"> that in the </w:t>
      </w:r>
      <w:r w:rsidR="00EC77C5">
        <w:t>six</w:t>
      </w:r>
      <w:r w:rsidR="00787E02">
        <w:t> </w:t>
      </w:r>
      <w:r w:rsidR="00A2198E">
        <w:t>month</w:t>
      </w:r>
      <w:r w:rsidR="00787E02">
        <w:t>s</w:t>
      </w:r>
      <w:r w:rsidR="00A2198E">
        <w:t xml:space="preserve"> prior to 1 March 2022 (before this requirement was legislated), participating midwives may not have had the </w:t>
      </w:r>
      <w:r w:rsidR="00FC514A">
        <w:t xml:space="preserve">required two </w:t>
      </w:r>
      <w:r w:rsidR="00A2198E">
        <w:t xml:space="preserve">antenatal </w:t>
      </w:r>
      <w:r w:rsidR="00FC514A">
        <w:t>visits</w:t>
      </w:r>
      <w:r w:rsidR="00A2198E">
        <w:t xml:space="preserve"> </w:t>
      </w:r>
      <w:r w:rsidR="00FC514A">
        <w:t>with the patient to claim 82115</w:t>
      </w:r>
      <w:r w:rsidR="00F336EA">
        <w:t xml:space="preserve"> </w:t>
      </w:r>
      <w:r w:rsidR="00B55391">
        <w:t>as</w:t>
      </w:r>
      <w:r w:rsidR="00F336EA">
        <w:t xml:space="preserve"> </w:t>
      </w:r>
      <w:r w:rsidR="00A2198E">
        <w:t>at the time</w:t>
      </w:r>
      <w:r w:rsidR="00B55391">
        <w:t xml:space="preserve"> they</w:t>
      </w:r>
      <w:r w:rsidR="00A2198E">
        <w:t xml:space="preserve"> were not aware of the upcoming requirement.</w:t>
      </w:r>
    </w:p>
    <w:p w14:paraId="5DA97F7B" w14:textId="77777777" w:rsidR="00787E02" w:rsidRDefault="00787E02" w:rsidP="00862FEB">
      <w:pPr>
        <w:pStyle w:val="ListParagraph"/>
      </w:pPr>
      <w:r>
        <w:t>The transition period will end on 1 September 2022.</w:t>
      </w:r>
    </w:p>
    <w:p w14:paraId="15A492B3" w14:textId="38B549C5" w:rsidR="00533167" w:rsidRDefault="00E94EC7" w:rsidP="00862FEB">
      <w:pPr>
        <w:pStyle w:val="ListParagraph"/>
      </w:pPr>
      <w:r>
        <w:t xml:space="preserve">For example, if 82115 is provided on </w:t>
      </w:r>
      <w:r w:rsidR="008306CB">
        <w:t>1 </w:t>
      </w:r>
      <w:r w:rsidR="00A2198E">
        <w:t>April</w:t>
      </w:r>
      <w:r w:rsidR="008306CB">
        <w:t xml:space="preserve"> 2022</w:t>
      </w:r>
      <w:r w:rsidR="00A2198E">
        <w:t xml:space="preserve"> and only one antenatal attendance by the same participating midwife was provided</w:t>
      </w:r>
      <w:r w:rsidR="00787E02">
        <w:t xml:space="preserve"> in the past </w:t>
      </w:r>
      <w:r w:rsidR="00EC77C5">
        <w:t>six</w:t>
      </w:r>
      <w:r w:rsidR="00787E02">
        <w:t xml:space="preserve"> months</w:t>
      </w:r>
      <w:r w:rsidR="00FC514A">
        <w:t>,</w:t>
      </w:r>
      <w:r w:rsidR="00A2198E">
        <w:t xml:space="preserve"> the</w:t>
      </w:r>
      <w:r w:rsidR="00787E02">
        <w:t>n</w:t>
      </w:r>
      <w:r w:rsidR="00A2198E">
        <w:t xml:space="preserve"> claim</w:t>
      </w:r>
      <w:r w:rsidR="00BE1FCF">
        <w:t>ing</w:t>
      </w:r>
      <w:r w:rsidR="00A2198E">
        <w:t xml:space="preserve"> item 82115 will still be </w:t>
      </w:r>
      <w:r w:rsidR="00BE1FCF">
        <w:t>permitted</w:t>
      </w:r>
      <w:r w:rsidR="00A2198E">
        <w:t xml:space="preserve">. </w:t>
      </w:r>
      <w:r w:rsidR="00787E02">
        <w:t>If this same scenario occurs on 2 September 2022</w:t>
      </w:r>
      <w:r w:rsidR="00BE1FCF">
        <w:t>,</w:t>
      </w:r>
      <w:r w:rsidR="00787E02">
        <w:t xml:space="preserve"> </w:t>
      </w:r>
      <w:r w:rsidR="00BE1FCF">
        <w:t xml:space="preserve">then </w:t>
      </w:r>
      <w:r w:rsidR="00787E02">
        <w:t xml:space="preserve">the claim </w:t>
      </w:r>
      <w:r w:rsidR="00BE1FCF">
        <w:t>would not be permitted</w:t>
      </w:r>
      <w:r w:rsidR="00787E02">
        <w:t>.</w:t>
      </w:r>
    </w:p>
    <w:p w14:paraId="0400BEB4" w14:textId="77777777" w:rsidR="004E3F35" w:rsidRDefault="004E3F35" w:rsidP="004E3F35">
      <w:pPr>
        <w:pStyle w:val="Disclaimer"/>
      </w:pPr>
      <w:r w:rsidRPr="0029176A">
        <w:lastRenderedPageBreak/>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F091FAC" w14:textId="1DDBE8C1" w:rsidR="004E3F35" w:rsidRDefault="004E3F35" w:rsidP="004C65D2">
      <w:pPr>
        <w:pStyle w:val="Disclaimer"/>
      </w:pPr>
      <w:r w:rsidRPr="0029176A">
        <w:t xml:space="preserve">This sheet is current as of the </w:t>
      </w:r>
      <w:r w:rsidR="007362C7">
        <w:t>l</w:t>
      </w:r>
      <w:r w:rsidRPr="0029176A">
        <w:t>ast updated date</w:t>
      </w:r>
      <w:r>
        <w:t xml:space="preserve"> shown </w:t>
      </w:r>
      <w:r w:rsidR="00BA5C3C">
        <w:t>above</w:t>
      </w:r>
      <w:r w:rsidR="00BA5C3C" w:rsidRPr="0029176A">
        <w:t xml:space="preserve"> and</w:t>
      </w:r>
      <w:r w:rsidRPr="0029176A">
        <w:t xml:space="preserve"> does not account for MBS changes</w:t>
      </w:r>
      <w:r>
        <w:t xml:space="preserve"> since that date</w:t>
      </w:r>
      <w:r w:rsidRPr="0029176A">
        <w:t>.</w:t>
      </w:r>
    </w:p>
    <w:sectPr w:rsidR="004E3F35" w:rsidSect="003E6457">
      <w:headerReference w:type="default" r:id="rId13"/>
      <w:footerReference w:type="default" r:id="rId14"/>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7E360" w14:textId="77777777" w:rsidR="000E066F" w:rsidRDefault="000E066F" w:rsidP="009111BD">
      <w:r>
        <w:separator/>
      </w:r>
    </w:p>
  </w:endnote>
  <w:endnote w:type="continuationSeparator" w:id="0">
    <w:p w14:paraId="064A146B" w14:textId="77777777" w:rsidR="000E066F" w:rsidRDefault="000E066F" w:rsidP="009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F7C17" w14:textId="77777777" w:rsidR="00F546CA" w:rsidRDefault="00B553E8">
    <w:pPr>
      <w:pStyle w:val="Footer"/>
    </w:pPr>
    <w:r>
      <w:rPr>
        <w:rStyle w:val="BookTitle"/>
        <w:noProof/>
      </w:rPr>
      <w:pict w14:anchorId="2E31898B">
        <v:rect id="_x0000_i1026" style="width:523.3pt;height:1.6pt" o:hralign="center" o:hrstd="t" o:hr="t" fillcolor="#a0a0a0" stroked="f"/>
      </w:pict>
    </w:r>
    <w:r w:rsidR="00F546CA">
      <w:t>Medicare Benefits Schedule</w:t>
    </w:r>
  </w:p>
  <w:p w14:paraId="3838331B" w14:textId="67F329B4" w:rsidR="00F546CA" w:rsidRDefault="00F105E0" w:rsidP="008B3C98">
    <w:pPr>
      <w:pStyle w:val="Footer"/>
      <w:tabs>
        <w:tab w:val="clear" w:pos="9026"/>
        <w:tab w:val="right" w:pos="10466"/>
      </w:tabs>
    </w:pPr>
    <w:r>
      <w:rPr>
        <w:b/>
      </w:rPr>
      <w:t xml:space="preserve">Participating </w:t>
    </w:r>
    <w:r w:rsidR="00DF106D">
      <w:rPr>
        <w:b/>
      </w:rPr>
      <w:t>M</w:t>
    </w:r>
    <w:r>
      <w:rPr>
        <w:b/>
      </w:rPr>
      <w:t>idwives services</w:t>
    </w:r>
    <w:r w:rsidR="00F546CA" w:rsidRPr="00E863C4">
      <w:rPr>
        <w:b/>
      </w:rPr>
      <w:t xml:space="preserve"> – </w:t>
    </w:r>
    <w:r w:rsidR="00765D45">
      <w:rPr>
        <w:b/>
      </w:rPr>
      <w:t>FAQs</w:t>
    </w:r>
    <w:r w:rsidR="00F546CA" w:rsidRPr="00E863C4">
      <w:t xml:space="preserve"> </w:t>
    </w:r>
    <w:sdt>
      <w:sdtPr>
        <w:id w:val="-1733147854"/>
        <w:docPartObj>
          <w:docPartGallery w:val="Page Numbers (Bottom of Page)"/>
          <w:docPartUnique/>
        </w:docPartObj>
      </w:sdtPr>
      <w:sdtEndPr>
        <w:rPr>
          <w:noProof/>
        </w:rPr>
      </w:sdtEndPr>
      <w:sdtContent>
        <w:r w:rsidR="00F546CA">
          <w:tab/>
        </w:r>
        <w:r w:rsidR="00F546C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F546CA" w:rsidRPr="00F546CA">
                  <w:t xml:space="preserve">Page </w:t>
                </w:r>
                <w:r w:rsidR="00F546CA" w:rsidRPr="00F546CA">
                  <w:rPr>
                    <w:bCs/>
                    <w:sz w:val="24"/>
                    <w:szCs w:val="24"/>
                  </w:rPr>
                  <w:fldChar w:fldCharType="begin"/>
                </w:r>
                <w:r w:rsidR="00F546CA" w:rsidRPr="00F546CA">
                  <w:rPr>
                    <w:bCs/>
                  </w:rPr>
                  <w:instrText xml:space="preserve"> PAGE </w:instrText>
                </w:r>
                <w:r w:rsidR="00F546CA" w:rsidRPr="00F546CA">
                  <w:rPr>
                    <w:bCs/>
                    <w:sz w:val="24"/>
                    <w:szCs w:val="24"/>
                  </w:rPr>
                  <w:fldChar w:fldCharType="separate"/>
                </w:r>
                <w:r w:rsidR="00EC77C5">
                  <w:rPr>
                    <w:bCs/>
                    <w:noProof/>
                  </w:rPr>
                  <w:t>3</w:t>
                </w:r>
                <w:r w:rsidR="00F546CA" w:rsidRPr="00F546CA">
                  <w:rPr>
                    <w:bCs/>
                    <w:sz w:val="24"/>
                    <w:szCs w:val="24"/>
                  </w:rPr>
                  <w:fldChar w:fldCharType="end"/>
                </w:r>
                <w:r w:rsidR="00F546CA" w:rsidRPr="00F546CA">
                  <w:t xml:space="preserve"> of </w:t>
                </w:r>
                <w:r w:rsidR="00F546CA" w:rsidRPr="00F546CA">
                  <w:rPr>
                    <w:bCs/>
                    <w:sz w:val="24"/>
                    <w:szCs w:val="24"/>
                  </w:rPr>
                  <w:fldChar w:fldCharType="begin"/>
                </w:r>
                <w:r w:rsidR="00F546CA" w:rsidRPr="00F546CA">
                  <w:rPr>
                    <w:bCs/>
                  </w:rPr>
                  <w:instrText xml:space="preserve"> NUMPAGES  </w:instrText>
                </w:r>
                <w:r w:rsidR="00F546CA" w:rsidRPr="00F546CA">
                  <w:rPr>
                    <w:bCs/>
                    <w:sz w:val="24"/>
                    <w:szCs w:val="24"/>
                  </w:rPr>
                  <w:fldChar w:fldCharType="separate"/>
                </w:r>
                <w:r w:rsidR="00EC77C5">
                  <w:rPr>
                    <w:bCs/>
                    <w:noProof/>
                  </w:rPr>
                  <w:t>4</w:t>
                </w:r>
                <w:r w:rsidR="00F546CA" w:rsidRPr="00F546CA">
                  <w:rPr>
                    <w:bCs/>
                    <w:sz w:val="24"/>
                    <w:szCs w:val="24"/>
                  </w:rPr>
                  <w:fldChar w:fldCharType="end"/>
                </w:r>
              </w:sdtContent>
            </w:sdt>
          </w:sdtContent>
        </w:sdt>
      </w:sdtContent>
    </w:sdt>
  </w:p>
  <w:p w14:paraId="5F0D67DA" w14:textId="593855A6" w:rsidR="00B83C75" w:rsidRDefault="00B553E8" w:rsidP="00E94EC7">
    <w:pPr>
      <w:pStyle w:val="Footer"/>
      <w:tabs>
        <w:tab w:val="clear" w:pos="4513"/>
        <w:tab w:val="clear" w:pos="9026"/>
        <w:tab w:val="center" w:pos="5233"/>
      </w:tabs>
      <w:rPr>
        <w:rStyle w:val="Hyperlink"/>
        <w:szCs w:val="18"/>
      </w:rPr>
    </w:pPr>
    <w:hyperlink r:id="rId1" w:history="1">
      <w:r w:rsidR="00F546CA" w:rsidRPr="00E863C4">
        <w:rPr>
          <w:rStyle w:val="Hyperlink"/>
          <w:szCs w:val="18"/>
        </w:rPr>
        <w:t>MBS Online</w:t>
      </w:r>
    </w:hyperlink>
  </w:p>
  <w:p w14:paraId="2055F641" w14:textId="685B06DB" w:rsidR="00A059D1" w:rsidRPr="00A059D1" w:rsidRDefault="00A059D1">
    <w:pPr>
      <w:pStyle w:val="Footer"/>
    </w:pPr>
    <w:r>
      <w:t xml:space="preserve">Last updated – </w:t>
    </w:r>
    <w:r w:rsidR="00F336EA">
      <w:t xml:space="preserve">1 March </w:t>
    </w:r>
    <w:r>
      <w:t>20</w:t>
    </w:r>
    <w:r w:rsidR="00F105E0">
      <w:t>2</w:t>
    </w:r>
    <w:r w:rsidR="008D19A8">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C0651" w14:textId="77777777" w:rsidR="000E066F" w:rsidRDefault="000E066F" w:rsidP="00C812D8">
      <w:r>
        <w:separator/>
      </w:r>
    </w:p>
  </w:footnote>
  <w:footnote w:type="continuationSeparator" w:id="0">
    <w:p w14:paraId="52455496" w14:textId="77777777" w:rsidR="000E066F" w:rsidRDefault="000E066F" w:rsidP="00C8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E3F7" w14:textId="77777777" w:rsidR="006D1088" w:rsidRDefault="00823C9E">
    <w:pPr>
      <w:pStyle w:val="Header"/>
    </w:pPr>
    <w:r w:rsidRPr="00113A85">
      <w:rPr>
        <w:noProof/>
        <w:lang w:eastAsia="en-AU"/>
      </w:rPr>
      <mc:AlternateContent>
        <mc:Choice Requires="wps">
          <w:drawing>
            <wp:anchor distT="0" distB="0" distL="114300" distR="114300" simplePos="0" relativeHeight="251660288" behindDoc="0" locked="0" layoutInCell="1" allowOverlap="1" wp14:anchorId="708AF49A" wp14:editId="1DD6B8AD">
              <wp:simplePos x="0" y="0"/>
              <wp:positionH relativeFrom="column">
                <wp:align>right</wp:align>
              </wp:positionH>
              <wp:positionV relativeFrom="paragraph">
                <wp:posOffset>-288646</wp:posOffset>
              </wp:positionV>
              <wp:extent cx="31248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800" cy="1285200"/>
                      </a:xfrm>
                      <a:prstGeom prst="rect">
                        <a:avLst/>
                      </a:prstGeom>
                    </wps:spPr>
                    <wps:txbx>
                      <w:txbxContent>
                        <w:p w14:paraId="3D7673C9" w14:textId="77777777"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08AF49A" id="Title 3" o:spid="_x0000_s1026" style="position:absolute;margin-left:194.85pt;margin-top:-22.75pt;width:246.0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" filled="f" stroked="f">
              <o:lock v:ext="edit" grouping="t"/>
              <v:textbox>
                <w:txbxContent>
                  <w:p w14:paraId="3D7673C9" w14:textId="77777777"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51777AB8" wp14:editId="6FABD5AF">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A202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8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AB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6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28D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F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21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EC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F46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A9B86440"/>
    <w:lvl w:ilvl="0" w:tplc="57E204F2">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9BC50A2"/>
    <w:multiLevelType w:val="hybridMultilevel"/>
    <w:tmpl w:val="574EC2F6"/>
    <w:lvl w:ilvl="0" w:tplc="F6B4FC8E">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6E79F1"/>
    <w:multiLevelType w:val="multilevel"/>
    <w:tmpl w:val="E7B6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7A"/>
    <w:rsid w:val="00001683"/>
    <w:rsid w:val="00021EE3"/>
    <w:rsid w:val="000237FD"/>
    <w:rsid w:val="00030147"/>
    <w:rsid w:val="00034D79"/>
    <w:rsid w:val="00035D0B"/>
    <w:rsid w:val="00035E7D"/>
    <w:rsid w:val="0004311F"/>
    <w:rsid w:val="00045810"/>
    <w:rsid w:val="00066761"/>
    <w:rsid w:val="00095B85"/>
    <w:rsid w:val="000B01AE"/>
    <w:rsid w:val="000B19F3"/>
    <w:rsid w:val="000B4C5D"/>
    <w:rsid w:val="000B6743"/>
    <w:rsid w:val="000C2143"/>
    <w:rsid w:val="000C2592"/>
    <w:rsid w:val="000D1778"/>
    <w:rsid w:val="000E066F"/>
    <w:rsid w:val="001072B5"/>
    <w:rsid w:val="00121100"/>
    <w:rsid w:val="00124AC8"/>
    <w:rsid w:val="00124E0B"/>
    <w:rsid w:val="0012766C"/>
    <w:rsid w:val="00132B6A"/>
    <w:rsid w:val="00135417"/>
    <w:rsid w:val="001432AF"/>
    <w:rsid w:val="00155BD4"/>
    <w:rsid w:val="0017279A"/>
    <w:rsid w:val="00174958"/>
    <w:rsid w:val="00181B52"/>
    <w:rsid w:val="00183473"/>
    <w:rsid w:val="0018569E"/>
    <w:rsid w:val="0019170A"/>
    <w:rsid w:val="001935F8"/>
    <w:rsid w:val="001A61B5"/>
    <w:rsid w:val="001A7FB7"/>
    <w:rsid w:val="001B0B09"/>
    <w:rsid w:val="001B31D3"/>
    <w:rsid w:val="001B6250"/>
    <w:rsid w:val="001C1E64"/>
    <w:rsid w:val="001F49E8"/>
    <w:rsid w:val="00200902"/>
    <w:rsid w:val="00203F3E"/>
    <w:rsid w:val="002055AE"/>
    <w:rsid w:val="00214B52"/>
    <w:rsid w:val="00215118"/>
    <w:rsid w:val="00217AD2"/>
    <w:rsid w:val="0022733E"/>
    <w:rsid w:val="00246A9C"/>
    <w:rsid w:val="002477CE"/>
    <w:rsid w:val="0026502E"/>
    <w:rsid w:val="002976EF"/>
    <w:rsid w:val="002A3C7C"/>
    <w:rsid w:val="002A5A70"/>
    <w:rsid w:val="002D4654"/>
    <w:rsid w:val="002E437E"/>
    <w:rsid w:val="002F0904"/>
    <w:rsid w:val="002F4588"/>
    <w:rsid w:val="002F67E8"/>
    <w:rsid w:val="0030252A"/>
    <w:rsid w:val="00325706"/>
    <w:rsid w:val="00342C2D"/>
    <w:rsid w:val="00352174"/>
    <w:rsid w:val="00360408"/>
    <w:rsid w:val="00360A40"/>
    <w:rsid w:val="003633B3"/>
    <w:rsid w:val="00363819"/>
    <w:rsid w:val="00374AE3"/>
    <w:rsid w:val="0037564E"/>
    <w:rsid w:val="003828FD"/>
    <w:rsid w:val="003B56AD"/>
    <w:rsid w:val="003C04DF"/>
    <w:rsid w:val="003D300C"/>
    <w:rsid w:val="003D5CEF"/>
    <w:rsid w:val="003E0945"/>
    <w:rsid w:val="003E601E"/>
    <w:rsid w:val="003E6457"/>
    <w:rsid w:val="003E6FA7"/>
    <w:rsid w:val="003F074E"/>
    <w:rsid w:val="00406652"/>
    <w:rsid w:val="00413BCB"/>
    <w:rsid w:val="004157F8"/>
    <w:rsid w:val="0042239E"/>
    <w:rsid w:val="00425089"/>
    <w:rsid w:val="00427D7F"/>
    <w:rsid w:val="004324B6"/>
    <w:rsid w:val="0043744D"/>
    <w:rsid w:val="004411DF"/>
    <w:rsid w:val="0044388A"/>
    <w:rsid w:val="00445086"/>
    <w:rsid w:val="00461212"/>
    <w:rsid w:val="00466A21"/>
    <w:rsid w:val="00494B72"/>
    <w:rsid w:val="004A1348"/>
    <w:rsid w:val="004A6F92"/>
    <w:rsid w:val="004B243F"/>
    <w:rsid w:val="004B401F"/>
    <w:rsid w:val="004C65D2"/>
    <w:rsid w:val="004D2C7C"/>
    <w:rsid w:val="004D71C4"/>
    <w:rsid w:val="004E3F35"/>
    <w:rsid w:val="004E52A2"/>
    <w:rsid w:val="004F0AA6"/>
    <w:rsid w:val="005103F9"/>
    <w:rsid w:val="005158C1"/>
    <w:rsid w:val="00524921"/>
    <w:rsid w:val="00525811"/>
    <w:rsid w:val="005261D0"/>
    <w:rsid w:val="00533167"/>
    <w:rsid w:val="0054242B"/>
    <w:rsid w:val="00542EAD"/>
    <w:rsid w:val="00542F07"/>
    <w:rsid w:val="00550525"/>
    <w:rsid w:val="0056074F"/>
    <w:rsid w:val="00595BBD"/>
    <w:rsid w:val="005A0E64"/>
    <w:rsid w:val="005D0893"/>
    <w:rsid w:val="005E0A69"/>
    <w:rsid w:val="005E728B"/>
    <w:rsid w:val="0061198C"/>
    <w:rsid w:val="006173AC"/>
    <w:rsid w:val="0062100F"/>
    <w:rsid w:val="00631DE5"/>
    <w:rsid w:val="00634880"/>
    <w:rsid w:val="00644A81"/>
    <w:rsid w:val="00655D74"/>
    <w:rsid w:val="0067584B"/>
    <w:rsid w:val="00684D37"/>
    <w:rsid w:val="006B5EFD"/>
    <w:rsid w:val="006D04CC"/>
    <w:rsid w:val="006D1088"/>
    <w:rsid w:val="006D1EAA"/>
    <w:rsid w:val="006E2ACD"/>
    <w:rsid w:val="006E4C7E"/>
    <w:rsid w:val="006E7984"/>
    <w:rsid w:val="006F117C"/>
    <w:rsid w:val="006F5785"/>
    <w:rsid w:val="00713E99"/>
    <w:rsid w:val="0071729D"/>
    <w:rsid w:val="00726103"/>
    <w:rsid w:val="007354A6"/>
    <w:rsid w:val="007362C7"/>
    <w:rsid w:val="00736D31"/>
    <w:rsid w:val="00755336"/>
    <w:rsid w:val="0075656C"/>
    <w:rsid w:val="00762247"/>
    <w:rsid w:val="0076373A"/>
    <w:rsid w:val="00765A2C"/>
    <w:rsid w:val="00765D45"/>
    <w:rsid w:val="00787E02"/>
    <w:rsid w:val="00792AF9"/>
    <w:rsid w:val="007B6DBE"/>
    <w:rsid w:val="007D1D3A"/>
    <w:rsid w:val="007E50D4"/>
    <w:rsid w:val="007F3A19"/>
    <w:rsid w:val="008126B3"/>
    <w:rsid w:val="00823C9E"/>
    <w:rsid w:val="0082584A"/>
    <w:rsid w:val="008306CB"/>
    <w:rsid w:val="008352AC"/>
    <w:rsid w:val="008414FA"/>
    <w:rsid w:val="008448C8"/>
    <w:rsid w:val="00852651"/>
    <w:rsid w:val="00861A9F"/>
    <w:rsid w:val="008657DE"/>
    <w:rsid w:val="0086725F"/>
    <w:rsid w:val="00881219"/>
    <w:rsid w:val="00883FDE"/>
    <w:rsid w:val="008957B9"/>
    <w:rsid w:val="008B3306"/>
    <w:rsid w:val="008B3C98"/>
    <w:rsid w:val="008D08E8"/>
    <w:rsid w:val="008D19A8"/>
    <w:rsid w:val="008F1594"/>
    <w:rsid w:val="008F4B45"/>
    <w:rsid w:val="008F70CC"/>
    <w:rsid w:val="009000AA"/>
    <w:rsid w:val="009047D7"/>
    <w:rsid w:val="00907B4A"/>
    <w:rsid w:val="009111BD"/>
    <w:rsid w:val="009116F1"/>
    <w:rsid w:val="00942A31"/>
    <w:rsid w:val="009562F4"/>
    <w:rsid w:val="0096557A"/>
    <w:rsid w:val="009705CD"/>
    <w:rsid w:val="00971D9E"/>
    <w:rsid w:val="00976C74"/>
    <w:rsid w:val="009A31A0"/>
    <w:rsid w:val="009A4C2F"/>
    <w:rsid w:val="009B51E7"/>
    <w:rsid w:val="009D0B98"/>
    <w:rsid w:val="009D6523"/>
    <w:rsid w:val="009E66EE"/>
    <w:rsid w:val="009E6DE2"/>
    <w:rsid w:val="009E7E6A"/>
    <w:rsid w:val="00A059D1"/>
    <w:rsid w:val="00A2198E"/>
    <w:rsid w:val="00A266C9"/>
    <w:rsid w:val="00A368AC"/>
    <w:rsid w:val="00A37B6B"/>
    <w:rsid w:val="00A37CE3"/>
    <w:rsid w:val="00A44A12"/>
    <w:rsid w:val="00A55978"/>
    <w:rsid w:val="00A63EC4"/>
    <w:rsid w:val="00A64177"/>
    <w:rsid w:val="00A66A40"/>
    <w:rsid w:val="00A7172E"/>
    <w:rsid w:val="00A75162"/>
    <w:rsid w:val="00A76740"/>
    <w:rsid w:val="00A91196"/>
    <w:rsid w:val="00AA41CD"/>
    <w:rsid w:val="00AA5232"/>
    <w:rsid w:val="00AB0197"/>
    <w:rsid w:val="00AB432E"/>
    <w:rsid w:val="00AD43C4"/>
    <w:rsid w:val="00AE37C7"/>
    <w:rsid w:val="00AE5266"/>
    <w:rsid w:val="00AF701F"/>
    <w:rsid w:val="00B15CE8"/>
    <w:rsid w:val="00B23662"/>
    <w:rsid w:val="00B23A4C"/>
    <w:rsid w:val="00B31FBA"/>
    <w:rsid w:val="00B55391"/>
    <w:rsid w:val="00B553E8"/>
    <w:rsid w:val="00B57803"/>
    <w:rsid w:val="00B64598"/>
    <w:rsid w:val="00B83C75"/>
    <w:rsid w:val="00B83E3D"/>
    <w:rsid w:val="00B90DB5"/>
    <w:rsid w:val="00BA1B9D"/>
    <w:rsid w:val="00BA5C3C"/>
    <w:rsid w:val="00BB25DE"/>
    <w:rsid w:val="00BC50C1"/>
    <w:rsid w:val="00BD1C20"/>
    <w:rsid w:val="00BD615D"/>
    <w:rsid w:val="00BE1FCF"/>
    <w:rsid w:val="00BF00A9"/>
    <w:rsid w:val="00BF426F"/>
    <w:rsid w:val="00C11326"/>
    <w:rsid w:val="00C11532"/>
    <w:rsid w:val="00C22958"/>
    <w:rsid w:val="00C30874"/>
    <w:rsid w:val="00C4019B"/>
    <w:rsid w:val="00C45A2C"/>
    <w:rsid w:val="00C554B2"/>
    <w:rsid w:val="00C66190"/>
    <w:rsid w:val="00C71C26"/>
    <w:rsid w:val="00C80E94"/>
    <w:rsid w:val="00C812D8"/>
    <w:rsid w:val="00CA1332"/>
    <w:rsid w:val="00CA184A"/>
    <w:rsid w:val="00CC39C8"/>
    <w:rsid w:val="00CC64FF"/>
    <w:rsid w:val="00CE245E"/>
    <w:rsid w:val="00CE7C2F"/>
    <w:rsid w:val="00CF7EC2"/>
    <w:rsid w:val="00D007B9"/>
    <w:rsid w:val="00D0196F"/>
    <w:rsid w:val="00D3244E"/>
    <w:rsid w:val="00D53137"/>
    <w:rsid w:val="00D60A61"/>
    <w:rsid w:val="00D61AC4"/>
    <w:rsid w:val="00D67E9A"/>
    <w:rsid w:val="00D76659"/>
    <w:rsid w:val="00DA50D6"/>
    <w:rsid w:val="00DB1459"/>
    <w:rsid w:val="00DB266D"/>
    <w:rsid w:val="00DB5467"/>
    <w:rsid w:val="00DB54A4"/>
    <w:rsid w:val="00DC356C"/>
    <w:rsid w:val="00DC44FF"/>
    <w:rsid w:val="00DD516A"/>
    <w:rsid w:val="00DE22E2"/>
    <w:rsid w:val="00DE444B"/>
    <w:rsid w:val="00DE5DB8"/>
    <w:rsid w:val="00DF106D"/>
    <w:rsid w:val="00DF334A"/>
    <w:rsid w:val="00DF7C32"/>
    <w:rsid w:val="00E03A20"/>
    <w:rsid w:val="00E16522"/>
    <w:rsid w:val="00E24545"/>
    <w:rsid w:val="00E36807"/>
    <w:rsid w:val="00E430A2"/>
    <w:rsid w:val="00E91EC8"/>
    <w:rsid w:val="00E94EC7"/>
    <w:rsid w:val="00EA5B3B"/>
    <w:rsid w:val="00EB21D9"/>
    <w:rsid w:val="00EC2DBE"/>
    <w:rsid w:val="00EC3DE1"/>
    <w:rsid w:val="00EC77C5"/>
    <w:rsid w:val="00EE5195"/>
    <w:rsid w:val="00F074CE"/>
    <w:rsid w:val="00F07E89"/>
    <w:rsid w:val="00F105E0"/>
    <w:rsid w:val="00F24354"/>
    <w:rsid w:val="00F336EA"/>
    <w:rsid w:val="00F33D07"/>
    <w:rsid w:val="00F35A05"/>
    <w:rsid w:val="00F37D8E"/>
    <w:rsid w:val="00F50994"/>
    <w:rsid w:val="00F522F8"/>
    <w:rsid w:val="00F546CA"/>
    <w:rsid w:val="00F57D06"/>
    <w:rsid w:val="00F60646"/>
    <w:rsid w:val="00F6106A"/>
    <w:rsid w:val="00F74AD4"/>
    <w:rsid w:val="00F8232A"/>
    <w:rsid w:val="00F87FEC"/>
    <w:rsid w:val="00F93F71"/>
    <w:rsid w:val="00FA44FC"/>
    <w:rsid w:val="00FA45BB"/>
    <w:rsid w:val="00FA5D68"/>
    <w:rsid w:val="00FB4CB1"/>
    <w:rsid w:val="00FC514A"/>
    <w:rsid w:val="00FD1E77"/>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3F51E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2C"/>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Normal"/>
    <w:next w:val="Normal"/>
    <w:link w:val="Heading2Char"/>
    <w:uiPriority w:val="9"/>
    <w:unhideWhenUsed/>
    <w:qFormat/>
    <w:rsid w:val="00765A2C"/>
    <w:pPr>
      <w:keepNext/>
      <w:spacing w:before="240" w:after="120"/>
      <w:outlineLvl w:val="1"/>
    </w:pPr>
    <w:rPr>
      <w:noProof/>
      <w:color w:val="001A70" w:themeColor="text2"/>
      <w:sz w:val="28"/>
    </w:rPr>
  </w:style>
  <w:style w:type="paragraph" w:styleId="Heading3">
    <w:name w:val="heading 3"/>
    <w:basedOn w:val="Normal"/>
    <w:next w:val="Normal"/>
    <w:link w:val="Heading3Char"/>
    <w:uiPriority w:val="9"/>
    <w:unhideWhenUsed/>
    <w:qFormat/>
    <w:rsid w:val="00765A2C"/>
    <w:pPr>
      <w:keepNext/>
      <w:spacing w:before="240" w:after="120"/>
      <w:outlineLvl w:val="2"/>
    </w:pPr>
    <w:rPr>
      <w:b/>
      <w:i/>
      <w:noProof/>
      <w:color w:val="001A70"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aliases w:val="List Paragraph1,Recommendation,List Paragraph11,dot point 1,Body text"/>
    <w:basedOn w:val="Normal"/>
    <w:link w:val="ListParagraphChar"/>
    <w:uiPriority w:val="34"/>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mendedItemNumber">
    <w:name w:val="Amend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DeletedItemNumber">
    <w:name w:val="Delet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NEWItemNumber">
    <w:name w:val="NEW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ListParagraphChar">
    <w:name w:val="List Paragraph Char"/>
    <w:aliases w:val="List Paragraph1 Char,Recommendation Char,List Paragraph11 Char,dot point 1 Char,Body text Char"/>
    <w:link w:val="ListParagraph"/>
    <w:uiPriority w:val="34"/>
    <w:locked/>
    <w:rsid w:val="00C22958"/>
    <w:rPr>
      <w:rFonts w:ascii="Arial" w:eastAsiaTheme="minorEastAsia"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55813">
      <w:bodyDiv w:val="1"/>
      <w:marLeft w:val="0"/>
      <w:marRight w:val="0"/>
      <w:marTop w:val="0"/>
      <w:marBottom w:val="0"/>
      <w:divBdr>
        <w:top w:val="none" w:sz="0" w:space="0" w:color="auto"/>
        <w:left w:val="none" w:sz="0" w:space="0" w:color="auto"/>
        <w:bottom w:val="none" w:sz="0" w:space="0" w:color="auto"/>
        <w:right w:val="none" w:sz="0" w:space="0" w:color="auto"/>
      </w:divBdr>
    </w:div>
    <w:div w:id="427195719">
      <w:bodyDiv w:val="1"/>
      <w:marLeft w:val="0"/>
      <w:marRight w:val="0"/>
      <w:marTop w:val="0"/>
      <w:marBottom w:val="0"/>
      <w:divBdr>
        <w:top w:val="none" w:sz="0" w:space="0" w:color="auto"/>
        <w:left w:val="none" w:sz="0" w:space="0" w:color="auto"/>
        <w:bottom w:val="none" w:sz="0" w:space="0" w:color="auto"/>
        <w:right w:val="none" w:sz="0" w:space="0" w:color="auto"/>
      </w:divBdr>
    </w:div>
    <w:div w:id="460199048">
      <w:bodyDiv w:val="1"/>
      <w:marLeft w:val="0"/>
      <w:marRight w:val="0"/>
      <w:marTop w:val="0"/>
      <w:marBottom w:val="0"/>
      <w:divBdr>
        <w:top w:val="none" w:sz="0" w:space="0" w:color="auto"/>
        <w:left w:val="none" w:sz="0" w:space="0" w:color="auto"/>
        <w:bottom w:val="none" w:sz="0" w:space="0" w:color="auto"/>
        <w:right w:val="none" w:sz="0" w:space="0" w:color="auto"/>
      </w:divBdr>
    </w:div>
    <w:div w:id="665668901">
      <w:bodyDiv w:val="1"/>
      <w:marLeft w:val="0"/>
      <w:marRight w:val="0"/>
      <w:marTop w:val="0"/>
      <w:marBottom w:val="0"/>
      <w:divBdr>
        <w:top w:val="none" w:sz="0" w:space="0" w:color="auto"/>
        <w:left w:val="none" w:sz="0" w:space="0" w:color="auto"/>
        <w:bottom w:val="none" w:sz="0" w:space="0" w:color="auto"/>
        <w:right w:val="none" w:sz="0" w:space="0" w:color="auto"/>
      </w:divBdr>
    </w:div>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1303970346">
      <w:bodyDiv w:val="1"/>
      <w:marLeft w:val="0"/>
      <w:marRight w:val="0"/>
      <w:marTop w:val="0"/>
      <w:marBottom w:val="0"/>
      <w:divBdr>
        <w:top w:val="none" w:sz="0" w:space="0" w:color="auto"/>
        <w:left w:val="none" w:sz="0" w:space="0" w:color="auto"/>
        <w:bottom w:val="none" w:sz="0" w:space="0" w:color="auto"/>
        <w:right w:val="none" w:sz="0" w:space="0" w:color="auto"/>
      </w:divBdr>
    </w:div>
    <w:div w:id="1430395713">
      <w:bodyDiv w:val="1"/>
      <w:marLeft w:val="0"/>
      <w:marRight w:val="0"/>
      <w:marTop w:val="0"/>
      <w:marBottom w:val="0"/>
      <w:divBdr>
        <w:top w:val="none" w:sz="0" w:space="0" w:color="auto"/>
        <w:left w:val="none" w:sz="0" w:space="0" w:color="auto"/>
        <w:bottom w:val="none" w:sz="0" w:space="0" w:color="auto"/>
        <w:right w:val="none" w:sz="0" w:space="0" w:color="auto"/>
      </w:divBdr>
    </w:div>
    <w:div w:id="1549418466">
      <w:bodyDiv w:val="1"/>
      <w:marLeft w:val="0"/>
      <w:marRight w:val="0"/>
      <w:marTop w:val="0"/>
      <w:marBottom w:val="0"/>
      <w:divBdr>
        <w:top w:val="none" w:sz="0" w:space="0" w:color="auto"/>
        <w:left w:val="none" w:sz="0" w:space="0" w:color="auto"/>
        <w:bottom w:val="none" w:sz="0" w:space="0" w:color="auto"/>
        <w:right w:val="none" w:sz="0" w:space="0" w:color="auto"/>
      </w:divBdr>
    </w:div>
    <w:div w:id="1564875514">
      <w:bodyDiv w:val="1"/>
      <w:marLeft w:val="0"/>
      <w:marRight w:val="0"/>
      <w:marTop w:val="0"/>
      <w:marBottom w:val="0"/>
      <w:divBdr>
        <w:top w:val="none" w:sz="0" w:space="0" w:color="auto"/>
        <w:left w:val="none" w:sz="0" w:space="0" w:color="auto"/>
        <w:bottom w:val="none" w:sz="0" w:space="0" w:color="auto"/>
        <w:right w:val="none" w:sz="0" w:space="0" w:color="auto"/>
      </w:divBdr>
    </w:div>
    <w:div w:id="21184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MBS@health.gov.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bsonline.gov.au/internet/mbsonline/publishing.nsf/Content/Factsheet-Midwifery-March-22" TargetMode="External"/><Relationship Id="rId12" Type="http://schemas.openxmlformats.org/officeDocument/2006/relationships/hyperlink" Target="http://www.mbsonline.gov.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resources/collections/mbs-review-final-taskforce-reports-findings-and-recommendation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ealth.gov.au/internet/main/publishing.nsf/content/mbsreviewtaskforce" TargetMode="External"/><Relationship Id="rId4" Type="http://schemas.openxmlformats.org/officeDocument/2006/relationships/webSettings" Target="webSettings.xml"/><Relationship Id="rId9" Type="http://schemas.openxmlformats.org/officeDocument/2006/relationships/hyperlink" Target="http://www.mbsonline.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2022-03-07T03:52:00Z</dcterms:created>
  <dcterms:modified xsi:type="dcterms:W3CDTF">2022-03-07T03:52:00Z</dcterms:modified>
</cp:coreProperties>
</file>