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11E4A" w14:textId="77777777" w:rsidR="00BC1364" w:rsidRPr="00707064" w:rsidRDefault="00C67DD2" w:rsidP="00065623">
      <w:pPr>
        <w:jc w:val="center"/>
        <w:rPr>
          <w:b/>
          <w:i/>
          <w:szCs w:val="24"/>
          <w:highlight w:val="yellow"/>
        </w:rPr>
      </w:pPr>
      <w:r>
        <w:rPr>
          <w:rFonts w:ascii="Arial" w:hAnsi="Arial" w:cs="Arial"/>
          <w:b/>
          <w:noProof/>
          <w:color w:val="000080"/>
          <w:sz w:val="28"/>
          <w:szCs w:val="28"/>
        </w:rPr>
        <w:drawing>
          <wp:inline distT="0" distB="0" distL="0" distR="0" wp14:anchorId="17C78A33" wp14:editId="5D0D96D9">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1DB0550A" w14:textId="77777777" w:rsidR="00BC1364" w:rsidRPr="007B32D1" w:rsidRDefault="00BF479B" w:rsidP="007A775F">
      <w:pPr>
        <w:spacing w:before="720" w:after="360"/>
        <w:jc w:val="center"/>
        <w:rPr>
          <w:rFonts w:ascii="Arial" w:hAnsi="Arial" w:cs="Arial"/>
          <w:b/>
          <w:bCs/>
          <w:color w:val="000080"/>
          <w:sz w:val="36"/>
          <w:szCs w:val="36"/>
        </w:rPr>
      </w:pPr>
      <w:r>
        <w:rPr>
          <w:rFonts w:ascii="Arial" w:hAnsi="Arial" w:cs="Arial"/>
          <w:b/>
          <w:bCs/>
          <w:color w:val="000080"/>
          <w:sz w:val="36"/>
          <w:szCs w:val="36"/>
        </w:rPr>
        <w:t>Public Summary Document</w:t>
      </w:r>
    </w:p>
    <w:p w14:paraId="195A8594" w14:textId="7594712E" w:rsidR="003F5DD6" w:rsidRPr="003F5DD6" w:rsidRDefault="003F5DD6" w:rsidP="00E9524A">
      <w:pPr>
        <w:pStyle w:val="Heading1"/>
      </w:pPr>
      <w:r w:rsidRPr="003F5DD6">
        <w:rPr>
          <w:rStyle w:val="IntenseReference"/>
          <w:b/>
          <w:bCs/>
          <w:i w:val="0"/>
          <w:smallCaps w:val="0"/>
          <w:color w:val="auto"/>
          <w:spacing w:val="0"/>
        </w:rPr>
        <w:t xml:space="preserve">Report to the Medical Services Advisory Committee on real world outcomes of </w:t>
      </w:r>
      <w:r w:rsidR="00E9524A" w:rsidRPr="00E9524A">
        <w:rPr>
          <w:rStyle w:val="IntenseReference"/>
          <w:b/>
          <w:bCs/>
          <w:i w:val="0"/>
          <w:smallCaps w:val="0"/>
          <w:color w:val="auto"/>
          <w:spacing w:val="0"/>
        </w:rPr>
        <w:t xml:space="preserve">Application 1161: Epidermal growth factor receptor (EGFR) mutation testing in patients non-small cell lung cancer (NSCLC) for access to </w:t>
      </w:r>
      <w:r w:rsidR="008C56B7">
        <w:rPr>
          <w:rStyle w:val="IntenseReference"/>
          <w:b/>
          <w:bCs/>
          <w:i w:val="0"/>
          <w:smallCaps w:val="0"/>
          <w:color w:val="auto"/>
          <w:spacing w:val="0"/>
        </w:rPr>
        <w:t>Pharmaceutical Benefits Scheme (</w:t>
      </w:r>
      <w:r w:rsidR="00E9524A" w:rsidRPr="00E9524A">
        <w:rPr>
          <w:rStyle w:val="IntenseReference"/>
          <w:b/>
          <w:bCs/>
          <w:i w:val="0"/>
          <w:smallCaps w:val="0"/>
          <w:color w:val="auto"/>
          <w:spacing w:val="0"/>
        </w:rPr>
        <w:t>PBS</w:t>
      </w:r>
      <w:r w:rsidR="008C56B7">
        <w:rPr>
          <w:rStyle w:val="IntenseReference"/>
          <w:b/>
          <w:bCs/>
          <w:i w:val="0"/>
          <w:smallCaps w:val="0"/>
          <w:color w:val="auto"/>
          <w:spacing w:val="0"/>
        </w:rPr>
        <w:t>)</w:t>
      </w:r>
      <w:r w:rsidR="00E9524A" w:rsidRPr="00E9524A">
        <w:rPr>
          <w:rStyle w:val="IntenseReference"/>
          <w:b/>
          <w:bCs/>
          <w:i w:val="0"/>
          <w:smallCaps w:val="0"/>
          <w:color w:val="auto"/>
          <w:spacing w:val="0"/>
        </w:rPr>
        <w:t xml:space="preserve"> listed getfitinib</w:t>
      </w:r>
      <w:r w:rsidR="00E9524A">
        <w:rPr>
          <w:rStyle w:val="IntenseReference"/>
          <w:b/>
          <w:bCs/>
          <w:i w:val="0"/>
          <w:smallCaps w:val="0"/>
          <w:color w:val="auto"/>
          <w:spacing w:val="0"/>
        </w:rPr>
        <w:t xml:space="preserve">, and </w:t>
      </w:r>
      <w:r w:rsidR="00E9524A" w:rsidRPr="00E9524A">
        <w:rPr>
          <w:rStyle w:val="IntenseReference"/>
          <w:b/>
          <w:bCs/>
          <w:i w:val="0"/>
          <w:smallCaps w:val="0"/>
          <w:color w:val="auto"/>
          <w:spacing w:val="0"/>
        </w:rPr>
        <w:t>Application 1173: EGFR status in patients with locally advanced (stage IIIB) or metastatic (stage (IV)</w:t>
      </w:r>
      <w:r w:rsidR="003C722C">
        <w:rPr>
          <w:rStyle w:val="IntenseReference"/>
          <w:b/>
          <w:bCs/>
          <w:i w:val="0"/>
          <w:smallCaps w:val="0"/>
          <w:color w:val="auto"/>
          <w:spacing w:val="0"/>
        </w:rPr>
        <w:t>)</w:t>
      </w:r>
      <w:r w:rsidR="00E9524A" w:rsidRPr="00E9524A">
        <w:rPr>
          <w:rStyle w:val="IntenseReference"/>
          <w:b/>
          <w:bCs/>
          <w:i w:val="0"/>
          <w:smallCaps w:val="0"/>
          <w:color w:val="auto"/>
          <w:spacing w:val="0"/>
        </w:rPr>
        <w:t xml:space="preserve"> non-small cell lung cancer for access to erlotinib</w:t>
      </w:r>
    </w:p>
    <w:p w14:paraId="50BBDDE4" w14:textId="4A0993F8" w:rsidR="00BC1364" w:rsidRPr="00D90A38" w:rsidRDefault="003F5DD6" w:rsidP="007A775F">
      <w:pPr>
        <w:spacing w:before="360"/>
        <w:ind w:left="3600" w:hanging="3600"/>
        <w:rPr>
          <w:rFonts w:ascii="Arial" w:hAnsi="Arial" w:cs="Arial"/>
          <w:b/>
          <w:szCs w:val="24"/>
        </w:rPr>
      </w:pPr>
      <w:r>
        <w:rPr>
          <w:rFonts w:ascii="Arial" w:hAnsi="Arial" w:cs="Arial"/>
          <w:b/>
          <w:szCs w:val="24"/>
        </w:rPr>
        <w:t>Medicare Benefits Schedule</w:t>
      </w:r>
      <w:r w:rsidR="001C1BE6">
        <w:rPr>
          <w:rFonts w:ascii="Arial" w:hAnsi="Arial" w:cs="Arial"/>
          <w:b/>
          <w:szCs w:val="24"/>
        </w:rPr>
        <w:t xml:space="preserve"> </w:t>
      </w:r>
      <w:r>
        <w:rPr>
          <w:rFonts w:ascii="Arial" w:hAnsi="Arial" w:cs="Arial"/>
          <w:b/>
          <w:szCs w:val="24"/>
        </w:rPr>
        <w:t>(MBS) item considered</w:t>
      </w:r>
      <w:r w:rsidR="00BC1364" w:rsidRPr="00D90A38">
        <w:rPr>
          <w:rFonts w:ascii="Arial" w:hAnsi="Arial" w:cs="Arial"/>
          <w:b/>
          <w:szCs w:val="24"/>
        </w:rPr>
        <w:t>:</w:t>
      </w:r>
      <w:r w:rsidR="00BC1364" w:rsidRPr="00D90A38">
        <w:rPr>
          <w:rFonts w:ascii="Arial" w:hAnsi="Arial" w:cs="Arial"/>
          <w:b/>
          <w:szCs w:val="24"/>
        </w:rPr>
        <w:tab/>
      </w:r>
      <w:r w:rsidR="00E9524A">
        <w:rPr>
          <w:rFonts w:ascii="Arial" w:hAnsi="Arial" w:cs="Arial"/>
          <w:b/>
          <w:szCs w:val="24"/>
        </w:rPr>
        <w:t>73337</w:t>
      </w:r>
    </w:p>
    <w:p w14:paraId="6F6DDFED" w14:textId="336B7251" w:rsidR="00BC1364" w:rsidRPr="00D90A38" w:rsidRDefault="00BC1364" w:rsidP="007A775F">
      <w:pPr>
        <w:spacing w:before="360"/>
        <w:ind w:left="3600" w:hanging="3600"/>
        <w:rPr>
          <w:rFonts w:ascii="Arial" w:hAnsi="Arial" w:cs="Arial"/>
          <w:b/>
          <w:szCs w:val="24"/>
        </w:rPr>
      </w:pPr>
      <w:r w:rsidRPr="00D90A38">
        <w:rPr>
          <w:rFonts w:ascii="Arial" w:hAnsi="Arial" w:cs="Arial"/>
          <w:b/>
          <w:szCs w:val="24"/>
        </w:rPr>
        <w:t>Date</w:t>
      </w:r>
      <w:r w:rsidR="00E9524A">
        <w:rPr>
          <w:rFonts w:ascii="Arial" w:hAnsi="Arial" w:cs="Arial"/>
          <w:b/>
          <w:szCs w:val="24"/>
        </w:rPr>
        <w:t>s</w:t>
      </w:r>
      <w:r w:rsidRPr="00D90A38">
        <w:rPr>
          <w:rFonts w:ascii="Arial" w:hAnsi="Arial" w:cs="Arial"/>
          <w:b/>
          <w:szCs w:val="24"/>
        </w:rPr>
        <w:t xml:space="preserve"> of MSAC consideration:</w:t>
      </w:r>
      <w:r w:rsidRPr="00D90A38">
        <w:rPr>
          <w:rFonts w:ascii="Arial" w:hAnsi="Arial" w:cs="Arial"/>
          <w:b/>
          <w:szCs w:val="24"/>
        </w:rPr>
        <w:tab/>
      </w:r>
      <w:r w:rsidR="003C722C">
        <w:rPr>
          <w:rFonts w:ascii="Arial" w:hAnsi="Arial" w:cs="Arial"/>
          <w:b/>
          <w:szCs w:val="24"/>
        </w:rPr>
        <w:t>24-25 November 2016</w:t>
      </w:r>
    </w:p>
    <w:p w14:paraId="46790F2B" w14:textId="37490E7E" w:rsidR="0041758C" w:rsidRDefault="006A0D97" w:rsidP="00065623">
      <w:pPr>
        <w:rPr>
          <w:szCs w:val="24"/>
        </w:rPr>
      </w:pPr>
      <w:r>
        <w:rPr>
          <w:szCs w:val="24"/>
        </w:rPr>
        <w:t xml:space="preserve">Context for decision: MSAC makes its advice in accordance with its Terms of Reference, see </w:t>
      </w:r>
      <w:r w:rsidR="009C5632">
        <w:rPr>
          <w:szCs w:val="24"/>
        </w:rPr>
        <w:t xml:space="preserve">the </w:t>
      </w:r>
      <w:hyperlink r:id="rId10" w:history="1">
        <w:r w:rsidR="009C5632">
          <w:rPr>
            <w:rStyle w:val="Hyperlink"/>
            <w:szCs w:val="24"/>
          </w:rPr>
          <w:t>MSAC Website</w:t>
        </w:r>
      </w:hyperlink>
      <w:r w:rsidR="009C5632">
        <w:t>.</w:t>
      </w:r>
    </w:p>
    <w:p w14:paraId="52C2A008" w14:textId="72A97255" w:rsidR="003F5DD6" w:rsidRPr="003F5DD6" w:rsidRDefault="003D7F29" w:rsidP="007A775F">
      <w:pPr>
        <w:pStyle w:val="Heading1"/>
        <w:numPr>
          <w:ilvl w:val="0"/>
          <w:numId w:val="23"/>
        </w:numPr>
        <w:tabs>
          <w:tab w:val="left" w:pos="720"/>
          <w:tab w:val="left" w:pos="1140"/>
        </w:tabs>
        <w:spacing w:before="360"/>
        <w:ind w:hanging="720"/>
      </w:pPr>
      <w:r w:rsidRPr="00D90A38">
        <w:t>Purpose</w:t>
      </w:r>
    </w:p>
    <w:p w14:paraId="6CD02791" w14:textId="6D7D28D5" w:rsidR="003F5DD6" w:rsidRDefault="003F5DD6" w:rsidP="003F5DD6">
      <w:r>
        <w:t xml:space="preserve">The purpose of the report presented to the Medical Services Advisory Committee (MSAC) was to inform MSAC of the real world impacts on the outcomes of </w:t>
      </w:r>
      <w:r w:rsidR="003C722C">
        <w:t>A</w:t>
      </w:r>
      <w:r>
        <w:t>pplication</w:t>
      </w:r>
      <w:r w:rsidR="003C722C">
        <w:t>s</w:t>
      </w:r>
      <w:r>
        <w:t xml:space="preserve"> 116</w:t>
      </w:r>
      <w:r w:rsidR="00B87E74">
        <w:t>1 and 1173</w:t>
      </w:r>
      <w:r>
        <w:t>. The MSAC then uses this information to ensure that</w:t>
      </w:r>
      <w:r w:rsidR="00A91AFD">
        <w:t xml:space="preserve"> the new item</w:t>
      </w:r>
      <w:r w:rsidR="003C722C">
        <w:t>/s</w:t>
      </w:r>
      <w:r w:rsidR="00A91AFD">
        <w:t xml:space="preserve"> resulting from this application</w:t>
      </w:r>
      <w:r w:rsidR="003C722C">
        <w:t>/s</w:t>
      </w:r>
      <w:r w:rsidR="00A91AFD">
        <w:t xml:space="preserve"> is being used as intended.</w:t>
      </w:r>
    </w:p>
    <w:p w14:paraId="53627D54" w14:textId="77777777" w:rsidR="003F5DD6" w:rsidRPr="00DB1935" w:rsidRDefault="003F5DD6" w:rsidP="007A775F">
      <w:pPr>
        <w:spacing w:before="240"/>
      </w:pPr>
      <w:r w:rsidRPr="00341476">
        <w:t xml:space="preserve">The </w:t>
      </w:r>
      <w:r>
        <w:t>report</w:t>
      </w:r>
      <w:r w:rsidRPr="00341476">
        <w:t xml:space="preserve"> is not intended to be a review of the clinical information covered during the application process.</w:t>
      </w:r>
    </w:p>
    <w:p w14:paraId="57895869" w14:textId="2CC5CEA5" w:rsidR="00E977EE" w:rsidRDefault="00E977EE" w:rsidP="007A775F">
      <w:pPr>
        <w:pStyle w:val="Heading1"/>
        <w:numPr>
          <w:ilvl w:val="0"/>
          <w:numId w:val="23"/>
        </w:numPr>
        <w:tabs>
          <w:tab w:val="left" w:pos="720"/>
          <w:tab w:val="left" w:pos="1140"/>
        </w:tabs>
        <w:spacing w:before="360"/>
        <w:ind w:hanging="720"/>
      </w:pPr>
      <w:r w:rsidRPr="008D5885">
        <w:t xml:space="preserve">MSAC’s advice </w:t>
      </w:r>
    </w:p>
    <w:p w14:paraId="2C861A03" w14:textId="06880AA1" w:rsidR="000E4EC4" w:rsidRPr="00610222" w:rsidRDefault="00610222" w:rsidP="007A775F">
      <w:pPr>
        <w:rPr>
          <w:szCs w:val="24"/>
          <w:lang w:eastAsia="en-US"/>
        </w:rPr>
      </w:pPr>
      <w:r w:rsidRPr="00610222">
        <w:rPr>
          <w:szCs w:val="24"/>
          <w:lang w:eastAsia="en-US"/>
        </w:rPr>
        <w:t xml:space="preserve">After </w:t>
      </w:r>
      <w:r w:rsidRPr="007A775F">
        <w:t>considering</w:t>
      </w:r>
      <w:r w:rsidRPr="00610222">
        <w:rPr>
          <w:szCs w:val="24"/>
          <w:lang w:eastAsia="en-US"/>
        </w:rPr>
        <w:t xml:space="preserve"> the real world impacts of the outcomes of applications 1161 and 1173 for epidermal growth factor receptor (EGFR) mutation testing in patients with non-small cell lung cancer (NSCLC) for PBS access to gefitinib or erlotinib, MSAC identified a potential issue with inappropriate co-claiming of in-situ hybridisation (ISH) testing for breast cancer and recommended referral to the department to investigate further</w:t>
      </w:r>
      <w:r w:rsidR="009C5632">
        <w:rPr>
          <w:szCs w:val="24"/>
          <w:lang w:eastAsia="en-US"/>
        </w:rPr>
        <w:t>.</w:t>
      </w:r>
    </w:p>
    <w:p w14:paraId="2AE20F8F" w14:textId="2B229F1E" w:rsidR="003F5DD6" w:rsidRPr="00610222" w:rsidRDefault="000E4EC4" w:rsidP="007A775F">
      <w:pPr>
        <w:pStyle w:val="Heading1"/>
        <w:numPr>
          <w:ilvl w:val="0"/>
          <w:numId w:val="23"/>
        </w:numPr>
        <w:tabs>
          <w:tab w:val="left" w:pos="720"/>
          <w:tab w:val="left" w:pos="1140"/>
        </w:tabs>
        <w:spacing w:before="360"/>
        <w:ind w:hanging="720"/>
      </w:pPr>
      <w:r w:rsidRPr="000E4EC4">
        <w:t>Summary of consideration and rationale for MSAC’s advice</w:t>
      </w:r>
    </w:p>
    <w:p w14:paraId="590C77A4" w14:textId="33C4A628" w:rsidR="00610222" w:rsidRPr="00610222" w:rsidRDefault="00610222" w:rsidP="007A775F">
      <w:pPr>
        <w:rPr>
          <w:szCs w:val="24"/>
          <w:lang w:eastAsia="en-US"/>
        </w:rPr>
      </w:pPr>
      <w:r w:rsidRPr="00610222">
        <w:rPr>
          <w:szCs w:val="24"/>
          <w:lang w:eastAsia="en-US"/>
        </w:rPr>
        <w:t xml:space="preserve">MSAC </w:t>
      </w:r>
      <w:r w:rsidRPr="007A775F">
        <w:t>considered</w:t>
      </w:r>
      <w:r w:rsidRPr="00610222">
        <w:rPr>
          <w:szCs w:val="24"/>
          <w:lang w:eastAsia="en-US"/>
        </w:rPr>
        <w:t xml:space="preserve"> the real world impacts of the outcome of applications 1161 and 1173 for EGFR mutation testing in patients with non-small cell lung cancer (NSCLC) for access to two tyrosine kinase inhibitors (gefitinib or erlotinib) by examining available data for MBS item number 73337. Available data for MBS item number 30710 — endobronchial ultrasound guided biopsy used to obtain the sample for EGFR testing — was also reviewed.</w:t>
      </w:r>
    </w:p>
    <w:p w14:paraId="4E56B17C" w14:textId="367AC191" w:rsidR="00610222" w:rsidRPr="00610222" w:rsidRDefault="00610222" w:rsidP="007A775F">
      <w:pPr>
        <w:spacing w:before="240"/>
        <w:rPr>
          <w:rFonts w:eastAsiaTheme="majorEastAsia"/>
          <w:b/>
          <w:bCs/>
          <w:szCs w:val="24"/>
        </w:rPr>
      </w:pPr>
      <w:r w:rsidRPr="00610222">
        <w:rPr>
          <w:szCs w:val="24"/>
          <w:lang w:eastAsia="en-US"/>
        </w:rPr>
        <w:t xml:space="preserve">MSAC noted that utilisation of item 73337 was significantly lower than expected. The number of patients claiming this item has levelled out at between 2,500 and 3,000 per annum. MSAC considered that patient numbers may have been overestimated in the initial </w:t>
      </w:r>
      <w:r w:rsidRPr="00610222">
        <w:rPr>
          <w:szCs w:val="24"/>
          <w:lang w:eastAsia="en-US"/>
        </w:rPr>
        <w:lastRenderedPageBreak/>
        <w:t xml:space="preserve">application if it had been assumed that all eligible patients would be tested.  MSAC also noted that the amount of tissue required for </w:t>
      </w:r>
      <w:r w:rsidR="00031CA5">
        <w:rPr>
          <w:szCs w:val="24"/>
          <w:lang w:eastAsia="en-US"/>
        </w:rPr>
        <w:t xml:space="preserve">mutation </w:t>
      </w:r>
      <w:r w:rsidRPr="00610222">
        <w:rPr>
          <w:szCs w:val="24"/>
          <w:lang w:eastAsia="en-US"/>
        </w:rPr>
        <w:t xml:space="preserve">testing is </w:t>
      </w:r>
      <w:r w:rsidR="00031CA5">
        <w:rPr>
          <w:szCs w:val="24"/>
          <w:lang w:eastAsia="en-US"/>
        </w:rPr>
        <w:t>decreasing</w:t>
      </w:r>
      <w:r w:rsidR="00031CA5" w:rsidRPr="00610222">
        <w:rPr>
          <w:szCs w:val="24"/>
          <w:lang w:eastAsia="en-US"/>
        </w:rPr>
        <w:t xml:space="preserve"> </w:t>
      </w:r>
      <w:r w:rsidR="00031CA5">
        <w:rPr>
          <w:szCs w:val="24"/>
          <w:lang w:eastAsia="en-US"/>
        </w:rPr>
        <w:t xml:space="preserve">because of </w:t>
      </w:r>
      <w:r w:rsidRPr="00610222">
        <w:rPr>
          <w:szCs w:val="24"/>
          <w:lang w:eastAsia="en-US"/>
        </w:rPr>
        <w:t xml:space="preserve">newer testing methods and that this may result in increasing rates of testing in the future. MSAC considered that additional data provided on the number of patients receiving tyrosine kinase inhibitors indicated that </w:t>
      </w:r>
      <w:r w:rsidRPr="00610222">
        <w:rPr>
          <w:szCs w:val="24"/>
        </w:rPr>
        <w:t>prevalence of EGFR mutations in the tested and treated NSCLC population is similar to predicted.</w:t>
      </w:r>
    </w:p>
    <w:p w14:paraId="6EE3B2E4" w14:textId="77777777" w:rsidR="00610222" w:rsidRPr="00610222" w:rsidRDefault="00610222" w:rsidP="007A775F">
      <w:pPr>
        <w:spacing w:before="240"/>
        <w:rPr>
          <w:szCs w:val="24"/>
          <w:lang w:eastAsia="en-US"/>
        </w:rPr>
      </w:pPr>
      <w:r w:rsidRPr="00610222">
        <w:rPr>
          <w:szCs w:val="24"/>
          <w:lang w:eastAsia="en-US"/>
        </w:rPr>
        <w:t xml:space="preserve">MSAC </w:t>
      </w:r>
      <w:r w:rsidRPr="007A775F">
        <w:t>recalled</w:t>
      </w:r>
      <w:r w:rsidRPr="00610222">
        <w:rPr>
          <w:szCs w:val="24"/>
          <w:lang w:eastAsia="en-US"/>
        </w:rPr>
        <w:t xml:space="preserve"> that utilisation of item 30710 was expected to rise due to an increase in the need for re-biopsies with the listing of item 73337. However, MSAC noted that this item was growing significantly before 73337 was listed and concluded that it is difficult to determine how much of the growth is due to this listing.</w:t>
      </w:r>
    </w:p>
    <w:p w14:paraId="3052D4A8" w14:textId="0093F893" w:rsidR="00610222" w:rsidRPr="00610222" w:rsidRDefault="00610222" w:rsidP="007A775F">
      <w:pPr>
        <w:spacing w:before="240"/>
        <w:rPr>
          <w:szCs w:val="24"/>
          <w:lang w:eastAsia="en-US"/>
        </w:rPr>
      </w:pPr>
      <w:r w:rsidRPr="00610222">
        <w:rPr>
          <w:szCs w:val="24"/>
          <w:lang w:eastAsia="en-US"/>
        </w:rPr>
        <w:t>MSAC noted that there was marked variation in the bulk billing rates and the fees charged for item 73337 and suggested that the data on the fee charged may be of interest to consumers and other payers.</w:t>
      </w:r>
    </w:p>
    <w:p w14:paraId="74B5065F" w14:textId="65476FAC" w:rsidR="00610222" w:rsidRPr="00610222" w:rsidRDefault="00610222" w:rsidP="007A775F">
      <w:pPr>
        <w:spacing w:before="240"/>
        <w:rPr>
          <w:szCs w:val="24"/>
          <w:lang w:eastAsia="en-US"/>
        </w:rPr>
      </w:pPr>
      <w:r w:rsidRPr="00610222">
        <w:rPr>
          <w:szCs w:val="24"/>
          <w:lang w:eastAsia="en-US"/>
        </w:rPr>
        <w:t xml:space="preserve">In considering </w:t>
      </w:r>
      <w:r w:rsidRPr="007A775F">
        <w:t>the</w:t>
      </w:r>
      <w:r w:rsidRPr="00610222">
        <w:rPr>
          <w:szCs w:val="24"/>
          <w:lang w:eastAsia="en-US"/>
        </w:rPr>
        <w:t xml:space="preserve"> setting for use of item 73337 MSAC noted that there were more services provided in hospital than anticipated with variation evident across states.</w:t>
      </w:r>
    </w:p>
    <w:p w14:paraId="5FC26671" w14:textId="7E922EA7" w:rsidR="00610222" w:rsidRPr="00610222" w:rsidRDefault="00610222" w:rsidP="007A775F">
      <w:pPr>
        <w:spacing w:before="240"/>
        <w:rPr>
          <w:szCs w:val="24"/>
          <w:lang w:eastAsia="en-US"/>
        </w:rPr>
      </w:pPr>
      <w:r w:rsidRPr="00610222">
        <w:rPr>
          <w:szCs w:val="24"/>
          <w:lang w:eastAsia="en-US"/>
        </w:rPr>
        <w:t xml:space="preserve">MSAC noted </w:t>
      </w:r>
      <w:r w:rsidRPr="007A775F">
        <w:t>that</w:t>
      </w:r>
      <w:r w:rsidRPr="00610222">
        <w:rPr>
          <w:szCs w:val="24"/>
          <w:lang w:eastAsia="en-US"/>
        </w:rPr>
        <w:t xml:space="preserve"> there was some evidence of retesting of EGFR status when reviewing patient breakdown data. MSAC considered that this may occur where patients have developed resistance to tyrosine kinase inhibitor treatment, which was not in the original intention of the item. MSAC suggested that continuing monitoring of retesting rates for this item may be appropriate.</w:t>
      </w:r>
    </w:p>
    <w:p w14:paraId="773315D8" w14:textId="586ECE2F" w:rsidR="000E4EC4" w:rsidRPr="00610222" w:rsidRDefault="00610222" w:rsidP="007A775F">
      <w:pPr>
        <w:spacing w:before="240"/>
        <w:rPr>
          <w:szCs w:val="24"/>
          <w:lang w:eastAsia="en-US"/>
        </w:rPr>
      </w:pPr>
      <w:r w:rsidRPr="00610222">
        <w:rPr>
          <w:szCs w:val="24"/>
          <w:lang w:eastAsia="en-US"/>
        </w:rPr>
        <w:t xml:space="preserve">In considering </w:t>
      </w:r>
      <w:r w:rsidRPr="007A775F">
        <w:t>the</w:t>
      </w:r>
      <w:r w:rsidRPr="00610222">
        <w:rPr>
          <w:szCs w:val="24"/>
          <w:lang w:eastAsia="en-US"/>
        </w:rPr>
        <w:t xml:space="preserve"> co-claiming data, MSAC noted that in 2015–16 there were </w:t>
      </w:r>
      <w:r w:rsidR="00527BF0">
        <w:rPr>
          <w:szCs w:val="24"/>
          <w:lang w:eastAsia="en-US"/>
        </w:rPr>
        <w:t xml:space="preserve">approximately 50 </w:t>
      </w:r>
      <w:r w:rsidRPr="00610222">
        <w:rPr>
          <w:szCs w:val="24"/>
          <w:lang w:eastAsia="en-US"/>
        </w:rPr>
        <w:t xml:space="preserve">occasions where item 73337 was co-claimed with item 73332 for in-situ hybridisation (ISH) testing for breast cancer. MSAC noted that this was unusual and suggested it may be related to </w:t>
      </w:r>
      <w:r w:rsidR="00031CA5">
        <w:rPr>
          <w:szCs w:val="24"/>
          <w:lang w:eastAsia="en-US"/>
        </w:rPr>
        <w:t xml:space="preserve">testing in the setting </w:t>
      </w:r>
      <w:r w:rsidRPr="00610222">
        <w:rPr>
          <w:szCs w:val="24"/>
          <w:lang w:eastAsia="en-US"/>
        </w:rPr>
        <w:t xml:space="preserve">of metastatic cancer </w:t>
      </w:r>
      <w:r w:rsidR="00031CA5">
        <w:rPr>
          <w:szCs w:val="24"/>
          <w:lang w:eastAsia="en-US"/>
        </w:rPr>
        <w:t xml:space="preserve">where the primary is unknown. </w:t>
      </w:r>
      <w:r w:rsidRPr="00610222">
        <w:rPr>
          <w:szCs w:val="24"/>
          <w:lang w:eastAsia="en-US"/>
        </w:rPr>
        <w:t xml:space="preserve">MSAC concluded that this co-claiming should be </w:t>
      </w:r>
      <w:r w:rsidR="003C722C">
        <w:rPr>
          <w:szCs w:val="24"/>
          <w:lang w:eastAsia="en-US"/>
        </w:rPr>
        <w:t>investigated by the department</w:t>
      </w:r>
      <w:r w:rsidRPr="00610222">
        <w:rPr>
          <w:szCs w:val="24"/>
          <w:lang w:eastAsia="en-US"/>
        </w:rPr>
        <w:t>.</w:t>
      </w:r>
    </w:p>
    <w:p w14:paraId="08E2832D" w14:textId="24E7A918" w:rsidR="00550354" w:rsidRDefault="003F5DD6" w:rsidP="007A775F">
      <w:pPr>
        <w:pStyle w:val="Heading1"/>
        <w:numPr>
          <w:ilvl w:val="0"/>
          <w:numId w:val="23"/>
        </w:numPr>
        <w:tabs>
          <w:tab w:val="left" w:pos="720"/>
          <w:tab w:val="left" w:pos="1140"/>
        </w:tabs>
        <w:spacing w:before="360"/>
        <w:ind w:hanging="720"/>
      </w:pPr>
      <w:r>
        <w:t>Methodology</w:t>
      </w:r>
    </w:p>
    <w:p w14:paraId="74CEFE68" w14:textId="72F2BCF1" w:rsidR="00550354" w:rsidRDefault="001C1BE6" w:rsidP="00550354">
      <w:pPr>
        <w:rPr>
          <w:szCs w:val="24"/>
        </w:rPr>
      </w:pPr>
      <w:r>
        <w:rPr>
          <w:szCs w:val="24"/>
        </w:rPr>
        <w:t xml:space="preserve">An </w:t>
      </w:r>
      <w:r w:rsidRPr="007A775F">
        <w:t>application</w:t>
      </w:r>
      <w:r>
        <w:rPr>
          <w:szCs w:val="24"/>
        </w:rPr>
        <w:t xml:space="preserve"> is selected for consideration if the resulting new item(s) or item amendment(s) have been on the MBS for approximately 24 months or longer or if there were particular concerns about utilisation such that MSAC requested to consider it earlier. The specific applications for each MSAC meeting are selected by the MSAC Executive which is composed of the Chairs of MSAC and its sub-committees.</w:t>
      </w:r>
    </w:p>
    <w:p w14:paraId="5EF0EBE3" w14:textId="42989757" w:rsidR="001C1BE6" w:rsidRDefault="001C1BE6" w:rsidP="007A775F">
      <w:pPr>
        <w:spacing w:before="240"/>
        <w:rPr>
          <w:szCs w:val="24"/>
        </w:rPr>
      </w:pPr>
      <w:r>
        <w:rPr>
          <w:szCs w:val="24"/>
        </w:rPr>
        <w:t xml:space="preserve">A report on </w:t>
      </w:r>
      <w:r w:rsidRPr="007A775F">
        <w:t>the</w:t>
      </w:r>
      <w:r>
        <w:rPr>
          <w:szCs w:val="24"/>
        </w:rPr>
        <w:t xml:space="preserve"> utilisation is developed by the Department of Health (the department) with information on a number of metrics including state variation, patient demographics, services per patient, practitioner’s providing the service, data on fees and co-claiming of services. The number of metrics included in a report is dependent on the annual service volume for the MBS item(s) under consideration i.e. an item with very low utilisation will have less data to analyse. Where service volumes are too low, information is suppressed to protect patient privacy.</w:t>
      </w:r>
    </w:p>
    <w:p w14:paraId="2DF32FA0" w14:textId="42689E95" w:rsidR="001C1BE6" w:rsidRDefault="001C1BE6" w:rsidP="007A775F">
      <w:pPr>
        <w:spacing w:before="240"/>
        <w:rPr>
          <w:szCs w:val="24"/>
        </w:rPr>
      </w:pPr>
      <w:r>
        <w:rPr>
          <w:szCs w:val="24"/>
        </w:rPr>
        <w:t xml:space="preserve">Where </w:t>
      </w:r>
      <w:r w:rsidRPr="007A775F">
        <w:t>possible</w:t>
      </w:r>
      <w:r>
        <w:rPr>
          <w:szCs w:val="24"/>
        </w:rPr>
        <w:t xml:space="preserve"> the report compares data on real world utilisation to the assumptions made during the MSAC assessment. Most of these assumptions are drawn from the assessment report.</w:t>
      </w:r>
    </w:p>
    <w:p w14:paraId="26E62F08" w14:textId="5F77BEEC" w:rsidR="00B11472" w:rsidRDefault="001C1BE6" w:rsidP="007A775F">
      <w:pPr>
        <w:spacing w:before="240"/>
        <w:rPr>
          <w:szCs w:val="24"/>
        </w:rPr>
      </w:pPr>
      <w:r>
        <w:rPr>
          <w:szCs w:val="24"/>
        </w:rPr>
        <w:t xml:space="preserve">Relevant </w:t>
      </w:r>
      <w:r w:rsidRPr="007A775F">
        <w:t>stakeholders</w:t>
      </w:r>
      <w:r>
        <w:rPr>
          <w:szCs w:val="24"/>
        </w:rPr>
        <w:t xml:space="preserve"> are provided an opportunity to comment on the findings in the report before it is presented to the MSAC. It is intended that stakeholders are given at least three weeks to consider the reports.</w:t>
      </w:r>
    </w:p>
    <w:p w14:paraId="40C0C81F" w14:textId="0FE43F9A" w:rsidR="001C1BE6" w:rsidRDefault="001C1BE6" w:rsidP="007A775F">
      <w:pPr>
        <w:spacing w:before="240"/>
        <w:rPr>
          <w:szCs w:val="24"/>
        </w:rPr>
      </w:pPr>
      <w:r>
        <w:rPr>
          <w:szCs w:val="24"/>
        </w:rPr>
        <w:lastRenderedPageBreak/>
        <w:t xml:space="preserve">The stakeholder </w:t>
      </w:r>
      <w:r w:rsidRPr="007A775F">
        <w:t>version</w:t>
      </w:r>
      <w:r>
        <w:rPr>
          <w:szCs w:val="24"/>
        </w:rPr>
        <w:t xml:space="preserve"> of the report does not contain information </w:t>
      </w:r>
      <w:r w:rsidR="00B11472">
        <w:rPr>
          <w:szCs w:val="24"/>
        </w:rPr>
        <w:t>on assumptions from the MSAC consideration if this information is not already publicly available. This is to protect the commercial in confidence of the original applicants. The same principle is applied to this document.</w:t>
      </w:r>
    </w:p>
    <w:p w14:paraId="5FFB5672" w14:textId="64ED6CE6" w:rsidR="00B11472" w:rsidRDefault="00B11472" w:rsidP="007A775F">
      <w:pPr>
        <w:spacing w:before="240"/>
        <w:rPr>
          <w:szCs w:val="24"/>
        </w:rPr>
      </w:pPr>
      <w:r>
        <w:rPr>
          <w:szCs w:val="24"/>
        </w:rPr>
        <w:t xml:space="preserve">Once MSAC has </w:t>
      </w:r>
      <w:r w:rsidRPr="007A775F">
        <w:t>considered</w:t>
      </w:r>
      <w:r>
        <w:rPr>
          <w:szCs w:val="24"/>
        </w:rPr>
        <w:t xml:space="preserve"> the report</w:t>
      </w:r>
      <w:r w:rsidR="00A91AFD">
        <w:rPr>
          <w:szCs w:val="24"/>
        </w:rPr>
        <w:t xml:space="preserve"> its advice is made available online </w:t>
      </w:r>
      <w:r w:rsidR="009C5632">
        <w:rPr>
          <w:szCs w:val="24"/>
        </w:rPr>
        <w:t xml:space="preserve">at the </w:t>
      </w:r>
      <w:hyperlink r:id="rId11" w:history="1">
        <w:r w:rsidR="009C5632">
          <w:rPr>
            <w:rStyle w:val="Hyperlink"/>
            <w:szCs w:val="24"/>
          </w:rPr>
          <w:t>MSAC Website</w:t>
        </w:r>
      </w:hyperlink>
      <w:r w:rsidR="00A91AFD">
        <w:rPr>
          <w:szCs w:val="24"/>
        </w:rPr>
        <w:t>.</w:t>
      </w:r>
    </w:p>
    <w:p w14:paraId="09E8EE24" w14:textId="404449BB" w:rsidR="00BC1364" w:rsidRPr="00A91AFD" w:rsidRDefault="003F5DD6" w:rsidP="007A775F">
      <w:pPr>
        <w:pStyle w:val="Heading1"/>
        <w:numPr>
          <w:ilvl w:val="0"/>
          <w:numId w:val="23"/>
        </w:numPr>
        <w:tabs>
          <w:tab w:val="left" w:pos="720"/>
          <w:tab w:val="left" w:pos="1140"/>
        </w:tabs>
        <w:spacing w:before="360"/>
        <w:ind w:hanging="720"/>
      </w:pPr>
      <w:r>
        <w:t>Results</w:t>
      </w:r>
    </w:p>
    <w:p w14:paraId="08FB6E75" w14:textId="061112B6" w:rsidR="00AC6433" w:rsidRDefault="004E015F" w:rsidP="00240CC4">
      <w:pPr>
        <w:pStyle w:val="Heading2"/>
      </w:pPr>
      <w:r>
        <w:t>Utilisation</w:t>
      </w:r>
    </w:p>
    <w:p w14:paraId="6F3FD83E" w14:textId="714B56DC" w:rsidR="007E0EE6" w:rsidRDefault="007E0EE6" w:rsidP="007E0EE6">
      <w:r>
        <w:t>Utilisation of item 73337 appears to have levelled out at just fewer than 3,000 services per annum by 2015-16 (Table 1). Based on the current growth pattern it does not appear that utilisation will change significan</w:t>
      </w:r>
      <w:r w:rsidR="0051148C">
        <w:t>tly in the near future (Figure 1</w:t>
      </w:r>
      <w:r>
        <w:t xml:space="preserve">). This utilisation is </w:t>
      </w:r>
      <w:r w:rsidR="00527BF0">
        <w:t xml:space="preserve">below </w:t>
      </w:r>
      <w:r>
        <w:t>the utilisation expected during the MSAC consideration. In 2013-14, the very low utilisation may have been the result of overlap with item 73328</w:t>
      </w:r>
      <w:r w:rsidR="00F33D75">
        <w:t xml:space="preserve"> </w:t>
      </w:r>
      <w:r>
        <w:t>which was</w:t>
      </w:r>
      <w:r w:rsidR="00F33D75">
        <w:t xml:space="preserve"> superseded by item 73337 but</w:t>
      </w:r>
      <w:r>
        <w:t xml:space="preserve"> not removed until 31 October 2014.</w:t>
      </w:r>
    </w:p>
    <w:p w14:paraId="6101F757" w14:textId="529B21AF" w:rsidR="007E0EE6" w:rsidRDefault="007E0EE6" w:rsidP="007A775F">
      <w:pPr>
        <w:spacing w:before="240"/>
      </w:pPr>
      <w:r>
        <w:t>It was assumed that there would be an increase in lung biopsies (item 30710) as a result of the listing of item 73337. Item 30710 was growing significantly before item 73337 was listed (28% annual increase in utilisation) and consequently it is difficult to know how much of the item’s growth can be attributed to the new listing</w:t>
      </w:r>
      <w:r w:rsidR="00240CC4">
        <w:t xml:space="preserve"> (Figure 2)</w:t>
      </w:r>
      <w:r w:rsidR="0051148C">
        <w:t>.</w:t>
      </w:r>
    </w:p>
    <w:p w14:paraId="35AF63F6" w14:textId="5D8C7C22" w:rsidR="007E0EE6" w:rsidRDefault="007E0EE6" w:rsidP="007A775F">
      <w:pPr>
        <w:spacing w:before="240"/>
      </w:pPr>
      <w:r>
        <w:t>The majority of utilisation occurs in NSW and VIC.</w:t>
      </w:r>
    </w:p>
    <w:p w14:paraId="5423B305" w14:textId="16CD5D0F" w:rsidR="007E0EE6" w:rsidRPr="00A73613" w:rsidRDefault="007E0EE6" w:rsidP="009C5632">
      <w:pPr>
        <w:pStyle w:val="Heading3"/>
        <w:rPr>
          <w:rFonts w:cs="Times New Roman"/>
          <w:szCs w:val="18"/>
        </w:rPr>
      </w:pPr>
      <w:r w:rsidRPr="00A73613">
        <w:rPr>
          <w:rFonts w:cs="Times New Roman"/>
          <w:szCs w:val="18"/>
        </w:rPr>
        <w:t xml:space="preserve">Table 1: Services and </w:t>
      </w:r>
      <w:r w:rsidRPr="009C5632">
        <w:t>benefits</w:t>
      </w:r>
      <w:r w:rsidRPr="00A73613">
        <w:rPr>
          <w:rFonts w:cs="Times New Roman"/>
          <w:szCs w:val="18"/>
        </w:rPr>
        <w:t xml:space="preserve"> paid per state for MBS item </w:t>
      </w:r>
      <w:r w:rsidR="00527BF0">
        <w:rPr>
          <w:rFonts w:cs="Times New Roman"/>
          <w:szCs w:val="18"/>
        </w:rPr>
        <w:t>73337</w:t>
      </w:r>
      <w:r w:rsidRPr="00A73613">
        <w:rPr>
          <w:rFonts w:cs="Times New Roman"/>
          <w:szCs w:val="18"/>
        </w:rPr>
        <w:t xml:space="preserve"> from 2013-14 to 2015-16</w:t>
      </w:r>
    </w:p>
    <w:tbl>
      <w:tblPr>
        <w:tblW w:w="10313" w:type="dxa"/>
        <w:tblInd w:w="-459" w:type="dxa"/>
        <w:tblLook w:val="04A0" w:firstRow="1" w:lastRow="0" w:firstColumn="1" w:lastColumn="0" w:noHBand="0" w:noVBand="1"/>
        <w:tblDescription w:val="Table 1 presents the services and benefits paid in each state for MBS items 73337 and 73328 from 2013-14 to 2015-16. States are represented across columns and financial years are represented across rows. Each financial year is split into two rows - one for the number of services and one for the amount of benefits in Australian dollars. 'NP' means that for that cell, the data is not printed."/>
      </w:tblPr>
      <w:tblGrid>
        <w:gridCol w:w="717"/>
        <w:gridCol w:w="1290"/>
        <w:gridCol w:w="912"/>
        <w:gridCol w:w="972"/>
        <w:gridCol w:w="972"/>
        <w:gridCol w:w="972"/>
        <w:gridCol w:w="871"/>
        <w:gridCol w:w="871"/>
        <w:gridCol w:w="539"/>
        <w:gridCol w:w="432"/>
        <w:gridCol w:w="548"/>
        <w:gridCol w:w="1217"/>
      </w:tblGrid>
      <w:tr w:rsidR="007E0EE6" w:rsidRPr="004806EA" w14:paraId="2A3C16DF" w14:textId="77777777" w:rsidTr="00FC1D9A">
        <w:trPr>
          <w:trHeight w:val="240"/>
          <w:tblHeader/>
        </w:trPr>
        <w:tc>
          <w:tcPr>
            <w:tcW w:w="717" w:type="dxa"/>
            <w:tcBorders>
              <w:top w:val="single" w:sz="4" w:space="0" w:color="000000"/>
              <w:left w:val="single" w:sz="4" w:space="0" w:color="auto"/>
              <w:bottom w:val="single" w:sz="4" w:space="0" w:color="000000"/>
              <w:right w:val="single" w:sz="4" w:space="0" w:color="000000"/>
            </w:tcBorders>
            <w:shd w:val="clear" w:color="auto" w:fill="008080"/>
          </w:tcPr>
          <w:p w14:paraId="4F1B24DC" w14:textId="77777777" w:rsidR="007E0EE6" w:rsidRPr="004854F7" w:rsidRDefault="007E0EE6" w:rsidP="00240CC4">
            <w:pPr>
              <w:rPr>
                <w:rFonts w:ascii="Arial" w:hAnsi="Arial" w:cs="Arial"/>
                <w:b/>
                <w:bCs/>
                <w:color w:val="FFFFFF"/>
                <w:sz w:val="16"/>
                <w:szCs w:val="16"/>
              </w:rPr>
            </w:pPr>
            <w:r>
              <w:rPr>
                <w:rFonts w:ascii="Arial" w:hAnsi="Arial" w:cs="Arial"/>
                <w:b/>
                <w:bCs/>
                <w:color w:val="FFFFFF"/>
                <w:sz w:val="16"/>
                <w:szCs w:val="16"/>
              </w:rPr>
              <w:t>Item #</w:t>
            </w:r>
          </w:p>
        </w:tc>
        <w:tc>
          <w:tcPr>
            <w:tcW w:w="0" w:type="auto"/>
            <w:tcBorders>
              <w:top w:val="single" w:sz="4" w:space="0" w:color="000000"/>
              <w:left w:val="single" w:sz="4" w:space="0" w:color="auto"/>
              <w:bottom w:val="single" w:sz="4" w:space="0" w:color="000000"/>
              <w:right w:val="single" w:sz="4" w:space="0" w:color="000000"/>
            </w:tcBorders>
            <w:shd w:val="clear" w:color="auto" w:fill="008080"/>
            <w:vAlign w:val="center"/>
            <w:hideMark/>
          </w:tcPr>
          <w:p w14:paraId="5F61D952" w14:textId="77777777" w:rsidR="007E0EE6" w:rsidRPr="004854F7" w:rsidRDefault="007E0EE6" w:rsidP="00240CC4">
            <w:pPr>
              <w:rPr>
                <w:rFonts w:ascii="Arial" w:hAnsi="Arial" w:cs="Arial"/>
                <w:b/>
                <w:bCs/>
                <w:color w:val="FFFFFF"/>
                <w:sz w:val="16"/>
                <w:szCs w:val="16"/>
              </w:rPr>
            </w:pPr>
            <w:r>
              <w:rPr>
                <w:rFonts w:ascii="Arial" w:hAnsi="Arial" w:cs="Arial"/>
                <w:b/>
                <w:bCs/>
                <w:color w:val="FFFFFF"/>
                <w:sz w:val="16"/>
                <w:szCs w:val="16"/>
              </w:rPr>
              <w:t>Financial year</w:t>
            </w:r>
          </w:p>
        </w:tc>
        <w:tc>
          <w:tcPr>
            <w:tcW w:w="0" w:type="auto"/>
            <w:tcBorders>
              <w:top w:val="single" w:sz="4" w:space="0" w:color="auto"/>
              <w:left w:val="nil"/>
              <w:bottom w:val="single" w:sz="4" w:space="0" w:color="000000"/>
              <w:right w:val="single" w:sz="4" w:space="0" w:color="auto"/>
            </w:tcBorders>
            <w:shd w:val="clear" w:color="auto" w:fill="008080"/>
          </w:tcPr>
          <w:p w14:paraId="47DB10FB" w14:textId="77777777" w:rsidR="007E0EE6" w:rsidRPr="004854F7" w:rsidRDefault="007E0EE6" w:rsidP="00240CC4">
            <w:pPr>
              <w:jc w:val="center"/>
              <w:rPr>
                <w:rFonts w:ascii="Arial" w:hAnsi="Arial" w:cs="Arial"/>
                <w:b/>
                <w:bCs/>
                <w:color w:val="FFFFFF"/>
                <w:sz w:val="16"/>
                <w:szCs w:val="16"/>
              </w:rPr>
            </w:pPr>
          </w:p>
        </w:tc>
        <w:tc>
          <w:tcPr>
            <w:tcW w:w="0" w:type="auto"/>
            <w:tcBorders>
              <w:top w:val="single" w:sz="4" w:space="0" w:color="auto"/>
              <w:left w:val="single" w:sz="4" w:space="0" w:color="auto"/>
              <w:bottom w:val="single" w:sz="4" w:space="0" w:color="000000"/>
              <w:right w:val="single" w:sz="4" w:space="0" w:color="000000"/>
            </w:tcBorders>
            <w:shd w:val="clear" w:color="auto" w:fill="008080"/>
            <w:vAlign w:val="bottom"/>
            <w:hideMark/>
          </w:tcPr>
          <w:p w14:paraId="3A274021" w14:textId="77777777" w:rsidR="007E0EE6" w:rsidRPr="004854F7" w:rsidRDefault="007E0EE6" w:rsidP="00240CC4">
            <w:pPr>
              <w:jc w:val="center"/>
              <w:rPr>
                <w:rFonts w:ascii="Arial" w:hAnsi="Arial" w:cs="Arial"/>
                <w:b/>
                <w:bCs/>
                <w:color w:val="FFFFFF"/>
                <w:sz w:val="16"/>
                <w:szCs w:val="16"/>
              </w:rPr>
            </w:pPr>
            <w:r w:rsidRPr="004854F7">
              <w:rPr>
                <w:rFonts w:ascii="Arial" w:hAnsi="Arial" w:cs="Arial"/>
                <w:b/>
                <w:bCs/>
                <w:color w:val="FFFFFF"/>
                <w:sz w:val="16"/>
                <w:szCs w:val="16"/>
              </w:rPr>
              <w:t>NSW</w:t>
            </w:r>
          </w:p>
        </w:tc>
        <w:tc>
          <w:tcPr>
            <w:tcW w:w="0" w:type="auto"/>
            <w:tcBorders>
              <w:top w:val="single" w:sz="4" w:space="0" w:color="auto"/>
              <w:left w:val="nil"/>
              <w:bottom w:val="single" w:sz="4" w:space="0" w:color="000000"/>
              <w:right w:val="single" w:sz="4" w:space="0" w:color="000000"/>
            </w:tcBorders>
            <w:shd w:val="clear" w:color="auto" w:fill="008080"/>
            <w:vAlign w:val="bottom"/>
            <w:hideMark/>
          </w:tcPr>
          <w:p w14:paraId="0ED40EC1" w14:textId="77777777" w:rsidR="007E0EE6" w:rsidRPr="004854F7" w:rsidRDefault="007E0EE6" w:rsidP="00240CC4">
            <w:pPr>
              <w:jc w:val="center"/>
              <w:rPr>
                <w:rFonts w:ascii="Arial" w:hAnsi="Arial" w:cs="Arial"/>
                <w:b/>
                <w:bCs/>
                <w:color w:val="FFFFFF"/>
                <w:sz w:val="16"/>
                <w:szCs w:val="16"/>
              </w:rPr>
            </w:pPr>
            <w:r w:rsidRPr="004854F7">
              <w:rPr>
                <w:rFonts w:ascii="Arial" w:hAnsi="Arial" w:cs="Arial"/>
                <w:b/>
                <w:bCs/>
                <w:color w:val="FFFFFF"/>
                <w:sz w:val="16"/>
                <w:szCs w:val="16"/>
              </w:rPr>
              <w:t>VIC</w:t>
            </w:r>
          </w:p>
        </w:tc>
        <w:tc>
          <w:tcPr>
            <w:tcW w:w="0" w:type="auto"/>
            <w:tcBorders>
              <w:top w:val="single" w:sz="4" w:space="0" w:color="auto"/>
              <w:left w:val="nil"/>
              <w:bottom w:val="single" w:sz="4" w:space="0" w:color="000000"/>
              <w:right w:val="single" w:sz="4" w:space="0" w:color="000000"/>
            </w:tcBorders>
            <w:shd w:val="clear" w:color="auto" w:fill="008080"/>
            <w:vAlign w:val="bottom"/>
            <w:hideMark/>
          </w:tcPr>
          <w:p w14:paraId="7846B0A4" w14:textId="77777777" w:rsidR="007E0EE6" w:rsidRPr="004854F7" w:rsidRDefault="007E0EE6" w:rsidP="00240CC4">
            <w:pPr>
              <w:jc w:val="center"/>
              <w:rPr>
                <w:rFonts w:ascii="Arial" w:hAnsi="Arial" w:cs="Arial"/>
                <w:b/>
                <w:bCs/>
                <w:color w:val="FFFFFF"/>
                <w:sz w:val="16"/>
                <w:szCs w:val="16"/>
              </w:rPr>
            </w:pPr>
            <w:r w:rsidRPr="004854F7">
              <w:rPr>
                <w:rFonts w:ascii="Arial" w:hAnsi="Arial" w:cs="Arial"/>
                <w:b/>
                <w:bCs/>
                <w:color w:val="FFFFFF"/>
                <w:sz w:val="16"/>
                <w:szCs w:val="16"/>
              </w:rPr>
              <w:t>QLD</w:t>
            </w:r>
          </w:p>
        </w:tc>
        <w:tc>
          <w:tcPr>
            <w:tcW w:w="0" w:type="auto"/>
            <w:tcBorders>
              <w:top w:val="single" w:sz="4" w:space="0" w:color="auto"/>
              <w:left w:val="nil"/>
              <w:bottom w:val="single" w:sz="4" w:space="0" w:color="000000"/>
              <w:right w:val="single" w:sz="4" w:space="0" w:color="000000"/>
            </w:tcBorders>
            <w:shd w:val="clear" w:color="auto" w:fill="008080"/>
            <w:vAlign w:val="bottom"/>
            <w:hideMark/>
          </w:tcPr>
          <w:p w14:paraId="4AF37C10" w14:textId="77777777" w:rsidR="007E0EE6" w:rsidRPr="004854F7" w:rsidRDefault="007E0EE6" w:rsidP="00240CC4">
            <w:pPr>
              <w:jc w:val="center"/>
              <w:rPr>
                <w:rFonts w:ascii="Arial" w:hAnsi="Arial" w:cs="Arial"/>
                <w:b/>
                <w:bCs/>
                <w:color w:val="FFFFFF"/>
                <w:sz w:val="16"/>
                <w:szCs w:val="16"/>
              </w:rPr>
            </w:pPr>
            <w:r w:rsidRPr="004854F7">
              <w:rPr>
                <w:rFonts w:ascii="Arial" w:hAnsi="Arial" w:cs="Arial"/>
                <w:b/>
                <w:bCs/>
                <w:color w:val="FFFFFF"/>
                <w:sz w:val="16"/>
                <w:szCs w:val="16"/>
              </w:rPr>
              <w:t>SA</w:t>
            </w:r>
          </w:p>
        </w:tc>
        <w:tc>
          <w:tcPr>
            <w:tcW w:w="0" w:type="auto"/>
            <w:tcBorders>
              <w:top w:val="single" w:sz="4" w:space="0" w:color="auto"/>
              <w:left w:val="nil"/>
              <w:bottom w:val="single" w:sz="4" w:space="0" w:color="000000"/>
              <w:right w:val="single" w:sz="4" w:space="0" w:color="000000"/>
            </w:tcBorders>
            <w:shd w:val="clear" w:color="auto" w:fill="008080"/>
            <w:vAlign w:val="bottom"/>
            <w:hideMark/>
          </w:tcPr>
          <w:p w14:paraId="79EB4EA5" w14:textId="77777777" w:rsidR="007E0EE6" w:rsidRPr="004854F7" w:rsidRDefault="007E0EE6" w:rsidP="00240CC4">
            <w:pPr>
              <w:jc w:val="center"/>
              <w:rPr>
                <w:rFonts w:ascii="Arial" w:hAnsi="Arial" w:cs="Arial"/>
                <w:b/>
                <w:bCs/>
                <w:color w:val="FFFFFF"/>
                <w:sz w:val="16"/>
                <w:szCs w:val="16"/>
              </w:rPr>
            </w:pPr>
            <w:r w:rsidRPr="004854F7">
              <w:rPr>
                <w:rFonts w:ascii="Arial" w:hAnsi="Arial" w:cs="Arial"/>
                <w:b/>
                <w:bCs/>
                <w:color w:val="FFFFFF"/>
                <w:sz w:val="16"/>
                <w:szCs w:val="16"/>
              </w:rPr>
              <w:t>WA</w:t>
            </w:r>
          </w:p>
        </w:tc>
        <w:tc>
          <w:tcPr>
            <w:tcW w:w="0" w:type="auto"/>
            <w:tcBorders>
              <w:top w:val="single" w:sz="4" w:space="0" w:color="auto"/>
              <w:left w:val="nil"/>
              <w:bottom w:val="single" w:sz="4" w:space="0" w:color="000000"/>
              <w:right w:val="single" w:sz="4" w:space="0" w:color="auto"/>
            </w:tcBorders>
            <w:shd w:val="clear" w:color="auto" w:fill="008080"/>
            <w:vAlign w:val="bottom"/>
          </w:tcPr>
          <w:p w14:paraId="5335122A" w14:textId="77777777" w:rsidR="007E0EE6" w:rsidRDefault="007E0EE6" w:rsidP="00240CC4">
            <w:pPr>
              <w:jc w:val="center"/>
              <w:rPr>
                <w:rFonts w:ascii="Arial" w:hAnsi="Arial" w:cs="Arial"/>
                <w:b/>
                <w:bCs/>
                <w:color w:val="FFFFFF"/>
                <w:sz w:val="16"/>
                <w:szCs w:val="16"/>
              </w:rPr>
            </w:pPr>
            <w:r>
              <w:rPr>
                <w:rFonts w:ascii="Arial" w:hAnsi="Arial" w:cs="Arial"/>
                <w:b/>
                <w:bCs/>
                <w:color w:val="FFFFFF"/>
                <w:sz w:val="16"/>
                <w:szCs w:val="16"/>
              </w:rPr>
              <w:t>TAS</w:t>
            </w:r>
          </w:p>
        </w:tc>
        <w:tc>
          <w:tcPr>
            <w:tcW w:w="0" w:type="auto"/>
            <w:tcBorders>
              <w:top w:val="single" w:sz="4" w:space="0" w:color="auto"/>
              <w:left w:val="single" w:sz="4" w:space="0" w:color="auto"/>
              <w:bottom w:val="single" w:sz="4" w:space="0" w:color="000000"/>
              <w:right w:val="single" w:sz="4" w:space="0" w:color="auto"/>
            </w:tcBorders>
            <w:shd w:val="clear" w:color="auto" w:fill="008080"/>
            <w:vAlign w:val="bottom"/>
          </w:tcPr>
          <w:p w14:paraId="3606C99F" w14:textId="77777777" w:rsidR="007E0EE6" w:rsidRDefault="007E0EE6" w:rsidP="00240CC4">
            <w:pPr>
              <w:jc w:val="center"/>
              <w:rPr>
                <w:rFonts w:ascii="Arial" w:hAnsi="Arial" w:cs="Arial"/>
                <w:b/>
                <w:bCs/>
                <w:color w:val="FFFFFF"/>
                <w:sz w:val="16"/>
                <w:szCs w:val="16"/>
              </w:rPr>
            </w:pPr>
            <w:r>
              <w:rPr>
                <w:rFonts w:ascii="Arial" w:hAnsi="Arial" w:cs="Arial"/>
                <w:b/>
                <w:bCs/>
                <w:color w:val="FFFFFF"/>
                <w:sz w:val="16"/>
                <w:szCs w:val="16"/>
              </w:rPr>
              <w:t>NT</w:t>
            </w:r>
          </w:p>
        </w:tc>
        <w:tc>
          <w:tcPr>
            <w:tcW w:w="0" w:type="auto"/>
            <w:tcBorders>
              <w:top w:val="single" w:sz="4" w:space="0" w:color="auto"/>
              <w:left w:val="single" w:sz="4" w:space="0" w:color="auto"/>
              <w:bottom w:val="single" w:sz="4" w:space="0" w:color="000000"/>
              <w:right w:val="single" w:sz="4" w:space="0" w:color="000000"/>
            </w:tcBorders>
            <w:shd w:val="clear" w:color="auto" w:fill="008080"/>
            <w:vAlign w:val="bottom"/>
          </w:tcPr>
          <w:p w14:paraId="3D71B5F9" w14:textId="77777777" w:rsidR="007E0EE6" w:rsidRPr="004854F7" w:rsidRDefault="007E0EE6" w:rsidP="00240CC4">
            <w:pPr>
              <w:jc w:val="center"/>
              <w:rPr>
                <w:rFonts w:ascii="Arial" w:hAnsi="Arial" w:cs="Arial"/>
                <w:b/>
                <w:bCs/>
                <w:color w:val="FFFFFF"/>
                <w:sz w:val="16"/>
                <w:szCs w:val="16"/>
              </w:rPr>
            </w:pPr>
            <w:r>
              <w:rPr>
                <w:rFonts w:ascii="Arial" w:hAnsi="Arial" w:cs="Arial"/>
                <w:b/>
                <w:bCs/>
                <w:color w:val="FFFFFF"/>
                <w:sz w:val="16"/>
                <w:szCs w:val="16"/>
              </w:rPr>
              <w:t>ACT</w:t>
            </w:r>
          </w:p>
        </w:tc>
        <w:tc>
          <w:tcPr>
            <w:tcW w:w="1217" w:type="dxa"/>
            <w:tcBorders>
              <w:top w:val="single" w:sz="4" w:space="0" w:color="auto"/>
              <w:left w:val="nil"/>
              <w:bottom w:val="single" w:sz="4" w:space="0" w:color="000000"/>
              <w:right w:val="single" w:sz="4" w:space="0" w:color="000000"/>
            </w:tcBorders>
            <w:shd w:val="clear" w:color="auto" w:fill="008080"/>
            <w:vAlign w:val="bottom"/>
          </w:tcPr>
          <w:p w14:paraId="4E5EE9CC" w14:textId="77777777" w:rsidR="007E0EE6" w:rsidRPr="004854F7" w:rsidRDefault="007E0EE6" w:rsidP="00240CC4">
            <w:pPr>
              <w:jc w:val="center"/>
              <w:rPr>
                <w:rFonts w:ascii="Arial" w:hAnsi="Arial" w:cs="Arial"/>
                <w:b/>
                <w:bCs/>
                <w:color w:val="FFFFFF"/>
                <w:sz w:val="16"/>
                <w:szCs w:val="16"/>
              </w:rPr>
            </w:pPr>
            <w:r w:rsidRPr="004854F7">
              <w:rPr>
                <w:rFonts w:ascii="Arial" w:hAnsi="Arial" w:cs="Arial"/>
                <w:b/>
                <w:bCs/>
                <w:color w:val="FFFFFF"/>
                <w:sz w:val="16"/>
                <w:szCs w:val="16"/>
              </w:rPr>
              <w:t>Australia</w:t>
            </w:r>
          </w:p>
        </w:tc>
      </w:tr>
      <w:tr w:rsidR="009C5632" w:rsidRPr="004806EA" w14:paraId="3B64ECF1" w14:textId="77777777" w:rsidTr="009C5632">
        <w:trPr>
          <w:trHeight w:val="272"/>
        </w:trPr>
        <w:tc>
          <w:tcPr>
            <w:tcW w:w="717" w:type="dxa"/>
            <w:vMerge w:val="restart"/>
            <w:tcBorders>
              <w:left w:val="single" w:sz="4" w:space="0" w:color="auto"/>
              <w:right w:val="single" w:sz="4" w:space="0" w:color="auto"/>
            </w:tcBorders>
            <w:shd w:val="clear" w:color="000000" w:fill="FFFFFF"/>
          </w:tcPr>
          <w:p w14:paraId="5E4621BB" w14:textId="75AD1D9D" w:rsidR="009C5632" w:rsidRPr="009C5632" w:rsidRDefault="009C5632" w:rsidP="00240CC4">
            <w:pPr>
              <w:rPr>
                <w:rFonts w:ascii="Arial" w:hAnsi="Arial" w:cs="Arial"/>
                <w:b/>
                <w:bCs/>
                <w:color w:val="000000"/>
                <w:sz w:val="18"/>
                <w:szCs w:val="18"/>
              </w:rPr>
            </w:pPr>
            <w:r w:rsidRPr="009C5632">
              <w:rPr>
                <w:rFonts w:ascii="Arial" w:hAnsi="Arial" w:cs="Arial"/>
                <w:b/>
                <w:bCs/>
                <w:color w:val="000000"/>
                <w:sz w:val="18"/>
                <w:szCs w:val="18"/>
              </w:rPr>
              <w:t>73337</w:t>
            </w:r>
          </w:p>
        </w:tc>
        <w:tc>
          <w:tcPr>
            <w:tcW w:w="0" w:type="auto"/>
            <w:vMerge w:val="restart"/>
            <w:tcBorders>
              <w:top w:val="single" w:sz="4" w:space="0" w:color="auto"/>
              <w:left w:val="single" w:sz="4" w:space="0" w:color="auto"/>
              <w:right w:val="single" w:sz="4" w:space="0" w:color="auto"/>
            </w:tcBorders>
            <w:shd w:val="clear" w:color="000000" w:fill="FFFFFF"/>
            <w:vAlign w:val="center"/>
          </w:tcPr>
          <w:p w14:paraId="4388F007" w14:textId="77777777" w:rsidR="009C5632" w:rsidRPr="00FC1D9A" w:rsidRDefault="009C5632" w:rsidP="00240CC4">
            <w:pPr>
              <w:rPr>
                <w:rFonts w:ascii="Arial" w:hAnsi="Arial" w:cs="Arial"/>
                <w:b/>
                <w:bCs/>
                <w:sz w:val="18"/>
                <w:szCs w:val="18"/>
              </w:rPr>
            </w:pPr>
            <w:r w:rsidRPr="00FC1D9A">
              <w:rPr>
                <w:rFonts w:ascii="Arial" w:hAnsi="Arial" w:cs="Arial"/>
                <w:b/>
                <w:bCs/>
                <w:sz w:val="18"/>
                <w:szCs w:val="18"/>
              </w:rPr>
              <w:t>2014-15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776D285D" w14:textId="77777777" w:rsidR="009C5632" w:rsidRPr="00FC1D9A" w:rsidRDefault="009C5632" w:rsidP="00240CC4">
            <w:pPr>
              <w:spacing w:after="150"/>
              <w:rPr>
                <w:rFonts w:ascii="Arial" w:hAnsi="Arial" w:cs="Arial"/>
                <w:sz w:val="18"/>
                <w:szCs w:val="18"/>
              </w:rPr>
            </w:pPr>
            <w:r w:rsidRPr="00FC1D9A">
              <w:rPr>
                <w:rFonts w:ascii="Arial" w:hAnsi="Arial" w:cs="Arial"/>
                <w:sz w:val="18"/>
                <w:szCs w:val="18"/>
              </w:rPr>
              <w:t>Services</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31B2603D" w14:textId="77777777" w:rsidR="009C5632" w:rsidRPr="00FC1D9A" w:rsidRDefault="009C5632" w:rsidP="00240CC4">
            <w:pPr>
              <w:jc w:val="right"/>
              <w:rPr>
                <w:rFonts w:ascii="Arial" w:hAnsi="Arial" w:cs="Arial"/>
                <w:sz w:val="18"/>
                <w:szCs w:val="18"/>
              </w:rPr>
            </w:pPr>
            <w:r w:rsidRPr="00FC1D9A">
              <w:rPr>
                <w:rFonts w:ascii="Arial" w:hAnsi="Arial" w:cs="Arial"/>
                <w:sz w:val="18"/>
                <w:szCs w:val="18"/>
              </w:rPr>
              <w:t>1,162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2322BF95" w14:textId="77777777" w:rsidR="009C5632" w:rsidRPr="00FC1D9A" w:rsidRDefault="009C5632" w:rsidP="00240CC4">
            <w:pPr>
              <w:jc w:val="right"/>
              <w:rPr>
                <w:rFonts w:ascii="Arial" w:hAnsi="Arial" w:cs="Arial"/>
                <w:sz w:val="18"/>
                <w:szCs w:val="18"/>
              </w:rPr>
            </w:pPr>
            <w:r w:rsidRPr="00FC1D9A">
              <w:rPr>
                <w:rFonts w:ascii="Arial" w:hAnsi="Arial" w:cs="Arial"/>
                <w:sz w:val="18"/>
                <w:szCs w:val="18"/>
              </w:rPr>
              <w:t>894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071C6C2F" w14:textId="77777777" w:rsidR="009C5632" w:rsidRPr="00FC1D9A" w:rsidRDefault="009C5632" w:rsidP="00240CC4">
            <w:pPr>
              <w:jc w:val="right"/>
              <w:rPr>
                <w:rFonts w:ascii="Arial" w:hAnsi="Arial" w:cs="Arial"/>
                <w:sz w:val="18"/>
                <w:szCs w:val="18"/>
              </w:rPr>
            </w:pPr>
            <w:r w:rsidRPr="00FC1D9A">
              <w:rPr>
                <w:rFonts w:ascii="Arial" w:hAnsi="Arial" w:cs="Arial"/>
                <w:sz w:val="18"/>
                <w:szCs w:val="18"/>
              </w:rPr>
              <w:t>415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686EEB43" w14:textId="77777777" w:rsidR="009C5632" w:rsidRPr="00FC1D9A" w:rsidRDefault="009C5632" w:rsidP="00240CC4">
            <w:pPr>
              <w:jc w:val="right"/>
              <w:rPr>
                <w:rFonts w:ascii="Arial" w:hAnsi="Arial" w:cs="Arial"/>
                <w:sz w:val="18"/>
                <w:szCs w:val="18"/>
              </w:rPr>
            </w:pPr>
            <w:r w:rsidRPr="00FC1D9A">
              <w:rPr>
                <w:rFonts w:ascii="Arial" w:hAnsi="Arial" w:cs="Arial"/>
                <w:sz w:val="18"/>
                <w:szCs w:val="18"/>
              </w:rPr>
              <w:t>124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02445F48" w14:textId="77777777" w:rsidR="009C5632" w:rsidRPr="00FC1D9A" w:rsidRDefault="009C5632" w:rsidP="00240CC4">
            <w:pPr>
              <w:jc w:val="right"/>
              <w:rPr>
                <w:rFonts w:ascii="Arial" w:hAnsi="Arial" w:cs="Arial"/>
                <w:sz w:val="18"/>
                <w:szCs w:val="18"/>
              </w:rPr>
            </w:pPr>
            <w:r w:rsidRPr="00FC1D9A">
              <w:rPr>
                <w:rFonts w:ascii="Arial" w:hAnsi="Arial" w:cs="Arial"/>
                <w:sz w:val="18"/>
                <w:szCs w:val="18"/>
              </w:rPr>
              <w:t>167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1407FCE3" w14:textId="77777777" w:rsidR="009C5632" w:rsidRPr="00FC1D9A" w:rsidRDefault="009C5632" w:rsidP="00240CC4">
            <w:pPr>
              <w:jc w:val="right"/>
              <w:rPr>
                <w:rFonts w:ascii="Arial" w:hAnsi="Arial" w:cs="Arial"/>
                <w:sz w:val="18"/>
                <w:szCs w:val="18"/>
              </w:rPr>
            </w:pPr>
            <w:r w:rsidRPr="00FC1D9A">
              <w:rPr>
                <w:rFonts w:ascii="Arial" w:hAnsi="Arial" w:cs="Arial"/>
                <w:sz w:val="18"/>
                <w:szCs w:val="18"/>
              </w:rPr>
              <w:t>np</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117D5EFF" w14:textId="77777777" w:rsidR="009C5632" w:rsidRPr="00FC1D9A" w:rsidRDefault="009C5632" w:rsidP="00240CC4">
            <w:pPr>
              <w:jc w:val="right"/>
              <w:rPr>
                <w:rFonts w:ascii="Arial" w:hAnsi="Arial" w:cs="Arial"/>
                <w:sz w:val="18"/>
                <w:szCs w:val="18"/>
              </w:rPr>
            </w:pPr>
            <w:r w:rsidRPr="00FC1D9A">
              <w:rPr>
                <w:rFonts w:ascii="Arial" w:hAnsi="Arial" w:cs="Arial"/>
                <w:sz w:val="18"/>
                <w:szCs w:val="18"/>
              </w:rPr>
              <w:t>np</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11B20E8B" w14:textId="77777777" w:rsidR="009C5632" w:rsidRPr="00FC1D9A" w:rsidRDefault="009C5632" w:rsidP="00240CC4">
            <w:pPr>
              <w:jc w:val="right"/>
              <w:rPr>
                <w:rFonts w:ascii="Arial" w:hAnsi="Arial" w:cs="Arial"/>
                <w:sz w:val="18"/>
                <w:szCs w:val="18"/>
              </w:rPr>
            </w:pPr>
            <w:r w:rsidRPr="00FC1D9A">
              <w:rPr>
                <w:rFonts w:ascii="Arial" w:hAnsi="Arial" w:cs="Arial"/>
                <w:sz w:val="18"/>
                <w:szCs w:val="18"/>
              </w:rPr>
              <w:t>np</w:t>
            </w:r>
          </w:p>
        </w:tc>
        <w:tc>
          <w:tcPr>
            <w:tcW w:w="1217" w:type="dxa"/>
            <w:tcBorders>
              <w:top w:val="single" w:sz="4" w:space="0" w:color="auto"/>
              <w:left w:val="single" w:sz="4" w:space="0" w:color="auto"/>
              <w:bottom w:val="single" w:sz="4" w:space="0" w:color="auto"/>
              <w:right w:val="single" w:sz="4" w:space="0" w:color="auto"/>
            </w:tcBorders>
            <w:shd w:val="clear" w:color="000000" w:fill="FFFFFF"/>
            <w:vAlign w:val="bottom"/>
          </w:tcPr>
          <w:p w14:paraId="76E49CEB" w14:textId="77777777" w:rsidR="009C5632" w:rsidRPr="00FC1D9A" w:rsidRDefault="009C5632" w:rsidP="00240CC4">
            <w:pPr>
              <w:jc w:val="right"/>
              <w:rPr>
                <w:rFonts w:ascii="Arial" w:hAnsi="Arial" w:cs="Arial"/>
                <w:b/>
                <w:sz w:val="18"/>
                <w:szCs w:val="18"/>
              </w:rPr>
            </w:pPr>
            <w:r w:rsidRPr="00FC1D9A">
              <w:rPr>
                <w:rFonts w:ascii="Arial" w:hAnsi="Arial" w:cs="Arial"/>
                <w:b/>
                <w:sz w:val="18"/>
                <w:szCs w:val="18"/>
              </w:rPr>
              <w:t>2,828</w:t>
            </w:r>
          </w:p>
        </w:tc>
      </w:tr>
      <w:tr w:rsidR="009C5632" w:rsidRPr="004806EA" w14:paraId="0BACF05E" w14:textId="77777777" w:rsidTr="009C5632">
        <w:trPr>
          <w:trHeight w:val="321"/>
        </w:trPr>
        <w:tc>
          <w:tcPr>
            <w:tcW w:w="717" w:type="dxa"/>
            <w:vMerge/>
            <w:tcBorders>
              <w:left w:val="single" w:sz="4" w:space="0" w:color="auto"/>
              <w:right w:val="single" w:sz="4" w:space="0" w:color="auto"/>
            </w:tcBorders>
            <w:shd w:val="clear" w:color="000000" w:fill="FFFFFF"/>
          </w:tcPr>
          <w:p w14:paraId="29E29FE9" w14:textId="1D6CE580" w:rsidR="009C5632" w:rsidRPr="00547178" w:rsidRDefault="009C5632" w:rsidP="00240CC4">
            <w:pPr>
              <w:rPr>
                <w:rFonts w:ascii="Arial" w:hAnsi="Arial" w:cs="Arial"/>
                <w:bCs/>
                <w:color w:val="000000"/>
                <w:sz w:val="18"/>
                <w:szCs w:val="18"/>
              </w:rPr>
            </w:pPr>
          </w:p>
        </w:tc>
        <w:tc>
          <w:tcPr>
            <w:tcW w:w="0" w:type="auto"/>
            <w:vMerge/>
            <w:tcBorders>
              <w:left w:val="single" w:sz="4" w:space="0" w:color="auto"/>
              <w:bottom w:val="single" w:sz="4" w:space="0" w:color="auto"/>
              <w:right w:val="single" w:sz="4" w:space="0" w:color="auto"/>
            </w:tcBorders>
            <w:shd w:val="clear" w:color="000000" w:fill="FFFFFF"/>
            <w:vAlign w:val="center"/>
          </w:tcPr>
          <w:p w14:paraId="761D769F" w14:textId="77777777" w:rsidR="009C5632" w:rsidRPr="00FC1D9A" w:rsidRDefault="009C5632" w:rsidP="00240CC4">
            <w:pPr>
              <w:rPr>
                <w:rFonts w:ascii="Arial" w:hAnsi="Arial" w:cs="Arial"/>
                <w:b/>
                <w:bCs/>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635CAED1" w14:textId="77777777" w:rsidR="009C5632" w:rsidRPr="00FC1D9A" w:rsidRDefault="009C5632" w:rsidP="00240CC4">
            <w:pPr>
              <w:spacing w:after="150"/>
              <w:rPr>
                <w:rFonts w:ascii="Arial" w:hAnsi="Arial" w:cs="Arial"/>
                <w:sz w:val="18"/>
                <w:szCs w:val="18"/>
              </w:rPr>
            </w:pPr>
            <w:r w:rsidRPr="00FC1D9A">
              <w:rPr>
                <w:rFonts w:ascii="Arial" w:hAnsi="Arial" w:cs="Arial"/>
                <w:sz w:val="18"/>
                <w:szCs w:val="18"/>
              </w:rPr>
              <w:t>Benefits</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75AB67E8" w14:textId="77777777" w:rsidR="009C5632" w:rsidRPr="00FC1D9A" w:rsidRDefault="009C5632" w:rsidP="00240CC4">
            <w:pPr>
              <w:jc w:val="right"/>
              <w:rPr>
                <w:rFonts w:ascii="Arial" w:hAnsi="Arial" w:cs="Arial"/>
                <w:sz w:val="18"/>
                <w:szCs w:val="18"/>
              </w:rPr>
            </w:pPr>
            <w:r w:rsidRPr="00FC1D9A">
              <w:rPr>
                <w:rFonts w:ascii="Arial" w:hAnsi="Arial" w:cs="Arial"/>
                <w:sz w:val="18"/>
                <w:szCs w:val="18"/>
              </w:rPr>
              <w:t>$386,425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4BBE2345" w14:textId="77777777" w:rsidR="009C5632" w:rsidRPr="00FC1D9A" w:rsidRDefault="009C5632" w:rsidP="00240CC4">
            <w:pPr>
              <w:jc w:val="right"/>
              <w:rPr>
                <w:rFonts w:ascii="Arial" w:hAnsi="Arial" w:cs="Arial"/>
                <w:sz w:val="18"/>
                <w:szCs w:val="18"/>
              </w:rPr>
            </w:pPr>
            <w:r w:rsidRPr="00FC1D9A">
              <w:rPr>
                <w:rFonts w:ascii="Arial" w:hAnsi="Arial" w:cs="Arial"/>
                <w:sz w:val="18"/>
                <w:szCs w:val="18"/>
              </w:rPr>
              <w:t>$297,910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585BEECC" w14:textId="77777777" w:rsidR="009C5632" w:rsidRPr="00FC1D9A" w:rsidRDefault="009C5632" w:rsidP="00240CC4">
            <w:pPr>
              <w:jc w:val="right"/>
              <w:rPr>
                <w:rFonts w:ascii="Arial" w:hAnsi="Arial" w:cs="Arial"/>
                <w:sz w:val="18"/>
                <w:szCs w:val="18"/>
              </w:rPr>
            </w:pPr>
            <w:r w:rsidRPr="00FC1D9A">
              <w:rPr>
                <w:rFonts w:ascii="Arial" w:hAnsi="Arial" w:cs="Arial"/>
                <w:sz w:val="18"/>
                <w:szCs w:val="18"/>
              </w:rPr>
              <w:t>$131,007</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59E4F50E" w14:textId="77777777" w:rsidR="009C5632" w:rsidRPr="00FC1D9A" w:rsidRDefault="009C5632" w:rsidP="00240CC4">
            <w:pPr>
              <w:jc w:val="right"/>
              <w:rPr>
                <w:rFonts w:ascii="Arial" w:hAnsi="Arial" w:cs="Arial"/>
                <w:sz w:val="18"/>
                <w:szCs w:val="18"/>
              </w:rPr>
            </w:pPr>
            <w:r w:rsidRPr="00FC1D9A">
              <w:rPr>
                <w:rFonts w:ascii="Arial" w:hAnsi="Arial" w:cs="Arial"/>
                <w:sz w:val="18"/>
                <w:szCs w:val="18"/>
              </w:rPr>
              <w:t>$39,658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3F99F7F9" w14:textId="77777777" w:rsidR="009C5632" w:rsidRPr="00FC1D9A" w:rsidRDefault="009C5632" w:rsidP="00240CC4">
            <w:pPr>
              <w:jc w:val="right"/>
              <w:rPr>
                <w:rFonts w:ascii="Arial" w:hAnsi="Arial" w:cs="Arial"/>
                <w:sz w:val="18"/>
                <w:szCs w:val="18"/>
              </w:rPr>
            </w:pPr>
            <w:r w:rsidRPr="00FC1D9A">
              <w:rPr>
                <w:rFonts w:ascii="Arial" w:hAnsi="Arial" w:cs="Arial"/>
                <w:sz w:val="18"/>
                <w:szCs w:val="18"/>
              </w:rPr>
              <w:t>$52,330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10CAD5CA" w14:textId="77777777" w:rsidR="009C5632" w:rsidRPr="00FC1D9A" w:rsidRDefault="009C5632" w:rsidP="00240CC4">
            <w:pPr>
              <w:jc w:val="right"/>
              <w:rPr>
                <w:rFonts w:ascii="Arial" w:hAnsi="Arial" w:cs="Arial"/>
                <w:sz w:val="18"/>
                <w:szCs w:val="18"/>
              </w:rPr>
            </w:pPr>
            <w:r w:rsidRPr="00FC1D9A">
              <w:rPr>
                <w:rFonts w:ascii="Arial" w:hAnsi="Arial" w:cs="Arial"/>
                <w:sz w:val="18"/>
                <w:szCs w:val="18"/>
              </w:rPr>
              <w:t>np</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5078610D" w14:textId="77777777" w:rsidR="009C5632" w:rsidRPr="00FC1D9A" w:rsidRDefault="009C5632" w:rsidP="00240CC4">
            <w:pPr>
              <w:jc w:val="right"/>
              <w:rPr>
                <w:rFonts w:ascii="Arial" w:hAnsi="Arial" w:cs="Arial"/>
                <w:sz w:val="18"/>
                <w:szCs w:val="18"/>
              </w:rPr>
            </w:pPr>
            <w:r w:rsidRPr="00FC1D9A">
              <w:rPr>
                <w:rFonts w:ascii="Arial" w:hAnsi="Arial" w:cs="Arial"/>
                <w:sz w:val="18"/>
                <w:szCs w:val="18"/>
              </w:rPr>
              <w:t>np</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3530122E" w14:textId="77777777" w:rsidR="009C5632" w:rsidRPr="00FC1D9A" w:rsidRDefault="009C5632" w:rsidP="00240CC4">
            <w:pPr>
              <w:jc w:val="right"/>
              <w:rPr>
                <w:rFonts w:ascii="Arial" w:hAnsi="Arial" w:cs="Arial"/>
                <w:sz w:val="18"/>
                <w:szCs w:val="18"/>
              </w:rPr>
            </w:pPr>
            <w:r w:rsidRPr="00FC1D9A">
              <w:rPr>
                <w:rFonts w:ascii="Arial" w:hAnsi="Arial" w:cs="Arial"/>
                <w:sz w:val="18"/>
                <w:szCs w:val="18"/>
              </w:rPr>
              <w:t>np</w:t>
            </w:r>
          </w:p>
        </w:tc>
        <w:tc>
          <w:tcPr>
            <w:tcW w:w="1217" w:type="dxa"/>
            <w:tcBorders>
              <w:top w:val="single" w:sz="4" w:space="0" w:color="auto"/>
              <w:left w:val="single" w:sz="4" w:space="0" w:color="auto"/>
              <w:bottom w:val="single" w:sz="4" w:space="0" w:color="auto"/>
              <w:right w:val="single" w:sz="4" w:space="0" w:color="auto"/>
            </w:tcBorders>
            <w:shd w:val="clear" w:color="000000" w:fill="FFFFFF"/>
            <w:vAlign w:val="bottom"/>
          </w:tcPr>
          <w:p w14:paraId="10363C1D" w14:textId="77777777" w:rsidR="009C5632" w:rsidRPr="00FC1D9A" w:rsidRDefault="009C5632" w:rsidP="00240CC4">
            <w:pPr>
              <w:jc w:val="right"/>
              <w:rPr>
                <w:rFonts w:ascii="Arial" w:hAnsi="Arial" w:cs="Arial"/>
                <w:b/>
                <w:sz w:val="18"/>
                <w:szCs w:val="18"/>
              </w:rPr>
            </w:pPr>
            <w:r w:rsidRPr="00FC1D9A">
              <w:rPr>
                <w:rFonts w:ascii="Arial" w:hAnsi="Arial" w:cs="Arial"/>
                <w:b/>
                <w:sz w:val="18"/>
                <w:szCs w:val="18"/>
              </w:rPr>
              <w:t>$929,501</w:t>
            </w:r>
          </w:p>
        </w:tc>
      </w:tr>
      <w:tr w:rsidR="009C5632" w14:paraId="73CE2C6F" w14:textId="77777777" w:rsidTr="009C5632">
        <w:trPr>
          <w:trHeight w:val="383"/>
        </w:trPr>
        <w:tc>
          <w:tcPr>
            <w:tcW w:w="717" w:type="dxa"/>
            <w:vMerge/>
            <w:tcBorders>
              <w:left w:val="single" w:sz="4" w:space="0" w:color="auto"/>
              <w:right w:val="single" w:sz="4" w:space="0" w:color="auto"/>
            </w:tcBorders>
            <w:shd w:val="clear" w:color="000000" w:fill="FFFFFF"/>
          </w:tcPr>
          <w:p w14:paraId="048DF2BC" w14:textId="77777777" w:rsidR="009C5632" w:rsidRPr="00547178" w:rsidRDefault="009C5632" w:rsidP="00240CC4">
            <w:pPr>
              <w:rPr>
                <w:rFonts w:ascii="Arial" w:hAnsi="Arial" w:cs="Arial"/>
                <w:b/>
                <w:bCs/>
                <w:color w:val="000000"/>
                <w:sz w:val="18"/>
                <w:szCs w:val="18"/>
              </w:rPr>
            </w:pPr>
          </w:p>
        </w:tc>
        <w:tc>
          <w:tcPr>
            <w:tcW w:w="0" w:type="auto"/>
            <w:vMerge w:val="restart"/>
            <w:tcBorders>
              <w:top w:val="single" w:sz="4" w:space="0" w:color="auto"/>
              <w:left w:val="single" w:sz="4" w:space="0" w:color="auto"/>
              <w:right w:val="single" w:sz="4" w:space="0" w:color="auto"/>
            </w:tcBorders>
            <w:shd w:val="clear" w:color="000000" w:fill="FFFFFF"/>
            <w:vAlign w:val="center"/>
          </w:tcPr>
          <w:p w14:paraId="54A5CCB2" w14:textId="77777777" w:rsidR="009C5632" w:rsidRPr="00FC1D9A" w:rsidRDefault="009C5632" w:rsidP="00240CC4">
            <w:pPr>
              <w:rPr>
                <w:rFonts w:ascii="Arial" w:hAnsi="Arial" w:cs="Arial"/>
                <w:b/>
                <w:bCs/>
                <w:sz w:val="18"/>
                <w:szCs w:val="18"/>
              </w:rPr>
            </w:pPr>
            <w:r w:rsidRPr="00FC1D9A">
              <w:rPr>
                <w:rFonts w:ascii="Arial" w:hAnsi="Arial" w:cs="Arial"/>
                <w:b/>
                <w:bCs/>
                <w:sz w:val="18"/>
                <w:szCs w:val="18"/>
              </w:rPr>
              <w:t>2015-16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77AA9D8E" w14:textId="77777777" w:rsidR="009C5632" w:rsidRPr="00FC1D9A" w:rsidRDefault="009C5632" w:rsidP="00240CC4">
            <w:pPr>
              <w:spacing w:after="150"/>
              <w:rPr>
                <w:rFonts w:ascii="Arial" w:hAnsi="Arial" w:cs="Arial"/>
                <w:sz w:val="18"/>
                <w:szCs w:val="18"/>
              </w:rPr>
            </w:pPr>
            <w:r w:rsidRPr="00FC1D9A">
              <w:rPr>
                <w:rFonts w:ascii="Arial" w:hAnsi="Arial" w:cs="Arial"/>
                <w:sz w:val="18"/>
                <w:szCs w:val="18"/>
              </w:rPr>
              <w:t>Services</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676B4912" w14:textId="77777777" w:rsidR="009C5632" w:rsidRPr="00FC1D9A" w:rsidRDefault="009C5632" w:rsidP="00240CC4">
            <w:pPr>
              <w:jc w:val="right"/>
              <w:rPr>
                <w:rFonts w:ascii="Arial" w:hAnsi="Arial" w:cs="Arial"/>
                <w:sz w:val="18"/>
                <w:szCs w:val="18"/>
              </w:rPr>
            </w:pPr>
            <w:r w:rsidRPr="00FC1D9A">
              <w:rPr>
                <w:rFonts w:ascii="Arial" w:hAnsi="Arial" w:cs="Arial"/>
                <w:sz w:val="18"/>
                <w:szCs w:val="18"/>
              </w:rPr>
              <w:t>1,098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19DF1461" w14:textId="77777777" w:rsidR="009C5632" w:rsidRPr="00FC1D9A" w:rsidRDefault="009C5632" w:rsidP="00240CC4">
            <w:pPr>
              <w:jc w:val="right"/>
              <w:rPr>
                <w:rFonts w:ascii="Arial" w:hAnsi="Arial" w:cs="Arial"/>
                <w:sz w:val="18"/>
                <w:szCs w:val="18"/>
              </w:rPr>
            </w:pPr>
            <w:r w:rsidRPr="00FC1D9A">
              <w:rPr>
                <w:rFonts w:ascii="Arial" w:hAnsi="Arial" w:cs="Arial"/>
                <w:sz w:val="18"/>
                <w:szCs w:val="18"/>
              </w:rPr>
              <w:t>1,029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1E1D82BD" w14:textId="77777777" w:rsidR="009C5632" w:rsidRPr="00FC1D9A" w:rsidRDefault="009C5632" w:rsidP="00240CC4">
            <w:pPr>
              <w:jc w:val="right"/>
              <w:rPr>
                <w:rFonts w:ascii="Arial" w:hAnsi="Arial" w:cs="Arial"/>
                <w:sz w:val="18"/>
                <w:szCs w:val="18"/>
              </w:rPr>
            </w:pPr>
            <w:r w:rsidRPr="00FC1D9A">
              <w:rPr>
                <w:rFonts w:ascii="Arial" w:hAnsi="Arial" w:cs="Arial"/>
                <w:sz w:val="18"/>
                <w:szCs w:val="18"/>
              </w:rPr>
              <w:t>472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6D2D5AA8" w14:textId="77777777" w:rsidR="009C5632" w:rsidRPr="00FC1D9A" w:rsidRDefault="009C5632" w:rsidP="00240CC4">
            <w:pPr>
              <w:jc w:val="right"/>
              <w:rPr>
                <w:rFonts w:ascii="Arial" w:hAnsi="Arial" w:cs="Arial"/>
                <w:sz w:val="18"/>
                <w:szCs w:val="18"/>
              </w:rPr>
            </w:pPr>
            <w:r w:rsidRPr="00FC1D9A">
              <w:rPr>
                <w:rFonts w:ascii="Arial" w:hAnsi="Arial" w:cs="Arial"/>
                <w:sz w:val="18"/>
                <w:szCs w:val="18"/>
              </w:rPr>
              <w:t>105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7FFBE29A" w14:textId="77777777" w:rsidR="009C5632" w:rsidRPr="00FC1D9A" w:rsidRDefault="009C5632" w:rsidP="00240CC4">
            <w:pPr>
              <w:jc w:val="right"/>
              <w:rPr>
                <w:rFonts w:ascii="Arial" w:hAnsi="Arial" w:cs="Arial"/>
                <w:sz w:val="18"/>
                <w:szCs w:val="18"/>
              </w:rPr>
            </w:pPr>
            <w:r w:rsidRPr="00FC1D9A">
              <w:rPr>
                <w:rFonts w:ascii="Arial" w:hAnsi="Arial" w:cs="Arial"/>
                <w:sz w:val="18"/>
                <w:szCs w:val="18"/>
              </w:rPr>
              <w:t>188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7D312CA5" w14:textId="77777777" w:rsidR="009C5632" w:rsidRPr="00FC1D9A" w:rsidRDefault="009C5632" w:rsidP="00240CC4">
            <w:pPr>
              <w:jc w:val="right"/>
              <w:rPr>
                <w:rFonts w:ascii="Arial" w:hAnsi="Arial" w:cs="Arial"/>
                <w:sz w:val="18"/>
                <w:szCs w:val="18"/>
              </w:rPr>
            </w:pPr>
            <w:r w:rsidRPr="00FC1D9A">
              <w:rPr>
                <w:rFonts w:ascii="Arial" w:hAnsi="Arial" w:cs="Arial"/>
                <w:sz w:val="18"/>
                <w:szCs w:val="18"/>
              </w:rPr>
              <w:t>np</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628ABC23" w14:textId="77777777" w:rsidR="009C5632" w:rsidRPr="00FC1D9A" w:rsidRDefault="009C5632" w:rsidP="00240CC4">
            <w:pPr>
              <w:jc w:val="right"/>
              <w:rPr>
                <w:rFonts w:ascii="Arial" w:hAnsi="Arial" w:cs="Arial"/>
                <w:sz w:val="18"/>
                <w:szCs w:val="18"/>
              </w:rPr>
            </w:pPr>
            <w:r w:rsidRPr="00FC1D9A">
              <w:rPr>
                <w:rFonts w:ascii="Arial" w:hAnsi="Arial" w:cs="Arial"/>
                <w:sz w:val="18"/>
                <w:szCs w:val="18"/>
              </w:rPr>
              <w:t>np</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7F6070D7" w14:textId="77777777" w:rsidR="009C5632" w:rsidRPr="00FC1D9A" w:rsidRDefault="009C5632" w:rsidP="00240CC4">
            <w:pPr>
              <w:jc w:val="right"/>
              <w:rPr>
                <w:rFonts w:ascii="Arial" w:hAnsi="Arial" w:cs="Arial"/>
                <w:sz w:val="18"/>
                <w:szCs w:val="18"/>
              </w:rPr>
            </w:pPr>
            <w:r w:rsidRPr="00FC1D9A">
              <w:rPr>
                <w:rFonts w:ascii="Arial" w:hAnsi="Arial" w:cs="Arial"/>
                <w:sz w:val="18"/>
                <w:szCs w:val="18"/>
              </w:rPr>
              <w:t>np</w:t>
            </w:r>
          </w:p>
        </w:tc>
        <w:tc>
          <w:tcPr>
            <w:tcW w:w="1217" w:type="dxa"/>
            <w:tcBorders>
              <w:top w:val="single" w:sz="4" w:space="0" w:color="auto"/>
              <w:left w:val="single" w:sz="4" w:space="0" w:color="auto"/>
              <w:bottom w:val="single" w:sz="4" w:space="0" w:color="auto"/>
              <w:right w:val="single" w:sz="4" w:space="0" w:color="auto"/>
            </w:tcBorders>
            <w:shd w:val="clear" w:color="000000" w:fill="FFFFFF"/>
            <w:vAlign w:val="bottom"/>
          </w:tcPr>
          <w:p w14:paraId="31D5D80D" w14:textId="77777777" w:rsidR="009C5632" w:rsidRPr="00FC1D9A" w:rsidRDefault="009C5632" w:rsidP="00240CC4">
            <w:pPr>
              <w:jc w:val="right"/>
              <w:rPr>
                <w:rFonts w:ascii="Arial" w:hAnsi="Arial" w:cs="Arial"/>
                <w:b/>
                <w:sz w:val="18"/>
                <w:szCs w:val="18"/>
              </w:rPr>
            </w:pPr>
            <w:r w:rsidRPr="00FC1D9A">
              <w:rPr>
                <w:rFonts w:ascii="Arial" w:hAnsi="Arial" w:cs="Arial"/>
                <w:b/>
                <w:sz w:val="18"/>
                <w:szCs w:val="18"/>
              </w:rPr>
              <w:t>2,959</w:t>
            </w:r>
          </w:p>
        </w:tc>
      </w:tr>
      <w:tr w:rsidR="009C5632" w14:paraId="539F5B88" w14:textId="77777777" w:rsidTr="009C5632">
        <w:trPr>
          <w:trHeight w:val="274"/>
        </w:trPr>
        <w:tc>
          <w:tcPr>
            <w:tcW w:w="717" w:type="dxa"/>
            <w:vMerge/>
            <w:tcBorders>
              <w:left w:val="single" w:sz="4" w:space="0" w:color="auto"/>
              <w:bottom w:val="single" w:sz="4" w:space="0" w:color="auto"/>
              <w:right w:val="single" w:sz="4" w:space="0" w:color="auto"/>
            </w:tcBorders>
            <w:shd w:val="clear" w:color="000000" w:fill="FFFFFF"/>
          </w:tcPr>
          <w:p w14:paraId="478B83A1" w14:textId="77777777" w:rsidR="009C5632" w:rsidRPr="00547178" w:rsidRDefault="009C5632" w:rsidP="00240CC4">
            <w:pPr>
              <w:rPr>
                <w:rFonts w:ascii="Arial" w:hAnsi="Arial" w:cs="Arial"/>
                <w:b/>
                <w:bCs/>
                <w:color w:val="000000"/>
                <w:sz w:val="18"/>
                <w:szCs w:val="18"/>
              </w:rPr>
            </w:pPr>
          </w:p>
        </w:tc>
        <w:tc>
          <w:tcPr>
            <w:tcW w:w="0" w:type="auto"/>
            <w:vMerge/>
            <w:tcBorders>
              <w:left w:val="single" w:sz="4" w:space="0" w:color="auto"/>
              <w:bottom w:val="single" w:sz="4" w:space="0" w:color="auto"/>
              <w:right w:val="single" w:sz="4" w:space="0" w:color="auto"/>
            </w:tcBorders>
            <w:shd w:val="clear" w:color="000000" w:fill="FFFFFF"/>
            <w:vAlign w:val="center"/>
          </w:tcPr>
          <w:p w14:paraId="4E458124" w14:textId="77777777" w:rsidR="009C5632" w:rsidRPr="00FC1D9A" w:rsidRDefault="009C5632" w:rsidP="00240CC4">
            <w:pPr>
              <w:rPr>
                <w:rFonts w:ascii="Arial" w:hAnsi="Arial" w:cs="Arial"/>
                <w:b/>
                <w:bCs/>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5B78311F" w14:textId="77777777" w:rsidR="009C5632" w:rsidRPr="00FC1D9A" w:rsidRDefault="009C5632" w:rsidP="00240CC4">
            <w:pPr>
              <w:spacing w:after="150"/>
              <w:rPr>
                <w:rFonts w:ascii="Arial" w:hAnsi="Arial" w:cs="Arial"/>
                <w:sz w:val="18"/>
                <w:szCs w:val="18"/>
              </w:rPr>
            </w:pPr>
            <w:r w:rsidRPr="00FC1D9A">
              <w:rPr>
                <w:rFonts w:ascii="Arial" w:hAnsi="Arial" w:cs="Arial"/>
                <w:sz w:val="18"/>
                <w:szCs w:val="18"/>
              </w:rPr>
              <w:t>Benefits</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2D015372" w14:textId="77777777" w:rsidR="009C5632" w:rsidRPr="00FC1D9A" w:rsidRDefault="009C5632" w:rsidP="00240CC4">
            <w:pPr>
              <w:jc w:val="right"/>
              <w:rPr>
                <w:rFonts w:ascii="Arial" w:hAnsi="Arial" w:cs="Arial"/>
                <w:sz w:val="18"/>
                <w:szCs w:val="18"/>
              </w:rPr>
            </w:pPr>
            <w:r w:rsidRPr="00FC1D9A">
              <w:rPr>
                <w:rFonts w:ascii="Arial" w:hAnsi="Arial" w:cs="Arial"/>
                <w:sz w:val="18"/>
                <w:szCs w:val="18"/>
              </w:rPr>
              <w:t>$364,080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26EB0672" w14:textId="77777777" w:rsidR="009C5632" w:rsidRPr="00FC1D9A" w:rsidRDefault="009C5632" w:rsidP="00240CC4">
            <w:pPr>
              <w:jc w:val="right"/>
              <w:rPr>
                <w:rFonts w:ascii="Arial" w:hAnsi="Arial" w:cs="Arial"/>
                <w:sz w:val="18"/>
                <w:szCs w:val="18"/>
              </w:rPr>
            </w:pPr>
            <w:r w:rsidRPr="00FC1D9A">
              <w:rPr>
                <w:rFonts w:ascii="Arial" w:hAnsi="Arial" w:cs="Arial"/>
                <w:sz w:val="18"/>
                <w:szCs w:val="18"/>
              </w:rPr>
              <w:t>$340,695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21630893" w14:textId="77777777" w:rsidR="009C5632" w:rsidRPr="00FC1D9A" w:rsidRDefault="009C5632" w:rsidP="00240CC4">
            <w:pPr>
              <w:jc w:val="right"/>
              <w:rPr>
                <w:rFonts w:ascii="Arial" w:hAnsi="Arial" w:cs="Arial"/>
                <w:sz w:val="18"/>
                <w:szCs w:val="18"/>
              </w:rPr>
            </w:pPr>
            <w:r w:rsidRPr="00FC1D9A">
              <w:rPr>
                <w:rFonts w:ascii="Arial" w:hAnsi="Arial" w:cs="Arial"/>
                <w:sz w:val="18"/>
                <w:szCs w:val="18"/>
              </w:rPr>
              <w:t>$148,328</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6F4CBBFA" w14:textId="77777777" w:rsidR="009C5632" w:rsidRPr="00FC1D9A" w:rsidRDefault="009C5632" w:rsidP="00240CC4">
            <w:pPr>
              <w:jc w:val="right"/>
              <w:rPr>
                <w:rFonts w:ascii="Arial" w:hAnsi="Arial" w:cs="Arial"/>
                <w:sz w:val="18"/>
                <w:szCs w:val="18"/>
              </w:rPr>
            </w:pPr>
            <w:r w:rsidRPr="00FC1D9A">
              <w:rPr>
                <w:rFonts w:ascii="Arial" w:hAnsi="Arial" w:cs="Arial"/>
                <w:sz w:val="18"/>
                <w:szCs w:val="18"/>
              </w:rPr>
              <w:t>$33,499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6DD45815" w14:textId="77777777" w:rsidR="009C5632" w:rsidRPr="00FC1D9A" w:rsidRDefault="009C5632" w:rsidP="00240CC4">
            <w:pPr>
              <w:jc w:val="right"/>
              <w:rPr>
                <w:rFonts w:ascii="Arial" w:hAnsi="Arial" w:cs="Arial"/>
                <w:sz w:val="18"/>
                <w:szCs w:val="18"/>
              </w:rPr>
            </w:pPr>
            <w:r w:rsidRPr="00FC1D9A">
              <w:rPr>
                <w:rFonts w:ascii="Arial" w:hAnsi="Arial" w:cs="Arial"/>
                <w:sz w:val="18"/>
                <w:szCs w:val="18"/>
              </w:rPr>
              <w:t>$59,091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06441DFC" w14:textId="77777777" w:rsidR="009C5632" w:rsidRPr="00FC1D9A" w:rsidRDefault="009C5632" w:rsidP="00240CC4">
            <w:pPr>
              <w:jc w:val="right"/>
              <w:rPr>
                <w:rFonts w:ascii="Arial" w:hAnsi="Arial" w:cs="Arial"/>
                <w:sz w:val="18"/>
                <w:szCs w:val="18"/>
              </w:rPr>
            </w:pPr>
            <w:r w:rsidRPr="00FC1D9A">
              <w:rPr>
                <w:rFonts w:ascii="Arial" w:hAnsi="Arial" w:cs="Arial"/>
                <w:sz w:val="18"/>
                <w:szCs w:val="18"/>
              </w:rPr>
              <w:t>np</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7E3F05DD" w14:textId="77777777" w:rsidR="009C5632" w:rsidRPr="00FC1D9A" w:rsidRDefault="009C5632" w:rsidP="00240CC4">
            <w:pPr>
              <w:jc w:val="right"/>
              <w:rPr>
                <w:rFonts w:ascii="Arial" w:hAnsi="Arial" w:cs="Arial"/>
                <w:sz w:val="18"/>
                <w:szCs w:val="18"/>
              </w:rPr>
            </w:pPr>
            <w:r w:rsidRPr="00FC1D9A">
              <w:rPr>
                <w:rFonts w:ascii="Arial" w:hAnsi="Arial" w:cs="Arial"/>
                <w:sz w:val="18"/>
                <w:szCs w:val="18"/>
              </w:rPr>
              <w:t>np</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52D0EDC3" w14:textId="77777777" w:rsidR="009C5632" w:rsidRPr="00FC1D9A" w:rsidRDefault="009C5632" w:rsidP="00240CC4">
            <w:pPr>
              <w:jc w:val="right"/>
              <w:rPr>
                <w:rFonts w:ascii="Arial" w:hAnsi="Arial" w:cs="Arial"/>
                <w:sz w:val="18"/>
                <w:szCs w:val="18"/>
              </w:rPr>
            </w:pPr>
            <w:r w:rsidRPr="00FC1D9A">
              <w:rPr>
                <w:rFonts w:ascii="Arial" w:hAnsi="Arial" w:cs="Arial"/>
                <w:sz w:val="18"/>
                <w:szCs w:val="18"/>
              </w:rPr>
              <w:t>np</w:t>
            </w:r>
          </w:p>
        </w:tc>
        <w:tc>
          <w:tcPr>
            <w:tcW w:w="1217" w:type="dxa"/>
            <w:tcBorders>
              <w:top w:val="single" w:sz="4" w:space="0" w:color="auto"/>
              <w:left w:val="single" w:sz="4" w:space="0" w:color="auto"/>
              <w:bottom w:val="single" w:sz="4" w:space="0" w:color="auto"/>
              <w:right w:val="single" w:sz="4" w:space="0" w:color="auto"/>
            </w:tcBorders>
            <w:shd w:val="clear" w:color="000000" w:fill="FFFFFF"/>
            <w:vAlign w:val="bottom"/>
          </w:tcPr>
          <w:p w14:paraId="343E430F" w14:textId="77777777" w:rsidR="009C5632" w:rsidRPr="00FC1D9A" w:rsidRDefault="009C5632" w:rsidP="00240CC4">
            <w:pPr>
              <w:jc w:val="right"/>
              <w:rPr>
                <w:rFonts w:ascii="Arial" w:hAnsi="Arial" w:cs="Arial"/>
                <w:b/>
                <w:sz w:val="18"/>
                <w:szCs w:val="18"/>
              </w:rPr>
            </w:pPr>
            <w:r w:rsidRPr="00FC1D9A">
              <w:rPr>
                <w:rFonts w:ascii="Arial" w:hAnsi="Arial" w:cs="Arial"/>
                <w:b/>
                <w:sz w:val="18"/>
                <w:szCs w:val="18"/>
              </w:rPr>
              <w:t>$968,400</w:t>
            </w:r>
          </w:p>
        </w:tc>
      </w:tr>
      <w:tr w:rsidR="009C5632" w14:paraId="600993E2" w14:textId="77777777" w:rsidTr="009C5632">
        <w:trPr>
          <w:trHeight w:val="337"/>
        </w:trPr>
        <w:tc>
          <w:tcPr>
            <w:tcW w:w="717" w:type="dxa"/>
            <w:vMerge w:val="restart"/>
            <w:tcBorders>
              <w:top w:val="single" w:sz="4" w:space="0" w:color="auto"/>
              <w:left w:val="single" w:sz="4" w:space="0" w:color="auto"/>
              <w:right w:val="single" w:sz="4" w:space="0" w:color="auto"/>
            </w:tcBorders>
            <w:shd w:val="clear" w:color="000000" w:fill="FFFFFF"/>
          </w:tcPr>
          <w:p w14:paraId="23875C61" w14:textId="77777777" w:rsidR="009C5632" w:rsidRPr="00547178" w:rsidRDefault="009C5632" w:rsidP="009C5632">
            <w:pPr>
              <w:rPr>
                <w:rFonts w:ascii="Arial" w:hAnsi="Arial" w:cs="Arial"/>
                <w:b/>
                <w:bCs/>
                <w:color w:val="000000"/>
                <w:sz w:val="18"/>
                <w:szCs w:val="18"/>
              </w:rPr>
            </w:pPr>
            <w:r w:rsidRPr="00547178">
              <w:rPr>
                <w:rFonts w:ascii="Arial" w:hAnsi="Arial" w:cs="Arial"/>
                <w:b/>
                <w:bCs/>
                <w:color w:val="000000"/>
                <w:sz w:val="18"/>
                <w:szCs w:val="18"/>
              </w:rPr>
              <w:t>73328</w:t>
            </w:r>
          </w:p>
        </w:tc>
        <w:tc>
          <w:tcPr>
            <w:tcW w:w="0" w:type="auto"/>
            <w:vMerge w:val="restart"/>
            <w:tcBorders>
              <w:top w:val="single" w:sz="4" w:space="0" w:color="auto"/>
              <w:left w:val="single" w:sz="4" w:space="0" w:color="auto"/>
              <w:right w:val="single" w:sz="4" w:space="0" w:color="auto"/>
            </w:tcBorders>
            <w:shd w:val="clear" w:color="000000" w:fill="FFFFFF"/>
            <w:vAlign w:val="center"/>
          </w:tcPr>
          <w:p w14:paraId="1AEFC544" w14:textId="77777777" w:rsidR="009C5632" w:rsidRPr="00FC1D9A" w:rsidRDefault="009C5632" w:rsidP="00240CC4">
            <w:pPr>
              <w:rPr>
                <w:rFonts w:ascii="Arial" w:hAnsi="Arial" w:cs="Arial"/>
                <w:b/>
                <w:bCs/>
                <w:sz w:val="18"/>
                <w:szCs w:val="18"/>
              </w:rPr>
            </w:pPr>
            <w:r w:rsidRPr="00FC1D9A">
              <w:rPr>
                <w:rFonts w:ascii="Arial" w:hAnsi="Arial" w:cs="Arial"/>
                <w:b/>
                <w:bCs/>
                <w:sz w:val="18"/>
                <w:szCs w:val="18"/>
              </w:rPr>
              <w:t>2013-14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7B6F74E0" w14:textId="77777777" w:rsidR="009C5632" w:rsidRPr="00FC1D9A" w:rsidRDefault="009C5632" w:rsidP="00240CC4">
            <w:pPr>
              <w:spacing w:after="150"/>
              <w:rPr>
                <w:rFonts w:ascii="Arial" w:hAnsi="Arial" w:cs="Arial"/>
                <w:sz w:val="18"/>
                <w:szCs w:val="18"/>
              </w:rPr>
            </w:pPr>
            <w:r w:rsidRPr="00FC1D9A">
              <w:rPr>
                <w:rFonts w:ascii="Arial" w:hAnsi="Arial" w:cs="Arial"/>
                <w:sz w:val="18"/>
                <w:szCs w:val="18"/>
              </w:rPr>
              <w:t>Services</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7DE3B7E6" w14:textId="77777777" w:rsidR="009C5632" w:rsidRPr="00FC1D9A" w:rsidRDefault="009C5632" w:rsidP="00240CC4">
            <w:pPr>
              <w:jc w:val="right"/>
              <w:rPr>
                <w:rFonts w:ascii="Arial" w:hAnsi="Arial" w:cs="Arial"/>
                <w:sz w:val="18"/>
                <w:szCs w:val="18"/>
              </w:rPr>
            </w:pPr>
            <w:r w:rsidRPr="00FC1D9A">
              <w:rPr>
                <w:rFonts w:ascii="Arial" w:hAnsi="Arial" w:cs="Arial"/>
                <w:sz w:val="18"/>
                <w:szCs w:val="18"/>
              </w:rPr>
              <w:t>505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2412DC6E" w14:textId="77777777" w:rsidR="009C5632" w:rsidRPr="00FC1D9A" w:rsidRDefault="009C5632" w:rsidP="00240CC4">
            <w:pPr>
              <w:jc w:val="right"/>
              <w:rPr>
                <w:rFonts w:ascii="Arial" w:hAnsi="Arial" w:cs="Arial"/>
                <w:sz w:val="18"/>
                <w:szCs w:val="18"/>
              </w:rPr>
            </w:pPr>
            <w:r w:rsidRPr="00FC1D9A">
              <w:rPr>
                <w:rFonts w:ascii="Arial" w:hAnsi="Arial" w:cs="Arial"/>
                <w:sz w:val="18"/>
                <w:szCs w:val="18"/>
              </w:rPr>
              <w:t>226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029F34C4" w14:textId="77777777" w:rsidR="009C5632" w:rsidRPr="00FC1D9A" w:rsidRDefault="009C5632" w:rsidP="00240CC4">
            <w:pPr>
              <w:jc w:val="right"/>
              <w:rPr>
                <w:rFonts w:ascii="Arial" w:hAnsi="Arial" w:cs="Arial"/>
                <w:sz w:val="18"/>
                <w:szCs w:val="18"/>
              </w:rPr>
            </w:pPr>
            <w:r w:rsidRPr="00FC1D9A">
              <w:rPr>
                <w:rFonts w:ascii="Arial" w:hAnsi="Arial" w:cs="Arial"/>
                <w:sz w:val="18"/>
                <w:szCs w:val="18"/>
              </w:rPr>
              <w:t>194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30B7FDA6" w14:textId="77777777" w:rsidR="009C5632" w:rsidRPr="00FC1D9A" w:rsidRDefault="009C5632" w:rsidP="00240CC4">
            <w:pPr>
              <w:jc w:val="right"/>
              <w:rPr>
                <w:rFonts w:ascii="Arial" w:hAnsi="Arial" w:cs="Arial"/>
                <w:sz w:val="18"/>
                <w:szCs w:val="18"/>
              </w:rPr>
            </w:pPr>
            <w:r w:rsidRPr="00FC1D9A">
              <w:rPr>
                <w:rFonts w:ascii="Arial" w:hAnsi="Arial" w:cs="Arial"/>
                <w:sz w:val="18"/>
                <w:szCs w:val="18"/>
              </w:rPr>
              <w:t>91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1D8A96DC" w14:textId="77777777" w:rsidR="009C5632" w:rsidRPr="00FC1D9A" w:rsidRDefault="009C5632" w:rsidP="00240CC4">
            <w:pPr>
              <w:jc w:val="right"/>
              <w:rPr>
                <w:rFonts w:ascii="Arial" w:hAnsi="Arial" w:cs="Arial"/>
                <w:sz w:val="18"/>
                <w:szCs w:val="18"/>
              </w:rPr>
            </w:pPr>
            <w:r w:rsidRPr="00FC1D9A">
              <w:rPr>
                <w:rFonts w:ascii="Arial" w:hAnsi="Arial" w:cs="Arial"/>
                <w:sz w:val="18"/>
                <w:szCs w:val="18"/>
              </w:rPr>
              <w:t>112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68CA4053" w14:textId="77777777" w:rsidR="009C5632" w:rsidRPr="00FC1D9A" w:rsidRDefault="009C5632" w:rsidP="00240CC4">
            <w:pPr>
              <w:jc w:val="right"/>
              <w:rPr>
                <w:rFonts w:ascii="Arial" w:hAnsi="Arial" w:cs="Arial"/>
                <w:sz w:val="18"/>
                <w:szCs w:val="18"/>
              </w:rPr>
            </w:pPr>
            <w:r w:rsidRPr="00FC1D9A">
              <w:rPr>
                <w:rFonts w:ascii="Arial" w:hAnsi="Arial" w:cs="Arial"/>
                <w:sz w:val="18"/>
                <w:szCs w:val="18"/>
              </w:rPr>
              <w:t>np</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32129827" w14:textId="77777777" w:rsidR="009C5632" w:rsidRPr="00FC1D9A" w:rsidRDefault="009C5632" w:rsidP="00240CC4">
            <w:pPr>
              <w:jc w:val="right"/>
              <w:rPr>
                <w:rFonts w:ascii="Arial" w:hAnsi="Arial" w:cs="Arial"/>
                <w:sz w:val="18"/>
                <w:szCs w:val="18"/>
              </w:rPr>
            </w:pPr>
            <w:r w:rsidRPr="00FC1D9A">
              <w:rPr>
                <w:rFonts w:ascii="Arial" w:hAnsi="Arial" w:cs="Arial"/>
                <w:sz w:val="18"/>
                <w:szCs w:val="18"/>
              </w:rPr>
              <w:t>np</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0E63EE82" w14:textId="77777777" w:rsidR="009C5632" w:rsidRPr="00FC1D9A" w:rsidRDefault="009C5632" w:rsidP="00240CC4">
            <w:pPr>
              <w:jc w:val="right"/>
              <w:rPr>
                <w:rFonts w:ascii="Arial" w:hAnsi="Arial" w:cs="Arial"/>
                <w:sz w:val="18"/>
                <w:szCs w:val="18"/>
              </w:rPr>
            </w:pPr>
            <w:r w:rsidRPr="00FC1D9A">
              <w:rPr>
                <w:rFonts w:ascii="Arial" w:hAnsi="Arial" w:cs="Arial"/>
                <w:sz w:val="18"/>
                <w:szCs w:val="18"/>
              </w:rPr>
              <w:t>np</w:t>
            </w:r>
          </w:p>
        </w:tc>
        <w:tc>
          <w:tcPr>
            <w:tcW w:w="1217" w:type="dxa"/>
            <w:tcBorders>
              <w:top w:val="single" w:sz="4" w:space="0" w:color="auto"/>
              <w:left w:val="single" w:sz="4" w:space="0" w:color="auto"/>
              <w:bottom w:val="single" w:sz="4" w:space="0" w:color="auto"/>
              <w:right w:val="single" w:sz="4" w:space="0" w:color="auto"/>
            </w:tcBorders>
            <w:shd w:val="clear" w:color="000000" w:fill="FFFFFF"/>
            <w:vAlign w:val="bottom"/>
          </w:tcPr>
          <w:p w14:paraId="2AC198A4" w14:textId="77777777" w:rsidR="009C5632" w:rsidRPr="00FC1D9A" w:rsidRDefault="009C5632" w:rsidP="00240CC4">
            <w:pPr>
              <w:jc w:val="right"/>
              <w:rPr>
                <w:rFonts w:ascii="Arial" w:hAnsi="Arial" w:cs="Arial"/>
                <w:b/>
                <w:sz w:val="18"/>
                <w:szCs w:val="18"/>
              </w:rPr>
            </w:pPr>
            <w:r w:rsidRPr="00FC1D9A">
              <w:rPr>
                <w:rFonts w:ascii="Arial" w:hAnsi="Arial" w:cs="Arial"/>
                <w:b/>
                <w:sz w:val="18"/>
                <w:szCs w:val="18"/>
              </w:rPr>
              <w:t>1,182</w:t>
            </w:r>
          </w:p>
        </w:tc>
      </w:tr>
      <w:tr w:rsidR="009C5632" w14:paraId="6694D007" w14:textId="77777777" w:rsidTr="009C5632">
        <w:trPr>
          <w:trHeight w:val="385"/>
        </w:trPr>
        <w:tc>
          <w:tcPr>
            <w:tcW w:w="717" w:type="dxa"/>
            <w:vMerge/>
            <w:tcBorders>
              <w:left w:val="single" w:sz="4" w:space="0" w:color="auto"/>
              <w:right w:val="single" w:sz="4" w:space="0" w:color="auto"/>
            </w:tcBorders>
            <w:shd w:val="clear" w:color="000000" w:fill="FFFFFF"/>
          </w:tcPr>
          <w:p w14:paraId="6A7B29CE" w14:textId="77777777" w:rsidR="009C5632" w:rsidRPr="00547178" w:rsidRDefault="009C5632" w:rsidP="00240CC4">
            <w:pPr>
              <w:rPr>
                <w:rFonts w:ascii="Arial" w:hAnsi="Arial" w:cs="Arial"/>
                <w:b/>
                <w:bCs/>
                <w:color w:val="000000"/>
                <w:sz w:val="18"/>
                <w:szCs w:val="18"/>
              </w:rPr>
            </w:pPr>
          </w:p>
        </w:tc>
        <w:tc>
          <w:tcPr>
            <w:tcW w:w="0" w:type="auto"/>
            <w:vMerge/>
            <w:tcBorders>
              <w:left w:val="single" w:sz="4" w:space="0" w:color="auto"/>
              <w:bottom w:val="single" w:sz="4" w:space="0" w:color="auto"/>
              <w:right w:val="single" w:sz="4" w:space="0" w:color="auto"/>
            </w:tcBorders>
            <w:shd w:val="clear" w:color="000000" w:fill="FFFFFF"/>
            <w:vAlign w:val="center"/>
          </w:tcPr>
          <w:p w14:paraId="11FFA279" w14:textId="77777777" w:rsidR="009C5632" w:rsidRPr="00FC1D9A" w:rsidRDefault="009C5632" w:rsidP="00240CC4">
            <w:pPr>
              <w:rPr>
                <w:rFonts w:ascii="Arial" w:hAnsi="Arial" w:cs="Arial"/>
                <w:b/>
                <w:bCs/>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1708BF3F" w14:textId="77777777" w:rsidR="009C5632" w:rsidRPr="00FC1D9A" w:rsidRDefault="009C5632" w:rsidP="00240CC4">
            <w:pPr>
              <w:spacing w:after="150"/>
              <w:rPr>
                <w:rFonts w:ascii="Arial" w:hAnsi="Arial" w:cs="Arial"/>
                <w:sz w:val="18"/>
                <w:szCs w:val="18"/>
              </w:rPr>
            </w:pPr>
            <w:r w:rsidRPr="00FC1D9A">
              <w:rPr>
                <w:rFonts w:ascii="Arial" w:hAnsi="Arial" w:cs="Arial"/>
                <w:sz w:val="18"/>
                <w:szCs w:val="18"/>
              </w:rPr>
              <w:t>Benefits</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459D8BB5" w14:textId="77777777" w:rsidR="009C5632" w:rsidRPr="00FC1D9A" w:rsidRDefault="009C5632" w:rsidP="00240CC4">
            <w:pPr>
              <w:jc w:val="right"/>
              <w:rPr>
                <w:rFonts w:ascii="Arial" w:hAnsi="Arial" w:cs="Arial"/>
                <w:sz w:val="18"/>
                <w:szCs w:val="18"/>
              </w:rPr>
            </w:pPr>
            <w:r w:rsidRPr="00FC1D9A">
              <w:rPr>
                <w:rFonts w:ascii="Arial" w:hAnsi="Arial" w:cs="Arial"/>
                <w:sz w:val="18"/>
                <w:szCs w:val="18"/>
              </w:rPr>
              <w:t>$169,074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480584F5" w14:textId="77777777" w:rsidR="009C5632" w:rsidRPr="00FC1D9A" w:rsidRDefault="009C5632" w:rsidP="00240CC4">
            <w:pPr>
              <w:jc w:val="right"/>
              <w:rPr>
                <w:rFonts w:ascii="Arial" w:hAnsi="Arial" w:cs="Arial"/>
                <w:sz w:val="18"/>
                <w:szCs w:val="18"/>
              </w:rPr>
            </w:pPr>
            <w:r w:rsidRPr="00FC1D9A">
              <w:rPr>
                <w:rFonts w:ascii="Arial" w:hAnsi="Arial" w:cs="Arial"/>
                <w:sz w:val="18"/>
                <w:szCs w:val="18"/>
              </w:rPr>
              <w:t>$74,529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16CA7B8E" w14:textId="77777777" w:rsidR="009C5632" w:rsidRPr="00FC1D9A" w:rsidRDefault="009C5632" w:rsidP="00240CC4">
            <w:pPr>
              <w:jc w:val="right"/>
              <w:rPr>
                <w:rFonts w:ascii="Arial" w:hAnsi="Arial" w:cs="Arial"/>
                <w:sz w:val="18"/>
                <w:szCs w:val="18"/>
              </w:rPr>
            </w:pPr>
            <w:r w:rsidRPr="00FC1D9A">
              <w:rPr>
                <w:rFonts w:ascii="Arial" w:hAnsi="Arial" w:cs="Arial"/>
                <w:sz w:val="18"/>
                <w:szCs w:val="18"/>
              </w:rPr>
              <w:t>$60,701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70F2B42D" w14:textId="77777777" w:rsidR="009C5632" w:rsidRPr="00FC1D9A" w:rsidRDefault="009C5632" w:rsidP="00240CC4">
            <w:pPr>
              <w:jc w:val="right"/>
              <w:rPr>
                <w:rFonts w:ascii="Arial" w:hAnsi="Arial" w:cs="Arial"/>
                <w:sz w:val="18"/>
                <w:szCs w:val="18"/>
              </w:rPr>
            </w:pPr>
            <w:r w:rsidRPr="00FC1D9A">
              <w:rPr>
                <w:rFonts w:ascii="Arial" w:hAnsi="Arial" w:cs="Arial"/>
                <w:sz w:val="18"/>
                <w:szCs w:val="18"/>
              </w:rPr>
              <w:t>$29,902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29F70807" w14:textId="77777777" w:rsidR="009C5632" w:rsidRPr="00FC1D9A" w:rsidRDefault="009C5632" w:rsidP="00240CC4">
            <w:pPr>
              <w:jc w:val="right"/>
              <w:rPr>
                <w:rFonts w:ascii="Arial" w:hAnsi="Arial" w:cs="Arial"/>
                <w:sz w:val="18"/>
                <w:szCs w:val="18"/>
              </w:rPr>
            </w:pPr>
            <w:r w:rsidRPr="00FC1D9A">
              <w:rPr>
                <w:rFonts w:ascii="Arial" w:hAnsi="Arial" w:cs="Arial"/>
                <w:sz w:val="18"/>
                <w:szCs w:val="18"/>
              </w:rPr>
              <w:t>$35,074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04FBBAC1" w14:textId="77777777" w:rsidR="009C5632" w:rsidRPr="00FC1D9A" w:rsidRDefault="009C5632" w:rsidP="00240CC4">
            <w:pPr>
              <w:jc w:val="right"/>
              <w:rPr>
                <w:rFonts w:ascii="Arial" w:hAnsi="Arial" w:cs="Arial"/>
                <w:sz w:val="18"/>
                <w:szCs w:val="18"/>
              </w:rPr>
            </w:pPr>
            <w:r w:rsidRPr="00FC1D9A">
              <w:rPr>
                <w:rFonts w:ascii="Arial" w:hAnsi="Arial" w:cs="Arial"/>
                <w:sz w:val="18"/>
                <w:szCs w:val="18"/>
              </w:rPr>
              <w:t>np</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48383928" w14:textId="77777777" w:rsidR="009C5632" w:rsidRPr="00FC1D9A" w:rsidRDefault="009C5632" w:rsidP="00240CC4">
            <w:pPr>
              <w:jc w:val="right"/>
              <w:rPr>
                <w:rFonts w:ascii="Arial" w:hAnsi="Arial" w:cs="Arial"/>
                <w:sz w:val="18"/>
                <w:szCs w:val="18"/>
              </w:rPr>
            </w:pPr>
            <w:r w:rsidRPr="00FC1D9A">
              <w:rPr>
                <w:rFonts w:ascii="Arial" w:hAnsi="Arial" w:cs="Arial"/>
                <w:sz w:val="18"/>
                <w:szCs w:val="18"/>
              </w:rPr>
              <w:t>np</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2FF59277" w14:textId="77777777" w:rsidR="009C5632" w:rsidRPr="00FC1D9A" w:rsidRDefault="009C5632" w:rsidP="00240CC4">
            <w:pPr>
              <w:jc w:val="right"/>
              <w:rPr>
                <w:rFonts w:ascii="Arial" w:hAnsi="Arial" w:cs="Arial"/>
                <w:sz w:val="18"/>
                <w:szCs w:val="18"/>
              </w:rPr>
            </w:pPr>
            <w:r w:rsidRPr="00FC1D9A">
              <w:rPr>
                <w:rFonts w:ascii="Arial" w:hAnsi="Arial" w:cs="Arial"/>
                <w:sz w:val="18"/>
                <w:szCs w:val="18"/>
              </w:rPr>
              <w:t>np</w:t>
            </w:r>
          </w:p>
        </w:tc>
        <w:tc>
          <w:tcPr>
            <w:tcW w:w="1217" w:type="dxa"/>
            <w:tcBorders>
              <w:top w:val="single" w:sz="4" w:space="0" w:color="auto"/>
              <w:left w:val="single" w:sz="4" w:space="0" w:color="auto"/>
              <w:bottom w:val="single" w:sz="4" w:space="0" w:color="auto"/>
              <w:right w:val="single" w:sz="4" w:space="0" w:color="auto"/>
            </w:tcBorders>
            <w:shd w:val="clear" w:color="000000" w:fill="FFFFFF"/>
            <w:vAlign w:val="bottom"/>
          </w:tcPr>
          <w:p w14:paraId="7B00BE63" w14:textId="77777777" w:rsidR="009C5632" w:rsidRPr="00FC1D9A" w:rsidRDefault="009C5632" w:rsidP="00240CC4">
            <w:pPr>
              <w:jc w:val="right"/>
              <w:rPr>
                <w:rFonts w:ascii="Arial" w:hAnsi="Arial" w:cs="Arial"/>
                <w:b/>
                <w:sz w:val="18"/>
                <w:szCs w:val="18"/>
              </w:rPr>
            </w:pPr>
            <w:r w:rsidRPr="00FC1D9A">
              <w:rPr>
                <w:rFonts w:ascii="Arial" w:hAnsi="Arial" w:cs="Arial"/>
                <w:b/>
                <w:sz w:val="18"/>
                <w:szCs w:val="18"/>
              </w:rPr>
              <w:t>$387,101.42</w:t>
            </w:r>
          </w:p>
        </w:tc>
      </w:tr>
      <w:tr w:rsidR="009C5632" w14:paraId="3A5DD024" w14:textId="77777777" w:rsidTr="009C5632">
        <w:trPr>
          <w:trHeight w:val="276"/>
        </w:trPr>
        <w:tc>
          <w:tcPr>
            <w:tcW w:w="717" w:type="dxa"/>
            <w:vMerge/>
            <w:tcBorders>
              <w:left w:val="single" w:sz="4" w:space="0" w:color="auto"/>
              <w:right w:val="single" w:sz="4" w:space="0" w:color="auto"/>
            </w:tcBorders>
            <w:shd w:val="clear" w:color="000000" w:fill="FFFFFF"/>
          </w:tcPr>
          <w:p w14:paraId="75FD8451" w14:textId="77777777" w:rsidR="009C5632" w:rsidRPr="00547178" w:rsidRDefault="009C5632" w:rsidP="00240CC4">
            <w:pPr>
              <w:rPr>
                <w:rFonts w:ascii="Arial" w:hAnsi="Arial" w:cs="Arial"/>
                <w:b/>
                <w:bCs/>
                <w:color w:val="000000"/>
                <w:sz w:val="18"/>
                <w:szCs w:val="18"/>
              </w:rPr>
            </w:pPr>
          </w:p>
        </w:tc>
        <w:tc>
          <w:tcPr>
            <w:tcW w:w="0" w:type="auto"/>
            <w:vMerge w:val="restart"/>
            <w:tcBorders>
              <w:top w:val="single" w:sz="4" w:space="0" w:color="auto"/>
              <w:left w:val="single" w:sz="4" w:space="0" w:color="auto"/>
              <w:right w:val="single" w:sz="4" w:space="0" w:color="auto"/>
            </w:tcBorders>
            <w:shd w:val="clear" w:color="000000" w:fill="FFFFFF"/>
            <w:vAlign w:val="center"/>
          </w:tcPr>
          <w:p w14:paraId="19CA0739" w14:textId="77777777" w:rsidR="009C5632" w:rsidRPr="00FC1D9A" w:rsidRDefault="009C5632" w:rsidP="00240CC4">
            <w:pPr>
              <w:rPr>
                <w:rFonts w:ascii="Arial" w:hAnsi="Arial" w:cs="Arial"/>
                <w:b/>
                <w:bCs/>
                <w:sz w:val="18"/>
                <w:szCs w:val="18"/>
              </w:rPr>
            </w:pPr>
            <w:r w:rsidRPr="00FC1D9A">
              <w:rPr>
                <w:rFonts w:ascii="Arial" w:hAnsi="Arial" w:cs="Arial"/>
                <w:b/>
                <w:bCs/>
                <w:sz w:val="18"/>
                <w:szCs w:val="18"/>
              </w:rPr>
              <w:t>2014-15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7683C97B" w14:textId="77777777" w:rsidR="009C5632" w:rsidRPr="00FC1D9A" w:rsidRDefault="009C5632" w:rsidP="00240CC4">
            <w:pPr>
              <w:spacing w:after="150"/>
              <w:rPr>
                <w:rFonts w:ascii="Arial" w:hAnsi="Arial" w:cs="Arial"/>
                <w:sz w:val="18"/>
                <w:szCs w:val="18"/>
              </w:rPr>
            </w:pPr>
            <w:r w:rsidRPr="00FC1D9A">
              <w:rPr>
                <w:rFonts w:ascii="Arial" w:hAnsi="Arial" w:cs="Arial"/>
                <w:sz w:val="18"/>
                <w:szCs w:val="18"/>
              </w:rPr>
              <w:t>Services</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38D5613B" w14:textId="77777777" w:rsidR="009C5632" w:rsidRPr="00FC1D9A" w:rsidRDefault="009C5632" w:rsidP="00240CC4">
            <w:pPr>
              <w:jc w:val="right"/>
              <w:rPr>
                <w:rFonts w:ascii="Arial" w:hAnsi="Arial" w:cs="Arial"/>
                <w:sz w:val="18"/>
                <w:szCs w:val="18"/>
              </w:rPr>
            </w:pPr>
            <w:r w:rsidRPr="00FC1D9A">
              <w:rPr>
                <w:rFonts w:ascii="Arial" w:hAnsi="Arial" w:cs="Arial"/>
                <w:sz w:val="18"/>
                <w:szCs w:val="18"/>
              </w:rPr>
              <w:t>np</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6CFFDD56" w14:textId="77777777" w:rsidR="009C5632" w:rsidRPr="00FC1D9A" w:rsidRDefault="009C5632" w:rsidP="00240CC4">
            <w:pPr>
              <w:jc w:val="right"/>
              <w:rPr>
                <w:rFonts w:ascii="Arial" w:hAnsi="Arial" w:cs="Arial"/>
                <w:sz w:val="18"/>
                <w:szCs w:val="18"/>
              </w:rPr>
            </w:pPr>
            <w:r w:rsidRPr="00FC1D9A">
              <w:rPr>
                <w:rFonts w:ascii="Arial" w:hAnsi="Arial" w:cs="Arial"/>
                <w:sz w:val="18"/>
                <w:szCs w:val="18"/>
              </w:rPr>
              <w:t>np</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2EDB2255" w14:textId="77777777" w:rsidR="009C5632" w:rsidRPr="00FC1D9A" w:rsidRDefault="009C5632" w:rsidP="00240CC4">
            <w:pPr>
              <w:jc w:val="right"/>
              <w:rPr>
                <w:rFonts w:ascii="Arial" w:hAnsi="Arial" w:cs="Arial"/>
                <w:sz w:val="18"/>
                <w:szCs w:val="18"/>
              </w:rPr>
            </w:pPr>
            <w:r w:rsidRPr="00FC1D9A">
              <w:rPr>
                <w:rFonts w:ascii="Arial" w:hAnsi="Arial" w:cs="Arial"/>
                <w:sz w:val="18"/>
                <w:szCs w:val="18"/>
              </w:rPr>
              <w:t>np</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27C0D48C" w14:textId="77777777" w:rsidR="009C5632" w:rsidRPr="00FC1D9A" w:rsidRDefault="009C5632" w:rsidP="00240CC4">
            <w:pPr>
              <w:jc w:val="right"/>
              <w:rPr>
                <w:rFonts w:ascii="Arial" w:hAnsi="Arial" w:cs="Arial"/>
                <w:sz w:val="18"/>
                <w:szCs w:val="18"/>
              </w:rPr>
            </w:pPr>
            <w:r w:rsidRPr="00FC1D9A">
              <w:rPr>
                <w:rFonts w:ascii="Arial" w:hAnsi="Arial" w:cs="Arial"/>
                <w:sz w:val="18"/>
                <w:szCs w:val="18"/>
              </w:rPr>
              <w:t>np</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2BA6C525" w14:textId="77777777" w:rsidR="009C5632" w:rsidRPr="00FC1D9A" w:rsidRDefault="009C5632" w:rsidP="00240CC4">
            <w:pPr>
              <w:jc w:val="right"/>
              <w:rPr>
                <w:rFonts w:ascii="Arial" w:hAnsi="Arial" w:cs="Arial"/>
                <w:sz w:val="18"/>
                <w:szCs w:val="18"/>
              </w:rPr>
            </w:pPr>
            <w:r w:rsidRPr="00FC1D9A">
              <w:rPr>
                <w:rFonts w:ascii="Arial" w:hAnsi="Arial" w:cs="Arial"/>
                <w:sz w:val="18"/>
                <w:szCs w:val="18"/>
              </w:rPr>
              <w:t>np</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37E5DE74" w14:textId="77777777" w:rsidR="009C5632" w:rsidRPr="00FC1D9A" w:rsidRDefault="009C5632" w:rsidP="00240CC4">
            <w:pPr>
              <w:jc w:val="right"/>
              <w:rPr>
                <w:rFonts w:ascii="Arial" w:hAnsi="Arial" w:cs="Arial"/>
                <w:sz w:val="18"/>
                <w:szCs w:val="18"/>
              </w:rPr>
            </w:pPr>
            <w:r w:rsidRPr="00FC1D9A">
              <w:rPr>
                <w:rFonts w:ascii="Arial" w:hAnsi="Arial" w:cs="Arial"/>
                <w:sz w:val="18"/>
                <w:szCs w:val="18"/>
              </w:rPr>
              <w:t>np</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0893E2F5" w14:textId="77777777" w:rsidR="009C5632" w:rsidRPr="00FC1D9A" w:rsidRDefault="009C5632" w:rsidP="00240CC4">
            <w:pPr>
              <w:jc w:val="right"/>
              <w:rPr>
                <w:rFonts w:ascii="Arial" w:hAnsi="Arial" w:cs="Arial"/>
                <w:sz w:val="18"/>
                <w:szCs w:val="18"/>
              </w:rPr>
            </w:pPr>
            <w:r w:rsidRPr="00FC1D9A">
              <w:rPr>
                <w:rFonts w:ascii="Arial" w:hAnsi="Arial" w:cs="Arial"/>
                <w:sz w:val="18"/>
                <w:szCs w:val="18"/>
              </w:rPr>
              <w:t>np</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2C768A2D" w14:textId="77777777" w:rsidR="009C5632" w:rsidRPr="00FC1D9A" w:rsidRDefault="009C5632" w:rsidP="00240CC4">
            <w:pPr>
              <w:jc w:val="right"/>
              <w:rPr>
                <w:rFonts w:ascii="Arial" w:hAnsi="Arial" w:cs="Arial"/>
                <w:sz w:val="18"/>
                <w:szCs w:val="18"/>
              </w:rPr>
            </w:pPr>
            <w:r w:rsidRPr="00FC1D9A">
              <w:rPr>
                <w:rFonts w:ascii="Arial" w:hAnsi="Arial" w:cs="Arial"/>
                <w:sz w:val="18"/>
                <w:szCs w:val="18"/>
              </w:rPr>
              <w:t>np</w:t>
            </w:r>
          </w:p>
        </w:tc>
        <w:tc>
          <w:tcPr>
            <w:tcW w:w="1217" w:type="dxa"/>
            <w:tcBorders>
              <w:top w:val="single" w:sz="4" w:space="0" w:color="auto"/>
              <w:left w:val="single" w:sz="4" w:space="0" w:color="auto"/>
              <w:bottom w:val="single" w:sz="4" w:space="0" w:color="auto"/>
              <w:right w:val="single" w:sz="4" w:space="0" w:color="auto"/>
            </w:tcBorders>
            <w:shd w:val="clear" w:color="000000" w:fill="FFFFFF"/>
            <w:vAlign w:val="bottom"/>
          </w:tcPr>
          <w:p w14:paraId="5A9FAA86" w14:textId="77777777" w:rsidR="009C5632" w:rsidRPr="00FC1D9A" w:rsidRDefault="009C5632" w:rsidP="00240CC4">
            <w:pPr>
              <w:jc w:val="right"/>
              <w:rPr>
                <w:rFonts w:ascii="Arial" w:hAnsi="Arial" w:cs="Arial"/>
                <w:b/>
                <w:sz w:val="18"/>
                <w:szCs w:val="18"/>
              </w:rPr>
            </w:pPr>
            <w:r w:rsidRPr="00FC1D9A">
              <w:rPr>
                <w:rFonts w:ascii="Arial" w:hAnsi="Arial" w:cs="Arial"/>
                <w:b/>
                <w:sz w:val="18"/>
                <w:szCs w:val="18"/>
              </w:rPr>
              <w:t>275</w:t>
            </w:r>
          </w:p>
        </w:tc>
      </w:tr>
      <w:tr w:rsidR="009C5632" w14:paraId="2826A497" w14:textId="77777777" w:rsidTr="009C5632">
        <w:trPr>
          <w:trHeight w:val="325"/>
        </w:trPr>
        <w:tc>
          <w:tcPr>
            <w:tcW w:w="717" w:type="dxa"/>
            <w:vMerge/>
            <w:tcBorders>
              <w:left w:val="single" w:sz="4" w:space="0" w:color="auto"/>
              <w:bottom w:val="single" w:sz="4" w:space="0" w:color="auto"/>
              <w:right w:val="single" w:sz="4" w:space="0" w:color="auto"/>
            </w:tcBorders>
            <w:shd w:val="clear" w:color="000000" w:fill="FFFFFF"/>
          </w:tcPr>
          <w:p w14:paraId="3C06B96A" w14:textId="77777777" w:rsidR="009C5632" w:rsidRPr="00547178" w:rsidRDefault="009C5632" w:rsidP="00240CC4">
            <w:pPr>
              <w:rPr>
                <w:rFonts w:ascii="Arial" w:hAnsi="Arial" w:cs="Arial"/>
                <w:b/>
                <w:bCs/>
                <w:color w:val="000000"/>
                <w:sz w:val="18"/>
                <w:szCs w:val="18"/>
              </w:rPr>
            </w:pPr>
          </w:p>
        </w:tc>
        <w:tc>
          <w:tcPr>
            <w:tcW w:w="0" w:type="auto"/>
            <w:vMerge/>
            <w:tcBorders>
              <w:left w:val="single" w:sz="4" w:space="0" w:color="auto"/>
              <w:bottom w:val="single" w:sz="4" w:space="0" w:color="auto"/>
              <w:right w:val="single" w:sz="4" w:space="0" w:color="auto"/>
            </w:tcBorders>
            <w:shd w:val="clear" w:color="000000" w:fill="FFFFFF"/>
            <w:vAlign w:val="center"/>
          </w:tcPr>
          <w:p w14:paraId="6903E428" w14:textId="77777777" w:rsidR="009C5632" w:rsidRPr="00FC1D9A" w:rsidRDefault="009C5632" w:rsidP="00240CC4">
            <w:pPr>
              <w:rPr>
                <w:rFonts w:ascii="Arial" w:hAnsi="Arial" w:cs="Arial"/>
                <w:b/>
                <w:bCs/>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5554CBC4" w14:textId="77777777" w:rsidR="009C5632" w:rsidRPr="00FC1D9A" w:rsidRDefault="009C5632" w:rsidP="00240CC4">
            <w:pPr>
              <w:spacing w:after="150"/>
              <w:rPr>
                <w:rFonts w:ascii="Arial" w:hAnsi="Arial" w:cs="Arial"/>
                <w:sz w:val="18"/>
                <w:szCs w:val="18"/>
              </w:rPr>
            </w:pPr>
            <w:r w:rsidRPr="00FC1D9A">
              <w:rPr>
                <w:rFonts w:ascii="Arial" w:hAnsi="Arial" w:cs="Arial"/>
                <w:sz w:val="18"/>
                <w:szCs w:val="18"/>
              </w:rPr>
              <w:t>Benefits</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3119F3FF" w14:textId="77777777" w:rsidR="009C5632" w:rsidRPr="00FC1D9A" w:rsidRDefault="009C5632" w:rsidP="00240CC4">
            <w:pPr>
              <w:jc w:val="right"/>
              <w:rPr>
                <w:rFonts w:ascii="Arial" w:hAnsi="Arial" w:cs="Arial"/>
                <w:sz w:val="18"/>
                <w:szCs w:val="18"/>
              </w:rPr>
            </w:pPr>
            <w:r w:rsidRPr="00FC1D9A">
              <w:rPr>
                <w:rFonts w:ascii="Arial" w:hAnsi="Arial" w:cs="Arial"/>
                <w:sz w:val="18"/>
                <w:szCs w:val="18"/>
              </w:rPr>
              <w:t>np</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4BB256A7" w14:textId="77777777" w:rsidR="009C5632" w:rsidRPr="00FC1D9A" w:rsidRDefault="009C5632" w:rsidP="00240CC4">
            <w:pPr>
              <w:jc w:val="right"/>
              <w:rPr>
                <w:rFonts w:ascii="Arial" w:hAnsi="Arial" w:cs="Arial"/>
                <w:sz w:val="18"/>
                <w:szCs w:val="18"/>
              </w:rPr>
            </w:pPr>
            <w:r w:rsidRPr="00FC1D9A">
              <w:rPr>
                <w:rFonts w:ascii="Arial" w:hAnsi="Arial" w:cs="Arial"/>
                <w:sz w:val="18"/>
                <w:szCs w:val="18"/>
              </w:rPr>
              <w:t>np</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13B3166B" w14:textId="77777777" w:rsidR="009C5632" w:rsidRPr="00FC1D9A" w:rsidRDefault="009C5632" w:rsidP="00240CC4">
            <w:pPr>
              <w:jc w:val="right"/>
              <w:rPr>
                <w:rFonts w:ascii="Arial" w:hAnsi="Arial" w:cs="Arial"/>
                <w:sz w:val="18"/>
                <w:szCs w:val="18"/>
              </w:rPr>
            </w:pPr>
            <w:r w:rsidRPr="00FC1D9A">
              <w:rPr>
                <w:rFonts w:ascii="Arial" w:hAnsi="Arial" w:cs="Arial"/>
                <w:sz w:val="18"/>
                <w:szCs w:val="18"/>
              </w:rPr>
              <w:t>np</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586FC0DD" w14:textId="77777777" w:rsidR="009C5632" w:rsidRPr="00FC1D9A" w:rsidRDefault="009C5632" w:rsidP="00240CC4">
            <w:pPr>
              <w:jc w:val="right"/>
              <w:rPr>
                <w:rFonts w:ascii="Arial" w:hAnsi="Arial" w:cs="Arial"/>
                <w:sz w:val="18"/>
                <w:szCs w:val="18"/>
              </w:rPr>
            </w:pPr>
            <w:r w:rsidRPr="00FC1D9A">
              <w:rPr>
                <w:rFonts w:ascii="Arial" w:hAnsi="Arial" w:cs="Arial"/>
                <w:sz w:val="18"/>
                <w:szCs w:val="18"/>
              </w:rPr>
              <w:t>np</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5246CEC0" w14:textId="77777777" w:rsidR="009C5632" w:rsidRPr="00FC1D9A" w:rsidRDefault="009C5632" w:rsidP="00240CC4">
            <w:pPr>
              <w:jc w:val="right"/>
              <w:rPr>
                <w:rFonts w:ascii="Arial" w:hAnsi="Arial" w:cs="Arial"/>
                <w:sz w:val="18"/>
                <w:szCs w:val="18"/>
              </w:rPr>
            </w:pPr>
            <w:r w:rsidRPr="00FC1D9A">
              <w:rPr>
                <w:rFonts w:ascii="Arial" w:hAnsi="Arial" w:cs="Arial"/>
                <w:sz w:val="18"/>
                <w:szCs w:val="18"/>
              </w:rPr>
              <w:t>np</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01768E3F" w14:textId="77777777" w:rsidR="009C5632" w:rsidRPr="00FC1D9A" w:rsidRDefault="009C5632" w:rsidP="00240CC4">
            <w:pPr>
              <w:jc w:val="right"/>
              <w:rPr>
                <w:rFonts w:ascii="Arial" w:hAnsi="Arial" w:cs="Arial"/>
                <w:sz w:val="18"/>
                <w:szCs w:val="18"/>
              </w:rPr>
            </w:pPr>
            <w:r w:rsidRPr="00FC1D9A">
              <w:rPr>
                <w:rFonts w:ascii="Arial" w:hAnsi="Arial" w:cs="Arial"/>
                <w:sz w:val="18"/>
                <w:szCs w:val="18"/>
              </w:rPr>
              <w:t>np</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3C3BA8FB" w14:textId="77777777" w:rsidR="009C5632" w:rsidRPr="00FC1D9A" w:rsidRDefault="009C5632" w:rsidP="00240CC4">
            <w:pPr>
              <w:jc w:val="right"/>
              <w:rPr>
                <w:rFonts w:ascii="Arial" w:hAnsi="Arial" w:cs="Arial"/>
                <w:sz w:val="18"/>
                <w:szCs w:val="18"/>
              </w:rPr>
            </w:pPr>
            <w:r w:rsidRPr="00FC1D9A">
              <w:rPr>
                <w:rFonts w:ascii="Arial" w:hAnsi="Arial" w:cs="Arial"/>
                <w:sz w:val="18"/>
                <w:szCs w:val="18"/>
              </w:rPr>
              <w:t>np</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tcPr>
          <w:p w14:paraId="57CE7176" w14:textId="77777777" w:rsidR="009C5632" w:rsidRPr="00FC1D9A" w:rsidRDefault="009C5632" w:rsidP="00240CC4">
            <w:pPr>
              <w:jc w:val="right"/>
              <w:rPr>
                <w:rFonts w:ascii="Arial" w:hAnsi="Arial" w:cs="Arial"/>
                <w:sz w:val="18"/>
                <w:szCs w:val="18"/>
              </w:rPr>
            </w:pPr>
            <w:r w:rsidRPr="00FC1D9A">
              <w:rPr>
                <w:rFonts w:ascii="Arial" w:hAnsi="Arial" w:cs="Arial"/>
                <w:sz w:val="18"/>
                <w:szCs w:val="18"/>
              </w:rPr>
              <w:t>np</w:t>
            </w:r>
          </w:p>
        </w:tc>
        <w:tc>
          <w:tcPr>
            <w:tcW w:w="1217" w:type="dxa"/>
            <w:tcBorders>
              <w:top w:val="single" w:sz="4" w:space="0" w:color="auto"/>
              <w:left w:val="single" w:sz="4" w:space="0" w:color="auto"/>
              <w:bottom w:val="single" w:sz="4" w:space="0" w:color="auto"/>
              <w:right w:val="single" w:sz="4" w:space="0" w:color="auto"/>
            </w:tcBorders>
            <w:shd w:val="clear" w:color="000000" w:fill="FFFFFF"/>
            <w:vAlign w:val="bottom"/>
          </w:tcPr>
          <w:p w14:paraId="25E39DBA" w14:textId="77777777" w:rsidR="009C5632" w:rsidRPr="00FC1D9A" w:rsidRDefault="009C5632" w:rsidP="00240CC4">
            <w:pPr>
              <w:jc w:val="right"/>
              <w:rPr>
                <w:rFonts w:ascii="Arial" w:hAnsi="Arial" w:cs="Arial"/>
                <w:b/>
                <w:sz w:val="18"/>
                <w:szCs w:val="18"/>
              </w:rPr>
            </w:pPr>
            <w:r w:rsidRPr="00FC1D9A">
              <w:rPr>
                <w:rFonts w:ascii="Arial" w:hAnsi="Arial" w:cs="Arial"/>
                <w:b/>
                <w:sz w:val="18"/>
                <w:szCs w:val="18"/>
              </w:rPr>
              <w:t>$89,148</w:t>
            </w:r>
          </w:p>
        </w:tc>
      </w:tr>
    </w:tbl>
    <w:p w14:paraId="6EB75F06" w14:textId="07311E4B" w:rsidR="007E0EE6" w:rsidRPr="000E7EA4" w:rsidRDefault="003C722C" w:rsidP="007E0EE6">
      <w:pPr>
        <w:rPr>
          <w:sz w:val="20"/>
        </w:rPr>
      </w:pPr>
      <w:r>
        <w:rPr>
          <w:sz w:val="20"/>
        </w:rPr>
        <w:t>NP</w:t>
      </w:r>
      <w:r w:rsidR="007E0EE6" w:rsidRPr="000E7EA4">
        <w:rPr>
          <w:sz w:val="20"/>
        </w:rPr>
        <w:t xml:space="preserve"> = not </w:t>
      </w:r>
      <w:r w:rsidR="00F33D75">
        <w:rPr>
          <w:sz w:val="20"/>
        </w:rPr>
        <w:t>published due to low volumes</w:t>
      </w:r>
    </w:p>
    <w:p w14:paraId="0BC5506F" w14:textId="295598C6" w:rsidR="007E0EE6" w:rsidRDefault="00A73613" w:rsidP="007E0EE6">
      <w:pPr>
        <w:rPr>
          <w:i/>
          <w:sz w:val="20"/>
        </w:rPr>
      </w:pPr>
      <w:r>
        <w:rPr>
          <w:i/>
          <w:sz w:val="20"/>
        </w:rPr>
        <w:t>Source: Department of Health</w:t>
      </w:r>
    </w:p>
    <w:p w14:paraId="7446D8BE" w14:textId="77777777" w:rsidR="007E0EE6" w:rsidRPr="002C73F7" w:rsidRDefault="007E0EE6" w:rsidP="007E0EE6">
      <w:pPr>
        <w:pStyle w:val="Caption"/>
      </w:pPr>
      <w:r>
        <w:rPr>
          <w:noProof/>
          <w:lang w:eastAsia="en-AU"/>
        </w:rPr>
        <w:lastRenderedPageBreak/>
        <w:drawing>
          <wp:inline distT="0" distB="0" distL="0" distR="0" wp14:anchorId="2B777DB2" wp14:editId="363FC369">
            <wp:extent cx="5556617" cy="3390900"/>
            <wp:effectExtent l="0" t="0" r="6350" b="0"/>
            <wp:docPr id="14" name="Picture 14" descr="Figure 1 is a line graph presenting the monthly service volume for MBS items 73337 and 73328 from June 2011 to July 2016, by date of claim processing. The horizontal axis presents the month of claim processing and the vertical axis presents the quantity of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quested Medicare Items processed from July 2011 to June 2016"/>
                    <pic:cNvPicPr>
                      <a:picLocks noChangeAspect="1" noChangeArrowheads="1"/>
                    </pic:cNvPicPr>
                  </pic:nvPicPr>
                  <pic:blipFill rotWithShape="1">
                    <a:blip r:embed="rId12">
                      <a:extLst>
                        <a:ext uri="{28A0092B-C50C-407E-A947-70E740481C1C}">
                          <a14:useLocalDpi xmlns:a14="http://schemas.microsoft.com/office/drawing/2010/main" val="0"/>
                        </a:ext>
                      </a:extLst>
                    </a:blip>
                    <a:srcRect l="1085" r="2712"/>
                    <a:stretch/>
                  </pic:blipFill>
                  <pic:spPr bwMode="auto">
                    <a:xfrm>
                      <a:off x="0" y="0"/>
                      <a:ext cx="5563986" cy="3395397"/>
                    </a:xfrm>
                    <a:prstGeom prst="rect">
                      <a:avLst/>
                    </a:prstGeom>
                    <a:noFill/>
                    <a:ln>
                      <a:noFill/>
                    </a:ln>
                    <a:extLst>
                      <a:ext uri="{53640926-AAD7-44D8-BBD7-CCE9431645EC}">
                        <a14:shadowObscured xmlns:a14="http://schemas.microsoft.com/office/drawing/2010/main"/>
                      </a:ext>
                    </a:extLst>
                  </pic:spPr>
                </pic:pic>
              </a:graphicData>
            </a:graphic>
          </wp:inline>
        </w:drawing>
      </w:r>
    </w:p>
    <w:p w14:paraId="5CF5F92B" w14:textId="277EDCE1" w:rsidR="007E0EE6" w:rsidRPr="00A73613" w:rsidRDefault="007E0EE6" w:rsidP="009C5632">
      <w:pPr>
        <w:pStyle w:val="Heading3"/>
        <w:rPr>
          <w:rFonts w:cs="Times New Roman"/>
          <w:szCs w:val="18"/>
        </w:rPr>
      </w:pPr>
      <w:r w:rsidRPr="00A73613">
        <w:rPr>
          <w:rFonts w:cs="Times New Roman"/>
          <w:szCs w:val="18"/>
        </w:rPr>
        <w:t>Figure 1: Month by month comparison of service volume for MBS items 73337 and 73328 from June 2011 to July 2016</w:t>
      </w:r>
    </w:p>
    <w:p w14:paraId="6364C21B" w14:textId="023986C1" w:rsidR="007E0EE6" w:rsidRDefault="007E0EE6" w:rsidP="007E0EE6">
      <w:pPr>
        <w:rPr>
          <w:i/>
          <w:sz w:val="20"/>
        </w:rPr>
      </w:pPr>
      <w:r w:rsidRPr="00EC0EE5">
        <w:rPr>
          <w:i/>
          <w:sz w:val="20"/>
        </w:rPr>
        <w:t xml:space="preserve">Source: Medicare Statistics </w:t>
      </w:r>
      <w:r>
        <w:rPr>
          <w:i/>
          <w:sz w:val="20"/>
        </w:rPr>
        <w:t>O</w:t>
      </w:r>
      <w:r w:rsidR="009A49DA">
        <w:rPr>
          <w:i/>
          <w:sz w:val="20"/>
        </w:rPr>
        <w:t>nline</w:t>
      </w:r>
    </w:p>
    <w:p w14:paraId="749DE453" w14:textId="77777777" w:rsidR="009C5632" w:rsidRDefault="00240CC4" w:rsidP="009C5632">
      <w:pPr>
        <w:pStyle w:val="Heading3"/>
        <w:rPr>
          <w:b w:val="0"/>
        </w:rPr>
      </w:pPr>
      <w:r>
        <w:rPr>
          <w:noProof/>
        </w:rPr>
        <w:drawing>
          <wp:inline distT="0" distB="0" distL="0" distR="0" wp14:anchorId="03DCD407" wp14:editId="59891EED">
            <wp:extent cx="5550195" cy="3173211"/>
            <wp:effectExtent l="0" t="0" r="0" b="8255"/>
            <wp:docPr id="11" name="Picture 11" descr="Figure 2 is a line graph presenting the monthly service volume for MBS items 73337 and 30710 from June 2011 to August 2016, by date of claim processing. The horizontal axis presents the month of claim processing and the vertical axis presents the quantity of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quested Medicare Items processed from July 2011 to July 2016"/>
                    <pic:cNvPicPr>
                      <a:picLocks noChangeAspect="1" noChangeArrowheads="1"/>
                    </pic:cNvPicPr>
                  </pic:nvPicPr>
                  <pic:blipFill rotWithShape="1">
                    <a:blip r:embed="rId13">
                      <a:extLst>
                        <a:ext uri="{28A0092B-C50C-407E-A947-70E740481C1C}">
                          <a14:useLocalDpi xmlns:a14="http://schemas.microsoft.com/office/drawing/2010/main" val="0"/>
                        </a:ext>
                      </a:extLst>
                    </a:blip>
                    <a:srcRect l="1020" r="2245"/>
                    <a:stretch/>
                  </pic:blipFill>
                  <pic:spPr bwMode="auto">
                    <a:xfrm>
                      <a:off x="0" y="0"/>
                      <a:ext cx="5542620" cy="3168880"/>
                    </a:xfrm>
                    <a:prstGeom prst="rect">
                      <a:avLst/>
                    </a:prstGeom>
                    <a:noFill/>
                    <a:ln>
                      <a:noFill/>
                    </a:ln>
                    <a:extLst>
                      <a:ext uri="{53640926-AAD7-44D8-BBD7-CCE9431645EC}">
                        <a14:shadowObscured xmlns:a14="http://schemas.microsoft.com/office/drawing/2010/main"/>
                      </a:ext>
                    </a:extLst>
                  </pic:spPr>
                </pic:pic>
              </a:graphicData>
            </a:graphic>
          </wp:inline>
        </w:drawing>
      </w:r>
      <w:r w:rsidR="00A73613">
        <w:rPr>
          <w:b w:val="0"/>
        </w:rPr>
        <w:tab/>
      </w:r>
      <w:r>
        <w:rPr>
          <w:b w:val="0"/>
        </w:rPr>
        <w:t xml:space="preserve"> </w:t>
      </w:r>
      <w:r w:rsidRPr="009C5632">
        <w:rPr>
          <w:rFonts w:cs="Times New Roman"/>
          <w:szCs w:val="18"/>
        </w:rPr>
        <w:t>Figure 2: Actual services of MBS items 73337 and 30710, month by month from June 2011 to August 2016</w:t>
      </w:r>
      <w:r>
        <w:rPr>
          <w:b w:val="0"/>
        </w:rPr>
        <w:t xml:space="preserve"> </w:t>
      </w:r>
    </w:p>
    <w:p w14:paraId="291A3AA8" w14:textId="684D28DB" w:rsidR="00240CC4" w:rsidRPr="00240CC4" w:rsidRDefault="00240CC4" w:rsidP="007E0EE6">
      <w:pPr>
        <w:rPr>
          <w:b/>
          <w:sz w:val="18"/>
        </w:rPr>
      </w:pPr>
      <w:r w:rsidRPr="00AA182A">
        <w:rPr>
          <w:i/>
          <w:sz w:val="18"/>
        </w:rPr>
        <w:t xml:space="preserve">Source: Medicare Statistics </w:t>
      </w:r>
      <w:r>
        <w:rPr>
          <w:i/>
          <w:sz w:val="18"/>
        </w:rPr>
        <w:t>Online</w:t>
      </w:r>
    </w:p>
    <w:p w14:paraId="01EA88BE" w14:textId="77777777" w:rsidR="00240CC4" w:rsidRPr="006F5F1F" w:rsidRDefault="00240CC4" w:rsidP="00240CC4">
      <w:pPr>
        <w:pStyle w:val="Heading2"/>
      </w:pPr>
      <w:bookmarkStart w:id="0" w:name="_Toc465413875"/>
      <w:r>
        <w:t>In and out of hospital</w:t>
      </w:r>
      <w:bookmarkEnd w:id="0"/>
      <w:r>
        <w:t xml:space="preserve"> </w:t>
      </w:r>
    </w:p>
    <w:p w14:paraId="1D8C890A" w14:textId="77E8F139" w:rsidR="00240CC4" w:rsidRDefault="00240CC4" w:rsidP="00240CC4">
      <w:r>
        <w:t>There is high variation between states on whether this service is provided in or out of hospital. In QLD, SA and WA a high proportion of services are provided in hospital, 49-68% in 2015-16, compared to NSW and VIC where 20% or less of services were provided in hospital in 2015-16.</w:t>
      </w:r>
    </w:p>
    <w:p w14:paraId="3642731B" w14:textId="28D5548F" w:rsidR="00240CC4" w:rsidRPr="00A73613" w:rsidRDefault="00240CC4" w:rsidP="009C5632">
      <w:pPr>
        <w:pStyle w:val="Heading3"/>
        <w:rPr>
          <w:rFonts w:cs="Times New Roman"/>
          <w:szCs w:val="18"/>
        </w:rPr>
      </w:pPr>
      <w:r w:rsidRPr="00A73613">
        <w:rPr>
          <w:rFonts w:cs="Times New Roman"/>
          <w:szCs w:val="18"/>
        </w:rPr>
        <w:t>Table 2: Percentage of services provided in hospital for item 73337 in 2014-15 to 2015-16</w:t>
      </w:r>
    </w:p>
    <w:tbl>
      <w:tblPr>
        <w:tblW w:w="88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2 presents the percentage of services provided in hospital for MBS item 73337 in 2014-15 and 2015-16. Each state is split into columns and each row is split into 2014-15 and 2015-16. 'NP' means that for that cell, the data is not printed."/>
      </w:tblPr>
      <w:tblGrid>
        <w:gridCol w:w="1141"/>
        <w:gridCol w:w="776"/>
        <w:gridCol w:w="776"/>
        <w:gridCol w:w="776"/>
        <w:gridCol w:w="776"/>
        <w:gridCol w:w="776"/>
        <w:gridCol w:w="855"/>
        <w:gridCol w:w="855"/>
        <w:gridCol w:w="855"/>
        <w:gridCol w:w="1283"/>
      </w:tblGrid>
      <w:tr w:rsidR="00240CC4" w:rsidRPr="001C623D" w14:paraId="6DEF2DB5" w14:textId="77777777" w:rsidTr="00FC1D9A">
        <w:trPr>
          <w:trHeight w:val="288"/>
          <w:tblHeader/>
        </w:trPr>
        <w:tc>
          <w:tcPr>
            <w:tcW w:w="1141" w:type="dxa"/>
            <w:shd w:val="clear" w:color="auto" w:fill="008080"/>
            <w:vAlign w:val="center"/>
            <w:hideMark/>
          </w:tcPr>
          <w:p w14:paraId="2E46AB60" w14:textId="77777777" w:rsidR="00240CC4" w:rsidRPr="001C623D" w:rsidRDefault="00240CC4" w:rsidP="00240CC4">
            <w:pPr>
              <w:rPr>
                <w:rFonts w:ascii="Arial" w:hAnsi="Arial" w:cs="Arial"/>
                <w:b/>
                <w:bCs/>
                <w:color w:val="FFFFFF"/>
              </w:rPr>
            </w:pPr>
          </w:p>
        </w:tc>
        <w:tc>
          <w:tcPr>
            <w:tcW w:w="776" w:type="dxa"/>
            <w:shd w:val="clear" w:color="auto" w:fill="008080"/>
            <w:vAlign w:val="bottom"/>
            <w:hideMark/>
          </w:tcPr>
          <w:p w14:paraId="6829502C" w14:textId="77777777" w:rsidR="00240CC4" w:rsidRPr="00547178" w:rsidRDefault="00240CC4" w:rsidP="00240CC4">
            <w:pPr>
              <w:jc w:val="center"/>
              <w:rPr>
                <w:rFonts w:ascii="Arial" w:hAnsi="Arial" w:cs="Arial"/>
                <w:b/>
                <w:bCs/>
                <w:color w:val="FFFFFF"/>
                <w:sz w:val="18"/>
                <w:szCs w:val="18"/>
              </w:rPr>
            </w:pPr>
            <w:r w:rsidRPr="00547178">
              <w:rPr>
                <w:rFonts w:ascii="Arial" w:hAnsi="Arial" w:cs="Arial"/>
                <w:b/>
                <w:bCs/>
                <w:color w:val="FFFFFF"/>
                <w:sz w:val="18"/>
                <w:szCs w:val="18"/>
              </w:rPr>
              <w:t>NSW</w:t>
            </w:r>
          </w:p>
        </w:tc>
        <w:tc>
          <w:tcPr>
            <w:tcW w:w="776" w:type="dxa"/>
            <w:shd w:val="clear" w:color="auto" w:fill="008080"/>
            <w:vAlign w:val="bottom"/>
            <w:hideMark/>
          </w:tcPr>
          <w:p w14:paraId="13F5A112" w14:textId="77777777" w:rsidR="00240CC4" w:rsidRPr="00547178" w:rsidRDefault="00240CC4" w:rsidP="00240CC4">
            <w:pPr>
              <w:jc w:val="center"/>
              <w:rPr>
                <w:rFonts w:ascii="Arial" w:hAnsi="Arial" w:cs="Arial"/>
                <w:b/>
                <w:bCs/>
                <w:color w:val="FFFFFF"/>
                <w:sz w:val="18"/>
                <w:szCs w:val="18"/>
              </w:rPr>
            </w:pPr>
            <w:r w:rsidRPr="00547178">
              <w:rPr>
                <w:rFonts w:ascii="Arial" w:hAnsi="Arial" w:cs="Arial"/>
                <w:b/>
                <w:bCs/>
                <w:color w:val="FFFFFF"/>
                <w:sz w:val="18"/>
                <w:szCs w:val="18"/>
              </w:rPr>
              <w:t>VIC</w:t>
            </w:r>
          </w:p>
        </w:tc>
        <w:tc>
          <w:tcPr>
            <w:tcW w:w="776" w:type="dxa"/>
            <w:shd w:val="clear" w:color="auto" w:fill="008080"/>
            <w:vAlign w:val="bottom"/>
            <w:hideMark/>
          </w:tcPr>
          <w:p w14:paraId="5130F765" w14:textId="77777777" w:rsidR="00240CC4" w:rsidRPr="00547178" w:rsidRDefault="00240CC4" w:rsidP="00240CC4">
            <w:pPr>
              <w:jc w:val="center"/>
              <w:rPr>
                <w:rFonts w:ascii="Arial" w:hAnsi="Arial" w:cs="Arial"/>
                <w:b/>
                <w:bCs/>
                <w:color w:val="FFFFFF"/>
                <w:sz w:val="18"/>
                <w:szCs w:val="18"/>
              </w:rPr>
            </w:pPr>
            <w:r w:rsidRPr="00547178">
              <w:rPr>
                <w:rFonts w:ascii="Arial" w:hAnsi="Arial" w:cs="Arial"/>
                <w:b/>
                <w:bCs/>
                <w:color w:val="FFFFFF"/>
                <w:sz w:val="18"/>
                <w:szCs w:val="18"/>
              </w:rPr>
              <w:t>QLD</w:t>
            </w:r>
          </w:p>
        </w:tc>
        <w:tc>
          <w:tcPr>
            <w:tcW w:w="776" w:type="dxa"/>
            <w:shd w:val="clear" w:color="auto" w:fill="008080"/>
            <w:vAlign w:val="bottom"/>
            <w:hideMark/>
          </w:tcPr>
          <w:p w14:paraId="5E8FBEF2" w14:textId="77777777" w:rsidR="00240CC4" w:rsidRPr="00547178" w:rsidRDefault="00240CC4" w:rsidP="00240CC4">
            <w:pPr>
              <w:jc w:val="center"/>
              <w:rPr>
                <w:rFonts w:ascii="Arial" w:hAnsi="Arial" w:cs="Arial"/>
                <w:b/>
                <w:bCs/>
                <w:color w:val="FFFFFF"/>
                <w:sz w:val="18"/>
                <w:szCs w:val="18"/>
              </w:rPr>
            </w:pPr>
            <w:r w:rsidRPr="00547178">
              <w:rPr>
                <w:rFonts w:ascii="Arial" w:hAnsi="Arial" w:cs="Arial"/>
                <w:b/>
                <w:bCs/>
                <w:color w:val="FFFFFF"/>
                <w:sz w:val="18"/>
                <w:szCs w:val="18"/>
              </w:rPr>
              <w:t>SA</w:t>
            </w:r>
          </w:p>
        </w:tc>
        <w:tc>
          <w:tcPr>
            <w:tcW w:w="776" w:type="dxa"/>
            <w:shd w:val="clear" w:color="auto" w:fill="008080"/>
            <w:vAlign w:val="bottom"/>
            <w:hideMark/>
          </w:tcPr>
          <w:p w14:paraId="4B9D4146" w14:textId="77777777" w:rsidR="00240CC4" w:rsidRPr="00547178" w:rsidRDefault="00240CC4" w:rsidP="00240CC4">
            <w:pPr>
              <w:jc w:val="center"/>
              <w:rPr>
                <w:rFonts w:ascii="Arial" w:hAnsi="Arial" w:cs="Arial"/>
                <w:b/>
                <w:bCs/>
                <w:color w:val="FFFFFF"/>
                <w:sz w:val="18"/>
                <w:szCs w:val="18"/>
              </w:rPr>
            </w:pPr>
            <w:r w:rsidRPr="00547178">
              <w:rPr>
                <w:rFonts w:ascii="Arial" w:hAnsi="Arial" w:cs="Arial"/>
                <w:b/>
                <w:bCs/>
                <w:color w:val="FFFFFF"/>
                <w:sz w:val="18"/>
                <w:szCs w:val="18"/>
              </w:rPr>
              <w:t>WA</w:t>
            </w:r>
          </w:p>
        </w:tc>
        <w:tc>
          <w:tcPr>
            <w:tcW w:w="855" w:type="dxa"/>
            <w:shd w:val="clear" w:color="auto" w:fill="008080"/>
            <w:vAlign w:val="bottom"/>
          </w:tcPr>
          <w:p w14:paraId="6ADE01D4" w14:textId="77777777" w:rsidR="00240CC4" w:rsidRPr="00547178" w:rsidRDefault="00240CC4" w:rsidP="00527BF0">
            <w:pPr>
              <w:jc w:val="center"/>
              <w:rPr>
                <w:rFonts w:ascii="Arial" w:hAnsi="Arial" w:cs="Arial"/>
                <w:b/>
                <w:bCs/>
                <w:color w:val="FFFFFF"/>
                <w:sz w:val="18"/>
                <w:szCs w:val="18"/>
              </w:rPr>
            </w:pPr>
            <w:r w:rsidRPr="00547178">
              <w:rPr>
                <w:rFonts w:ascii="Arial" w:hAnsi="Arial" w:cs="Arial"/>
                <w:b/>
                <w:bCs/>
                <w:color w:val="FFFFFF"/>
                <w:sz w:val="18"/>
                <w:szCs w:val="18"/>
              </w:rPr>
              <w:t>TAS</w:t>
            </w:r>
          </w:p>
        </w:tc>
        <w:tc>
          <w:tcPr>
            <w:tcW w:w="855" w:type="dxa"/>
            <w:shd w:val="clear" w:color="auto" w:fill="008080"/>
            <w:vAlign w:val="bottom"/>
          </w:tcPr>
          <w:p w14:paraId="61F91554" w14:textId="77777777" w:rsidR="00240CC4" w:rsidRPr="00547178" w:rsidRDefault="00240CC4" w:rsidP="00527BF0">
            <w:pPr>
              <w:jc w:val="center"/>
              <w:rPr>
                <w:rFonts w:ascii="Arial" w:hAnsi="Arial" w:cs="Arial"/>
                <w:b/>
                <w:bCs/>
                <w:color w:val="FFFFFF"/>
                <w:sz w:val="18"/>
                <w:szCs w:val="18"/>
              </w:rPr>
            </w:pPr>
            <w:r w:rsidRPr="00547178">
              <w:rPr>
                <w:rFonts w:ascii="Arial" w:hAnsi="Arial" w:cs="Arial"/>
                <w:b/>
                <w:bCs/>
                <w:color w:val="FFFFFF"/>
                <w:sz w:val="18"/>
                <w:szCs w:val="18"/>
              </w:rPr>
              <w:t>NT</w:t>
            </w:r>
          </w:p>
        </w:tc>
        <w:tc>
          <w:tcPr>
            <w:tcW w:w="855" w:type="dxa"/>
            <w:shd w:val="clear" w:color="auto" w:fill="008080"/>
            <w:vAlign w:val="bottom"/>
          </w:tcPr>
          <w:p w14:paraId="2BB42656" w14:textId="77777777" w:rsidR="00240CC4" w:rsidRPr="00547178" w:rsidRDefault="00240CC4" w:rsidP="00240CC4">
            <w:pPr>
              <w:jc w:val="center"/>
              <w:rPr>
                <w:rFonts w:ascii="Arial" w:hAnsi="Arial" w:cs="Arial"/>
                <w:b/>
                <w:bCs/>
                <w:color w:val="FFFFFF"/>
                <w:sz w:val="18"/>
                <w:szCs w:val="18"/>
              </w:rPr>
            </w:pPr>
            <w:r w:rsidRPr="00547178">
              <w:rPr>
                <w:rFonts w:ascii="Arial" w:hAnsi="Arial" w:cs="Arial"/>
                <w:b/>
                <w:bCs/>
                <w:color w:val="FFFFFF"/>
                <w:sz w:val="18"/>
                <w:szCs w:val="18"/>
              </w:rPr>
              <w:t>ACT</w:t>
            </w:r>
          </w:p>
        </w:tc>
        <w:tc>
          <w:tcPr>
            <w:tcW w:w="1283" w:type="dxa"/>
            <w:shd w:val="clear" w:color="auto" w:fill="008080"/>
            <w:vAlign w:val="bottom"/>
          </w:tcPr>
          <w:p w14:paraId="392F7D85" w14:textId="77777777" w:rsidR="00240CC4" w:rsidRPr="00547178" w:rsidRDefault="00240CC4" w:rsidP="00240CC4">
            <w:pPr>
              <w:jc w:val="center"/>
              <w:rPr>
                <w:rFonts w:ascii="Arial" w:hAnsi="Arial" w:cs="Arial"/>
                <w:b/>
                <w:bCs/>
                <w:color w:val="FFFFFF"/>
                <w:sz w:val="18"/>
                <w:szCs w:val="18"/>
              </w:rPr>
            </w:pPr>
            <w:r w:rsidRPr="00547178">
              <w:rPr>
                <w:rFonts w:ascii="Arial" w:hAnsi="Arial" w:cs="Arial"/>
                <w:b/>
                <w:bCs/>
                <w:color w:val="FFFFFF"/>
                <w:sz w:val="18"/>
                <w:szCs w:val="18"/>
              </w:rPr>
              <w:t>Australia</w:t>
            </w:r>
          </w:p>
        </w:tc>
      </w:tr>
      <w:tr w:rsidR="00240CC4" w:rsidRPr="001C623D" w14:paraId="1EA0498A" w14:textId="77777777" w:rsidTr="00FC1D9A">
        <w:trPr>
          <w:trHeight w:val="335"/>
        </w:trPr>
        <w:tc>
          <w:tcPr>
            <w:tcW w:w="1141" w:type="dxa"/>
            <w:shd w:val="clear" w:color="000000" w:fill="FFFFFF"/>
            <w:vAlign w:val="center"/>
          </w:tcPr>
          <w:p w14:paraId="0BB96328" w14:textId="77777777" w:rsidR="00240CC4" w:rsidRPr="00547178" w:rsidRDefault="00240CC4" w:rsidP="00240CC4">
            <w:pPr>
              <w:rPr>
                <w:rFonts w:ascii="Arial" w:hAnsi="Arial" w:cs="Arial"/>
                <w:b/>
                <w:bCs/>
                <w:color w:val="000000"/>
                <w:sz w:val="18"/>
                <w:szCs w:val="18"/>
              </w:rPr>
            </w:pPr>
            <w:r w:rsidRPr="00547178">
              <w:rPr>
                <w:rFonts w:ascii="Arial" w:hAnsi="Arial" w:cs="Arial"/>
                <w:b/>
                <w:bCs/>
                <w:color w:val="000000"/>
                <w:sz w:val="18"/>
                <w:szCs w:val="18"/>
              </w:rPr>
              <w:t>2014-15</w:t>
            </w:r>
          </w:p>
        </w:tc>
        <w:tc>
          <w:tcPr>
            <w:tcW w:w="776" w:type="dxa"/>
            <w:shd w:val="clear" w:color="000000" w:fill="FFFFFF"/>
            <w:vAlign w:val="bottom"/>
          </w:tcPr>
          <w:p w14:paraId="621DA64F" w14:textId="77777777" w:rsidR="00240CC4" w:rsidRPr="00547178" w:rsidRDefault="00240CC4" w:rsidP="00240CC4">
            <w:pPr>
              <w:jc w:val="right"/>
              <w:rPr>
                <w:rFonts w:ascii="Arial" w:hAnsi="Arial" w:cs="Arial"/>
                <w:color w:val="000000"/>
                <w:sz w:val="18"/>
                <w:szCs w:val="18"/>
              </w:rPr>
            </w:pPr>
            <w:r w:rsidRPr="00547178">
              <w:rPr>
                <w:rFonts w:ascii="Arial" w:hAnsi="Arial" w:cs="Arial"/>
                <w:color w:val="000000"/>
                <w:sz w:val="18"/>
                <w:szCs w:val="18"/>
              </w:rPr>
              <w:t>14%</w:t>
            </w:r>
          </w:p>
        </w:tc>
        <w:tc>
          <w:tcPr>
            <w:tcW w:w="776" w:type="dxa"/>
            <w:shd w:val="clear" w:color="000000" w:fill="FFFFFF"/>
            <w:vAlign w:val="bottom"/>
          </w:tcPr>
          <w:p w14:paraId="2682080E" w14:textId="77777777" w:rsidR="00240CC4" w:rsidRPr="00547178" w:rsidRDefault="00240CC4" w:rsidP="00240CC4">
            <w:pPr>
              <w:jc w:val="right"/>
              <w:rPr>
                <w:rFonts w:ascii="Arial" w:hAnsi="Arial" w:cs="Arial"/>
                <w:color w:val="000000"/>
                <w:sz w:val="18"/>
                <w:szCs w:val="18"/>
              </w:rPr>
            </w:pPr>
            <w:r w:rsidRPr="00547178">
              <w:rPr>
                <w:rFonts w:ascii="Arial" w:hAnsi="Arial" w:cs="Arial"/>
                <w:color w:val="000000"/>
                <w:sz w:val="18"/>
                <w:szCs w:val="18"/>
              </w:rPr>
              <w:t>14%</w:t>
            </w:r>
          </w:p>
        </w:tc>
        <w:tc>
          <w:tcPr>
            <w:tcW w:w="776" w:type="dxa"/>
            <w:shd w:val="clear" w:color="000000" w:fill="FFFFFF"/>
            <w:vAlign w:val="bottom"/>
          </w:tcPr>
          <w:p w14:paraId="657BD561" w14:textId="77777777" w:rsidR="00240CC4" w:rsidRPr="00547178" w:rsidRDefault="00240CC4" w:rsidP="00240CC4">
            <w:pPr>
              <w:jc w:val="right"/>
              <w:rPr>
                <w:rFonts w:ascii="Arial" w:hAnsi="Arial" w:cs="Arial"/>
                <w:color w:val="000000"/>
                <w:sz w:val="18"/>
                <w:szCs w:val="18"/>
              </w:rPr>
            </w:pPr>
            <w:r w:rsidRPr="00547178">
              <w:rPr>
                <w:rFonts w:ascii="Arial" w:hAnsi="Arial" w:cs="Arial"/>
                <w:color w:val="000000"/>
                <w:sz w:val="18"/>
                <w:szCs w:val="18"/>
              </w:rPr>
              <w:t>56%</w:t>
            </w:r>
          </w:p>
        </w:tc>
        <w:tc>
          <w:tcPr>
            <w:tcW w:w="776" w:type="dxa"/>
            <w:shd w:val="clear" w:color="000000" w:fill="FFFFFF"/>
            <w:vAlign w:val="bottom"/>
          </w:tcPr>
          <w:p w14:paraId="5AB5D157" w14:textId="77777777" w:rsidR="00240CC4" w:rsidRPr="00547178" w:rsidRDefault="00240CC4" w:rsidP="00240CC4">
            <w:pPr>
              <w:jc w:val="right"/>
              <w:rPr>
                <w:rFonts w:ascii="Arial" w:hAnsi="Arial" w:cs="Arial"/>
                <w:color w:val="000000"/>
                <w:sz w:val="18"/>
                <w:szCs w:val="18"/>
              </w:rPr>
            </w:pPr>
            <w:r w:rsidRPr="00547178">
              <w:rPr>
                <w:rFonts w:ascii="Arial" w:hAnsi="Arial" w:cs="Arial"/>
                <w:color w:val="000000"/>
                <w:sz w:val="18"/>
                <w:szCs w:val="18"/>
              </w:rPr>
              <w:t>45%</w:t>
            </w:r>
          </w:p>
        </w:tc>
        <w:tc>
          <w:tcPr>
            <w:tcW w:w="776" w:type="dxa"/>
            <w:shd w:val="clear" w:color="000000" w:fill="FFFFFF"/>
            <w:vAlign w:val="bottom"/>
          </w:tcPr>
          <w:p w14:paraId="0C2CCE0D" w14:textId="77777777" w:rsidR="00240CC4" w:rsidRPr="00547178" w:rsidRDefault="00240CC4" w:rsidP="00240CC4">
            <w:pPr>
              <w:jc w:val="right"/>
              <w:rPr>
                <w:rFonts w:ascii="Arial" w:hAnsi="Arial" w:cs="Arial"/>
                <w:color w:val="000000"/>
                <w:sz w:val="18"/>
                <w:szCs w:val="18"/>
              </w:rPr>
            </w:pPr>
            <w:r w:rsidRPr="00547178">
              <w:rPr>
                <w:rFonts w:ascii="Arial" w:hAnsi="Arial" w:cs="Arial"/>
                <w:color w:val="000000"/>
                <w:sz w:val="18"/>
                <w:szCs w:val="18"/>
              </w:rPr>
              <w:t>64%</w:t>
            </w:r>
          </w:p>
        </w:tc>
        <w:tc>
          <w:tcPr>
            <w:tcW w:w="855" w:type="dxa"/>
            <w:shd w:val="clear" w:color="000000" w:fill="FFFFFF"/>
            <w:vAlign w:val="bottom"/>
          </w:tcPr>
          <w:p w14:paraId="2DE97B3A" w14:textId="77777777" w:rsidR="00240CC4" w:rsidRPr="00547178" w:rsidRDefault="00240CC4" w:rsidP="00240CC4">
            <w:pPr>
              <w:jc w:val="right"/>
              <w:rPr>
                <w:rFonts w:ascii="Arial" w:hAnsi="Arial" w:cs="Arial"/>
                <w:color w:val="000000"/>
                <w:sz w:val="18"/>
                <w:szCs w:val="18"/>
              </w:rPr>
            </w:pPr>
            <w:r w:rsidRPr="00547178">
              <w:rPr>
                <w:rFonts w:ascii="Arial" w:hAnsi="Arial" w:cs="Arial"/>
                <w:color w:val="000000"/>
                <w:sz w:val="18"/>
                <w:szCs w:val="18"/>
              </w:rPr>
              <w:t>np</w:t>
            </w:r>
          </w:p>
        </w:tc>
        <w:tc>
          <w:tcPr>
            <w:tcW w:w="855" w:type="dxa"/>
            <w:shd w:val="clear" w:color="000000" w:fill="FFFFFF"/>
            <w:vAlign w:val="bottom"/>
          </w:tcPr>
          <w:p w14:paraId="712923E1" w14:textId="77777777" w:rsidR="00240CC4" w:rsidRPr="00547178" w:rsidRDefault="00240CC4" w:rsidP="00240CC4">
            <w:pPr>
              <w:jc w:val="right"/>
              <w:rPr>
                <w:rFonts w:ascii="Arial" w:hAnsi="Arial" w:cs="Arial"/>
                <w:color w:val="000000"/>
                <w:sz w:val="18"/>
                <w:szCs w:val="18"/>
              </w:rPr>
            </w:pPr>
            <w:r w:rsidRPr="00547178">
              <w:rPr>
                <w:rFonts w:ascii="Arial" w:hAnsi="Arial" w:cs="Arial"/>
                <w:color w:val="000000"/>
                <w:sz w:val="18"/>
                <w:szCs w:val="18"/>
              </w:rPr>
              <w:t>np</w:t>
            </w:r>
          </w:p>
        </w:tc>
        <w:tc>
          <w:tcPr>
            <w:tcW w:w="855" w:type="dxa"/>
            <w:shd w:val="clear" w:color="000000" w:fill="FFFFFF"/>
            <w:vAlign w:val="bottom"/>
          </w:tcPr>
          <w:p w14:paraId="52525756" w14:textId="77777777" w:rsidR="00240CC4" w:rsidRPr="00547178" w:rsidRDefault="00240CC4" w:rsidP="00240CC4">
            <w:pPr>
              <w:jc w:val="right"/>
              <w:rPr>
                <w:rFonts w:ascii="Arial" w:hAnsi="Arial" w:cs="Arial"/>
                <w:color w:val="000000"/>
                <w:sz w:val="18"/>
                <w:szCs w:val="18"/>
              </w:rPr>
            </w:pPr>
            <w:r w:rsidRPr="00547178">
              <w:rPr>
                <w:rFonts w:ascii="Arial" w:hAnsi="Arial" w:cs="Arial"/>
                <w:color w:val="000000"/>
                <w:sz w:val="18"/>
                <w:szCs w:val="18"/>
              </w:rPr>
              <w:t>np</w:t>
            </w:r>
          </w:p>
        </w:tc>
        <w:tc>
          <w:tcPr>
            <w:tcW w:w="1283" w:type="dxa"/>
            <w:shd w:val="clear" w:color="000000" w:fill="FFFFFF"/>
            <w:vAlign w:val="bottom"/>
          </w:tcPr>
          <w:p w14:paraId="3BED6DF6" w14:textId="77777777" w:rsidR="00240CC4" w:rsidRPr="00547178" w:rsidRDefault="00240CC4" w:rsidP="00240CC4">
            <w:pPr>
              <w:jc w:val="right"/>
              <w:rPr>
                <w:rFonts w:ascii="Arial" w:hAnsi="Arial" w:cs="Arial"/>
                <w:color w:val="000000"/>
                <w:sz w:val="18"/>
                <w:szCs w:val="18"/>
              </w:rPr>
            </w:pPr>
            <w:r w:rsidRPr="00547178">
              <w:rPr>
                <w:rFonts w:ascii="Arial" w:hAnsi="Arial" w:cs="Arial"/>
                <w:color w:val="000000"/>
                <w:sz w:val="18"/>
                <w:szCs w:val="18"/>
              </w:rPr>
              <w:t>24%</w:t>
            </w:r>
          </w:p>
        </w:tc>
      </w:tr>
      <w:tr w:rsidR="00240CC4" w:rsidRPr="001C623D" w14:paraId="2FCFC7AF" w14:textId="77777777" w:rsidTr="00FC1D9A">
        <w:trPr>
          <w:trHeight w:val="340"/>
        </w:trPr>
        <w:tc>
          <w:tcPr>
            <w:tcW w:w="1141" w:type="dxa"/>
            <w:shd w:val="clear" w:color="000000" w:fill="FFFFFF"/>
            <w:vAlign w:val="center"/>
          </w:tcPr>
          <w:p w14:paraId="0631FE71" w14:textId="77777777" w:rsidR="00240CC4" w:rsidRPr="00547178" w:rsidRDefault="00240CC4" w:rsidP="00240CC4">
            <w:pPr>
              <w:rPr>
                <w:rFonts w:ascii="Arial" w:hAnsi="Arial" w:cs="Arial"/>
                <w:b/>
                <w:bCs/>
                <w:color w:val="000000"/>
                <w:sz w:val="18"/>
                <w:szCs w:val="18"/>
              </w:rPr>
            </w:pPr>
            <w:r w:rsidRPr="00547178">
              <w:rPr>
                <w:rFonts w:ascii="Arial" w:hAnsi="Arial" w:cs="Arial"/>
                <w:b/>
                <w:bCs/>
                <w:color w:val="000000"/>
                <w:sz w:val="18"/>
                <w:szCs w:val="18"/>
              </w:rPr>
              <w:lastRenderedPageBreak/>
              <w:t>2015-16</w:t>
            </w:r>
          </w:p>
        </w:tc>
        <w:tc>
          <w:tcPr>
            <w:tcW w:w="776" w:type="dxa"/>
            <w:shd w:val="clear" w:color="000000" w:fill="FFFFFF"/>
            <w:vAlign w:val="bottom"/>
          </w:tcPr>
          <w:p w14:paraId="46FAD738" w14:textId="77777777" w:rsidR="00240CC4" w:rsidRPr="00547178" w:rsidRDefault="00240CC4" w:rsidP="00240CC4">
            <w:pPr>
              <w:jc w:val="right"/>
              <w:rPr>
                <w:rFonts w:ascii="Arial" w:hAnsi="Arial" w:cs="Arial"/>
                <w:color w:val="000000"/>
                <w:sz w:val="18"/>
                <w:szCs w:val="18"/>
              </w:rPr>
            </w:pPr>
            <w:r w:rsidRPr="00547178">
              <w:rPr>
                <w:rFonts w:ascii="Arial" w:hAnsi="Arial" w:cs="Arial"/>
                <w:color w:val="000000"/>
                <w:sz w:val="18"/>
                <w:szCs w:val="18"/>
              </w:rPr>
              <w:t>18%</w:t>
            </w:r>
          </w:p>
        </w:tc>
        <w:tc>
          <w:tcPr>
            <w:tcW w:w="776" w:type="dxa"/>
            <w:shd w:val="clear" w:color="000000" w:fill="FFFFFF"/>
            <w:vAlign w:val="bottom"/>
          </w:tcPr>
          <w:p w14:paraId="201F5297" w14:textId="77777777" w:rsidR="00240CC4" w:rsidRPr="00547178" w:rsidRDefault="00240CC4" w:rsidP="00240CC4">
            <w:pPr>
              <w:jc w:val="right"/>
              <w:rPr>
                <w:rFonts w:ascii="Arial" w:hAnsi="Arial" w:cs="Arial"/>
                <w:color w:val="000000"/>
                <w:sz w:val="18"/>
                <w:szCs w:val="18"/>
              </w:rPr>
            </w:pPr>
            <w:r w:rsidRPr="00547178">
              <w:rPr>
                <w:rFonts w:ascii="Arial" w:hAnsi="Arial" w:cs="Arial"/>
                <w:color w:val="000000"/>
                <w:sz w:val="18"/>
                <w:szCs w:val="18"/>
              </w:rPr>
              <w:t>20%</w:t>
            </w:r>
          </w:p>
        </w:tc>
        <w:tc>
          <w:tcPr>
            <w:tcW w:w="776" w:type="dxa"/>
            <w:shd w:val="clear" w:color="000000" w:fill="FFFFFF"/>
            <w:vAlign w:val="bottom"/>
          </w:tcPr>
          <w:p w14:paraId="6CB03D20" w14:textId="77777777" w:rsidR="00240CC4" w:rsidRPr="00547178" w:rsidRDefault="00240CC4" w:rsidP="00240CC4">
            <w:pPr>
              <w:jc w:val="right"/>
              <w:rPr>
                <w:rFonts w:ascii="Arial" w:hAnsi="Arial" w:cs="Arial"/>
                <w:color w:val="000000"/>
                <w:sz w:val="18"/>
                <w:szCs w:val="18"/>
              </w:rPr>
            </w:pPr>
            <w:r w:rsidRPr="00547178">
              <w:rPr>
                <w:rFonts w:ascii="Arial" w:hAnsi="Arial" w:cs="Arial"/>
                <w:color w:val="000000"/>
                <w:sz w:val="18"/>
                <w:szCs w:val="18"/>
              </w:rPr>
              <w:t>61%</w:t>
            </w:r>
          </w:p>
        </w:tc>
        <w:tc>
          <w:tcPr>
            <w:tcW w:w="776" w:type="dxa"/>
            <w:shd w:val="clear" w:color="000000" w:fill="FFFFFF"/>
            <w:vAlign w:val="bottom"/>
          </w:tcPr>
          <w:p w14:paraId="4025DF66" w14:textId="77777777" w:rsidR="00240CC4" w:rsidRPr="00547178" w:rsidRDefault="00240CC4" w:rsidP="00240CC4">
            <w:pPr>
              <w:jc w:val="right"/>
              <w:rPr>
                <w:rFonts w:ascii="Arial" w:hAnsi="Arial" w:cs="Arial"/>
                <w:color w:val="000000"/>
                <w:sz w:val="18"/>
                <w:szCs w:val="18"/>
              </w:rPr>
            </w:pPr>
            <w:r w:rsidRPr="00547178">
              <w:rPr>
                <w:rFonts w:ascii="Arial" w:hAnsi="Arial" w:cs="Arial"/>
                <w:color w:val="000000"/>
                <w:sz w:val="18"/>
                <w:szCs w:val="18"/>
              </w:rPr>
              <w:t>49%</w:t>
            </w:r>
          </w:p>
        </w:tc>
        <w:tc>
          <w:tcPr>
            <w:tcW w:w="776" w:type="dxa"/>
            <w:shd w:val="clear" w:color="000000" w:fill="FFFFFF"/>
            <w:vAlign w:val="bottom"/>
          </w:tcPr>
          <w:p w14:paraId="07F81FC1" w14:textId="77777777" w:rsidR="00240CC4" w:rsidRPr="00547178" w:rsidRDefault="00240CC4" w:rsidP="00240CC4">
            <w:pPr>
              <w:jc w:val="right"/>
              <w:rPr>
                <w:rFonts w:ascii="Arial" w:hAnsi="Arial" w:cs="Arial"/>
                <w:color w:val="000000"/>
                <w:sz w:val="18"/>
                <w:szCs w:val="18"/>
              </w:rPr>
            </w:pPr>
            <w:r w:rsidRPr="00547178">
              <w:rPr>
                <w:rFonts w:ascii="Arial" w:hAnsi="Arial" w:cs="Arial"/>
                <w:color w:val="000000"/>
                <w:sz w:val="18"/>
                <w:szCs w:val="18"/>
              </w:rPr>
              <w:t>68%</w:t>
            </w:r>
          </w:p>
        </w:tc>
        <w:tc>
          <w:tcPr>
            <w:tcW w:w="855" w:type="dxa"/>
            <w:shd w:val="clear" w:color="000000" w:fill="FFFFFF"/>
            <w:vAlign w:val="bottom"/>
          </w:tcPr>
          <w:p w14:paraId="54E6DE78" w14:textId="77777777" w:rsidR="00240CC4" w:rsidRPr="00547178" w:rsidRDefault="00240CC4" w:rsidP="00240CC4">
            <w:pPr>
              <w:jc w:val="right"/>
              <w:rPr>
                <w:rFonts w:ascii="Arial" w:hAnsi="Arial" w:cs="Arial"/>
                <w:color w:val="000000"/>
                <w:sz w:val="18"/>
                <w:szCs w:val="18"/>
              </w:rPr>
            </w:pPr>
            <w:r w:rsidRPr="00547178">
              <w:rPr>
                <w:rFonts w:ascii="Arial" w:hAnsi="Arial" w:cs="Arial"/>
                <w:color w:val="000000"/>
                <w:sz w:val="18"/>
                <w:szCs w:val="18"/>
              </w:rPr>
              <w:t>np</w:t>
            </w:r>
          </w:p>
        </w:tc>
        <w:tc>
          <w:tcPr>
            <w:tcW w:w="855" w:type="dxa"/>
            <w:shd w:val="clear" w:color="000000" w:fill="FFFFFF"/>
            <w:vAlign w:val="bottom"/>
          </w:tcPr>
          <w:p w14:paraId="37F173A4" w14:textId="77777777" w:rsidR="00240CC4" w:rsidRPr="00547178" w:rsidRDefault="00240CC4" w:rsidP="00240CC4">
            <w:pPr>
              <w:jc w:val="right"/>
              <w:rPr>
                <w:rFonts w:ascii="Arial" w:hAnsi="Arial" w:cs="Arial"/>
                <w:color w:val="000000"/>
                <w:sz w:val="18"/>
                <w:szCs w:val="18"/>
              </w:rPr>
            </w:pPr>
            <w:r w:rsidRPr="00547178">
              <w:rPr>
                <w:rFonts w:ascii="Arial" w:hAnsi="Arial" w:cs="Arial"/>
                <w:color w:val="000000"/>
                <w:sz w:val="18"/>
                <w:szCs w:val="18"/>
              </w:rPr>
              <w:t>np</w:t>
            </w:r>
          </w:p>
        </w:tc>
        <w:tc>
          <w:tcPr>
            <w:tcW w:w="855" w:type="dxa"/>
            <w:shd w:val="clear" w:color="000000" w:fill="FFFFFF"/>
            <w:vAlign w:val="bottom"/>
          </w:tcPr>
          <w:p w14:paraId="44EE3072" w14:textId="77777777" w:rsidR="00240CC4" w:rsidRPr="00547178" w:rsidRDefault="00240CC4" w:rsidP="00240CC4">
            <w:pPr>
              <w:jc w:val="right"/>
              <w:rPr>
                <w:rFonts w:ascii="Arial" w:hAnsi="Arial" w:cs="Arial"/>
                <w:color w:val="000000"/>
                <w:sz w:val="18"/>
                <w:szCs w:val="18"/>
              </w:rPr>
            </w:pPr>
            <w:r w:rsidRPr="00547178">
              <w:rPr>
                <w:rFonts w:ascii="Arial" w:hAnsi="Arial" w:cs="Arial"/>
                <w:color w:val="000000"/>
                <w:sz w:val="18"/>
                <w:szCs w:val="18"/>
              </w:rPr>
              <w:t>np</w:t>
            </w:r>
          </w:p>
        </w:tc>
        <w:tc>
          <w:tcPr>
            <w:tcW w:w="1283" w:type="dxa"/>
            <w:shd w:val="clear" w:color="000000" w:fill="FFFFFF"/>
            <w:vAlign w:val="bottom"/>
          </w:tcPr>
          <w:p w14:paraId="00C56567" w14:textId="77777777" w:rsidR="00240CC4" w:rsidRPr="00547178" w:rsidRDefault="00240CC4" w:rsidP="00240CC4">
            <w:pPr>
              <w:jc w:val="right"/>
              <w:rPr>
                <w:rFonts w:ascii="Arial" w:hAnsi="Arial" w:cs="Arial"/>
                <w:color w:val="000000"/>
                <w:sz w:val="18"/>
                <w:szCs w:val="18"/>
              </w:rPr>
            </w:pPr>
            <w:r w:rsidRPr="00547178">
              <w:rPr>
                <w:rFonts w:ascii="Arial" w:hAnsi="Arial" w:cs="Arial"/>
                <w:color w:val="000000"/>
                <w:sz w:val="18"/>
                <w:szCs w:val="18"/>
              </w:rPr>
              <w:t>29%</w:t>
            </w:r>
          </w:p>
        </w:tc>
      </w:tr>
    </w:tbl>
    <w:p w14:paraId="31303E77" w14:textId="77777777" w:rsidR="00F33D75" w:rsidRPr="000E7EA4" w:rsidRDefault="00F33D75" w:rsidP="00F33D75">
      <w:pPr>
        <w:rPr>
          <w:sz w:val="20"/>
        </w:rPr>
      </w:pPr>
      <w:r>
        <w:rPr>
          <w:sz w:val="20"/>
        </w:rPr>
        <w:t>NP</w:t>
      </w:r>
      <w:r w:rsidRPr="000E7EA4">
        <w:rPr>
          <w:sz w:val="20"/>
        </w:rPr>
        <w:t xml:space="preserve"> = not </w:t>
      </w:r>
      <w:r>
        <w:rPr>
          <w:sz w:val="20"/>
        </w:rPr>
        <w:t>published due to low volumes</w:t>
      </w:r>
    </w:p>
    <w:p w14:paraId="1115870C" w14:textId="367E43EA" w:rsidR="00240CC4" w:rsidRPr="00240CC4" w:rsidRDefault="00A73613" w:rsidP="00240CC4">
      <w:pPr>
        <w:rPr>
          <w:i/>
          <w:sz w:val="20"/>
        </w:rPr>
      </w:pPr>
      <w:r>
        <w:rPr>
          <w:i/>
          <w:sz w:val="20"/>
        </w:rPr>
        <w:t>Source: Department of Health</w:t>
      </w:r>
    </w:p>
    <w:p w14:paraId="3C98A518" w14:textId="40566645" w:rsidR="004E015F" w:rsidRDefault="004E015F" w:rsidP="004E015F">
      <w:pPr>
        <w:pStyle w:val="Heading2"/>
      </w:pPr>
      <w:r>
        <w:t>Patient breakdown</w:t>
      </w:r>
    </w:p>
    <w:p w14:paraId="023E269A" w14:textId="3E7B12E4" w:rsidR="00240CC4" w:rsidRDefault="00240CC4" w:rsidP="00240CC4">
      <w:r>
        <w:t xml:space="preserve">The submission for application 1161 was for patients with Stages III and IV NSCLC. However, MSAC advised that diagnosis should be for any non-squamous NSCLC with no stage specified. It was expected at the time of listing that the patient population would be between 10,000 and 50,000, by the fifth year of listing </w:t>
      </w:r>
      <w:r>
        <w:rPr>
          <w:i/>
        </w:rPr>
        <w:t>(MSAC PSD, app 1161, August 2013)</w:t>
      </w:r>
      <w:r>
        <w:t>. The number of patients currently accessing this test is significantly below this estimation at just under 3,000 patients per annum and based on current growth unlikely to reach 10,000 patients per annum by the fifth year of listing (Table 5).</w:t>
      </w:r>
    </w:p>
    <w:p w14:paraId="443E3065" w14:textId="12907FFC" w:rsidR="00240CC4" w:rsidRDefault="00240CC4" w:rsidP="007A775F">
      <w:pPr>
        <w:spacing w:before="240"/>
      </w:pPr>
      <w:r>
        <w:t>Most of the patient uptake of item 73337 has been in NSW and VIC (Table 3).</w:t>
      </w:r>
    </w:p>
    <w:p w14:paraId="67C6E84B" w14:textId="4C8AA124" w:rsidR="00240CC4" w:rsidRDefault="00240CC4" w:rsidP="007A775F">
      <w:pPr>
        <w:spacing w:before="240"/>
      </w:pPr>
      <w:r>
        <w:t>The re-test rate for item 73337 appears to be increasing slightly per annum the longer the item is listed. In 2015-16, 8% of patients claimed item 73337 at least twice, compared to 6% in 2014-15 (Table 4).</w:t>
      </w:r>
    </w:p>
    <w:p w14:paraId="780F82B7" w14:textId="7D54BD90" w:rsidR="00240CC4" w:rsidRDefault="00240CC4" w:rsidP="007A775F">
      <w:pPr>
        <w:spacing w:before="240"/>
        <w:rPr>
          <w:sz w:val="16"/>
          <w:szCs w:val="16"/>
        </w:rPr>
      </w:pPr>
      <w:r>
        <w:t>The gender ratio for item 73337 is split relatively evenly between males and females in 2014-15 and 2015-16. The item is claimed most by patients in the 65-74 age bracket (Figure 3).</w:t>
      </w:r>
    </w:p>
    <w:p w14:paraId="27818939" w14:textId="45365261" w:rsidR="0051148C" w:rsidRPr="00A73613" w:rsidRDefault="0051148C" w:rsidP="009C5632">
      <w:pPr>
        <w:pStyle w:val="Heading3"/>
        <w:rPr>
          <w:rFonts w:cs="Times New Roman"/>
          <w:szCs w:val="18"/>
        </w:rPr>
      </w:pPr>
      <w:r w:rsidRPr="00A73613">
        <w:rPr>
          <w:rFonts w:cs="Times New Roman"/>
          <w:szCs w:val="18"/>
        </w:rPr>
        <w:t xml:space="preserve">Table </w:t>
      </w:r>
      <w:r w:rsidR="00240CC4" w:rsidRPr="00A73613">
        <w:rPr>
          <w:rFonts w:cs="Times New Roman"/>
          <w:szCs w:val="18"/>
        </w:rPr>
        <w:t>3</w:t>
      </w:r>
      <w:r w:rsidRPr="00A73613">
        <w:rPr>
          <w:rFonts w:cs="Times New Roman"/>
          <w:szCs w:val="18"/>
        </w:rPr>
        <w:t xml:space="preserve">: Actual number of patients who received item </w:t>
      </w:r>
      <w:r w:rsidR="00D23F52" w:rsidRPr="00A73613">
        <w:rPr>
          <w:rFonts w:cs="Times New Roman"/>
          <w:szCs w:val="18"/>
        </w:rPr>
        <w:t>73337</w:t>
      </w:r>
      <w:r w:rsidRPr="00A73613">
        <w:rPr>
          <w:rFonts w:cs="Times New Roman"/>
          <w:szCs w:val="18"/>
        </w:rPr>
        <w:t xml:space="preserve"> at least once in 2014-15 to 2015-16</w:t>
      </w:r>
    </w:p>
    <w:tbl>
      <w:tblPr>
        <w:tblW w:w="0" w:type="auto"/>
        <w:tblInd w:w="108" w:type="dxa"/>
        <w:tblLook w:val="04A0" w:firstRow="1" w:lastRow="0" w:firstColumn="1" w:lastColumn="0" w:noHBand="0" w:noVBand="1"/>
        <w:tblDescription w:val="Table 3 presents the actual number of patients who received MBS item 73337 at least once in 2014-15 or 2015-16. The number is broken down by state in each column, and by financial year in each row. 'NP' means that for that cell, the data is not printed."/>
      </w:tblPr>
      <w:tblGrid>
        <w:gridCol w:w="1575"/>
        <w:gridCol w:w="667"/>
        <w:gridCol w:w="517"/>
        <w:gridCol w:w="596"/>
        <w:gridCol w:w="517"/>
        <w:gridCol w:w="517"/>
        <w:gridCol w:w="576"/>
        <w:gridCol w:w="456"/>
        <w:gridCol w:w="586"/>
        <w:gridCol w:w="987"/>
      </w:tblGrid>
      <w:tr w:rsidR="0051148C" w:rsidRPr="00C00937" w14:paraId="34FD2C90" w14:textId="77777777" w:rsidTr="00FC1D9A">
        <w:trPr>
          <w:trHeight w:val="375"/>
          <w:tblHeader/>
        </w:trPr>
        <w:tc>
          <w:tcPr>
            <w:tcW w:w="1575" w:type="dxa"/>
            <w:tcBorders>
              <w:top w:val="single" w:sz="4" w:space="0" w:color="000000"/>
              <w:left w:val="single" w:sz="4" w:space="0" w:color="000000"/>
              <w:bottom w:val="single" w:sz="4" w:space="0" w:color="000000"/>
              <w:right w:val="single" w:sz="4" w:space="0" w:color="000000"/>
            </w:tcBorders>
            <w:shd w:val="clear" w:color="auto" w:fill="008080"/>
            <w:vAlign w:val="bottom"/>
          </w:tcPr>
          <w:p w14:paraId="2F7A06A1" w14:textId="77777777" w:rsidR="0051148C" w:rsidRPr="003B0854" w:rsidRDefault="0051148C" w:rsidP="00240CC4">
            <w:pPr>
              <w:rPr>
                <w:rFonts w:ascii="Arial" w:hAnsi="Arial" w:cs="Arial"/>
                <w:b/>
                <w:bCs/>
                <w:color w:val="FFFFFF" w:themeColor="background1"/>
                <w:sz w:val="16"/>
                <w:szCs w:val="16"/>
              </w:rPr>
            </w:pPr>
            <w:r w:rsidRPr="003B0854">
              <w:rPr>
                <w:rFonts w:ascii="Arial" w:hAnsi="Arial" w:cs="Arial"/>
                <w:b/>
                <w:bCs/>
                <w:color w:val="FFFFFF" w:themeColor="background1"/>
                <w:sz w:val="16"/>
                <w:szCs w:val="16"/>
              </w:rPr>
              <w:t>Number of Patients</w:t>
            </w:r>
          </w:p>
        </w:tc>
        <w:tc>
          <w:tcPr>
            <w:tcW w:w="0" w:type="auto"/>
            <w:tcBorders>
              <w:top w:val="single" w:sz="4" w:space="0" w:color="000000"/>
              <w:left w:val="nil"/>
              <w:bottom w:val="single" w:sz="4" w:space="0" w:color="000000"/>
              <w:right w:val="single" w:sz="4" w:space="0" w:color="000000"/>
            </w:tcBorders>
            <w:shd w:val="clear" w:color="auto" w:fill="008080"/>
            <w:vAlign w:val="bottom"/>
          </w:tcPr>
          <w:p w14:paraId="775D2DCB" w14:textId="77777777" w:rsidR="0051148C" w:rsidRPr="003B0854" w:rsidRDefault="0051148C" w:rsidP="00240CC4">
            <w:pPr>
              <w:rPr>
                <w:rFonts w:ascii="Arial" w:hAnsi="Arial" w:cs="Arial"/>
                <w:b/>
                <w:color w:val="FFFFFF" w:themeColor="background1"/>
                <w:sz w:val="18"/>
                <w:szCs w:val="18"/>
              </w:rPr>
            </w:pPr>
            <w:r w:rsidRPr="003B0854">
              <w:rPr>
                <w:rFonts w:ascii="Arial" w:hAnsi="Arial" w:cs="Arial"/>
                <w:b/>
                <w:color w:val="FFFFFF" w:themeColor="background1"/>
                <w:sz w:val="18"/>
                <w:szCs w:val="18"/>
              </w:rPr>
              <w:t>NSW</w:t>
            </w:r>
          </w:p>
        </w:tc>
        <w:tc>
          <w:tcPr>
            <w:tcW w:w="0" w:type="auto"/>
            <w:tcBorders>
              <w:top w:val="single" w:sz="4" w:space="0" w:color="000000"/>
              <w:left w:val="nil"/>
              <w:bottom w:val="single" w:sz="4" w:space="0" w:color="000000"/>
              <w:right w:val="single" w:sz="4" w:space="0" w:color="000000"/>
            </w:tcBorders>
            <w:shd w:val="clear" w:color="auto" w:fill="008080"/>
            <w:vAlign w:val="bottom"/>
          </w:tcPr>
          <w:p w14:paraId="4CB2C6BF" w14:textId="77777777" w:rsidR="0051148C" w:rsidRPr="003B0854" w:rsidRDefault="0051148C" w:rsidP="00240CC4">
            <w:pPr>
              <w:rPr>
                <w:rFonts w:ascii="Arial" w:hAnsi="Arial" w:cs="Arial"/>
                <w:b/>
                <w:color w:val="FFFFFF" w:themeColor="background1"/>
                <w:sz w:val="18"/>
                <w:szCs w:val="18"/>
              </w:rPr>
            </w:pPr>
            <w:r w:rsidRPr="003B0854">
              <w:rPr>
                <w:rFonts w:ascii="Arial" w:hAnsi="Arial" w:cs="Arial"/>
                <w:b/>
                <w:color w:val="FFFFFF" w:themeColor="background1"/>
                <w:sz w:val="18"/>
                <w:szCs w:val="18"/>
              </w:rPr>
              <w:t>VIC</w:t>
            </w:r>
          </w:p>
        </w:tc>
        <w:tc>
          <w:tcPr>
            <w:tcW w:w="0" w:type="auto"/>
            <w:tcBorders>
              <w:top w:val="single" w:sz="4" w:space="0" w:color="000000"/>
              <w:left w:val="nil"/>
              <w:bottom w:val="single" w:sz="4" w:space="0" w:color="000000"/>
              <w:right w:val="single" w:sz="4" w:space="0" w:color="000000"/>
            </w:tcBorders>
            <w:shd w:val="clear" w:color="auto" w:fill="008080"/>
            <w:vAlign w:val="bottom"/>
          </w:tcPr>
          <w:p w14:paraId="017F6CED" w14:textId="77777777" w:rsidR="0051148C" w:rsidRPr="003B0854" w:rsidRDefault="0051148C" w:rsidP="00240CC4">
            <w:pPr>
              <w:rPr>
                <w:rFonts w:ascii="Arial" w:hAnsi="Arial" w:cs="Arial"/>
                <w:b/>
                <w:color w:val="FFFFFF" w:themeColor="background1"/>
                <w:sz w:val="18"/>
                <w:szCs w:val="18"/>
              </w:rPr>
            </w:pPr>
            <w:r w:rsidRPr="003B0854">
              <w:rPr>
                <w:rFonts w:ascii="Arial" w:hAnsi="Arial" w:cs="Arial"/>
                <w:b/>
                <w:color w:val="FFFFFF" w:themeColor="background1"/>
                <w:sz w:val="18"/>
                <w:szCs w:val="18"/>
              </w:rPr>
              <w:t>QLD</w:t>
            </w:r>
          </w:p>
        </w:tc>
        <w:tc>
          <w:tcPr>
            <w:tcW w:w="0" w:type="auto"/>
            <w:tcBorders>
              <w:top w:val="single" w:sz="4" w:space="0" w:color="000000"/>
              <w:left w:val="nil"/>
              <w:bottom w:val="single" w:sz="4" w:space="0" w:color="000000"/>
              <w:right w:val="single" w:sz="4" w:space="0" w:color="000000"/>
            </w:tcBorders>
            <w:shd w:val="clear" w:color="auto" w:fill="008080"/>
            <w:vAlign w:val="bottom"/>
          </w:tcPr>
          <w:p w14:paraId="108263EB" w14:textId="77777777" w:rsidR="0051148C" w:rsidRPr="003B0854" w:rsidRDefault="0051148C" w:rsidP="00240CC4">
            <w:pPr>
              <w:rPr>
                <w:rFonts w:ascii="Arial" w:hAnsi="Arial" w:cs="Arial"/>
                <w:b/>
                <w:color w:val="FFFFFF" w:themeColor="background1"/>
                <w:sz w:val="18"/>
                <w:szCs w:val="18"/>
              </w:rPr>
            </w:pPr>
            <w:r w:rsidRPr="003B0854">
              <w:rPr>
                <w:rFonts w:ascii="Arial" w:hAnsi="Arial" w:cs="Arial"/>
                <w:b/>
                <w:color w:val="FFFFFF" w:themeColor="background1"/>
                <w:sz w:val="18"/>
                <w:szCs w:val="18"/>
              </w:rPr>
              <w:t>SA</w:t>
            </w:r>
          </w:p>
        </w:tc>
        <w:tc>
          <w:tcPr>
            <w:tcW w:w="0" w:type="auto"/>
            <w:tcBorders>
              <w:top w:val="single" w:sz="4" w:space="0" w:color="000000"/>
              <w:left w:val="nil"/>
              <w:bottom w:val="single" w:sz="4" w:space="0" w:color="000000"/>
              <w:right w:val="single" w:sz="4" w:space="0" w:color="000000"/>
            </w:tcBorders>
            <w:shd w:val="clear" w:color="auto" w:fill="008080"/>
            <w:vAlign w:val="bottom"/>
          </w:tcPr>
          <w:p w14:paraId="753FDB1A" w14:textId="77777777" w:rsidR="0051148C" w:rsidRPr="003B0854" w:rsidRDefault="0051148C" w:rsidP="00240CC4">
            <w:pPr>
              <w:rPr>
                <w:rFonts w:ascii="Arial" w:hAnsi="Arial" w:cs="Arial"/>
                <w:b/>
                <w:color w:val="FFFFFF" w:themeColor="background1"/>
                <w:sz w:val="18"/>
                <w:szCs w:val="18"/>
              </w:rPr>
            </w:pPr>
            <w:r w:rsidRPr="003B0854">
              <w:rPr>
                <w:rFonts w:ascii="Arial" w:hAnsi="Arial" w:cs="Arial"/>
                <w:b/>
                <w:color w:val="FFFFFF" w:themeColor="background1"/>
                <w:sz w:val="18"/>
                <w:szCs w:val="18"/>
              </w:rPr>
              <w:t>WA</w:t>
            </w:r>
          </w:p>
        </w:tc>
        <w:tc>
          <w:tcPr>
            <w:tcW w:w="576" w:type="dxa"/>
            <w:tcBorders>
              <w:top w:val="single" w:sz="4" w:space="0" w:color="000000"/>
              <w:left w:val="nil"/>
              <w:bottom w:val="single" w:sz="4" w:space="0" w:color="000000"/>
              <w:right w:val="single" w:sz="4" w:space="0" w:color="auto"/>
            </w:tcBorders>
            <w:shd w:val="clear" w:color="auto" w:fill="008080"/>
            <w:vAlign w:val="bottom"/>
          </w:tcPr>
          <w:p w14:paraId="2DC56AA5" w14:textId="77777777" w:rsidR="0051148C" w:rsidRDefault="0051148C" w:rsidP="00240CC4">
            <w:pPr>
              <w:jc w:val="center"/>
              <w:rPr>
                <w:rFonts w:ascii="Arial" w:hAnsi="Arial" w:cs="Arial"/>
                <w:b/>
                <w:color w:val="FFFFFF" w:themeColor="background1"/>
                <w:sz w:val="18"/>
                <w:szCs w:val="18"/>
              </w:rPr>
            </w:pPr>
            <w:r>
              <w:rPr>
                <w:rFonts w:ascii="Arial" w:hAnsi="Arial" w:cs="Arial"/>
                <w:b/>
                <w:color w:val="FFFFFF" w:themeColor="background1"/>
                <w:sz w:val="18"/>
                <w:szCs w:val="18"/>
              </w:rPr>
              <w:t>TAS</w:t>
            </w:r>
          </w:p>
        </w:tc>
        <w:tc>
          <w:tcPr>
            <w:tcW w:w="456" w:type="dxa"/>
            <w:tcBorders>
              <w:top w:val="single" w:sz="4" w:space="0" w:color="000000"/>
              <w:left w:val="single" w:sz="4" w:space="0" w:color="auto"/>
              <w:bottom w:val="single" w:sz="4" w:space="0" w:color="000000"/>
              <w:right w:val="single" w:sz="4" w:space="0" w:color="auto"/>
            </w:tcBorders>
            <w:shd w:val="clear" w:color="auto" w:fill="008080"/>
            <w:vAlign w:val="bottom"/>
          </w:tcPr>
          <w:p w14:paraId="09991748" w14:textId="77777777" w:rsidR="0051148C" w:rsidRDefault="0051148C" w:rsidP="00240CC4">
            <w:pPr>
              <w:jc w:val="center"/>
              <w:rPr>
                <w:rFonts w:ascii="Arial" w:hAnsi="Arial" w:cs="Arial"/>
                <w:b/>
                <w:color w:val="FFFFFF" w:themeColor="background1"/>
                <w:sz w:val="18"/>
                <w:szCs w:val="18"/>
              </w:rPr>
            </w:pPr>
            <w:r>
              <w:rPr>
                <w:rFonts w:ascii="Arial" w:hAnsi="Arial" w:cs="Arial"/>
                <w:b/>
                <w:color w:val="FFFFFF" w:themeColor="background1"/>
                <w:sz w:val="18"/>
                <w:szCs w:val="18"/>
              </w:rPr>
              <w:t>NT</w:t>
            </w:r>
          </w:p>
        </w:tc>
        <w:tc>
          <w:tcPr>
            <w:tcW w:w="586" w:type="dxa"/>
            <w:tcBorders>
              <w:top w:val="single" w:sz="4" w:space="0" w:color="000000"/>
              <w:left w:val="single" w:sz="4" w:space="0" w:color="auto"/>
              <w:bottom w:val="single" w:sz="4" w:space="0" w:color="000000"/>
              <w:right w:val="single" w:sz="4" w:space="0" w:color="auto"/>
            </w:tcBorders>
            <w:shd w:val="clear" w:color="auto" w:fill="008080"/>
            <w:vAlign w:val="bottom"/>
          </w:tcPr>
          <w:p w14:paraId="511EE8BE" w14:textId="77777777" w:rsidR="0051148C" w:rsidRPr="003B0854" w:rsidRDefault="0051148C" w:rsidP="00240CC4">
            <w:pPr>
              <w:rPr>
                <w:rFonts w:ascii="Arial" w:hAnsi="Arial" w:cs="Arial"/>
                <w:b/>
                <w:color w:val="FFFFFF" w:themeColor="background1"/>
                <w:sz w:val="18"/>
                <w:szCs w:val="18"/>
              </w:rPr>
            </w:pPr>
            <w:r>
              <w:rPr>
                <w:rFonts w:ascii="Arial" w:hAnsi="Arial" w:cs="Arial"/>
                <w:b/>
                <w:color w:val="FFFFFF" w:themeColor="background1"/>
                <w:sz w:val="18"/>
                <w:szCs w:val="18"/>
              </w:rPr>
              <w:t>ACT</w:t>
            </w:r>
          </w:p>
        </w:tc>
        <w:tc>
          <w:tcPr>
            <w:tcW w:w="987" w:type="dxa"/>
            <w:tcBorders>
              <w:top w:val="single" w:sz="4" w:space="0" w:color="000000"/>
              <w:left w:val="single" w:sz="4" w:space="0" w:color="auto"/>
              <w:bottom w:val="single" w:sz="4" w:space="0" w:color="000000"/>
              <w:right w:val="single" w:sz="4" w:space="0" w:color="000000"/>
            </w:tcBorders>
            <w:shd w:val="clear" w:color="auto" w:fill="008080"/>
            <w:vAlign w:val="bottom"/>
          </w:tcPr>
          <w:p w14:paraId="29D394B8" w14:textId="77777777" w:rsidR="0051148C" w:rsidRPr="003B0854" w:rsidRDefault="0051148C" w:rsidP="00240CC4">
            <w:pPr>
              <w:rPr>
                <w:rFonts w:ascii="Arial" w:hAnsi="Arial" w:cs="Arial"/>
                <w:b/>
                <w:color w:val="FFFFFF" w:themeColor="background1"/>
                <w:sz w:val="18"/>
                <w:szCs w:val="18"/>
              </w:rPr>
            </w:pPr>
            <w:r w:rsidRPr="003B0854">
              <w:rPr>
                <w:rFonts w:ascii="Arial" w:hAnsi="Arial" w:cs="Arial"/>
                <w:b/>
                <w:color w:val="FFFFFF" w:themeColor="background1"/>
                <w:sz w:val="18"/>
                <w:szCs w:val="18"/>
              </w:rPr>
              <w:t>Australia</w:t>
            </w:r>
          </w:p>
        </w:tc>
      </w:tr>
      <w:tr w:rsidR="0051148C" w14:paraId="3FB8B132" w14:textId="77777777" w:rsidTr="00240CC4">
        <w:trPr>
          <w:trHeight w:val="193"/>
        </w:trPr>
        <w:tc>
          <w:tcPr>
            <w:tcW w:w="1575" w:type="dxa"/>
            <w:tcBorders>
              <w:top w:val="single" w:sz="4" w:space="0" w:color="auto"/>
              <w:left w:val="single" w:sz="4" w:space="0" w:color="000000"/>
              <w:bottom w:val="single" w:sz="4" w:space="0" w:color="auto"/>
              <w:right w:val="single" w:sz="4" w:space="0" w:color="000000"/>
            </w:tcBorders>
            <w:shd w:val="clear" w:color="000000" w:fill="FFFFFF"/>
            <w:vAlign w:val="center"/>
          </w:tcPr>
          <w:p w14:paraId="6FA3625B" w14:textId="77777777" w:rsidR="0051148C" w:rsidRDefault="0051148C" w:rsidP="00240CC4">
            <w:pPr>
              <w:rPr>
                <w:rFonts w:ascii="Arial" w:hAnsi="Arial" w:cs="Arial"/>
                <w:b/>
                <w:bCs/>
                <w:color w:val="000000"/>
                <w:sz w:val="16"/>
                <w:szCs w:val="16"/>
              </w:rPr>
            </w:pPr>
            <w:r>
              <w:rPr>
                <w:rFonts w:ascii="Arial" w:hAnsi="Arial" w:cs="Arial"/>
                <w:b/>
                <w:bCs/>
                <w:color w:val="000000"/>
                <w:sz w:val="16"/>
                <w:szCs w:val="16"/>
              </w:rPr>
              <w:t>2014-15</w:t>
            </w:r>
          </w:p>
        </w:tc>
        <w:tc>
          <w:tcPr>
            <w:tcW w:w="0" w:type="auto"/>
            <w:tcBorders>
              <w:top w:val="single" w:sz="4" w:space="0" w:color="auto"/>
              <w:left w:val="nil"/>
              <w:bottom w:val="single" w:sz="4" w:space="0" w:color="auto"/>
              <w:right w:val="single" w:sz="4" w:space="0" w:color="000000"/>
            </w:tcBorders>
            <w:shd w:val="clear" w:color="000000" w:fill="FFFFFF"/>
            <w:vAlign w:val="bottom"/>
          </w:tcPr>
          <w:p w14:paraId="6A01394A" w14:textId="77777777" w:rsidR="0051148C" w:rsidRDefault="0051148C" w:rsidP="00240CC4">
            <w:pPr>
              <w:jc w:val="right"/>
              <w:rPr>
                <w:rFonts w:ascii="Arial" w:hAnsi="Arial" w:cs="Arial"/>
                <w:color w:val="000000"/>
                <w:sz w:val="18"/>
                <w:szCs w:val="18"/>
              </w:rPr>
            </w:pPr>
            <w:r>
              <w:rPr>
                <w:rFonts w:ascii="Arial" w:hAnsi="Arial" w:cs="Arial"/>
                <w:color w:val="000000"/>
                <w:sz w:val="18"/>
                <w:szCs w:val="18"/>
              </w:rPr>
              <w:t>1,095</w:t>
            </w:r>
          </w:p>
        </w:tc>
        <w:tc>
          <w:tcPr>
            <w:tcW w:w="0" w:type="auto"/>
            <w:tcBorders>
              <w:top w:val="single" w:sz="4" w:space="0" w:color="auto"/>
              <w:left w:val="nil"/>
              <w:bottom w:val="single" w:sz="4" w:space="0" w:color="auto"/>
              <w:right w:val="single" w:sz="4" w:space="0" w:color="000000"/>
            </w:tcBorders>
            <w:shd w:val="clear" w:color="000000" w:fill="FFFFFF"/>
            <w:vAlign w:val="bottom"/>
          </w:tcPr>
          <w:p w14:paraId="4BFFABDE" w14:textId="77777777" w:rsidR="0051148C" w:rsidRDefault="0051148C" w:rsidP="00240CC4">
            <w:pPr>
              <w:jc w:val="right"/>
              <w:rPr>
                <w:rFonts w:ascii="Arial" w:hAnsi="Arial" w:cs="Arial"/>
                <w:color w:val="000000"/>
                <w:sz w:val="18"/>
                <w:szCs w:val="18"/>
              </w:rPr>
            </w:pPr>
            <w:r>
              <w:rPr>
                <w:rFonts w:ascii="Arial" w:hAnsi="Arial" w:cs="Arial"/>
                <w:color w:val="000000"/>
                <w:sz w:val="18"/>
                <w:szCs w:val="18"/>
              </w:rPr>
              <w:t>864</w:t>
            </w:r>
          </w:p>
        </w:tc>
        <w:tc>
          <w:tcPr>
            <w:tcW w:w="0" w:type="auto"/>
            <w:tcBorders>
              <w:top w:val="single" w:sz="4" w:space="0" w:color="auto"/>
              <w:left w:val="nil"/>
              <w:bottom w:val="single" w:sz="4" w:space="0" w:color="auto"/>
              <w:right w:val="single" w:sz="4" w:space="0" w:color="000000"/>
            </w:tcBorders>
            <w:shd w:val="clear" w:color="000000" w:fill="FFFFFF"/>
            <w:vAlign w:val="bottom"/>
          </w:tcPr>
          <w:p w14:paraId="2A713147" w14:textId="77777777" w:rsidR="0051148C" w:rsidRDefault="0051148C" w:rsidP="00240CC4">
            <w:pPr>
              <w:jc w:val="right"/>
              <w:rPr>
                <w:rFonts w:ascii="Arial" w:hAnsi="Arial" w:cs="Arial"/>
                <w:color w:val="000000"/>
                <w:sz w:val="18"/>
                <w:szCs w:val="18"/>
              </w:rPr>
            </w:pPr>
            <w:r>
              <w:rPr>
                <w:rFonts w:ascii="Arial" w:hAnsi="Arial" w:cs="Arial"/>
                <w:color w:val="000000"/>
                <w:sz w:val="18"/>
                <w:szCs w:val="18"/>
              </w:rPr>
              <w:t>377</w:t>
            </w:r>
          </w:p>
        </w:tc>
        <w:tc>
          <w:tcPr>
            <w:tcW w:w="0" w:type="auto"/>
            <w:tcBorders>
              <w:top w:val="single" w:sz="4" w:space="0" w:color="auto"/>
              <w:left w:val="nil"/>
              <w:bottom w:val="single" w:sz="4" w:space="0" w:color="auto"/>
              <w:right w:val="single" w:sz="4" w:space="0" w:color="000000"/>
            </w:tcBorders>
            <w:shd w:val="clear" w:color="000000" w:fill="FFFFFF"/>
            <w:vAlign w:val="bottom"/>
          </w:tcPr>
          <w:p w14:paraId="537C2B29" w14:textId="77777777" w:rsidR="0051148C" w:rsidRDefault="0051148C" w:rsidP="00240CC4">
            <w:pPr>
              <w:jc w:val="right"/>
              <w:rPr>
                <w:rFonts w:ascii="Arial" w:hAnsi="Arial" w:cs="Arial"/>
                <w:color w:val="000000"/>
                <w:sz w:val="18"/>
                <w:szCs w:val="18"/>
              </w:rPr>
            </w:pPr>
            <w:r>
              <w:rPr>
                <w:rFonts w:ascii="Arial" w:hAnsi="Arial" w:cs="Arial"/>
                <w:color w:val="000000"/>
                <w:sz w:val="18"/>
                <w:szCs w:val="18"/>
              </w:rPr>
              <w:t>121</w:t>
            </w:r>
          </w:p>
        </w:tc>
        <w:tc>
          <w:tcPr>
            <w:tcW w:w="0" w:type="auto"/>
            <w:tcBorders>
              <w:top w:val="single" w:sz="4" w:space="0" w:color="auto"/>
              <w:left w:val="nil"/>
              <w:bottom w:val="single" w:sz="4" w:space="0" w:color="auto"/>
              <w:right w:val="single" w:sz="4" w:space="0" w:color="000000"/>
            </w:tcBorders>
            <w:shd w:val="clear" w:color="000000" w:fill="FFFFFF"/>
            <w:vAlign w:val="bottom"/>
          </w:tcPr>
          <w:p w14:paraId="5D90B0D7" w14:textId="77777777" w:rsidR="0051148C" w:rsidRDefault="0051148C" w:rsidP="00240CC4">
            <w:pPr>
              <w:jc w:val="right"/>
              <w:rPr>
                <w:rFonts w:ascii="Arial" w:hAnsi="Arial" w:cs="Arial"/>
                <w:color w:val="000000"/>
                <w:sz w:val="18"/>
                <w:szCs w:val="18"/>
              </w:rPr>
            </w:pPr>
            <w:r>
              <w:rPr>
                <w:rFonts w:ascii="Arial" w:hAnsi="Arial" w:cs="Arial"/>
                <w:color w:val="000000"/>
                <w:sz w:val="18"/>
                <w:szCs w:val="18"/>
              </w:rPr>
              <w:t>156</w:t>
            </w:r>
          </w:p>
        </w:tc>
        <w:tc>
          <w:tcPr>
            <w:tcW w:w="576" w:type="dxa"/>
            <w:tcBorders>
              <w:top w:val="single" w:sz="4" w:space="0" w:color="auto"/>
              <w:left w:val="nil"/>
              <w:bottom w:val="single" w:sz="4" w:space="0" w:color="auto"/>
              <w:right w:val="single" w:sz="4" w:space="0" w:color="auto"/>
            </w:tcBorders>
            <w:shd w:val="clear" w:color="000000" w:fill="FFFFFF"/>
          </w:tcPr>
          <w:p w14:paraId="12DD05FE" w14:textId="77777777" w:rsidR="0051148C" w:rsidRDefault="0051148C" w:rsidP="00240CC4">
            <w:pPr>
              <w:jc w:val="right"/>
              <w:rPr>
                <w:rFonts w:ascii="Arial" w:hAnsi="Arial" w:cs="Arial"/>
                <w:color w:val="000000"/>
                <w:sz w:val="18"/>
                <w:szCs w:val="18"/>
              </w:rPr>
            </w:pPr>
            <w:r>
              <w:rPr>
                <w:rFonts w:ascii="Arial" w:hAnsi="Arial" w:cs="Arial"/>
                <w:color w:val="000000"/>
                <w:sz w:val="18"/>
                <w:szCs w:val="18"/>
              </w:rPr>
              <w:t>np</w:t>
            </w:r>
          </w:p>
        </w:tc>
        <w:tc>
          <w:tcPr>
            <w:tcW w:w="456" w:type="dxa"/>
            <w:tcBorders>
              <w:top w:val="single" w:sz="4" w:space="0" w:color="auto"/>
              <w:left w:val="single" w:sz="4" w:space="0" w:color="auto"/>
              <w:bottom w:val="single" w:sz="4" w:space="0" w:color="auto"/>
              <w:right w:val="single" w:sz="4" w:space="0" w:color="auto"/>
            </w:tcBorders>
            <w:shd w:val="clear" w:color="000000" w:fill="FFFFFF"/>
          </w:tcPr>
          <w:p w14:paraId="443BAB9A" w14:textId="77777777" w:rsidR="0051148C" w:rsidRDefault="0051148C" w:rsidP="00240CC4">
            <w:pPr>
              <w:jc w:val="right"/>
              <w:rPr>
                <w:rFonts w:ascii="Arial" w:hAnsi="Arial" w:cs="Arial"/>
                <w:color w:val="000000"/>
                <w:sz w:val="18"/>
                <w:szCs w:val="18"/>
              </w:rPr>
            </w:pPr>
            <w:r>
              <w:rPr>
                <w:rFonts w:ascii="Arial" w:hAnsi="Arial" w:cs="Arial"/>
                <w:color w:val="000000"/>
                <w:sz w:val="18"/>
                <w:szCs w:val="18"/>
              </w:rPr>
              <w:t>np</w:t>
            </w:r>
          </w:p>
        </w:tc>
        <w:tc>
          <w:tcPr>
            <w:tcW w:w="586" w:type="dxa"/>
            <w:tcBorders>
              <w:top w:val="single" w:sz="4" w:space="0" w:color="auto"/>
              <w:left w:val="single" w:sz="4" w:space="0" w:color="auto"/>
              <w:bottom w:val="single" w:sz="4" w:space="0" w:color="auto"/>
              <w:right w:val="single" w:sz="4" w:space="0" w:color="auto"/>
            </w:tcBorders>
            <w:shd w:val="clear" w:color="000000" w:fill="FFFFFF"/>
          </w:tcPr>
          <w:p w14:paraId="403313FA" w14:textId="77777777" w:rsidR="0051148C" w:rsidRDefault="0051148C" w:rsidP="00240CC4">
            <w:pPr>
              <w:jc w:val="right"/>
              <w:rPr>
                <w:rFonts w:ascii="Arial" w:hAnsi="Arial" w:cs="Arial"/>
                <w:color w:val="000000"/>
                <w:sz w:val="18"/>
                <w:szCs w:val="18"/>
              </w:rPr>
            </w:pPr>
            <w:r>
              <w:rPr>
                <w:rFonts w:ascii="Arial" w:hAnsi="Arial" w:cs="Arial"/>
                <w:color w:val="000000"/>
                <w:sz w:val="18"/>
                <w:szCs w:val="18"/>
              </w:rPr>
              <w:t>np</w:t>
            </w:r>
          </w:p>
        </w:tc>
        <w:tc>
          <w:tcPr>
            <w:tcW w:w="987" w:type="dxa"/>
            <w:tcBorders>
              <w:top w:val="single" w:sz="4" w:space="0" w:color="auto"/>
              <w:left w:val="single" w:sz="4" w:space="0" w:color="auto"/>
              <w:bottom w:val="single" w:sz="4" w:space="0" w:color="auto"/>
              <w:right w:val="single" w:sz="4" w:space="0" w:color="000000"/>
            </w:tcBorders>
            <w:shd w:val="clear" w:color="000000" w:fill="FFFFFF"/>
            <w:vAlign w:val="bottom"/>
          </w:tcPr>
          <w:p w14:paraId="02924048" w14:textId="77777777" w:rsidR="0051148C" w:rsidRDefault="0051148C" w:rsidP="00240CC4">
            <w:pPr>
              <w:jc w:val="right"/>
              <w:rPr>
                <w:rFonts w:ascii="Arial" w:hAnsi="Arial" w:cs="Arial"/>
                <w:color w:val="000000"/>
                <w:sz w:val="18"/>
                <w:szCs w:val="18"/>
              </w:rPr>
            </w:pPr>
            <w:r>
              <w:rPr>
                <w:rFonts w:ascii="Arial" w:hAnsi="Arial" w:cs="Arial"/>
                <w:color w:val="000000"/>
                <w:sz w:val="18"/>
                <w:szCs w:val="18"/>
              </w:rPr>
              <w:t>2,651</w:t>
            </w:r>
          </w:p>
        </w:tc>
      </w:tr>
      <w:tr w:rsidR="0051148C" w14:paraId="11004584" w14:textId="77777777" w:rsidTr="00240CC4">
        <w:trPr>
          <w:trHeight w:val="193"/>
        </w:trPr>
        <w:tc>
          <w:tcPr>
            <w:tcW w:w="1575"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2B7296FF" w14:textId="77777777" w:rsidR="0051148C" w:rsidRDefault="0051148C" w:rsidP="00240CC4">
            <w:pPr>
              <w:rPr>
                <w:rFonts w:ascii="Arial" w:hAnsi="Arial" w:cs="Arial"/>
                <w:b/>
                <w:bCs/>
                <w:color w:val="000000"/>
                <w:sz w:val="16"/>
                <w:szCs w:val="16"/>
              </w:rPr>
            </w:pPr>
            <w:r>
              <w:rPr>
                <w:rFonts w:ascii="Arial" w:hAnsi="Arial" w:cs="Arial"/>
                <w:b/>
                <w:bCs/>
                <w:color w:val="000000"/>
                <w:sz w:val="16"/>
                <w:szCs w:val="16"/>
              </w:rPr>
              <w:t>2015-16</w:t>
            </w:r>
          </w:p>
        </w:tc>
        <w:tc>
          <w:tcPr>
            <w:tcW w:w="0" w:type="auto"/>
            <w:tcBorders>
              <w:top w:val="single" w:sz="4" w:space="0" w:color="auto"/>
              <w:left w:val="nil"/>
              <w:bottom w:val="single" w:sz="4" w:space="0" w:color="000000"/>
              <w:right w:val="single" w:sz="4" w:space="0" w:color="000000"/>
            </w:tcBorders>
            <w:shd w:val="clear" w:color="000000" w:fill="FFFFFF"/>
            <w:vAlign w:val="bottom"/>
          </w:tcPr>
          <w:p w14:paraId="66177838" w14:textId="77777777" w:rsidR="0051148C" w:rsidRDefault="0051148C" w:rsidP="00240CC4">
            <w:pPr>
              <w:jc w:val="right"/>
              <w:rPr>
                <w:rFonts w:ascii="Arial" w:hAnsi="Arial" w:cs="Arial"/>
                <w:color w:val="000000"/>
                <w:sz w:val="18"/>
                <w:szCs w:val="18"/>
              </w:rPr>
            </w:pPr>
            <w:r>
              <w:rPr>
                <w:rFonts w:ascii="Arial" w:hAnsi="Arial" w:cs="Arial"/>
                <w:color w:val="000000"/>
                <w:sz w:val="18"/>
                <w:szCs w:val="18"/>
              </w:rPr>
              <w:t>1,012</w:t>
            </w:r>
          </w:p>
        </w:tc>
        <w:tc>
          <w:tcPr>
            <w:tcW w:w="0" w:type="auto"/>
            <w:tcBorders>
              <w:top w:val="single" w:sz="4" w:space="0" w:color="auto"/>
              <w:left w:val="nil"/>
              <w:bottom w:val="single" w:sz="4" w:space="0" w:color="000000"/>
              <w:right w:val="single" w:sz="4" w:space="0" w:color="000000"/>
            </w:tcBorders>
            <w:shd w:val="clear" w:color="000000" w:fill="FFFFFF"/>
            <w:vAlign w:val="bottom"/>
          </w:tcPr>
          <w:p w14:paraId="2D6BF667" w14:textId="77777777" w:rsidR="0051148C" w:rsidRDefault="0051148C" w:rsidP="00240CC4">
            <w:pPr>
              <w:jc w:val="right"/>
              <w:rPr>
                <w:rFonts w:ascii="Arial" w:hAnsi="Arial" w:cs="Arial"/>
                <w:color w:val="000000"/>
                <w:sz w:val="18"/>
                <w:szCs w:val="18"/>
              </w:rPr>
            </w:pPr>
            <w:r>
              <w:rPr>
                <w:rFonts w:ascii="Arial" w:hAnsi="Arial" w:cs="Arial"/>
                <w:color w:val="000000"/>
                <w:sz w:val="18"/>
                <w:szCs w:val="18"/>
              </w:rPr>
              <w:t>982</w:t>
            </w:r>
          </w:p>
        </w:tc>
        <w:tc>
          <w:tcPr>
            <w:tcW w:w="0" w:type="auto"/>
            <w:tcBorders>
              <w:top w:val="single" w:sz="4" w:space="0" w:color="auto"/>
              <w:left w:val="nil"/>
              <w:bottom w:val="single" w:sz="4" w:space="0" w:color="000000"/>
              <w:right w:val="single" w:sz="4" w:space="0" w:color="000000"/>
            </w:tcBorders>
            <w:shd w:val="clear" w:color="000000" w:fill="FFFFFF"/>
            <w:vAlign w:val="bottom"/>
          </w:tcPr>
          <w:p w14:paraId="21D8A323" w14:textId="77777777" w:rsidR="0051148C" w:rsidRDefault="0051148C" w:rsidP="00240CC4">
            <w:pPr>
              <w:jc w:val="right"/>
              <w:rPr>
                <w:rFonts w:ascii="Arial" w:hAnsi="Arial" w:cs="Arial"/>
                <w:color w:val="000000"/>
                <w:sz w:val="18"/>
                <w:szCs w:val="18"/>
              </w:rPr>
            </w:pPr>
            <w:r>
              <w:rPr>
                <w:rFonts w:ascii="Arial" w:hAnsi="Arial" w:cs="Arial"/>
                <w:color w:val="000000"/>
                <w:sz w:val="18"/>
                <w:szCs w:val="18"/>
              </w:rPr>
              <w:t>423</w:t>
            </w:r>
          </w:p>
        </w:tc>
        <w:tc>
          <w:tcPr>
            <w:tcW w:w="0" w:type="auto"/>
            <w:tcBorders>
              <w:top w:val="single" w:sz="4" w:space="0" w:color="auto"/>
              <w:left w:val="nil"/>
              <w:bottom w:val="single" w:sz="4" w:space="0" w:color="000000"/>
              <w:right w:val="single" w:sz="4" w:space="0" w:color="000000"/>
            </w:tcBorders>
            <w:shd w:val="clear" w:color="000000" w:fill="FFFFFF"/>
            <w:vAlign w:val="bottom"/>
          </w:tcPr>
          <w:p w14:paraId="0EF747C4" w14:textId="77777777" w:rsidR="0051148C" w:rsidRDefault="0051148C" w:rsidP="00240CC4">
            <w:pPr>
              <w:jc w:val="right"/>
              <w:rPr>
                <w:rFonts w:ascii="Arial" w:hAnsi="Arial" w:cs="Arial"/>
                <w:color w:val="000000"/>
                <w:sz w:val="18"/>
                <w:szCs w:val="18"/>
              </w:rPr>
            </w:pPr>
            <w:r>
              <w:rPr>
                <w:rFonts w:ascii="Arial" w:hAnsi="Arial" w:cs="Arial"/>
                <w:color w:val="000000"/>
                <w:sz w:val="18"/>
                <w:szCs w:val="18"/>
              </w:rPr>
              <w:t>104</w:t>
            </w:r>
          </w:p>
        </w:tc>
        <w:tc>
          <w:tcPr>
            <w:tcW w:w="0" w:type="auto"/>
            <w:tcBorders>
              <w:top w:val="single" w:sz="4" w:space="0" w:color="auto"/>
              <w:left w:val="nil"/>
              <w:bottom w:val="single" w:sz="4" w:space="0" w:color="000000"/>
              <w:right w:val="single" w:sz="4" w:space="0" w:color="000000"/>
            </w:tcBorders>
            <w:shd w:val="clear" w:color="000000" w:fill="FFFFFF"/>
            <w:vAlign w:val="bottom"/>
          </w:tcPr>
          <w:p w14:paraId="3F88D9B5" w14:textId="77777777" w:rsidR="0051148C" w:rsidRDefault="0051148C" w:rsidP="00240CC4">
            <w:pPr>
              <w:jc w:val="right"/>
              <w:rPr>
                <w:rFonts w:ascii="Arial" w:hAnsi="Arial" w:cs="Arial"/>
                <w:color w:val="000000"/>
                <w:sz w:val="18"/>
                <w:szCs w:val="18"/>
              </w:rPr>
            </w:pPr>
            <w:r>
              <w:rPr>
                <w:rFonts w:ascii="Arial" w:hAnsi="Arial" w:cs="Arial"/>
                <w:color w:val="000000"/>
                <w:sz w:val="18"/>
                <w:szCs w:val="18"/>
              </w:rPr>
              <w:t>182</w:t>
            </w:r>
          </w:p>
        </w:tc>
        <w:tc>
          <w:tcPr>
            <w:tcW w:w="576" w:type="dxa"/>
            <w:tcBorders>
              <w:top w:val="single" w:sz="4" w:space="0" w:color="auto"/>
              <w:left w:val="nil"/>
              <w:bottom w:val="single" w:sz="4" w:space="0" w:color="000000"/>
              <w:right w:val="single" w:sz="4" w:space="0" w:color="auto"/>
            </w:tcBorders>
            <w:shd w:val="clear" w:color="000000" w:fill="FFFFFF"/>
          </w:tcPr>
          <w:p w14:paraId="0014D4BE" w14:textId="77777777" w:rsidR="0051148C" w:rsidRDefault="0051148C" w:rsidP="00240CC4">
            <w:pPr>
              <w:jc w:val="right"/>
              <w:rPr>
                <w:rFonts w:ascii="Arial" w:hAnsi="Arial" w:cs="Arial"/>
                <w:color w:val="000000"/>
                <w:sz w:val="18"/>
                <w:szCs w:val="18"/>
              </w:rPr>
            </w:pPr>
            <w:r>
              <w:rPr>
                <w:rFonts w:ascii="Arial" w:hAnsi="Arial" w:cs="Arial"/>
                <w:color w:val="000000"/>
                <w:sz w:val="18"/>
                <w:szCs w:val="18"/>
              </w:rPr>
              <w:t>np</w:t>
            </w:r>
          </w:p>
        </w:tc>
        <w:tc>
          <w:tcPr>
            <w:tcW w:w="456" w:type="dxa"/>
            <w:tcBorders>
              <w:top w:val="single" w:sz="4" w:space="0" w:color="auto"/>
              <w:left w:val="single" w:sz="4" w:space="0" w:color="auto"/>
              <w:bottom w:val="single" w:sz="4" w:space="0" w:color="000000"/>
              <w:right w:val="single" w:sz="4" w:space="0" w:color="auto"/>
            </w:tcBorders>
            <w:shd w:val="clear" w:color="000000" w:fill="FFFFFF"/>
          </w:tcPr>
          <w:p w14:paraId="3A322449" w14:textId="77777777" w:rsidR="0051148C" w:rsidRDefault="0051148C" w:rsidP="00240CC4">
            <w:pPr>
              <w:jc w:val="right"/>
              <w:rPr>
                <w:rFonts w:ascii="Arial" w:hAnsi="Arial" w:cs="Arial"/>
                <w:color w:val="000000"/>
                <w:sz w:val="18"/>
                <w:szCs w:val="18"/>
              </w:rPr>
            </w:pPr>
            <w:r>
              <w:rPr>
                <w:rFonts w:ascii="Arial" w:hAnsi="Arial" w:cs="Arial"/>
                <w:color w:val="000000"/>
                <w:sz w:val="18"/>
                <w:szCs w:val="18"/>
              </w:rPr>
              <w:t>np</w:t>
            </w:r>
          </w:p>
        </w:tc>
        <w:tc>
          <w:tcPr>
            <w:tcW w:w="586" w:type="dxa"/>
            <w:tcBorders>
              <w:top w:val="single" w:sz="4" w:space="0" w:color="auto"/>
              <w:left w:val="single" w:sz="4" w:space="0" w:color="auto"/>
              <w:bottom w:val="single" w:sz="4" w:space="0" w:color="000000"/>
              <w:right w:val="single" w:sz="4" w:space="0" w:color="auto"/>
            </w:tcBorders>
            <w:shd w:val="clear" w:color="000000" w:fill="FFFFFF"/>
          </w:tcPr>
          <w:p w14:paraId="30A6E541" w14:textId="77777777" w:rsidR="0051148C" w:rsidRDefault="0051148C" w:rsidP="00240CC4">
            <w:pPr>
              <w:jc w:val="right"/>
              <w:rPr>
                <w:rFonts w:ascii="Arial" w:hAnsi="Arial" w:cs="Arial"/>
                <w:color w:val="000000"/>
                <w:sz w:val="18"/>
                <w:szCs w:val="18"/>
              </w:rPr>
            </w:pPr>
            <w:r>
              <w:rPr>
                <w:rFonts w:ascii="Arial" w:hAnsi="Arial" w:cs="Arial"/>
                <w:color w:val="000000"/>
                <w:sz w:val="18"/>
                <w:szCs w:val="18"/>
              </w:rPr>
              <w:t>np</w:t>
            </w:r>
          </w:p>
        </w:tc>
        <w:tc>
          <w:tcPr>
            <w:tcW w:w="987" w:type="dxa"/>
            <w:tcBorders>
              <w:top w:val="single" w:sz="4" w:space="0" w:color="auto"/>
              <w:left w:val="single" w:sz="4" w:space="0" w:color="auto"/>
              <w:bottom w:val="single" w:sz="4" w:space="0" w:color="000000"/>
              <w:right w:val="single" w:sz="4" w:space="0" w:color="000000"/>
            </w:tcBorders>
            <w:shd w:val="clear" w:color="000000" w:fill="FFFFFF"/>
            <w:vAlign w:val="bottom"/>
          </w:tcPr>
          <w:p w14:paraId="0DB5C2D6" w14:textId="77777777" w:rsidR="0051148C" w:rsidRDefault="0051148C" w:rsidP="00240CC4">
            <w:pPr>
              <w:jc w:val="right"/>
              <w:rPr>
                <w:rFonts w:ascii="Arial" w:hAnsi="Arial" w:cs="Arial"/>
                <w:color w:val="000000"/>
                <w:sz w:val="18"/>
                <w:szCs w:val="18"/>
              </w:rPr>
            </w:pPr>
            <w:r>
              <w:rPr>
                <w:rFonts w:ascii="Arial" w:hAnsi="Arial" w:cs="Arial"/>
                <w:color w:val="000000"/>
                <w:sz w:val="18"/>
                <w:szCs w:val="18"/>
              </w:rPr>
              <w:t>2,748</w:t>
            </w:r>
          </w:p>
        </w:tc>
      </w:tr>
    </w:tbl>
    <w:p w14:paraId="4F9546A8" w14:textId="6864047A" w:rsidR="0051148C" w:rsidRPr="00A73613" w:rsidRDefault="0051148C" w:rsidP="009C5632">
      <w:pPr>
        <w:pStyle w:val="Heading3"/>
        <w:rPr>
          <w:rFonts w:cs="Times New Roman"/>
          <w:szCs w:val="18"/>
        </w:rPr>
      </w:pPr>
      <w:r w:rsidRPr="00A73613">
        <w:rPr>
          <w:rFonts w:cs="Times New Roman"/>
          <w:szCs w:val="18"/>
        </w:rPr>
        <w:t xml:space="preserve">Table </w:t>
      </w:r>
      <w:r w:rsidR="00EE081A" w:rsidRPr="00A73613">
        <w:rPr>
          <w:rFonts w:cs="Times New Roman"/>
          <w:szCs w:val="18"/>
        </w:rPr>
        <w:t>4</w:t>
      </w:r>
      <w:r w:rsidRPr="00A73613">
        <w:rPr>
          <w:rFonts w:cs="Times New Roman"/>
          <w:szCs w:val="18"/>
        </w:rPr>
        <w:t>: Number of services per patient in 2013-14 to 2015-16</w:t>
      </w:r>
    </w:p>
    <w:tbl>
      <w:tblPr>
        <w:tblW w:w="7429" w:type="dxa"/>
        <w:tblInd w:w="93" w:type="dxa"/>
        <w:tblLook w:val="04A0" w:firstRow="1" w:lastRow="0" w:firstColumn="1" w:lastColumn="0" w:noHBand="0" w:noVBand="1"/>
        <w:tblDescription w:val="Table 4 presents the number of services of MBS item 73337 per patient in the 2013-14, 2014-15 and 2015-16 financial years. Each row contains the financial year, and there are four columns: 1) Financial year, 2) Services, 3) number of patients, 4) percentage of patients."/>
      </w:tblPr>
      <w:tblGrid>
        <w:gridCol w:w="1748"/>
        <w:gridCol w:w="1748"/>
        <w:gridCol w:w="1748"/>
        <w:gridCol w:w="2185"/>
      </w:tblGrid>
      <w:tr w:rsidR="0051148C" w14:paraId="079C628B" w14:textId="77777777" w:rsidTr="00FC1D9A">
        <w:trPr>
          <w:trHeight w:val="265"/>
          <w:tblHeader/>
        </w:trPr>
        <w:tc>
          <w:tcPr>
            <w:tcW w:w="1748" w:type="dxa"/>
            <w:tcBorders>
              <w:top w:val="single" w:sz="8" w:space="0" w:color="auto"/>
              <w:left w:val="single" w:sz="8" w:space="0" w:color="auto"/>
              <w:bottom w:val="nil"/>
              <w:right w:val="nil"/>
            </w:tcBorders>
            <w:shd w:val="clear" w:color="auto" w:fill="008080"/>
            <w:vAlign w:val="center"/>
            <w:hideMark/>
          </w:tcPr>
          <w:p w14:paraId="2CC488BA" w14:textId="77777777" w:rsidR="0051148C" w:rsidRPr="00547178" w:rsidRDefault="0051148C" w:rsidP="00240CC4">
            <w:pPr>
              <w:rPr>
                <w:rFonts w:ascii="Arial" w:hAnsi="Arial" w:cs="Arial"/>
                <w:b/>
                <w:bCs/>
                <w:color w:val="FFFFFF" w:themeColor="background1"/>
                <w:sz w:val="18"/>
                <w:szCs w:val="18"/>
              </w:rPr>
            </w:pPr>
            <w:r w:rsidRPr="00547178">
              <w:rPr>
                <w:rFonts w:ascii="Arial" w:hAnsi="Arial" w:cs="Arial"/>
                <w:b/>
                <w:bCs/>
                <w:color w:val="FFFFFF" w:themeColor="background1"/>
                <w:sz w:val="18"/>
                <w:szCs w:val="18"/>
              </w:rPr>
              <w:t> </w:t>
            </w:r>
          </w:p>
        </w:tc>
        <w:tc>
          <w:tcPr>
            <w:tcW w:w="1748" w:type="dxa"/>
            <w:tcBorders>
              <w:top w:val="single" w:sz="8" w:space="0" w:color="000000"/>
              <w:left w:val="single" w:sz="8" w:space="0" w:color="000000"/>
              <w:bottom w:val="single" w:sz="8" w:space="0" w:color="000000"/>
              <w:right w:val="single" w:sz="8" w:space="0" w:color="000000"/>
            </w:tcBorders>
            <w:shd w:val="clear" w:color="auto" w:fill="008080"/>
            <w:vAlign w:val="center"/>
            <w:hideMark/>
          </w:tcPr>
          <w:p w14:paraId="0ABE1E6A" w14:textId="77777777" w:rsidR="0051148C" w:rsidRPr="00547178" w:rsidRDefault="0051148C" w:rsidP="00240CC4">
            <w:pPr>
              <w:rPr>
                <w:rFonts w:ascii="Arial" w:hAnsi="Arial" w:cs="Arial"/>
                <w:b/>
                <w:bCs/>
                <w:color w:val="FFFFFF" w:themeColor="background1"/>
                <w:sz w:val="18"/>
                <w:szCs w:val="18"/>
              </w:rPr>
            </w:pPr>
            <w:r w:rsidRPr="00547178">
              <w:rPr>
                <w:rFonts w:ascii="Arial" w:hAnsi="Arial" w:cs="Arial"/>
                <w:b/>
                <w:bCs/>
                <w:color w:val="FFFFFF" w:themeColor="background1"/>
                <w:sz w:val="18"/>
                <w:szCs w:val="18"/>
              </w:rPr>
              <w:t>Services</w:t>
            </w:r>
          </w:p>
        </w:tc>
        <w:tc>
          <w:tcPr>
            <w:tcW w:w="1748" w:type="dxa"/>
            <w:tcBorders>
              <w:top w:val="single" w:sz="8" w:space="0" w:color="000000"/>
              <w:left w:val="nil"/>
              <w:bottom w:val="single" w:sz="8" w:space="0" w:color="000000"/>
              <w:right w:val="single" w:sz="8" w:space="0" w:color="000000"/>
            </w:tcBorders>
            <w:shd w:val="clear" w:color="auto" w:fill="008080"/>
            <w:vAlign w:val="center"/>
            <w:hideMark/>
          </w:tcPr>
          <w:p w14:paraId="3AA18FFD" w14:textId="77777777" w:rsidR="0051148C" w:rsidRPr="00547178" w:rsidRDefault="0051148C" w:rsidP="00240CC4">
            <w:pPr>
              <w:jc w:val="right"/>
              <w:rPr>
                <w:rFonts w:ascii="Arial" w:hAnsi="Arial" w:cs="Arial"/>
                <w:b/>
                <w:bCs/>
                <w:color w:val="FFFFFF" w:themeColor="background1"/>
                <w:sz w:val="18"/>
                <w:szCs w:val="18"/>
              </w:rPr>
            </w:pPr>
            <w:r w:rsidRPr="00547178">
              <w:rPr>
                <w:rFonts w:ascii="Arial" w:hAnsi="Arial" w:cs="Arial"/>
                <w:b/>
                <w:bCs/>
                <w:color w:val="FFFFFF" w:themeColor="background1"/>
                <w:sz w:val="18"/>
                <w:szCs w:val="18"/>
              </w:rPr>
              <w:t># of patients</w:t>
            </w:r>
          </w:p>
        </w:tc>
        <w:tc>
          <w:tcPr>
            <w:tcW w:w="2185" w:type="dxa"/>
            <w:tcBorders>
              <w:top w:val="single" w:sz="8" w:space="0" w:color="000000"/>
              <w:left w:val="nil"/>
              <w:bottom w:val="single" w:sz="8" w:space="0" w:color="000000"/>
              <w:right w:val="single" w:sz="8" w:space="0" w:color="000000"/>
            </w:tcBorders>
            <w:shd w:val="clear" w:color="auto" w:fill="008080"/>
            <w:vAlign w:val="center"/>
            <w:hideMark/>
          </w:tcPr>
          <w:p w14:paraId="631DC1B0" w14:textId="77777777" w:rsidR="0051148C" w:rsidRPr="00547178" w:rsidRDefault="0051148C" w:rsidP="00240CC4">
            <w:pPr>
              <w:jc w:val="right"/>
              <w:rPr>
                <w:rFonts w:ascii="Arial" w:hAnsi="Arial" w:cs="Arial"/>
                <w:b/>
                <w:bCs/>
                <w:color w:val="FFFFFF" w:themeColor="background1"/>
                <w:sz w:val="18"/>
                <w:szCs w:val="18"/>
              </w:rPr>
            </w:pPr>
            <w:r w:rsidRPr="00547178">
              <w:rPr>
                <w:rFonts w:ascii="Arial" w:hAnsi="Arial" w:cs="Arial"/>
                <w:b/>
                <w:bCs/>
                <w:color w:val="FFFFFF" w:themeColor="background1"/>
                <w:sz w:val="18"/>
                <w:szCs w:val="18"/>
              </w:rPr>
              <w:t>% of patients</w:t>
            </w:r>
          </w:p>
        </w:tc>
      </w:tr>
      <w:tr w:rsidR="0051148C" w14:paraId="03FF53B2" w14:textId="77777777" w:rsidTr="00240CC4">
        <w:trPr>
          <w:trHeight w:val="305"/>
        </w:trPr>
        <w:tc>
          <w:tcPr>
            <w:tcW w:w="1748" w:type="dxa"/>
            <w:vMerge w:val="restart"/>
            <w:tcBorders>
              <w:top w:val="single" w:sz="8" w:space="0" w:color="auto"/>
              <w:left w:val="single" w:sz="8" w:space="0" w:color="auto"/>
              <w:right w:val="single" w:sz="8" w:space="0" w:color="000000"/>
            </w:tcBorders>
            <w:shd w:val="clear" w:color="auto" w:fill="auto"/>
            <w:vAlign w:val="center"/>
          </w:tcPr>
          <w:p w14:paraId="7E4D8AF3" w14:textId="34343778" w:rsidR="0051148C" w:rsidRPr="00547178" w:rsidRDefault="0051148C" w:rsidP="009475A3">
            <w:pPr>
              <w:rPr>
                <w:rFonts w:ascii="Arial" w:hAnsi="Arial" w:cs="Arial"/>
                <w:b/>
                <w:bCs/>
                <w:color w:val="000000"/>
                <w:sz w:val="18"/>
                <w:szCs w:val="18"/>
              </w:rPr>
            </w:pPr>
            <w:r w:rsidRPr="00547178">
              <w:rPr>
                <w:rFonts w:ascii="Arial" w:hAnsi="Arial" w:cs="Arial"/>
                <w:b/>
                <w:bCs/>
                <w:color w:val="000000"/>
                <w:sz w:val="18"/>
                <w:szCs w:val="18"/>
              </w:rPr>
              <w:t>2013-14</w:t>
            </w:r>
          </w:p>
        </w:tc>
        <w:tc>
          <w:tcPr>
            <w:tcW w:w="1748" w:type="dxa"/>
            <w:tcBorders>
              <w:top w:val="nil"/>
              <w:left w:val="nil"/>
              <w:bottom w:val="single" w:sz="8" w:space="0" w:color="000000"/>
              <w:right w:val="single" w:sz="8" w:space="0" w:color="000000"/>
            </w:tcBorders>
            <w:shd w:val="clear" w:color="000000" w:fill="FFFFFF"/>
            <w:vAlign w:val="center"/>
          </w:tcPr>
          <w:p w14:paraId="7FD89551" w14:textId="77777777" w:rsidR="0051148C" w:rsidRPr="00547178" w:rsidRDefault="0051148C" w:rsidP="00240CC4">
            <w:pPr>
              <w:jc w:val="right"/>
              <w:rPr>
                <w:rFonts w:ascii="Arial" w:hAnsi="Arial" w:cs="Arial"/>
                <w:b/>
                <w:bCs/>
                <w:color w:val="000000"/>
                <w:sz w:val="18"/>
                <w:szCs w:val="18"/>
              </w:rPr>
            </w:pPr>
            <w:r w:rsidRPr="00547178">
              <w:rPr>
                <w:rFonts w:ascii="Arial" w:hAnsi="Arial" w:cs="Arial"/>
                <w:b/>
                <w:bCs/>
                <w:color w:val="000000"/>
                <w:sz w:val="18"/>
                <w:szCs w:val="18"/>
              </w:rPr>
              <w:t>1</w:t>
            </w:r>
          </w:p>
        </w:tc>
        <w:tc>
          <w:tcPr>
            <w:tcW w:w="1748" w:type="dxa"/>
            <w:tcBorders>
              <w:top w:val="nil"/>
              <w:left w:val="nil"/>
              <w:bottom w:val="single" w:sz="8" w:space="0" w:color="000000"/>
              <w:right w:val="single" w:sz="8" w:space="0" w:color="000000"/>
            </w:tcBorders>
            <w:shd w:val="clear" w:color="000000" w:fill="FFFFFF"/>
            <w:vAlign w:val="center"/>
          </w:tcPr>
          <w:p w14:paraId="32E54D2C" w14:textId="77777777" w:rsidR="0051148C" w:rsidRPr="00547178" w:rsidRDefault="0051148C" w:rsidP="00240CC4">
            <w:pPr>
              <w:jc w:val="right"/>
              <w:rPr>
                <w:rFonts w:ascii="Arial" w:hAnsi="Arial" w:cs="Arial"/>
                <w:color w:val="000000"/>
                <w:sz w:val="18"/>
                <w:szCs w:val="18"/>
              </w:rPr>
            </w:pPr>
            <w:r w:rsidRPr="00547178">
              <w:rPr>
                <w:rFonts w:ascii="Arial" w:hAnsi="Arial" w:cs="Arial"/>
                <w:color w:val="000000"/>
                <w:sz w:val="18"/>
                <w:szCs w:val="18"/>
              </w:rPr>
              <w:t>693</w:t>
            </w:r>
          </w:p>
        </w:tc>
        <w:tc>
          <w:tcPr>
            <w:tcW w:w="2185" w:type="dxa"/>
            <w:tcBorders>
              <w:top w:val="nil"/>
              <w:left w:val="nil"/>
              <w:bottom w:val="single" w:sz="8" w:space="0" w:color="000000"/>
              <w:right w:val="single" w:sz="8" w:space="0" w:color="000000"/>
            </w:tcBorders>
            <w:shd w:val="clear" w:color="000000" w:fill="FFFFFF"/>
            <w:vAlign w:val="center"/>
          </w:tcPr>
          <w:p w14:paraId="21CE577E" w14:textId="77777777" w:rsidR="0051148C" w:rsidRPr="00547178" w:rsidRDefault="0051148C" w:rsidP="00240CC4">
            <w:pPr>
              <w:jc w:val="right"/>
              <w:rPr>
                <w:rFonts w:ascii="Arial" w:hAnsi="Arial" w:cs="Arial"/>
                <w:color w:val="000000"/>
                <w:sz w:val="18"/>
                <w:szCs w:val="18"/>
              </w:rPr>
            </w:pPr>
            <w:r w:rsidRPr="00547178">
              <w:rPr>
                <w:rFonts w:ascii="Arial" w:hAnsi="Arial" w:cs="Arial"/>
                <w:color w:val="000000"/>
                <w:sz w:val="18"/>
                <w:szCs w:val="18"/>
              </w:rPr>
              <w:t>99%</w:t>
            </w:r>
          </w:p>
        </w:tc>
      </w:tr>
      <w:tr w:rsidR="0051148C" w14:paraId="487C3F00" w14:textId="77777777" w:rsidTr="00240CC4">
        <w:trPr>
          <w:trHeight w:val="305"/>
        </w:trPr>
        <w:tc>
          <w:tcPr>
            <w:tcW w:w="1748" w:type="dxa"/>
            <w:vMerge/>
            <w:tcBorders>
              <w:left w:val="single" w:sz="8" w:space="0" w:color="auto"/>
              <w:right w:val="single" w:sz="8" w:space="0" w:color="000000"/>
            </w:tcBorders>
            <w:shd w:val="clear" w:color="auto" w:fill="auto"/>
            <w:vAlign w:val="center"/>
            <w:hideMark/>
          </w:tcPr>
          <w:p w14:paraId="753A7BBF" w14:textId="77777777" w:rsidR="0051148C" w:rsidRPr="00547178" w:rsidRDefault="0051148C" w:rsidP="00240CC4">
            <w:pPr>
              <w:rPr>
                <w:rFonts w:ascii="Arial" w:hAnsi="Arial" w:cs="Arial"/>
                <w:b/>
                <w:bCs/>
                <w:color w:val="000000"/>
                <w:sz w:val="18"/>
                <w:szCs w:val="18"/>
              </w:rPr>
            </w:pPr>
          </w:p>
        </w:tc>
        <w:tc>
          <w:tcPr>
            <w:tcW w:w="1748" w:type="dxa"/>
            <w:tcBorders>
              <w:top w:val="nil"/>
              <w:left w:val="nil"/>
              <w:bottom w:val="single" w:sz="8" w:space="0" w:color="000000"/>
              <w:right w:val="single" w:sz="8" w:space="0" w:color="000000"/>
            </w:tcBorders>
            <w:shd w:val="clear" w:color="000000" w:fill="FFFFFF"/>
            <w:vAlign w:val="center"/>
            <w:hideMark/>
          </w:tcPr>
          <w:p w14:paraId="5FAA5568" w14:textId="77777777" w:rsidR="0051148C" w:rsidRPr="00547178" w:rsidRDefault="0051148C" w:rsidP="00240CC4">
            <w:pPr>
              <w:jc w:val="right"/>
              <w:rPr>
                <w:rFonts w:ascii="Arial" w:hAnsi="Arial" w:cs="Arial"/>
                <w:b/>
                <w:bCs/>
                <w:color w:val="000000"/>
                <w:sz w:val="18"/>
                <w:szCs w:val="18"/>
              </w:rPr>
            </w:pPr>
            <w:r w:rsidRPr="00547178">
              <w:rPr>
                <w:rFonts w:ascii="Arial" w:hAnsi="Arial" w:cs="Arial"/>
                <w:b/>
                <w:bCs/>
                <w:color w:val="000000"/>
                <w:sz w:val="18"/>
                <w:szCs w:val="18"/>
              </w:rPr>
              <w:t>2+</w:t>
            </w:r>
          </w:p>
        </w:tc>
        <w:tc>
          <w:tcPr>
            <w:tcW w:w="1748" w:type="dxa"/>
            <w:tcBorders>
              <w:top w:val="nil"/>
              <w:left w:val="nil"/>
              <w:bottom w:val="single" w:sz="8" w:space="0" w:color="000000"/>
              <w:right w:val="single" w:sz="8" w:space="0" w:color="000000"/>
            </w:tcBorders>
            <w:shd w:val="clear" w:color="000000" w:fill="FFFFFF"/>
            <w:vAlign w:val="center"/>
            <w:hideMark/>
          </w:tcPr>
          <w:p w14:paraId="249B5CC3" w14:textId="77777777" w:rsidR="0051148C" w:rsidRPr="00547178" w:rsidRDefault="0051148C" w:rsidP="00240CC4">
            <w:pPr>
              <w:jc w:val="right"/>
              <w:rPr>
                <w:rFonts w:ascii="Arial" w:hAnsi="Arial" w:cs="Arial"/>
                <w:color w:val="000000"/>
                <w:sz w:val="18"/>
                <w:szCs w:val="18"/>
              </w:rPr>
            </w:pPr>
            <w:r w:rsidRPr="00547178">
              <w:rPr>
                <w:rFonts w:ascii="Arial" w:hAnsi="Arial" w:cs="Arial"/>
                <w:color w:val="000000"/>
                <w:sz w:val="18"/>
                <w:szCs w:val="18"/>
              </w:rPr>
              <w:t>10</w:t>
            </w:r>
          </w:p>
        </w:tc>
        <w:tc>
          <w:tcPr>
            <w:tcW w:w="2185" w:type="dxa"/>
            <w:tcBorders>
              <w:top w:val="nil"/>
              <w:left w:val="nil"/>
              <w:bottom w:val="single" w:sz="8" w:space="0" w:color="000000"/>
              <w:right w:val="single" w:sz="8" w:space="0" w:color="000000"/>
            </w:tcBorders>
            <w:shd w:val="clear" w:color="000000" w:fill="FFFFFF"/>
            <w:vAlign w:val="center"/>
            <w:hideMark/>
          </w:tcPr>
          <w:p w14:paraId="7742607B" w14:textId="77777777" w:rsidR="0051148C" w:rsidRPr="00547178" w:rsidRDefault="0051148C" w:rsidP="00240CC4">
            <w:pPr>
              <w:jc w:val="right"/>
              <w:rPr>
                <w:rFonts w:ascii="Arial" w:hAnsi="Arial" w:cs="Arial"/>
                <w:color w:val="000000"/>
                <w:sz w:val="18"/>
                <w:szCs w:val="18"/>
              </w:rPr>
            </w:pPr>
            <w:r w:rsidRPr="00547178">
              <w:rPr>
                <w:rFonts w:ascii="Arial" w:hAnsi="Arial" w:cs="Arial"/>
                <w:color w:val="000000"/>
                <w:sz w:val="18"/>
                <w:szCs w:val="18"/>
              </w:rPr>
              <w:t>1%</w:t>
            </w:r>
          </w:p>
        </w:tc>
      </w:tr>
      <w:tr w:rsidR="0051148C" w14:paraId="159E003C" w14:textId="77777777" w:rsidTr="00240CC4">
        <w:trPr>
          <w:trHeight w:val="305"/>
        </w:trPr>
        <w:tc>
          <w:tcPr>
            <w:tcW w:w="1748" w:type="dxa"/>
            <w:vMerge/>
            <w:tcBorders>
              <w:left w:val="single" w:sz="8" w:space="0" w:color="auto"/>
              <w:bottom w:val="single" w:sz="8" w:space="0" w:color="auto"/>
              <w:right w:val="single" w:sz="8" w:space="0" w:color="000000"/>
            </w:tcBorders>
            <w:shd w:val="clear" w:color="auto" w:fill="auto"/>
            <w:vAlign w:val="center"/>
            <w:hideMark/>
          </w:tcPr>
          <w:p w14:paraId="6189C7A1" w14:textId="77777777" w:rsidR="0051148C" w:rsidRPr="00547178" w:rsidRDefault="0051148C" w:rsidP="00240CC4">
            <w:pPr>
              <w:rPr>
                <w:rFonts w:ascii="Arial" w:hAnsi="Arial" w:cs="Arial"/>
                <w:b/>
                <w:bCs/>
                <w:color w:val="000000"/>
                <w:sz w:val="18"/>
                <w:szCs w:val="18"/>
              </w:rPr>
            </w:pPr>
          </w:p>
        </w:tc>
        <w:tc>
          <w:tcPr>
            <w:tcW w:w="1748" w:type="dxa"/>
            <w:tcBorders>
              <w:top w:val="nil"/>
              <w:left w:val="single" w:sz="8" w:space="0" w:color="000000"/>
              <w:bottom w:val="single" w:sz="8" w:space="0" w:color="000000"/>
              <w:right w:val="single" w:sz="8" w:space="0" w:color="000000"/>
            </w:tcBorders>
            <w:shd w:val="clear" w:color="000000" w:fill="FFFFFF"/>
            <w:vAlign w:val="center"/>
            <w:hideMark/>
          </w:tcPr>
          <w:p w14:paraId="7DBC4327" w14:textId="77777777" w:rsidR="0051148C" w:rsidRPr="00547178" w:rsidRDefault="0051148C" w:rsidP="00240CC4">
            <w:pPr>
              <w:rPr>
                <w:rFonts w:ascii="Arial" w:hAnsi="Arial" w:cs="Arial"/>
                <w:b/>
                <w:bCs/>
                <w:color w:val="000000"/>
                <w:sz w:val="18"/>
                <w:szCs w:val="18"/>
              </w:rPr>
            </w:pPr>
            <w:r w:rsidRPr="00547178">
              <w:rPr>
                <w:rFonts w:ascii="Arial" w:hAnsi="Arial" w:cs="Arial"/>
                <w:b/>
                <w:bCs/>
                <w:color w:val="000000"/>
                <w:sz w:val="18"/>
                <w:szCs w:val="18"/>
              </w:rPr>
              <w:t>Total</w:t>
            </w:r>
          </w:p>
        </w:tc>
        <w:tc>
          <w:tcPr>
            <w:tcW w:w="1748" w:type="dxa"/>
            <w:tcBorders>
              <w:top w:val="nil"/>
              <w:left w:val="nil"/>
              <w:bottom w:val="single" w:sz="8" w:space="0" w:color="000000"/>
              <w:right w:val="single" w:sz="8" w:space="0" w:color="000000"/>
            </w:tcBorders>
            <w:shd w:val="clear" w:color="000000" w:fill="FFFFFF"/>
            <w:vAlign w:val="center"/>
            <w:hideMark/>
          </w:tcPr>
          <w:p w14:paraId="3A691CF0" w14:textId="77777777" w:rsidR="0051148C" w:rsidRPr="00547178" w:rsidRDefault="0051148C" w:rsidP="00240CC4">
            <w:pPr>
              <w:jc w:val="right"/>
              <w:rPr>
                <w:rFonts w:ascii="Arial" w:hAnsi="Arial" w:cs="Arial"/>
                <w:b/>
                <w:bCs/>
                <w:color w:val="000000"/>
                <w:sz w:val="18"/>
                <w:szCs w:val="18"/>
              </w:rPr>
            </w:pPr>
            <w:r w:rsidRPr="00547178">
              <w:rPr>
                <w:rFonts w:ascii="Arial" w:hAnsi="Arial" w:cs="Arial"/>
                <w:b/>
                <w:bCs/>
                <w:color w:val="000000"/>
                <w:sz w:val="18"/>
                <w:szCs w:val="18"/>
              </w:rPr>
              <w:t>703</w:t>
            </w:r>
          </w:p>
        </w:tc>
        <w:tc>
          <w:tcPr>
            <w:tcW w:w="2185" w:type="dxa"/>
            <w:tcBorders>
              <w:top w:val="nil"/>
              <w:left w:val="nil"/>
              <w:bottom w:val="single" w:sz="8" w:space="0" w:color="000000"/>
              <w:right w:val="single" w:sz="8" w:space="0" w:color="000000"/>
            </w:tcBorders>
            <w:shd w:val="clear" w:color="000000" w:fill="FFFFFF"/>
            <w:vAlign w:val="center"/>
            <w:hideMark/>
          </w:tcPr>
          <w:p w14:paraId="6D880112" w14:textId="77777777" w:rsidR="0051148C" w:rsidRPr="00547178" w:rsidRDefault="0051148C" w:rsidP="00240CC4">
            <w:pPr>
              <w:jc w:val="right"/>
              <w:rPr>
                <w:rFonts w:ascii="Arial" w:hAnsi="Arial" w:cs="Arial"/>
                <w:b/>
                <w:bCs/>
                <w:color w:val="000000"/>
                <w:sz w:val="18"/>
                <w:szCs w:val="18"/>
              </w:rPr>
            </w:pPr>
            <w:r w:rsidRPr="00547178">
              <w:rPr>
                <w:rFonts w:ascii="Arial" w:hAnsi="Arial" w:cs="Arial"/>
                <w:b/>
                <w:bCs/>
                <w:color w:val="000000"/>
                <w:sz w:val="18"/>
                <w:szCs w:val="18"/>
              </w:rPr>
              <w:t>100%</w:t>
            </w:r>
          </w:p>
        </w:tc>
      </w:tr>
      <w:tr w:rsidR="0051148C" w14:paraId="5AB3F645" w14:textId="77777777" w:rsidTr="00240CC4">
        <w:trPr>
          <w:trHeight w:val="305"/>
        </w:trPr>
        <w:tc>
          <w:tcPr>
            <w:tcW w:w="1748" w:type="dxa"/>
            <w:vMerge w:val="restart"/>
            <w:tcBorders>
              <w:top w:val="nil"/>
              <w:left w:val="single" w:sz="8" w:space="0" w:color="auto"/>
              <w:right w:val="single" w:sz="8" w:space="0" w:color="000000"/>
            </w:tcBorders>
            <w:shd w:val="clear" w:color="auto" w:fill="auto"/>
            <w:vAlign w:val="center"/>
          </w:tcPr>
          <w:p w14:paraId="697BB877" w14:textId="77777777" w:rsidR="0051148C" w:rsidRPr="00547178" w:rsidRDefault="0051148C" w:rsidP="00240CC4">
            <w:pPr>
              <w:rPr>
                <w:rFonts w:ascii="Arial" w:hAnsi="Arial" w:cs="Arial"/>
                <w:b/>
                <w:bCs/>
                <w:color w:val="000000"/>
                <w:sz w:val="18"/>
                <w:szCs w:val="18"/>
              </w:rPr>
            </w:pPr>
            <w:r w:rsidRPr="00547178">
              <w:rPr>
                <w:rFonts w:ascii="Arial" w:hAnsi="Arial" w:cs="Arial"/>
                <w:b/>
                <w:bCs/>
                <w:color w:val="000000"/>
                <w:sz w:val="18"/>
                <w:szCs w:val="18"/>
              </w:rPr>
              <w:t>2014-15</w:t>
            </w:r>
          </w:p>
        </w:tc>
        <w:tc>
          <w:tcPr>
            <w:tcW w:w="1748" w:type="dxa"/>
            <w:tcBorders>
              <w:top w:val="nil"/>
              <w:left w:val="nil"/>
              <w:bottom w:val="single" w:sz="8" w:space="0" w:color="000000"/>
              <w:right w:val="single" w:sz="8" w:space="0" w:color="000000"/>
            </w:tcBorders>
            <w:shd w:val="clear" w:color="000000" w:fill="FFFFFF"/>
            <w:vAlign w:val="center"/>
          </w:tcPr>
          <w:p w14:paraId="4A608FB0" w14:textId="77777777" w:rsidR="0051148C" w:rsidRPr="00547178" w:rsidRDefault="0051148C" w:rsidP="00240CC4">
            <w:pPr>
              <w:jc w:val="right"/>
              <w:rPr>
                <w:rFonts w:ascii="Arial" w:hAnsi="Arial" w:cs="Arial"/>
                <w:b/>
                <w:bCs/>
                <w:color w:val="000000"/>
                <w:sz w:val="18"/>
                <w:szCs w:val="18"/>
              </w:rPr>
            </w:pPr>
            <w:r w:rsidRPr="00547178">
              <w:rPr>
                <w:rFonts w:ascii="Arial" w:hAnsi="Arial" w:cs="Arial"/>
                <w:b/>
                <w:bCs/>
                <w:color w:val="000000"/>
                <w:sz w:val="18"/>
                <w:szCs w:val="18"/>
              </w:rPr>
              <w:t>1</w:t>
            </w:r>
          </w:p>
        </w:tc>
        <w:tc>
          <w:tcPr>
            <w:tcW w:w="1748" w:type="dxa"/>
            <w:tcBorders>
              <w:top w:val="nil"/>
              <w:left w:val="nil"/>
              <w:bottom w:val="single" w:sz="8" w:space="0" w:color="000000"/>
              <w:right w:val="single" w:sz="8" w:space="0" w:color="000000"/>
            </w:tcBorders>
            <w:shd w:val="clear" w:color="000000" w:fill="FFFFFF"/>
            <w:vAlign w:val="center"/>
          </w:tcPr>
          <w:p w14:paraId="75752056" w14:textId="77777777" w:rsidR="0051148C" w:rsidRPr="00547178" w:rsidRDefault="0051148C" w:rsidP="00240CC4">
            <w:pPr>
              <w:jc w:val="right"/>
              <w:rPr>
                <w:rFonts w:ascii="Arial" w:hAnsi="Arial" w:cs="Arial"/>
                <w:color w:val="000000"/>
                <w:sz w:val="18"/>
                <w:szCs w:val="18"/>
              </w:rPr>
            </w:pPr>
            <w:r w:rsidRPr="00547178">
              <w:rPr>
                <w:rFonts w:ascii="Arial" w:hAnsi="Arial" w:cs="Arial"/>
                <w:color w:val="000000"/>
                <w:sz w:val="18"/>
                <w:szCs w:val="18"/>
              </w:rPr>
              <w:t>2,482</w:t>
            </w:r>
          </w:p>
        </w:tc>
        <w:tc>
          <w:tcPr>
            <w:tcW w:w="2185" w:type="dxa"/>
            <w:tcBorders>
              <w:top w:val="nil"/>
              <w:left w:val="nil"/>
              <w:bottom w:val="single" w:sz="8" w:space="0" w:color="000000"/>
              <w:right w:val="single" w:sz="8" w:space="0" w:color="000000"/>
            </w:tcBorders>
            <w:shd w:val="clear" w:color="000000" w:fill="FFFFFF"/>
            <w:vAlign w:val="center"/>
          </w:tcPr>
          <w:p w14:paraId="2966756F" w14:textId="77777777" w:rsidR="0051148C" w:rsidRPr="00547178" w:rsidRDefault="0051148C" w:rsidP="00240CC4">
            <w:pPr>
              <w:jc w:val="right"/>
              <w:rPr>
                <w:rFonts w:ascii="Arial" w:hAnsi="Arial" w:cs="Arial"/>
                <w:color w:val="000000"/>
                <w:sz w:val="18"/>
                <w:szCs w:val="18"/>
              </w:rPr>
            </w:pPr>
            <w:r w:rsidRPr="00547178">
              <w:rPr>
                <w:rFonts w:ascii="Arial" w:hAnsi="Arial" w:cs="Arial"/>
                <w:color w:val="000000"/>
                <w:sz w:val="18"/>
                <w:szCs w:val="18"/>
              </w:rPr>
              <w:t>94%</w:t>
            </w:r>
          </w:p>
        </w:tc>
      </w:tr>
      <w:tr w:rsidR="0051148C" w14:paraId="3BB43880" w14:textId="77777777" w:rsidTr="00240CC4">
        <w:trPr>
          <w:trHeight w:val="305"/>
        </w:trPr>
        <w:tc>
          <w:tcPr>
            <w:tcW w:w="1748" w:type="dxa"/>
            <w:vMerge/>
            <w:tcBorders>
              <w:left w:val="single" w:sz="8" w:space="0" w:color="auto"/>
              <w:right w:val="single" w:sz="8" w:space="0" w:color="000000"/>
            </w:tcBorders>
            <w:shd w:val="clear" w:color="auto" w:fill="auto"/>
            <w:vAlign w:val="center"/>
          </w:tcPr>
          <w:p w14:paraId="44FB91D4" w14:textId="77777777" w:rsidR="0051148C" w:rsidRPr="00547178" w:rsidRDefault="0051148C" w:rsidP="00240CC4">
            <w:pPr>
              <w:rPr>
                <w:rFonts w:ascii="Arial" w:hAnsi="Arial" w:cs="Arial"/>
                <w:b/>
                <w:bCs/>
                <w:color w:val="000000"/>
                <w:sz w:val="18"/>
                <w:szCs w:val="18"/>
              </w:rPr>
            </w:pPr>
          </w:p>
        </w:tc>
        <w:tc>
          <w:tcPr>
            <w:tcW w:w="1748" w:type="dxa"/>
            <w:tcBorders>
              <w:top w:val="nil"/>
              <w:left w:val="nil"/>
              <w:bottom w:val="single" w:sz="8" w:space="0" w:color="000000"/>
              <w:right w:val="single" w:sz="8" w:space="0" w:color="000000"/>
            </w:tcBorders>
            <w:shd w:val="clear" w:color="000000" w:fill="FFFFFF"/>
            <w:vAlign w:val="center"/>
          </w:tcPr>
          <w:p w14:paraId="021646EA" w14:textId="77777777" w:rsidR="0051148C" w:rsidRPr="00547178" w:rsidRDefault="0051148C" w:rsidP="00240CC4">
            <w:pPr>
              <w:jc w:val="right"/>
              <w:rPr>
                <w:rFonts w:ascii="Arial" w:hAnsi="Arial" w:cs="Arial"/>
                <w:b/>
                <w:bCs/>
                <w:color w:val="000000"/>
                <w:sz w:val="18"/>
                <w:szCs w:val="18"/>
              </w:rPr>
            </w:pPr>
            <w:r w:rsidRPr="00547178">
              <w:rPr>
                <w:rFonts w:ascii="Arial" w:hAnsi="Arial" w:cs="Arial"/>
                <w:b/>
                <w:bCs/>
                <w:color w:val="000000"/>
                <w:sz w:val="18"/>
                <w:szCs w:val="18"/>
              </w:rPr>
              <w:t>2+</w:t>
            </w:r>
          </w:p>
        </w:tc>
        <w:tc>
          <w:tcPr>
            <w:tcW w:w="1748" w:type="dxa"/>
            <w:tcBorders>
              <w:top w:val="nil"/>
              <w:left w:val="nil"/>
              <w:bottom w:val="single" w:sz="8" w:space="0" w:color="000000"/>
              <w:right w:val="single" w:sz="8" w:space="0" w:color="000000"/>
            </w:tcBorders>
            <w:shd w:val="clear" w:color="000000" w:fill="FFFFFF"/>
            <w:vAlign w:val="center"/>
          </w:tcPr>
          <w:p w14:paraId="2BAB2AC4" w14:textId="77777777" w:rsidR="0051148C" w:rsidRPr="00547178" w:rsidRDefault="0051148C" w:rsidP="00240CC4">
            <w:pPr>
              <w:jc w:val="right"/>
              <w:rPr>
                <w:rFonts w:ascii="Arial" w:hAnsi="Arial" w:cs="Arial"/>
                <w:color w:val="000000"/>
                <w:sz w:val="18"/>
                <w:szCs w:val="18"/>
              </w:rPr>
            </w:pPr>
            <w:r w:rsidRPr="00547178">
              <w:rPr>
                <w:rFonts w:ascii="Arial" w:hAnsi="Arial" w:cs="Arial"/>
                <w:color w:val="000000"/>
                <w:sz w:val="18"/>
                <w:szCs w:val="18"/>
              </w:rPr>
              <w:t>169</w:t>
            </w:r>
          </w:p>
        </w:tc>
        <w:tc>
          <w:tcPr>
            <w:tcW w:w="2185" w:type="dxa"/>
            <w:tcBorders>
              <w:top w:val="nil"/>
              <w:left w:val="nil"/>
              <w:bottom w:val="single" w:sz="8" w:space="0" w:color="000000"/>
              <w:right w:val="single" w:sz="8" w:space="0" w:color="000000"/>
            </w:tcBorders>
            <w:shd w:val="clear" w:color="000000" w:fill="FFFFFF"/>
            <w:vAlign w:val="center"/>
          </w:tcPr>
          <w:p w14:paraId="60947E0A" w14:textId="77777777" w:rsidR="0051148C" w:rsidRPr="00547178" w:rsidRDefault="0051148C" w:rsidP="00240CC4">
            <w:pPr>
              <w:jc w:val="right"/>
              <w:rPr>
                <w:rFonts w:ascii="Arial" w:hAnsi="Arial" w:cs="Arial"/>
                <w:color w:val="000000"/>
                <w:sz w:val="18"/>
                <w:szCs w:val="18"/>
              </w:rPr>
            </w:pPr>
            <w:r w:rsidRPr="00547178">
              <w:rPr>
                <w:rFonts w:ascii="Arial" w:hAnsi="Arial" w:cs="Arial"/>
                <w:color w:val="000000"/>
                <w:sz w:val="18"/>
                <w:szCs w:val="18"/>
              </w:rPr>
              <w:t>6%</w:t>
            </w:r>
          </w:p>
        </w:tc>
      </w:tr>
      <w:tr w:rsidR="0051148C" w14:paraId="7CE33EC6" w14:textId="77777777" w:rsidTr="00240CC4">
        <w:trPr>
          <w:trHeight w:val="305"/>
        </w:trPr>
        <w:tc>
          <w:tcPr>
            <w:tcW w:w="1748" w:type="dxa"/>
            <w:vMerge/>
            <w:tcBorders>
              <w:left w:val="single" w:sz="8" w:space="0" w:color="auto"/>
              <w:bottom w:val="single" w:sz="4" w:space="0" w:color="auto"/>
              <w:right w:val="single" w:sz="8" w:space="0" w:color="000000"/>
            </w:tcBorders>
            <w:shd w:val="clear" w:color="auto" w:fill="auto"/>
            <w:vAlign w:val="center"/>
            <w:hideMark/>
          </w:tcPr>
          <w:p w14:paraId="0BE84B70" w14:textId="77777777" w:rsidR="0051148C" w:rsidRPr="00547178" w:rsidRDefault="0051148C" w:rsidP="00240CC4">
            <w:pPr>
              <w:rPr>
                <w:rFonts w:ascii="Arial" w:hAnsi="Arial" w:cs="Arial"/>
                <w:b/>
                <w:bCs/>
                <w:color w:val="000000"/>
                <w:sz w:val="18"/>
                <w:szCs w:val="18"/>
              </w:rPr>
            </w:pPr>
          </w:p>
        </w:tc>
        <w:tc>
          <w:tcPr>
            <w:tcW w:w="1748" w:type="dxa"/>
            <w:tcBorders>
              <w:top w:val="nil"/>
              <w:left w:val="single" w:sz="8" w:space="0" w:color="000000"/>
              <w:bottom w:val="single" w:sz="4" w:space="0" w:color="auto"/>
              <w:right w:val="single" w:sz="8" w:space="0" w:color="000000"/>
            </w:tcBorders>
            <w:shd w:val="clear" w:color="000000" w:fill="FFFFFF"/>
            <w:vAlign w:val="center"/>
            <w:hideMark/>
          </w:tcPr>
          <w:p w14:paraId="69A2BF5B" w14:textId="77777777" w:rsidR="0051148C" w:rsidRPr="00547178" w:rsidRDefault="0051148C" w:rsidP="00240CC4">
            <w:pPr>
              <w:jc w:val="right"/>
              <w:rPr>
                <w:rFonts w:ascii="Arial" w:hAnsi="Arial" w:cs="Arial"/>
                <w:b/>
                <w:bCs/>
                <w:color w:val="000000"/>
                <w:sz w:val="18"/>
                <w:szCs w:val="18"/>
              </w:rPr>
            </w:pPr>
            <w:r w:rsidRPr="00547178">
              <w:rPr>
                <w:rFonts w:ascii="Arial" w:hAnsi="Arial" w:cs="Arial"/>
                <w:b/>
                <w:bCs/>
                <w:color w:val="000000"/>
                <w:sz w:val="18"/>
                <w:szCs w:val="18"/>
              </w:rPr>
              <w:t>Total</w:t>
            </w:r>
          </w:p>
        </w:tc>
        <w:tc>
          <w:tcPr>
            <w:tcW w:w="1748" w:type="dxa"/>
            <w:tcBorders>
              <w:top w:val="nil"/>
              <w:left w:val="nil"/>
              <w:bottom w:val="single" w:sz="4" w:space="0" w:color="auto"/>
              <w:right w:val="single" w:sz="8" w:space="0" w:color="000000"/>
            </w:tcBorders>
            <w:shd w:val="clear" w:color="000000" w:fill="FFFFFF"/>
            <w:vAlign w:val="center"/>
            <w:hideMark/>
          </w:tcPr>
          <w:p w14:paraId="239404B1" w14:textId="77777777" w:rsidR="0051148C" w:rsidRPr="00547178" w:rsidRDefault="0051148C" w:rsidP="00240CC4">
            <w:pPr>
              <w:jc w:val="right"/>
              <w:rPr>
                <w:rFonts w:ascii="Arial" w:hAnsi="Arial" w:cs="Arial"/>
                <w:color w:val="000000"/>
                <w:sz w:val="18"/>
                <w:szCs w:val="18"/>
              </w:rPr>
            </w:pPr>
            <w:r w:rsidRPr="00547178">
              <w:rPr>
                <w:rFonts w:ascii="Arial" w:hAnsi="Arial" w:cs="Arial"/>
                <w:b/>
                <w:bCs/>
                <w:color w:val="000000"/>
                <w:sz w:val="18"/>
                <w:szCs w:val="18"/>
              </w:rPr>
              <w:t>2,651</w:t>
            </w:r>
          </w:p>
        </w:tc>
        <w:tc>
          <w:tcPr>
            <w:tcW w:w="2185" w:type="dxa"/>
            <w:tcBorders>
              <w:top w:val="nil"/>
              <w:left w:val="nil"/>
              <w:bottom w:val="single" w:sz="4" w:space="0" w:color="auto"/>
              <w:right w:val="single" w:sz="8" w:space="0" w:color="000000"/>
            </w:tcBorders>
            <w:shd w:val="clear" w:color="000000" w:fill="FFFFFF"/>
            <w:vAlign w:val="center"/>
            <w:hideMark/>
          </w:tcPr>
          <w:p w14:paraId="0084ACBB" w14:textId="77777777" w:rsidR="0051148C" w:rsidRPr="00547178" w:rsidRDefault="0051148C" w:rsidP="00240CC4">
            <w:pPr>
              <w:jc w:val="right"/>
              <w:rPr>
                <w:rFonts w:ascii="Arial" w:hAnsi="Arial" w:cs="Arial"/>
                <w:color w:val="000000"/>
                <w:sz w:val="18"/>
                <w:szCs w:val="18"/>
              </w:rPr>
            </w:pPr>
            <w:r w:rsidRPr="00547178">
              <w:rPr>
                <w:rFonts w:ascii="Arial" w:hAnsi="Arial" w:cs="Arial"/>
                <w:b/>
                <w:bCs/>
                <w:color w:val="000000"/>
                <w:sz w:val="18"/>
                <w:szCs w:val="18"/>
              </w:rPr>
              <w:t>100%</w:t>
            </w:r>
          </w:p>
        </w:tc>
      </w:tr>
      <w:tr w:rsidR="0051148C" w14:paraId="1FD61D8B" w14:textId="77777777" w:rsidTr="00240CC4">
        <w:trPr>
          <w:trHeight w:val="305"/>
        </w:trPr>
        <w:tc>
          <w:tcPr>
            <w:tcW w:w="1748" w:type="dxa"/>
            <w:vMerge w:val="restart"/>
            <w:tcBorders>
              <w:top w:val="single" w:sz="4" w:space="0" w:color="auto"/>
              <w:left w:val="single" w:sz="8" w:space="0" w:color="auto"/>
              <w:right w:val="single" w:sz="8" w:space="0" w:color="000000"/>
            </w:tcBorders>
            <w:vAlign w:val="center"/>
          </w:tcPr>
          <w:p w14:paraId="34EC1EA7" w14:textId="77777777" w:rsidR="0051148C" w:rsidRPr="00547178" w:rsidRDefault="0051148C" w:rsidP="00240CC4">
            <w:pPr>
              <w:rPr>
                <w:rFonts w:ascii="Arial" w:hAnsi="Arial" w:cs="Arial"/>
                <w:b/>
                <w:bCs/>
                <w:color w:val="000000"/>
                <w:sz w:val="18"/>
                <w:szCs w:val="18"/>
              </w:rPr>
            </w:pPr>
            <w:r w:rsidRPr="00547178">
              <w:rPr>
                <w:rFonts w:ascii="Arial" w:hAnsi="Arial" w:cs="Arial"/>
                <w:b/>
                <w:bCs/>
                <w:color w:val="000000"/>
                <w:sz w:val="18"/>
                <w:szCs w:val="18"/>
              </w:rPr>
              <w:t>2015-16</w:t>
            </w:r>
          </w:p>
        </w:tc>
        <w:tc>
          <w:tcPr>
            <w:tcW w:w="1748" w:type="dxa"/>
            <w:tcBorders>
              <w:top w:val="single" w:sz="4" w:space="0" w:color="auto"/>
              <w:left w:val="single" w:sz="8" w:space="0" w:color="000000"/>
              <w:bottom w:val="single" w:sz="4" w:space="0" w:color="auto"/>
              <w:right w:val="single" w:sz="8" w:space="0" w:color="000000"/>
            </w:tcBorders>
            <w:shd w:val="clear" w:color="000000" w:fill="FFFFFF"/>
            <w:vAlign w:val="center"/>
          </w:tcPr>
          <w:p w14:paraId="6160C11C" w14:textId="77777777" w:rsidR="0051148C" w:rsidRPr="00547178" w:rsidRDefault="0051148C" w:rsidP="00240CC4">
            <w:pPr>
              <w:jc w:val="right"/>
              <w:rPr>
                <w:rFonts w:ascii="Arial" w:hAnsi="Arial" w:cs="Arial"/>
                <w:b/>
                <w:bCs/>
                <w:color w:val="000000"/>
                <w:sz w:val="18"/>
                <w:szCs w:val="18"/>
              </w:rPr>
            </w:pPr>
            <w:r w:rsidRPr="00547178">
              <w:rPr>
                <w:rFonts w:ascii="Arial" w:hAnsi="Arial" w:cs="Arial"/>
                <w:b/>
                <w:bCs/>
                <w:color w:val="000000"/>
                <w:sz w:val="18"/>
                <w:szCs w:val="18"/>
              </w:rPr>
              <w:t>1</w:t>
            </w:r>
          </w:p>
        </w:tc>
        <w:tc>
          <w:tcPr>
            <w:tcW w:w="1748" w:type="dxa"/>
            <w:tcBorders>
              <w:top w:val="single" w:sz="4" w:space="0" w:color="auto"/>
              <w:left w:val="nil"/>
              <w:bottom w:val="single" w:sz="4" w:space="0" w:color="auto"/>
              <w:right w:val="single" w:sz="8" w:space="0" w:color="000000"/>
            </w:tcBorders>
            <w:shd w:val="clear" w:color="000000" w:fill="FFFFFF"/>
            <w:vAlign w:val="center"/>
          </w:tcPr>
          <w:p w14:paraId="57DD4435" w14:textId="77777777" w:rsidR="0051148C" w:rsidRPr="00547178" w:rsidRDefault="0051148C" w:rsidP="00240CC4">
            <w:pPr>
              <w:jc w:val="right"/>
              <w:rPr>
                <w:rFonts w:ascii="Arial" w:hAnsi="Arial" w:cs="Arial"/>
                <w:bCs/>
                <w:color w:val="000000"/>
                <w:sz w:val="18"/>
                <w:szCs w:val="18"/>
              </w:rPr>
            </w:pPr>
            <w:r w:rsidRPr="00547178">
              <w:rPr>
                <w:rFonts w:ascii="Arial" w:hAnsi="Arial" w:cs="Arial"/>
                <w:bCs/>
                <w:color w:val="000000"/>
                <w:sz w:val="18"/>
                <w:szCs w:val="18"/>
              </w:rPr>
              <w:t>2,541</w:t>
            </w:r>
          </w:p>
        </w:tc>
        <w:tc>
          <w:tcPr>
            <w:tcW w:w="2185" w:type="dxa"/>
            <w:tcBorders>
              <w:top w:val="single" w:sz="4" w:space="0" w:color="auto"/>
              <w:left w:val="nil"/>
              <w:bottom w:val="single" w:sz="4" w:space="0" w:color="auto"/>
              <w:right w:val="single" w:sz="8" w:space="0" w:color="000000"/>
            </w:tcBorders>
            <w:shd w:val="clear" w:color="000000" w:fill="FFFFFF"/>
            <w:vAlign w:val="center"/>
          </w:tcPr>
          <w:p w14:paraId="5E8E9AD1" w14:textId="77777777" w:rsidR="0051148C" w:rsidRPr="00547178" w:rsidRDefault="0051148C" w:rsidP="00240CC4">
            <w:pPr>
              <w:jc w:val="right"/>
              <w:rPr>
                <w:rFonts w:ascii="Arial" w:hAnsi="Arial" w:cs="Arial"/>
                <w:bCs/>
                <w:color w:val="000000"/>
                <w:sz w:val="18"/>
                <w:szCs w:val="18"/>
              </w:rPr>
            </w:pPr>
            <w:r w:rsidRPr="00547178">
              <w:rPr>
                <w:rFonts w:ascii="Arial" w:hAnsi="Arial" w:cs="Arial"/>
                <w:bCs/>
                <w:color w:val="000000"/>
                <w:sz w:val="18"/>
                <w:szCs w:val="18"/>
              </w:rPr>
              <w:t>92%</w:t>
            </w:r>
          </w:p>
        </w:tc>
      </w:tr>
      <w:tr w:rsidR="0051148C" w14:paraId="3A76AABD" w14:textId="77777777" w:rsidTr="00240CC4">
        <w:trPr>
          <w:trHeight w:val="305"/>
        </w:trPr>
        <w:tc>
          <w:tcPr>
            <w:tcW w:w="1748" w:type="dxa"/>
            <w:vMerge/>
            <w:tcBorders>
              <w:left w:val="single" w:sz="8" w:space="0" w:color="auto"/>
              <w:right w:val="single" w:sz="8" w:space="0" w:color="000000"/>
            </w:tcBorders>
            <w:vAlign w:val="center"/>
          </w:tcPr>
          <w:p w14:paraId="74381A43" w14:textId="77777777" w:rsidR="0051148C" w:rsidRPr="00547178" w:rsidRDefault="0051148C" w:rsidP="00240CC4">
            <w:pPr>
              <w:rPr>
                <w:rFonts w:ascii="Arial" w:hAnsi="Arial" w:cs="Arial"/>
                <w:b/>
                <w:bCs/>
                <w:color w:val="000000"/>
                <w:sz w:val="18"/>
                <w:szCs w:val="18"/>
              </w:rPr>
            </w:pPr>
          </w:p>
        </w:tc>
        <w:tc>
          <w:tcPr>
            <w:tcW w:w="1748" w:type="dxa"/>
            <w:tcBorders>
              <w:top w:val="single" w:sz="4" w:space="0" w:color="auto"/>
              <w:left w:val="single" w:sz="8" w:space="0" w:color="000000"/>
              <w:bottom w:val="single" w:sz="4" w:space="0" w:color="auto"/>
              <w:right w:val="single" w:sz="8" w:space="0" w:color="000000"/>
            </w:tcBorders>
            <w:shd w:val="clear" w:color="000000" w:fill="FFFFFF"/>
            <w:vAlign w:val="center"/>
          </w:tcPr>
          <w:p w14:paraId="27546218" w14:textId="77777777" w:rsidR="0051148C" w:rsidRPr="00547178" w:rsidRDefault="0051148C" w:rsidP="00240CC4">
            <w:pPr>
              <w:jc w:val="right"/>
              <w:rPr>
                <w:rFonts w:ascii="Arial" w:hAnsi="Arial" w:cs="Arial"/>
                <w:b/>
                <w:bCs/>
                <w:color w:val="000000"/>
                <w:sz w:val="18"/>
                <w:szCs w:val="18"/>
              </w:rPr>
            </w:pPr>
            <w:r w:rsidRPr="00547178">
              <w:rPr>
                <w:rFonts w:ascii="Arial" w:hAnsi="Arial" w:cs="Arial"/>
                <w:b/>
                <w:bCs/>
                <w:color w:val="000000"/>
                <w:sz w:val="18"/>
                <w:szCs w:val="18"/>
              </w:rPr>
              <w:t>2+</w:t>
            </w:r>
          </w:p>
        </w:tc>
        <w:tc>
          <w:tcPr>
            <w:tcW w:w="1748" w:type="dxa"/>
            <w:tcBorders>
              <w:top w:val="single" w:sz="4" w:space="0" w:color="auto"/>
              <w:left w:val="nil"/>
              <w:bottom w:val="single" w:sz="4" w:space="0" w:color="auto"/>
              <w:right w:val="single" w:sz="8" w:space="0" w:color="000000"/>
            </w:tcBorders>
            <w:shd w:val="clear" w:color="000000" w:fill="FFFFFF"/>
            <w:vAlign w:val="center"/>
          </w:tcPr>
          <w:p w14:paraId="6B43FFD1" w14:textId="77777777" w:rsidR="0051148C" w:rsidRPr="00547178" w:rsidRDefault="0051148C" w:rsidP="00240CC4">
            <w:pPr>
              <w:jc w:val="right"/>
              <w:rPr>
                <w:rFonts w:ascii="Arial" w:hAnsi="Arial" w:cs="Arial"/>
                <w:bCs/>
                <w:color w:val="000000"/>
                <w:sz w:val="18"/>
                <w:szCs w:val="18"/>
              </w:rPr>
            </w:pPr>
            <w:r w:rsidRPr="00547178">
              <w:rPr>
                <w:rFonts w:ascii="Arial" w:hAnsi="Arial" w:cs="Arial"/>
                <w:bCs/>
                <w:color w:val="000000"/>
                <w:sz w:val="18"/>
                <w:szCs w:val="18"/>
              </w:rPr>
              <w:t>207</w:t>
            </w:r>
          </w:p>
        </w:tc>
        <w:tc>
          <w:tcPr>
            <w:tcW w:w="2185" w:type="dxa"/>
            <w:tcBorders>
              <w:top w:val="single" w:sz="4" w:space="0" w:color="auto"/>
              <w:left w:val="nil"/>
              <w:bottom w:val="single" w:sz="4" w:space="0" w:color="auto"/>
              <w:right w:val="single" w:sz="8" w:space="0" w:color="000000"/>
            </w:tcBorders>
            <w:shd w:val="clear" w:color="000000" w:fill="FFFFFF"/>
            <w:vAlign w:val="center"/>
          </w:tcPr>
          <w:p w14:paraId="2AB9F19C" w14:textId="77777777" w:rsidR="0051148C" w:rsidRPr="00547178" w:rsidRDefault="0051148C" w:rsidP="00240CC4">
            <w:pPr>
              <w:jc w:val="right"/>
              <w:rPr>
                <w:rFonts w:ascii="Arial" w:hAnsi="Arial" w:cs="Arial"/>
                <w:bCs/>
                <w:color w:val="000000"/>
                <w:sz w:val="18"/>
                <w:szCs w:val="18"/>
              </w:rPr>
            </w:pPr>
            <w:r w:rsidRPr="00547178">
              <w:rPr>
                <w:rFonts w:ascii="Arial" w:hAnsi="Arial" w:cs="Arial"/>
                <w:bCs/>
                <w:color w:val="000000"/>
                <w:sz w:val="18"/>
                <w:szCs w:val="18"/>
              </w:rPr>
              <w:t>8%</w:t>
            </w:r>
          </w:p>
        </w:tc>
      </w:tr>
      <w:tr w:rsidR="0051148C" w14:paraId="6AC5CAF8" w14:textId="77777777" w:rsidTr="00240CC4">
        <w:trPr>
          <w:trHeight w:val="305"/>
        </w:trPr>
        <w:tc>
          <w:tcPr>
            <w:tcW w:w="1748" w:type="dxa"/>
            <w:vMerge/>
            <w:tcBorders>
              <w:left w:val="single" w:sz="8" w:space="0" w:color="auto"/>
              <w:bottom w:val="single" w:sz="4" w:space="0" w:color="auto"/>
              <w:right w:val="single" w:sz="8" w:space="0" w:color="000000"/>
            </w:tcBorders>
            <w:vAlign w:val="center"/>
          </w:tcPr>
          <w:p w14:paraId="7580EFEB" w14:textId="77777777" w:rsidR="0051148C" w:rsidRPr="00547178" w:rsidRDefault="0051148C" w:rsidP="00240CC4">
            <w:pPr>
              <w:rPr>
                <w:rFonts w:ascii="Arial" w:hAnsi="Arial" w:cs="Arial"/>
                <w:b/>
                <w:bCs/>
                <w:color w:val="000000"/>
                <w:sz w:val="18"/>
                <w:szCs w:val="18"/>
              </w:rPr>
            </w:pPr>
          </w:p>
        </w:tc>
        <w:tc>
          <w:tcPr>
            <w:tcW w:w="1748" w:type="dxa"/>
            <w:tcBorders>
              <w:top w:val="single" w:sz="4" w:space="0" w:color="auto"/>
              <w:left w:val="single" w:sz="8" w:space="0" w:color="000000"/>
              <w:bottom w:val="single" w:sz="8" w:space="0" w:color="000000"/>
              <w:right w:val="single" w:sz="8" w:space="0" w:color="000000"/>
            </w:tcBorders>
            <w:shd w:val="clear" w:color="000000" w:fill="FFFFFF"/>
            <w:vAlign w:val="center"/>
          </w:tcPr>
          <w:p w14:paraId="6E8113B6" w14:textId="77777777" w:rsidR="0051148C" w:rsidRPr="00547178" w:rsidRDefault="0051148C" w:rsidP="00240CC4">
            <w:pPr>
              <w:jc w:val="right"/>
              <w:rPr>
                <w:rFonts w:ascii="Arial" w:hAnsi="Arial" w:cs="Arial"/>
                <w:b/>
                <w:bCs/>
                <w:color w:val="000000"/>
                <w:sz w:val="18"/>
                <w:szCs w:val="18"/>
              </w:rPr>
            </w:pPr>
            <w:r w:rsidRPr="00547178">
              <w:rPr>
                <w:rFonts w:ascii="Arial" w:hAnsi="Arial" w:cs="Arial"/>
                <w:b/>
                <w:bCs/>
                <w:color w:val="000000"/>
                <w:sz w:val="18"/>
                <w:szCs w:val="18"/>
              </w:rPr>
              <w:t>Total</w:t>
            </w:r>
          </w:p>
        </w:tc>
        <w:tc>
          <w:tcPr>
            <w:tcW w:w="1748" w:type="dxa"/>
            <w:tcBorders>
              <w:top w:val="single" w:sz="4" w:space="0" w:color="auto"/>
              <w:left w:val="nil"/>
              <w:bottom w:val="single" w:sz="8" w:space="0" w:color="000000"/>
              <w:right w:val="single" w:sz="8" w:space="0" w:color="000000"/>
            </w:tcBorders>
            <w:shd w:val="clear" w:color="000000" w:fill="FFFFFF"/>
            <w:vAlign w:val="center"/>
          </w:tcPr>
          <w:p w14:paraId="68DE2B5F" w14:textId="77777777" w:rsidR="0051148C" w:rsidRPr="00547178" w:rsidRDefault="0051148C" w:rsidP="00240CC4">
            <w:pPr>
              <w:jc w:val="right"/>
              <w:rPr>
                <w:rFonts w:ascii="Arial" w:hAnsi="Arial" w:cs="Arial"/>
                <w:b/>
                <w:bCs/>
                <w:color w:val="000000"/>
                <w:sz w:val="18"/>
                <w:szCs w:val="18"/>
              </w:rPr>
            </w:pPr>
            <w:r w:rsidRPr="00547178">
              <w:rPr>
                <w:rFonts w:ascii="Arial" w:hAnsi="Arial" w:cs="Arial"/>
                <w:b/>
                <w:bCs/>
                <w:color w:val="000000"/>
                <w:sz w:val="18"/>
                <w:szCs w:val="18"/>
              </w:rPr>
              <w:t>2,748</w:t>
            </w:r>
          </w:p>
        </w:tc>
        <w:tc>
          <w:tcPr>
            <w:tcW w:w="2185" w:type="dxa"/>
            <w:tcBorders>
              <w:top w:val="single" w:sz="4" w:space="0" w:color="auto"/>
              <w:left w:val="nil"/>
              <w:bottom w:val="single" w:sz="8" w:space="0" w:color="000000"/>
              <w:right w:val="single" w:sz="8" w:space="0" w:color="000000"/>
            </w:tcBorders>
            <w:shd w:val="clear" w:color="000000" w:fill="FFFFFF"/>
            <w:vAlign w:val="center"/>
          </w:tcPr>
          <w:p w14:paraId="2E32B7E6" w14:textId="77777777" w:rsidR="0051148C" w:rsidRPr="00547178" w:rsidRDefault="0051148C" w:rsidP="00240CC4">
            <w:pPr>
              <w:jc w:val="right"/>
              <w:rPr>
                <w:rFonts w:ascii="Arial" w:hAnsi="Arial" w:cs="Arial"/>
                <w:b/>
                <w:bCs/>
                <w:color w:val="000000"/>
                <w:sz w:val="18"/>
                <w:szCs w:val="18"/>
              </w:rPr>
            </w:pPr>
            <w:r w:rsidRPr="00547178">
              <w:rPr>
                <w:rFonts w:ascii="Arial" w:hAnsi="Arial" w:cs="Arial"/>
                <w:b/>
                <w:bCs/>
                <w:color w:val="000000"/>
                <w:sz w:val="18"/>
                <w:szCs w:val="18"/>
              </w:rPr>
              <w:t>100%</w:t>
            </w:r>
          </w:p>
        </w:tc>
      </w:tr>
    </w:tbl>
    <w:p w14:paraId="1C4EE910" w14:textId="36F93533" w:rsidR="0051148C" w:rsidRDefault="0051148C">
      <w:pPr>
        <w:rPr>
          <w:sz w:val="20"/>
        </w:rPr>
      </w:pPr>
      <w:r>
        <w:rPr>
          <w:i/>
          <w:sz w:val="20"/>
        </w:rPr>
        <w:t xml:space="preserve">Source for tables </w:t>
      </w:r>
      <w:r w:rsidR="00EE081A">
        <w:rPr>
          <w:i/>
          <w:sz w:val="20"/>
        </w:rPr>
        <w:t>2-5</w:t>
      </w:r>
      <w:r w:rsidR="00A73613">
        <w:rPr>
          <w:i/>
          <w:sz w:val="20"/>
        </w:rPr>
        <w:t>: Department of Health</w:t>
      </w:r>
    </w:p>
    <w:p w14:paraId="100BAF3C" w14:textId="7991D94B" w:rsidR="0051148C" w:rsidRDefault="0051148C" w:rsidP="0051148C">
      <w:r>
        <w:rPr>
          <w:noProof/>
        </w:rPr>
        <w:lastRenderedPageBreak/>
        <mc:AlternateContent>
          <mc:Choice Requires="wps">
            <w:drawing>
              <wp:anchor distT="0" distB="0" distL="114300" distR="114300" simplePos="0" relativeHeight="251663360" behindDoc="0" locked="0" layoutInCell="1" allowOverlap="1" wp14:anchorId="6CA7E9FD" wp14:editId="7014947A">
                <wp:simplePos x="0" y="0"/>
                <wp:positionH relativeFrom="column">
                  <wp:posOffset>3895725</wp:posOffset>
                </wp:positionH>
                <wp:positionV relativeFrom="paragraph">
                  <wp:posOffset>175261</wp:posOffset>
                </wp:positionV>
                <wp:extent cx="360045" cy="361950"/>
                <wp:effectExtent l="0" t="0" r="1905" b="0"/>
                <wp:wrapNone/>
                <wp:docPr id="8" name="Text Box 8"/>
                <wp:cNvGraphicFramePr/>
                <a:graphic xmlns:a="http://schemas.openxmlformats.org/drawingml/2006/main">
                  <a:graphicData uri="http://schemas.microsoft.com/office/word/2010/wordprocessingShape">
                    <wps:wsp>
                      <wps:cNvSpPr txBox="1"/>
                      <wps:spPr>
                        <a:xfrm>
                          <a:off x="0" y="0"/>
                          <a:ext cx="360045"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708E5F" w14:textId="77777777" w:rsidR="007D146C" w:rsidRPr="00304E80" w:rsidRDefault="007D146C" w:rsidP="0051148C">
                            <w:pPr>
                              <w:rPr>
                                <w:b/>
                                <w:sz w:val="32"/>
                                <w:szCs w:val="32"/>
                              </w:rPr>
                            </w:pPr>
                            <w:r w:rsidRPr="00304E80">
                              <w:rPr>
                                <w:b/>
                                <w:sz w:val="32"/>
                                <w:szCs w:val="3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06.75pt;margin-top:13.8pt;width:28.35pt;height:2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" fillcolor="white [3201]" stroked="f" strokeweight=".5pt">
                <v:textbox>
                  <w:txbxContent>
                    <w:p w14:paraId="43708E5F" w14:textId="77777777" w:rsidR="007D146C" w:rsidRPr="00304E80" w:rsidRDefault="007D146C" w:rsidP="0051148C">
                      <w:pPr>
                        <w:rPr>
                          <w:b/>
                          <w:sz w:val="32"/>
                          <w:szCs w:val="32"/>
                        </w:rPr>
                      </w:pPr>
                      <w:r w:rsidRPr="00304E80">
                        <w:rPr>
                          <w:b/>
                          <w:sz w:val="32"/>
                          <w:szCs w:val="32"/>
                        </w:rPr>
                        <w:t>a)</w:t>
                      </w:r>
                    </w:p>
                  </w:txbxContent>
                </v:textbox>
              </v:shape>
            </w:pict>
          </mc:Fallback>
        </mc:AlternateContent>
      </w:r>
      <w:r>
        <w:rPr>
          <w:noProof/>
        </w:rPr>
        <w:drawing>
          <wp:inline distT="0" distB="0" distL="0" distR="0" wp14:anchorId="6B95F5C5" wp14:editId="209CE92A">
            <wp:extent cx="4663533" cy="2505075"/>
            <wp:effectExtent l="0" t="0" r="3810" b="0"/>
            <wp:docPr id="15" name="Picture 15" descr="Figure 3 presents three horizontal bar charts of the number of services for MBS item 73337, by gender and age. Each bar chart is for each financial year of 2013-14, 2014-15 and 2015-16. The age brackets are 15-24, 25-34, 35-44, 45-54, 55-64, 65-74, 75-84 and greater than or equal to 85. The item is claimed most by patients in the 65-74 age bra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edicare Item 73337 processed from July 2013 to June 2014"/>
                    <pic:cNvPicPr>
                      <a:picLocks noChangeAspect="1" noChangeArrowheads="1"/>
                    </pic:cNvPicPr>
                  </pic:nvPicPr>
                  <pic:blipFill rotWithShape="1">
                    <a:blip r:embed="rId14">
                      <a:extLst>
                        <a:ext uri="{28A0092B-C50C-407E-A947-70E740481C1C}">
                          <a14:useLocalDpi xmlns:a14="http://schemas.microsoft.com/office/drawing/2010/main" val="0"/>
                        </a:ext>
                      </a:extLst>
                    </a:blip>
                    <a:srcRect t="1256" b="18790"/>
                    <a:stretch/>
                  </pic:blipFill>
                  <pic:spPr bwMode="auto">
                    <a:xfrm>
                      <a:off x="0" y="0"/>
                      <a:ext cx="4688647" cy="2518565"/>
                    </a:xfrm>
                    <a:prstGeom prst="rect">
                      <a:avLst/>
                    </a:prstGeom>
                    <a:noFill/>
                    <a:ln>
                      <a:noFill/>
                    </a:ln>
                    <a:extLst>
                      <a:ext uri="{53640926-AAD7-44D8-BBD7-CCE9431645EC}">
                        <a14:shadowObscured xmlns:a14="http://schemas.microsoft.com/office/drawing/2010/main"/>
                      </a:ext>
                    </a:extLst>
                  </pic:spPr>
                </pic:pic>
              </a:graphicData>
            </a:graphic>
          </wp:inline>
        </w:drawing>
      </w:r>
    </w:p>
    <w:p w14:paraId="7516BDAB" w14:textId="19A8D856" w:rsidR="0051148C" w:rsidRDefault="0051148C" w:rsidP="0051148C">
      <w:r>
        <w:rPr>
          <w:noProof/>
        </w:rPr>
        <mc:AlternateContent>
          <mc:Choice Requires="wps">
            <w:drawing>
              <wp:anchor distT="0" distB="0" distL="114300" distR="114300" simplePos="0" relativeHeight="251661312" behindDoc="0" locked="0" layoutInCell="1" allowOverlap="1" wp14:anchorId="7D801ADA" wp14:editId="26A7953E">
                <wp:simplePos x="0" y="0"/>
                <wp:positionH relativeFrom="column">
                  <wp:posOffset>3895725</wp:posOffset>
                </wp:positionH>
                <wp:positionV relativeFrom="paragraph">
                  <wp:posOffset>289560</wp:posOffset>
                </wp:positionV>
                <wp:extent cx="429404" cy="361950"/>
                <wp:effectExtent l="0" t="0" r="8890" b="0"/>
                <wp:wrapNone/>
                <wp:docPr id="3" name="Text Box 3"/>
                <wp:cNvGraphicFramePr/>
                <a:graphic xmlns:a="http://schemas.openxmlformats.org/drawingml/2006/main">
                  <a:graphicData uri="http://schemas.microsoft.com/office/word/2010/wordprocessingShape">
                    <wps:wsp>
                      <wps:cNvSpPr txBox="1"/>
                      <wps:spPr>
                        <a:xfrm>
                          <a:off x="0" y="0"/>
                          <a:ext cx="429404"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0FB1B6" w14:textId="77777777" w:rsidR="007D146C" w:rsidRPr="00304E80" w:rsidRDefault="007D146C" w:rsidP="0051148C">
                            <w:pPr>
                              <w:rPr>
                                <w:b/>
                                <w:sz w:val="32"/>
                                <w:szCs w:val="32"/>
                              </w:rPr>
                            </w:pPr>
                            <w:r>
                              <w:rPr>
                                <w:b/>
                                <w:sz w:val="32"/>
                                <w:szCs w:val="32"/>
                              </w:rPr>
                              <w:t>b)</w:t>
                            </w:r>
                            <w:r w:rsidRPr="00304E80">
                              <w:rPr>
                                <w:b/>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margin-left:306.75pt;margin-top:22.8pt;width:33.8pt;height:2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" fillcolor="white [3201]" stroked="f" strokeweight=".5pt">
                <v:textbox>
                  <w:txbxContent>
                    <w:p w14:paraId="150FB1B6" w14:textId="77777777" w:rsidR="007D146C" w:rsidRPr="00304E80" w:rsidRDefault="007D146C" w:rsidP="0051148C">
                      <w:pPr>
                        <w:rPr>
                          <w:b/>
                          <w:sz w:val="32"/>
                          <w:szCs w:val="32"/>
                        </w:rPr>
                      </w:pPr>
                      <w:r>
                        <w:rPr>
                          <w:b/>
                          <w:sz w:val="32"/>
                          <w:szCs w:val="32"/>
                        </w:rPr>
                        <w:t>b)</w:t>
                      </w:r>
                      <w:r w:rsidRPr="00304E80">
                        <w:rPr>
                          <w:b/>
                          <w:sz w:val="32"/>
                          <w:szCs w:val="32"/>
                        </w:rPr>
                        <w:t>)</w:t>
                      </w:r>
                    </w:p>
                  </w:txbxContent>
                </v:textbox>
              </v:shape>
            </w:pict>
          </mc:Fallback>
        </mc:AlternateContent>
      </w:r>
      <w:r w:rsidRPr="0051148C">
        <w:rPr>
          <w:noProof/>
        </w:rPr>
        <w:drawing>
          <wp:inline distT="0" distB="0" distL="0" distR="0" wp14:anchorId="3EA0974A" wp14:editId="3EA9C6E0">
            <wp:extent cx="4667250" cy="2729757"/>
            <wp:effectExtent l="0" t="0" r="0" b="0"/>
            <wp:docPr id="10" name="Picture 10" descr="Figure 3 presents three horizontal bar charts of the number of services for MBS item 73337, by gender and age. Each bar chart is for each financial year of 2013-14, 2014-15 and 2015-16. The age brackets are 15-24, 25-34, 35-44, 45-54, 55-64, 65-74, 75-84 and greater than or equal to 85. The item is claimed most by patients in the 65-74 age bra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edicare Item 73337 processed from July 2014 to June 2015"/>
                    <pic:cNvPicPr>
                      <a:picLocks noChangeAspect="1" noChangeArrowheads="1"/>
                    </pic:cNvPicPr>
                  </pic:nvPicPr>
                  <pic:blipFill rotWithShape="1">
                    <a:blip r:embed="rId15">
                      <a:extLst>
                        <a:ext uri="{28A0092B-C50C-407E-A947-70E740481C1C}">
                          <a14:useLocalDpi xmlns:a14="http://schemas.microsoft.com/office/drawing/2010/main" val="0"/>
                        </a:ext>
                      </a:extLst>
                    </a:blip>
                    <a:srcRect t="1441" b="11504"/>
                    <a:stretch/>
                  </pic:blipFill>
                  <pic:spPr bwMode="auto">
                    <a:xfrm>
                      <a:off x="0" y="0"/>
                      <a:ext cx="4704538" cy="2751566"/>
                    </a:xfrm>
                    <a:prstGeom prst="rect">
                      <a:avLst/>
                    </a:prstGeom>
                    <a:noFill/>
                    <a:ln>
                      <a:noFill/>
                    </a:ln>
                    <a:extLst>
                      <a:ext uri="{53640926-AAD7-44D8-BBD7-CCE9431645EC}">
                        <a14:shadowObscured xmlns:a14="http://schemas.microsoft.com/office/drawing/2010/main"/>
                      </a:ext>
                    </a:extLst>
                  </pic:spPr>
                </pic:pic>
              </a:graphicData>
            </a:graphic>
          </wp:inline>
        </w:drawing>
      </w:r>
    </w:p>
    <w:p w14:paraId="6C42698E" w14:textId="7852E5FB" w:rsidR="0051148C" w:rsidRPr="002C7674" w:rsidRDefault="0051148C" w:rsidP="0051148C">
      <w:r>
        <w:rPr>
          <w:noProof/>
        </w:rPr>
        <mc:AlternateContent>
          <mc:Choice Requires="wps">
            <w:drawing>
              <wp:anchor distT="0" distB="0" distL="114300" distR="114300" simplePos="0" relativeHeight="251659264" behindDoc="0" locked="0" layoutInCell="1" allowOverlap="1" wp14:anchorId="035EB3E5" wp14:editId="1460CFB2">
                <wp:simplePos x="0" y="0"/>
                <wp:positionH relativeFrom="column">
                  <wp:posOffset>3895725</wp:posOffset>
                </wp:positionH>
                <wp:positionV relativeFrom="paragraph">
                  <wp:posOffset>360680</wp:posOffset>
                </wp:positionV>
                <wp:extent cx="359410" cy="381000"/>
                <wp:effectExtent l="0" t="0" r="2540" b="0"/>
                <wp:wrapNone/>
                <wp:docPr id="1" name="Text Box 1"/>
                <wp:cNvGraphicFramePr/>
                <a:graphic xmlns:a="http://schemas.openxmlformats.org/drawingml/2006/main">
                  <a:graphicData uri="http://schemas.microsoft.com/office/word/2010/wordprocessingShape">
                    <wps:wsp>
                      <wps:cNvSpPr txBox="1"/>
                      <wps:spPr>
                        <a:xfrm>
                          <a:off x="0" y="0"/>
                          <a:ext cx="359410"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D67B02" w14:textId="77777777" w:rsidR="007D146C" w:rsidRPr="00304E80" w:rsidRDefault="007D146C" w:rsidP="0051148C">
                            <w:pPr>
                              <w:rPr>
                                <w:b/>
                                <w:sz w:val="32"/>
                                <w:szCs w:val="32"/>
                              </w:rPr>
                            </w:pPr>
                            <w:r>
                              <w:rPr>
                                <w:b/>
                                <w:sz w:val="32"/>
                                <w:szCs w:val="32"/>
                              </w:rPr>
                              <w:t>c</w:t>
                            </w:r>
                            <w:r w:rsidRPr="00304E80">
                              <w:rPr>
                                <w:b/>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8" type="#_x0000_t202" style="position:absolute;margin-left:306.75pt;margin-top:28.4pt;width:28.3pt;height:3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" fillcolor="white [3201]" stroked="f" strokeweight=".5pt">
                <v:textbox>
                  <w:txbxContent>
                    <w:p w14:paraId="27D67B02" w14:textId="77777777" w:rsidR="007D146C" w:rsidRPr="00304E80" w:rsidRDefault="007D146C" w:rsidP="0051148C">
                      <w:pPr>
                        <w:rPr>
                          <w:b/>
                          <w:sz w:val="32"/>
                          <w:szCs w:val="32"/>
                        </w:rPr>
                      </w:pPr>
                      <w:r>
                        <w:rPr>
                          <w:b/>
                          <w:sz w:val="32"/>
                          <w:szCs w:val="32"/>
                        </w:rPr>
                        <w:t>c</w:t>
                      </w:r>
                      <w:r w:rsidRPr="00304E80">
                        <w:rPr>
                          <w:b/>
                          <w:sz w:val="32"/>
                          <w:szCs w:val="32"/>
                        </w:rPr>
                        <w:t>)</w:t>
                      </w:r>
                    </w:p>
                  </w:txbxContent>
                </v:textbox>
              </v:shape>
            </w:pict>
          </mc:Fallback>
        </mc:AlternateContent>
      </w:r>
      <w:r>
        <w:rPr>
          <w:noProof/>
        </w:rPr>
        <w:drawing>
          <wp:inline distT="0" distB="0" distL="0" distR="0" wp14:anchorId="628866D9" wp14:editId="123F5851">
            <wp:extent cx="4667250" cy="2743732"/>
            <wp:effectExtent l="0" t="0" r="0" b="0"/>
            <wp:docPr id="9" name="Picture 9" descr="Figure 3 presents three horizontal bar charts of the number of services for MBS item 73337, by gender and age. Each bar chart is for each financial year of 2013-14, 2014-15 and 2015-16. The age brackets are 15-24, 25-34, 35-44, 45-54, 55-64, 65-74, 75-84 and greater than or equal to 85. The item is claimed most by patients in the 65-74 age bra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dicare Item 73337 processed from July 2015 to June 2016"/>
                    <pic:cNvPicPr>
                      <a:picLocks noChangeAspect="1" noChangeArrowheads="1"/>
                    </pic:cNvPicPr>
                  </pic:nvPicPr>
                  <pic:blipFill rotWithShape="1">
                    <a:blip r:embed="rId16">
                      <a:extLst>
                        <a:ext uri="{28A0092B-C50C-407E-A947-70E740481C1C}">
                          <a14:useLocalDpi xmlns:a14="http://schemas.microsoft.com/office/drawing/2010/main" val="0"/>
                        </a:ext>
                      </a:extLst>
                    </a:blip>
                    <a:srcRect t="1389" b="11112"/>
                    <a:stretch/>
                  </pic:blipFill>
                  <pic:spPr bwMode="auto">
                    <a:xfrm>
                      <a:off x="0" y="0"/>
                      <a:ext cx="4685772" cy="2754621"/>
                    </a:xfrm>
                    <a:prstGeom prst="rect">
                      <a:avLst/>
                    </a:prstGeom>
                    <a:noFill/>
                    <a:ln>
                      <a:noFill/>
                    </a:ln>
                    <a:extLst>
                      <a:ext uri="{53640926-AAD7-44D8-BBD7-CCE9431645EC}">
                        <a14:shadowObscured xmlns:a14="http://schemas.microsoft.com/office/drawing/2010/main"/>
                      </a:ext>
                    </a:extLst>
                  </pic:spPr>
                </pic:pic>
              </a:graphicData>
            </a:graphic>
          </wp:inline>
        </w:drawing>
      </w:r>
    </w:p>
    <w:p w14:paraId="4FEFE03B" w14:textId="20DCDA32" w:rsidR="0051148C" w:rsidRDefault="0051148C" w:rsidP="009C5632">
      <w:pPr>
        <w:pStyle w:val="Heading3"/>
      </w:pPr>
      <w:r w:rsidRPr="009C5632">
        <w:rPr>
          <w:rFonts w:cs="Times New Roman"/>
          <w:szCs w:val="18"/>
        </w:rPr>
        <w:t xml:space="preserve">Figure </w:t>
      </w:r>
      <w:r w:rsidR="00240CC4" w:rsidRPr="009C5632">
        <w:rPr>
          <w:rFonts w:cs="Times New Roman"/>
          <w:szCs w:val="18"/>
        </w:rPr>
        <w:t>3</w:t>
      </w:r>
      <w:r w:rsidRPr="009C5632">
        <w:rPr>
          <w:rFonts w:cs="Times New Roman"/>
          <w:szCs w:val="18"/>
        </w:rPr>
        <w:t>: Demographic profile for MBS item 73337 for 2013-14 (a), 2014-15 (b) and 2015-16 (c).</w:t>
      </w:r>
      <w:r>
        <w:t xml:space="preserve"> </w:t>
      </w:r>
    </w:p>
    <w:p w14:paraId="4AD86B37" w14:textId="117AB0FC" w:rsidR="0051148C" w:rsidRDefault="0051148C" w:rsidP="0051148C">
      <w:pPr>
        <w:rPr>
          <w:szCs w:val="24"/>
        </w:rPr>
      </w:pPr>
      <w:r w:rsidRPr="00EC0EE5">
        <w:rPr>
          <w:i/>
          <w:sz w:val="20"/>
        </w:rPr>
        <w:t>Source: Medicare Statistics Online</w:t>
      </w:r>
    </w:p>
    <w:p w14:paraId="4ACBFCDC" w14:textId="2AE463A7" w:rsidR="004E015F" w:rsidRDefault="004E015F" w:rsidP="004E015F">
      <w:pPr>
        <w:pStyle w:val="Heading2"/>
      </w:pPr>
      <w:r>
        <w:t>Practitioner breakdown</w:t>
      </w:r>
    </w:p>
    <w:p w14:paraId="7FF7E788" w14:textId="0023FF27" w:rsidR="009E332F" w:rsidRDefault="009E332F" w:rsidP="009E332F">
      <w:r w:rsidRPr="00AB6B89">
        <w:t>From 2013-14 to 2015-16, the number of practitioners providing this service grew from 25 to 57</w:t>
      </w:r>
      <w:r>
        <w:t xml:space="preserve"> (Table 5)</w:t>
      </w:r>
      <w:r w:rsidRPr="00AB6B89">
        <w:t xml:space="preserve">. The majority of practitioners </w:t>
      </w:r>
      <w:r w:rsidR="005E7BD4">
        <w:t>are</w:t>
      </w:r>
      <w:r w:rsidRPr="00AB6B89">
        <w:t xml:space="preserve"> pathologists</w:t>
      </w:r>
      <w:r>
        <w:t>.</w:t>
      </w:r>
    </w:p>
    <w:p w14:paraId="429A9144" w14:textId="3C524181" w:rsidR="009E332F" w:rsidRDefault="009E332F" w:rsidP="007A775F">
      <w:pPr>
        <w:spacing w:before="240"/>
      </w:pPr>
      <w:r>
        <w:lastRenderedPageBreak/>
        <w:t>Of the 57 practitioners providing this service in 2015-16, 20% were providing 75% of services (Table 6).</w:t>
      </w:r>
    </w:p>
    <w:p w14:paraId="72B62013" w14:textId="4E301CA5" w:rsidR="009E332F" w:rsidRPr="00A73613" w:rsidRDefault="009E332F" w:rsidP="009C5632">
      <w:pPr>
        <w:pStyle w:val="Heading3"/>
        <w:rPr>
          <w:rFonts w:cs="Times New Roman"/>
          <w:szCs w:val="18"/>
        </w:rPr>
      </w:pPr>
      <w:r w:rsidRPr="00A73613">
        <w:rPr>
          <w:rFonts w:cs="Times New Roman"/>
          <w:szCs w:val="18"/>
        </w:rPr>
        <w:t>Table 5: Number of practitioners providing this service in 2013-14 to 2015-16</w:t>
      </w:r>
    </w:p>
    <w:tbl>
      <w:tblPr>
        <w:tblW w:w="0" w:type="auto"/>
        <w:tblLook w:val="04A0" w:firstRow="1" w:lastRow="0" w:firstColumn="1" w:lastColumn="0" w:noHBand="0" w:noVBand="1"/>
        <w:tblDescription w:val="Table 5 presents the number of practitioners providing the service for MBS item 73337 from 2013-14 to 2015-16. It has two columns - financial year and Australia-wide number of services. It has separate rows for each financial year of 2013-14, 2014-15 and 2015-16."/>
      </w:tblPr>
      <w:tblGrid>
        <w:gridCol w:w="1284"/>
        <w:gridCol w:w="901"/>
      </w:tblGrid>
      <w:tr w:rsidR="009E332F" w:rsidRPr="000E4B4B" w14:paraId="2BAD02FD" w14:textId="77777777" w:rsidTr="00FC1D9A">
        <w:trPr>
          <w:trHeight w:val="450"/>
          <w:tblHeader/>
        </w:trPr>
        <w:tc>
          <w:tcPr>
            <w:tcW w:w="0" w:type="auto"/>
            <w:tcBorders>
              <w:top w:val="single" w:sz="4" w:space="0" w:color="000000"/>
              <w:left w:val="single" w:sz="4" w:space="0" w:color="000000"/>
              <w:bottom w:val="single" w:sz="4" w:space="0" w:color="000000"/>
              <w:right w:val="single" w:sz="4" w:space="0" w:color="000000"/>
            </w:tcBorders>
            <w:shd w:val="clear" w:color="auto" w:fill="008080"/>
            <w:vAlign w:val="bottom"/>
          </w:tcPr>
          <w:p w14:paraId="4FF96C24" w14:textId="77777777" w:rsidR="009E332F" w:rsidRPr="00FC1D9A" w:rsidRDefault="009E332F" w:rsidP="00240CC4">
            <w:pPr>
              <w:rPr>
                <w:rFonts w:ascii="Arial" w:hAnsi="Arial" w:cs="Arial"/>
                <w:b/>
                <w:bCs/>
                <w:color w:val="FFFFFF"/>
                <w:sz w:val="16"/>
                <w:szCs w:val="18"/>
              </w:rPr>
            </w:pPr>
            <w:r w:rsidRPr="00FC1D9A">
              <w:rPr>
                <w:rFonts w:ascii="Arial" w:hAnsi="Arial" w:cs="Arial"/>
                <w:b/>
                <w:bCs/>
                <w:color w:val="FFFFFF"/>
                <w:sz w:val="16"/>
                <w:szCs w:val="18"/>
              </w:rPr>
              <w:t>Financial year</w:t>
            </w:r>
          </w:p>
        </w:tc>
        <w:tc>
          <w:tcPr>
            <w:tcW w:w="0" w:type="auto"/>
            <w:tcBorders>
              <w:top w:val="single" w:sz="4" w:space="0" w:color="000000"/>
              <w:left w:val="nil"/>
              <w:bottom w:val="single" w:sz="4" w:space="0" w:color="000000"/>
              <w:right w:val="single" w:sz="4" w:space="0" w:color="000000"/>
            </w:tcBorders>
            <w:shd w:val="clear" w:color="auto" w:fill="008080"/>
            <w:vAlign w:val="bottom"/>
          </w:tcPr>
          <w:p w14:paraId="2EB688DB" w14:textId="77777777" w:rsidR="009E332F" w:rsidRPr="00FC1D9A" w:rsidRDefault="009E332F" w:rsidP="00240CC4">
            <w:pPr>
              <w:rPr>
                <w:rFonts w:ascii="Arial" w:hAnsi="Arial" w:cs="Arial"/>
                <w:b/>
                <w:bCs/>
                <w:color w:val="FFFFFF"/>
                <w:sz w:val="16"/>
                <w:szCs w:val="18"/>
              </w:rPr>
            </w:pPr>
            <w:r w:rsidRPr="00FC1D9A">
              <w:rPr>
                <w:rFonts w:ascii="Arial" w:hAnsi="Arial" w:cs="Arial"/>
                <w:b/>
                <w:bCs/>
                <w:color w:val="FFFFFF"/>
                <w:sz w:val="16"/>
                <w:szCs w:val="18"/>
              </w:rPr>
              <w:t>Australia</w:t>
            </w:r>
          </w:p>
        </w:tc>
      </w:tr>
      <w:tr w:rsidR="009E332F" w:rsidRPr="000E4B4B" w14:paraId="5A7FB02F" w14:textId="77777777" w:rsidTr="00240CC4">
        <w:trPr>
          <w:trHeight w:val="246"/>
        </w:trPr>
        <w:tc>
          <w:tcPr>
            <w:tcW w:w="0" w:type="auto"/>
            <w:tcBorders>
              <w:top w:val="nil"/>
              <w:left w:val="single" w:sz="4" w:space="0" w:color="000000"/>
              <w:bottom w:val="single" w:sz="4" w:space="0" w:color="auto"/>
              <w:right w:val="single" w:sz="4" w:space="0" w:color="000000"/>
            </w:tcBorders>
            <w:shd w:val="clear" w:color="000000" w:fill="FFFFFF"/>
            <w:vAlign w:val="center"/>
            <w:hideMark/>
          </w:tcPr>
          <w:p w14:paraId="27587E0D" w14:textId="77777777" w:rsidR="009E332F" w:rsidRPr="00FC1D9A" w:rsidRDefault="009E332F" w:rsidP="00240CC4">
            <w:pPr>
              <w:rPr>
                <w:rFonts w:ascii="Arial" w:hAnsi="Arial" w:cs="Arial"/>
                <w:b/>
                <w:bCs/>
                <w:color w:val="000000"/>
                <w:sz w:val="16"/>
                <w:szCs w:val="18"/>
              </w:rPr>
            </w:pPr>
            <w:r w:rsidRPr="00FC1D9A">
              <w:rPr>
                <w:rFonts w:ascii="Arial" w:hAnsi="Arial" w:cs="Arial"/>
                <w:b/>
                <w:bCs/>
                <w:color w:val="000000"/>
                <w:sz w:val="16"/>
                <w:szCs w:val="18"/>
              </w:rPr>
              <w:t>2013-14</w:t>
            </w:r>
          </w:p>
        </w:tc>
        <w:tc>
          <w:tcPr>
            <w:tcW w:w="0" w:type="auto"/>
            <w:tcBorders>
              <w:top w:val="nil"/>
              <w:left w:val="nil"/>
              <w:bottom w:val="single" w:sz="4" w:space="0" w:color="auto"/>
              <w:right w:val="single" w:sz="4" w:space="0" w:color="000000"/>
            </w:tcBorders>
            <w:shd w:val="clear" w:color="000000" w:fill="FFFFFF"/>
            <w:vAlign w:val="bottom"/>
            <w:hideMark/>
          </w:tcPr>
          <w:p w14:paraId="08E87FE9" w14:textId="77777777" w:rsidR="009E332F" w:rsidRPr="00547178" w:rsidRDefault="009E332F" w:rsidP="00240CC4">
            <w:pPr>
              <w:jc w:val="right"/>
              <w:rPr>
                <w:rFonts w:ascii="Arial" w:hAnsi="Arial" w:cs="Arial"/>
                <w:color w:val="000000"/>
                <w:sz w:val="18"/>
                <w:szCs w:val="18"/>
              </w:rPr>
            </w:pPr>
            <w:r w:rsidRPr="00547178">
              <w:rPr>
                <w:rFonts w:ascii="Arial" w:hAnsi="Arial" w:cs="Arial"/>
                <w:color w:val="000000"/>
                <w:sz w:val="18"/>
                <w:szCs w:val="18"/>
              </w:rPr>
              <w:t>25</w:t>
            </w:r>
          </w:p>
        </w:tc>
      </w:tr>
      <w:tr w:rsidR="009E332F" w:rsidRPr="004806EA" w14:paraId="20BA6B75" w14:textId="77777777" w:rsidTr="00240CC4">
        <w:trPr>
          <w:trHeight w:val="193"/>
        </w:trPr>
        <w:tc>
          <w:tcPr>
            <w:tcW w:w="0" w:type="auto"/>
            <w:tcBorders>
              <w:top w:val="single" w:sz="4" w:space="0" w:color="auto"/>
              <w:left w:val="single" w:sz="4" w:space="0" w:color="000000"/>
              <w:bottom w:val="single" w:sz="4" w:space="0" w:color="auto"/>
              <w:right w:val="single" w:sz="4" w:space="0" w:color="000000"/>
            </w:tcBorders>
            <w:shd w:val="clear" w:color="000000" w:fill="FFFFFF"/>
            <w:vAlign w:val="center"/>
          </w:tcPr>
          <w:p w14:paraId="6F96F129" w14:textId="77777777" w:rsidR="009E332F" w:rsidRPr="00FC1D9A" w:rsidRDefault="009E332F" w:rsidP="00240CC4">
            <w:pPr>
              <w:rPr>
                <w:rFonts w:ascii="Arial" w:hAnsi="Arial" w:cs="Arial"/>
                <w:b/>
                <w:bCs/>
                <w:color w:val="000000"/>
                <w:sz w:val="16"/>
                <w:szCs w:val="18"/>
              </w:rPr>
            </w:pPr>
            <w:r w:rsidRPr="00FC1D9A">
              <w:rPr>
                <w:rFonts w:ascii="Arial" w:hAnsi="Arial" w:cs="Arial"/>
                <w:b/>
                <w:bCs/>
                <w:color w:val="000000"/>
                <w:sz w:val="16"/>
                <w:szCs w:val="18"/>
              </w:rPr>
              <w:t>2014-15</w:t>
            </w:r>
          </w:p>
        </w:tc>
        <w:tc>
          <w:tcPr>
            <w:tcW w:w="0" w:type="auto"/>
            <w:tcBorders>
              <w:top w:val="single" w:sz="4" w:space="0" w:color="auto"/>
              <w:left w:val="nil"/>
              <w:bottom w:val="single" w:sz="4" w:space="0" w:color="auto"/>
              <w:right w:val="single" w:sz="4" w:space="0" w:color="000000"/>
            </w:tcBorders>
            <w:shd w:val="clear" w:color="000000" w:fill="FFFFFF"/>
            <w:vAlign w:val="bottom"/>
          </w:tcPr>
          <w:p w14:paraId="0CAE95ED" w14:textId="77777777" w:rsidR="009E332F" w:rsidRPr="00547178" w:rsidRDefault="009E332F" w:rsidP="00240CC4">
            <w:pPr>
              <w:jc w:val="right"/>
              <w:rPr>
                <w:rFonts w:ascii="Arial" w:hAnsi="Arial" w:cs="Arial"/>
                <w:color w:val="000000"/>
                <w:sz w:val="18"/>
                <w:szCs w:val="18"/>
              </w:rPr>
            </w:pPr>
            <w:r w:rsidRPr="00547178">
              <w:rPr>
                <w:rFonts w:ascii="Arial" w:hAnsi="Arial" w:cs="Arial"/>
                <w:color w:val="000000"/>
                <w:sz w:val="18"/>
                <w:szCs w:val="18"/>
              </w:rPr>
              <w:t>47</w:t>
            </w:r>
          </w:p>
        </w:tc>
      </w:tr>
      <w:tr w:rsidR="009E332F" w:rsidRPr="004806EA" w14:paraId="334BC192" w14:textId="77777777" w:rsidTr="00240CC4">
        <w:trPr>
          <w:trHeight w:val="193"/>
        </w:trPr>
        <w:tc>
          <w:tcPr>
            <w:tcW w:w="0" w:type="auto"/>
            <w:tcBorders>
              <w:top w:val="single" w:sz="4" w:space="0" w:color="auto"/>
              <w:left w:val="single" w:sz="4" w:space="0" w:color="000000"/>
              <w:bottom w:val="single" w:sz="4" w:space="0" w:color="000000"/>
              <w:right w:val="single" w:sz="4" w:space="0" w:color="000000"/>
            </w:tcBorders>
            <w:shd w:val="clear" w:color="000000" w:fill="FFFFFF"/>
            <w:vAlign w:val="center"/>
          </w:tcPr>
          <w:p w14:paraId="2AB9307C" w14:textId="77777777" w:rsidR="009E332F" w:rsidRPr="00FC1D9A" w:rsidRDefault="009E332F" w:rsidP="00240CC4">
            <w:pPr>
              <w:rPr>
                <w:rFonts w:ascii="Arial" w:hAnsi="Arial" w:cs="Arial"/>
                <w:b/>
                <w:bCs/>
                <w:color w:val="000000"/>
                <w:sz w:val="16"/>
                <w:szCs w:val="18"/>
              </w:rPr>
            </w:pPr>
            <w:r w:rsidRPr="00FC1D9A">
              <w:rPr>
                <w:rFonts w:ascii="Arial" w:hAnsi="Arial" w:cs="Arial"/>
                <w:b/>
                <w:bCs/>
                <w:color w:val="000000"/>
                <w:sz w:val="16"/>
                <w:szCs w:val="18"/>
              </w:rPr>
              <w:t>2015-16</w:t>
            </w:r>
          </w:p>
        </w:tc>
        <w:tc>
          <w:tcPr>
            <w:tcW w:w="0" w:type="auto"/>
            <w:tcBorders>
              <w:top w:val="single" w:sz="4" w:space="0" w:color="auto"/>
              <w:left w:val="nil"/>
              <w:bottom w:val="single" w:sz="4" w:space="0" w:color="000000"/>
              <w:right w:val="single" w:sz="4" w:space="0" w:color="000000"/>
            </w:tcBorders>
            <w:shd w:val="clear" w:color="000000" w:fill="FFFFFF"/>
            <w:vAlign w:val="bottom"/>
          </w:tcPr>
          <w:p w14:paraId="1D85DBBE" w14:textId="77777777" w:rsidR="009E332F" w:rsidRPr="00547178" w:rsidRDefault="009E332F" w:rsidP="00240CC4">
            <w:pPr>
              <w:jc w:val="right"/>
              <w:rPr>
                <w:rFonts w:ascii="Arial" w:hAnsi="Arial" w:cs="Arial"/>
                <w:color w:val="000000"/>
                <w:sz w:val="18"/>
                <w:szCs w:val="18"/>
              </w:rPr>
            </w:pPr>
            <w:r w:rsidRPr="00547178">
              <w:rPr>
                <w:rFonts w:ascii="Arial" w:hAnsi="Arial" w:cs="Arial"/>
                <w:color w:val="000000"/>
                <w:sz w:val="18"/>
                <w:szCs w:val="18"/>
              </w:rPr>
              <w:t>57</w:t>
            </w:r>
          </w:p>
        </w:tc>
      </w:tr>
    </w:tbl>
    <w:p w14:paraId="4E7FC584" w14:textId="3AA7D598" w:rsidR="009E332F" w:rsidRPr="00A73613" w:rsidRDefault="009E332F" w:rsidP="009C5632">
      <w:pPr>
        <w:pStyle w:val="Heading3"/>
        <w:rPr>
          <w:rFonts w:cs="Times New Roman"/>
          <w:szCs w:val="18"/>
        </w:rPr>
      </w:pPr>
      <w:r w:rsidRPr="00A73613">
        <w:rPr>
          <w:rFonts w:cs="Times New Roman"/>
          <w:szCs w:val="18"/>
        </w:rPr>
        <w:t>Table 6: Cumulative percentage of medical practitioners providing MBS item 73337 and how many services each percentile accounts for in 2013-14 to 2015-16</w:t>
      </w:r>
    </w:p>
    <w:tbl>
      <w:tblPr>
        <w:tblW w:w="5015" w:type="dxa"/>
        <w:tblLook w:val="04A0" w:firstRow="1" w:lastRow="0" w:firstColumn="1" w:lastColumn="0" w:noHBand="0" w:noVBand="1"/>
        <w:tblDescription w:val="Table 6 presents the cumulative percentage of medical practitioners providing item 73337 and how many services each percentile accounts for in 2013-14, 2014-15 and 2015-16. The financial years are split into each column and the cumulative percentage of medical practitioners is split into ten rows - one row each for 10, 20, 30, 40, 50, 60, 70, 80, 90 and 100%."/>
      </w:tblPr>
      <w:tblGrid>
        <w:gridCol w:w="1237"/>
        <w:gridCol w:w="1259"/>
        <w:gridCol w:w="1259"/>
        <w:gridCol w:w="1260"/>
      </w:tblGrid>
      <w:tr w:rsidR="009E332F" w:rsidRPr="00477DD9" w14:paraId="6DF8C5AD" w14:textId="77777777" w:rsidTr="00FC1D9A">
        <w:trPr>
          <w:trHeight w:val="341"/>
          <w:tblHeader/>
        </w:trPr>
        <w:tc>
          <w:tcPr>
            <w:tcW w:w="1237" w:type="dxa"/>
            <w:tcBorders>
              <w:left w:val="single" w:sz="4" w:space="0" w:color="auto"/>
              <w:bottom w:val="single" w:sz="4" w:space="0" w:color="000000"/>
              <w:right w:val="single" w:sz="4" w:space="0" w:color="000000"/>
            </w:tcBorders>
            <w:shd w:val="clear" w:color="auto" w:fill="008080"/>
            <w:vAlign w:val="center"/>
            <w:hideMark/>
          </w:tcPr>
          <w:p w14:paraId="16C94587" w14:textId="77777777" w:rsidR="009E332F" w:rsidRPr="00FC1D9A" w:rsidRDefault="009E332F" w:rsidP="009C5632">
            <w:pPr>
              <w:rPr>
                <w:rFonts w:ascii="Arial" w:hAnsi="Arial" w:cs="Arial"/>
                <w:b/>
                <w:bCs/>
                <w:color w:val="FFFFFF" w:themeColor="background1"/>
                <w:sz w:val="16"/>
                <w:szCs w:val="18"/>
              </w:rPr>
            </w:pPr>
          </w:p>
        </w:tc>
        <w:tc>
          <w:tcPr>
            <w:tcW w:w="1259" w:type="dxa"/>
            <w:tcBorders>
              <w:top w:val="single" w:sz="4" w:space="0" w:color="000000"/>
              <w:left w:val="nil"/>
              <w:bottom w:val="single" w:sz="4" w:space="0" w:color="000000"/>
              <w:right w:val="single" w:sz="4" w:space="0" w:color="000000"/>
            </w:tcBorders>
            <w:shd w:val="clear" w:color="auto" w:fill="008080"/>
            <w:vAlign w:val="center"/>
            <w:hideMark/>
          </w:tcPr>
          <w:p w14:paraId="427D0716" w14:textId="77777777" w:rsidR="009E332F" w:rsidRPr="00FC1D9A" w:rsidRDefault="009E332F" w:rsidP="009C5632">
            <w:pPr>
              <w:jc w:val="right"/>
              <w:rPr>
                <w:rFonts w:ascii="Arial" w:hAnsi="Arial" w:cs="Arial"/>
                <w:b/>
                <w:color w:val="FFFFFF" w:themeColor="background1"/>
                <w:sz w:val="16"/>
                <w:szCs w:val="18"/>
              </w:rPr>
            </w:pPr>
            <w:r w:rsidRPr="00FC1D9A">
              <w:rPr>
                <w:rFonts w:ascii="Arial" w:hAnsi="Arial" w:cs="Arial"/>
                <w:b/>
                <w:color w:val="FFFFFF" w:themeColor="background1"/>
                <w:sz w:val="16"/>
                <w:szCs w:val="18"/>
              </w:rPr>
              <w:t>2013-14</w:t>
            </w:r>
          </w:p>
        </w:tc>
        <w:tc>
          <w:tcPr>
            <w:tcW w:w="1259" w:type="dxa"/>
            <w:tcBorders>
              <w:top w:val="single" w:sz="4" w:space="0" w:color="000000"/>
              <w:left w:val="nil"/>
              <w:bottom w:val="single" w:sz="4" w:space="0" w:color="000000"/>
              <w:right w:val="single" w:sz="4" w:space="0" w:color="000000"/>
            </w:tcBorders>
            <w:shd w:val="clear" w:color="auto" w:fill="008080"/>
            <w:vAlign w:val="center"/>
          </w:tcPr>
          <w:p w14:paraId="5185B5ED" w14:textId="77777777" w:rsidR="009E332F" w:rsidRPr="00FC1D9A" w:rsidRDefault="009E332F" w:rsidP="009C5632">
            <w:pPr>
              <w:jc w:val="right"/>
              <w:rPr>
                <w:rFonts w:ascii="Arial" w:hAnsi="Arial" w:cs="Arial"/>
                <w:b/>
                <w:color w:val="FFFFFF" w:themeColor="background1"/>
                <w:sz w:val="16"/>
                <w:szCs w:val="18"/>
              </w:rPr>
            </w:pPr>
            <w:r w:rsidRPr="00FC1D9A">
              <w:rPr>
                <w:rFonts w:ascii="Arial" w:hAnsi="Arial" w:cs="Arial"/>
                <w:b/>
                <w:color w:val="FFFFFF" w:themeColor="background1"/>
                <w:sz w:val="16"/>
                <w:szCs w:val="18"/>
              </w:rPr>
              <w:t>2014-15</w:t>
            </w:r>
          </w:p>
        </w:tc>
        <w:tc>
          <w:tcPr>
            <w:tcW w:w="1260" w:type="dxa"/>
            <w:tcBorders>
              <w:top w:val="single" w:sz="4" w:space="0" w:color="000000"/>
              <w:left w:val="nil"/>
              <w:bottom w:val="single" w:sz="4" w:space="0" w:color="000000"/>
              <w:right w:val="single" w:sz="4" w:space="0" w:color="000000"/>
            </w:tcBorders>
            <w:shd w:val="clear" w:color="auto" w:fill="008080"/>
            <w:vAlign w:val="center"/>
          </w:tcPr>
          <w:p w14:paraId="11A12442" w14:textId="77777777" w:rsidR="009E332F" w:rsidRPr="00FC1D9A" w:rsidRDefault="009E332F" w:rsidP="009C5632">
            <w:pPr>
              <w:jc w:val="right"/>
              <w:rPr>
                <w:rFonts w:ascii="Arial" w:hAnsi="Arial" w:cs="Arial"/>
                <w:b/>
                <w:color w:val="FFFFFF" w:themeColor="background1"/>
                <w:sz w:val="16"/>
                <w:szCs w:val="18"/>
              </w:rPr>
            </w:pPr>
            <w:r w:rsidRPr="00FC1D9A">
              <w:rPr>
                <w:rFonts w:ascii="Arial" w:hAnsi="Arial" w:cs="Arial"/>
                <w:b/>
                <w:color w:val="FFFFFF" w:themeColor="background1"/>
                <w:sz w:val="16"/>
                <w:szCs w:val="18"/>
              </w:rPr>
              <w:t>2015-16</w:t>
            </w:r>
          </w:p>
        </w:tc>
      </w:tr>
      <w:tr w:rsidR="009E332F" w:rsidRPr="00477DD9" w14:paraId="3169C28B" w14:textId="77777777" w:rsidTr="009C5632">
        <w:trPr>
          <w:trHeight w:val="341"/>
        </w:trPr>
        <w:tc>
          <w:tcPr>
            <w:tcW w:w="1237" w:type="dxa"/>
            <w:tcBorders>
              <w:top w:val="single" w:sz="4" w:space="0" w:color="000000"/>
              <w:left w:val="single" w:sz="4" w:space="0" w:color="auto"/>
              <w:bottom w:val="single" w:sz="4" w:space="0" w:color="000000"/>
              <w:right w:val="single" w:sz="4" w:space="0" w:color="000000"/>
            </w:tcBorders>
            <w:shd w:val="clear" w:color="000000" w:fill="FFFFFF"/>
            <w:vAlign w:val="center"/>
            <w:hideMark/>
          </w:tcPr>
          <w:p w14:paraId="7BC4658C" w14:textId="77777777" w:rsidR="009E332F" w:rsidRPr="00FC1D9A" w:rsidRDefault="009E332F" w:rsidP="009C5632">
            <w:pPr>
              <w:rPr>
                <w:rFonts w:ascii="Arial" w:hAnsi="Arial" w:cs="Arial"/>
                <w:b/>
                <w:bCs/>
                <w:color w:val="000000"/>
                <w:sz w:val="16"/>
                <w:szCs w:val="18"/>
              </w:rPr>
            </w:pPr>
            <w:r w:rsidRPr="00FC1D9A">
              <w:rPr>
                <w:rFonts w:ascii="Arial" w:hAnsi="Arial" w:cs="Arial"/>
                <w:b/>
                <w:bCs/>
                <w:color w:val="000000"/>
                <w:sz w:val="16"/>
                <w:szCs w:val="18"/>
              </w:rPr>
              <w:t>10%</w:t>
            </w:r>
          </w:p>
        </w:tc>
        <w:tc>
          <w:tcPr>
            <w:tcW w:w="1259" w:type="dxa"/>
            <w:tcBorders>
              <w:top w:val="single" w:sz="4" w:space="0" w:color="000000"/>
              <w:left w:val="nil"/>
              <w:bottom w:val="single" w:sz="4" w:space="0" w:color="000000"/>
              <w:right w:val="single" w:sz="4" w:space="0" w:color="000000"/>
            </w:tcBorders>
            <w:shd w:val="clear" w:color="000000" w:fill="FFFFFF"/>
            <w:vAlign w:val="bottom"/>
            <w:hideMark/>
          </w:tcPr>
          <w:p w14:paraId="387894AF" w14:textId="77777777" w:rsidR="009E332F" w:rsidRPr="00547178" w:rsidRDefault="009E332F" w:rsidP="009C5632">
            <w:pPr>
              <w:jc w:val="right"/>
              <w:rPr>
                <w:rFonts w:ascii="Arial" w:hAnsi="Arial" w:cs="Arial"/>
                <w:color w:val="000000"/>
                <w:sz w:val="18"/>
                <w:szCs w:val="18"/>
              </w:rPr>
            </w:pPr>
            <w:r w:rsidRPr="00547178">
              <w:rPr>
                <w:rFonts w:ascii="Arial" w:hAnsi="Arial" w:cs="Arial"/>
                <w:color w:val="000000"/>
                <w:sz w:val="18"/>
                <w:szCs w:val="18"/>
              </w:rPr>
              <w:t>54%</w:t>
            </w:r>
          </w:p>
        </w:tc>
        <w:tc>
          <w:tcPr>
            <w:tcW w:w="1259" w:type="dxa"/>
            <w:tcBorders>
              <w:top w:val="single" w:sz="4" w:space="0" w:color="000000"/>
              <w:left w:val="nil"/>
              <w:bottom w:val="single" w:sz="4" w:space="0" w:color="000000"/>
              <w:right w:val="single" w:sz="4" w:space="0" w:color="000000"/>
            </w:tcBorders>
            <w:shd w:val="clear" w:color="000000" w:fill="FFFFFF"/>
            <w:vAlign w:val="bottom"/>
          </w:tcPr>
          <w:p w14:paraId="04ECDBEA" w14:textId="77777777" w:rsidR="009E332F" w:rsidRPr="00547178" w:rsidRDefault="009E332F" w:rsidP="009C5632">
            <w:pPr>
              <w:jc w:val="right"/>
              <w:rPr>
                <w:rFonts w:ascii="Arial" w:hAnsi="Arial" w:cs="Arial"/>
                <w:color w:val="000000"/>
                <w:sz w:val="18"/>
                <w:szCs w:val="18"/>
              </w:rPr>
            </w:pPr>
            <w:r w:rsidRPr="00547178">
              <w:rPr>
                <w:rFonts w:ascii="Arial" w:hAnsi="Arial" w:cs="Arial"/>
                <w:color w:val="000000"/>
                <w:sz w:val="18"/>
                <w:szCs w:val="18"/>
              </w:rPr>
              <w:t>65%</w:t>
            </w:r>
          </w:p>
        </w:tc>
        <w:tc>
          <w:tcPr>
            <w:tcW w:w="1260" w:type="dxa"/>
            <w:tcBorders>
              <w:top w:val="single" w:sz="4" w:space="0" w:color="000000"/>
              <w:left w:val="nil"/>
              <w:bottom w:val="single" w:sz="4" w:space="0" w:color="000000"/>
              <w:right w:val="single" w:sz="4" w:space="0" w:color="000000"/>
            </w:tcBorders>
            <w:shd w:val="clear" w:color="000000" w:fill="FFFFFF"/>
            <w:vAlign w:val="bottom"/>
          </w:tcPr>
          <w:p w14:paraId="0DBD476C" w14:textId="77777777" w:rsidR="009E332F" w:rsidRPr="00547178" w:rsidRDefault="009E332F" w:rsidP="009C5632">
            <w:pPr>
              <w:jc w:val="right"/>
              <w:rPr>
                <w:rFonts w:ascii="Arial" w:hAnsi="Arial" w:cs="Arial"/>
                <w:color w:val="000000"/>
                <w:sz w:val="18"/>
                <w:szCs w:val="18"/>
              </w:rPr>
            </w:pPr>
            <w:r w:rsidRPr="00547178">
              <w:rPr>
                <w:rFonts w:ascii="Arial" w:hAnsi="Arial" w:cs="Arial"/>
                <w:color w:val="000000"/>
                <w:sz w:val="18"/>
                <w:szCs w:val="18"/>
              </w:rPr>
              <w:t>59%</w:t>
            </w:r>
          </w:p>
        </w:tc>
      </w:tr>
      <w:tr w:rsidR="009E332F" w:rsidRPr="00477DD9" w14:paraId="1E84167D" w14:textId="77777777" w:rsidTr="009C5632">
        <w:trPr>
          <w:trHeight w:val="341"/>
        </w:trPr>
        <w:tc>
          <w:tcPr>
            <w:tcW w:w="1237" w:type="dxa"/>
            <w:tcBorders>
              <w:top w:val="nil"/>
              <w:left w:val="single" w:sz="4" w:space="0" w:color="auto"/>
              <w:bottom w:val="single" w:sz="4" w:space="0" w:color="000000"/>
              <w:right w:val="single" w:sz="4" w:space="0" w:color="000000"/>
            </w:tcBorders>
            <w:shd w:val="clear" w:color="000000" w:fill="FFFFFF"/>
            <w:vAlign w:val="center"/>
            <w:hideMark/>
          </w:tcPr>
          <w:p w14:paraId="41590CD6" w14:textId="77777777" w:rsidR="009E332F" w:rsidRPr="00FC1D9A" w:rsidRDefault="009E332F" w:rsidP="009C5632">
            <w:pPr>
              <w:rPr>
                <w:rFonts w:ascii="Arial" w:hAnsi="Arial" w:cs="Arial"/>
                <w:b/>
                <w:bCs/>
                <w:color w:val="000000"/>
                <w:sz w:val="16"/>
                <w:szCs w:val="18"/>
              </w:rPr>
            </w:pPr>
            <w:r w:rsidRPr="00FC1D9A">
              <w:rPr>
                <w:rFonts w:ascii="Arial" w:hAnsi="Arial" w:cs="Arial"/>
                <w:b/>
                <w:bCs/>
                <w:color w:val="000000"/>
                <w:sz w:val="16"/>
                <w:szCs w:val="18"/>
              </w:rPr>
              <w:t>20%</w:t>
            </w:r>
          </w:p>
        </w:tc>
        <w:tc>
          <w:tcPr>
            <w:tcW w:w="1259" w:type="dxa"/>
            <w:tcBorders>
              <w:top w:val="nil"/>
              <w:left w:val="nil"/>
              <w:bottom w:val="single" w:sz="4" w:space="0" w:color="000000"/>
              <w:right w:val="single" w:sz="4" w:space="0" w:color="000000"/>
            </w:tcBorders>
            <w:shd w:val="clear" w:color="000000" w:fill="FFFFFF"/>
            <w:vAlign w:val="bottom"/>
            <w:hideMark/>
          </w:tcPr>
          <w:p w14:paraId="104E4C61" w14:textId="77777777" w:rsidR="009E332F" w:rsidRPr="00547178" w:rsidRDefault="009E332F" w:rsidP="009C5632">
            <w:pPr>
              <w:jc w:val="right"/>
              <w:rPr>
                <w:rFonts w:ascii="Arial" w:hAnsi="Arial" w:cs="Arial"/>
                <w:color w:val="000000"/>
                <w:sz w:val="18"/>
                <w:szCs w:val="18"/>
              </w:rPr>
            </w:pPr>
            <w:r w:rsidRPr="00547178">
              <w:rPr>
                <w:rFonts w:ascii="Arial" w:hAnsi="Arial" w:cs="Arial"/>
                <w:color w:val="000000"/>
                <w:sz w:val="18"/>
                <w:szCs w:val="18"/>
              </w:rPr>
              <w:t>77%</w:t>
            </w:r>
          </w:p>
        </w:tc>
        <w:tc>
          <w:tcPr>
            <w:tcW w:w="1259" w:type="dxa"/>
            <w:tcBorders>
              <w:top w:val="nil"/>
              <w:left w:val="nil"/>
              <w:bottom w:val="single" w:sz="4" w:space="0" w:color="000000"/>
              <w:right w:val="single" w:sz="4" w:space="0" w:color="000000"/>
            </w:tcBorders>
            <w:shd w:val="clear" w:color="000000" w:fill="FFFFFF"/>
            <w:vAlign w:val="bottom"/>
          </w:tcPr>
          <w:p w14:paraId="26D4E887" w14:textId="77777777" w:rsidR="009E332F" w:rsidRPr="00547178" w:rsidRDefault="009E332F" w:rsidP="009C5632">
            <w:pPr>
              <w:jc w:val="right"/>
              <w:rPr>
                <w:rFonts w:ascii="Arial" w:hAnsi="Arial" w:cs="Arial"/>
                <w:color w:val="000000"/>
                <w:sz w:val="18"/>
                <w:szCs w:val="18"/>
              </w:rPr>
            </w:pPr>
            <w:r w:rsidRPr="00547178">
              <w:rPr>
                <w:rFonts w:ascii="Arial" w:hAnsi="Arial" w:cs="Arial"/>
                <w:color w:val="000000"/>
                <w:sz w:val="18"/>
                <w:szCs w:val="18"/>
              </w:rPr>
              <w:t>76%</w:t>
            </w:r>
          </w:p>
        </w:tc>
        <w:tc>
          <w:tcPr>
            <w:tcW w:w="1260" w:type="dxa"/>
            <w:tcBorders>
              <w:top w:val="nil"/>
              <w:left w:val="nil"/>
              <w:bottom w:val="single" w:sz="4" w:space="0" w:color="000000"/>
              <w:right w:val="single" w:sz="4" w:space="0" w:color="000000"/>
            </w:tcBorders>
            <w:shd w:val="clear" w:color="000000" w:fill="FFFFFF"/>
            <w:vAlign w:val="bottom"/>
          </w:tcPr>
          <w:p w14:paraId="50E93ADD" w14:textId="77777777" w:rsidR="009E332F" w:rsidRPr="00547178" w:rsidRDefault="009E332F" w:rsidP="009C5632">
            <w:pPr>
              <w:jc w:val="right"/>
              <w:rPr>
                <w:rFonts w:ascii="Arial" w:hAnsi="Arial" w:cs="Arial"/>
                <w:color w:val="000000"/>
                <w:sz w:val="18"/>
                <w:szCs w:val="18"/>
              </w:rPr>
            </w:pPr>
            <w:r w:rsidRPr="00547178">
              <w:rPr>
                <w:rFonts w:ascii="Arial" w:hAnsi="Arial" w:cs="Arial"/>
                <w:color w:val="000000"/>
                <w:sz w:val="18"/>
                <w:szCs w:val="18"/>
              </w:rPr>
              <w:t>75%</w:t>
            </w:r>
          </w:p>
        </w:tc>
      </w:tr>
      <w:tr w:rsidR="009E332F" w:rsidRPr="00477DD9" w14:paraId="40B1F431" w14:textId="77777777" w:rsidTr="009C5632">
        <w:trPr>
          <w:trHeight w:val="341"/>
        </w:trPr>
        <w:tc>
          <w:tcPr>
            <w:tcW w:w="1237" w:type="dxa"/>
            <w:tcBorders>
              <w:top w:val="nil"/>
              <w:left w:val="single" w:sz="4" w:space="0" w:color="auto"/>
              <w:bottom w:val="single" w:sz="4" w:space="0" w:color="000000"/>
              <w:right w:val="single" w:sz="4" w:space="0" w:color="000000"/>
            </w:tcBorders>
            <w:shd w:val="clear" w:color="000000" w:fill="FFFFFF"/>
            <w:vAlign w:val="center"/>
            <w:hideMark/>
          </w:tcPr>
          <w:p w14:paraId="4C5F89F5" w14:textId="77777777" w:rsidR="009E332F" w:rsidRPr="00FC1D9A" w:rsidRDefault="009E332F" w:rsidP="009C5632">
            <w:pPr>
              <w:rPr>
                <w:rFonts w:ascii="Arial" w:hAnsi="Arial" w:cs="Arial"/>
                <w:b/>
                <w:bCs/>
                <w:color w:val="000000"/>
                <w:sz w:val="16"/>
                <w:szCs w:val="18"/>
              </w:rPr>
            </w:pPr>
            <w:r w:rsidRPr="00FC1D9A">
              <w:rPr>
                <w:rFonts w:ascii="Arial" w:hAnsi="Arial" w:cs="Arial"/>
                <w:b/>
                <w:bCs/>
                <w:color w:val="000000"/>
                <w:sz w:val="16"/>
                <w:szCs w:val="18"/>
              </w:rPr>
              <w:t>30%</w:t>
            </w:r>
          </w:p>
        </w:tc>
        <w:tc>
          <w:tcPr>
            <w:tcW w:w="1259" w:type="dxa"/>
            <w:tcBorders>
              <w:top w:val="nil"/>
              <w:left w:val="nil"/>
              <w:bottom w:val="single" w:sz="4" w:space="0" w:color="000000"/>
              <w:right w:val="single" w:sz="4" w:space="0" w:color="000000"/>
            </w:tcBorders>
            <w:shd w:val="clear" w:color="000000" w:fill="FFFFFF"/>
            <w:vAlign w:val="bottom"/>
            <w:hideMark/>
          </w:tcPr>
          <w:p w14:paraId="083C5FF6" w14:textId="77777777" w:rsidR="009E332F" w:rsidRPr="00547178" w:rsidRDefault="009E332F" w:rsidP="009C5632">
            <w:pPr>
              <w:jc w:val="right"/>
              <w:rPr>
                <w:rFonts w:ascii="Arial" w:hAnsi="Arial" w:cs="Arial"/>
                <w:color w:val="000000"/>
                <w:sz w:val="18"/>
                <w:szCs w:val="18"/>
              </w:rPr>
            </w:pPr>
            <w:r w:rsidRPr="00547178">
              <w:rPr>
                <w:rFonts w:ascii="Arial" w:hAnsi="Arial" w:cs="Arial"/>
                <w:color w:val="000000"/>
                <w:sz w:val="18"/>
                <w:szCs w:val="18"/>
              </w:rPr>
              <w:t>88%</w:t>
            </w:r>
          </w:p>
        </w:tc>
        <w:tc>
          <w:tcPr>
            <w:tcW w:w="1259" w:type="dxa"/>
            <w:tcBorders>
              <w:top w:val="nil"/>
              <w:left w:val="nil"/>
              <w:bottom w:val="single" w:sz="4" w:space="0" w:color="000000"/>
              <w:right w:val="single" w:sz="4" w:space="0" w:color="000000"/>
            </w:tcBorders>
            <w:shd w:val="clear" w:color="000000" w:fill="FFFFFF"/>
            <w:vAlign w:val="bottom"/>
          </w:tcPr>
          <w:p w14:paraId="0F3A1FAF" w14:textId="77777777" w:rsidR="009E332F" w:rsidRPr="00547178" w:rsidRDefault="009E332F" w:rsidP="009C5632">
            <w:pPr>
              <w:jc w:val="right"/>
              <w:rPr>
                <w:rFonts w:ascii="Arial" w:hAnsi="Arial" w:cs="Arial"/>
                <w:color w:val="000000"/>
                <w:sz w:val="18"/>
                <w:szCs w:val="18"/>
              </w:rPr>
            </w:pPr>
            <w:r w:rsidRPr="00547178">
              <w:rPr>
                <w:rFonts w:ascii="Arial" w:hAnsi="Arial" w:cs="Arial"/>
                <w:color w:val="000000"/>
                <w:sz w:val="18"/>
                <w:szCs w:val="18"/>
              </w:rPr>
              <w:t>85%</w:t>
            </w:r>
          </w:p>
        </w:tc>
        <w:tc>
          <w:tcPr>
            <w:tcW w:w="1260" w:type="dxa"/>
            <w:tcBorders>
              <w:top w:val="nil"/>
              <w:left w:val="nil"/>
              <w:bottom w:val="single" w:sz="4" w:space="0" w:color="000000"/>
              <w:right w:val="single" w:sz="4" w:space="0" w:color="000000"/>
            </w:tcBorders>
            <w:shd w:val="clear" w:color="000000" w:fill="FFFFFF"/>
            <w:vAlign w:val="bottom"/>
          </w:tcPr>
          <w:p w14:paraId="43DE42B5" w14:textId="77777777" w:rsidR="009E332F" w:rsidRPr="00547178" w:rsidRDefault="009E332F" w:rsidP="009C5632">
            <w:pPr>
              <w:jc w:val="right"/>
              <w:rPr>
                <w:rFonts w:ascii="Arial" w:hAnsi="Arial" w:cs="Arial"/>
                <w:color w:val="000000"/>
                <w:sz w:val="18"/>
                <w:szCs w:val="18"/>
              </w:rPr>
            </w:pPr>
            <w:r w:rsidRPr="00547178">
              <w:rPr>
                <w:rFonts w:ascii="Arial" w:hAnsi="Arial" w:cs="Arial"/>
                <w:color w:val="000000"/>
                <w:sz w:val="18"/>
                <w:szCs w:val="18"/>
              </w:rPr>
              <w:t>85%</w:t>
            </w:r>
          </w:p>
        </w:tc>
      </w:tr>
      <w:tr w:rsidR="009E332F" w:rsidRPr="00477DD9" w14:paraId="5D802FF9" w14:textId="77777777" w:rsidTr="009C5632">
        <w:trPr>
          <w:trHeight w:val="341"/>
        </w:trPr>
        <w:tc>
          <w:tcPr>
            <w:tcW w:w="1237" w:type="dxa"/>
            <w:tcBorders>
              <w:top w:val="nil"/>
              <w:left w:val="single" w:sz="4" w:space="0" w:color="auto"/>
              <w:bottom w:val="single" w:sz="4" w:space="0" w:color="000000"/>
              <w:right w:val="single" w:sz="4" w:space="0" w:color="000000"/>
            </w:tcBorders>
            <w:shd w:val="clear" w:color="000000" w:fill="FFFFFF"/>
            <w:vAlign w:val="center"/>
            <w:hideMark/>
          </w:tcPr>
          <w:p w14:paraId="05F1DEDC" w14:textId="77777777" w:rsidR="009E332F" w:rsidRPr="00FC1D9A" w:rsidRDefault="009E332F" w:rsidP="009C5632">
            <w:pPr>
              <w:rPr>
                <w:rFonts w:ascii="Arial" w:hAnsi="Arial" w:cs="Arial"/>
                <w:b/>
                <w:bCs/>
                <w:color w:val="000000"/>
                <w:sz w:val="16"/>
                <w:szCs w:val="18"/>
              </w:rPr>
            </w:pPr>
            <w:r w:rsidRPr="00FC1D9A">
              <w:rPr>
                <w:rFonts w:ascii="Arial" w:hAnsi="Arial" w:cs="Arial"/>
                <w:b/>
                <w:bCs/>
                <w:color w:val="000000"/>
                <w:sz w:val="16"/>
                <w:szCs w:val="18"/>
              </w:rPr>
              <w:t>40%</w:t>
            </w:r>
          </w:p>
        </w:tc>
        <w:tc>
          <w:tcPr>
            <w:tcW w:w="1259" w:type="dxa"/>
            <w:tcBorders>
              <w:top w:val="nil"/>
              <w:left w:val="nil"/>
              <w:bottom w:val="single" w:sz="4" w:space="0" w:color="000000"/>
              <w:right w:val="single" w:sz="4" w:space="0" w:color="000000"/>
            </w:tcBorders>
            <w:shd w:val="clear" w:color="000000" w:fill="FFFFFF"/>
            <w:vAlign w:val="bottom"/>
            <w:hideMark/>
          </w:tcPr>
          <w:p w14:paraId="2AFF5658" w14:textId="77777777" w:rsidR="009E332F" w:rsidRPr="00547178" w:rsidRDefault="009E332F" w:rsidP="009C5632">
            <w:pPr>
              <w:jc w:val="right"/>
              <w:rPr>
                <w:rFonts w:ascii="Arial" w:hAnsi="Arial" w:cs="Arial"/>
                <w:color w:val="000000"/>
                <w:sz w:val="18"/>
                <w:szCs w:val="18"/>
              </w:rPr>
            </w:pPr>
            <w:r w:rsidRPr="00547178">
              <w:rPr>
                <w:rFonts w:ascii="Arial" w:hAnsi="Arial" w:cs="Arial"/>
                <w:color w:val="000000"/>
                <w:sz w:val="18"/>
                <w:szCs w:val="18"/>
              </w:rPr>
              <w:t>95%</w:t>
            </w:r>
          </w:p>
        </w:tc>
        <w:tc>
          <w:tcPr>
            <w:tcW w:w="1259" w:type="dxa"/>
            <w:tcBorders>
              <w:top w:val="nil"/>
              <w:left w:val="nil"/>
              <w:bottom w:val="single" w:sz="4" w:space="0" w:color="000000"/>
              <w:right w:val="single" w:sz="4" w:space="0" w:color="000000"/>
            </w:tcBorders>
            <w:shd w:val="clear" w:color="000000" w:fill="FFFFFF"/>
            <w:vAlign w:val="bottom"/>
          </w:tcPr>
          <w:p w14:paraId="20A03F31" w14:textId="77777777" w:rsidR="009E332F" w:rsidRPr="00547178" w:rsidRDefault="009E332F" w:rsidP="009C5632">
            <w:pPr>
              <w:jc w:val="right"/>
              <w:rPr>
                <w:rFonts w:ascii="Arial" w:hAnsi="Arial" w:cs="Arial"/>
                <w:color w:val="000000"/>
                <w:sz w:val="18"/>
                <w:szCs w:val="18"/>
              </w:rPr>
            </w:pPr>
            <w:r w:rsidRPr="00547178">
              <w:rPr>
                <w:rFonts w:ascii="Arial" w:hAnsi="Arial" w:cs="Arial"/>
                <w:color w:val="000000"/>
                <w:sz w:val="18"/>
                <w:szCs w:val="18"/>
              </w:rPr>
              <w:t>91%</w:t>
            </w:r>
          </w:p>
        </w:tc>
        <w:tc>
          <w:tcPr>
            <w:tcW w:w="1260" w:type="dxa"/>
            <w:tcBorders>
              <w:top w:val="nil"/>
              <w:left w:val="nil"/>
              <w:bottom w:val="single" w:sz="4" w:space="0" w:color="000000"/>
              <w:right w:val="single" w:sz="4" w:space="0" w:color="000000"/>
            </w:tcBorders>
            <w:shd w:val="clear" w:color="000000" w:fill="FFFFFF"/>
            <w:vAlign w:val="bottom"/>
          </w:tcPr>
          <w:p w14:paraId="3EA510BE" w14:textId="77777777" w:rsidR="009E332F" w:rsidRPr="00547178" w:rsidRDefault="009E332F" w:rsidP="009C5632">
            <w:pPr>
              <w:jc w:val="right"/>
              <w:rPr>
                <w:rFonts w:ascii="Arial" w:hAnsi="Arial" w:cs="Arial"/>
                <w:color w:val="000000"/>
                <w:sz w:val="18"/>
                <w:szCs w:val="18"/>
              </w:rPr>
            </w:pPr>
            <w:r w:rsidRPr="00547178">
              <w:rPr>
                <w:rFonts w:ascii="Arial" w:hAnsi="Arial" w:cs="Arial"/>
                <w:color w:val="000000"/>
                <w:sz w:val="18"/>
                <w:szCs w:val="18"/>
              </w:rPr>
              <w:t>92%</w:t>
            </w:r>
          </w:p>
        </w:tc>
      </w:tr>
      <w:tr w:rsidR="009E332F" w:rsidRPr="00477DD9" w14:paraId="53B4443B" w14:textId="77777777" w:rsidTr="009C5632">
        <w:trPr>
          <w:trHeight w:val="341"/>
        </w:trPr>
        <w:tc>
          <w:tcPr>
            <w:tcW w:w="1237" w:type="dxa"/>
            <w:tcBorders>
              <w:top w:val="nil"/>
              <w:left w:val="single" w:sz="4" w:space="0" w:color="auto"/>
              <w:bottom w:val="single" w:sz="4" w:space="0" w:color="000000"/>
              <w:right w:val="single" w:sz="4" w:space="0" w:color="000000"/>
            </w:tcBorders>
            <w:shd w:val="clear" w:color="000000" w:fill="FFFFFF"/>
            <w:vAlign w:val="center"/>
            <w:hideMark/>
          </w:tcPr>
          <w:p w14:paraId="19BD5354" w14:textId="77777777" w:rsidR="009E332F" w:rsidRPr="00FC1D9A" w:rsidRDefault="009E332F" w:rsidP="009C5632">
            <w:pPr>
              <w:rPr>
                <w:rFonts w:ascii="Arial" w:hAnsi="Arial" w:cs="Arial"/>
                <w:b/>
                <w:bCs/>
                <w:color w:val="000000"/>
                <w:sz w:val="16"/>
                <w:szCs w:val="18"/>
              </w:rPr>
            </w:pPr>
            <w:r w:rsidRPr="00FC1D9A">
              <w:rPr>
                <w:rFonts w:ascii="Arial" w:hAnsi="Arial" w:cs="Arial"/>
                <w:b/>
                <w:bCs/>
                <w:color w:val="000000"/>
                <w:sz w:val="16"/>
                <w:szCs w:val="18"/>
              </w:rPr>
              <w:t>50%</w:t>
            </w:r>
          </w:p>
        </w:tc>
        <w:tc>
          <w:tcPr>
            <w:tcW w:w="1259" w:type="dxa"/>
            <w:tcBorders>
              <w:top w:val="nil"/>
              <w:left w:val="nil"/>
              <w:bottom w:val="single" w:sz="4" w:space="0" w:color="000000"/>
              <w:right w:val="single" w:sz="4" w:space="0" w:color="000000"/>
            </w:tcBorders>
            <w:shd w:val="clear" w:color="000000" w:fill="FFFFFF"/>
            <w:vAlign w:val="bottom"/>
            <w:hideMark/>
          </w:tcPr>
          <w:p w14:paraId="0F327843" w14:textId="77777777" w:rsidR="009E332F" w:rsidRPr="00547178" w:rsidRDefault="009E332F" w:rsidP="009C5632">
            <w:pPr>
              <w:jc w:val="right"/>
              <w:rPr>
                <w:rFonts w:ascii="Arial" w:hAnsi="Arial" w:cs="Arial"/>
                <w:color w:val="000000"/>
                <w:sz w:val="18"/>
                <w:szCs w:val="18"/>
              </w:rPr>
            </w:pPr>
            <w:r w:rsidRPr="00547178">
              <w:rPr>
                <w:rFonts w:ascii="Arial" w:hAnsi="Arial" w:cs="Arial"/>
                <w:color w:val="000000"/>
                <w:sz w:val="18"/>
                <w:szCs w:val="18"/>
              </w:rPr>
              <w:t>97%</w:t>
            </w:r>
          </w:p>
        </w:tc>
        <w:tc>
          <w:tcPr>
            <w:tcW w:w="1259" w:type="dxa"/>
            <w:tcBorders>
              <w:top w:val="nil"/>
              <w:left w:val="nil"/>
              <w:bottom w:val="single" w:sz="4" w:space="0" w:color="000000"/>
              <w:right w:val="single" w:sz="4" w:space="0" w:color="000000"/>
            </w:tcBorders>
            <w:shd w:val="clear" w:color="000000" w:fill="FFFFFF"/>
            <w:vAlign w:val="bottom"/>
          </w:tcPr>
          <w:p w14:paraId="1E3C6567" w14:textId="77777777" w:rsidR="009E332F" w:rsidRPr="00547178" w:rsidRDefault="009E332F" w:rsidP="009C5632">
            <w:pPr>
              <w:jc w:val="right"/>
              <w:rPr>
                <w:rFonts w:ascii="Arial" w:hAnsi="Arial" w:cs="Arial"/>
                <w:color w:val="000000"/>
                <w:sz w:val="18"/>
                <w:szCs w:val="18"/>
              </w:rPr>
            </w:pPr>
            <w:r w:rsidRPr="00547178">
              <w:rPr>
                <w:rFonts w:ascii="Arial" w:hAnsi="Arial" w:cs="Arial"/>
                <w:color w:val="000000"/>
                <w:sz w:val="18"/>
                <w:szCs w:val="18"/>
              </w:rPr>
              <w:t>94%</w:t>
            </w:r>
          </w:p>
        </w:tc>
        <w:tc>
          <w:tcPr>
            <w:tcW w:w="1260" w:type="dxa"/>
            <w:tcBorders>
              <w:top w:val="nil"/>
              <w:left w:val="nil"/>
              <w:bottom w:val="single" w:sz="4" w:space="0" w:color="000000"/>
              <w:right w:val="single" w:sz="4" w:space="0" w:color="000000"/>
            </w:tcBorders>
            <w:shd w:val="clear" w:color="000000" w:fill="FFFFFF"/>
            <w:vAlign w:val="bottom"/>
          </w:tcPr>
          <w:p w14:paraId="0E0AE9B4" w14:textId="77777777" w:rsidR="009E332F" w:rsidRPr="00547178" w:rsidRDefault="009E332F" w:rsidP="009C5632">
            <w:pPr>
              <w:jc w:val="right"/>
              <w:rPr>
                <w:rFonts w:ascii="Arial" w:hAnsi="Arial" w:cs="Arial"/>
                <w:color w:val="000000"/>
                <w:sz w:val="18"/>
                <w:szCs w:val="18"/>
              </w:rPr>
            </w:pPr>
            <w:r w:rsidRPr="00547178">
              <w:rPr>
                <w:rFonts w:ascii="Arial" w:hAnsi="Arial" w:cs="Arial"/>
                <w:color w:val="000000"/>
                <w:sz w:val="18"/>
                <w:szCs w:val="18"/>
              </w:rPr>
              <w:t>96%</w:t>
            </w:r>
          </w:p>
        </w:tc>
      </w:tr>
      <w:tr w:rsidR="009E332F" w:rsidRPr="00477DD9" w14:paraId="519B368E" w14:textId="77777777" w:rsidTr="009C5632">
        <w:trPr>
          <w:trHeight w:val="341"/>
        </w:trPr>
        <w:tc>
          <w:tcPr>
            <w:tcW w:w="1237" w:type="dxa"/>
            <w:tcBorders>
              <w:top w:val="nil"/>
              <w:left w:val="single" w:sz="4" w:space="0" w:color="auto"/>
              <w:bottom w:val="single" w:sz="4" w:space="0" w:color="000000"/>
              <w:right w:val="single" w:sz="4" w:space="0" w:color="000000"/>
            </w:tcBorders>
            <w:shd w:val="clear" w:color="000000" w:fill="FFFFFF"/>
            <w:vAlign w:val="center"/>
            <w:hideMark/>
          </w:tcPr>
          <w:p w14:paraId="45AA5ADC" w14:textId="77777777" w:rsidR="009E332F" w:rsidRPr="00FC1D9A" w:rsidRDefault="009E332F" w:rsidP="009C5632">
            <w:pPr>
              <w:rPr>
                <w:rFonts w:ascii="Arial" w:hAnsi="Arial" w:cs="Arial"/>
                <w:b/>
                <w:bCs/>
                <w:color w:val="000000"/>
                <w:sz w:val="16"/>
                <w:szCs w:val="18"/>
              </w:rPr>
            </w:pPr>
            <w:r w:rsidRPr="00FC1D9A">
              <w:rPr>
                <w:rFonts w:ascii="Arial" w:hAnsi="Arial" w:cs="Arial"/>
                <w:b/>
                <w:bCs/>
                <w:color w:val="000000"/>
                <w:sz w:val="16"/>
                <w:szCs w:val="18"/>
              </w:rPr>
              <w:t>60%</w:t>
            </w:r>
          </w:p>
        </w:tc>
        <w:tc>
          <w:tcPr>
            <w:tcW w:w="1259" w:type="dxa"/>
            <w:tcBorders>
              <w:top w:val="nil"/>
              <w:left w:val="nil"/>
              <w:bottom w:val="single" w:sz="4" w:space="0" w:color="000000"/>
              <w:right w:val="single" w:sz="4" w:space="0" w:color="000000"/>
            </w:tcBorders>
            <w:shd w:val="clear" w:color="000000" w:fill="FFFFFF"/>
            <w:vAlign w:val="bottom"/>
            <w:hideMark/>
          </w:tcPr>
          <w:p w14:paraId="336C7214" w14:textId="77777777" w:rsidR="009E332F" w:rsidRPr="00547178" w:rsidRDefault="009E332F" w:rsidP="009C5632">
            <w:pPr>
              <w:jc w:val="right"/>
              <w:rPr>
                <w:rFonts w:ascii="Arial" w:hAnsi="Arial" w:cs="Arial"/>
                <w:color w:val="000000"/>
                <w:sz w:val="18"/>
                <w:szCs w:val="18"/>
              </w:rPr>
            </w:pPr>
            <w:r w:rsidRPr="00547178">
              <w:rPr>
                <w:rFonts w:ascii="Arial" w:hAnsi="Arial" w:cs="Arial"/>
                <w:color w:val="000000"/>
                <w:sz w:val="18"/>
                <w:szCs w:val="18"/>
              </w:rPr>
              <w:t>98%</w:t>
            </w:r>
          </w:p>
        </w:tc>
        <w:tc>
          <w:tcPr>
            <w:tcW w:w="1259" w:type="dxa"/>
            <w:tcBorders>
              <w:top w:val="nil"/>
              <w:left w:val="nil"/>
              <w:bottom w:val="single" w:sz="4" w:space="0" w:color="000000"/>
              <w:right w:val="single" w:sz="4" w:space="0" w:color="000000"/>
            </w:tcBorders>
            <w:shd w:val="clear" w:color="000000" w:fill="FFFFFF"/>
            <w:vAlign w:val="bottom"/>
          </w:tcPr>
          <w:p w14:paraId="62614008" w14:textId="77777777" w:rsidR="009E332F" w:rsidRPr="00547178" w:rsidRDefault="009E332F" w:rsidP="009C5632">
            <w:pPr>
              <w:jc w:val="right"/>
              <w:rPr>
                <w:rFonts w:ascii="Arial" w:hAnsi="Arial" w:cs="Arial"/>
                <w:color w:val="000000"/>
                <w:sz w:val="18"/>
                <w:szCs w:val="18"/>
              </w:rPr>
            </w:pPr>
            <w:r w:rsidRPr="00547178">
              <w:rPr>
                <w:rFonts w:ascii="Arial" w:hAnsi="Arial" w:cs="Arial"/>
                <w:color w:val="000000"/>
                <w:sz w:val="18"/>
                <w:szCs w:val="18"/>
              </w:rPr>
              <w:t>98%</w:t>
            </w:r>
          </w:p>
        </w:tc>
        <w:tc>
          <w:tcPr>
            <w:tcW w:w="1260" w:type="dxa"/>
            <w:tcBorders>
              <w:top w:val="nil"/>
              <w:left w:val="nil"/>
              <w:bottom w:val="single" w:sz="4" w:space="0" w:color="000000"/>
              <w:right w:val="single" w:sz="4" w:space="0" w:color="000000"/>
            </w:tcBorders>
            <w:shd w:val="clear" w:color="000000" w:fill="FFFFFF"/>
            <w:vAlign w:val="bottom"/>
          </w:tcPr>
          <w:p w14:paraId="47E259C8" w14:textId="77777777" w:rsidR="009E332F" w:rsidRPr="00547178" w:rsidRDefault="009E332F" w:rsidP="009C5632">
            <w:pPr>
              <w:jc w:val="right"/>
              <w:rPr>
                <w:rFonts w:ascii="Arial" w:hAnsi="Arial" w:cs="Arial"/>
                <w:color w:val="000000"/>
                <w:sz w:val="18"/>
                <w:szCs w:val="18"/>
              </w:rPr>
            </w:pPr>
            <w:r w:rsidRPr="00547178">
              <w:rPr>
                <w:rFonts w:ascii="Arial" w:hAnsi="Arial" w:cs="Arial"/>
                <w:color w:val="000000"/>
                <w:sz w:val="18"/>
                <w:szCs w:val="18"/>
              </w:rPr>
              <w:t>98%</w:t>
            </w:r>
          </w:p>
        </w:tc>
      </w:tr>
      <w:tr w:rsidR="009E332F" w:rsidRPr="00477DD9" w14:paraId="4AA031A5" w14:textId="77777777" w:rsidTr="009C5632">
        <w:trPr>
          <w:trHeight w:val="341"/>
        </w:trPr>
        <w:tc>
          <w:tcPr>
            <w:tcW w:w="1237" w:type="dxa"/>
            <w:tcBorders>
              <w:top w:val="nil"/>
              <w:left w:val="single" w:sz="4" w:space="0" w:color="auto"/>
              <w:bottom w:val="single" w:sz="4" w:space="0" w:color="000000"/>
              <w:right w:val="single" w:sz="4" w:space="0" w:color="000000"/>
            </w:tcBorders>
            <w:shd w:val="clear" w:color="000000" w:fill="FFFFFF"/>
            <w:vAlign w:val="center"/>
            <w:hideMark/>
          </w:tcPr>
          <w:p w14:paraId="4A88CAD0" w14:textId="77777777" w:rsidR="009E332F" w:rsidRPr="00FC1D9A" w:rsidRDefault="009E332F" w:rsidP="009C5632">
            <w:pPr>
              <w:rPr>
                <w:rFonts w:ascii="Arial" w:hAnsi="Arial" w:cs="Arial"/>
                <w:b/>
                <w:bCs/>
                <w:color w:val="000000"/>
                <w:sz w:val="16"/>
                <w:szCs w:val="18"/>
              </w:rPr>
            </w:pPr>
            <w:r w:rsidRPr="00FC1D9A">
              <w:rPr>
                <w:rFonts w:ascii="Arial" w:hAnsi="Arial" w:cs="Arial"/>
                <w:b/>
                <w:bCs/>
                <w:color w:val="000000"/>
                <w:sz w:val="16"/>
                <w:szCs w:val="18"/>
              </w:rPr>
              <w:t>70%</w:t>
            </w:r>
          </w:p>
        </w:tc>
        <w:tc>
          <w:tcPr>
            <w:tcW w:w="1259" w:type="dxa"/>
            <w:tcBorders>
              <w:top w:val="nil"/>
              <w:left w:val="nil"/>
              <w:bottom w:val="single" w:sz="4" w:space="0" w:color="000000"/>
              <w:right w:val="single" w:sz="4" w:space="0" w:color="000000"/>
            </w:tcBorders>
            <w:shd w:val="clear" w:color="000000" w:fill="FFFFFF"/>
            <w:vAlign w:val="bottom"/>
            <w:hideMark/>
          </w:tcPr>
          <w:p w14:paraId="7CD9769C" w14:textId="77777777" w:rsidR="009E332F" w:rsidRPr="00547178" w:rsidRDefault="009E332F" w:rsidP="009C5632">
            <w:pPr>
              <w:jc w:val="right"/>
              <w:rPr>
                <w:rFonts w:ascii="Arial" w:hAnsi="Arial" w:cs="Arial"/>
                <w:color w:val="000000"/>
                <w:sz w:val="18"/>
                <w:szCs w:val="18"/>
              </w:rPr>
            </w:pPr>
            <w:r w:rsidRPr="00547178">
              <w:rPr>
                <w:rFonts w:ascii="Arial" w:hAnsi="Arial" w:cs="Arial"/>
                <w:color w:val="000000"/>
                <w:sz w:val="18"/>
                <w:szCs w:val="18"/>
              </w:rPr>
              <w:t>99%</w:t>
            </w:r>
          </w:p>
        </w:tc>
        <w:tc>
          <w:tcPr>
            <w:tcW w:w="1259" w:type="dxa"/>
            <w:tcBorders>
              <w:top w:val="nil"/>
              <w:left w:val="nil"/>
              <w:bottom w:val="single" w:sz="4" w:space="0" w:color="000000"/>
              <w:right w:val="single" w:sz="4" w:space="0" w:color="000000"/>
            </w:tcBorders>
            <w:shd w:val="clear" w:color="000000" w:fill="FFFFFF"/>
            <w:vAlign w:val="bottom"/>
          </w:tcPr>
          <w:p w14:paraId="3DA831D6" w14:textId="77777777" w:rsidR="009E332F" w:rsidRPr="00547178" w:rsidRDefault="009E332F" w:rsidP="009C5632">
            <w:pPr>
              <w:jc w:val="right"/>
              <w:rPr>
                <w:rFonts w:ascii="Arial" w:hAnsi="Arial" w:cs="Arial"/>
                <w:color w:val="000000"/>
                <w:sz w:val="18"/>
                <w:szCs w:val="18"/>
              </w:rPr>
            </w:pPr>
            <w:r w:rsidRPr="00547178">
              <w:rPr>
                <w:rFonts w:ascii="Arial" w:hAnsi="Arial" w:cs="Arial"/>
                <w:color w:val="000000"/>
                <w:sz w:val="18"/>
                <w:szCs w:val="18"/>
              </w:rPr>
              <w:t>99%</w:t>
            </w:r>
          </w:p>
        </w:tc>
        <w:tc>
          <w:tcPr>
            <w:tcW w:w="1260" w:type="dxa"/>
            <w:tcBorders>
              <w:top w:val="nil"/>
              <w:left w:val="nil"/>
              <w:bottom w:val="single" w:sz="4" w:space="0" w:color="000000"/>
              <w:right w:val="single" w:sz="4" w:space="0" w:color="000000"/>
            </w:tcBorders>
            <w:shd w:val="clear" w:color="000000" w:fill="FFFFFF"/>
            <w:vAlign w:val="bottom"/>
          </w:tcPr>
          <w:p w14:paraId="788CBF9F" w14:textId="77777777" w:rsidR="009E332F" w:rsidRPr="00547178" w:rsidRDefault="009E332F" w:rsidP="009C5632">
            <w:pPr>
              <w:jc w:val="right"/>
              <w:rPr>
                <w:rFonts w:ascii="Arial" w:hAnsi="Arial" w:cs="Arial"/>
                <w:color w:val="000000"/>
                <w:sz w:val="18"/>
                <w:szCs w:val="18"/>
              </w:rPr>
            </w:pPr>
            <w:r w:rsidRPr="00547178">
              <w:rPr>
                <w:rFonts w:ascii="Arial" w:hAnsi="Arial" w:cs="Arial"/>
                <w:color w:val="000000"/>
                <w:sz w:val="18"/>
                <w:szCs w:val="18"/>
              </w:rPr>
              <w:t>99%</w:t>
            </w:r>
          </w:p>
        </w:tc>
      </w:tr>
      <w:tr w:rsidR="009E332F" w:rsidRPr="00477DD9" w14:paraId="1A948D43" w14:textId="77777777" w:rsidTr="009C5632">
        <w:trPr>
          <w:trHeight w:val="341"/>
        </w:trPr>
        <w:tc>
          <w:tcPr>
            <w:tcW w:w="1237" w:type="dxa"/>
            <w:tcBorders>
              <w:top w:val="nil"/>
              <w:left w:val="single" w:sz="4" w:space="0" w:color="auto"/>
              <w:bottom w:val="single" w:sz="4" w:space="0" w:color="000000"/>
              <w:right w:val="single" w:sz="4" w:space="0" w:color="000000"/>
            </w:tcBorders>
            <w:shd w:val="clear" w:color="000000" w:fill="FFFFFF"/>
            <w:vAlign w:val="center"/>
            <w:hideMark/>
          </w:tcPr>
          <w:p w14:paraId="7E9D5C95" w14:textId="77777777" w:rsidR="009E332F" w:rsidRPr="00FC1D9A" w:rsidRDefault="009E332F" w:rsidP="009C5632">
            <w:pPr>
              <w:rPr>
                <w:rFonts w:ascii="Arial" w:hAnsi="Arial" w:cs="Arial"/>
                <w:b/>
                <w:bCs/>
                <w:color w:val="000000"/>
                <w:sz w:val="16"/>
                <w:szCs w:val="18"/>
              </w:rPr>
            </w:pPr>
            <w:r w:rsidRPr="00FC1D9A">
              <w:rPr>
                <w:rFonts w:ascii="Arial" w:hAnsi="Arial" w:cs="Arial"/>
                <w:b/>
                <w:bCs/>
                <w:color w:val="000000"/>
                <w:sz w:val="16"/>
                <w:szCs w:val="18"/>
              </w:rPr>
              <w:t>80%</w:t>
            </w:r>
          </w:p>
        </w:tc>
        <w:tc>
          <w:tcPr>
            <w:tcW w:w="1259" w:type="dxa"/>
            <w:tcBorders>
              <w:top w:val="nil"/>
              <w:left w:val="nil"/>
              <w:bottom w:val="single" w:sz="4" w:space="0" w:color="000000"/>
              <w:right w:val="single" w:sz="4" w:space="0" w:color="000000"/>
            </w:tcBorders>
            <w:shd w:val="clear" w:color="000000" w:fill="FFFFFF"/>
            <w:vAlign w:val="bottom"/>
            <w:hideMark/>
          </w:tcPr>
          <w:p w14:paraId="75F5B191" w14:textId="77777777" w:rsidR="009E332F" w:rsidRPr="00547178" w:rsidRDefault="009E332F" w:rsidP="009C5632">
            <w:pPr>
              <w:jc w:val="right"/>
              <w:rPr>
                <w:rFonts w:ascii="Arial" w:hAnsi="Arial" w:cs="Arial"/>
                <w:color w:val="000000"/>
                <w:sz w:val="18"/>
                <w:szCs w:val="18"/>
              </w:rPr>
            </w:pPr>
            <w:r w:rsidRPr="00547178">
              <w:rPr>
                <w:rFonts w:ascii="Arial" w:hAnsi="Arial" w:cs="Arial"/>
                <w:color w:val="000000"/>
                <w:sz w:val="18"/>
                <w:szCs w:val="18"/>
              </w:rPr>
              <w:t>99%</w:t>
            </w:r>
          </w:p>
        </w:tc>
        <w:tc>
          <w:tcPr>
            <w:tcW w:w="1259" w:type="dxa"/>
            <w:tcBorders>
              <w:top w:val="nil"/>
              <w:left w:val="nil"/>
              <w:bottom w:val="single" w:sz="4" w:space="0" w:color="000000"/>
              <w:right w:val="single" w:sz="4" w:space="0" w:color="000000"/>
            </w:tcBorders>
            <w:shd w:val="clear" w:color="000000" w:fill="FFFFFF"/>
            <w:vAlign w:val="bottom"/>
          </w:tcPr>
          <w:p w14:paraId="6DAA0807" w14:textId="77777777" w:rsidR="009E332F" w:rsidRPr="00547178" w:rsidRDefault="009E332F" w:rsidP="009C5632">
            <w:pPr>
              <w:jc w:val="right"/>
              <w:rPr>
                <w:rFonts w:ascii="Arial" w:hAnsi="Arial" w:cs="Arial"/>
                <w:color w:val="000000"/>
                <w:sz w:val="18"/>
                <w:szCs w:val="18"/>
              </w:rPr>
            </w:pPr>
            <w:r w:rsidRPr="00547178">
              <w:rPr>
                <w:rFonts w:ascii="Arial" w:hAnsi="Arial" w:cs="Arial"/>
                <w:color w:val="000000"/>
                <w:sz w:val="18"/>
                <w:szCs w:val="18"/>
              </w:rPr>
              <w:t>100%</w:t>
            </w:r>
          </w:p>
        </w:tc>
        <w:tc>
          <w:tcPr>
            <w:tcW w:w="1260" w:type="dxa"/>
            <w:tcBorders>
              <w:top w:val="nil"/>
              <w:left w:val="nil"/>
              <w:bottom w:val="single" w:sz="4" w:space="0" w:color="000000"/>
              <w:right w:val="single" w:sz="4" w:space="0" w:color="000000"/>
            </w:tcBorders>
            <w:shd w:val="clear" w:color="000000" w:fill="FFFFFF"/>
            <w:vAlign w:val="bottom"/>
          </w:tcPr>
          <w:p w14:paraId="2F02D43A" w14:textId="77777777" w:rsidR="009E332F" w:rsidRPr="00547178" w:rsidRDefault="009E332F" w:rsidP="009C5632">
            <w:pPr>
              <w:jc w:val="right"/>
              <w:rPr>
                <w:rFonts w:ascii="Arial" w:hAnsi="Arial" w:cs="Arial"/>
                <w:color w:val="000000"/>
                <w:sz w:val="18"/>
                <w:szCs w:val="18"/>
              </w:rPr>
            </w:pPr>
            <w:r w:rsidRPr="00547178">
              <w:rPr>
                <w:rFonts w:ascii="Arial" w:hAnsi="Arial" w:cs="Arial"/>
                <w:color w:val="000000"/>
                <w:sz w:val="18"/>
                <w:szCs w:val="18"/>
              </w:rPr>
              <w:t>99%</w:t>
            </w:r>
          </w:p>
        </w:tc>
      </w:tr>
      <w:tr w:rsidR="009E332F" w:rsidRPr="00477DD9" w14:paraId="246B9EC6" w14:textId="77777777" w:rsidTr="009C5632">
        <w:trPr>
          <w:trHeight w:val="341"/>
        </w:trPr>
        <w:tc>
          <w:tcPr>
            <w:tcW w:w="1237" w:type="dxa"/>
            <w:tcBorders>
              <w:top w:val="nil"/>
              <w:left w:val="single" w:sz="4" w:space="0" w:color="auto"/>
              <w:bottom w:val="single" w:sz="4" w:space="0" w:color="000000"/>
              <w:right w:val="single" w:sz="4" w:space="0" w:color="000000"/>
            </w:tcBorders>
            <w:shd w:val="clear" w:color="000000" w:fill="FFFFFF"/>
            <w:vAlign w:val="center"/>
            <w:hideMark/>
          </w:tcPr>
          <w:p w14:paraId="4FFC1529" w14:textId="77777777" w:rsidR="009E332F" w:rsidRPr="00FC1D9A" w:rsidRDefault="009E332F" w:rsidP="009C5632">
            <w:pPr>
              <w:rPr>
                <w:rFonts w:ascii="Arial" w:hAnsi="Arial" w:cs="Arial"/>
                <w:b/>
                <w:bCs/>
                <w:color w:val="000000"/>
                <w:sz w:val="16"/>
                <w:szCs w:val="18"/>
              </w:rPr>
            </w:pPr>
            <w:r w:rsidRPr="00FC1D9A">
              <w:rPr>
                <w:rFonts w:ascii="Arial" w:hAnsi="Arial" w:cs="Arial"/>
                <w:b/>
                <w:bCs/>
                <w:color w:val="000000"/>
                <w:sz w:val="16"/>
                <w:szCs w:val="18"/>
              </w:rPr>
              <w:t>90%</w:t>
            </w:r>
          </w:p>
        </w:tc>
        <w:tc>
          <w:tcPr>
            <w:tcW w:w="1259" w:type="dxa"/>
            <w:tcBorders>
              <w:top w:val="nil"/>
              <w:left w:val="nil"/>
              <w:bottom w:val="single" w:sz="4" w:space="0" w:color="000000"/>
              <w:right w:val="single" w:sz="4" w:space="0" w:color="000000"/>
            </w:tcBorders>
            <w:shd w:val="clear" w:color="000000" w:fill="FFFFFF"/>
            <w:vAlign w:val="bottom"/>
            <w:hideMark/>
          </w:tcPr>
          <w:p w14:paraId="14C4AD39" w14:textId="77777777" w:rsidR="009E332F" w:rsidRPr="00547178" w:rsidRDefault="009E332F" w:rsidP="009C5632">
            <w:pPr>
              <w:jc w:val="right"/>
              <w:rPr>
                <w:rFonts w:ascii="Arial" w:hAnsi="Arial" w:cs="Arial"/>
                <w:color w:val="000000"/>
                <w:sz w:val="18"/>
                <w:szCs w:val="18"/>
              </w:rPr>
            </w:pPr>
            <w:r w:rsidRPr="00547178">
              <w:rPr>
                <w:rFonts w:ascii="Arial" w:hAnsi="Arial" w:cs="Arial"/>
                <w:color w:val="000000"/>
                <w:sz w:val="18"/>
                <w:szCs w:val="18"/>
              </w:rPr>
              <w:t>100%</w:t>
            </w:r>
          </w:p>
        </w:tc>
        <w:tc>
          <w:tcPr>
            <w:tcW w:w="1259" w:type="dxa"/>
            <w:tcBorders>
              <w:top w:val="nil"/>
              <w:left w:val="nil"/>
              <w:bottom w:val="single" w:sz="4" w:space="0" w:color="000000"/>
              <w:right w:val="single" w:sz="4" w:space="0" w:color="000000"/>
            </w:tcBorders>
            <w:shd w:val="clear" w:color="000000" w:fill="FFFFFF"/>
            <w:vAlign w:val="bottom"/>
          </w:tcPr>
          <w:p w14:paraId="583629B0" w14:textId="77777777" w:rsidR="009E332F" w:rsidRPr="00547178" w:rsidRDefault="009E332F" w:rsidP="009C5632">
            <w:pPr>
              <w:jc w:val="right"/>
              <w:rPr>
                <w:rFonts w:ascii="Arial" w:hAnsi="Arial" w:cs="Arial"/>
                <w:color w:val="000000"/>
                <w:sz w:val="18"/>
                <w:szCs w:val="18"/>
              </w:rPr>
            </w:pPr>
            <w:r w:rsidRPr="00547178">
              <w:rPr>
                <w:rFonts w:ascii="Arial" w:hAnsi="Arial" w:cs="Arial"/>
                <w:color w:val="000000"/>
                <w:sz w:val="18"/>
                <w:szCs w:val="18"/>
              </w:rPr>
              <w:t>100%</w:t>
            </w:r>
          </w:p>
        </w:tc>
        <w:tc>
          <w:tcPr>
            <w:tcW w:w="1260" w:type="dxa"/>
            <w:tcBorders>
              <w:top w:val="nil"/>
              <w:left w:val="nil"/>
              <w:bottom w:val="single" w:sz="4" w:space="0" w:color="000000"/>
              <w:right w:val="single" w:sz="4" w:space="0" w:color="000000"/>
            </w:tcBorders>
            <w:shd w:val="clear" w:color="000000" w:fill="FFFFFF"/>
            <w:vAlign w:val="bottom"/>
          </w:tcPr>
          <w:p w14:paraId="30EA37CE" w14:textId="77777777" w:rsidR="009E332F" w:rsidRPr="00547178" w:rsidRDefault="009E332F" w:rsidP="009C5632">
            <w:pPr>
              <w:jc w:val="right"/>
              <w:rPr>
                <w:rFonts w:ascii="Arial" w:hAnsi="Arial" w:cs="Arial"/>
                <w:color w:val="000000"/>
                <w:sz w:val="18"/>
                <w:szCs w:val="18"/>
              </w:rPr>
            </w:pPr>
            <w:r w:rsidRPr="00547178">
              <w:rPr>
                <w:rFonts w:ascii="Arial" w:hAnsi="Arial" w:cs="Arial"/>
                <w:color w:val="000000"/>
                <w:sz w:val="18"/>
                <w:szCs w:val="18"/>
              </w:rPr>
              <w:t>100%</w:t>
            </w:r>
          </w:p>
        </w:tc>
      </w:tr>
      <w:tr w:rsidR="009E332F" w14:paraId="52276D44" w14:textId="77777777" w:rsidTr="009C5632">
        <w:trPr>
          <w:trHeight w:val="341"/>
        </w:trPr>
        <w:tc>
          <w:tcPr>
            <w:tcW w:w="1237" w:type="dxa"/>
            <w:tcBorders>
              <w:top w:val="nil"/>
              <w:left w:val="single" w:sz="4" w:space="0" w:color="auto"/>
              <w:bottom w:val="single" w:sz="4" w:space="0" w:color="auto"/>
              <w:right w:val="single" w:sz="4" w:space="0" w:color="000000"/>
            </w:tcBorders>
            <w:shd w:val="clear" w:color="000000" w:fill="FFFFFF"/>
            <w:vAlign w:val="center"/>
            <w:hideMark/>
          </w:tcPr>
          <w:p w14:paraId="4FB6C99A" w14:textId="77777777" w:rsidR="009E332F" w:rsidRPr="00FC1D9A" w:rsidRDefault="009E332F" w:rsidP="009C5632">
            <w:pPr>
              <w:rPr>
                <w:rFonts w:ascii="Arial" w:hAnsi="Arial" w:cs="Arial"/>
                <w:b/>
                <w:bCs/>
                <w:color w:val="000000"/>
                <w:sz w:val="16"/>
                <w:szCs w:val="18"/>
              </w:rPr>
            </w:pPr>
            <w:r w:rsidRPr="00FC1D9A">
              <w:rPr>
                <w:rFonts w:ascii="Arial" w:hAnsi="Arial" w:cs="Arial"/>
                <w:b/>
                <w:bCs/>
                <w:color w:val="000000"/>
                <w:sz w:val="16"/>
                <w:szCs w:val="18"/>
              </w:rPr>
              <w:t>100%</w:t>
            </w:r>
          </w:p>
        </w:tc>
        <w:tc>
          <w:tcPr>
            <w:tcW w:w="1259" w:type="dxa"/>
            <w:tcBorders>
              <w:top w:val="nil"/>
              <w:left w:val="nil"/>
              <w:bottom w:val="single" w:sz="4" w:space="0" w:color="auto"/>
              <w:right w:val="single" w:sz="4" w:space="0" w:color="000000"/>
            </w:tcBorders>
            <w:shd w:val="clear" w:color="000000" w:fill="FFFFFF"/>
            <w:vAlign w:val="bottom"/>
            <w:hideMark/>
          </w:tcPr>
          <w:p w14:paraId="3260F136" w14:textId="77777777" w:rsidR="009E332F" w:rsidRPr="00547178" w:rsidRDefault="009E332F" w:rsidP="009C5632">
            <w:pPr>
              <w:jc w:val="right"/>
              <w:rPr>
                <w:rFonts w:ascii="Arial" w:hAnsi="Arial" w:cs="Arial"/>
                <w:color w:val="000000"/>
                <w:sz w:val="18"/>
                <w:szCs w:val="18"/>
              </w:rPr>
            </w:pPr>
            <w:r w:rsidRPr="00547178">
              <w:rPr>
                <w:rFonts w:ascii="Arial" w:hAnsi="Arial" w:cs="Arial"/>
                <w:color w:val="000000"/>
                <w:sz w:val="18"/>
                <w:szCs w:val="18"/>
              </w:rPr>
              <w:t>100%</w:t>
            </w:r>
          </w:p>
        </w:tc>
        <w:tc>
          <w:tcPr>
            <w:tcW w:w="1259" w:type="dxa"/>
            <w:tcBorders>
              <w:top w:val="nil"/>
              <w:left w:val="nil"/>
              <w:bottom w:val="single" w:sz="4" w:space="0" w:color="auto"/>
              <w:right w:val="single" w:sz="4" w:space="0" w:color="000000"/>
            </w:tcBorders>
            <w:shd w:val="clear" w:color="000000" w:fill="FFFFFF"/>
            <w:vAlign w:val="bottom"/>
          </w:tcPr>
          <w:p w14:paraId="4C127D68" w14:textId="77777777" w:rsidR="009E332F" w:rsidRPr="00547178" w:rsidRDefault="009E332F" w:rsidP="009C5632">
            <w:pPr>
              <w:jc w:val="right"/>
              <w:rPr>
                <w:rFonts w:ascii="Arial" w:hAnsi="Arial" w:cs="Arial"/>
                <w:color w:val="000000"/>
                <w:sz w:val="18"/>
                <w:szCs w:val="18"/>
              </w:rPr>
            </w:pPr>
            <w:r w:rsidRPr="00547178">
              <w:rPr>
                <w:rFonts w:ascii="Arial" w:hAnsi="Arial" w:cs="Arial"/>
                <w:color w:val="000000"/>
                <w:sz w:val="18"/>
                <w:szCs w:val="18"/>
              </w:rPr>
              <w:t>100%</w:t>
            </w:r>
          </w:p>
        </w:tc>
        <w:tc>
          <w:tcPr>
            <w:tcW w:w="1260" w:type="dxa"/>
            <w:tcBorders>
              <w:top w:val="nil"/>
              <w:left w:val="nil"/>
              <w:bottom w:val="single" w:sz="4" w:space="0" w:color="auto"/>
              <w:right w:val="single" w:sz="4" w:space="0" w:color="000000"/>
            </w:tcBorders>
            <w:shd w:val="clear" w:color="000000" w:fill="FFFFFF"/>
            <w:vAlign w:val="bottom"/>
          </w:tcPr>
          <w:p w14:paraId="7C61E1FC" w14:textId="77777777" w:rsidR="009E332F" w:rsidRPr="00547178" w:rsidRDefault="009E332F" w:rsidP="009C5632">
            <w:pPr>
              <w:jc w:val="right"/>
              <w:rPr>
                <w:rFonts w:ascii="Arial" w:hAnsi="Arial" w:cs="Arial"/>
                <w:color w:val="000000"/>
                <w:sz w:val="18"/>
                <w:szCs w:val="18"/>
              </w:rPr>
            </w:pPr>
            <w:r w:rsidRPr="00547178">
              <w:rPr>
                <w:rFonts w:ascii="Arial" w:hAnsi="Arial" w:cs="Arial"/>
                <w:color w:val="000000"/>
                <w:sz w:val="18"/>
                <w:szCs w:val="18"/>
              </w:rPr>
              <w:t>100%</w:t>
            </w:r>
          </w:p>
        </w:tc>
      </w:tr>
    </w:tbl>
    <w:p w14:paraId="0A2765B5" w14:textId="08059937" w:rsidR="009E332F" w:rsidRDefault="009E332F" w:rsidP="009E332F">
      <w:pPr>
        <w:rPr>
          <w:i/>
          <w:sz w:val="20"/>
        </w:rPr>
      </w:pPr>
      <w:r w:rsidRPr="00F3191A">
        <w:rPr>
          <w:i/>
          <w:sz w:val="20"/>
        </w:rPr>
        <w:t>Source</w:t>
      </w:r>
      <w:r>
        <w:rPr>
          <w:i/>
          <w:sz w:val="20"/>
        </w:rPr>
        <w:t xml:space="preserve"> for tables 5 &amp; 6</w:t>
      </w:r>
      <w:r w:rsidRPr="00F3191A">
        <w:rPr>
          <w:i/>
          <w:sz w:val="20"/>
        </w:rPr>
        <w:t>: Department of Health</w:t>
      </w:r>
    </w:p>
    <w:p w14:paraId="2CE6D0C9" w14:textId="316F0819" w:rsidR="00AC6433" w:rsidRDefault="004E015F" w:rsidP="004E015F">
      <w:pPr>
        <w:pStyle w:val="Heading2"/>
      </w:pPr>
      <w:bookmarkStart w:id="1" w:name="_Toc465347395"/>
      <w:r w:rsidRPr="00457F5E">
        <w:t>Co-claiming</w:t>
      </w:r>
      <w:bookmarkEnd w:id="1"/>
    </w:p>
    <w:p w14:paraId="3DEB57CF" w14:textId="53B9F8FE" w:rsidR="009E332F" w:rsidRDefault="009E332F" w:rsidP="009E332F">
      <w:r>
        <w:t xml:space="preserve">Item 73337 was predominantly claimed by itself in 2013-14 (Table 7). However, from 2014-15 onwards the item is frequently co-claimed with 73940 for the receipt of a pathology specimen from one pathology clinic to another, 73938 for the collection of a specimen and 72846 for </w:t>
      </w:r>
      <w:r>
        <w:rPr>
          <w:color w:val="000000"/>
          <w:szCs w:val="18"/>
        </w:rPr>
        <w:t>immunohistochemical examination of biopsy material by immunofluorescence (Tables 8 &amp; 9)</w:t>
      </w:r>
      <w:r>
        <w:t>.</w:t>
      </w:r>
    </w:p>
    <w:p w14:paraId="521A2397" w14:textId="454572FF" w:rsidR="009E332F" w:rsidRDefault="009E332F" w:rsidP="007A775F">
      <w:pPr>
        <w:spacing w:before="240"/>
        <w:rPr>
          <w:szCs w:val="24"/>
          <w:lang w:eastAsia="en-US"/>
        </w:rPr>
      </w:pPr>
      <w:r>
        <w:t xml:space="preserve">In 2015-16, there were 35 occasions </w:t>
      </w:r>
      <w:r w:rsidR="00527BF0">
        <w:t xml:space="preserve">in the top 10 instances of co-claiming </w:t>
      </w:r>
      <w:r>
        <w:t xml:space="preserve">where item 73337 was co-claimed with item 73332 for ISH testing for breast cancer (Table 9). </w:t>
      </w:r>
      <w:r w:rsidR="00527BF0">
        <w:rPr>
          <w:szCs w:val="24"/>
          <w:lang w:eastAsia="en-US"/>
        </w:rPr>
        <w:t>T</w:t>
      </w:r>
      <w:r w:rsidR="00527BF0" w:rsidRPr="00610222">
        <w:rPr>
          <w:szCs w:val="24"/>
          <w:lang w:eastAsia="en-US"/>
        </w:rPr>
        <w:t xml:space="preserve">his </w:t>
      </w:r>
      <w:r w:rsidR="00527BF0">
        <w:rPr>
          <w:szCs w:val="24"/>
          <w:lang w:eastAsia="en-US"/>
        </w:rPr>
        <w:t xml:space="preserve">claiming is </w:t>
      </w:r>
      <w:r w:rsidR="00527BF0" w:rsidRPr="00610222">
        <w:rPr>
          <w:szCs w:val="24"/>
          <w:lang w:eastAsia="en-US"/>
        </w:rPr>
        <w:t xml:space="preserve">unusual and may be related to </w:t>
      </w:r>
      <w:r w:rsidR="00527BF0">
        <w:rPr>
          <w:szCs w:val="24"/>
          <w:lang w:eastAsia="en-US"/>
        </w:rPr>
        <w:t xml:space="preserve">testing in the setting </w:t>
      </w:r>
      <w:r w:rsidR="00527BF0" w:rsidRPr="00610222">
        <w:rPr>
          <w:szCs w:val="24"/>
          <w:lang w:eastAsia="en-US"/>
        </w:rPr>
        <w:t xml:space="preserve">of metastatic cancer </w:t>
      </w:r>
      <w:r w:rsidR="00527BF0">
        <w:rPr>
          <w:szCs w:val="24"/>
          <w:lang w:eastAsia="en-US"/>
        </w:rPr>
        <w:t>where the primary is unknown.</w:t>
      </w:r>
    </w:p>
    <w:p w14:paraId="4FD44147" w14:textId="0E78A9BE" w:rsidR="009E332F" w:rsidRPr="00A73613" w:rsidRDefault="009E332F" w:rsidP="009C5632">
      <w:pPr>
        <w:pStyle w:val="Heading3"/>
        <w:rPr>
          <w:rFonts w:cs="Times New Roman"/>
          <w:szCs w:val="18"/>
        </w:rPr>
      </w:pPr>
      <w:r w:rsidRPr="0035013F">
        <w:t xml:space="preserve"> </w:t>
      </w:r>
      <w:r w:rsidRPr="00A73613">
        <w:rPr>
          <w:rFonts w:cs="Times New Roman"/>
          <w:szCs w:val="18"/>
        </w:rPr>
        <w:t xml:space="preserve">Table 7: Top 10 instances of co-claiming with MBS item </w:t>
      </w:r>
      <w:r w:rsidR="00B2220C" w:rsidRPr="00A73613">
        <w:rPr>
          <w:rFonts w:cs="Times New Roman"/>
          <w:szCs w:val="18"/>
        </w:rPr>
        <w:t>7333</w:t>
      </w:r>
      <w:r w:rsidRPr="00A73613">
        <w:rPr>
          <w:rFonts w:cs="Times New Roman"/>
          <w:szCs w:val="18"/>
        </w:rPr>
        <w:t>7 in 2013-14</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Table 7 presents the top ten instances of co-claiming with MBS item 73337 in the 2013-14 financial year. The table is split into seven columns, 1) ranking number from 1 to 10, 2) Items, 3) Episodes, 4) Number of services, 5) Schedule Fee for Combination, 6) percentage of total episodes, 7) Cumulative percentage. Rows are split by ranking number, which presents the largest number of episodes as one and the smallest number of episodes as ten. 'NP' means that for that cell, the data is not printed."/>
      </w:tblPr>
      <w:tblGrid>
        <w:gridCol w:w="426"/>
        <w:gridCol w:w="3063"/>
        <w:gridCol w:w="770"/>
        <w:gridCol w:w="734"/>
        <w:gridCol w:w="1063"/>
        <w:gridCol w:w="761"/>
        <w:gridCol w:w="810"/>
      </w:tblGrid>
      <w:tr w:rsidR="009E332F" w:rsidRPr="00961397" w14:paraId="4CC8EB51" w14:textId="77777777" w:rsidTr="00F33D75">
        <w:trPr>
          <w:cantSplit/>
          <w:trHeight w:val="516"/>
          <w:tblHeader/>
        </w:trPr>
        <w:tc>
          <w:tcPr>
            <w:tcW w:w="426" w:type="dxa"/>
            <w:shd w:val="clear" w:color="auto" w:fill="008080"/>
          </w:tcPr>
          <w:p w14:paraId="1CD93070" w14:textId="77777777" w:rsidR="009E332F" w:rsidRPr="002012FC" w:rsidRDefault="009E332F" w:rsidP="00240CC4">
            <w:pPr>
              <w:jc w:val="center"/>
              <w:rPr>
                <w:rStyle w:val="textitem"/>
                <w:b/>
                <w:bCs/>
                <w:color w:val="FFFFFF" w:themeColor="background1"/>
                <w:sz w:val="16"/>
                <w:szCs w:val="16"/>
              </w:rPr>
            </w:pPr>
            <w:r w:rsidRPr="002012FC">
              <w:rPr>
                <w:rStyle w:val="textitem"/>
                <w:b/>
                <w:bCs/>
                <w:color w:val="FFFFFF" w:themeColor="background1"/>
                <w:sz w:val="16"/>
                <w:szCs w:val="16"/>
              </w:rPr>
              <w:t>#</w:t>
            </w:r>
          </w:p>
        </w:tc>
        <w:tc>
          <w:tcPr>
            <w:tcW w:w="3063" w:type="dxa"/>
            <w:shd w:val="clear" w:color="auto" w:fill="008080"/>
            <w:tcMar>
              <w:top w:w="60" w:type="dxa"/>
              <w:left w:w="90" w:type="dxa"/>
              <w:bottom w:w="60" w:type="dxa"/>
              <w:right w:w="75" w:type="dxa"/>
            </w:tcMar>
            <w:hideMark/>
          </w:tcPr>
          <w:p w14:paraId="532404E4" w14:textId="77777777" w:rsidR="009E332F" w:rsidRPr="002012FC" w:rsidRDefault="009E332F" w:rsidP="00240CC4">
            <w:pPr>
              <w:jc w:val="center"/>
              <w:rPr>
                <w:b/>
                <w:bCs/>
                <w:color w:val="FFFFFF" w:themeColor="background1"/>
                <w:sz w:val="16"/>
                <w:szCs w:val="16"/>
              </w:rPr>
            </w:pPr>
            <w:r w:rsidRPr="002012FC">
              <w:rPr>
                <w:rStyle w:val="textitem"/>
                <w:b/>
                <w:bCs/>
                <w:color w:val="FFFFFF" w:themeColor="background1"/>
                <w:sz w:val="16"/>
                <w:szCs w:val="16"/>
              </w:rPr>
              <w:t>Items</w:t>
            </w:r>
          </w:p>
        </w:tc>
        <w:tc>
          <w:tcPr>
            <w:tcW w:w="770" w:type="dxa"/>
            <w:shd w:val="clear" w:color="auto" w:fill="008080"/>
            <w:tcMar>
              <w:top w:w="60" w:type="dxa"/>
              <w:left w:w="90" w:type="dxa"/>
              <w:bottom w:w="60" w:type="dxa"/>
              <w:right w:w="75" w:type="dxa"/>
            </w:tcMar>
            <w:hideMark/>
          </w:tcPr>
          <w:p w14:paraId="27DC6E41" w14:textId="77777777" w:rsidR="009E332F" w:rsidRPr="002012FC" w:rsidRDefault="009E332F" w:rsidP="00240CC4">
            <w:pPr>
              <w:jc w:val="center"/>
              <w:rPr>
                <w:b/>
                <w:bCs/>
                <w:color w:val="FFFFFF" w:themeColor="background1"/>
                <w:sz w:val="16"/>
                <w:szCs w:val="16"/>
              </w:rPr>
            </w:pPr>
            <w:r w:rsidRPr="002012FC">
              <w:rPr>
                <w:rStyle w:val="textitem"/>
                <w:b/>
                <w:bCs/>
                <w:color w:val="FFFFFF" w:themeColor="background1"/>
                <w:sz w:val="16"/>
                <w:szCs w:val="16"/>
              </w:rPr>
              <w:t>Episodes</w:t>
            </w:r>
          </w:p>
        </w:tc>
        <w:tc>
          <w:tcPr>
            <w:tcW w:w="734" w:type="dxa"/>
            <w:shd w:val="clear" w:color="auto" w:fill="008080"/>
            <w:tcMar>
              <w:top w:w="60" w:type="dxa"/>
              <w:left w:w="90" w:type="dxa"/>
              <w:bottom w:w="60" w:type="dxa"/>
              <w:right w:w="75" w:type="dxa"/>
            </w:tcMar>
            <w:hideMark/>
          </w:tcPr>
          <w:p w14:paraId="4E7E7BC5" w14:textId="53B7712E" w:rsidR="009E332F" w:rsidRPr="002012FC" w:rsidRDefault="009E332F" w:rsidP="00240CC4">
            <w:pPr>
              <w:jc w:val="center"/>
              <w:rPr>
                <w:b/>
                <w:bCs/>
                <w:color w:val="FFFFFF" w:themeColor="background1"/>
                <w:sz w:val="16"/>
                <w:szCs w:val="16"/>
              </w:rPr>
            </w:pPr>
            <w:r w:rsidRPr="002012FC">
              <w:rPr>
                <w:rStyle w:val="textitem"/>
                <w:b/>
                <w:bCs/>
                <w:color w:val="FFFFFF" w:themeColor="background1"/>
                <w:sz w:val="16"/>
                <w:szCs w:val="16"/>
              </w:rPr>
              <w:t>Number</w:t>
            </w:r>
            <w:r w:rsidR="003C722C">
              <w:rPr>
                <w:rStyle w:val="textitem"/>
                <w:b/>
                <w:bCs/>
                <w:color w:val="FFFFFF" w:themeColor="background1"/>
                <w:sz w:val="16"/>
                <w:szCs w:val="16"/>
              </w:rPr>
              <w:t xml:space="preserve"> of</w:t>
            </w:r>
            <w:r w:rsidRPr="002012FC">
              <w:rPr>
                <w:rStyle w:val="textitem"/>
                <w:b/>
                <w:bCs/>
                <w:color w:val="FFFFFF" w:themeColor="background1"/>
                <w:sz w:val="16"/>
                <w:szCs w:val="16"/>
              </w:rPr>
              <w:t xml:space="preserve"> Services</w:t>
            </w:r>
          </w:p>
        </w:tc>
        <w:tc>
          <w:tcPr>
            <w:tcW w:w="1063" w:type="dxa"/>
            <w:shd w:val="clear" w:color="auto" w:fill="008080"/>
            <w:tcMar>
              <w:top w:w="60" w:type="dxa"/>
              <w:left w:w="90" w:type="dxa"/>
              <w:bottom w:w="60" w:type="dxa"/>
              <w:right w:w="75" w:type="dxa"/>
            </w:tcMar>
            <w:hideMark/>
          </w:tcPr>
          <w:p w14:paraId="655F0B55" w14:textId="77777777" w:rsidR="009E332F" w:rsidRPr="002012FC" w:rsidRDefault="009E332F" w:rsidP="00240CC4">
            <w:pPr>
              <w:jc w:val="center"/>
              <w:rPr>
                <w:b/>
                <w:bCs/>
                <w:color w:val="FFFFFF" w:themeColor="background1"/>
                <w:sz w:val="16"/>
                <w:szCs w:val="16"/>
              </w:rPr>
            </w:pPr>
            <w:r w:rsidRPr="002012FC">
              <w:rPr>
                <w:b/>
                <w:bCs/>
                <w:color w:val="FFFFFF" w:themeColor="background1"/>
                <w:sz w:val="16"/>
                <w:szCs w:val="16"/>
              </w:rPr>
              <w:t>Schedule Fee for Combination</w:t>
            </w:r>
          </w:p>
        </w:tc>
        <w:tc>
          <w:tcPr>
            <w:tcW w:w="761" w:type="dxa"/>
            <w:shd w:val="clear" w:color="auto" w:fill="008080"/>
            <w:tcMar>
              <w:top w:w="60" w:type="dxa"/>
              <w:left w:w="90" w:type="dxa"/>
              <w:bottom w:w="60" w:type="dxa"/>
              <w:right w:w="75" w:type="dxa"/>
            </w:tcMar>
            <w:hideMark/>
          </w:tcPr>
          <w:p w14:paraId="0A42A2C2" w14:textId="77777777" w:rsidR="009E332F" w:rsidRPr="002012FC" w:rsidRDefault="009E332F" w:rsidP="00240CC4">
            <w:pPr>
              <w:jc w:val="center"/>
              <w:rPr>
                <w:b/>
                <w:bCs/>
                <w:color w:val="FFFFFF" w:themeColor="background1"/>
                <w:sz w:val="16"/>
                <w:szCs w:val="16"/>
              </w:rPr>
            </w:pPr>
            <w:r w:rsidRPr="002012FC">
              <w:rPr>
                <w:rStyle w:val="textitem"/>
                <w:b/>
                <w:bCs/>
                <w:color w:val="FFFFFF" w:themeColor="background1"/>
                <w:sz w:val="16"/>
                <w:szCs w:val="16"/>
              </w:rPr>
              <w:t>% of total episodes</w:t>
            </w:r>
          </w:p>
        </w:tc>
        <w:tc>
          <w:tcPr>
            <w:tcW w:w="810" w:type="dxa"/>
            <w:shd w:val="clear" w:color="auto" w:fill="008080"/>
          </w:tcPr>
          <w:p w14:paraId="396AAF03" w14:textId="77777777" w:rsidR="009E332F" w:rsidRPr="002012FC" w:rsidRDefault="009E332F" w:rsidP="00240CC4">
            <w:pPr>
              <w:jc w:val="center"/>
              <w:rPr>
                <w:rStyle w:val="textitem"/>
                <w:b/>
                <w:bCs/>
                <w:color w:val="FFFFFF" w:themeColor="background1"/>
                <w:sz w:val="16"/>
                <w:szCs w:val="16"/>
              </w:rPr>
            </w:pPr>
            <w:r>
              <w:rPr>
                <w:rStyle w:val="textitem"/>
                <w:b/>
                <w:bCs/>
                <w:color w:val="FFFFFF" w:themeColor="background1"/>
                <w:sz w:val="16"/>
                <w:szCs w:val="16"/>
              </w:rPr>
              <w:t xml:space="preserve">Cumulative % </w:t>
            </w:r>
          </w:p>
        </w:tc>
      </w:tr>
      <w:tr w:rsidR="009E332F" w:rsidRPr="00961397" w14:paraId="5B832AA6" w14:textId="77777777" w:rsidTr="00F33D75">
        <w:trPr>
          <w:cantSplit/>
        </w:trPr>
        <w:tc>
          <w:tcPr>
            <w:tcW w:w="426" w:type="dxa"/>
          </w:tcPr>
          <w:p w14:paraId="52F86B79" w14:textId="77777777" w:rsidR="009E332F" w:rsidRPr="00FC1D9A" w:rsidRDefault="009E332F" w:rsidP="00240CC4">
            <w:pPr>
              <w:jc w:val="center"/>
              <w:rPr>
                <w:rFonts w:ascii="Arial" w:hAnsi="Arial" w:cs="Arial"/>
                <w:b/>
                <w:bCs/>
                <w:color w:val="000000"/>
                <w:sz w:val="18"/>
                <w:szCs w:val="18"/>
              </w:rPr>
            </w:pPr>
            <w:r w:rsidRPr="00FC1D9A">
              <w:rPr>
                <w:rFonts w:ascii="Arial" w:hAnsi="Arial" w:cs="Arial"/>
                <w:b/>
                <w:bCs/>
                <w:color w:val="000000"/>
                <w:sz w:val="18"/>
                <w:szCs w:val="18"/>
              </w:rPr>
              <w:t>1</w:t>
            </w:r>
          </w:p>
        </w:tc>
        <w:tc>
          <w:tcPr>
            <w:tcW w:w="3063" w:type="dxa"/>
            <w:tcMar>
              <w:top w:w="60" w:type="dxa"/>
              <w:left w:w="75" w:type="dxa"/>
              <w:bottom w:w="60" w:type="dxa"/>
              <w:right w:w="75" w:type="dxa"/>
            </w:tcMar>
            <w:vAlign w:val="center"/>
            <w:hideMark/>
          </w:tcPr>
          <w:p w14:paraId="1F3FF420" w14:textId="77777777" w:rsidR="009E332F" w:rsidRPr="00FC1D9A" w:rsidRDefault="009E332F" w:rsidP="00240CC4">
            <w:pPr>
              <w:rPr>
                <w:rFonts w:ascii="Arial" w:hAnsi="Arial" w:cs="Arial"/>
                <w:b/>
                <w:bCs/>
                <w:color w:val="000000"/>
                <w:sz w:val="18"/>
                <w:szCs w:val="18"/>
              </w:rPr>
            </w:pPr>
            <w:r w:rsidRPr="00FC1D9A">
              <w:rPr>
                <w:rFonts w:ascii="Arial" w:hAnsi="Arial" w:cs="Arial"/>
                <w:b/>
                <w:bCs/>
                <w:color w:val="000000"/>
                <w:sz w:val="18"/>
                <w:szCs w:val="18"/>
              </w:rPr>
              <w:t>73337</w:t>
            </w:r>
          </w:p>
        </w:tc>
        <w:tc>
          <w:tcPr>
            <w:tcW w:w="770" w:type="dxa"/>
            <w:tcMar>
              <w:top w:w="60" w:type="dxa"/>
              <w:left w:w="75" w:type="dxa"/>
              <w:bottom w:w="60" w:type="dxa"/>
              <w:right w:w="75" w:type="dxa"/>
            </w:tcMar>
            <w:vAlign w:val="bottom"/>
            <w:hideMark/>
          </w:tcPr>
          <w:p w14:paraId="73852A11" w14:textId="77777777" w:rsidR="009E332F" w:rsidRPr="00361EAD" w:rsidRDefault="009E332F" w:rsidP="00240CC4">
            <w:pPr>
              <w:jc w:val="right"/>
              <w:rPr>
                <w:rFonts w:ascii="Arial" w:hAnsi="Arial" w:cs="Arial"/>
                <w:color w:val="000000"/>
                <w:sz w:val="18"/>
                <w:szCs w:val="18"/>
              </w:rPr>
            </w:pPr>
            <w:r w:rsidRPr="00361EAD">
              <w:rPr>
                <w:rFonts w:ascii="Arial" w:hAnsi="Arial" w:cs="Arial"/>
                <w:color w:val="000000"/>
                <w:sz w:val="18"/>
                <w:szCs w:val="18"/>
              </w:rPr>
              <w:t xml:space="preserve">221 </w:t>
            </w:r>
          </w:p>
        </w:tc>
        <w:tc>
          <w:tcPr>
            <w:tcW w:w="734" w:type="dxa"/>
            <w:tcMar>
              <w:top w:w="60" w:type="dxa"/>
              <w:left w:w="75" w:type="dxa"/>
              <w:bottom w:w="60" w:type="dxa"/>
              <w:right w:w="75" w:type="dxa"/>
            </w:tcMar>
            <w:vAlign w:val="bottom"/>
            <w:hideMark/>
          </w:tcPr>
          <w:p w14:paraId="56ABC217" w14:textId="77777777" w:rsidR="009E332F" w:rsidRPr="00361EAD" w:rsidRDefault="009E332F" w:rsidP="00240CC4">
            <w:pPr>
              <w:jc w:val="right"/>
              <w:rPr>
                <w:rFonts w:ascii="Arial" w:hAnsi="Arial" w:cs="Arial"/>
                <w:color w:val="000000"/>
                <w:sz w:val="18"/>
                <w:szCs w:val="18"/>
              </w:rPr>
            </w:pPr>
            <w:r w:rsidRPr="00361EAD">
              <w:rPr>
                <w:rFonts w:ascii="Arial" w:hAnsi="Arial" w:cs="Arial"/>
                <w:color w:val="000000"/>
                <w:sz w:val="18"/>
                <w:szCs w:val="18"/>
              </w:rPr>
              <w:t xml:space="preserve">221 </w:t>
            </w:r>
          </w:p>
        </w:tc>
        <w:tc>
          <w:tcPr>
            <w:tcW w:w="1063" w:type="dxa"/>
            <w:tcMar>
              <w:top w:w="60" w:type="dxa"/>
              <w:left w:w="75" w:type="dxa"/>
              <w:bottom w:w="60" w:type="dxa"/>
              <w:right w:w="75" w:type="dxa"/>
            </w:tcMar>
            <w:vAlign w:val="bottom"/>
            <w:hideMark/>
          </w:tcPr>
          <w:p w14:paraId="1641C633" w14:textId="77777777" w:rsidR="009E332F" w:rsidRPr="00361EAD" w:rsidRDefault="009E332F" w:rsidP="00240CC4">
            <w:pPr>
              <w:jc w:val="right"/>
              <w:rPr>
                <w:rFonts w:ascii="Arial" w:hAnsi="Arial" w:cs="Arial"/>
                <w:color w:val="000000"/>
                <w:sz w:val="18"/>
                <w:szCs w:val="18"/>
              </w:rPr>
            </w:pPr>
            <w:r w:rsidRPr="00361EAD">
              <w:rPr>
                <w:rFonts w:ascii="Arial" w:hAnsi="Arial" w:cs="Arial"/>
                <w:color w:val="000000"/>
                <w:sz w:val="18"/>
                <w:szCs w:val="18"/>
              </w:rPr>
              <w:t xml:space="preserve">$87,814 </w:t>
            </w:r>
          </w:p>
        </w:tc>
        <w:tc>
          <w:tcPr>
            <w:tcW w:w="761" w:type="dxa"/>
            <w:tcMar>
              <w:top w:w="60" w:type="dxa"/>
              <w:left w:w="75" w:type="dxa"/>
              <w:bottom w:w="60" w:type="dxa"/>
              <w:right w:w="75" w:type="dxa"/>
            </w:tcMar>
            <w:vAlign w:val="bottom"/>
            <w:hideMark/>
          </w:tcPr>
          <w:p w14:paraId="745D3DD5" w14:textId="77777777" w:rsidR="009E332F" w:rsidRPr="00361EAD" w:rsidRDefault="009E332F" w:rsidP="00240CC4">
            <w:pPr>
              <w:jc w:val="right"/>
              <w:rPr>
                <w:rFonts w:ascii="Arial" w:hAnsi="Arial" w:cs="Arial"/>
                <w:color w:val="000000"/>
                <w:sz w:val="18"/>
                <w:szCs w:val="18"/>
              </w:rPr>
            </w:pPr>
            <w:r w:rsidRPr="00361EAD">
              <w:rPr>
                <w:rFonts w:ascii="Arial" w:hAnsi="Arial" w:cs="Arial"/>
                <w:color w:val="000000"/>
                <w:sz w:val="18"/>
                <w:szCs w:val="18"/>
              </w:rPr>
              <w:t xml:space="preserve">31% </w:t>
            </w:r>
          </w:p>
        </w:tc>
        <w:tc>
          <w:tcPr>
            <w:tcW w:w="810" w:type="dxa"/>
          </w:tcPr>
          <w:p w14:paraId="381A1422" w14:textId="77777777" w:rsidR="009E332F" w:rsidRPr="00361EAD" w:rsidRDefault="009E332F" w:rsidP="00240CC4">
            <w:pPr>
              <w:jc w:val="right"/>
              <w:rPr>
                <w:rFonts w:ascii="Arial" w:hAnsi="Arial" w:cs="Arial"/>
                <w:color w:val="000000"/>
                <w:sz w:val="18"/>
                <w:szCs w:val="18"/>
              </w:rPr>
            </w:pPr>
            <w:r>
              <w:rPr>
                <w:rFonts w:ascii="Arial" w:hAnsi="Arial" w:cs="Arial"/>
                <w:color w:val="000000"/>
                <w:sz w:val="18"/>
                <w:szCs w:val="18"/>
              </w:rPr>
              <w:t>31%</w:t>
            </w:r>
          </w:p>
        </w:tc>
      </w:tr>
      <w:tr w:rsidR="009E332F" w:rsidRPr="00961397" w14:paraId="4F6FF460" w14:textId="77777777" w:rsidTr="00F33D75">
        <w:trPr>
          <w:cantSplit/>
        </w:trPr>
        <w:tc>
          <w:tcPr>
            <w:tcW w:w="426" w:type="dxa"/>
          </w:tcPr>
          <w:p w14:paraId="52081B63" w14:textId="77777777" w:rsidR="009E332F" w:rsidRPr="00FC1D9A" w:rsidRDefault="009E332F" w:rsidP="00240CC4">
            <w:pPr>
              <w:jc w:val="center"/>
              <w:rPr>
                <w:rFonts w:ascii="Arial" w:hAnsi="Arial" w:cs="Arial"/>
                <w:b/>
                <w:bCs/>
                <w:color w:val="000000"/>
                <w:sz w:val="18"/>
                <w:szCs w:val="18"/>
              </w:rPr>
            </w:pPr>
            <w:r w:rsidRPr="00FC1D9A">
              <w:rPr>
                <w:rFonts w:ascii="Arial" w:hAnsi="Arial" w:cs="Arial"/>
                <w:b/>
                <w:bCs/>
                <w:color w:val="000000"/>
                <w:sz w:val="18"/>
                <w:szCs w:val="18"/>
              </w:rPr>
              <w:t>2</w:t>
            </w:r>
          </w:p>
        </w:tc>
        <w:tc>
          <w:tcPr>
            <w:tcW w:w="3063" w:type="dxa"/>
            <w:tcMar>
              <w:top w:w="60" w:type="dxa"/>
              <w:left w:w="75" w:type="dxa"/>
              <w:bottom w:w="60" w:type="dxa"/>
              <w:right w:w="75" w:type="dxa"/>
            </w:tcMar>
            <w:vAlign w:val="center"/>
            <w:hideMark/>
          </w:tcPr>
          <w:p w14:paraId="1C0F9330" w14:textId="77777777" w:rsidR="009E332F" w:rsidRPr="00FC1D9A" w:rsidRDefault="009E332F" w:rsidP="00240CC4">
            <w:pPr>
              <w:rPr>
                <w:rFonts w:ascii="Arial" w:hAnsi="Arial" w:cs="Arial"/>
                <w:b/>
                <w:bCs/>
                <w:color w:val="000000"/>
                <w:sz w:val="18"/>
                <w:szCs w:val="18"/>
              </w:rPr>
            </w:pPr>
            <w:r w:rsidRPr="00FC1D9A">
              <w:rPr>
                <w:rFonts w:ascii="Arial" w:hAnsi="Arial" w:cs="Arial"/>
                <w:b/>
                <w:bCs/>
                <w:color w:val="000000"/>
                <w:sz w:val="18"/>
                <w:szCs w:val="18"/>
              </w:rPr>
              <w:t>73337</w:t>
            </w:r>
            <w:r w:rsidRPr="00FC1D9A">
              <w:rPr>
                <w:rFonts w:ascii="Arial" w:hAnsi="Arial" w:cs="Arial"/>
                <w:bCs/>
                <w:color w:val="000000"/>
                <w:sz w:val="18"/>
                <w:szCs w:val="18"/>
              </w:rPr>
              <w:t>,73940</w:t>
            </w:r>
          </w:p>
        </w:tc>
        <w:tc>
          <w:tcPr>
            <w:tcW w:w="770" w:type="dxa"/>
            <w:tcMar>
              <w:top w:w="60" w:type="dxa"/>
              <w:left w:w="75" w:type="dxa"/>
              <w:bottom w:w="60" w:type="dxa"/>
              <w:right w:w="75" w:type="dxa"/>
            </w:tcMar>
            <w:vAlign w:val="bottom"/>
            <w:hideMark/>
          </w:tcPr>
          <w:p w14:paraId="1C8E5355" w14:textId="77777777" w:rsidR="009E332F" w:rsidRPr="00361EAD" w:rsidRDefault="009E332F" w:rsidP="00240CC4">
            <w:pPr>
              <w:jc w:val="right"/>
              <w:rPr>
                <w:rFonts w:ascii="Arial" w:hAnsi="Arial" w:cs="Arial"/>
                <w:color w:val="000000"/>
                <w:sz w:val="18"/>
                <w:szCs w:val="18"/>
              </w:rPr>
            </w:pPr>
            <w:r w:rsidRPr="00361EAD">
              <w:rPr>
                <w:rFonts w:ascii="Arial" w:hAnsi="Arial" w:cs="Arial"/>
                <w:color w:val="000000"/>
                <w:sz w:val="18"/>
                <w:szCs w:val="18"/>
              </w:rPr>
              <w:t xml:space="preserve">175 </w:t>
            </w:r>
          </w:p>
        </w:tc>
        <w:tc>
          <w:tcPr>
            <w:tcW w:w="734" w:type="dxa"/>
            <w:tcMar>
              <w:top w:w="60" w:type="dxa"/>
              <w:left w:w="75" w:type="dxa"/>
              <w:bottom w:w="60" w:type="dxa"/>
              <w:right w:w="75" w:type="dxa"/>
            </w:tcMar>
            <w:vAlign w:val="bottom"/>
            <w:hideMark/>
          </w:tcPr>
          <w:p w14:paraId="1B1FB4E1" w14:textId="77777777" w:rsidR="009E332F" w:rsidRPr="00361EAD" w:rsidRDefault="009E332F" w:rsidP="00240CC4">
            <w:pPr>
              <w:jc w:val="right"/>
              <w:rPr>
                <w:rFonts w:ascii="Arial" w:hAnsi="Arial" w:cs="Arial"/>
                <w:color w:val="000000"/>
                <w:sz w:val="18"/>
                <w:szCs w:val="18"/>
              </w:rPr>
            </w:pPr>
            <w:r w:rsidRPr="00361EAD">
              <w:rPr>
                <w:rFonts w:ascii="Arial" w:hAnsi="Arial" w:cs="Arial"/>
                <w:color w:val="000000"/>
                <w:sz w:val="18"/>
                <w:szCs w:val="18"/>
              </w:rPr>
              <w:t xml:space="preserve">350 </w:t>
            </w:r>
          </w:p>
        </w:tc>
        <w:tc>
          <w:tcPr>
            <w:tcW w:w="1063" w:type="dxa"/>
            <w:tcMar>
              <w:top w:w="60" w:type="dxa"/>
              <w:left w:w="75" w:type="dxa"/>
              <w:bottom w:w="60" w:type="dxa"/>
              <w:right w:w="75" w:type="dxa"/>
            </w:tcMar>
            <w:vAlign w:val="bottom"/>
            <w:hideMark/>
          </w:tcPr>
          <w:p w14:paraId="2A6ADCC7" w14:textId="77777777" w:rsidR="009E332F" w:rsidRPr="00361EAD" w:rsidRDefault="009E332F" w:rsidP="00240CC4">
            <w:pPr>
              <w:jc w:val="right"/>
              <w:rPr>
                <w:rFonts w:ascii="Arial" w:hAnsi="Arial" w:cs="Arial"/>
                <w:color w:val="000000"/>
                <w:sz w:val="18"/>
                <w:szCs w:val="18"/>
              </w:rPr>
            </w:pPr>
            <w:r w:rsidRPr="00361EAD">
              <w:rPr>
                <w:rFonts w:ascii="Arial" w:hAnsi="Arial" w:cs="Arial"/>
                <w:color w:val="000000"/>
                <w:sz w:val="18"/>
                <w:szCs w:val="18"/>
              </w:rPr>
              <w:t xml:space="preserve">$71,330 </w:t>
            </w:r>
          </w:p>
        </w:tc>
        <w:tc>
          <w:tcPr>
            <w:tcW w:w="761" w:type="dxa"/>
            <w:tcMar>
              <w:top w:w="60" w:type="dxa"/>
              <w:left w:w="75" w:type="dxa"/>
              <w:bottom w:w="60" w:type="dxa"/>
              <w:right w:w="75" w:type="dxa"/>
            </w:tcMar>
            <w:vAlign w:val="bottom"/>
            <w:hideMark/>
          </w:tcPr>
          <w:p w14:paraId="60A48B3E" w14:textId="77777777" w:rsidR="009E332F" w:rsidRPr="00361EAD" w:rsidRDefault="009E332F" w:rsidP="00240CC4">
            <w:pPr>
              <w:jc w:val="right"/>
              <w:rPr>
                <w:rFonts w:ascii="Arial" w:hAnsi="Arial" w:cs="Arial"/>
                <w:color w:val="000000"/>
                <w:sz w:val="18"/>
                <w:szCs w:val="18"/>
              </w:rPr>
            </w:pPr>
            <w:r>
              <w:rPr>
                <w:rFonts w:ascii="Arial" w:hAnsi="Arial" w:cs="Arial"/>
                <w:color w:val="000000"/>
                <w:sz w:val="18"/>
                <w:szCs w:val="18"/>
              </w:rPr>
              <w:t>25</w:t>
            </w:r>
            <w:r w:rsidRPr="00361EAD">
              <w:rPr>
                <w:rFonts w:ascii="Arial" w:hAnsi="Arial" w:cs="Arial"/>
                <w:color w:val="000000"/>
                <w:sz w:val="18"/>
                <w:szCs w:val="18"/>
              </w:rPr>
              <w:t xml:space="preserve">% </w:t>
            </w:r>
          </w:p>
        </w:tc>
        <w:tc>
          <w:tcPr>
            <w:tcW w:w="810" w:type="dxa"/>
          </w:tcPr>
          <w:p w14:paraId="237EB845" w14:textId="77777777" w:rsidR="009E332F" w:rsidRPr="00361EAD" w:rsidRDefault="009E332F" w:rsidP="00240CC4">
            <w:pPr>
              <w:jc w:val="right"/>
              <w:rPr>
                <w:rFonts w:ascii="Arial" w:hAnsi="Arial" w:cs="Arial"/>
                <w:color w:val="000000"/>
                <w:sz w:val="18"/>
                <w:szCs w:val="18"/>
              </w:rPr>
            </w:pPr>
            <w:r>
              <w:rPr>
                <w:rFonts w:ascii="Arial" w:hAnsi="Arial" w:cs="Arial"/>
                <w:color w:val="000000"/>
                <w:sz w:val="18"/>
                <w:szCs w:val="18"/>
              </w:rPr>
              <w:t>56%</w:t>
            </w:r>
          </w:p>
        </w:tc>
      </w:tr>
      <w:tr w:rsidR="009E332F" w:rsidRPr="00961397" w14:paraId="083E29BB" w14:textId="77777777" w:rsidTr="00F33D75">
        <w:trPr>
          <w:cantSplit/>
        </w:trPr>
        <w:tc>
          <w:tcPr>
            <w:tcW w:w="426" w:type="dxa"/>
          </w:tcPr>
          <w:p w14:paraId="14FEE164" w14:textId="77777777" w:rsidR="009E332F" w:rsidRPr="00FC1D9A" w:rsidRDefault="009E332F" w:rsidP="00240CC4">
            <w:pPr>
              <w:jc w:val="center"/>
              <w:rPr>
                <w:rFonts w:ascii="Arial" w:hAnsi="Arial" w:cs="Arial"/>
                <w:b/>
                <w:bCs/>
                <w:color w:val="000000"/>
                <w:sz w:val="18"/>
                <w:szCs w:val="18"/>
              </w:rPr>
            </w:pPr>
            <w:r w:rsidRPr="00FC1D9A">
              <w:rPr>
                <w:rFonts w:ascii="Arial" w:hAnsi="Arial" w:cs="Arial"/>
                <w:b/>
                <w:bCs/>
                <w:color w:val="000000"/>
                <w:sz w:val="18"/>
                <w:szCs w:val="18"/>
              </w:rPr>
              <w:t>3</w:t>
            </w:r>
          </w:p>
        </w:tc>
        <w:tc>
          <w:tcPr>
            <w:tcW w:w="3063" w:type="dxa"/>
            <w:tcMar>
              <w:top w:w="60" w:type="dxa"/>
              <w:left w:w="75" w:type="dxa"/>
              <w:bottom w:w="60" w:type="dxa"/>
              <w:right w:w="75" w:type="dxa"/>
            </w:tcMar>
            <w:vAlign w:val="center"/>
            <w:hideMark/>
          </w:tcPr>
          <w:p w14:paraId="11197CFE" w14:textId="77777777" w:rsidR="009E332F" w:rsidRPr="00FC1D9A" w:rsidRDefault="009E332F" w:rsidP="00240CC4">
            <w:pPr>
              <w:rPr>
                <w:rFonts w:ascii="Arial" w:hAnsi="Arial" w:cs="Arial"/>
                <w:b/>
                <w:bCs/>
                <w:color w:val="000000"/>
                <w:sz w:val="18"/>
                <w:szCs w:val="18"/>
              </w:rPr>
            </w:pPr>
            <w:r w:rsidRPr="00FC1D9A">
              <w:rPr>
                <w:rFonts w:ascii="Arial" w:hAnsi="Arial" w:cs="Arial"/>
                <w:b/>
                <w:bCs/>
                <w:color w:val="000000"/>
                <w:sz w:val="18"/>
                <w:szCs w:val="18"/>
              </w:rPr>
              <w:t>73337</w:t>
            </w:r>
            <w:r w:rsidRPr="00FC1D9A">
              <w:rPr>
                <w:rFonts w:ascii="Arial" w:hAnsi="Arial" w:cs="Arial"/>
                <w:bCs/>
                <w:color w:val="000000"/>
                <w:sz w:val="18"/>
                <w:szCs w:val="18"/>
              </w:rPr>
              <w:t>,</w:t>
            </w:r>
            <w:r w:rsidRPr="00FC1D9A">
              <w:rPr>
                <w:sz w:val="18"/>
                <w:szCs w:val="18"/>
              </w:rPr>
              <w:t xml:space="preserve"> </w:t>
            </w:r>
            <w:r w:rsidRPr="00FC1D9A">
              <w:rPr>
                <w:rFonts w:ascii="Arial" w:hAnsi="Arial" w:cs="Arial"/>
                <w:bCs/>
                <w:color w:val="000000"/>
                <w:sz w:val="18"/>
                <w:szCs w:val="18"/>
              </w:rPr>
              <w:t>73938</w:t>
            </w:r>
          </w:p>
        </w:tc>
        <w:tc>
          <w:tcPr>
            <w:tcW w:w="770" w:type="dxa"/>
            <w:tcMar>
              <w:top w:w="60" w:type="dxa"/>
              <w:left w:w="75" w:type="dxa"/>
              <w:bottom w:w="60" w:type="dxa"/>
              <w:right w:w="75" w:type="dxa"/>
            </w:tcMar>
            <w:vAlign w:val="bottom"/>
            <w:hideMark/>
          </w:tcPr>
          <w:p w14:paraId="19DCD093" w14:textId="77777777" w:rsidR="009E332F" w:rsidRPr="00361EAD" w:rsidRDefault="009E332F" w:rsidP="00240CC4">
            <w:pPr>
              <w:jc w:val="right"/>
              <w:rPr>
                <w:rFonts w:ascii="Arial" w:hAnsi="Arial" w:cs="Arial"/>
                <w:color w:val="000000"/>
                <w:sz w:val="18"/>
                <w:szCs w:val="18"/>
              </w:rPr>
            </w:pPr>
            <w:r w:rsidRPr="00361EAD">
              <w:rPr>
                <w:rFonts w:ascii="Arial" w:hAnsi="Arial" w:cs="Arial"/>
                <w:color w:val="000000"/>
                <w:sz w:val="18"/>
                <w:szCs w:val="18"/>
              </w:rPr>
              <w:t xml:space="preserve">148 </w:t>
            </w:r>
          </w:p>
        </w:tc>
        <w:tc>
          <w:tcPr>
            <w:tcW w:w="734" w:type="dxa"/>
            <w:tcMar>
              <w:top w:w="60" w:type="dxa"/>
              <w:left w:w="75" w:type="dxa"/>
              <w:bottom w:w="60" w:type="dxa"/>
              <w:right w:w="75" w:type="dxa"/>
            </w:tcMar>
            <w:vAlign w:val="bottom"/>
            <w:hideMark/>
          </w:tcPr>
          <w:p w14:paraId="473A6900" w14:textId="77777777" w:rsidR="009E332F" w:rsidRPr="00361EAD" w:rsidRDefault="009E332F" w:rsidP="00240CC4">
            <w:pPr>
              <w:jc w:val="right"/>
              <w:rPr>
                <w:rFonts w:ascii="Arial" w:hAnsi="Arial" w:cs="Arial"/>
                <w:color w:val="000000"/>
                <w:sz w:val="18"/>
                <w:szCs w:val="18"/>
              </w:rPr>
            </w:pPr>
            <w:r w:rsidRPr="00361EAD">
              <w:rPr>
                <w:rFonts w:ascii="Arial" w:hAnsi="Arial" w:cs="Arial"/>
                <w:color w:val="000000"/>
                <w:sz w:val="18"/>
                <w:szCs w:val="18"/>
              </w:rPr>
              <w:t xml:space="preserve">297 </w:t>
            </w:r>
          </w:p>
        </w:tc>
        <w:tc>
          <w:tcPr>
            <w:tcW w:w="1063" w:type="dxa"/>
            <w:tcMar>
              <w:top w:w="60" w:type="dxa"/>
              <w:left w:w="75" w:type="dxa"/>
              <w:bottom w:w="60" w:type="dxa"/>
              <w:right w:w="75" w:type="dxa"/>
            </w:tcMar>
            <w:vAlign w:val="bottom"/>
            <w:hideMark/>
          </w:tcPr>
          <w:p w14:paraId="26DAF76C" w14:textId="77777777" w:rsidR="009E332F" w:rsidRPr="00361EAD" w:rsidRDefault="009E332F" w:rsidP="00240CC4">
            <w:pPr>
              <w:jc w:val="right"/>
              <w:rPr>
                <w:rFonts w:ascii="Arial" w:hAnsi="Arial" w:cs="Arial"/>
                <w:color w:val="000000"/>
                <w:sz w:val="18"/>
                <w:szCs w:val="18"/>
              </w:rPr>
            </w:pPr>
            <w:r w:rsidRPr="00361EAD">
              <w:rPr>
                <w:rFonts w:ascii="Arial" w:hAnsi="Arial" w:cs="Arial"/>
                <w:color w:val="000000"/>
                <w:sz w:val="18"/>
                <w:szCs w:val="18"/>
              </w:rPr>
              <w:t xml:space="preserve">$60,382 </w:t>
            </w:r>
          </w:p>
        </w:tc>
        <w:tc>
          <w:tcPr>
            <w:tcW w:w="761" w:type="dxa"/>
            <w:tcMar>
              <w:top w:w="60" w:type="dxa"/>
              <w:left w:w="75" w:type="dxa"/>
              <w:bottom w:w="60" w:type="dxa"/>
              <w:right w:w="75" w:type="dxa"/>
            </w:tcMar>
            <w:vAlign w:val="bottom"/>
            <w:hideMark/>
          </w:tcPr>
          <w:p w14:paraId="3952BC95" w14:textId="77777777" w:rsidR="009E332F" w:rsidRPr="00361EAD" w:rsidRDefault="009E332F" w:rsidP="00240CC4">
            <w:pPr>
              <w:jc w:val="right"/>
              <w:rPr>
                <w:rFonts w:ascii="Arial" w:hAnsi="Arial" w:cs="Arial"/>
                <w:color w:val="000000"/>
                <w:sz w:val="18"/>
                <w:szCs w:val="18"/>
              </w:rPr>
            </w:pPr>
            <w:r>
              <w:rPr>
                <w:rFonts w:ascii="Arial" w:hAnsi="Arial" w:cs="Arial"/>
                <w:color w:val="000000"/>
                <w:sz w:val="18"/>
                <w:szCs w:val="18"/>
              </w:rPr>
              <w:t>21</w:t>
            </w:r>
            <w:r w:rsidRPr="00361EAD">
              <w:rPr>
                <w:rFonts w:ascii="Arial" w:hAnsi="Arial" w:cs="Arial"/>
                <w:color w:val="000000"/>
                <w:sz w:val="18"/>
                <w:szCs w:val="18"/>
              </w:rPr>
              <w:t xml:space="preserve">% </w:t>
            </w:r>
          </w:p>
        </w:tc>
        <w:tc>
          <w:tcPr>
            <w:tcW w:w="810" w:type="dxa"/>
          </w:tcPr>
          <w:p w14:paraId="36196B82" w14:textId="77777777" w:rsidR="009E332F" w:rsidRPr="00361EAD" w:rsidRDefault="009E332F" w:rsidP="00240CC4">
            <w:pPr>
              <w:jc w:val="right"/>
              <w:rPr>
                <w:rFonts w:ascii="Arial" w:hAnsi="Arial" w:cs="Arial"/>
                <w:color w:val="000000"/>
                <w:sz w:val="18"/>
                <w:szCs w:val="18"/>
              </w:rPr>
            </w:pPr>
            <w:r>
              <w:rPr>
                <w:rFonts w:ascii="Arial" w:hAnsi="Arial" w:cs="Arial"/>
                <w:color w:val="000000"/>
                <w:sz w:val="18"/>
                <w:szCs w:val="18"/>
              </w:rPr>
              <w:t>77%</w:t>
            </w:r>
          </w:p>
        </w:tc>
      </w:tr>
      <w:tr w:rsidR="009E332F" w:rsidRPr="00961397" w14:paraId="1FECFB05" w14:textId="77777777" w:rsidTr="00F33D75">
        <w:trPr>
          <w:cantSplit/>
        </w:trPr>
        <w:tc>
          <w:tcPr>
            <w:tcW w:w="426" w:type="dxa"/>
          </w:tcPr>
          <w:p w14:paraId="53D393B2" w14:textId="77777777" w:rsidR="009E332F" w:rsidRPr="00FC1D9A" w:rsidRDefault="009E332F" w:rsidP="00240CC4">
            <w:pPr>
              <w:jc w:val="center"/>
              <w:rPr>
                <w:rFonts w:ascii="Arial" w:hAnsi="Arial" w:cs="Arial"/>
                <w:b/>
                <w:bCs/>
                <w:color w:val="000000"/>
                <w:sz w:val="18"/>
                <w:szCs w:val="18"/>
              </w:rPr>
            </w:pPr>
            <w:r w:rsidRPr="00FC1D9A">
              <w:rPr>
                <w:rFonts w:ascii="Arial" w:hAnsi="Arial" w:cs="Arial"/>
                <w:b/>
                <w:bCs/>
                <w:color w:val="000000"/>
                <w:sz w:val="18"/>
                <w:szCs w:val="18"/>
              </w:rPr>
              <w:t>4</w:t>
            </w:r>
          </w:p>
        </w:tc>
        <w:tc>
          <w:tcPr>
            <w:tcW w:w="3063" w:type="dxa"/>
            <w:tcMar>
              <w:top w:w="60" w:type="dxa"/>
              <w:left w:w="75" w:type="dxa"/>
              <w:bottom w:w="60" w:type="dxa"/>
              <w:right w:w="75" w:type="dxa"/>
            </w:tcMar>
            <w:vAlign w:val="center"/>
            <w:hideMark/>
          </w:tcPr>
          <w:p w14:paraId="76D5E64F" w14:textId="77777777" w:rsidR="009E332F" w:rsidRPr="00FC1D9A" w:rsidRDefault="009E332F" w:rsidP="00240CC4">
            <w:pPr>
              <w:rPr>
                <w:rFonts w:ascii="Arial" w:hAnsi="Arial" w:cs="Arial"/>
                <w:b/>
                <w:bCs/>
                <w:color w:val="000000"/>
                <w:sz w:val="18"/>
                <w:szCs w:val="18"/>
              </w:rPr>
            </w:pPr>
            <w:r w:rsidRPr="00FC1D9A">
              <w:rPr>
                <w:rFonts w:ascii="Arial" w:hAnsi="Arial" w:cs="Arial"/>
                <w:b/>
                <w:bCs/>
                <w:color w:val="000000"/>
                <w:sz w:val="18"/>
                <w:szCs w:val="18"/>
              </w:rPr>
              <w:t>73337</w:t>
            </w:r>
            <w:r w:rsidRPr="00FC1D9A">
              <w:rPr>
                <w:rFonts w:ascii="Arial" w:hAnsi="Arial" w:cs="Arial"/>
                <w:bCs/>
                <w:color w:val="000000"/>
                <w:sz w:val="18"/>
                <w:szCs w:val="18"/>
              </w:rPr>
              <w:t>, 73939</w:t>
            </w:r>
          </w:p>
        </w:tc>
        <w:tc>
          <w:tcPr>
            <w:tcW w:w="770" w:type="dxa"/>
            <w:tcMar>
              <w:top w:w="60" w:type="dxa"/>
              <w:left w:w="75" w:type="dxa"/>
              <w:bottom w:w="60" w:type="dxa"/>
              <w:right w:w="75" w:type="dxa"/>
            </w:tcMar>
            <w:vAlign w:val="bottom"/>
            <w:hideMark/>
          </w:tcPr>
          <w:p w14:paraId="06F14BF4" w14:textId="77777777" w:rsidR="009E332F" w:rsidRPr="00361EAD" w:rsidRDefault="009E332F" w:rsidP="00240CC4">
            <w:pPr>
              <w:jc w:val="right"/>
              <w:rPr>
                <w:rFonts w:ascii="Arial" w:hAnsi="Arial" w:cs="Arial"/>
                <w:color w:val="000000"/>
                <w:sz w:val="18"/>
                <w:szCs w:val="18"/>
              </w:rPr>
            </w:pPr>
            <w:r w:rsidRPr="00361EAD">
              <w:rPr>
                <w:rFonts w:ascii="Arial" w:hAnsi="Arial" w:cs="Arial"/>
                <w:color w:val="000000"/>
                <w:sz w:val="18"/>
                <w:szCs w:val="18"/>
              </w:rPr>
              <w:t xml:space="preserve">20 </w:t>
            </w:r>
          </w:p>
        </w:tc>
        <w:tc>
          <w:tcPr>
            <w:tcW w:w="734" w:type="dxa"/>
            <w:tcMar>
              <w:top w:w="60" w:type="dxa"/>
              <w:left w:w="75" w:type="dxa"/>
              <w:bottom w:w="60" w:type="dxa"/>
              <w:right w:w="75" w:type="dxa"/>
            </w:tcMar>
            <w:vAlign w:val="bottom"/>
            <w:hideMark/>
          </w:tcPr>
          <w:p w14:paraId="71FB8EA7" w14:textId="77777777" w:rsidR="009E332F" w:rsidRPr="00361EAD" w:rsidRDefault="009E332F" w:rsidP="00240CC4">
            <w:pPr>
              <w:jc w:val="right"/>
              <w:rPr>
                <w:rFonts w:ascii="Arial" w:hAnsi="Arial" w:cs="Arial"/>
                <w:color w:val="000000"/>
                <w:sz w:val="18"/>
                <w:szCs w:val="18"/>
              </w:rPr>
            </w:pPr>
            <w:r w:rsidRPr="00361EAD">
              <w:rPr>
                <w:rFonts w:ascii="Arial" w:hAnsi="Arial" w:cs="Arial"/>
                <w:color w:val="000000"/>
                <w:sz w:val="18"/>
                <w:szCs w:val="18"/>
              </w:rPr>
              <w:t xml:space="preserve">40 </w:t>
            </w:r>
          </w:p>
        </w:tc>
        <w:tc>
          <w:tcPr>
            <w:tcW w:w="1063" w:type="dxa"/>
            <w:tcMar>
              <w:top w:w="60" w:type="dxa"/>
              <w:left w:w="75" w:type="dxa"/>
              <w:bottom w:w="60" w:type="dxa"/>
              <w:right w:w="75" w:type="dxa"/>
            </w:tcMar>
            <w:vAlign w:val="bottom"/>
            <w:hideMark/>
          </w:tcPr>
          <w:p w14:paraId="5A9C93A7" w14:textId="77777777" w:rsidR="009E332F" w:rsidRPr="00361EAD" w:rsidRDefault="009E332F" w:rsidP="00240CC4">
            <w:pPr>
              <w:jc w:val="right"/>
              <w:rPr>
                <w:rFonts w:ascii="Arial" w:hAnsi="Arial" w:cs="Arial"/>
                <w:color w:val="000000"/>
                <w:sz w:val="18"/>
                <w:szCs w:val="18"/>
              </w:rPr>
            </w:pPr>
            <w:r w:rsidRPr="00361EAD">
              <w:rPr>
                <w:rFonts w:ascii="Arial" w:hAnsi="Arial" w:cs="Arial"/>
                <w:color w:val="000000"/>
                <w:sz w:val="18"/>
                <w:szCs w:val="18"/>
              </w:rPr>
              <w:t xml:space="preserve">$7,995 </w:t>
            </w:r>
          </w:p>
        </w:tc>
        <w:tc>
          <w:tcPr>
            <w:tcW w:w="761" w:type="dxa"/>
            <w:tcMar>
              <w:top w:w="60" w:type="dxa"/>
              <w:left w:w="75" w:type="dxa"/>
              <w:bottom w:w="60" w:type="dxa"/>
              <w:right w:w="75" w:type="dxa"/>
            </w:tcMar>
            <w:vAlign w:val="bottom"/>
            <w:hideMark/>
          </w:tcPr>
          <w:p w14:paraId="43D95897" w14:textId="77777777" w:rsidR="009E332F" w:rsidRPr="00361EAD" w:rsidRDefault="009E332F" w:rsidP="00240CC4">
            <w:pPr>
              <w:jc w:val="right"/>
              <w:rPr>
                <w:rFonts w:ascii="Arial" w:hAnsi="Arial" w:cs="Arial"/>
                <w:color w:val="000000"/>
                <w:sz w:val="18"/>
                <w:szCs w:val="18"/>
              </w:rPr>
            </w:pPr>
            <w:r>
              <w:rPr>
                <w:rFonts w:ascii="Arial" w:hAnsi="Arial" w:cs="Arial"/>
                <w:color w:val="000000"/>
                <w:sz w:val="18"/>
                <w:szCs w:val="18"/>
              </w:rPr>
              <w:t>3</w:t>
            </w:r>
            <w:r w:rsidRPr="00361EAD">
              <w:rPr>
                <w:rFonts w:ascii="Arial" w:hAnsi="Arial" w:cs="Arial"/>
                <w:color w:val="000000"/>
                <w:sz w:val="18"/>
                <w:szCs w:val="18"/>
              </w:rPr>
              <w:t xml:space="preserve">% </w:t>
            </w:r>
          </w:p>
        </w:tc>
        <w:tc>
          <w:tcPr>
            <w:tcW w:w="810" w:type="dxa"/>
          </w:tcPr>
          <w:p w14:paraId="04287A6B" w14:textId="77777777" w:rsidR="009E332F" w:rsidRPr="00361EAD" w:rsidRDefault="009E332F" w:rsidP="00240CC4">
            <w:pPr>
              <w:jc w:val="right"/>
              <w:rPr>
                <w:rFonts w:ascii="Arial" w:hAnsi="Arial" w:cs="Arial"/>
                <w:color w:val="000000"/>
                <w:sz w:val="18"/>
                <w:szCs w:val="18"/>
              </w:rPr>
            </w:pPr>
            <w:r>
              <w:rPr>
                <w:rFonts w:ascii="Arial" w:hAnsi="Arial" w:cs="Arial"/>
                <w:color w:val="000000"/>
                <w:sz w:val="18"/>
                <w:szCs w:val="18"/>
              </w:rPr>
              <w:t>80%</w:t>
            </w:r>
          </w:p>
        </w:tc>
      </w:tr>
      <w:tr w:rsidR="009E332F" w:rsidRPr="00961397" w14:paraId="3C8D4A8F" w14:textId="77777777" w:rsidTr="00F33D75">
        <w:trPr>
          <w:cantSplit/>
        </w:trPr>
        <w:tc>
          <w:tcPr>
            <w:tcW w:w="426" w:type="dxa"/>
          </w:tcPr>
          <w:p w14:paraId="61669F5E" w14:textId="77777777" w:rsidR="009E332F" w:rsidRPr="00FC1D9A" w:rsidRDefault="009E332F" w:rsidP="00240CC4">
            <w:pPr>
              <w:jc w:val="center"/>
              <w:rPr>
                <w:rFonts w:ascii="Arial" w:hAnsi="Arial" w:cs="Arial"/>
                <w:b/>
                <w:bCs/>
                <w:color w:val="000000"/>
                <w:sz w:val="18"/>
                <w:szCs w:val="18"/>
              </w:rPr>
            </w:pPr>
            <w:r w:rsidRPr="00FC1D9A">
              <w:rPr>
                <w:rFonts w:ascii="Arial" w:hAnsi="Arial" w:cs="Arial"/>
                <w:b/>
                <w:bCs/>
                <w:color w:val="000000"/>
                <w:sz w:val="18"/>
                <w:szCs w:val="18"/>
              </w:rPr>
              <w:t>5</w:t>
            </w:r>
          </w:p>
        </w:tc>
        <w:tc>
          <w:tcPr>
            <w:tcW w:w="3063" w:type="dxa"/>
            <w:tcMar>
              <w:top w:w="60" w:type="dxa"/>
              <w:left w:w="75" w:type="dxa"/>
              <w:bottom w:w="60" w:type="dxa"/>
              <w:right w:w="75" w:type="dxa"/>
            </w:tcMar>
            <w:vAlign w:val="center"/>
            <w:hideMark/>
          </w:tcPr>
          <w:p w14:paraId="38FCCDF6" w14:textId="77777777" w:rsidR="009E332F" w:rsidRPr="00FC1D9A" w:rsidRDefault="009E332F" w:rsidP="00240CC4">
            <w:pPr>
              <w:rPr>
                <w:rFonts w:ascii="Arial" w:hAnsi="Arial" w:cs="Arial"/>
                <w:b/>
                <w:bCs/>
                <w:color w:val="000000"/>
                <w:sz w:val="18"/>
                <w:szCs w:val="18"/>
              </w:rPr>
            </w:pPr>
            <w:r w:rsidRPr="00FC1D9A">
              <w:rPr>
                <w:rFonts w:ascii="Arial" w:hAnsi="Arial" w:cs="Arial"/>
                <w:b/>
                <w:bCs/>
                <w:color w:val="000000"/>
                <w:sz w:val="18"/>
                <w:szCs w:val="18"/>
              </w:rPr>
              <w:t>73337</w:t>
            </w:r>
            <w:r w:rsidRPr="00FC1D9A">
              <w:rPr>
                <w:rFonts w:ascii="Arial" w:hAnsi="Arial" w:cs="Arial"/>
                <w:bCs/>
                <w:color w:val="000000"/>
                <w:sz w:val="18"/>
                <w:szCs w:val="18"/>
              </w:rPr>
              <w:t>,</w:t>
            </w:r>
            <w:r w:rsidRPr="00FC1D9A">
              <w:rPr>
                <w:sz w:val="18"/>
                <w:szCs w:val="18"/>
              </w:rPr>
              <w:t xml:space="preserve"> </w:t>
            </w:r>
            <w:r w:rsidRPr="00FC1D9A">
              <w:rPr>
                <w:rFonts w:ascii="Arial" w:hAnsi="Arial" w:cs="Arial"/>
                <w:bCs/>
                <w:color w:val="000000"/>
                <w:sz w:val="18"/>
                <w:szCs w:val="18"/>
              </w:rPr>
              <w:t>72846, 73940</w:t>
            </w:r>
          </w:p>
        </w:tc>
        <w:tc>
          <w:tcPr>
            <w:tcW w:w="770" w:type="dxa"/>
            <w:tcMar>
              <w:top w:w="60" w:type="dxa"/>
              <w:left w:w="75" w:type="dxa"/>
              <w:bottom w:w="60" w:type="dxa"/>
              <w:right w:w="75" w:type="dxa"/>
            </w:tcMar>
            <w:vAlign w:val="bottom"/>
            <w:hideMark/>
          </w:tcPr>
          <w:p w14:paraId="55763706" w14:textId="77777777" w:rsidR="009E332F" w:rsidRPr="00361EAD" w:rsidRDefault="009E332F" w:rsidP="00240CC4">
            <w:pPr>
              <w:jc w:val="right"/>
              <w:rPr>
                <w:rFonts w:ascii="Arial" w:hAnsi="Arial" w:cs="Arial"/>
                <w:color w:val="000000"/>
                <w:sz w:val="18"/>
                <w:szCs w:val="18"/>
              </w:rPr>
            </w:pPr>
            <w:r w:rsidRPr="00361EAD">
              <w:rPr>
                <w:rFonts w:ascii="Arial" w:hAnsi="Arial" w:cs="Arial"/>
                <w:color w:val="000000"/>
                <w:sz w:val="18"/>
                <w:szCs w:val="18"/>
              </w:rPr>
              <w:t xml:space="preserve">14 </w:t>
            </w:r>
          </w:p>
        </w:tc>
        <w:tc>
          <w:tcPr>
            <w:tcW w:w="734" w:type="dxa"/>
            <w:tcMar>
              <w:top w:w="60" w:type="dxa"/>
              <w:left w:w="75" w:type="dxa"/>
              <w:bottom w:w="60" w:type="dxa"/>
              <w:right w:w="75" w:type="dxa"/>
            </w:tcMar>
            <w:vAlign w:val="bottom"/>
            <w:hideMark/>
          </w:tcPr>
          <w:p w14:paraId="3329C728" w14:textId="77777777" w:rsidR="009E332F" w:rsidRPr="00361EAD" w:rsidRDefault="009E332F" w:rsidP="00240CC4">
            <w:pPr>
              <w:jc w:val="right"/>
              <w:rPr>
                <w:rFonts w:ascii="Arial" w:hAnsi="Arial" w:cs="Arial"/>
                <w:color w:val="000000"/>
                <w:sz w:val="18"/>
                <w:szCs w:val="18"/>
              </w:rPr>
            </w:pPr>
            <w:r w:rsidRPr="00361EAD">
              <w:rPr>
                <w:rFonts w:ascii="Arial" w:hAnsi="Arial" w:cs="Arial"/>
                <w:color w:val="000000"/>
                <w:sz w:val="18"/>
                <w:szCs w:val="18"/>
              </w:rPr>
              <w:t xml:space="preserve">42 </w:t>
            </w:r>
          </w:p>
        </w:tc>
        <w:tc>
          <w:tcPr>
            <w:tcW w:w="1063" w:type="dxa"/>
            <w:tcMar>
              <w:top w:w="60" w:type="dxa"/>
              <w:left w:w="75" w:type="dxa"/>
              <w:bottom w:w="60" w:type="dxa"/>
              <w:right w:w="75" w:type="dxa"/>
            </w:tcMar>
            <w:vAlign w:val="bottom"/>
            <w:hideMark/>
          </w:tcPr>
          <w:p w14:paraId="64CA2B89" w14:textId="77777777" w:rsidR="009E332F" w:rsidRPr="00361EAD" w:rsidRDefault="009E332F" w:rsidP="00240CC4">
            <w:pPr>
              <w:jc w:val="right"/>
              <w:rPr>
                <w:rFonts w:ascii="Arial" w:hAnsi="Arial" w:cs="Arial"/>
                <w:color w:val="000000"/>
                <w:sz w:val="18"/>
                <w:szCs w:val="18"/>
              </w:rPr>
            </w:pPr>
            <w:r w:rsidRPr="00361EAD">
              <w:rPr>
                <w:rFonts w:ascii="Arial" w:hAnsi="Arial" w:cs="Arial"/>
                <w:color w:val="000000"/>
                <w:sz w:val="18"/>
                <w:szCs w:val="18"/>
              </w:rPr>
              <w:t xml:space="preserve">$6,541 </w:t>
            </w:r>
          </w:p>
        </w:tc>
        <w:tc>
          <w:tcPr>
            <w:tcW w:w="761" w:type="dxa"/>
            <w:tcMar>
              <w:top w:w="60" w:type="dxa"/>
              <w:left w:w="75" w:type="dxa"/>
              <w:bottom w:w="60" w:type="dxa"/>
              <w:right w:w="75" w:type="dxa"/>
            </w:tcMar>
            <w:vAlign w:val="bottom"/>
            <w:hideMark/>
          </w:tcPr>
          <w:p w14:paraId="3AF51716" w14:textId="77777777" w:rsidR="009E332F" w:rsidRPr="00361EAD" w:rsidRDefault="009E332F" w:rsidP="00240CC4">
            <w:pPr>
              <w:jc w:val="right"/>
              <w:rPr>
                <w:rFonts w:ascii="Arial" w:hAnsi="Arial" w:cs="Arial"/>
                <w:color w:val="000000"/>
                <w:sz w:val="18"/>
                <w:szCs w:val="18"/>
              </w:rPr>
            </w:pPr>
            <w:r>
              <w:rPr>
                <w:rFonts w:ascii="Arial" w:hAnsi="Arial" w:cs="Arial"/>
                <w:color w:val="000000"/>
                <w:sz w:val="18"/>
                <w:szCs w:val="18"/>
              </w:rPr>
              <w:t>2</w:t>
            </w:r>
            <w:r w:rsidRPr="00361EAD">
              <w:rPr>
                <w:rFonts w:ascii="Arial" w:hAnsi="Arial" w:cs="Arial"/>
                <w:color w:val="000000"/>
                <w:sz w:val="18"/>
                <w:szCs w:val="18"/>
              </w:rPr>
              <w:t xml:space="preserve">% </w:t>
            </w:r>
          </w:p>
        </w:tc>
        <w:tc>
          <w:tcPr>
            <w:tcW w:w="810" w:type="dxa"/>
          </w:tcPr>
          <w:p w14:paraId="67838B8B" w14:textId="77777777" w:rsidR="009E332F" w:rsidRPr="00361EAD" w:rsidRDefault="009E332F" w:rsidP="00240CC4">
            <w:pPr>
              <w:jc w:val="right"/>
              <w:rPr>
                <w:rFonts w:ascii="Arial" w:hAnsi="Arial" w:cs="Arial"/>
                <w:color w:val="000000"/>
                <w:sz w:val="18"/>
                <w:szCs w:val="18"/>
              </w:rPr>
            </w:pPr>
            <w:r>
              <w:rPr>
                <w:rFonts w:ascii="Arial" w:hAnsi="Arial" w:cs="Arial"/>
                <w:color w:val="000000"/>
                <w:sz w:val="18"/>
                <w:szCs w:val="18"/>
              </w:rPr>
              <w:t>82%</w:t>
            </w:r>
          </w:p>
        </w:tc>
      </w:tr>
      <w:tr w:rsidR="009E332F" w:rsidRPr="00961397" w14:paraId="6B80ECA9" w14:textId="77777777" w:rsidTr="00F33D75">
        <w:trPr>
          <w:cantSplit/>
        </w:trPr>
        <w:tc>
          <w:tcPr>
            <w:tcW w:w="426" w:type="dxa"/>
          </w:tcPr>
          <w:p w14:paraId="13721B7B" w14:textId="77777777" w:rsidR="009E332F" w:rsidRPr="00FC1D9A" w:rsidRDefault="009E332F" w:rsidP="00240CC4">
            <w:pPr>
              <w:jc w:val="center"/>
              <w:rPr>
                <w:rFonts w:ascii="Arial" w:hAnsi="Arial" w:cs="Arial"/>
                <w:b/>
                <w:bCs/>
                <w:color w:val="000000"/>
                <w:sz w:val="18"/>
                <w:szCs w:val="18"/>
              </w:rPr>
            </w:pPr>
            <w:r w:rsidRPr="00FC1D9A">
              <w:rPr>
                <w:rFonts w:ascii="Arial" w:hAnsi="Arial" w:cs="Arial"/>
                <w:b/>
                <w:bCs/>
                <w:color w:val="000000"/>
                <w:sz w:val="18"/>
                <w:szCs w:val="18"/>
              </w:rPr>
              <w:t>6</w:t>
            </w:r>
          </w:p>
        </w:tc>
        <w:tc>
          <w:tcPr>
            <w:tcW w:w="3063" w:type="dxa"/>
            <w:tcMar>
              <w:top w:w="60" w:type="dxa"/>
              <w:left w:w="75" w:type="dxa"/>
              <w:bottom w:w="60" w:type="dxa"/>
              <w:right w:w="75" w:type="dxa"/>
            </w:tcMar>
            <w:vAlign w:val="center"/>
            <w:hideMark/>
          </w:tcPr>
          <w:p w14:paraId="1B94F4C2" w14:textId="77777777" w:rsidR="009E332F" w:rsidRPr="00FC1D9A" w:rsidRDefault="009E332F" w:rsidP="00240CC4">
            <w:pPr>
              <w:rPr>
                <w:rFonts w:ascii="Arial" w:hAnsi="Arial" w:cs="Arial"/>
                <w:b/>
                <w:bCs/>
                <w:color w:val="000000"/>
                <w:sz w:val="18"/>
                <w:szCs w:val="18"/>
              </w:rPr>
            </w:pPr>
            <w:r w:rsidRPr="00FC1D9A">
              <w:rPr>
                <w:rFonts w:ascii="Arial" w:hAnsi="Arial" w:cs="Arial"/>
                <w:b/>
                <w:bCs/>
                <w:color w:val="000000"/>
                <w:sz w:val="18"/>
                <w:szCs w:val="18"/>
              </w:rPr>
              <w:t>73337,</w:t>
            </w:r>
            <w:r w:rsidRPr="00FC1D9A">
              <w:rPr>
                <w:sz w:val="18"/>
                <w:szCs w:val="18"/>
              </w:rPr>
              <w:t xml:space="preserve"> </w:t>
            </w:r>
            <w:r w:rsidRPr="00FC1D9A">
              <w:rPr>
                <w:rFonts w:ascii="Arial" w:hAnsi="Arial" w:cs="Arial"/>
                <w:bCs/>
                <w:color w:val="000000"/>
                <w:sz w:val="18"/>
                <w:szCs w:val="18"/>
              </w:rPr>
              <w:t>72846, 73939</w:t>
            </w:r>
            <w:r w:rsidRPr="00FC1D9A">
              <w:rPr>
                <w:rFonts w:ascii="Arial" w:hAnsi="Arial" w:cs="Arial"/>
                <w:b/>
                <w:bCs/>
                <w:color w:val="000000"/>
                <w:sz w:val="18"/>
                <w:szCs w:val="18"/>
              </w:rPr>
              <w:t>.</w:t>
            </w:r>
          </w:p>
        </w:tc>
        <w:tc>
          <w:tcPr>
            <w:tcW w:w="770" w:type="dxa"/>
            <w:tcMar>
              <w:top w:w="60" w:type="dxa"/>
              <w:left w:w="75" w:type="dxa"/>
              <w:bottom w:w="60" w:type="dxa"/>
              <w:right w:w="75" w:type="dxa"/>
            </w:tcMar>
            <w:vAlign w:val="bottom"/>
          </w:tcPr>
          <w:p w14:paraId="3C7E7D5C" w14:textId="77777777" w:rsidR="009E332F" w:rsidRPr="00361EAD" w:rsidRDefault="009E332F" w:rsidP="00240CC4">
            <w:pPr>
              <w:jc w:val="right"/>
              <w:rPr>
                <w:rFonts w:ascii="Arial" w:hAnsi="Arial" w:cs="Arial"/>
                <w:color w:val="000000"/>
                <w:sz w:val="18"/>
                <w:szCs w:val="18"/>
              </w:rPr>
            </w:pPr>
            <w:r w:rsidRPr="00361EAD">
              <w:rPr>
                <w:rFonts w:ascii="Arial" w:hAnsi="Arial" w:cs="Arial"/>
                <w:color w:val="000000"/>
                <w:sz w:val="18"/>
                <w:szCs w:val="18"/>
              </w:rPr>
              <w:t xml:space="preserve">13 </w:t>
            </w:r>
          </w:p>
        </w:tc>
        <w:tc>
          <w:tcPr>
            <w:tcW w:w="734" w:type="dxa"/>
            <w:tcMar>
              <w:top w:w="60" w:type="dxa"/>
              <w:left w:w="75" w:type="dxa"/>
              <w:bottom w:w="60" w:type="dxa"/>
              <w:right w:w="75" w:type="dxa"/>
            </w:tcMar>
            <w:vAlign w:val="bottom"/>
          </w:tcPr>
          <w:p w14:paraId="5B9C05D1" w14:textId="77777777" w:rsidR="009E332F" w:rsidRPr="00361EAD" w:rsidRDefault="009E332F" w:rsidP="00240CC4">
            <w:pPr>
              <w:jc w:val="right"/>
              <w:rPr>
                <w:rFonts w:ascii="Arial" w:hAnsi="Arial" w:cs="Arial"/>
                <w:color w:val="000000"/>
                <w:sz w:val="18"/>
                <w:szCs w:val="18"/>
              </w:rPr>
            </w:pPr>
            <w:r w:rsidRPr="00361EAD">
              <w:rPr>
                <w:rFonts w:ascii="Arial" w:hAnsi="Arial" w:cs="Arial"/>
                <w:color w:val="000000"/>
                <w:sz w:val="18"/>
                <w:szCs w:val="18"/>
              </w:rPr>
              <w:t xml:space="preserve">39 </w:t>
            </w:r>
          </w:p>
        </w:tc>
        <w:tc>
          <w:tcPr>
            <w:tcW w:w="1063" w:type="dxa"/>
            <w:tcMar>
              <w:top w:w="60" w:type="dxa"/>
              <w:left w:w="75" w:type="dxa"/>
              <w:bottom w:w="60" w:type="dxa"/>
              <w:right w:w="75" w:type="dxa"/>
            </w:tcMar>
            <w:vAlign w:val="bottom"/>
          </w:tcPr>
          <w:p w14:paraId="0B980323" w14:textId="77777777" w:rsidR="009E332F" w:rsidRPr="00361EAD" w:rsidRDefault="009E332F" w:rsidP="00240CC4">
            <w:pPr>
              <w:jc w:val="right"/>
              <w:rPr>
                <w:rFonts w:ascii="Arial" w:hAnsi="Arial" w:cs="Arial"/>
                <w:color w:val="000000"/>
                <w:sz w:val="18"/>
                <w:szCs w:val="18"/>
              </w:rPr>
            </w:pPr>
            <w:r w:rsidRPr="00361EAD">
              <w:rPr>
                <w:rFonts w:ascii="Arial" w:hAnsi="Arial" w:cs="Arial"/>
                <w:color w:val="000000"/>
                <w:sz w:val="18"/>
                <w:szCs w:val="18"/>
              </w:rPr>
              <w:t xml:space="preserve">$5,972 </w:t>
            </w:r>
          </w:p>
        </w:tc>
        <w:tc>
          <w:tcPr>
            <w:tcW w:w="761" w:type="dxa"/>
            <w:tcMar>
              <w:top w:w="60" w:type="dxa"/>
              <w:left w:w="75" w:type="dxa"/>
              <w:bottom w:w="60" w:type="dxa"/>
              <w:right w:w="75" w:type="dxa"/>
            </w:tcMar>
            <w:vAlign w:val="bottom"/>
          </w:tcPr>
          <w:p w14:paraId="61BD11E1" w14:textId="77777777" w:rsidR="009E332F" w:rsidRPr="00361EAD" w:rsidRDefault="009E332F" w:rsidP="00240CC4">
            <w:pPr>
              <w:jc w:val="right"/>
              <w:rPr>
                <w:rFonts w:ascii="Arial" w:hAnsi="Arial" w:cs="Arial"/>
                <w:color w:val="000000"/>
                <w:sz w:val="18"/>
                <w:szCs w:val="18"/>
              </w:rPr>
            </w:pPr>
            <w:r>
              <w:rPr>
                <w:rFonts w:ascii="Arial" w:hAnsi="Arial" w:cs="Arial"/>
                <w:color w:val="000000"/>
                <w:sz w:val="18"/>
                <w:szCs w:val="18"/>
              </w:rPr>
              <w:t>2</w:t>
            </w:r>
            <w:r w:rsidRPr="00361EAD">
              <w:rPr>
                <w:rFonts w:ascii="Arial" w:hAnsi="Arial" w:cs="Arial"/>
                <w:color w:val="000000"/>
                <w:sz w:val="18"/>
                <w:szCs w:val="18"/>
              </w:rPr>
              <w:t xml:space="preserve">% </w:t>
            </w:r>
          </w:p>
        </w:tc>
        <w:tc>
          <w:tcPr>
            <w:tcW w:w="810" w:type="dxa"/>
          </w:tcPr>
          <w:p w14:paraId="2D63DF79" w14:textId="77777777" w:rsidR="009E332F" w:rsidRPr="00361EAD" w:rsidRDefault="009E332F" w:rsidP="00240CC4">
            <w:pPr>
              <w:jc w:val="right"/>
              <w:rPr>
                <w:rFonts w:ascii="Arial" w:hAnsi="Arial" w:cs="Arial"/>
                <w:color w:val="000000"/>
                <w:sz w:val="18"/>
                <w:szCs w:val="18"/>
              </w:rPr>
            </w:pPr>
            <w:r>
              <w:rPr>
                <w:rFonts w:ascii="Arial" w:hAnsi="Arial" w:cs="Arial"/>
                <w:color w:val="000000"/>
                <w:sz w:val="18"/>
                <w:szCs w:val="18"/>
              </w:rPr>
              <w:t>84%</w:t>
            </w:r>
          </w:p>
        </w:tc>
      </w:tr>
      <w:tr w:rsidR="009E332F" w:rsidRPr="00961397" w14:paraId="2241E7A6" w14:textId="77777777" w:rsidTr="00F33D75">
        <w:trPr>
          <w:cantSplit/>
        </w:trPr>
        <w:tc>
          <w:tcPr>
            <w:tcW w:w="426" w:type="dxa"/>
          </w:tcPr>
          <w:p w14:paraId="4C040914" w14:textId="77777777" w:rsidR="009E332F" w:rsidRPr="00FC1D9A" w:rsidRDefault="009E332F" w:rsidP="00240CC4">
            <w:pPr>
              <w:jc w:val="center"/>
              <w:rPr>
                <w:rFonts w:ascii="Arial" w:hAnsi="Arial" w:cs="Arial"/>
                <w:b/>
                <w:bCs/>
                <w:color w:val="000000"/>
                <w:sz w:val="18"/>
                <w:szCs w:val="18"/>
              </w:rPr>
            </w:pPr>
            <w:r w:rsidRPr="00FC1D9A">
              <w:rPr>
                <w:rFonts w:ascii="Arial" w:hAnsi="Arial" w:cs="Arial"/>
                <w:b/>
                <w:bCs/>
                <w:color w:val="000000"/>
                <w:sz w:val="18"/>
                <w:szCs w:val="18"/>
              </w:rPr>
              <w:t>7</w:t>
            </w:r>
          </w:p>
        </w:tc>
        <w:tc>
          <w:tcPr>
            <w:tcW w:w="3063" w:type="dxa"/>
            <w:tcMar>
              <w:top w:w="60" w:type="dxa"/>
              <w:left w:w="75" w:type="dxa"/>
              <w:bottom w:w="60" w:type="dxa"/>
              <w:right w:w="75" w:type="dxa"/>
            </w:tcMar>
            <w:vAlign w:val="center"/>
            <w:hideMark/>
          </w:tcPr>
          <w:p w14:paraId="51DD1D81" w14:textId="77777777" w:rsidR="009E332F" w:rsidRPr="00FC1D9A" w:rsidRDefault="009E332F" w:rsidP="00240CC4">
            <w:pPr>
              <w:rPr>
                <w:rFonts w:ascii="Arial" w:hAnsi="Arial" w:cs="Arial"/>
                <w:b/>
                <w:bCs/>
                <w:color w:val="000000"/>
                <w:sz w:val="18"/>
                <w:szCs w:val="18"/>
              </w:rPr>
            </w:pPr>
            <w:r w:rsidRPr="00FC1D9A">
              <w:rPr>
                <w:rFonts w:ascii="Arial" w:hAnsi="Arial" w:cs="Arial"/>
                <w:b/>
                <w:bCs/>
                <w:color w:val="000000"/>
                <w:sz w:val="18"/>
                <w:szCs w:val="18"/>
              </w:rPr>
              <w:t>73337</w:t>
            </w:r>
            <w:r w:rsidRPr="00FC1D9A">
              <w:rPr>
                <w:rFonts w:ascii="Arial" w:hAnsi="Arial" w:cs="Arial"/>
                <w:bCs/>
                <w:color w:val="000000"/>
                <w:sz w:val="18"/>
                <w:szCs w:val="18"/>
              </w:rPr>
              <w:t>, 72846</w:t>
            </w:r>
          </w:p>
        </w:tc>
        <w:tc>
          <w:tcPr>
            <w:tcW w:w="770" w:type="dxa"/>
            <w:tcMar>
              <w:top w:w="60" w:type="dxa"/>
              <w:left w:w="75" w:type="dxa"/>
              <w:bottom w:w="60" w:type="dxa"/>
              <w:right w:w="75" w:type="dxa"/>
            </w:tcMar>
            <w:vAlign w:val="bottom"/>
          </w:tcPr>
          <w:p w14:paraId="2AC1C484" w14:textId="77777777" w:rsidR="009E332F" w:rsidRPr="00361EAD" w:rsidRDefault="009E332F" w:rsidP="00240CC4">
            <w:pPr>
              <w:jc w:val="right"/>
              <w:rPr>
                <w:rFonts w:ascii="Arial" w:hAnsi="Arial" w:cs="Arial"/>
                <w:color w:val="000000"/>
                <w:sz w:val="18"/>
                <w:szCs w:val="18"/>
              </w:rPr>
            </w:pPr>
            <w:r w:rsidRPr="00361EAD">
              <w:rPr>
                <w:rFonts w:ascii="Arial" w:hAnsi="Arial" w:cs="Arial"/>
                <w:color w:val="000000"/>
                <w:sz w:val="18"/>
                <w:szCs w:val="18"/>
              </w:rPr>
              <w:t xml:space="preserve">10 </w:t>
            </w:r>
          </w:p>
        </w:tc>
        <w:tc>
          <w:tcPr>
            <w:tcW w:w="734" w:type="dxa"/>
            <w:tcMar>
              <w:top w:w="60" w:type="dxa"/>
              <w:left w:w="75" w:type="dxa"/>
              <w:bottom w:w="60" w:type="dxa"/>
              <w:right w:w="75" w:type="dxa"/>
            </w:tcMar>
            <w:vAlign w:val="bottom"/>
          </w:tcPr>
          <w:p w14:paraId="669CCFF2" w14:textId="77777777" w:rsidR="009E332F" w:rsidRPr="00361EAD" w:rsidRDefault="009E332F" w:rsidP="00240CC4">
            <w:pPr>
              <w:jc w:val="right"/>
              <w:rPr>
                <w:rFonts w:ascii="Arial" w:hAnsi="Arial" w:cs="Arial"/>
                <w:color w:val="000000"/>
                <w:sz w:val="18"/>
                <w:szCs w:val="18"/>
              </w:rPr>
            </w:pPr>
            <w:r w:rsidRPr="00361EAD">
              <w:rPr>
                <w:rFonts w:ascii="Arial" w:hAnsi="Arial" w:cs="Arial"/>
                <w:color w:val="000000"/>
                <w:sz w:val="18"/>
                <w:szCs w:val="18"/>
              </w:rPr>
              <w:t xml:space="preserve">20 </w:t>
            </w:r>
          </w:p>
        </w:tc>
        <w:tc>
          <w:tcPr>
            <w:tcW w:w="1063" w:type="dxa"/>
            <w:tcMar>
              <w:top w:w="60" w:type="dxa"/>
              <w:left w:w="75" w:type="dxa"/>
              <w:bottom w:w="60" w:type="dxa"/>
              <w:right w:w="75" w:type="dxa"/>
            </w:tcMar>
            <w:vAlign w:val="bottom"/>
          </w:tcPr>
          <w:p w14:paraId="28E26882" w14:textId="77777777" w:rsidR="009E332F" w:rsidRPr="00361EAD" w:rsidRDefault="009E332F" w:rsidP="00240CC4">
            <w:pPr>
              <w:jc w:val="right"/>
              <w:rPr>
                <w:rFonts w:ascii="Arial" w:hAnsi="Arial" w:cs="Arial"/>
                <w:color w:val="000000"/>
                <w:sz w:val="18"/>
                <w:szCs w:val="18"/>
              </w:rPr>
            </w:pPr>
            <w:r w:rsidRPr="00361EAD">
              <w:rPr>
                <w:rFonts w:ascii="Arial" w:hAnsi="Arial" w:cs="Arial"/>
                <w:color w:val="000000"/>
                <w:sz w:val="18"/>
                <w:szCs w:val="18"/>
              </w:rPr>
              <w:t xml:space="preserve">$4,570 </w:t>
            </w:r>
          </w:p>
        </w:tc>
        <w:tc>
          <w:tcPr>
            <w:tcW w:w="761" w:type="dxa"/>
            <w:tcMar>
              <w:top w:w="60" w:type="dxa"/>
              <w:left w:w="75" w:type="dxa"/>
              <w:bottom w:w="60" w:type="dxa"/>
              <w:right w:w="75" w:type="dxa"/>
            </w:tcMar>
            <w:vAlign w:val="bottom"/>
          </w:tcPr>
          <w:p w14:paraId="10D004CB" w14:textId="77777777" w:rsidR="009E332F" w:rsidRPr="00361EAD" w:rsidRDefault="009E332F" w:rsidP="00240CC4">
            <w:pPr>
              <w:jc w:val="right"/>
              <w:rPr>
                <w:rFonts w:ascii="Arial" w:hAnsi="Arial" w:cs="Arial"/>
                <w:color w:val="000000"/>
                <w:sz w:val="18"/>
                <w:szCs w:val="18"/>
              </w:rPr>
            </w:pPr>
            <w:r>
              <w:rPr>
                <w:rFonts w:ascii="Arial" w:hAnsi="Arial" w:cs="Arial"/>
                <w:color w:val="000000"/>
                <w:sz w:val="18"/>
                <w:szCs w:val="18"/>
              </w:rPr>
              <w:t>1</w:t>
            </w:r>
            <w:r w:rsidRPr="00361EAD">
              <w:rPr>
                <w:rFonts w:ascii="Arial" w:hAnsi="Arial" w:cs="Arial"/>
                <w:color w:val="000000"/>
                <w:sz w:val="18"/>
                <w:szCs w:val="18"/>
              </w:rPr>
              <w:t xml:space="preserve">% </w:t>
            </w:r>
          </w:p>
        </w:tc>
        <w:tc>
          <w:tcPr>
            <w:tcW w:w="810" w:type="dxa"/>
          </w:tcPr>
          <w:p w14:paraId="175490C1" w14:textId="77777777" w:rsidR="009E332F" w:rsidRPr="00361EAD" w:rsidRDefault="009E332F" w:rsidP="00240CC4">
            <w:pPr>
              <w:jc w:val="right"/>
              <w:rPr>
                <w:rFonts w:ascii="Arial" w:hAnsi="Arial" w:cs="Arial"/>
                <w:color w:val="000000"/>
                <w:sz w:val="18"/>
                <w:szCs w:val="18"/>
              </w:rPr>
            </w:pPr>
            <w:r>
              <w:rPr>
                <w:rFonts w:ascii="Arial" w:hAnsi="Arial" w:cs="Arial"/>
                <w:color w:val="000000"/>
                <w:sz w:val="18"/>
                <w:szCs w:val="18"/>
              </w:rPr>
              <w:t>85%</w:t>
            </w:r>
          </w:p>
        </w:tc>
      </w:tr>
      <w:tr w:rsidR="009E332F" w:rsidRPr="00961397" w14:paraId="19B1B3D2" w14:textId="77777777" w:rsidTr="00F33D75">
        <w:trPr>
          <w:cantSplit/>
        </w:trPr>
        <w:tc>
          <w:tcPr>
            <w:tcW w:w="426" w:type="dxa"/>
          </w:tcPr>
          <w:p w14:paraId="5560933C" w14:textId="77777777" w:rsidR="009E332F" w:rsidRPr="00FC1D9A" w:rsidRDefault="009E332F" w:rsidP="00240CC4">
            <w:pPr>
              <w:jc w:val="center"/>
              <w:rPr>
                <w:rFonts w:ascii="Arial" w:hAnsi="Arial" w:cs="Arial"/>
                <w:b/>
                <w:bCs/>
                <w:color w:val="000000"/>
                <w:sz w:val="18"/>
                <w:szCs w:val="18"/>
              </w:rPr>
            </w:pPr>
            <w:r w:rsidRPr="00FC1D9A">
              <w:rPr>
                <w:rFonts w:ascii="Arial" w:hAnsi="Arial" w:cs="Arial"/>
                <w:b/>
                <w:bCs/>
                <w:color w:val="000000"/>
                <w:sz w:val="18"/>
                <w:szCs w:val="18"/>
              </w:rPr>
              <w:t>8</w:t>
            </w:r>
          </w:p>
        </w:tc>
        <w:tc>
          <w:tcPr>
            <w:tcW w:w="3063" w:type="dxa"/>
            <w:tcMar>
              <w:top w:w="60" w:type="dxa"/>
              <w:left w:w="75" w:type="dxa"/>
              <w:bottom w:w="60" w:type="dxa"/>
              <w:right w:w="75" w:type="dxa"/>
            </w:tcMar>
            <w:vAlign w:val="center"/>
            <w:hideMark/>
          </w:tcPr>
          <w:p w14:paraId="74FD4D05" w14:textId="77777777" w:rsidR="009E332F" w:rsidRPr="00FC1D9A" w:rsidRDefault="009E332F" w:rsidP="00240CC4">
            <w:pPr>
              <w:rPr>
                <w:rFonts w:ascii="Arial" w:hAnsi="Arial" w:cs="Arial"/>
                <w:b/>
                <w:bCs/>
                <w:color w:val="000000"/>
                <w:sz w:val="18"/>
                <w:szCs w:val="18"/>
              </w:rPr>
            </w:pPr>
            <w:r w:rsidRPr="00FC1D9A">
              <w:rPr>
                <w:rFonts w:ascii="Arial" w:hAnsi="Arial" w:cs="Arial"/>
                <w:b/>
                <w:bCs/>
                <w:color w:val="000000"/>
                <w:sz w:val="18"/>
                <w:szCs w:val="18"/>
              </w:rPr>
              <w:t>73337</w:t>
            </w:r>
            <w:r w:rsidRPr="00FC1D9A">
              <w:rPr>
                <w:rFonts w:ascii="Arial" w:hAnsi="Arial" w:cs="Arial"/>
                <w:bCs/>
                <w:color w:val="000000"/>
                <w:sz w:val="18"/>
                <w:szCs w:val="18"/>
              </w:rPr>
              <w:t>,</w:t>
            </w:r>
            <w:r w:rsidRPr="00FC1D9A">
              <w:rPr>
                <w:sz w:val="18"/>
                <w:szCs w:val="18"/>
              </w:rPr>
              <w:t xml:space="preserve"> </w:t>
            </w:r>
            <w:r w:rsidRPr="00FC1D9A">
              <w:rPr>
                <w:rFonts w:ascii="Arial" w:hAnsi="Arial" w:cs="Arial"/>
                <w:bCs/>
                <w:color w:val="000000"/>
                <w:sz w:val="18"/>
                <w:szCs w:val="18"/>
              </w:rPr>
              <w:t>72823, 72847, 73926</w:t>
            </w:r>
          </w:p>
        </w:tc>
        <w:tc>
          <w:tcPr>
            <w:tcW w:w="770" w:type="dxa"/>
            <w:tcMar>
              <w:top w:w="60" w:type="dxa"/>
              <w:left w:w="75" w:type="dxa"/>
              <w:bottom w:w="60" w:type="dxa"/>
              <w:right w:w="75" w:type="dxa"/>
            </w:tcMar>
            <w:vAlign w:val="bottom"/>
          </w:tcPr>
          <w:p w14:paraId="3480AC0F" w14:textId="77777777" w:rsidR="009E332F" w:rsidRPr="00361EAD" w:rsidRDefault="009E332F" w:rsidP="00240CC4">
            <w:pPr>
              <w:jc w:val="right"/>
              <w:rPr>
                <w:rFonts w:ascii="Arial" w:hAnsi="Arial" w:cs="Arial"/>
                <w:color w:val="000000"/>
                <w:sz w:val="18"/>
                <w:szCs w:val="18"/>
              </w:rPr>
            </w:pPr>
            <w:r>
              <w:rPr>
                <w:rFonts w:ascii="Arial" w:hAnsi="Arial" w:cs="Arial"/>
                <w:color w:val="000000"/>
                <w:sz w:val="18"/>
                <w:szCs w:val="18"/>
              </w:rPr>
              <w:t>np</w:t>
            </w:r>
          </w:p>
        </w:tc>
        <w:tc>
          <w:tcPr>
            <w:tcW w:w="734" w:type="dxa"/>
            <w:tcMar>
              <w:top w:w="60" w:type="dxa"/>
              <w:left w:w="75" w:type="dxa"/>
              <w:bottom w:w="60" w:type="dxa"/>
              <w:right w:w="75" w:type="dxa"/>
            </w:tcMar>
          </w:tcPr>
          <w:p w14:paraId="47557CDD" w14:textId="77777777" w:rsidR="009E332F" w:rsidRDefault="009E332F" w:rsidP="00240CC4">
            <w:pPr>
              <w:jc w:val="right"/>
            </w:pPr>
            <w:r w:rsidRPr="00D21FD9">
              <w:rPr>
                <w:rFonts w:ascii="Arial" w:hAnsi="Arial" w:cs="Arial"/>
                <w:color w:val="000000"/>
                <w:sz w:val="18"/>
                <w:szCs w:val="18"/>
              </w:rPr>
              <w:t>np</w:t>
            </w:r>
          </w:p>
        </w:tc>
        <w:tc>
          <w:tcPr>
            <w:tcW w:w="1063" w:type="dxa"/>
            <w:tcMar>
              <w:top w:w="60" w:type="dxa"/>
              <w:left w:w="75" w:type="dxa"/>
              <w:bottom w:w="60" w:type="dxa"/>
              <w:right w:w="75" w:type="dxa"/>
            </w:tcMar>
          </w:tcPr>
          <w:p w14:paraId="35A3F3B7" w14:textId="77777777" w:rsidR="009E332F" w:rsidRDefault="009E332F" w:rsidP="00240CC4">
            <w:pPr>
              <w:jc w:val="right"/>
            </w:pPr>
            <w:r w:rsidRPr="00D21FD9">
              <w:rPr>
                <w:rFonts w:ascii="Arial" w:hAnsi="Arial" w:cs="Arial"/>
                <w:color w:val="000000"/>
                <w:sz w:val="18"/>
                <w:szCs w:val="18"/>
              </w:rPr>
              <w:t>np</w:t>
            </w:r>
          </w:p>
        </w:tc>
        <w:tc>
          <w:tcPr>
            <w:tcW w:w="761" w:type="dxa"/>
            <w:tcMar>
              <w:top w:w="60" w:type="dxa"/>
              <w:left w:w="75" w:type="dxa"/>
              <w:bottom w:w="60" w:type="dxa"/>
              <w:right w:w="75" w:type="dxa"/>
            </w:tcMar>
          </w:tcPr>
          <w:p w14:paraId="6DC98D9E" w14:textId="77777777" w:rsidR="009E332F" w:rsidRDefault="009E332F" w:rsidP="00240CC4">
            <w:pPr>
              <w:jc w:val="right"/>
            </w:pPr>
            <w:r w:rsidRPr="00D21FD9">
              <w:rPr>
                <w:rFonts w:ascii="Arial" w:hAnsi="Arial" w:cs="Arial"/>
                <w:color w:val="000000"/>
                <w:sz w:val="18"/>
                <w:szCs w:val="18"/>
              </w:rPr>
              <w:t>np</w:t>
            </w:r>
          </w:p>
        </w:tc>
        <w:tc>
          <w:tcPr>
            <w:tcW w:w="810" w:type="dxa"/>
          </w:tcPr>
          <w:p w14:paraId="684AD3F1" w14:textId="77777777" w:rsidR="009E332F" w:rsidRPr="00D21FD9" w:rsidRDefault="009E332F" w:rsidP="00240CC4">
            <w:pPr>
              <w:jc w:val="right"/>
              <w:rPr>
                <w:rFonts w:ascii="Arial" w:hAnsi="Arial" w:cs="Arial"/>
                <w:color w:val="000000"/>
                <w:sz w:val="18"/>
                <w:szCs w:val="18"/>
              </w:rPr>
            </w:pPr>
          </w:p>
        </w:tc>
      </w:tr>
      <w:tr w:rsidR="009E332F" w:rsidRPr="00961397" w14:paraId="58F07B7E" w14:textId="77777777" w:rsidTr="00F33D75">
        <w:trPr>
          <w:cantSplit/>
        </w:trPr>
        <w:tc>
          <w:tcPr>
            <w:tcW w:w="426" w:type="dxa"/>
          </w:tcPr>
          <w:p w14:paraId="514C4F03" w14:textId="77777777" w:rsidR="009E332F" w:rsidRPr="00FC1D9A" w:rsidRDefault="009E332F" w:rsidP="00240CC4">
            <w:pPr>
              <w:jc w:val="center"/>
              <w:rPr>
                <w:rFonts w:ascii="Arial" w:hAnsi="Arial" w:cs="Arial"/>
                <w:b/>
                <w:bCs/>
                <w:color w:val="000000"/>
                <w:sz w:val="18"/>
                <w:szCs w:val="18"/>
              </w:rPr>
            </w:pPr>
            <w:r w:rsidRPr="00FC1D9A">
              <w:rPr>
                <w:rFonts w:ascii="Arial" w:hAnsi="Arial" w:cs="Arial"/>
                <w:b/>
                <w:bCs/>
                <w:color w:val="000000"/>
                <w:sz w:val="18"/>
                <w:szCs w:val="18"/>
              </w:rPr>
              <w:t>9</w:t>
            </w:r>
          </w:p>
        </w:tc>
        <w:tc>
          <w:tcPr>
            <w:tcW w:w="3063" w:type="dxa"/>
            <w:tcMar>
              <w:top w:w="60" w:type="dxa"/>
              <w:left w:w="75" w:type="dxa"/>
              <w:bottom w:w="60" w:type="dxa"/>
              <w:right w:w="75" w:type="dxa"/>
            </w:tcMar>
            <w:vAlign w:val="center"/>
            <w:hideMark/>
          </w:tcPr>
          <w:p w14:paraId="77800A1E" w14:textId="77777777" w:rsidR="009E332F" w:rsidRPr="00FC1D9A" w:rsidRDefault="009E332F" w:rsidP="00240CC4">
            <w:pPr>
              <w:rPr>
                <w:rFonts w:ascii="Arial" w:hAnsi="Arial" w:cs="Arial"/>
                <w:b/>
                <w:bCs/>
                <w:color w:val="000000"/>
                <w:sz w:val="18"/>
                <w:szCs w:val="18"/>
              </w:rPr>
            </w:pPr>
            <w:r w:rsidRPr="00FC1D9A">
              <w:rPr>
                <w:rFonts w:ascii="Arial" w:hAnsi="Arial" w:cs="Arial"/>
                <w:b/>
                <w:bCs/>
                <w:color w:val="000000"/>
                <w:sz w:val="18"/>
                <w:szCs w:val="18"/>
              </w:rPr>
              <w:t>73337</w:t>
            </w:r>
            <w:r w:rsidRPr="00FC1D9A">
              <w:rPr>
                <w:rFonts w:ascii="Arial" w:hAnsi="Arial" w:cs="Arial"/>
                <w:bCs/>
                <w:color w:val="000000"/>
                <w:sz w:val="18"/>
                <w:szCs w:val="18"/>
              </w:rPr>
              <w:t>,</w:t>
            </w:r>
            <w:r w:rsidRPr="00FC1D9A">
              <w:rPr>
                <w:sz w:val="18"/>
                <w:szCs w:val="18"/>
              </w:rPr>
              <w:t xml:space="preserve"> </w:t>
            </w:r>
            <w:r w:rsidRPr="00FC1D9A">
              <w:rPr>
                <w:rFonts w:ascii="Arial" w:hAnsi="Arial" w:cs="Arial"/>
                <w:bCs/>
                <w:color w:val="000000"/>
                <w:sz w:val="18"/>
                <w:szCs w:val="18"/>
              </w:rPr>
              <w:t>72823,72846,73926</w:t>
            </w:r>
            <w:r w:rsidRPr="00FC1D9A">
              <w:rPr>
                <w:rFonts w:ascii="Arial" w:hAnsi="Arial" w:cs="Arial"/>
                <w:b/>
                <w:bCs/>
                <w:color w:val="000000"/>
                <w:sz w:val="18"/>
                <w:szCs w:val="18"/>
              </w:rPr>
              <w:t>.</w:t>
            </w:r>
          </w:p>
        </w:tc>
        <w:tc>
          <w:tcPr>
            <w:tcW w:w="770" w:type="dxa"/>
            <w:tcMar>
              <w:top w:w="60" w:type="dxa"/>
              <w:left w:w="75" w:type="dxa"/>
              <w:bottom w:w="60" w:type="dxa"/>
              <w:right w:w="75" w:type="dxa"/>
            </w:tcMar>
          </w:tcPr>
          <w:p w14:paraId="06110D8C" w14:textId="77777777" w:rsidR="009E332F" w:rsidRDefault="009E332F" w:rsidP="00240CC4">
            <w:pPr>
              <w:jc w:val="right"/>
            </w:pPr>
            <w:r w:rsidRPr="000955DD">
              <w:rPr>
                <w:rFonts w:ascii="Arial" w:hAnsi="Arial" w:cs="Arial"/>
                <w:color w:val="000000"/>
                <w:sz w:val="18"/>
                <w:szCs w:val="18"/>
              </w:rPr>
              <w:t>np</w:t>
            </w:r>
          </w:p>
        </w:tc>
        <w:tc>
          <w:tcPr>
            <w:tcW w:w="734" w:type="dxa"/>
            <w:tcMar>
              <w:top w:w="60" w:type="dxa"/>
              <w:left w:w="75" w:type="dxa"/>
              <w:bottom w:w="60" w:type="dxa"/>
              <w:right w:w="75" w:type="dxa"/>
            </w:tcMar>
          </w:tcPr>
          <w:p w14:paraId="574175DF" w14:textId="77777777" w:rsidR="009E332F" w:rsidRDefault="009E332F" w:rsidP="00240CC4">
            <w:pPr>
              <w:jc w:val="right"/>
            </w:pPr>
            <w:r w:rsidRPr="000955DD">
              <w:rPr>
                <w:rFonts w:ascii="Arial" w:hAnsi="Arial" w:cs="Arial"/>
                <w:color w:val="000000"/>
                <w:sz w:val="18"/>
                <w:szCs w:val="18"/>
              </w:rPr>
              <w:t>np</w:t>
            </w:r>
          </w:p>
        </w:tc>
        <w:tc>
          <w:tcPr>
            <w:tcW w:w="1063" w:type="dxa"/>
            <w:tcMar>
              <w:top w:w="60" w:type="dxa"/>
              <w:left w:w="75" w:type="dxa"/>
              <w:bottom w:w="60" w:type="dxa"/>
              <w:right w:w="75" w:type="dxa"/>
            </w:tcMar>
          </w:tcPr>
          <w:p w14:paraId="0553C6D4" w14:textId="77777777" w:rsidR="009E332F" w:rsidRDefault="009E332F" w:rsidP="00240CC4">
            <w:pPr>
              <w:jc w:val="right"/>
            </w:pPr>
            <w:r w:rsidRPr="000955DD">
              <w:rPr>
                <w:rFonts w:ascii="Arial" w:hAnsi="Arial" w:cs="Arial"/>
                <w:color w:val="000000"/>
                <w:sz w:val="18"/>
                <w:szCs w:val="18"/>
              </w:rPr>
              <w:t>np</w:t>
            </w:r>
          </w:p>
        </w:tc>
        <w:tc>
          <w:tcPr>
            <w:tcW w:w="761" w:type="dxa"/>
            <w:tcMar>
              <w:top w:w="60" w:type="dxa"/>
              <w:left w:w="75" w:type="dxa"/>
              <w:bottom w:w="60" w:type="dxa"/>
              <w:right w:w="75" w:type="dxa"/>
            </w:tcMar>
          </w:tcPr>
          <w:p w14:paraId="79FF6C2F" w14:textId="77777777" w:rsidR="009E332F" w:rsidRDefault="009E332F" w:rsidP="00240CC4">
            <w:pPr>
              <w:jc w:val="right"/>
            </w:pPr>
            <w:r w:rsidRPr="000955DD">
              <w:rPr>
                <w:rFonts w:ascii="Arial" w:hAnsi="Arial" w:cs="Arial"/>
                <w:color w:val="000000"/>
                <w:sz w:val="18"/>
                <w:szCs w:val="18"/>
              </w:rPr>
              <w:t>np</w:t>
            </w:r>
          </w:p>
        </w:tc>
        <w:tc>
          <w:tcPr>
            <w:tcW w:w="810" w:type="dxa"/>
          </w:tcPr>
          <w:p w14:paraId="56E6379E" w14:textId="77777777" w:rsidR="009E332F" w:rsidRPr="000955DD" w:rsidRDefault="009E332F" w:rsidP="00240CC4">
            <w:pPr>
              <w:jc w:val="right"/>
              <w:rPr>
                <w:rFonts w:ascii="Arial" w:hAnsi="Arial" w:cs="Arial"/>
                <w:color w:val="000000"/>
                <w:sz w:val="18"/>
                <w:szCs w:val="18"/>
              </w:rPr>
            </w:pPr>
          </w:p>
        </w:tc>
      </w:tr>
      <w:tr w:rsidR="009E332F" w:rsidRPr="00961397" w14:paraId="64BC5AFB" w14:textId="77777777" w:rsidTr="00F33D75">
        <w:trPr>
          <w:cantSplit/>
        </w:trPr>
        <w:tc>
          <w:tcPr>
            <w:tcW w:w="426" w:type="dxa"/>
          </w:tcPr>
          <w:p w14:paraId="1CBE7B79" w14:textId="77777777" w:rsidR="009E332F" w:rsidRPr="00FC1D9A" w:rsidRDefault="009E332F" w:rsidP="00240CC4">
            <w:pPr>
              <w:jc w:val="center"/>
              <w:rPr>
                <w:rFonts w:ascii="Arial" w:hAnsi="Arial" w:cs="Arial"/>
                <w:b/>
                <w:bCs/>
                <w:color w:val="000000"/>
                <w:sz w:val="18"/>
                <w:szCs w:val="18"/>
              </w:rPr>
            </w:pPr>
            <w:r w:rsidRPr="00FC1D9A">
              <w:rPr>
                <w:rFonts w:ascii="Arial" w:hAnsi="Arial" w:cs="Arial"/>
                <w:b/>
                <w:bCs/>
                <w:color w:val="000000"/>
                <w:sz w:val="18"/>
                <w:szCs w:val="18"/>
              </w:rPr>
              <w:lastRenderedPageBreak/>
              <w:t>10</w:t>
            </w:r>
          </w:p>
        </w:tc>
        <w:tc>
          <w:tcPr>
            <w:tcW w:w="3063" w:type="dxa"/>
            <w:tcMar>
              <w:top w:w="60" w:type="dxa"/>
              <w:left w:w="75" w:type="dxa"/>
              <w:bottom w:w="60" w:type="dxa"/>
              <w:right w:w="75" w:type="dxa"/>
            </w:tcMar>
            <w:vAlign w:val="center"/>
            <w:hideMark/>
          </w:tcPr>
          <w:p w14:paraId="52939D9C" w14:textId="77777777" w:rsidR="009E332F" w:rsidRPr="00FC1D9A" w:rsidRDefault="009E332F" w:rsidP="00240CC4">
            <w:pPr>
              <w:rPr>
                <w:rFonts w:ascii="Arial" w:hAnsi="Arial" w:cs="Arial"/>
                <w:b/>
                <w:bCs/>
                <w:color w:val="000000"/>
                <w:sz w:val="18"/>
                <w:szCs w:val="18"/>
              </w:rPr>
            </w:pPr>
            <w:r w:rsidRPr="00FC1D9A">
              <w:rPr>
                <w:rFonts w:ascii="Arial" w:hAnsi="Arial" w:cs="Arial"/>
                <w:b/>
                <w:bCs/>
                <w:color w:val="000000"/>
                <w:sz w:val="18"/>
                <w:szCs w:val="18"/>
              </w:rPr>
              <w:t>73337</w:t>
            </w:r>
            <w:r w:rsidRPr="00FC1D9A">
              <w:rPr>
                <w:rFonts w:ascii="Arial" w:hAnsi="Arial" w:cs="Arial"/>
                <w:bCs/>
                <w:color w:val="000000"/>
                <w:sz w:val="18"/>
                <w:szCs w:val="18"/>
              </w:rPr>
              <w:t>,</w:t>
            </w:r>
            <w:r w:rsidRPr="00FC1D9A">
              <w:rPr>
                <w:sz w:val="18"/>
                <w:szCs w:val="18"/>
              </w:rPr>
              <w:t xml:space="preserve"> </w:t>
            </w:r>
            <w:r w:rsidRPr="00FC1D9A">
              <w:rPr>
                <w:rFonts w:ascii="Arial" w:hAnsi="Arial" w:cs="Arial"/>
                <w:bCs/>
                <w:color w:val="000000"/>
                <w:sz w:val="18"/>
                <w:szCs w:val="18"/>
              </w:rPr>
              <w:t>65120,73930</w:t>
            </w:r>
          </w:p>
        </w:tc>
        <w:tc>
          <w:tcPr>
            <w:tcW w:w="770" w:type="dxa"/>
            <w:tcMar>
              <w:top w:w="60" w:type="dxa"/>
              <w:left w:w="75" w:type="dxa"/>
              <w:bottom w:w="60" w:type="dxa"/>
              <w:right w:w="75" w:type="dxa"/>
            </w:tcMar>
          </w:tcPr>
          <w:p w14:paraId="04123C8C" w14:textId="77777777" w:rsidR="009E332F" w:rsidRDefault="009E332F" w:rsidP="00240CC4">
            <w:pPr>
              <w:jc w:val="right"/>
            </w:pPr>
            <w:r w:rsidRPr="000955DD">
              <w:rPr>
                <w:rFonts w:ascii="Arial" w:hAnsi="Arial" w:cs="Arial"/>
                <w:color w:val="000000"/>
                <w:sz w:val="18"/>
                <w:szCs w:val="18"/>
              </w:rPr>
              <w:t>np</w:t>
            </w:r>
          </w:p>
        </w:tc>
        <w:tc>
          <w:tcPr>
            <w:tcW w:w="734" w:type="dxa"/>
            <w:tcMar>
              <w:top w:w="60" w:type="dxa"/>
              <w:left w:w="75" w:type="dxa"/>
              <w:bottom w:w="60" w:type="dxa"/>
              <w:right w:w="75" w:type="dxa"/>
            </w:tcMar>
          </w:tcPr>
          <w:p w14:paraId="4AA9764A" w14:textId="77777777" w:rsidR="009E332F" w:rsidRDefault="009E332F" w:rsidP="00240CC4">
            <w:pPr>
              <w:jc w:val="right"/>
            </w:pPr>
            <w:r w:rsidRPr="000955DD">
              <w:rPr>
                <w:rFonts w:ascii="Arial" w:hAnsi="Arial" w:cs="Arial"/>
                <w:color w:val="000000"/>
                <w:sz w:val="18"/>
                <w:szCs w:val="18"/>
              </w:rPr>
              <w:t>np</w:t>
            </w:r>
          </w:p>
        </w:tc>
        <w:tc>
          <w:tcPr>
            <w:tcW w:w="1063" w:type="dxa"/>
            <w:tcMar>
              <w:top w:w="60" w:type="dxa"/>
              <w:left w:w="75" w:type="dxa"/>
              <w:bottom w:w="60" w:type="dxa"/>
              <w:right w:w="75" w:type="dxa"/>
            </w:tcMar>
          </w:tcPr>
          <w:p w14:paraId="622BCDE5" w14:textId="77777777" w:rsidR="009E332F" w:rsidRDefault="009E332F" w:rsidP="00240CC4">
            <w:pPr>
              <w:jc w:val="right"/>
            </w:pPr>
            <w:r w:rsidRPr="000955DD">
              <w:rPr>
                <w:rFonts w:ascii="Arial" w:hAnsi="Arial" w:cs="Arial"/>
                <w:color w:val="000000"/>
                <w:sz w:val="18"/>
                <w:szCs w:val="18"/>
              </w:rPr>
              <w:t>np</w:t>
            </w:r>
          </w:p>
        </w:tc>
        <w:tc>
          <w:tcPr>
            <w:tcW w:w="761" w:type="dxa"/>
            <w:tcMar>
              <w:top w:w="60" w:type="dxa"/>
              <w:left w:w="75" w:type="dxa"/>
              <w:bottom w:w="60" w:type="dxa"/>
              <w:right w:w="75" w:type="dxa"/>
            </w:tcMar>
          </w:tcPr>
          <w:p w14:paraId="4586C24D" w14:textId="77777777" w:rsidR="009E332F" w:rsidRDefault="009E332F" w:rsidP="00240CC4">
            <w:pPr>
              <w:jc w:val="right"/>
            </w:pPr>
            <w:r w:rsidRPr="000955DD">
              <w:rPr>
                <w:rFonts w:ascii="Arial" w:hAnsi="Arial" w:cs="Arial"/>
                <w:color w:val="000000"/>
                <w:sz w:val="18"/>
                <w:szCs w:val="18"/>
              </w:rPr>
              <w:t>np</w:t>
            </w:r>
          </w:p>
        </w:tc>
        <w:tc>
          <w:tcPr>
            <w:tcW w:w="810" w:type="dxa"/>
          </w:tcPr>
          <w:p w14:paraId="5DD8E454" w14:textId="77777777" w:rsidR="009E332F" w:rsidRPr="000955DD" w:rsidRDefault="009E332F" w:rsidP="00240CC4">
            <w:pPr>
              <w:jc w:val="right"/>
              <w:rPr>
                <w:rFonts w:ascii="Arial" w:hAnsi="Arial" w:cs="Arial"/>
                <w:color w:val="000000"/>
                <w:sz w:val="18"/>
                <w:szCs w:val="18"/>
              </w:rPr>
            </w:pPr>
          </w:p>
        </w:tc>
      </w:tr>
    </w:tbl>
    <w:p w14:paraId="22D93A3E" w14:textId="77777777" w:rsidR="00F33D75" w:rsidRPr="000E7EA4" w:rsidRDefault="00F33D75" w:rsidP="00F33D75">
      <w:pPr>
        <w:rPr>
          <w:sz w:val="20"/>
        </w:rPr>
      </w:pPr>
      <w:r>
        <w:rPr>
          <w:sz w:val="20"/>
        </w:rPr>
        <w:t>NP</w:t>
      </w:r>
      <w:r w:rsidRPr="000E7EA4">
        <w:rPr>
          <w:sz w:val="20"/>
        </w:rPr>
        <w:t xml:space="preserve"> = not </w:t>
      </w:r>
      <w:r>
        <w:rPr>
          <w:sz w:val="20"/>
        </w:rPr>
        <w:t>published due to low volumes</w:t>
      </w:r>
    </w:p>
    <w:p w14:paraId="6249469C" w14:textId="1FCAF9E8" w:rsidR="009E332F" w:rsidRPr="00A73613" w:rsidRDefault="009E332F" w:rsidP="009C5632">
      <w:pPr>
        <w:pStyle w:val="Heading3"/>
        <w:rPr>
          <w:rFonts w:cs="Times New Roman"/>
          <w:szCs w:val="18"/>
        </w:rPr>
      </w:pPr>
      <w:r w:rsidRPr="00A73613">
        <w:rPr>
          <w:rFonts w:cs="Times New Roman"/>
          <w:szCs w:val="18"/>
        </w:rPr>
        <w:t xml:space="preserve">Table 8: Top 10 instances of co-claiming with MBS item </w:t>
      </w:r>
      <w:r w:rsidR="00B2220C" w:rsidRPr="00A73613">
        <w:rPr>
          <w:rFonts w:cs="Times New Roman"/>
          <w:szCs w:val="18"/>
        </w:rPr>
        <w:t>73337</w:t>
      </w:r>
      <w:r w:rsidRPr="00A73613">
        <w:rPr>
          <w:rFonts w:cs="Times New Roman"/>
          <w:szCs w:val="18"/>
        </w:rPr>
        <w:t xml:space="preserve"> in 2014-15</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Table 8 presents the top ten instances of co-claiming with MBS item 73337 in the 2014-15 financial year. The table is split into seven columns, 1) ranking number from 1 to 10, 2) Items, 3) Episodes, 4) Number of services, 5) Schedule Fee for Combination, 6) percentage of total episodes, 7) Cumulative percentage. Rows are split by ranking number, which presents the largest number of episodes as one and the smallest number of episodes as ten."/>
      </w:tblPr>
      <w:tblGrid>
        <w:gridCol w:w="426"/>
        <w:gridCol w:w="3063"/>
        <w:gridCol w:w="770"/>
        <w:gridCol w:w="734"/>
        <w:gridCol w:w="1063"/>
        <w:gridCol w:w="761"/>
        <w:gridCol w:w="810"/>
      </w:tblGrid>
      <w:tr w:rsidR="009E332F" w:rsidRPr="00961397" w14:paraId="1A253365" w14:textId="77777777" w:rsidTr="00FC1D9A">
        <w:trPr>
          <w:trHeight w:val="516"/>
          <w:tblHeader/>
        </w:trPr>
        <w:tc>
          <w:tcPr>
            <w:tcW w:w="426" w:type="dxa"/>
            <w:shd w:val="clear" w:color="auto" w:fill="008080"/>
          </w:tcPr>
          <w:p w14:paraId="3026CB6E" w14:textId="77777777" w:rsidR="009E332F" w:rsidRPr="002012FC" w:rsidRDefault="009E332F" w:rsidP="00240CC4">
            <w:pPr>
              <w:jc w:val="center"/>
              <w:rPr>
                <w:rStyle w:val="textitem"/>
                <w:b/>
                <w:bCs/>
                <w:color w:val="FFFFFF" w:themeColor="background1"/>
                <w:sz w:val="16"/>
                <w:szCs w:val="16"/>
              </w:rPr>
            </w:pPr>
            <w:r w:rsidRPr="002012FC">
              <w:rPr>
                <w:rStyle w:val="textitem"/>
                <w:b/>
                <w:bCs/>
                <w:color w:val="FFFFFF" w:themeColor="background1"/>
                <w:sz w:val="16"/>
                <w:szCs w:val="16"/>
              </w:rPr>
              <w:t>#</w:t>
            </w:r>
          </w:p>
        </w:tc>
        <w:tc>
          <w:tcPr>
            <w:tcW w:w="3063" w:type="dxa"/>
            <w:shd w:val="clear" w:color="auto" w:fill="008080"/>
            <w:tcMar>
              <w:top w:w="60" w:type="dxa"/>
              <w:left w:w="90" w:type="dxa"/>
              <w:bottom w:w="60" w:type="dxa"/>
              <w:right w:w="75" w:type="dxa"/>
            </w:tcMar>
            <w:hideMark/>
          </w:tcPr>
          <w:p w14:paraId="5B56FEFF" w14:textId="77777777" w:rsidR="009E332F" w:rsidRPr="002012FC" w:rsidRDefault="009E332F" w:rsidP="00240CC4">
            <w:pPr>
              <w:jc w:val="center"/>
              <w:rPr>
                <w:b/>
                <w:bCs/>
                <w:color w:val="FFFFFF" w:themeColor="background1"/>
                <w:sz w:val="16"/>
                <w:szCs w:val="16"/>
              </w:rPr>
            </w:pPr>
            <w:r w:rsidRPr="002012FC">
              <w:rPr>
                <w:rStyle w:val="textitem"/>
                <w:b/>
                <w:bCs/>
                <w:color w:val="FFFFFF" w:themeColor="background1"/>
                <w:sz w:val="16"/>
                <w:szCs w:val="16"/>
              </w:rPr>
              <w:t>Items</w:t>
            </w:r>
          </w:p>
        </w:tc>
        <w:tc>
          <w:tcPr>
            <w:tcW w:w="770" w:type="dxa"/>
            <w:shd w:val="clear" w:color="auto" w:fill="008080"/>
            <w:tcMar>
              <w:top w:w="60" w:type="dxa"/>
              <w:left w:w="90" w:type="dxa"/>
              <w:bottom w:w="60" w:type="dxa"/>
              <w:right w:w="75" w:type="dxa"/>
            </w:tcMar>
            <w:hideMark/>
          </w:tcPr>
          <w:p w14:paraId="338153C8" w14:textId="77777777" w:rsidR="009E332F" w:rsidRPr="002012FC" w:rsidRDefault="009E332F" w:rsidP="00240CC4">
            <w:pPr>
              <w:jc w:val="center"/>
              <w:rPr>
                <w:b/>
                <w:bCs/>
                <w:color w:val="FFFFFF" w:themeColor="background1"/>
                <w:sz w:val="16"/>
                <w:szCs w:val="16"/>
              </w:rPr>
            </w:pPr>
            <w:r w:rsidRPr="002012FC">
              <w:rPr>
                <w:rStyle w:val="textitem"/>
                <w:b/>
                <w:bCs/>
                <w:color w:val="FFFFFF" w:themeColor="background1"/>
                <w:sz w:val="16"/>
                <w:szCs w:val="16"/>
              </w:rPr>
              <w:t>Episodes</w:t>
            </w:r>
          </w:p>
        </w:tc>
        <w:tc>
          <w:tcPr>
            <w:tcW w:w="734" w:type="dxa"/>
            <w:shd w:val="clear" w:color="auto" w:fill="008080"/>
            <w:tcMar>
              <w:top w:w="60" w:type="dxa"/>
              <w:left w:w="90" w:type="dxa"/>
              <w:bottom w:w="60" w:type="dxa"/>
              <w:right w:w="75" w:type="dxa"/>
            </w:tcMar>
            <w:hideMark/>
          </w:tcPr>
          <w:p w14:paraId="0377DCA7" w14:textId="3F7DC4CF" w:rsidR="009E332F" w:rsidRPr="002012FC" w:rsidRDefault="009E332F" w:rsidP="00240CC4">
            <w:pPr>
              <w:jc w:val="center"/>
              <w:rPr>
                <w:b/>
                <w:bCs/>
                <w:color w:val="FFFFFF" w:themeColor="background1"/>
                <w:sz w:val="16"/>
                <w:szCs w:val="16"/>
              </w:rPr>
            </w:pPr>
            <w:r w:rsidRPr="002012FC">
              <w:rPr>
                <w:rStyle w:val="textitem"/>
                <w:b/>
                <w:bCs/>
                <w:color w:val="FFFFFF" w:themeColor="background1"/>
                <w:sz w:val="16"/>
                <w:szCs w:val="16"/>
              </w:rPr>
              <w:t>Number</w:t>
            </w:r>
            <w:r w:rsidR="003C722C">
              <w:rPr>
                <w:rStyle w:val="textitem"/>
                <w:b/>
                <w:bCs/>
                <w:color w:val="FFFFFF" w:themeColor="background1"/>
                <w:sz w:val="16"/>
                <w:szCs w:val="16"/>
              </w:rPr>
              <w:t xml:space="preserve"> of</w:t>
            </w:r>
            <w:r w:rsidRPr="002012FC">
              <w:rPr>
                <w:rStyle w:val="textitem"/>
                <w:b/>
                <w:bCs/>
                <w:color w:val="FFFFFF" w:themeColor="background1"/>
                <w:sz w:val="16"/>
                <w:szCs w:val="16"/>
              </w:rPr>
              <w:t xml:space="preserve"> Services</w:t>
            </w:r>
          </w:p>
        </w:tc>
        <w:tc>
          <w:tcPr>
            <w:tcW w:w="1063" w:type="dxa"/>
            <w:shd w:val="clear" w:color="auto" w:fill="008080"/>
            <w:tcMar>
              <w:top w:w="60" w:type="dxa"/>
              <w:left w:w="90" w:type="dxa"/>
              <w:bottom w:w="60" w:type="dxa"/>
              <w:right w:w="75" w:type="dxa"/>
            </w:tcMar>
            <w:hideMark/>
          </w:tcPr>
          <w:p w14:paraId="2858A09A" w14:textId="77777777" w:rsidR="009E332F" w:rsidRPr="002012FC" w:rsidRDefault="009E332F" w:rsidP="00240CC4">
            <w:pPr>
              <w:jc w:val="center"/>
              <w:rPr>
                <w:b/>
                <w:bCs/>
                <w:color w:val="FFFFFF" w:themeColor="background1"/>
                <w:sz w:val="16"/>
                <w:szCs w:val="16"/>
              </w:rPr>
            </w:pPr>
            <w:r w:rsidRPr="002012FC">
              <w:rPr>
                <w:b/>
                <w:bCs/>
                <w:color w:val="FFFFFF" w:themeColor="background1"/>
                <w:sz w:val="16"/>
                <w:szCs w:val="16"/>
              </w:rPr>
              <w:t>Schedule Fee for Combination</w:t>
            </w:r>
          </w:p>
        </w:tc>
        <w:tc>
          <w:tcPr>
            <w:tcW w:w="761" w:type="dxa"/>
            <w:shd w:val="clear" w:color="auto" w:fill="008080"/>
            <w:tcMar>
              <w:top w:w="60" w:type="dxa"/>
              <w:left w:w="90" w:type="dxa"/>
              <w:bottom w:w="60" w:type="dxa"/>
              <w:right w:w="75" w:type="dxa"/>
            </w:tcMar>
            <w:hideMark/>
          </w:tcPr>
          <w:p w14:paraId="6B15F4AE" w14:textId="77777777" w:rsidR="009E332F" w:rsidRPr="002012FC" w:rsidRDefault="009E332F" w:rsidP="00240CC4">
            <w:pPr>
              <w:jc w:val="center"/>
              <w:rPr>
                <w:b/>
                <w:bCs/>
                <w:color w:val="FFFFFF" w:themeColor="background1"/>
                <w:sz w:val="16"/>
                <w:szCs w:val="16"/>
              </w:rPr>
            </w:pPr>
            <w:r w:rsidRPr="002012FC">
              <w:rPr>
                <w:rStyle w:val="textitem"/>
                <w:b/>
                <w:bCs/>
                <w:color w:val="FFFFFF" w:themeColor="background1"/>
                <w:sz w:val="16"/>
                <w:szCs w:val="16"/>
              </w:rPr>
              <w:t>% of total episodes</w:t>
            </w:r>
          </w:p>
        </w:tc>
        <w:tc>
          <w:tcPr>
            <w:tcW w:w="761" w:type="dxa"/>
            <w:shd w:val="clear" w:color="auto" w:fill="008080"/>
          </w:tcPr>
          <w:p w14:paraId="4458B504" w14:textId="77777777" w:rsidR="009E332F" w:rsidRPr="002012FC" w:rsidRDefault="009E332F" w:rsidP="00240CC4">
            <w:pPr>
              <w:jc w:val="center"/>
              <w:rPr>
                <w:rStyle w:val="textitem"/>
                <w:b/>
                <w:bCs/>
                <w:color w:val="FFFFFF" w:themeColor="background1"/>
                <w:sz w:val="16"/>
                <w:szCs w:val="16"/>
              </w:rPr>
            </w:pPr>
            <w:r>
              <w:rPr>
                <w:rStyle w:val="textitem"/>
                <w:b/>
                <w:bCs/>
                <w:color w:val="FFFFFF" w:themeColor="background1"/>
                <w:sz w:val="16"/>
                <w:szCs w:val="16"/>
              </w:rPr>
              <w:t>Cumulative %</w:t>
            </w:r>
          </w:p>
        </w:tc>
      </w:tr>
      <w:tr w:rsidR="009E332F" w:rsidRPr="00961397" w14:paraId="62482A04" w14:textId="77777777" w:rsidTr="00240CC4">
        <w:tc>
          <w:tcPr>
            <w:tcW w:w="426" w:type="dxa"/>
          </w:tcPr>
          <w:p w14:paraId="20317479" w14:textId="77777777" w:rsidR="009E332F" w:rsidRPr="00361EAD" w:rsidRDefault="009E332F" w:rsidP="00240CC4">
            <w:pPr>
              <w:jc w:val="center"/>
              <w:rPr>
                <w:rFonts w:ascii="Arial" w:hAnsi="Arial" w:cs="Arial"/>
                <w:b/>
                <w:bCs/>
                <w:color w:val="000000"/>
                <w:sz w:val="18"/>
                <w:szCs w:val="18"/>
              </w:rPr>
            </w:pPr>
            <w:r w:rsidRPr="00361EAD">
              <w:rPr>
                <w:rFonts w:ascii="Arial" w:hAnsi="Arial" w:cs="Arial"/>
                <w:b/>
                <w:bCs/>
                <w:color w:val="000000"/>
                <w:sz w:val="18"/>
                <w:szCs w:val="18"/>
              </w:rPr>
              <w:t>1</w:t>
            </w:r>
          </w:p>
        </w:tc>
        <w:tc>
          <w:tcPr>
            <w:tcW w:w="3063" w:type="dxa"/>
            <w:tcMar>
              <w:top w:w="60" w:type="dxa"/>
              <w:left w:w="75" w:type="dxa"/>
              <w:bottom w:w="60" w:type="dxa"/>
              <w:right w:w="75" w:type="dxa"/>
            </w:tcMar>
            <w:vAlign w:val="bottom"/>
            <w:hideMark/>
          </w:tcPr>
          <w:p w14:paraId="244E0413" w14:textId="77777777" w:rsidR="009E332F" w:rsidRPr="00361EAD" w:rsidRDefault="009E332F" w:rsidP="00240CC4">
            <w:pPr>
              <w:rPr>
                <w:rFonts w:ascii="Arial" w:hAnsi="Arial" w:cs="Arial"/>
                <w:b/>
                <w:color w:val="000000"/>
                <w:sz w:val="18"/>
                <w:szCs w:val="18"/>
              </w:rPr>
            </w:pPr>
            <w:r>
              <w:rPr>
                <w:rFonts w:ascii="Arial" w:hAnsi="Arial" w:cs="Arial"/>
                <w:b/>
                <w:color w:val="000000"/>
                <w:sz w:val="18"/>
                <w:szCs w:val="18"/>
              </w:rPr>
              <w:t>73337</w:t>
            </w:r>
            <w:r w:rsidRPr="00FC1D9A">
              <w:rPr>
                <w:rFonts w:ascii="Arial" w:hAnsi="Arial" w:cs="Arial"/>
                <w:color w:val="000000"/>
                <w:sz w:val="18"/>
                <w:szCs w:val="18"/>
              </w:rPr>
              <w:t>, 73940</w:t>
            </w:r>
            <w:r w:rsidRPr="00361EAD">
              <w:rPr>
                <w:rFonts w:ascii="Arial" w:hAnsi="Arial" w:cs="Arial"/>
                <w:b/>
                <w:color w:val="000000"/>
                <w:sz w:val="18"/>
                <w:szCs w:val="18"/>
              </w:rPr>
              <w:t>.</w:t>
            </w:r>
          </w:p>
        </w:tc>
        <w:tc>
          <w:tcPr>
            <w:tcW w:w="770" w:type="dxa"/>
            <w:tcMar>
              <w:top w:w="60" w:type="dxa"/>
              <w:left w:w="75" w:type="dxa"/>
              <w:bottom w:w="60" w:type="dxa"/>
              <w:right w:w="75" w:type="dxa"/>
            </w:tcMar>
            <w:vAlign w:val="bottom"/>
            <w:hideMark/>
          </w:tcPr>
          <w:p w14:paraId="5FFF16A1"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608 </w:t>
            </w:r>
          </w:p>
        </w:tc>
        <w:tc>
          <w:tcPr>
            <w:tcW w:w="734" w:type="dxa"/>
            <w:tcMar>
              <w:top w:w="60" w:type="dxa"/>
              <w:left w:w="75" w:type="dxa"/>
              <w:bottom w:w="60" w:type="dxa"/>
              <w:right w:w="75" w:type="dxa"/>
            </w:tcMar>
            <w:vAlign w:val="bottom"/>
            <w:hideMark/>
          </w:tcPr>
          <w:p w14:paraId="58141480"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1,217 </w:t>
            </w:r>
          </w:p>
        </w:tc>
        <w:tc>
          <w:tcPr>
            <w:tcW w:w="1063" w:type="dxa"/>
            <w:tcMar>
              <w:top w:w="60" w:type="dxa"/>
              <w:left w:w="75" w:type="dxa"/>
              <w:bottom w:w="60" w:type="dxa"/>
              <w:right w:w="75" w:type="dxa"/>
            </w:tcMar>
            <w:vAlign w:val="bottom"/>
            <w:hideMark/>
          </w:tcPr>
          <w:p w14:paraId="15634F90"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$247,831 </w:t>
            </w:r>
          </w:p>
        </w:tc>
        <w:tc>
          <w:tcPr>
            <w:tcW w:w="761" w:type="dxa"/>
            <w:tcMar>
              <w:top w:w="60" w:type="dxa"/>
              <w:left w:w="75" w:type="dxa"/>
              <w:bottom w:w="60" w:type="dxa"/>
              <w:right w:w="75" w:type="dxa"/>
            </w:tcMar>
            <w:vAlign w:val="bottom"/>
            <w:hideMark/>
          </w:tcPr>
          <w:p w14:paraId="1DF011B8"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22% </w:t>
            </w:r>
          </w:p>
        </w:tc>
        <w:tc>
          <w:tcPr>
            <w:tcW w:w="761" w:type="dxa"/>
          </w:tcPr>
          <w:p w14:paraId="1DE4817C"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22%</w:t>
            </w:r>
          </w:p>
        </w:tc>
      </w:tr>
      <w:tr w:rsidR="009E332F" w:rsidRPr="00961397" w14:paraId="186F4993" w14:textId="77777777" w:rsidTr="00240CC4">
        <w:tc>
          <w:tcPr>
            <w:tcW w:w="426" w:type="dxa"/>
          </w:tcPr>
          <w:p w14:paraId="0580CF99" w14:textId="77777777" w:rsidR="009E332F" w:rsidRPr="00361EAD" w:rsidRDefault="009E332F" w:rsidP="00240CC4">
            <w:pPr>
              <w:jc w:val="center"/>
              <w:rPr>
                <w:rFonts w:ascii="Arial" w:hAnsi="Arial" w:cs="Arial"/>
                <w:b/>
                <w:bCs/>
                <w:color w:val="000000"/>
                <w:sz w:val="18"/>
                <w:szCs w:val="18"/>
              </w:rPr>
            </w:pPr>
            <w:r w:rsidRPr="00361EAD">
              <w:rPr>
                <w:rFonts w:ascii="Arial" w:hAnsi="Arial" w:cs="Arial"/>
                <w:b/>
                <w:bCs/>
                <w:color w:val="000000"/>
                <w:sz w:val="18"/>
                <w:szCs w:val="18"/>
              </w:rPr>
              <w:t>2</w:t>
            </w:r>
          </w:p>
        </w:tc>
        <w:tc>
          <w:tcPr>
            <w:tcW w:w="3063" w:type="dxa"/>
            <w:tcMar>
              <w:top w:w="60" w:type="dxa"/>
              <w:left w:w="75" w:type="dxa"/>
              <w:bottom w:w="60" w:type="dxa"/>
              <w:right w:w="75" w:type="dxa"/>
            </w:tcMar>
            <w:vAlign w:val="bottom"/>
            <w:hideMark/>
          </w:tcPr>
          <w:p w14:paraId="39A8C286" w14:textId="77777777" w:rsidR="009E332F" w:rsidRPr="00361EAD" w:rsidRDefault="009E332F" w:rsidP="00240CC4">
            <w:pPr>
              <w:rPr>
                <w:rFonts w:ascii="Arial" w:hAnsi="Arial" w:cs="Arial"/>
                <w:b/>
                <w:color w:val="000000"/>
                <w:sz w:val="18"/>
                <w:szCs w:val="18"/>
              </w:rPr>
            </w:pPr>
            <w:r>
              <w:rPr>
                <w:rFonts w:ascii="Arial" w:hAnsi="Arial" w:cs="Arial"/>
                <w:b/>
                <w:color w:val="000000"/>
                <w:sz w:val="18"/>
                <w:szCs w:val="18"/>
              </w:rPr>
              <w:t>73337</w:t>
            </w:r>
            <w:r w:rsidRPr="00FC1D9A">
              <w:rPr>
                <w:rFonts w:ascii="Arial" w:hAnsi="Arial" w:cs="Arial"/>
                <w:color w:val="000000"/>
                <w:sz w:val="18"/>
                <w:szCs w:val="18"/>
              </w:rPr>
              <w:t>, 72846, 73940</w:t>
            </w:r>
            <w:r w:rsidRPr="00361EAD">
              <w:rPr>
                <w:rFonts w:ascii="Arial" w:hAnsi="Arial" w:cs="Arial"/>
                <w:b/>
                <w:color w:val="000000"/>
                <w:sz w:val="18"/>
                <w:szCs w:val="18"/>
              </w:rPr>
              <w:t>.</w:t>
            </w:r>
          </w:p>
        </w:tc>
        <w:tc>
          <w:tcPr>
            <w:tcW w:w="770" w:type="dxa"/>
            <w:tcMar>
              <w:top w:w="60" w:type="dxa"/>
              <w:left w:w="75" w:type="dxa"/>
              <w:bottom w:w="60" w:type="dxa"/>
              <w:right w:w="75" w:type="dxa"/>
            </w:tcMar>
            <w:vAlign w:val="bottom"/>
            <w:hideMark/>
          </w:tcPr>
          <w:p w14:paraId="1A3B7363"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458 </w:t>
            </w:r>
          </w:p>
        </w:tc>
        <w:tc>
          <w:tcPr>
            <w:tcW w:w="734" w:type="dxa"/>
            <w:tcMar>
              <w:top w:w="60" w:type="dxa"/>
              <w:left w:w="75" w:type="dxa"/>
              <w:bottom w:w="60" w:type="dxa"/>
              <w:right w:w="75" w:type="dxa"/>
            </w:tcMar>
            <w:vAlign w:val="bottom"/>
            <w:hideMark/>
          </w:tcPr>
          <w:p w14:paraId="75C6553C"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1,378 </w:t>
            </w:r>
          </w:p>
        </w:tc>
        <w:tc>
          <w:tcPr>
            <w:tcW w:w="1063" w:type="dxa"/>
            <w:tcMar>
              <w:top w:w="60" w:type="dxa"/>
              <w:left w:w="75" w:type="dxa"/>
              <w:bottom w:w="60" w:type="dxa"/>
              <w:right w:w="75" w:type="dxa"/>
            </w:tcMar>
            <w:vAlign w:val="bottom"/>
            <w:hideMark/>
          </w:tcPr>
          <w:p w14:paraId="54C0C872"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$214,455 </w:t>
            </w:r>
          </w:p>
        </w:tc>
        <w:tc>
          <w:tcPr>
            <w:tcW w:w="761" w:type="dxa"/>
            <w:tcMar>
              <w:top w:w="60" w:type="dxa"/>
              <w:left w:w="75" w:type="dxa"/>
              <w:bottom w:w="60" w:type="dxa"/>
              <w:right w:w="75" w:type="dxa"/>
            </w:tcMar>
            <w:vAlign w:val="bottom"/>
            <w:hideMark/>
          </w:tcPr>
          <w:p w14:paraId="02D69B9A"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16% </w:t>
            </w:r>
          </w:p>
        </w:tc>
        <w:tc>
          <w:tcPr>
            <w:tcW w:w="761" w:type="dxa"/>
          </w:tcPr>
          <w:p w14:paraId="7E1C22C8"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38%</w:t>
            </w:r>
          </w:p>
        </w:tc>
      </w:tr>
      <w:tr w:rsidR="009E332F" w:rsidRPr="00961397" w14:paraId="554140B9" w14:textId="77777777" w:rsidTr="00240CC4">
        <w:tc>
          <w:tcPr>
            <w:tcW w:w="426" w:type="dxa"/>
          </w:tcPr>
          <w:p w14:paraId="00663AA3" w14:textId="77777777" w:rsidR="009E332F" w:rsidRPr="00361EAD" w:rsidRDefault="009E332F" w:rsidP="00240CC4">
            <w:pPr>
              <w:jc w:val="center"/>
              <w:rPr>
                <w:rFonts w:ascii="Arial" w:hAnsi="Arial" w:cs="Arial"/>
                <w:b/>
                <w:bCs/>
                <w:color w:val="000000"/>
                <w:sz w:val="18"/>
                <w:szCs w:val="18"/>
              </w:rPr>
            </w:pPr>
            <w:r w:rsidRPr="00361EAD">
              <w:rPr>
                <w:rFonts w:ascii="Arial" w:hAnsi="Arial" w:cs="Arial"/>
                <w:b/>
                <w:bCs/>
                <w:color w:val="000000"/>
                <w:sz w:val="18"/>
                <w:szCs w:val="18"/>
              </w:rPr>
              <w:t>3</w:t>
            </w:r>
          </w:p>
        </w:tc>
        <w:tc>
          <w:tcPr>
            <w:tcW w:w="3063" w:type="dxa"/>
            <w:tcMar>
              <w:top w:w="60" w:type="dxa"/>
              <w:left w:w="75" w:type="dxa"/>
              <w:bottom w:w="60" w:type="dxa"/>
              <w:right w:w="75" w:type="dxa"/>
            </w:tcMar>
            <w:vAlign w:val="bottom"/>
            <w:hideMark/>
          </w:tcPr>
          <w:p w14:paraId="6CE43576" w14:textId="77777777" w:rsidR="009E332F" w:rsidRPr="00361EAD" w:rsidRDefault="009E332F" w:rsidP="00240CC4">
            <w:pPr>
              <w:rPr>
                <w:rFonts w:ascii="Arial" w:hAnsi="Arial" w:cs="Arial"/>
                <w:b/>
                <w:color w:val="000000"/>
                <w:sz w:val="18"/>
                <w:szCs w:val="18"/>
              </w:rPr>
            </w:pPr>
            <w:r>
              <w:rPr>
                <w:rFonts w:ascii="Arial" w:hAnsi="Arial" w:cs="Arial"/>
                <w:b/>
                <w:color w:val="000000"/>
                <w:sz w:val="18"/>
                <w:szCs w:val="18"/>
              </w:rPr>
              <w:t>73337</w:t>
            </w:r>
            <w:r w:rsidRPr="00FC1D9A">
              <w:rPr>
                <w:rFonts w:ascii="Arial" w:hAnsi="Arial" w:cs="Arial"/>
                <w:color w:val="000000"/>
                <w:sz w:val="18"/>
                <w:szCs w:val="18"/>
              </w:rPr>
              <w:t>, 73938.</w:t>
            </w:r>
          </w:p>
        </w:tc>
        <w:tc>
          <w:tcPr>
            <w:tcW w:w="770" w:type="dxa"/>
            <w:tcMar>
              <w:top w:w="60" w:type="dxa"/>
              <w:left w:w="75" w:type="dxa"/>
              <w:bottom w:w="60" w:type="dxa"/>
              <w:right w:w="75" w:type="dxa"/>
            </w:tcMar>
            <w:vAlign w:val="bottom"/>
            <w:hideMark/>
          </w:tcPr>
          <w:p w14:paraId="09E3DD31"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269 </w:t>
            </w:r>
          </w:p>
        </w:tc>
        <w:tc>
          <w:tcPr>
            <w:tcW w:w="734" w:type="dxa"/>
            <w:tcMar>
              <w:top w:w="60" w:type="dxa"/>
              <w:left w:w="75" w:type="dxa"/>
              <w:bottom w:w="60" w:type="dxa"/>
              <w:right w:w="75" w:type="dxa"/>
            </w:tcMar>
            <w:vAlign w:val="bottom"/>
            <w:hideMark/>
          </w:tcPr>
          <w:p w14:paraId="05A9631E"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538 </w:t>
            </w:r>
          </w:p>
        </w:tc>
        <w:tc>
          <w:tcPr>
            <w:tcW w:w="1063" w:type="dxa"/>
            <w:tcMar>
              <w:top w:w="60" w:type="dxa"/>
              <w:left w:w="75" w:type="dxa"/>
              <w:bottom w:w="60" w:type="dxa"/>
              <w:right w:w="75" w:type="dxa"/>
            </w:tcMar>
            <w:vAlign w:val="bottom"/>
            <w:hideMark/>
          </w:tcPr>
          <w:p w14:paraId="4E4C1FDC"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$109,026 </w:t>
            </w:r>
          </w:p>
        </w:tc>
        <w:tc>
          <w:tcPr>
            <w:tcW w:w="761" w:type="dxa"/>
            <w:tcMar>
              <w:top w:w="60" w:type="dxa"/>
              <w:left w:w="75" w:type="dxa"/>
              <w:bottom w:w="60" w:type="dxa"/>
              <w:right w:w="75" w:type="dxa"/>
            </w:tcMar>
            <w:vAlign w:val="bottom"/>
            <w:hideMark/>
          </w:tcPr>
          <w:p w14:paraId="596F09F8"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10% </w:t>
            </w:r>
          </w:p>
        </w:tc>
        <w:tc>
          <w:tcPr>
            <w:tcW w:w="761" w:type="dxa"/>
          </w:tcPr>
          <w:p w14:paraId="13DE6123"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48%</w:t>
            </w:r>
          </w:p>
        </w:tc>
      </w:tr>
      <w:tr w:rsidR="009E332F" w:rsidRPr="00961397" w14:paraId="27CDD6EF" w14:textId="77777777" w:rsidTr="00240CC4">
        <w:tc>
          <w:tcPr>
            <w:tcW w:w="426" w:type="dxa"/>
          </w:tcPr>
          <w:p w14:paraId="435CDE36" w14:textId="77777777" w:rsidR="009E332F" w:rsidRPr="00361EAD" w:rsidRDefault="009E332F" w:rsidP="00240CC4">
            <w:pPr>
              <w:jc w:val="center"/>
              <w:rPr>
                <w:rFonts w:ascii="Arial" w:hAnsi="Arial" w:cs="Arial"/>
                <w:b/>
                <w:bCs/>
                <w:color w:val="000000"/>
                <w:sz w:val="18"/>
                <w:szCs w:val="18"/>
              </w:rPr>
            </w:pPr>
            <w:r w:rsidRPr="00361EAD">
              <w:rPr>
                <w:rFonts w:ascii="Arial" w:hAnsi="Arial" w:cs="Arial"/>
                <w:b/>
                <w:bCs/>
                <w:color w:val="000000"/>
                <w:sz w:val="18"/>
                <w:szCs w:val="18"/>
              </w:rPr>
              <w:t>4</w:t>
            </w:r>
          </w:p>
        </w:tc>
        <w:tc>
          <w:tcPr>
            <w:tcW w:w="3063" w:type="dxa"/>
            <w:tcMar>
              <w:top w:w="60" w:type="dxa"/>
              <w:left w:w="75" w:type="dxa"/>
              <w:bottom w:w="60" w:type="dxa"/>
              <w:right w:w="75" w:type="dxa"/>
            </w:tcMar>
            <w:vAlign w:val="bottom"/>
            <w:hideMark/>
          </w:tcPr>
          <w:p w14:paraId="5CC591C3" w14:textId="77777777" w:rsidR="009E332F" w:rsidRPr="00361EAD" w:rsidRDefault="009E332F" w:rsidP="00240CC4">
            <w:pPr>
              <w:rPr>
                <w:rFonts w:ascii="Arial" w:hAnsi="Arial" w:cs="Arial"/>
                <w:b/>
                <w:color w:val="000000"/>
                <w:sz w:val="18"/>
                <w:szCs w:val="18"/>
              </w:rPr>
            </w:pPr>
            <w:r>
              <w:rPr>
                <w:rFonts w:ascii="Arial" w:hAnsi="Arial" w:cs="Arial"/>
                <w:b/>
                <w:color w:val="000000"/>
                <w:sz w:val="18"/>
                <w:szCs w:val="18"/>
              </w:rPr>
              <w:t>73337</w:t>
            </w:r>
          </w:p>
        </w:tc>
        <w:tc>
          <w:tcPr>
            <w:tcW w:w="770" w:type="dxa"/>
            <w:tcMar>
              <w:top w:w="60" w:type="dxa"/>
              <w:left w:w="75" w:type="dxa"/>
              <w:bottom w:w="60" w:type="dxa"/>
              <w:right w:w="75" w:type="dxa"/>
            </w:tcMar>
            <w:vAlign w:val="bottom"/>
            <w:hideMark/>
          </w:tcPr>
          <w:p w14:paraId="2275BF02"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255 </w:t>
            </w:r>
          </w:p>
        </w:tc>
        <w:tc>
          <w:tcPr>
            <w:tcW w:w="734" w:type="dxa"/>
            <w:tcMar>
              <w:top w:w="60" w:type="dxa"/>
              <w:left w:w="75" w:type="dxa"/>
              <w:bottom w:w="60" w:type="dxa"/>
              <w:right w:w="75" w:type="dxa"/>
            </w:tcMar>
            <w:vAlign w:val="bottom"/>
            <w:hideMark/>
          </w:tcPr>
          <w:p w14:paraId="1A2D690D"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258 </w:t>
            </w:r>
          </w:p>
        </w:tc>
        <w:tc>
          <w:tcPr>
            <w:tcW w:w="1063" w:type="dxa"/>
            <w:tcMar>
              <w:top w:w="60" w:type="dxa"/>
              <w:left w:w="75" w:type="dxa"/>
              <w:bottom w:w="60" w:type="dxa"/>
              <w:right w:w="75" w:type="dxa"/>
            </w:tcMar>
            <w:vAlign w:val="bottom"/>
            <w:hideMark/>
          </w:tcPr>
          <w:p w14:paraId="5B23C979"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$102,516 </w:t>
            </w:r>
          </w:p>
        </w:tc>
        <w:tc>
          <w:tcPr>
            <w:tcW w:w="761" w:type="dxa"/>
            <w:tcMar>
              <w:top w:w="60" w:type="dxa"/>
              <w:left w:w="75" w:type="dxa"/>
              <w:bottom w:w="60" w:type="dxa"/>
              <w:right w:w="75" w:type="dxa"/>
            </w:tcMar>
            <w:vAlign w:val="bottom"/>
            <w:hideMark/>
          </w:tcPr>
          <w:p w14:paraId="06F5182D"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9% </w:t>
            </w:r>
          </w:p>
        </w:tc>
        <w:tc>
          <w:tcPr>
            <w:tcW w:w="761" w:type="dxa"/>
          </w:tcPr>
          <w:p w14:paraId="03AD3B70"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57%</w:t>
            </w:r>
          </w:p>
        </w:tc>
      </w:tr>
      <w:tr w:rsidR="009E332F" w:rsidRPr="00961397" w14:paraId="5A96BC6C" w14:textId="77777777" w:rsidTr="00240CC4">
        <w:tc>
          <w:tcPr>
            <w:tcW w:w="426" w:type="dxa"/>
          </w:tcPr>
          <w:p w14:paraId="1EBB5EDA" w14:textId="77777777" w:rsidR="009E332F" w:rsidRPr="00361EAD" w:rsidRDefault="009E332F" w:rsidP="00240CC4">
            <w:pPr>
              <w:jc w:val="center"/>
              <w:rPr>
                <w:rFonts w:ascii="Arial" w:hAnsi="Arial" w:cs="Arial"/>
                <w:b/>
                <w:bCs/>
                <w:color w:val="000000"/>
                <w:sz w:val="18"/>
                <w:szCs w:val="18"/>
              </w:rPr>
            </w:pPr>
            <w:r w:rsidRPr="00361EAD">
              <w:rPr>
                <w:rFonts w:ascii="Arial" w:hAnsi="Arial" w:cs="Arial"/>
                <w:b/>
                <w:bCs/>
                <w:color w:val="000000"/>
                <w:sz w:val="18"/>
                <w:szCs w:val="18"/>
              </w:rPr>
              <w:t>5</w:t>
            </w:r>
          </w:p>
        </w:tc>
        <w:tc>
          <w:tcPr>
            <w:tcW w:w="3063" w:type="dxa"/>
            <w:tcMar>
              <w:top w:w="60" w:type="dxa"/>
              <w:left w:w="75" w:type="dxa"/>
              <w:bottom w:w="60" w:type="dxa"/>
              <w:right w:w="75" w:type="dxa"/>
            </w:tcMar>
            <w:vAlign w:val="bottom"/>
            <w:hideMark/>
          </w:tcPr>
          <w:p w14:paraId="15328460" w14:textId="77777777" w:rsidR="009E332F" w:rsidRPr="00361EAD" w:rsidRDefault="009E332F" w:rsidP="00240CC4">
            <w:pPr>
              <w:rPr>
                <w:rFonts w:ascii="Arial" w:hAnsi="Arial" w:cs="Arial"/>
                <w:b/>
                <w:color w:val="000000"/>
                <w:sz w:val="18"/>
                <w:szCs w:val="18"/>
              </w:rPr>
            </w:pPr>
            <w:r>
              <w:rPr>
                <w:rFonts w:ascii="Arial" w:hAnsi="Arial" w:cs="Arial"/>
                <w:b/>
                <w:color w:val="000000"/>
                <w:sz w:val="18"/>
                <w:szCs w:val="18"/>
              </w:rPr>
              <w:t>73337</w:t>
            </w:r>
            <w:r w:rsidRPr="00FC1D9A">
              <w:rPr>
                <w:rFonts w:ascii="Arial" w:hAnsi="Arial" w:cs="Arial"/>
                <w:color w:val="000000"/>
                <w:sz w:val="18"/>
                <w:szCs w:val="18"/>
              </w:rPr>
              <w:t>, 73939</w:t>
            </w:r>
            <w:r w:rsidRPr="00361EAD">
              <w:rPr>
                <w:rFonts w:ascii="Arial" w:hAnsi="Arial" w:cs="Arial"/>
                <w:b/>
                <w:color w:val="000000"/>
                <w:sz w:val="18"/>
                <w:szCs w:val="18"/>
              </w:rPr>
              <w:t>.</w:t>
            </w:r>
          </w:p>
        </w:tc>
        <w:tc>
          <w:tcPr>
            <w:tcW w:w="770" w:type="dxa"/>
            <w:tcMar>
              <w:top w:w="60" w:type="dxa"/>
              <w:left w:w="75" w:type="dxa"/>
              <w:bottom w:w="60" w:type="dxa"/>
              <w:right w:w="75" w:type="dxa"/>
            </w:tcMar>
            <w:vAlign w:val="bottom"/>
            <w:hideMark/>
          </w:tcPr>
          <w:p w14:paraId="4E0D0CAC"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141 </w:t>
            </w:r>
          </w:p>
        </w:tc>
        <w:tc>
          <w:tcPr>
            <w:tcW w:w="734" w:type="dxa"/>
            <w:tcMar>
              <w:top w:w="60" w:type="dxa"/>
              <w:left w:w="75" w:type="dxa"/>
              <w:bottom w:w="60" w:type="dxa"/>
              <w:right w:w="75" w:type="dxa"/>
            </w:tcMar>
            <w:vAlign w:val="bottom"/>
            <w:hideMark/>
          </w:tcPr>
          <w:p w14:paraId="65AC0C5B"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282 </w:t>
            </w:r>
          </w:p>
        </w:tc>
        <w:tc>
          <w:tcPr>
            <w:tcW w:w="1063" w:type="dxa"/>
            <w:tcMar>
              <w:top w:w="60" w:type="dxa"/>
              <w:left w:w="75" w:type="dxa"/>
              <w:bottom w:w="60" w:type="dxa"/>
              <w:right w:w="75" w:type="dxa"/>
            </w:tcMar>
            <w:vAlign w:val="bottom"/>
            <w:hideMark/>
          </w:tcPr>
          <w:p w14:paraId="1462F227"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$56,365 </w:t>
            </w:r>
          </w:p>
        </w:tc>
        <w:tc>
          <w:tcPr>
            <w:tcW w:w="761" w:type="dxa"/>
            <w:tcMar>
              <w:top w:w="60" w:type="dxa"/>
              <w:left w:w="75" w:type="dxa"/>
              <w:bottom w:w="60" w:type="dxa"/>
              <w:right w:w="75" w:type="dxa"/>
            </w:tcMar>
            <w:vAlign w:val="bottom"/>
            <w:hideMark/>
          </w:tcPr>
          <w:p w14:paraId="32F075A5"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5% </w:t>
            </w:r>
          </w:p>
        </w:tc>
        <w:tc>
          <w:tcPr>
            <w:tcW w:w="761" w:type="dxa"/>
          </w:tcPr>
          <w:p w14:paraId="4DDE0C9D"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62%</w:t>
            </w:r>
          </w:p>
        </w:tc>
      </w:tr>
      <w:tr w:rsidR="009E332F" w:rsidRPr="00961397" w14:paraId="51337AB7" w14:textId="77777777" w:rsidTr="00240CC4">
        <w:tc>
          <w:tcPr>
            <w:tcW w:w="426" w:type="dxa"/>
          </w:tcPr>
          <w:p w14:paraId="63C76FD2" w14:textId="77777777" w:rsidR="009E332F" w:rsidRPr="00361EAD" w:rsidRDefault="009E332F" w:rsidP="00240CC4">
            <w:pPr>
              <w:jc w:val="center"/>
              <w:rPr>
                <w:rFonts w:ascii="Arial" w:hAnsi="Arial" w:cs="Arial"/>
                <w:b/>
                <w:bCs/>
                <w:color w:val="000000"/>
                <w:sz w:val="18"/>
                <w:szCs w:val="18"/>
              </w:rPr>
            </w:pPr>
            <w:r w:rsidRPr="00361EAD">
              <w:rPr>
                <w:rFonts w:ascii="Arial" w:hAnsi="Arial" w:cs="Arial"/>
                <w:b/>
                <w:bCs/>
                <w:color w:val="000000"/>
                <w:sz w:val="18"/>
                <w:szCs w:val="18"/>
              </w:rPr>
              <w:t>6</w:t>
            </w:r>
          </w:p>
        </w:tc>
        <w:tc>
          <w:tcPr>
            <w:tcW w:w="3063" w:type="dxa"/>
            <w:tcMar>
              <w:top w:w="60" w:type="dxa"/>
              <w:left w:w="75" w:type="dxa"/>
              <w:bottom w:w="60" w:type="dxa"/>
              <w:right w:w="75" w:type="dxa"/>
            </w:tcMar>
            <w:vAlign w:val="bottom"/>
            <w:hideMark/>
          </w:tcPr>
          <w:p w14:paraId="7519BD67" w14:textId="77777777" w:rsidR="009E332F" w:rsidRPr="00361EAD" w:rsidRDefault="009E332F" w:rsidP="00240CC4">
            <w:pPr>
              <w:rPr>
                <w:rFonts w:ascii="Arial" w:hAnsi="Arial" w:cs="Arial"/>
                <w:b/>
                <w:color w:val="000000"/>
                <w:sz w:val="18"/>
                <w:szCs w:val="18"/>
              </w:rPr>
            </w:pPr>
            <w:r>
              <w:rPr>
                <w:rFonts w:ascii="Arial" w:hAnsi="Arial" w:cs="Arial"/>
                <w:b/>
                <w:color w:val="000000"/>
                <w:sz w:val="18"/>
                <w:szCs w:val="18"/>
              </w:rPr>
              <w:t>73337</w:t>
            </w:r>
            <w:r w:rsidRPr="00FC1D9A">
              <w:rPr>
                <w:rFonts w:ascii="Arial" w:hAnsi="Arial" w:cs="Arial"/>
                <w:color w:val="000000"/>
                <w:sz w:val="18"/>
                <w:szCs w:val="18"/>
              </w:rPr>
              <w:t>, 72846, 73939</w:t>
            </w:r>
            <w:r w:rsidRPr="00361EAD">
              <w:rPr>
                <w:rFonts w:ascii="Arial" w:hAnsi="Arial" w:cs="Arial"/>
                <w:b/>
                <w:color w:val="000000"/>
                <w:sz w:val="18"/>
                <w:szCs w:val="18"/>
              </w:rPr>
              <w:t>.</w:t>
            </w:r>
          </w:p>
        </w:tc>
        <w:tc>
          <w:tcPr>
            <w:tcW w:w="770" w:type="dxa"/>
            <w:tcMar>
              <w:top w:w="60" w:type="dxa"/>
              <w:left w:w="75" w:type="dxa"/>
              <w:bottom w:w="60" w:type="dxa"/>
              <w:right w:w="75" w:type="dxa"/>
            </w:tcMar>
            <w:vAlign w:val="bottom"/>
            <w:hideMark/>
          </w:tcPr>
          <w:p w14:paraId="77840AC1"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70 </w:t>
            </w:r>
          </w:p>
        </w:tc>
        <w:tc>
          <w:tcPr>
            <w:tcW w:w="734" w:type="dxa"/>
            <w:tcMar>
              <w:top w:w="60" w:type="dxa"/>
              <w:left w:w="75" w:type="dxa"/>
              <w:bottom w:w="60" w:type="dxa"/>
              <w:right w:w="75" w:type="dxa"/>
            </w:tcMar>
            <w:vAlign w:val="bottom"/>
            <w:hideMark/>
          </w:tcPr>
          <w:p w14:paraId="1F9D955C"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210 </w:t>
            </w:r>
          </w:p>
        </w:tc>
        <w:tc>
          <w:tcPr>
            <w:tcW w:w="1063" w:type="dxa"/>
            <w:tcMar>
              <w:top w:w="60" w:type="dxa"/>
              <w:left w:w="75" w:type="dxa"/>
              <w:bottom w:w="60" w:type="dxa"/>
              <w:right w:w="75" w:type="dxa"/>
            </w:tcMar>
            <w:vAlign w:val="bottom"/>
            <w:hideMark/>
          </w:tcPr>
          <w:p w14:paraId="7B77BF03"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$32,155 </w:t>
            </w:r>
          </w:p>
        </w:tc>
        <w:tc>
          <w:tcPr>
            <w:tcW w:w="761" w:type="dxa"/>
            <w:tcMar>
              <w:top w:w="60" w:type="dxa"/>
              <w:left w:w="75" w:type="dxa"/>
              <w:bottom w:w="60" w:type="dxa"/>
              <w:right w:w="75" w:type="dxa"/>
            </w:tcMar>
            <w:vAlign w:val="bottom"/>
            <w:hideMark/>
          </w:tcPr>
          <w:p w14:paraId="3BE7D911"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2% </w:t>
            </w:r>
          </w:p>
        </w:tc>
        <w:tc>
          <w:tcPr>
            <w:tcW w:w="761" w:type="dxa"/>
          </w:tcPr>
          <w:p w14:paraId="487F2822"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64%</w:t>
            </w:r>
          </w:p>
        </w:tc>
      </w:tr>
      <w:tr w:rsidR="009E332F" w:rsidRPr="00961397" w14:paraId="03173DD4" w14:textId="77777777" w:rsidTr="00240CC4">
        <w:tc>
          <w:tcPr>
            <w:tcW w:w="426" w:type="dxa"/>
          </w:tcPr>
          <w:p w14:paraId="3EF79A91" w14:textId="77777777" w:rsidR="009E332F" w:rsidRPr="00361EAD" w:rsidRDefault="009E332F" w:rsidP="00240CC4">
            <w:pPr>
              <w:jc w:val="center"/>
              <w:rPr>
                <w:rFonts w:ascii="Arial" w:hAnsi="Arial" w:cs="Arial"/>
                <w:b/>
                <w:bCs/>
                <w:color w:val="000000"/>
                <w:sz w:val="18"/>
                <w:szCs w:val="18"/>
              </w:rPr>
            </w:pPr>
            <w:r w:rsidRPr="00361EAD">
              <w:rPr>
                <w:rFonts w:ascii="Arial" w:hAnsi="Arial" w:cs="Arial"/>
                <w:b/>
                <w:bCs/>
                <w:color w:val="000000"/>
                <w:sz w:val="18"/>
                <w:szCs w:val="18"/>
              </w:rPr>
              <w:t>7</w:t>
            </w:r>
          </w:p>
        </w:tc>
        <w:tc>
          <w:tcPr>
            <w:tcW w:w="3063" w:type="dxa"/>
            <w:tcMar>
              <w:top w:w="60" w:type="dxa"/>
              <w:left w:w="75" w:type="dxa"/>
              <w:bottom w:w="60" w:type="dxa"/>
              <w:right w:w="75" w:type="dxa"/>
            </w:tcMar>
            <w:vAlign w:val="bottom"/>
            <w:hideMark/>
          </w:tcPr>
          <w:p w14:paraId="3BF18F95" w14:textId="77777777" w:rsidR="009E332F" w:rsidRPr="00361EAD" w:rsidRDefault="009E332F" w:rsidP="00240CC4">
            <w:pPr>
              <w:rPr>
                <w:rFonts w:ascii="Arial" w:hAnsi="Arial" w:cs="Arial"/>
                <w:b/>
                <w:color w:val="000000"/>
                <w:sz w:val="18"/>
                <w:szCs w:val="18"/>
              </w:rPr>
            </w:pPr>
            <w:r>
              <w:rPr>
                <w:rFonts w:ascii="Arial" w:hAnsi="Arial" w:cs="Arial"/>
                <w:b/>
                <w:color w:val="000000"/>
                <w:sz w:val="18"/>
                <w:szCs w:val="18"/>
              </w:rPr>
              <w:t>73337</w:t>
            </w:r>
            <w:r w:rsidRPr="00FC1D9A">
              <w:rPr>
                <w:rFonts w:ascii="Arial" w:hAnsi="Arial" w:cs="Arial"/>
                <w:color w:val="000000"/>
                <w:sz w:val="18"/>
                <w:szCs w:val="18"/>
              </w:rPr>
              <w:t>, 72846</w:t>
            </w:r>
            <w:r w:rsidRPr="00361EAD">
              <w:rPr>
                <w:rFonts w:ascii="Arial" w:hAnsi="Arial" w:cs="Arial"/>
                <w:b/>
                <w:color w:val="000000"/>
                <w:sz w:val="18"/>
                <w:szCs w:val="18"/>
              </w:rPr>
              <w:t>.</w:t>
            </w:r>
          </w:p>
        </w:tc>
        <w:tc>
          <w:tcPr>
            <w:tcW w:w="770" w:type="dxa"/>
            <w:tcMar>
              <w:top w:w="60" w:type="dxa"/>
              <w:left w:w="75" w:type="dxa"/>
              <w:bottom w:w="60" w:type="dxa"/>
              <w:right w:w="75" w:type="dxa"/>
            </w:tcMar>
            <w:vAlign w:val="bottom"/>
            <w:hideMark/>
          </w:tcPr>
          <w:p w14:paraId="3D1E17FA"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64 </w:t>
            </w:r>
          </w:p>
        </w:tc>
        <w:tc>
          <w:tcPr>
            <w:tcW w:w="734" w:type="dxa"/>
            <w:tcMar>
              <w:top w:w="60" w:type="dxa"/>
              <w:left w:w="75" w:type="dxa"/>
              <w:bottom w:w="60" w:type="dxa"/>
              <w:right w:w="75" w:type="dxa"/>
            </w:tcMar>
            <w:vAlign w:val="bottom"/>
            <w:hideMark/>
          </w:tcPr>
          <w:p w14:paraId="468AAB49"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128 </w:t>
            </w:r>
          </w:p>
        </w:tc>
        <w:tc>
          <w:tcPr>
            <w:tcW w:w="1063" w:type="dxa"/>
            <w:tcMar>
              <w:top w:w="60" w:type="dxa"/>
              <w:left w:w="75" w:type="dxa"/>
              <w:bottom w:w="60" w:type="dxa"/>
              <w:right w:w="75" w:type="dxa"/>
            </w:tcMar>
            <w:vAlign w:val="bottom"/>
            <w:hideMark/>
          </w:tcPr>
          <w:p w14:paraId="50D9E4B6"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$29,245 </w:t>
            </w:r>
          </w:p>
        </w:tc>
        <w:tc>
          <w:tcPr>
            <w:tcW w:w="761" w:type="dxa"/>
            <w:tcMar>
              <w:top w:w="60" w:type="dxa"/>
              <w:left w:w="75" w:type="dxa"/>
              <w:bottom w:w="60" w:type="dxa"/>
              <w:right w:w="75" w:type="dxa"/>
            </w:tcMar>
            <w:vAlign w:val="bottom"/>
            <w:hideMark/>
          </w:tcPr>
          <w:p w14:paraId="5228081C"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2% </w:t>
            </w:r>
          </w:p>
        </w:tc>
        <w:tc>
          <w:tcPr>
            <w:tcW w:w="761" w:type="dxa"/>
          </w:tcPr>
          <w:p w14:paraId="64CC0CE3"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66%</w:t>
            </w:r>
          </w:p>
        </w:tc>
      </w:tr>
      <w:tr w:rsidR="009E332F" w:rsidRPr="00961397" w14:paraId="7BA6AC40" w14:textId="77777777" w:rsidTr="00240CC4">
        <w:tc>
          <w:tcPr>
            <w:tcW w:w="426" w:type="dxa"/>
          </w:tcPr>
          <w:p w14:paraId="2DABADEE" w14:textId="77777777" w:rsidR="009E332F" w:rsidRPr="00361EAD" w:rsidRDefault="009E332F" w:rsidP="00240CC4">
            <w:pPr>
              <w:jc w:val="center"/>
              <w:rPr>
                <w:rFonts w:ascii="Arial" w:hAnsi="Arial" w:cs="Arial"/>
                <w:b/>
                <w:bCs/>
                <w:color w:val="000000"/>
                <w:sz w:val="18"/>
                <w:szCs w:val="18"/>
              </w:rPr>
            </w:pPr>
            <w:r w:rsidRPr="00361EAD">
              <w:rPr>
                <w:rFonts w:ascii="Arial" w:hAnsi="Arial" w:cs="Arial"/>
                <w:b/>
                <w:bCs/>
                <w:color w:val="000000"/>
                <w:sz w:val="18"/>
                <w:szCs w:val="18"/>
              </w:rPr>
              <w:t>8</w:t>
            </w:r>
          </w:p>
        </w:tc>
        <w:tc>
          <w:tcPr>
            <w:tcW w:w="3063" w:type="dxa"/>
            <w:tcMar>
              <w:top w:w="60" w:type="dxa"/>
              <w:left w:w="75" w:type="dxa"/>
              <w:bottom w:w="60" w:type="dxa"/>
              <w:right w:w="75" w:type="dxa"/>
            </w:tcMar>
            <w:vAlign w:val="bottom"/>
            <w:hideMark/>
          </w:tcPr>
          <w:p w14:paraId="2E3C5AFB" w14:textId="77777777" w:rsidR="009E332F" w:rsidRPr="00361EAD" w:rsidRDefault="009E332F" w:rsidP="00240CC4">
            <w:pPr>
              <w:rPr>
                <w:rFonts w:ascii="Arial" w:hAnsi="Arial" w:cs="Arial"/>
                <w:b/>
                <w:color w:val="000000"/>
                <w:sz w:val="18"/>
                <w:szCs w:val="18"/>
              </w:rPr>
            </w:pPr>
            <w:r>
              <w:rPr>
                <w:rFonts w:ascii="Arial" w:hAnsi="Arial" w:cs="Arial"/>
                <w:b/>
                <w:color w:val="000000"/>
                <w:sz w:val="18"/>
                <w:szCs w:val="18"/>
              </w:rPr>
              <w:t>73337</w:t>
            </w:r>
            <w:r w:rsidRPr="00FC1D9A">
              <w:rPr>
                <w:rFonts w:ascii="Arial" w:hAnsi="Arial" w:cs="Arial"/>
                <w:color w:val="000000"/>
                <w:sz w:val="18"/>
                <w:szCs w:val="18"/>
              </w:rPr>
              <w:t>, 72823, 72847, 73926.</w:t>
            </w:r>
          </w:p>
        </w:tc>
        <w:tc>
          <w:tcPr>
            <w:tcW w:w="770" w:type="dxa"/>
            <w:tcMar>
              <w:top w:w="60" w:type="dxa"/>
              <w:left w:w="75" w:type="dxa"/>
              <w:bottom w:w="60" w:type="dxa"/>
              <w:right w:w="75" w:type="dxa"/>
            </w:tcMar>
            <w:vAlign w:val="bottom"/>
            <w:hideMark/>
          </w:tcPr>
          <w:p w14:paraId="5C7B1FA8"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35 </w:t>
            </w:r>
          </w:p>
        </w:tc>
        <w:tc>
          <w:tcPr>
            <w:tcW w:w="734" w:type="dxa"/>
            <w:tcMar>
              <w:top w:w="60" w:type="dxa"/>
              <w:left w:w="75" w:type="dxa"/>
              <w:bottom w:w="60" w:type="dxa"/>
              <w:right w:w="75" w:type="dxa"/>
            </w:tcMar>
            <w:vAlign w:val="bottom"/>
            <w:hideMark/>
          </w:tcPr>
          <w:p w14:paraId="7A7A4D04"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140 </w:t>
            </w:r>
          </w:p>
        </w:tc>
        <w:tc>
          <w:tcPr>
            <w:tcW w:w="1063" w:type="dxa"/>
            <w:tcMar>
              <w:top w:w="60" w:type="dxa"/>
              <w:left w:w="75" w:type="dxa"/>
              <w:bottom w:w="60" w:type="dxa"/>
              <w:right w:w="75" w:type="dxa"/>
            </w:tcMar>
            <w:vAlign w:val="bottom"/>
            <w:hideMark/>
          </w:tcPr>
          <w:p w14:paraId="40E97C41"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$20,724 </w:t>
            </w:r>
          </w:p>
        </w:tc>
        <w:tc>
          <w:tcPr>
            <w:tcW w:w="761" w:type="dxa"/>
            <w:tcMar>
              <w:top w:w="60" w:type="dxa"/>
              <w:left w:w="75" w:type="dxa"/>
              <w:bottom w:w="60" w:type="dxa"/>
              <w:right w:w="75" w:type="dxa"/>
            </w:tcMar>
            <w:vAlign w:val="bottom"/>
            <w:hideMark/>
          </w:tcPr>
          <w:p w14:paraId="58508F5F"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1% </w:t>
            </w:r>
          </w:p>
        </w:tc>
        <w:tc>
          <w:tcPr>
            <w:tcW w:w="761" w:type="dxa"/>
          </w:tcPr>
          <w:p w14:paraId="25990D79"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67%</w:t>
            </w:r>
          </w:p>
        </w:tc>
      </w:tr>
      <w:tr w:rsidR="009E332F" w:rsidRPr="00961397" w14:paraId="0FFC43C6" w14:textId="77777777" w:rsidTr="00240CC4">
        <w:tc>
          <w:tcPr>
            <w:tcW w:w="426" w:type="dxa"/>
          </w:tcPr>
          <w:p w14:paraId="442B1686" w14:textId="77777777" w:rsidR="009E332F" w:rsidRPr="00361EAD" w:rsidRDefault="009E332F" w:rsidP="00240CC4">
            <w:pPr>
              <w:jc w:val="center"/>
              <w:rPr>
                <w:rFonts w:ascii="Arial" w:hAnsi="Arial" w:cs="Arial"/>
                <w:b/>
                <w:bCs/>
                <w:color w:val="000000"/>
                <w:sz w:val="18"/>
                <w:szCs w:val="18"/>
              </w:rPr>
            </w:pPr>
            <w:r w:rsidRPr="00361EAD">
              <w:rPr>
                <w:rFonts w:ascii="Arial" w:hAnsi="Arial" w:cs="Arial"/>
                <w:b/>
                <w:bCs/>
                <w:color w:val="000000"/>
                <w:sz w:val="18"/>
                <w:szCs w:val="18"/>
              </w:rPr>
              <w:t>9</w:t>
            </w:r>
          </w:p>
        </w:tc>
        <w:tc>
          <w:tcPr>
            <w:tcW w:w="3063" w:type="dxa"/>
            <w:tcMar>
              <w:top w:w="60" w:type="dxa"/>
              <w:left w:w="75" w:type="dxa"/>
              <w:bottom w:w="60" w:type="dxa"/>
              <w:right w:w="75" w:type="dxa"/>
            </w:tcMar>
            <w:vAlign w:val="bottom"/>
            <w:hideMark/>
          </w:tcPr>
          <w:p w14:paraId="440BF583" w14:textId="77777777" w:rsidR="009E332F" w:rsidRPr="00361EAD" w:rsidRDefault="009E332F" w:rsidP="00240CC4">
            <w:pPr>
              <w:rPr>
                <w:rFonts w:ascii="Arial" w:hAnsi="Arial" w:cs="Arial"/>
                <w:b/>
                <w:color w:val="000000"/>
                <w:sz w:val="18"/>
                <w:szCs w:val="18"/>
              </w:rPr>
            </w:pPr>
            <w:r>
              <w:rPr>
                <w:rFonts w:ascii="Arial" w:hAnsi="Arial" w:cs="Arial"/>
                <w:b/>
                <w:color w:val="000000"/>
                <w:sz w:val="18"/>
                <w:szCs w:val="18"/>
              </w:rPr>
              <w:t>73337</w:t>
            </w:r>
            <w:r w:rsidRPr="00FC1D9A">
              <w:rPr>
                <w:rFonts w:ascii="Arial" w:hAnsi="Arial" w:cs="Arial"/>
                <w:color w:val="000000"/>
                <w:sz w:val="18"/>
                <w:szCs w:val="18"/>
              </w:rPr>
              <w:t>, 72846, 73938</w:t>
            </w:r>
            <w:r w:rsidRPr="00361EAD">
              <w:rPr>
                <w:rFonts w:ascii="Arial" w:hAnsi="Arial" w:cs="Arial"/>
                <w:b/>
                <w:color w:val="000000"/>
                <w:sz w:val="18"/>
                <w:szCs w:val="18"/>
              </w:rPr>
              <w:t>.</w:t>
            </w:r>
          </w:p>
        </w:tc>
        <w:tc>
          <w:tcPr>
            <w:tcW w:w="770" w:type="dxa"/>
            <w:tcMar>
              <w:top w:w="60" w:type="dxa"/>
              <w:left w:w="75" w:type="dxa"/>
              <w:bottom w:w="60" w:type="dxa"/>
              <w:right w:w="75" w:type="dxa"/>
            </w:tcMar>
            <w:vAlign w:val="bottom"/>
            <w:hideMark/>
          </w:tcPr>
          <w:p w14:paraId="19D66C79"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35 </w:t>
            </w:r>
          </w:p>
        </w:tc>
        <w:tc>
          <w:tcPr>
            <w:tcW w:w="734" w:type="dxa"/>
            <w:tcMar>
              <w:top w:w="60" w:type="dxa"/>
              <w:left w:w="75" w:type="dxa"/>
              <w:bottom w:w="60" w:type="dxa"/>
              <w:right w:w="75" w:type="dxa"/>
            </w:tcMar>
            <w:vAlign w:val="bottom"/>
            <w:hideMark/>
          </w:tcPr>
          <w:p w14:paraId="520C152E"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105 </w:t>
            </w:r>
          </w:p>
        </w:tc>
        <w:tc>
          <w:tcPr>
            <w:tcW w:w="1063" w:type="dxa"/>
            <w:tcMar>
              <w:top w:w="60" w:type="dxa"/>
              <w:left w:w="75" w:type="dxa"/>
              <w:bottom w:w="60" w:type="dxa"/>
              <w:right w:w="75" w:type="dxa"/>
            </w:tcMar>
            <w:vAlign w:val="bottom"/>
            <w:hideMark/>
          </w:tcPr>
          <w:p w14:paraId="34955A88"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$16,272 </w:t>
            </w:r>
          </w:p>
        </w:tc>
        <w:tc>
          <w:tcPr>
            <w:tcW w:w="761" w:type="dxa"/>
            <w:tcMar>
              <w:top w:w="60" w:type="dxa"/>
              <w:left w:w="75" w:type="dxa"/>
              <w:bottom w:w="60" w:type="dxa"/>
              <w:right w:w="75" w:type="dxa"/>
            </w:tcMar>
            <w:vAlign w:val="bottom"/>
            <w:hideMark/>
          </w:tcPr>
          <w:p w14:paraId="60BEDE8F"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1% </w:t>
            </w:r>
          </w:p>
        </w:tc>
        <w:tc>
          <w:tcPr>
            <w:tcW w:w="761" w:type="dxa"/>
          </w:tcPr>
          <w:p w14:paraId="156CF4E9"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68%</w:t>
            </w:r>
          </w:p>
        </w:tc>
      </w:tr>
      <w:tr w:rsidR="009E332F" w:rsidRPr="00961397" w14:paraId="1AD2DB70" w14:textId="77777777" w:rsidTr="00240CC4">
        <w:tc>
          <w:tcPr>
            <w:tcW w:w="426" w:type="dxa"/>
          </w:tcPr>
          <w:p w14:paraId="5BC0AE16" w14:textId="77777777" w:rsidR="009E332F" w:rsidRPr="00361EAD" w:rsidRDefault="009E332F" w:rsidP="00240CC4">
            <w:pPr>
              <w:jc w:val="center"/>
              <w:rPr>
                <w:rFonts w:ascii="Arial" w:hAnsi="Arial" w:cs="Arial"/>
                <w:b/>
                <w:bCs/>
                <w:color w:val="000000"/>
                <w:sz w:val="18"/>
                <w:szCs w:val="18"/>
              </w:rPr>
            </w:pPr>
            <w:r w:rsidRPr="00361EAD">
              <w:rPr>
                <w:rFonts w:ascii="Arial" w:hAnsi="Arial" w:cs="Arial"/>
                <w:b/>
                <w:bCs/>
                <w:color w:val="000000"/>
                <w:sz w:val="18"/>
                <w:szCs w:val="18"/>
              </w:rPr>
              <w:t>10</w:t>
            </w:r>
          </w:p>
        </w:tc>
        <w:tc>
          <w:tcPr>
            <w:tcW w:w="3063" w:type="dxa"/>
            <w:tcMar>
              <w:top w:w="60" w:type="dxa"/>
              <w:left w:w="75" w:type="dxa"/>
              <w:bottom w:w="60" w:type="dxa"/>
              <w:right w:w="75" w:type="dxa"/>
            </w:tcMar>
            <w:vAlign w:val="bottom"/>
            <w:hideMark/>
          </w:tcPr>
          <w:p w14:paraId="09E373D0" w14:textId="77777777" w:rsidR="009E332F" w:rsidRPr="00361EAD" w:rsidRDefault="009E332F" w:rsidP="00240CC4">
            <w:pPr>
              <w:rPr>
                <w:rFonts w:ascii="Arial" w:hAnsi="Arial" w:cs="Arial"/>
                <w:b/>
                <w:color w:val="000000"/>
                <w:sz w:val="18"/>
                <w:szCs w:val="18"/>
              </w:rPr>
            </w:pPr>
            <w:r>
              <w:rPr>
                <w:rFonts w:ascii="Arial" w:hAnsi="Arial" w:cs="Arial"/>
                <w:b/>
                <w:color w:val="000000"/>
                <w:sz w:val="18"/>
                <w:szCs w:val="18"/>
              </w:rPr>
              <w:t>73337</w:t>
            </w:r>
            <w:r w:rsidRPr="00FC1D9A">
              <w:rPr>
                <w:rFonts w:ascii="Arial" w:hAnsi="Arial" w:cs="Arial"/>
                <w:color w:val="000000"/>
                <w:sz w:val="18"/>
                <w:szCs w:val="18"/>
              </w:rPr>
              <w:t>, 72823, 72846, 73926</w:t>
            </w:r>
            <w:r w:rsidRPr="00361EAD">
              <w:rPr>
                <w:rFonts w:ascii="Arial" w:hAnsi="Arial" w:cs="Arial"/>
                <w:b/>
                <w:color w:val="000000"/>
                <w:sz w:val="18"/>
                <w:szCs w:val="18"/>
              </w:rPr>
              <w:t>.</w:t>
            </w:r>
          </w:p>
        </w:tc>
        <w:tc>
          <w:tcPr>
            <w:tcW w:w="770" w:type="dxa"/>
            <w:tcMar>
              <w:top w:w="60" w:type="dxa"/>
              <w:left w:w="75" w:type="dxa"/>
              <w:bottom w:w="60" w:type="dxa"/>
              <w:right w:w="75" w:type="dxa"/>
            </w:tcMar>
            <w:vAlign w:val="bottom"/>
            <w:hideMark/>
          </w:tcPr>
          <w:p w14:paraId="75DEA2AA"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29 </w:t>
            </w:r>
          </w:p>
        </w:tc>
        <w:tc>
          <w:tcPr>
            <w:tcW w:w="734" w:type="dxa"/>
            <w:tcMar>
              <w:top w:w="60" w:type="dxa"/>
              <w:left w:w="75" w:type="dxa"/>
              <w:bottom w:w="60" w:type="dxa"/>
              <w:right w:w="75" w:type="dxa"/>
            </w:tcMar>
            <w:vAlign w:val="bottom"/>
            <w:hideMark/>
          </w:tcPr>
          <w:p w14:paraId="7913451F"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116 </w:t>
            </w:r>
          </w:p>
        </w:tc>
        <w:tc>
          <w:tcPr>
            <w:tcW w:w="1063" w:type="dxa"/>
            <w:tcMar>
              <w:top w:w="60" w:type="dxa"/>
              <w:left w:w="75" w:type="dxa"/>
              <w:bottom w:w="60" w:type="dxa"/>
              <w:right w:w="75" w:type="dxa"/>
            </w:tcMar>
            <w:vAlign w:val="bottom"/>
            <w:hideMark/>
          </w:tcPr>
          <w:p w14:paraId="734FAFB8"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$16,307 </w:t>
            </w:r>
          </w:p>
        </w:tc>
        <w:tc>
          <w:tcPr>
            <w:tcW w:w="761" w:type="dxa"/>
            <w:tcMar>
              <w:top w:w="60" w:type="dxa"/>
              <w:left w:w="75" w:type="dxa"/>
              <w:bottom w:w="60" w:type="dxa"/>
              <w:right w:w="75" w:type="dxa"/>
            </w:tcMar>
            <w:vAlign w:val="bottom"/>
            <w:hideMark/>
          </w:tcPr>
          <w:p w14:paraId="5315109E"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1% </w:t>
            </w:r>
          </w:p>
        </w:tc>
        <w:tc>
          <w:tcPr>
            <w:tcW w:w="761" w:type="dxa"/>
          </w:tcPr>
          <w:p w14:paraId="6A2B5117"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69%</w:t>
            </w:r>
          </w:p>
        </w:tc>
      </w:tr>
    </w:tbl>
    <w:p w14:paraId="362B2E9B" w14:textId="1E2AC151" w:rsidR="009E332F" w:rsidRPr="00A73613" w:rsidRDefault="009E332F" w:rsidP="009C5632">
      <w:pPr>
        <w:pStyle w:val="Heading3"/>
        <w:rPr>
          <w:rFonts w:cs="Times New Roman"/>
          <w:szCs w:val="18"/>
        </w:rPr>
      </w:pPr>
      <w:r w:rsidRPr="00A73613">
        <w:rPr>
          <w:rFonts w:cs="Times New Roman"/>
          <w:szCs w:val="18"/>
        </w:rPr>
        <w:t xml:space="preserve">Table 9: Top 10 instances of co-claiming with MBS item </w:t>
      </w:r>
      <w:r w:rsidR="00B2220C" w:rsidRPr="00A73613">
        <w:rPr>
          <w:rFonts w:cs="Times New Roman"/>
          <w:szCs w:val="18"/>
        </w:rPr>
        <w:t>73337</w:t>
      </w:r>
      <w:r w:rsidRPr="00A73613">
        <w:rPr>
          <w:rFonts w:cs="Times New Roman"/>
          <w:szCs w:val="18"/>
        </w:rPr>
        <w:t xml:space="preserve"> in 2015-16</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Table 9 presents the top ten instances of co-claiming with MBS item 73337 in the 2015-16 financial year. The table is split into seven columns, 1) ranking number from 1 to 10, 2) Items, 3) Episodes, 4) Number of services, 5) Schedule Fee for Combination, 6) percentage of total episodes, 7) Cumulative percentage. Rows are split by ranking number, which presents the largest number of episodes as one and the smallest number of episodes as ten."/>
      </w:tblPr>
      <w:tblGrid>
        <w:gridCol w:w="426"/>
        <w:gridCol w:w="3063"/>
        <w:gridCol w:w="770"/>
        <w:gridCol w:w="734"/>
        <w:gridCol w:w="1063"/>
        <w:gridCol w:w="761"/>
        <w:gridCol w:w="810"/>
      </w:tblGrid>
      <w:tr w:rsidR="009E332F" w:rsidRPr="00961397" w14:paraId="29B256FD" w14:textId="77777777" w:rsidTr="00FC1D9A">
        <w:trPr>
          <w:trHeight w:val="516"/>
          <w:tblHeader/>
        </w:trPr>
        <w:tc>
          <w:tcPr>
            <w:tcW w:w="426" w:type="dxa"/>
            <w:shd w:val="clear" w:color="auto" w:fill="008080"/>
          </w:tcPr>
          <w:p w14:paraId="31A7CE92" w14:textId="77777777" w:rsidR="009E332F" w:rsidRPr="002012FC" w:rsidRDefault="009E332F" w:rsidP="00240CC4">
            <w:pPr>
              <w:jc w:val="center"/>
              <w:rPr>
                <w:rStyle w:val="textitem"/>
                <w:b/>
                <w:bCs/>
                <w:color w:val="FFFFFF" w:themeColor="background1"/>
                <w:sz w:val="16"/>
                <w:szCs w:val="16"/>
              </w:rPr>
            </w:pPr>
            <w:r w:rsidRPr="002012FC">
              <w:rPr>
                <w:rStyle w:val="textitem"/>
                <w:b/>
                <w:bCs/>
                <w:color w:val="FFFFFF" w:themeColor="background1"/>
                <w:sz w:val="16"/>
                <w:szCs w:val="16"/>
              </w:rPr>
              <w:t>#</w:t>
            </w:r>
          </w:p>
        </w:tc>
        <w:tc>
          <w:tcPr>
            <w:tcW w:w="3063" w:type="dxa"/>
            <w:shd w:val="clear" w:color="auto" w:fill="008080"/>
            <w:tcMar>
              <w:top w:w="60" w:type="dxa"/>
              <w:left w:w="90" w:type="dxa"/>
              <w:bottom w:w="60" w:type="dxa"/>
              <w:right w:w="75" w:type="dxa"/>
            </w:tcMar>
            <w:hideMark/>
          </w:tcPr>
          <w:p w14:paraId="0DAC7DDA" w14:textId="77777777" w:rsidR="009E332F" w:rsidRPr="002012FC" w:rsidRDefault="009E332F" w:rsidP="00240CC4">
            <w:pPr>
              <w:jc w:val="center"/>
              <w:rPr>
                <w:b/>
                <w:bCs/>
                <w:color w:val="FFFFFF" w:themeColor="background1"/>
                <w:sz w:val="16"/>
                <w:szCs w:val="16"/>
              </w:rPr>
            </w:pPr>
            <w:r w:rsidRPr="002012FC">
              <w:rPr>
                <w:rStyle w:val="textitem"/>
                <w:b/>
                <w:bCs/>
                <w:color w:val="FFFFFF" w:themeColor="background1"/>
                <w:sz w:val="16"/>
                <w:szCs w:val="16"/>
              </w:rPr>
              <w:t>Items</w:t>
            </w:r>
          </w:p>
        </w:tc>
        <w:tc>
          <w:tcPr>
            <w:tcW w:w="770" w:type="dxa"/>
            <w:shd w:val="clear" w:color="auto" w:fill="008080"/>
            <w:tcMar>
              <w:top w:w="60" w:type="dxa"/>
              <w:left w:w="90" w:type="dxa"/>
              <w:bottom w:w="60" w:type="dxa"/>
              <w:right w:w="75" w:type="dxa"/>
            </w:tcMar>
            <w:hideMark/>
          </w:tcPr>
          <w:p w14:paraId="2D64BA43" w14:textId="77777777" w:rsidR="009E332F" w:rsidRPr="002012FC" w:rsidRDefault="009E332F" w:rsidP="00240CC4">
            <w:pPr>
              <w:jc w:val="center"/>
              <w:rPr>
                <w:b/>
                <w:bCs/>
                <w:color w:val="FFFFFF" w:themeColor="background1"/>
                <w:sz w:val="16"/>
                <w:szCs w:val="16"/>
              </w:rPr>
            </w:pPr>
            <w:r w:rsidRPr="002012FC">
              <w:rPr>
                <w:rStyle w:val="textitem"/>
                <w:b/>
                <w:bCs/>
                <w:color w:val="FFFFFF" w:themeColor="background1"/>
                <w:sz w:val="16"/>
                <w:szCs w:val="16"/>
              </w:rPr>
              <w:t>Episodes</w:t>
            </w:r>
          </w:p>
        </w:tc>
        <w:tc>
          <w:tcPr>
            <w:tcW w:w="734" w:type="dxa"/>
            <w:shd w:val="clear" w:color="auto" w:fill="008080"/>
            <w:tcMar>
              <w:top w:w="60" w:type="dxa"/>
              <w:left w:w="90" w:type="dxa"/>
              <w:bottom w:w="60" w:type="dxa"/>
              <w:right w:w="75" w:type="dxa"/>
            </w:tcMar>
            <w:hideMark/>
          </w:tcPr>
          <w:p w14:paraId="0C4A5A4F" w14:textId="56F3FD88" w:rsidR="009E332F" w:rsidRPr="002012FC" w:rsidRDefault="009E332F" w:rsidP="00240CC4">
            <w:pPr>
              <w:jc w:val="center"/>
              <w:rPr>
                <w:b/>
                <w:bCs/>
                <w:color w:val="FFFFFF" w:themeColor="background1"/>
                <w:sz w:val="16"/>
                <w:szCs w:val="16"/>
              </w:rPr>
            </w:pPr>
            <w:r w:rsidRPr="002012FC">
              <w:rPr>
                <w:rStyle w:val="textitem"/>
                <w:b/>
                <w:bCs/>
                <w:color w:val="FFFFFF" w:themeColor="background1"/>
                <w:sz w:val="16"/>
                <w:szCs w:val="16"/>
              </w:rPr>
              <w:t>Number</w:t>
            </w:r>
            <w:r w:rsidR="003C722C">
              <w:rPr>
                <w:rStyle w:val="textitem"/>
                <w:b/>
                <w:bCs/>
                <w:color w:val="FFFFFF" w:themeColor="background1"/>
                <w:sz w:val="16"/>
                <w:szCs w:val="16"/>
              </w:rPr>
              <w:t xml:space="preserve"> of</w:t>
            </w:r>
            <w:r w:rsidRPr="002012FC">
              <w:rPr>
                <w:rStyle w:val="textitem"/>
                <w:b/>
                <w:bCs/>
                <w:color w:val="FFFFFF" w:themeColor="background1"/>
                <w:sz w:val="16"/>
                <w:szCs w:val="16"/>
              </w:rPr>
              <w:t xml:space="preserve"> Services</w:t>
            </w:r>
          </w:p>
        </w:tc>
        <w:tc>
          <w:tcPr>
            <w:tcW w:w="1063" w:type="dxa"/>
            <w:shd w:val="clear" w:color="auto" w:fill="008080"/>
            <w:tcMar>
              <w:top w:w="60" w:type="dxa"/>
              <w:left w:w="90" w:type="dxa"/>
              <w:bottom w:w="60" w:type="dxa"/>
              <w:right w:w="75" w:type="dxa"/>
            </w:tcMar>
            <w:hideMark/>
          </w:tcPr>
          <w:p w14:paraId="1B77447F" w14:textId="77777777" w:rsidR="009E332F" w:rsidRPr="002012FC" w:rsidRDefault="009E332F" w:rsidP="00240CC4">
            <w:pPr>
              <w:jc w:val="center"/>
              <w:rPr>
                <w:b/>
                <w:bCs/>
                <w:color w:val="FFFFFF" w:themeColor="background1"/>
                <w:sz w:val="16"/>
                <w:szCs w:val="16"/>
              </w:rPr>
            </w:pPr>
            <w:r w:rsidRPr="002012FC">
              <w:rPr>
                <w:b/>
                <w:bCs/>
                <w:color w:val="FFFFFF" w:themeColor="background1"/>
                <w:sz w:val="16"/>
                <w:szCs w:val="16"/>
              </w:rPr>
              <w:t>Schedule Fee for Combination</w:t>
            </w:r>
          </w:p>
        </w:tc>
        <w:tc>
          <w:tcPr>
            <w:tcW w:w="761" w:type="dxa"/>
            <w:shd w:val="clear" w:color="auto" w:fill="008080"/>
            <w:tcMar>
              <w:top w:w="60" w:type="dxa"/>
              <w:left w:w="90" w:type="dxa"/>
              <w:bottom w:w="60" w:type="dxa"/>
              <w:right w:w="75" w:type="dxa"/>
            </w:tcMar>
            <w:hideMark/>
          </w:tcPr>
          <w:p w14:paraId="498B6DAA" w14:textId="77777777" w:rsidR="009E332F" w:rsidRPr="002012FC" w:rsidRDefault="009E332F" w:rsidP="00240CC4">
            <w:pPr>
              <w:jc w:val="center"/>
              <w:rPr>
                <w:b/>
                <w:bCs/>
                <w:color w:val="FFFFFF" w:themeColor="background1"/>
                <w:sz w:val="16"/>
                <w:szCs w:val="16"/>
              </w:rPr>
            </w:pPr>
            <w:r w:rsidRPr="002012FC">
              <w:rPr>
                <w:rStyle w:val="textitem"/>
                <w:b/>
                <w:bCs/>
                <w:color w:val="FFFFFF" w:themeColor="background1"/>
                <w:sz w:val="16"/>
                <w:szCs w:val="16"/>
              </w:rPr>
              <w:t>% of total episodes</w:t>
            </w:r>
          </w:p>
        </w:tc>
        <w:tc>
          <w:tcPr>
            <w:tcW w:w="761" w:type="dxa"/>
            <w:shd w:val="clear" w:color="auto" w:fill="008080"/>
          </w:tcPr>
          <w:p w14:paraId="04FAEF13" w14:textId="77777777" w:rsidR="009E332F" w:rsidRPr="002012FC" w:rsidRDefault="009E332F" w:rsidP="00240CC4">
            <w:pPr>
              <w:jc w:val="center"/>
              <w:rPr>
                <w:rStyle w:val="textitem"/>
                <w:b/>
                <w:bCs/>
                <w:color w:val="FFFFFF" w:themeColor="background1"/>
                <w:sz w:val="16"/>
                <w:szCs w:val="16"/>
              </w:rPr>
            </w:pPr>
            <w:r>
              <w:rPr>
                <w:rStyle w:val="textitem"/>
                <w:b/>
                <w:bCs/>
                <w:color w:val="FFFFFF" w:themeColor="background1"/>
                <w:sz w:val="16"/>
                <w:szCs w:val="16"/>
              </w:rPr>
              <w:t>Cumulative %</w:t>
            </w:r>
          </w:p>
        </w:tc>
      </w:tr>
      <w:tr w:rsidR="009E332F" w:rsidRPr="00961397" w14:paraId="66C70F12" w14:textId="77777777" w:rsidTr="00240CC4">
        <w:tc>
          <w:tcPr>
            <w:tcW w:w="426" w:type="dxa"/>
          </w:tcPr>
          <w:p w14:paraId="39BFEC65" w14:textId="77777777" w:rsidR="009E332F" w:rsidRPr="00361EAD" w:rsidRDefault="009E332F" w:rsidP="00240CC4">
            <w:pPr>
              <w:jc w:val="center"/>
              <w:rPr>
                <w:rFonts w:ascii="Arial" w:hAnsi="Arial" w:cs="Arial"/>
                <w:b/>
                <w:bCs/>
                <w:color w:val="000000"/>
                <w:sz w:val="18"/>
                <w:szCs w:val="18"/>
              </w:rPr>
            </w:pPr>
            <w:r w:rsidRPr="00361EAD">
              <w:rPr>
                <w:rFonts w:ascii="Arial" w:hAnsi="Arial" w:cs="Arial"/>
                <w:b/>
                <w:bCs/>
                <w:color w:val="000000"/>
                <w:sz w:val="18"/>
                <w:szCs w:val="18"/>
              </w:rPr>
              <w:t>1</w:t>
            </w:r>
          </w:p>
        </w:tc>
        <w:tc>
          <w:tcPr>
            <w:tcW w:w="3063" w:type="dxa"/>
            <w:tcMar>
              <w:top w:w="60" w:type="dxa"/>
              <w:left w:w="75" w:type="dxa"/>
              <w:bottom w:w="60" w:type="dxa"/>
              <w:right w:w="75" w:type="dxa"/>
            </w:tcMar>
            <w:vAlign w:val="bottom"/>
            <w:hideMark/>
          </w:tcPr>
          <w:p w14:paraId="12DCB948" w14:textId="77777777" w:rsidR="009E332F" w:rsidRPr="00361EAD" w:rsidRDefault="009E332F" w:rsidP="00240CC4">
            <w:pPr>
              <w:rPr>
                <w:rFonts w:ascii="Arial" w:hAnsi="Arial" w:cs="Arial"/>
                <w:b/>
                <w:color w:val="000000"/>
                <w:sz w:val="18"/>
                <w:szCs w:val="18"/>
              </w:rPr>
            </w:pPr>
            <w:r w:rsidRPr="00361EAD">
              <w:rPr>
                <w:rFonts w:ascii="Arial" w:hAnsi="Arial" w:cs="Arial"/>
                <w:b/>
                <w:color w:val="000000"/>
                <w:sz w:val="18"/>
                <w:szCs w:val="18"/>
              </w:rPr>
              <w:t xml:space="preserve">73337, </w:t>
            </w:r>
            <w:r w:rsidRPr="00FC1D9A">
              <w:rPr>
                <w:rFonts w:ascii="Arial" w:hAnsi="Arial" w:cs="Arial"/>
                <w:color w:val="000000"/>
                <w:sz w:val="18"/>
                <w:szCs w:val="18"/>
              </w:rPr>
              <w:t>72846, 73940.</w:t>
            </w:r>
          </w:p>
        </w:tc>
        <w:tc>
          <w:tcPr>
            <w:tcW w:w="770" w:type="dxa"/>
            <w:tcMar>
              <w:top w:w="60" w:type="dxa"/>
              <w:left w:w="75" w:type="dxa"/>
              <w:bottom w:w="60" w:type="dxa"/>
              <w:right w:w="75" w:type="dxa"/>
            </w:tcMar>
            <w:vAlign w:val="bottom"/>
            <w:hideMark/>
          </w:tcPr>
          <w:p w14:paraId="38BCC9C9"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497 </w:t>
            </w:r>
          </w:p>
        </w:tc>
        <w:tc>
          <w:tcPr>
            <w:tcW w:w="734" w:type="dxa"/>
            <w:tcMar>
              <w:top w:w="60" w:type="dxa"/>
              <w:left w:w="75" w:type="dxa"/>
              <w:bottom w:w="60" w:type="dxa"/>
              <w:right w:w="75" w:type="dxa"/>
            </w:tcMar>
            <w:vAlign w:val="bottom"/>
            <w:hideMark/>
          </w:tcPr>
          <w:p w14:paraId="3D95FA90"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1,501 </w:t>
            </w:r>
          </w:p>
        </w:tc>
        <w:tc>
          <w:tcPr>
            <w:tcW w:w="1063" w:type="dxa"/>
            <w:tcMar>
              <w:top w:w="60" w:type="dxa"/>
              <w:left w:w="75" w:type="dxa"/>
              <w:bottom w:w="60" w:type="dxa"/>
              <w:right w:w="75" w:type="dxa"/>
            </w:tcMar>
            <w:vAlign w:val="bottom"/>
            <w:hideMark/>
          </w:tcPr>
          <w:p w14:paraId="3DBA3849"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$233,462 </w:t>
            </w:r>
          </w:p>
        </w:tc>
        <w:tc>
          <w:tcPr>
            <w:tcW w:w="761" w:type="dxa"/>
            <w:tcMar>
              <w:top w:w="60" w:type="dxa"/>
              <w:left w:w="75" w:type="dxa"/>
              <w:bottom w:w="60" w:type="dxa"/>
              <w:right w:w="75" w:type="dxa"/>
            </w:tcMar>
            <w:vAlign w:val="bottom"/>
            <w:hideMark/>
          </w:tcPr>
          <w:p w14:paraId="2C0E176C"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15% </w:t>
            </w:r>
          </w:p>
        </w:tc>
        <w:tc>
          <w:tcPr>
            <w:tcW w:w="761" w:type="dxa"/>
          </w:tcPr>
          <w:p w14:paraId="33A547FA"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15%</w:t>
            </w:r>
          </w:p>
        </w:tc>
      </w:tr>
      <w:tr w:rsidR="009E332F" w:rsidRPr="00961397" w14:paraId="5F10A078" w14:textId="77777777" w:rsidTr="00240CC4">
        <w:tc>
          <w:tcPr>
            <w:tcW w:w="426" w:type="dxa"/>
          </w:tcPr>
          <w:p w14:paraId="7D9A09CA" w14:textId="77777777" w:rsidR="009E332F" w:rsidRPr="00361EAD" w:rsidRDefault="009E332F" w:rsidP="00240CC4">
            <w:pPr>
              <w:jc w:val="center"/>
              <w:rPr>
                <w:rFonts w:ascii="Arial" w:hAnsi="Arial" w:cs="Arial"/>
                <w:b/>
                <w:bCs/>
                <w:color w:val="000000"/>
                <w:sz w:val="18"/>
                <w:szCs w:val="18"/>
              </w:rPr>
            </w:pPr>
            <w:r w:rsidRPr="00361EAD">
              <w:rPr>
                <w:rFonts w:ascii="Arial" w:hAnsi="Arial" w:cs="Arial"/>
                <w:b/>
                <w:bCs/>
                <w:color w:val="000000"/>
                <w:sz w:val="18"/>
                <w:szCs w:val="18"/>
              </w:rPr>
              <w:t>2</w:t>
            </w:r>
          </w:p>
        </w:tc>
        <w:tc>
          <w:tcPr>
            <w:tcW w:w="3063" w:type="dxa"/>
            <w:tcMar>
              <w:top w:w="60" w:type="dxa"/>
              <w:left w:w="75" w:type="dxa"/>
              <w:bottom w:w="60" w:type="dxa"/>
              <w:right w:w="75" w:type="dxa"/>
            </w:tcMar>
            <w:vAlign w:val="bottom"/>
            <w:hideMark/>
          </w:tcPr>
          <w:p w14:paraId="19768BF0" w14:textId="77777777" w:rsidR="009E332F" w:rsidRPr="00361EAD" w:rsidRDefault="009E332F" w:rsidP="00240CC4">
            <w:pPr>
              <w:rPr>
                <w:rFonts w:ascii="Arial" w:hAnsi="Arial" w:cs="Arial"/>
                <w:b/>
                <w:color w:val="000000"/>
                <w:sz w:val="18"/>
                <w:szCs w:val="18"/>
              </w:rPr>
            </w:pPr>
            <w:r w:rsidRPr="00361EAD">
              <w:rPr>
                <w:rFonts w:ascii="Arial" w:hAnsi="Arial" w:cs="Arial"/>
                <w:b/>
                <w:color w:val="000000"/>
                <w:sz w:val="18"/>
                <w:szCs w:val="18"/>
              </w:rPr>
              <w:t xml:space="preserve">73337, </w:t>
            </w:r>
            <w:r w:rsidRPr="00FC1D9A">
              <w:rPr>
                <w:rFonts w:ascii="Arial" w:hAnsi="Arial" w:cs="Arial"/>
                <w:color w:val="000000"/>
                <w:sz w:val="18"/>
                <w:szCs w:val="18"/>
              </w:rPr>
              <w:t>73940.</w:t>
            </w:r>
          </w:p>
        </w:tc>
        <w:tc>
          <w:tcPr>
            <w:tcW w:w="770" w:type="dxa"/>
            <w:tcMar>
              <w:top w:w="60" w:type="dxa"/>
              <w:left w:w="75" w:type="dxa"/>
              <w:bottom w:w="60" w:type="dxa"/>
              <w:right w:w="75" w:type="dxa"/>
            </w:tcMar>
            <w:vAlign w:val="bottom"/>
            <w:hideMark/>
          </w:tcPr>
          <w:p w14:paraId="73E32BE9"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319 </w:t>
            </w:r>
          </w:p>
        </w:tc>
        <w:tc>
          <w:tcPr>
            <w:tcW w:w="734" w:type="dxa"/>
            <w:tcMar>
              <w:top w:w="60" w:type="dxa"/>
              <w:left w:w="75" w:type="dxa"/>
              <w:bottom w:w="60" w:type="dxa"/>
              <w:right w:w="75" w:type="dxa"/>
            </w:tcMar>
            <w:vAlign w:val="bottom"/>
            <w:hideMark/>
          </w:tcPr>
          <w:p w14:paraId="6D186C8C"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638 </w:t>
            </w:r>
          </w:p>
        </w:tc>
        <w:tc>
          <w:tcPr>
            <w:tcW w:w="1063" w:type="dxa"/>
            <w:tcMar>
              <w:top w:w="60" w:type="dxa"/>
              <w:left w:w="75" w:type="dxa"/>
              <w:bottom w:w="60" w:type="dxa"/>
              <w:right w:w="75" w:type="dxa"/>
            </w:tcMar>
            <w:vAlign w:val="bottom"/>
            <w:hideMark/>
          </w:tcPr>
          <w:p w14:paraId="5D092E12"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$130,024 </w:t>
            </w:r>
          </w:p>
        </w:tc>
        <w:tc>
          <w:tcPr>
            <w:tcW w:w="761" w:type="dxa"/>
            <w:tcMar>
              <w:top w:w="60" w:type="dxa"/>
              <w:left w:w="75" w:type="dxa"/>
              <w:bottom w:w="60" w:type="dxa"/>
              <w:right w:w="75" w:type="dxa"/>
            </w:tcMar>
            <w:vAlign w:val="bottom"/>
            <w:hideMark/>
          </w:tcPr>
          <w:p w14:paraId="44394214"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10% </w:t>
            </w:r>
          </w:p>
        </w:tc>
        <w:tc>
          <w:tcPr>
            <w:tcW w:w="761" w:type="dxa"/>
          </w:tcPr>
          <w:p w14:paraId="63A8D56D"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25%</w:t>
            </w:r>
          </w:p>
        </w:tc>
      </w:tr>
      <w:tr w:rsidR="009E332F" w:rsidRPr="00961397" w14:paraId="55EC3399" w14:textId="77777777" w:rsidTr="00240CC4">
        <w:tc>
          <w:tcPr>
            <w:tcW w:w="426" w:type="dxa"/>
          </w:tcPr>
          <w:p w14:paraId="1BE90EB0" w14:textId="77777777" w:rsidR="009E332F" w:rsidRPr="00361EAD" w:rsidRDefault="009E332F" w:rsidP="00240CC4">
            <w:pPr>
              <w:jc w:val="center"/>
              <w:rPr>
                <w:rFonts w:ascii="Arial" w:hAnsi="Arial" w:cs="Arial"/>
                <w:b/>
                <w:bCs/>
                <w:color w:val="000000"/>
                <w:sz w:val="18"/>
                <w:szCs w:val="18"/>
              </w:rPr>
            </w:pPr>
            <w:r w:rsidRPr="00361EAD">
              <w:rPr>
                <w:rFonts w:ascii="Arial" w:hAnsi="Arial" w:cs="Arial"/>
                <w:b/>
                <w:bCs/>
                <w:color w:val="000000"/>
                <w:sz w:val="18"/>
                <w:szCs w:val="18"/>
              </w:rPr>
              <w:t>3</w:t>
            </w:r>
          </w:p>
        </w:tc>
        <w:tc>
          <w:tcPr>
            <w:tcW w:w="3063" w:type="dxa"/>
            <w:tcMar>
              <w:top w:w="60" w:type="dxa"/>
              <w:left w:w="75" w:type="dxa"/>
              <w:bottom w:w="60" w:type="dxa"/>
              <w:right w:w="75" w:type="dxa"/>
            </w:tcMar>
            <w:vAlign w:val="bottom"/>
            <w:hideMark/>
          </w:tcPr>
          <w:p w14:paraId="56E5296A" w14:textId="77777777" w:rsidR="009E332F" w:rsidRPr="00361EAD" w:rsidRDefault="009E332F" w:rsidP="00240CC4">
            <w:pPr>
              <w:rPr>
                <w:rFonts w:ascii="Arial" w:hAnsi="Arial" w:cs="Arial"/>
                <w:b/>
                <w:color w:val="000000"/>
                <w:sz w:val="18"/>
                <w:szCs w:val="18"/>
              </w:rPr>
            </w:pPr>
            <w:r w:rsidRPr="00361EAD">
              <w:rPr>
                <w:rFonts w:ascii="Arial" w:hAnsi="Arial" w:cs="Arial"/>
                <w:b/>
                <w:color w:val="000000"/>
                <w:sz w:val="18"/>
                <w:szCs w:val="18"/>
              </w:rPr>
              <w:t>73337</w:t>
            </w:r>
            <w:r w:rsidRPr="00FC1D9A">
              <w:rPr>
                <w:rFonts w:ascii="Arial" w:hAnsi="Arial" w:cs="Arial"/>
                <w:color w:val="000000"/>
                <w:sz w:val="18"/>
                <w:szCs w:val="18"/>
              </w:rPr>
              <w:t>, 73939.</w:t>
            </w:r>
          </w:p>
        </w:tc>
        <w:tc>
          <w:tcPr>
            <w:tcW w:w="770" w:type="dxa"/>
            <w:tcMar>
              <w:top w:w="60" w:type="dxa"/>
              <w:left w:w="75" w:type="dxa"/>
              <w:bottom w:w="60" w:type="dxa"/>
              <w:right w:w="75" w:type="dxa"/>
            </w:tcMar>
            <w:vAlign w:val="bottom"/>
            <w:hideMark/>
          </w:tcPr>
          <w:p w14:paraId="3072992E"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256 </w:t>
            </w:r>
          </w:p>
        </w:tc>
        <w:tc>
          <w:tcPr>
            <w:tcW w:w="734" w:type="dxa"/>
            <w:tcMar>
              <w:top w:w="60" w:type="dxa"/>
              <w:left w:w="75" w:type="dxa"/>
              <w:bottom w:w="60" w:type="dxa"/>
              <w:right w:w="75" w:type="dxa"/>
            </w:tcMar>
            <w:vAlign w:val="bottom"/>
            <w:hideMark/>
          </w:tcPr>
          <w:p w14:paraId="376B531A"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513 </w:t>
            </w:r>
          </w:p>
        </w:tc>
        <w:tc>
          <w:tcPr>
            <w:tcW w:w="1063" w:type="dxa"/>
            <w:tcMar>
              <w:top w:w="60" w:type="dxa"/>
              <w:left w:w="75" w:type="dxa"/>
              <w:bottom w:w="60" w:type="dxa"/>
              <w:right w:w="75" w:type="dxa"/>
            </w:tcMar>
            <w:vAlign w:val="bottom"/>
            <w:hideMark/>
          </w:tcPr>
          <w:p w14:paraId="2B5FDAAC"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$102,733 </w:t>
            </w:r>
          </w:p>
        </w:tc>
        <w:tc>
          <w:tcPr>
            <w:tcW w:w="761" w:type="dxa"/>
            <w:tcMar>
              <w:top w:w="60" w:type="dxa"/>
              <w:left w:w="75" w:type="dxa"/>
              <w:bottom w:w="60" w:type="dxa"/>
              <w:right w:w="75" w:type="dxa"/>
            </w:tcMar>
            <w:vAlign w:val="bottom"/>
            <w:hideMark/>
          </w:tcPr>
          <w:p w14:paraId="1754C43D"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8% </w:t>
            </w:r>
          </w:p>
        </w:tc>
        <w:tc>
          <w:tcPr>
            <w:tcW w:w="761" w:type="dxa"/>
          </w:tcPr>
          <w:p w14:paraId="29F92424"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33%</w:t>
            </w:r>
          </w:p>
        </w:tc>
      </w:tr>
      <w:tr w:rsidR="009E332F" w:rsidRPr="00961397" w14:paraId="5EA4FAB9" w14:textId="77777777" w:rsidTr="00240CC4">
        <w:tc>
          <w:tcPr>
            <w:tcW w:w="426" w:type="dxa"/>
          </w:tcPr>
          <w:p w14:paraId="61844919" w14:textId="77777777" w:rsidR="009E332F" w:rsidRPr="00361EAD" w:rsidRDefault="009E332F" w:rsidP="00240CC4">
            <w:pPr>
              <w:jc w:val="center"/>
              <w:rPr>
                <w:rFonts w:ascii="Arial" w:hAnsi="Arial" w:cs="Arial"/>
                <w:b/>
                <w:bCs/>
                <w:color w:val="000000"/>
                <w:sz w:val="18"/>
                <w:szCs w:val="18"/>
              </w:rPr>
            </w:pPr>
            <w:r w:rsidRPr="00361EAD">
              <w:rPr>
                <w:rFonts w:ascii="Arial" w:hAnsi="Arial" w:cs="Arial"/>
                <w:b/>
                <w:bCs/>
                <w:color w:val="000000"/>
                <w:sz w:val="18"/>
                <w:szCs w:val="18"/>
              </w:rPr>
              <w:t>4</w:t>
            </w:r>
          </w:p>
        </w:tc>
        <w:tc>
          <w:tcPr>
            <w:tcW w:w="3063" w:type="dxa"/>
            <w:tcMar>
              <w:top w:w="60" w:type="dxa"/>
              <w:left w:w="75" w:type="dxa"/>
              <w:bottom w:w="60" w:type="dxa"/>
              <w:right w:w="75" w:type="dxa"/>
            </w:tcMar>
            <w:vAlign w:val="bottom"/>
            <w:hideMark/>
          </w:tcPr>
          <w:p w14:paraId="2AF54017" w14:textId="77777777" w:rsidR="009E332F" w:rsidRPr="00361EAD" w:rsidRDefault="009E332F" w:rsidP="00240CC4">
            <w:pPr>
              <w:rPr>
                <w:rFonts w:ascii="Arial" w:hAnsi="Arial" w:cs="Arial"/>
                <w:b/>
                <w:color w:val="000000"/>
                <w:sz w:val="18"/>
                <w:szCs w:val="18"/>
              </w:rPr>
            </w:pPr>
            <w:r w:rsidRPr="00361EAD">
              <w:rPr>
                <w:rFonts w:ascii="Arial" w:hAnsi="Arial" w:cs="Arial"/>
                <w:b/>
                <w:color w:val="000000"/>
                <w:sz w:val="18"/>
                <w:szCs w:val="18"/>
              </w:rPr>
              <w:t>73337</w:t>
            </w:r>
          </w:p>
        </w:tc>
        <w:tc>
          <w:tcPr>
            <w:tcW w:w="770" w:type="dxa"/>
            <w:tcMar>
              <w:top w:w="60" w:type="dxa"/>
              <w:left w:w="75" w:type="dxa"/>
              <w:bottom w:w="60" w:type="dxa"/>
              <w:right w:w="75" w:type="dxa"/>
            </w:tcMar>
            <w:vAlign w:val="bottom"/>
            <w:hideMark/>
          </w:tcPr>
          <w:p w14:paraId="1DA87D70"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222 </w:t>
            </w:r>
          </w:p>
        </w:tc>
        <w:tc>
          <w:tcPr>
            <w:tcW w:w="734" w:type="dxa"/>
            <w:tcMar>
              <w:top w:w="60" w:type="dxa"/>
              <w:left w:w="75" w:type="dxa"/>
              <w:bottom w:w="60" w:type="dxa"/>
              <w:right w:w="75" w:type="dxa"/>
            </w:tcMar>
            <w:vAlign w:val="bottom"/>
            <w:hideMark/>
          </w:tcPr>
          <w:p w14:paraId="63E0E550"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222 </w:t>
            </w:r>
          </w:p>
        </w:tc>
        <w:tc>
          <w:tcPr>
            <w:tcW w:w="1063" w:type="dxa"/>
            <w:tcMar>
              <w:top w:w="60" w:type="dxa"/>
              <w:left w:w="75" w:type="dxa"/>
              <w:bottom w:w="60" w:type="dxa"/>
              <w:right w:w="75" w:type="dxa"/>
            </w:tcMar>
            <w:vAlign w:val="bottom"/>
            <w:hideMark/>
          </w:tcPr>
          <w:p w14:paraId="45CA0DAC"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$88,212 </w:t>
            </w:r>
          </w:p>
        </w:tc>
        <w:tc>
          <w:tcPr>
            <w:tcW w:w="761" w:type="dxa"/>
            <w:tcMar>
              <w:top w:w="60" w:type="dxa"/>
              <w:left w:w="75" w:type="dxa"/>
              <w:bottom w:w="60" w:type="dxa"/>
              <w:right w:w="75" w:type="dxa"/>
            </w:tcMar>
            <w:vAlign w:val="bottom"/>
            <w:hideMark/>
          </w:tcPr>
          <w:p w14:paraId="737B50A1"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7% </w:t>
            </w:r>
          </w:p>
        </w:tc>
        <w:tc>
          <w:tcPr>
            <w:tcW w:w="761" w:type="dxa"/>
          </w:tcPr>
          <w:p w14:paraId="5CD125D3"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40%</w:t>
            </w:r>
          </w:p>
        </w:tc>
      </w:tr>
      <w:tr w:rsidR="009E332F" w:rsidRPr="00961397" w14:paraId="21B50EF7" w14:textId="77777777" w:rsidTr="00240CC4">
        <w:tc>
          <w:tcPr>
            <w:tcW w:w="426" w:type="dxa"/>
          </w:tcPr>
          <w:p w14:paraId="7A337AB2" w14:textId="77777777" w:rsidR="009E332F" w:rsidRPr="00361EAD" w:rsidRDefault="009E332F" w:rsidP="00240CC4">
            <w:pPr>
              <w:jc w:val="center"/>
              <w:rPr>
                <w:rFonts w:ascii="Arial" w:hAnsi="Arial" w:cs="Arial"/>
                <w:b/>
                <w:bCs/>
                <w:color w:val="000000"/>
                <w:sz w:val="18"/>
                <w:szCs w:val="18"/>
              </w:rPr>
            </w:pPr>
            <w:r w:rsidRPr="00361EAD">
              <w:rPr>
                <w:rFonts w:ascii="Arial" w:hAnsi="Arial" w:cs="Arial"/>
                <w:b/>
                <w:bCs/>
                <w:color w:val="000000"/>
                <w:sz w:val="18"/>
                <w:szCs w:val="18"/>
              </w:rPr>
              <w:t>5</w:t>
            </w:r>
          </w:p>
        </w:tc>
        <w:tc>
          <w:tcPr>
            <w:tcW w:w="3063" w:type="dxa"/>
            <w:tcMar>
              <w:top w:w="60" w:type="dxa"/>
              <w:left w:w="75" w:type="dxa"/>
              <w:bottom w:w="60" w:type="dxa"/>
              <w:right w:w="75" w:type="dxa"/>
            </w:tcMar>
            <w:vAlign w:val="bottom"/>
            <w:hideMark/>
          </w:tcPr>
          <w:p w14:paraId="23F709A8" w14:textId="77777777" w:rsidR="009E332F" w:rsidRPr="00361EAD" w:rsidRDefault="009E332F" w:rsidP="00240CC4">
            <w:pPr>
              <w:rPr>
                <w:rFonts w:ascii="Arial" w:hAnsi="Arial" w:cs="Arial"/>
                <w:b/>
                <w:color w:val="000000"/>
                <w:sz w:val="18"/>
                <w:szCs w:val="18"/>
              </w:rPr>
            </w:pPr>
            <w:r w:rsidRPr="00361EAD">
              <w:rPr>
                <w:rFonts w:ascii="Arial" w:hAnsi="Arial" w:cs="Arial"/>
                <w:b/>
                <w:color w:val="000000"/>
                <w:sz w:val="18"/>
                <w:szCs w:val="18"/>
              </w:rPr>
              <w:t xml:space="preserve">73337, </w:t>
            </w:r>
            <w:r w:rsidRPr="00FC1D9A">
              <w:rPr>
                <w:rFonts w:ascii="Arial" w:hAnsi="Arial" w:cs="Arial"/>
                <w:color w:val="000000"/>
                <w:sz w:val="18"/>
                <w:szCs w:val="18"/>
              </w:rPr>
              <w:t>73938.</w:t>
            </w:r>
          </w:p>
        </w:tc>
        <w:tc>
          <w:tcPr>
            <w:tcW w:w="770" w:type="dxa"/>
            <w:tcMar>
              <w:top w:w="60" w:type="dxa"/>
              <w:left w:w="75" w:type="dxa"/>
              <w:bottom w:w="60" w:type="dxa"/>
              <w:right w:w="75" w:type="dxa"/>
            </w:tcMar>
            <w:vAlign w:val="bottom"/>
            <w:hideMark/>
          </w:tcPr>
          <w:p w14:paraId="573A49C5"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182 </w:t>
            </w:r>
          </w:p>
        </w:tc>
        <w:tc>
          <w:tcPr>
            <w:tcW w:w="734" w:type="dxa"/>
            <w:tcMar>
              <w:top w:w="60" w:type="dxa"/>
              <w:left w:w="75" w:type="dxa"/>
              <w:bottom w:w="60" w:type="dxa"/>
              <w:right w:w="75" w:type="dxa"/>
            </w:tcMar>
            <w:vAlign w:val="bottom"/>
            <w:hideMark/>
          </w:tcPr>
          <w:p w14:paraId="722CFF4D"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364 </w:t>
            </w:r>
          </w:p>
        </w:tc>
        <w:tc>
          <w:tcPr>
            <w:tcW w:w="1063" w:type="dxa"/>
            <w:tcMar>
              <w:top w:w="60" w:type="dxa"/>
              <w:left w:w="75" w:type="dxa"/>
              <w:bottom w:w="60" w:type="dxa"/>
              <w:right w:w="75" w:type="dxa"/>
            </w:tcMar>
            <w:vAlign w:val="bottom"/>
            <w:hideMark/>
          </w:tcPr>
          <w:p w14:paraId="434B2D06"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$73,765 </w:t>
            </w:r>
          </w:p>
        </w:tc>
        <w:tc>
          <w:tcPr>
            <w:tcW w:w="761" w:type="dxa"/>
            <w:tcMar>
              <w:top w:w="60" w:type="dxa"/>
              <w:left w:w="75" w:type="dxa"/>
              <w:bottom w:w="60" w:type="dxa"/>
              <w:right w:w="75" w:type="dxa"/>
            </w:tcMar>
            <w:vAlign w:val="bottom"/>
            <w:hideMark/>
          </w:tcPr>
          <w:p w14:paraId="360B295B"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6% </w:t>
            </w:r>
          </w:p>
        </w:tc>
        <w:tc>
          <w:tcPr>
            <w:tcW w:w="761" w:type="dxa"/>
          </w:tcPr>
          <w:p w14:paraId="653E4A4B"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46%</w:t>
            </w:r>
          </w:p>
        </w:tc>
      </w:tr>
      <w:tr w:rsidR="009E332F" w:rsidRPr="00961397" w14:paraId="62EE686D" w14:textId="77777777" w:rsidTr="00240CC4">
        <w:tc>
          <w:tcPr>
            <w:tcW w:w="426" w:type="dxa"/>
          </w:tcPr>
          <w:p w14:paraId="3A0BECE7" w14:textId="77777777" w:rsidR="009E332F" w:rsidRPr="00361EAD" w:rsidRDefault="009E332F" w:rsidP="00240CC4">
            <w:pPr>
              <w:jc w:val="center"/>
              <w:rPr>
                <w:rFonts w:ascii="Arial" w:hAnsi="Arial" w:cs="Arial"/>
                <w:b/>
                <w:bCs/>
                <w:color w:val="000000"/>
                <w:sz w:val="18"/>
                <w:szCs w:val="18"/>
              </w:rPr>
            </w:pPr>
            <w:r w:rsidRPr="00361EAD">
              <w:rPr>
                <w:rFonts w:ascii="Arial" w:hAnsi="Arial" w:cs="Arial"/>
                <w:b/>
                <w:bCs/>
                <w:color w:val="000000"/>
                <w:sz w:val="18"/>
                <w:szCs w:val="18"/>
              </w:rPr>
              <w:t>6</w:t>
            </w:r>
          </w:p>
        </w:tc>
        <w:tc>
          <w:tcPr>
            <w:tcW w:w="3063" w:type="dxa"/>
            <w:tcMar>
              <w:top w:w="60" w:type="dxa"/>
              <w:left w:w="75" w:type="dxa"/>
              <w:bottom w:w="60" w:type="dxa"/>
              <w:right w:w="75" w:type="dxa"/>
            </w:tcMar>
            <w:vAlign w:val="bottom"/>
            <w:hideMark/>
          </w:tcPr>
          <w:p w14:paraId="768C2538" w14:textId="77777777" w:rsidR="009E332F" w:rsidRPr="00361EAD" w:rsidRDefault="009E332F" w:rsidP="00240CC4">
            <w:pPr>
              <w:rPr>
                <w:rFonts w:ascii="Arial" w:hAnsi="Arial" w:cs="Arial"/>
                <w:b/>
                <w:color w:val="000000"/>
                <w:sz w:val="18"/>
                <w:szCs w:val="18"/>
              </w:rPr>
            </w:pPr>
            <w:r w:rsidRPr="00361EAD">
              <w:rPr>
                <w:rFonts w:ascii="Arial" w:hAnsi="Arial" w:cs="Arial"/>
                <w:b/>
                <w:color w:val="000000"/>
                <w:sz w:val="18"/>
                <w:szCs w:val="18"/>
              </w:rPr>
              <w:t>73337</w:t>
            </w:r>
            <w:r w:rsidRPr="00FC1D9A">
              <w:rPr>
                <w:rFonts w:ascii="Arial" w:hAnsi="Arial" w:cs="Arial"/>
                <w:color w:val="000000"/>
                <w:sz w:val="18"/>
                <w:szCs w:val="18"/>
              </w:rPr>
              <w:t>, 72846.</w:t>
            </w:r>
          </w:p>
        </w:tc>
        <w:tc>
          <w:tcPr>
            <w:tcW w:w="770" w:type="dxa"/>
            <w:tcMar>
              <w:top w:w="60" w:type="dxa"/>
              <w:left w:w="75" w:type="dxa"/>
              <w:bottom w:w="60" w:type="dxa"/>
              <w:right w:w="75" w:type="dxa"/>
            </w:tcMar>
            <w:vAlign w:val="bottom"/>
            <w:hideMark/>
          </w:tcPr>
          <w:p w14:paraId="797CC43C"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148 </w:t>
            </w:r>
          </w:p>
        </w:tc>
        <w:tc>
          <w:tcPr>
            <w:tcW w:w="734" w:type="dxa"/>
            <w:tcMar>
              <w:top w:w="60" w:type="dxa"/>
              <w:left w:w="75" w:type="dxa"/>
              <w:bottom w:w="60" w:type="dxa"/>
              <w:right w:w="75" w:type="dxa"/>
            </w:tcMar>
            <w:vAlign w:val="bottom"/>
            <w:hideMark/>
          </w:tcPr>
          <w:p w14:paraId="42812B68"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296 </w:t>
            </w:r>
          </w:p>
        </w:tc>
        <w:tc>
          <w:tcPr>
            <w:tcW w:w="1063" w:type="dxa"/>
            <w:tcMar>
              <w:top w:w="60" w:type="dxa"/>
              <w:left w:w="75" w:type="dxa"/>
              <w:bottom w:w="60" w:type="dxa"/>
              <w:right w:w="75" w:type="dxa"/>
            </w:tcMar>
            <w:vAlign w:val="bottom"/>
            <w:hideMark/>
          </w:tcPr>
          <w:p w14:paraId="706B0720"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$67,629 </w:t>
            </w:r>
          </w:p>
        </w:tc>
        <w:tc>
          <w:tcPr>
            <w:tcW w:w="761" w:type="dxa"/>
            <w:tcMar>
              <w:top w:w="60" w:type="dxa"/>
              <w:left w:w="75" w:type="dxa"/>
              <w:bottom w:w="60" w:type="dxa"/>
              <w:right w:w="75" w:type="dxa"/>
            </w:tcMar>
            <w:vAlign w:val="bottom"/>
            <w:hideMark/>
          </w:tcPr>
          <w:p w14:paraId="54FD485D"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5% </w:t>
            </w:r>
          </w:p>
        </w:tc>
        <w:tc>
          <w:tcPr>
            <w:tcW w:w="761" w:type="dxa"/>
          </w:tcPr>
          <w:p w14:paraId="13CE0DA6"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51%</w:t>
            </w:r>
          </w:p>
        </w:tc>
      </w:tr>
      <w:tr w:rsidR="009E332F" w:rsidRPr="00961397" w14:paraId="3E21099B" w14:textId="77777777" w:rsidTr="00240CC4">
        <w:tc>
          <w:tcPr>
            <w:tcW w:w="426" w:type="dxa"/>
          </w:tcPr>
          <w:p w14:paraId="6F29169B" w14:textId="77777777" w:rsidR="009E332F" w:rsidRPr="00361EAD" w:rsidRDefault="009E332F" w:rsidP="00240CC4">
            <w:pPr>
              <w:jc w:val="center"/>
              <w:rPr>
                <w:rFonts w:ascii="Arial" w:hAnsi="Arial" w:cs="Arial"/>
                <w:b/>
                <w:bCs/>
                <w:color w:val="000000"/>
                <w:sz w:val="18"/>
                <w:szCs w:val="18"/>
              </w:rPr>
            </w:pPr>
            <w:r w:rsidRPr="00361EAD">
              <w:rPr>
                <w:rFonts w:ascii="Arial" w:hAnsi="Arial" w:cs="Arial"/>
                <w:b/>
                <w:bCs/>
                <w:color w:val="000000"/>
                <w:sz w:val="18"/>
                <w:szCs w:val="18"/>
              </w:rPr>
              <w:t>7</w:t>
            </w:r>
          </w:p>
        </w:tc>
        <w:tc>
          <w:tcPr>
            <w:tcW w:w="3063" w:type="dxa"/>
            <w:tcMar>
              <w:top w:w="60" w:type="dxa"/>
              <w:left w:w="75" w:type="dxa"/>
              <w:bottom w:w="60" w:type="dxa"/>
              <w:right w:w="75" w:type="dxa"/>
            </w:tcMar>
            <w:vAlign w:val="bottom"/>
            <w:hideMark/>
          </w:tcPr>
          <w:p w14:paraId="16551F90" w14:textId="77777777" w:rsidR="009E332F" w:rsidRPr="00361EAD" w:rsidRDefault="009E332F" w:rsidP="00240CC4">
            <w:pPr>
              <w:rPr>
                <w:rFonts w:ascii="Arial" w:hAnsi="Arial" w:cs="Arial"/>
                <w:b/>
                <w:color w:val="000000"/>
                <w:sz w:val="18"/>
                <w:szCs w:val="18"/>
              </w:rPr>
            </w:pPr>
            <w:r w:rsidRPr="00361EAD">
              <w:rPr>
                <w:rFonts w:ascii="Arial" w:hAnsi="Arial" w:cs="Arial"/>
                <w:b/>
                <w:color w:val="000000"/>
                <w:sz w:val="18"/>
                <w:szCs w:val="18"/>
              </w:rPr>
              <w:t>73337</w:t>
            </w:r>
            <w:r w:rsidRPr="00FC1D9A">
              <w:rPr>
                <w:rFonts w:ascii="Arial" w:hAnsi="Arial" w:cs="Arial"/>
                <w:color w:val="000000"/>
                <w:sz w:val="18"/>
                <w:szCs w:val="18"/>
              </w:rPr>
              <w:t>, 72846, 73939.</w:t>
            </w:r>
          </w:p>
        </w:tc>
        <w:tc>
          <w:tcPr>
            <w:tcW w:w="770" w:type="dxa"/>
            <w:tcMar>
              <w:top w:w="60" w:type="dxa"/>
              <w:left w:w="75" w:type="dxa"/>
              <w:bottom w:w="60" w:type="dxa"/>
              <w:right w:w="75" w:type="dxa"/>
            </w:tcMar>
            <w:vAlign w:val="bottom"/>
            <w:hideMark/>
          </w:tcPr>
          <w:p w14:paraId="5AA89653"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118 </w:t>
            </w:r>
          </w:p>
        </w:tc>
        <w:tc>
          <w:tcPr>
            <w:tcW w:w="734" w:type="dxa"/>
            <w:tcMar>
              <w:top w:w="60" w:type="dxa"/>
              <w:left w:w="75" w:type="dxa"/>
              <w:bottom w:w="60" w:type="dxa"/>
              <w:right w:w="75" w:type="dxa"/>
            </w:tcMar>
            <w:vAlign w:val="bottom"/>
            <w:hideMark/>
          </w:tcPr>
          <w:p w14:paraId="109BE524"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354 </w:t>
            </w:r>
          </w:p>
        </w:tc>
        <w:tc>
          <w:tcPr>
            <w:tcW w:w="1063" w:type="dxa"/>
            <w:tcMar>
              <w:top w:w="60" w:type="dxa"/>
              <w:left w:w="75" w:type="dxa"/>
              <w:bottom w:w="60" w:type="dxa"/>
              <w:right w:w="75" w:type="dxa"/>
            </w:tcMar>
            <w:vAlign w:val="bottom"/>
            <w:hideMark/>
          </w:tcPr>
          <w:p w14:paraId="47B25AA3"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$54,203 </w:t>
            </w:r>
          </w:p>
        </w:tc>
        <w:tc>
          <w:tcPr>
            <w:tcW w:w="761" w:type="dxa"/>
            <w:tcMar>
              <w:top w:w="60" w:type="dxa"/>
              <w:left w:w="75" w:type="dxa"/>
              <w:bottom w:w="60" w:type="dxa"/>
              <w:right w:w="75" w:type="dxa"/>
            </w:tcMar>
            <w:vAlign w:val="bottom"/>
            <w:hideMark/>
          </w:tcPr>
          <w:p w14:paraId="204C00C6"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4% </w:t>
            </w:r>
          </w:p>
        </w:tc>
        <w:tc>
          <w:tcPr>
            <w:tcW w:w="761" w:type="dxa"/>
          </w:tcPr>
          <w:p w14:paraId="1EC67271"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55%</w:t>
            </w:r>
          </w:p>
        </w:tc>
      </w:tr>
      <w:tr w:rsidR="009E332F" w:rsidRPr="00961397" w14:paraId="612D8B49" w14:textId="77777777" w:rsidTr="00240CC4">
        <w:tc>
          <w:tcPr>
            <w:tcW w:w="426" w:type="dxa"/>
          </w:tcPr>
          <w:p w14:paraId="147A4DC3" w14:textId="77777777" w:rsidR="009E332F" w:rsidRPr="00361EAD" w:rsidRDefault="009E332F" w:rsidP="00240CC4">
            <w:pPr>
              <w:jc w:val="center"/>
              <w:rPr>
                <w:rFonts w:ascii="Arial" w:hAnsi="Arial" w:cs="Arial"/>
                <w:b/>
                <w:bCs/>
                <w:color w:val="000000"/>
                <w:sz w:val="18"/>
                <w:szCs w:val="18"/>
              </w:rPr>
            </w:pPr>
            <w:r w:rsidRPr="00361EAD">
              <w:rPr>
                <w:rFonts w:ascii="Arial" w:hAnsi="Arial" w:cs="Arial"/>
                <w:b/>
                <w:bCs/>
                <w:color w:val="000000"/>
                <w:sz w:val="18"/>
                <w:szCs w:val="18"/>
              </w:rPr>
              <w:t>8</w:t>
            </w:r>
          </w:p>
        </w:tc>
        <w:tc>
          <w:tcPr>
            <w:tcW w:w="3063" w:type="dxa"/>
            <w:tcMar>
              <w:top w:w="60" w:type="dxa"/>
              <w:left w:w="75" w:type="dxa"/>
              <w:bottom w:w="60" w:type="dxa"/>
              <w:right w:w="75" w:type="dxa"/>
            </w:tcMar>
            <w:vAlign w:val="bottom"/>
            <w:hideMark/>
          </w:tcPr>
          <w:p w14:paraId="3305EC23" w14:textId="77777777" w:rsidR="009E332F" w:rsidRPr="00361EAD" w:rsidRDefault="009E332F" w:rsidP="00240CC4">
            <w:pPr>
              <w:rPr>
                <w:rFonts w:ascii="Arial" w:hAnsi="Arial" w:cs="Arial"/>
                <w:b/>
                <w:color w:val="000000"/>
                <w:sz w:val="18"/>
                <w:szCs w:val="18"/>
              </w:rPr>
            </w:pPr>
            <w:r w:rsidRPr="00361EAD">
              <w:rPr>
                <w:rFonts w:ascii="Arial" w:hAnsi="Arial" w:cs="Arial"/>
                <w:b/>
                <w:color w:val="000000"/>
                <w:sz w:val="18"/>
                <w:szCs w:val="18"/>
              </w:rPr>
              <w:t>73337</w:t>
            </w:r>
            <w:r w:rsidRPr="00FC1D9A">
              <w:rPr>
                <w:rFonts w:ascii="Arial" w:hAnsi="Arial" w:cs="Arial"/>
                <w:color w:val="000000"/>
                <w:sz w:val="18"/>
                <w:szCs w:val="18"/>
              </w:rPr>
              <w:t>, 72846, 73938.</w:t>
            </w:r>
          </w:p>
        </w:tc>
        <w:tc>
          <w:tcPr>
            <w:tcW w:w="770" w:type="dxa"/>
            <w:tcMar>
              <w:top w:w="60" w:type="dxa"/>
              <w:left w:w="75" w:type="dxa"/>
              <w:bottom w:w="60" w:type="dxa"/>
              <w:right w:w="75" w:type="dxa"/>
            </w:tcMar>
            <w:vAlign w:val="bottom"/>
            <w:hideMark/>
          </w:tcPr>
          <w:p w14:paraId="0540BA55"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80 </w:t>
            </w:r>
          </w:p>
        </w:tc>
        <w:tc>
          <w:tcPr>
            <w:tcW w:w="734" w:type="dxa"/>
            <w:tcMar>
              <w:top w:w="60" w:type="dxa"/>
              <w:left w:w="75" w:type="dxa"/>
              <w:bottom w:w="60" w:type="dxa"/>
              <w:right w:w="75" w:type="dxa"/>
            </w:tcMar>
            <w:vAlign w:val="bottom"/>
            <w:hideMark/>
          </w:tcPr>
          <w:p w14:paraId="1F390A86"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240 </w:t>
            </w:r>
          </w:p>
        </w:tc>
        <w:tc>
          <w:tcPr>
            <w:tcW w:w="1063" w:type="dxa"/>
            <w:tcMar>
              <w:top w:w="60" w:type="dxa"/>
              <w:left w:w="75" w:type="dxa"/>
              <w:bottom w:w="60" w:type="dxa"/>
              <w:right w:w="75" w:type="dxa"/>
            </w:tcMar>
            <w:vAlign w:val="bottom"/>
            <w:hideMark/>
          </w:tcPr>
          <w:p w14:paraId="6A5580A2"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$37,192 </w:t>
            </w:r>
          </w:p>
        </w:tc>
        <w:tc>
          <w:tcPr>
            <w:tcW w:w="761" w:type="dxa"/>
            <w:tcMar>
              <w:top w:w="60" w:type="dxa"/>
              <w:left w:w="75" w:type="dxa"/>
              <w:bottom w:w="60" w:type="dxa"/>
              <w:right w:w="75" w:type="dxa"/>
            </w:tcMar>
            <w:vAlign w:val="bottom"/>
            <w:hideMark/>
          </w:tcPr>
          <w:p w14:paraId="6D34AB67"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2% </w:t>
            </w:r>
          </w:p>
        </w:tc>
        <w:tc>
          <w:tcPr>
            <w:tcW w:w="761" w:type="dxa"/>
          </w:tcPr>
          <w:p w14:paraId="18A0857B"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57%</w:t>
            </w:r>
          </w:p>
        </w:tc>
      </w:tr>
      <w:tr w:rsidR="009E332F" w:rsidRPr="00961397" w14:paraId="09E7B3FC" w14:textId="77777777" w:rsidTr="00240CC4">
        <w:tc>
          <w:tcPr>
            <w:tcW w:w="426" w:type="dxa"/>
          </w:tcPr>
          <w:p w14:paraId="2B4553ED" w14:textId="77777777" w:rsidR="009E332F" w:rsidRPr="00361EAD" w:rsidRDefault="009E332F" w:rsidP="00240CC4">
            <w:pPr>
              <w:jc w:val="center"/>
              <w:rPr>
                <w:rFonts w:ascii="Arial" w:hAnsi="Arial" w:cs="Arial"/>
                <w:b/>
                <w:bCs/>
                <w:color w:val="000000"/>
                <w:sz w:val="18"/>
                <w:szCs w:val="18"/>
              </w:rPr>
            </w:pPr>
            <w:r w:rsidRPr="00361EAD">
              <w:rPr>
                <w:rFonts w:ascii="Arial" w:hAnsi="Arial" w:cs="Arial"/>
                <w:b/>
                <w:bCs/>
                <w:color w:val="000000"/>
                <w:sz w:val="18"/>
                <w:szCs w:val="18"/>
              </w:rPr>
              <w:t>9</w:t>
            </w:r>
          </w:p>
        </w:tc>
        <w:tc>
          <w:tcPr>
            <w:tcW w:w="3063" w:type="dxa"/>
            <w:tcMar>
              <w:top w:w="60" w:type="dxa"/>
              <w:left w:w="75" w:type="dxa"/>
              <w:bottom w:w="60" w:type="dxa"/>
              <w:right w:w="75" w:type="dxa"/>
            </w:tcMar>
            <w:vAlign w:val="bottom"/>
            <w:hideMark/>
          </w:tcPr>
          <w:p w14:paraId="1DB16DDC" w14:textId="77777777" w:rsidR="009E332F" w:rsidRPr="00361EAD" w:rsidRDefault="009E332F" w:rsidP="00240CC4">
            <w:pPr>
              <w:rPr>
                <w:rFonts w:ascii="Arial" w:hAnsi="Arial" w:cs="Arial"/>
                <w:b/>
                <w:color w:val="000000"/>
                <w:sz w:val="18"/>
                <w:szCs w:val="18"/>
              </w:rPr>
            </w:pPr>
            <w:r w:rsidRPr="00361EAD">
              <w:rPr>
                <w:rFonts w:ascii="Arial" w:hAnsi="Arial" w:cs="Arial"/>
                <w:b/>
                <w:color w:val="000000"/>
                <w:sz w:val="18"/>
                <w:szCs w:val="18"/>
              </w:rPr>
              <w:t>73337</w:t>
            </w:r>
            <w:r w:rsidRPr="00FC1D9A">
              <w:rPr>
                <w:rFonts w:ascii="Arial" w:hAnsi="Arial" w:cs="Arial"/>
                <w:color w:val="000000"/>
                <w:sz w:val="18"/>
                <w:szCs w:val="18"/>
              </w:rPr>
              <w:t>, 72836, 72847, 73924</w:t>
            </w:r>
            <w:r w:rsidRPr="00361EAD">
              <w:rPr>
                <w:rFonts w:ascii="Arial" w:hAnsi="Arial" w:cs="Arial"/>
                <w:b/>
                <w:color w:val="000000"/>
                <w:sz w:val="18"/>
                <w:szCs w:val="18"/>
              </w:rPr>
              <w:t>.</w:t>
            </w:r>
          </w:p>
        </w:tc>
        <w:tc>
          <w:tcPr>
            <w:tcW w:w="770" w:type="dxa"/>
            <w:tcMar>
              <w:top w:w="60" w:type="dxa"/>
              <w:left w:w="75" w:type="dxa"/>
              <w:bottom w:w="60" w:type="dxa"/>
              <w:right w:w="75" w:type="dxa"/>
            </w:tcMar>
            <w:vAlign w:val="bottom"/>
            <w:hideMark/>
          </w:tcPr>
          <w:p w14:paraId="3AD064B1"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36 </w:t>
            </w:r>
          </w:p>
        </w:tc>
        <w:tc>
          <w:tcPr>
            <w:tcW w:w="734" w:type="dxa"/>
            <w:tcMar>
              <w:top w:w="60" w:type="dxa"/>
              <w:left w:w="75" w:type="dxa"/>
              <w:bottom w:w="60" w:type="dxa"/>
              <w:right w:w="75" w:type="dxa"/>
            </w:tcMar>
            <w:vAlign w:val="bottom"/>
            <w:hideMark/>
          </w:tcPr>
          <w:p w14:paraId="67B3B6FC"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144 </w:t>
            </w:r>
          </w:p>
        </w:tc>
        <w:tc>
          <w:tcPr>
            <w:tcW w:w="1063" w:type="dxa"/>
            <w:tcMar>
              <w:top w:w="60" w:type="dxa"/>
              <w:left w:w="75" w:type="dxa"/>
              <w:bottom w:w="60" w:type="dxa"/>
              <w:right w:w="75" w:type="dxa"/>
            </w:tcMar>
            <w:vAlign w:val="bottom"/>
            <w:hideMark/>
          </w:tcPr>
          <w:p w14:paraId="747FD5D5"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$33,070 </w:t>
            </w:r>
          </w:p>
        </w:tc>
        <w:tc>
          <w:tcPr>
            <w:tcW w:w="761" w:type="dxa"/>
            <w:tcMar>
              <w:top w:w="60" w:type="dxa"/>
              <w:left w:w="75" w:type="dxa"/>
              <w:bottom w:w="60" w:type="dxa"/>
              <w:right w:w="75" w:type="dxa"/>
            </w:tcMar>
            <w:vAlign w:val="bottom"/>
            <w:hideMark/>
          </w:tcPr>
          <w:p w14:paraId="673B48FC"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1% </w:t>
            </w:r>
          </w:p>
        </w:tc>
        <w:tc>
          <w:tcPr>
            <w:tcW w:w="761" w:type="dxa"/>
          </w:tcPr>
          <w:p w14:paraId="686BC815"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58%</w:t>
            </w:r>
          </w:p>
        </w:tc>
      </w:tr>
      <w:tr w:rsidR="009E332F" w:rsidRPr="00961397" w14:paraId="435A3F21" w14:textId="77777777" w:rsidTr="00240CC4">
        <w:tc>
          <w:tcPr>
            <w:tcW w:w="426" w:type="dxa"/>
          </w:tcPr>
          <w:p w14:paraId="18F082AC" w14:textId="77777777" w:rsidR="009E332F" w:rsidRPr="00361EAD" w:rsidRDefault="009E332F" w:rsidP="00240CC4">
            <w:pPr>
              <w:jc w:val="center"/>
              <w:rPr>
                <w:rFonts w:ascii="Arial" w:hAnsi="Arial" w:cs="Arial"/>
                <w:b/>
                <w:bCs/>
                <w:color w:val="000000"/>
                <w:sz w:val="18"/>
                <w:szCs w:val="18"/>
              </w:rPr>
            </w:pPr>
            <w:r w:rsidRPr="00361EAD">
              <w:rPr>
                <w:rFonts w:ascii="Arial" w:hAnsi="Arial" w:cs="Arial"/>
                <w:b/>
                <w:bCs/>
                <w:color w:val="000000"/>
                <w:sz w:val="18"/>
                <w:szCs w:val="18"/>
              </w:rPr>
              <w:t>10</w:t>
            </w:r>
          </w:p>
        </w:tc>
        <w:tc>
          <w:tcPr>
            <w:tcW w:w="3063" w:type="dxa"/>
            <w:tcMar>
              <w:top w:w="60" w:type="dxa"/>
              <w:left w:w="75" w:type="dxa"/>
              <w:bottom w:w="60" w:type="dxa"/>
              <w:right w:w="75" w:type="dxa"/>
            </w:tcMar>
            <w:vAlign w:val="bottom"/>
            <w:hideMark/>
          </w:tcPr>
          <w:p w14:paraId="5DD1B5D5" w14:textId="77777777" w:rsidR="009E332F" w:rsidRPr="00361EAD" w:rsidRDefault="009E332F" w:rsidP="00240CC4">
            <w:pPr>
              <w:rPr>
                <w:rFonts w:ascii="Arial" w:hAnsi="Arial" w:cs="Arial"/>
                <w:b/>
                <w:color w:val="000000"/>
                <w:sz w:val="18"/>
                <w:szCs w:val="18"/>
              </w:rPr>
            </w:pPr>
            <w:r w:rsidRPr="00361EAD">
              <w:rPr>
                <w:rFonts w:ascii="Arial" w:hAnsi="Arial" w:cs="Arial"/>
                <w:b/>
                <w:color w:val="000000"/>
                <w:sz w:val="18"/>
                <w:szCs w:val="18"/>
              </w:rPr>
              <w:t>73337</w:t>
            </w:r>
            <w:r w:rsidRPr="00FC1D9A">
              <w:rPr>
                <w:rFonts w:ascii="Arial" w:hAnsi="Arial" w:cs="Arial"/>
                <w:color w:val="000000"/>
                <w:sz w:val="18"/>
                <w:szCs w:val="18"/>
              </w:rPr>
              <w:t>, 73332, 73938.</w:t>
            </w:r>
          </w:p>
        </w:tc>
        <w:tc>
          <w:tcPr>
            <w:tcW w:w="770" w:type="dxa"/>
            <w:tcMar>
              <w:top w:w="60" w:type="dxa"/>
              <w:left w:w="75" w:type="dxa"/>
              <w:bottom w:w="60" w:type="dxa"/>
              <w:right w:w="75" w:type="dxa"/>
            </w:tcMar>
            <w:vAlign w:val="bottom"/>
            <w:hideMark/>
          </w:tcPr>
          <w:p w14:paraId="513992CE"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35 </w:t>
            </w:r>
          </w:p>
        </w:tc>
        <w:tc>
          <w:tcPr>
            <w:tcW w:w="734" w:type="dxa"/>
            <w:tcMar>
              <w:top w:w="60" w:type="dxa"/>
              <w:left w:w="75" w:type="dxa"/>
              <w:bottom w:w="60" w:type="dxa"/>
              <w:right w:w="75" w:type="dxa"/>
            </w:tcMar>
            <w:vAlign w:val="bottom"/>
            <w:hideMark/>
          </w:tcPr>
          <w:p w14:paraId="28C1CE4A"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106 </w:t>
            </w:r>
          </w:p>
        </w:tc>
        <w:tc>
          <w:tcPr>
            <w:tcW w:w="1063" w:type="dxa"/>
            <w:tcMar>
              <w:top w:w="60" w:type="dxa"/>
              <w:left w:w="75" w:type="dxa"/>
              <w:bottom w:w="60" w:type="dxa"/>
              <w:right w:w="75" w:type="dxa"/>
            </w:tcMar>
            <w:vAlign w:val="bottom"/>
            <w:hideMark/>
          </w:tcPr>
          <w:p w14:paraId="2E13C47A"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$25,622 </w:t>
            </w:r>
          </w:p>
        </w:tc>
        <w:tc>
          <w:tcPr>
            <w:tcW w:w="761" w:type="dxa"/>
            <w:tcMar>
              <w:top w:w="60" w:type="dxa"/>
              <w:left w:w="75" w:type="dxa"/>
              <w:bottom w:w="60" w:type="dxa"/>
              <w:right w:w="75" w:type="dxa"/>
            </w:tcMar>
            <w:vAlign w:val="bottom"/>
            <w:hideMark/>
          </w:tcPr>
          <w:p w14:paraId="47653CC2"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 xml:space="preserve">1% </w:t>
            </w:r>
          </w:p>
        </w:tc>
        <w:tc>
          <w:tcPr>
            <w:tcW w:w="761" w:type="dxa"/>
          </w:tcPr>
          <w:p w14:paraId="11D8C069" w14:textId="77777777" w:rsidR="009E332F" w:rsidRDefault="009E332F" w:rsidP="00240CC4">
            <w:pPr>
              <w:jc w:val="right"/>
              <w:rPr>
                <w:rFonts w:ascii="Arial" w:hAnsi="Arial" w:cs="Arial"/>
                <w:color w:val="000000"/>
                <w:sz w:val="18"/>
                <w:szCs w:val="18"/>
              </w:rPr>
            </w:pPr>
            <w:r>
              <w:rPr>
                <w:rFonts w:ascii="Arial" w:hAnsi="Arial" w:cs="Arial"/>
                <w:color w:val="000000"/>
                <w:sz w:val="18"/>
                <w:szCs w:val="18"/>
              </w:rPr>
              <w:t>59%</w:t>
            </w:r>
          </w:p>
        </w:tc>
      </w:tr>
    </w:tbl>
    <w:p w14:paraId="7834BDA9" w14:textId="6F6CCC6E" w:rsidR="009E332F" w:rsidRDefault="009E332F" w:rsidP="009E332F">
      <w:pPr>
        <w:rPr>
          <w:i/>
          <w:sz w:val="20"/>
        </w:rPr>
      </w:pPr>
      <w:r>
        <w:rPr>
          <w:i/>
          <w:sz w:val="20"/>
        </w:rPr>
        <w:t>Source for Ta</w:t>
      </w:r>
      <w:r w:rsidR="00A73613">
        <w:rPr>
          <w:i/>
          <w:sz w:val="20"/>
        </w:rPr>
        <w:t>bles 7-9: Department of Health</w:t>
      </w:r>
    </w:p>
    <w:p w14:paraId="42A4BC07" w14:textId="045A6BD3" w:rsidR="00A91AFD" w:rsidRDefault="004E015F" w:rsidP="004E015F">
      <w:pPr>
        <w:pStyle w:val="Heading2"/>
      </w:pPr>
      <w:r>
        <w:t>Data on fee charged</w:t>
      </w:r>
    </w:p>
    <w:p w14:paraId="42ACB6B9" w14:textId="2091FAC6" w:rsidR="009E332F" w:rsidRDefault="009E332F" w:rsidP="009E332F">
      <w:pPr>
        <w:rPr>
          <w:color w:val="000000" w:themeColor="text1"/>
        </w:rPr>
      </w:pPr>
      <w:r>
        <w:rPr>
          <w:color w:val="000000" w:themeColor="text1"/>
        </w:rPr>
        <w:t>The average fee charged for item 73337 across Australia was $489 in 2015-16 (Table 10). The highest fee charged was $546 in WA and WA also had the lowest rate of bulk billing at 25%. The fee charged in the 95</w:t>
      </w:r>
      <w:r w:rsidRPr="00FF7040">
        <w:rPr>
          <w:color w:val="000000" w:themeColor="text1"/>
          <w:vertAlign w:val="superscript"/>
        </w:rPr>
        <w:t>th</w:t>
      </w:r>
      <w:r>
        <w:rPr>
          <w:color w:val="000000" w:themeColor="text1"/>
        </w:rPr>
        <w:t xml:space="preserve"> percentile in WA in 2015-16 is $1,073 which is higher compared to the other states and territories with 95</w:t>
      </w:r>
      <w:r w:rsidRPr="00FF7040">
        <w:rPr>
          <w:color w:val="000000" w:themeColor="text1"/>
          <w:vertAlign w:val="superscript"/>
        </w:rPr>
        <w:t>th</w:t>
      </w:r>
      <w:r>
        <w:rPr>
          <w:color w:val="000000" w:themeColor="text1"/>
        </w:rPr>
        <w:t xml:space="preserve"> percentile fees ranging from $579 to $650.</w:t>
      </w:r>
    </w:p>
    <w:p w14:paraId="23E1D32E" w14:textId="1B4E30E2" w:rsidR="009E332F" w:rsidRPr="00A73613" w:rsidRDefault="009E332F" w:rsidP="009C5632">
      <w:pPr>
        <w:pStyle w:val="Heading3"/>
        <w:rPr>
          <w:rFonts w:cs="Times New Roman"/>
          <w:szCs w:val="18"/>
        </w:rPr>
      </w:pPr>
      <w:r w:rsidRPr="00A73613">
        <w:rPr>
          <w:rFonts w:cs="Times New Roman"/>
          <w:szCs w:val="18"/>
        </w:rPr>
        <w:t>Table 10: Statistics on fees charged for MBS item 73337 for 2014-15 to 2015-16</w:t>
      </w:r>
    </w:p>
    <w:tbl>
      <w:tblPr>
        <w:tblW w:w="9832" w:type="dxa"/>
        <w:tblInd w:w="57" w:type="dxa"/>
        <w:tblLayout w:type="fixed"/>
        <w:tblLook w:val="04A0" w:firstRow="1" w:lastRow="0" w:firstColumn="1" w:lastColumn="0" w:noHBand="0" w:noVBand="1"/>
        <w:tblDescription w:val="Table 10 presents statistics on fees charged for MBS item 73337 from 2014-15 to 2015-16 by date of service. Columns are split by state. There are six rows for each financial year of 2013-14, 2014-15 and 2015-16: 1) Average fee charged, 2) Standard deviation, 3) Median fee charged, 4) 75th percentile, 5) 95th percentile, 6) Bulk-billing rate. 'NP' means that for that cell, the data is not printed."/>
      </w:tblPr>
      <w:tblGrid>
        <w:gridCol w:w="709"/>
        <w:gridCol w:w="2127"/>
        <w:gridCol w:w="851"/>
        <w:gridCol w:w="850"/>
        <w:gridCol w:w="851"/>
        <w:gridCol w:w="708"/>
        <w:gridCol w:w="851"/>
        <w:gridCol w:w="709"/>
        <w:gridCol w:w="567"/>
        <w:gridCol w:w="647"/>
        <w:gridCol w:w="962"/>
      </w:tblGrid>
      <w:tr w:rsidR="00FC1D9A" w:rsidRPr="00320EA7" w14:paraId="4059A00E" w14:textId="77777777" w:rsidTr="00BA0206">
        <w:trPr>
          <w:trHeight w:val="300"/>
          <w:tblHeader/>
        </w:trPr>
        <w:tc>
          <w:tcPr>
            <w:tcW w:w="2836" w:type="dxa"/>
            <w:gridSpan w:val="2"/>
            <w:vMerge w:val="restart"/>
            <w:tcBorders>
              <w:top w:val="single" w:sz="4" w:space="0" w:color="000000"/>
              <w:left w:val="single" w:sz="4" w:space="0" w:color="000000"/>
              <w:right w:val="single" w:sz="4" w:space="0" w:color="000000"/>
            </w:tcBorders>
            <w:shd w:val="clear" w:color="auto" w:fill="008080"/>
            <w:hideMark/>
          </w:tcPr>
          <w:p w14:paraId="303333EF" w14:textId="69263B45" w:rsidR="00FC1D9A" w:rsidRPr="00320EA7" w:rsidRDefault="00FC1D9A" w:rsidP="009C5632">
            <w:pPr>
              <w:rPr>
                <w:rFonts w:ascii="Arial" w:hAnsi="Arial" w:cs="Arial"/>
                <w:b/>
                <w:bCs/>
                <w:color w:val="FFFFFF"/>
                <w:sz w:val="16"/>
                <w:szCs w:val="16"/>
              </w:rPr>
            </w:pPr>
          </w:p>
        </w:tc>
        <w:tc>
          <w:tcPr>
            <w:tcW w:w="6996" w:type="dxa"/>
            <w:gridSpan w:val="9"/>
            <w:tcBorders>
              <w:top w:val="single" w:sz="4" w:space="0" w:color="000000"/>
              <w:left w:val="single" w:sz="4" w:space="0" w:color="000000"/>
              <w:bottom w:val="single" w:sz="4" w:space="0" w:color="000000"/>
              <w:right w:val="single" w:sz="4" w:space="0" w:color="000000"/>
            </w:tcBorders>
            <w:shd w:val="clear" w:color="auto" w:fill="008080"/>
          </w:tcPr>
          <w:p w14:paraId="62F08636" w14:textId="77777777" w:rsidR="00FC1D9A" w:rsidRPr="00320EA7" w:rsidRDefault="00FC1D9A" w:rsidP="00240CC4">
            <w:pPr>
              <w:jc w:val="center"/>
              <w:rPr>
                <w:rFonts w:ascii="Arial" w:hAnsi="Arial" w:cs="Arial"/>
                <w:b/>
                <w:bCs/>
                <w:color w:val="FFFFFF"/>
                <w:sz w:val="16"/>
                <w:szCs w:val="16"/>
              </w:rPr>
            </w:pPr>
            <w:r w:rsidRPr="00320EA7">
              <w:rPr>
                <w:rFonts w:ascii="Arial" w:hAnsi="Arial" w:cs="Arial"/>
                <w:b/>
                <w:bCs/>
                <w:color w:val="FFFFFF"/>
                <w:sz w:val="16"/>
                <w:szCs w:val="16"/>
              </w:rPr>
              <w:t>Provider State/Territory</w:t>
            </w:r>
          </w:p>
        </w:tc>
      </w:tr>
      <w:tr w:rsidR="009C5632" w:rsidRPr="00320EA7" w14:paraId="698E087F" w14:textId="77777777" w:rsidTr="00BA0206">
        <w:trPr>
          <w:trHeight w:val="178"/>
          <w:tblHeader/>
        </w:trPr>
        <w:tc>
          <w:tcPr>
            <w:tcW w:w="2836" w:type="dxa"/>
            <w:gridSpan w:val="2"/>
            <w:vMerge/>
            <w:tcBorders>
              <w:left w:val="single" w:sz="4" w:space="0" w:color="000000"/>
              <w:bottom w:val="single" w:sz="4" w:space="0" w:color="000000"/>
              <w:right w:val="single" w:sz="4" w:space="0" w:color="000000"/>
            </w:tcBorders>
            <w:shd w:val="clear" w:color="auto" w:fill="008080"/>
            <w:hideMark/>
          </w:tcPr>
          <w:p w14:paraId="3A6A6FDD" w14:textId="262FB297" w:rsidR="009C5632" w:rsidRPr="00320EA7" w:rsidRDefault="009C5632" w:rsidP="00240CC4">
            <w:pPr>
              <w:rPr>
                <w:rFonts w:ascii="Arial" w:hAnsi="Arial" w:cs="Arial"/>
                <w:b/>
                <w:bCs/>
                <w:color w:val="FFFFFF"/>
                <w:sz w:val="16"/>
                <w:szCs w:val="16"/>
              </w:rPr>
            </w:pPr>
          </w:p>
        </w:tc>
        <w:tc>
          <w:tcPr>
            <w:tcW w:w="851" w:type="dxa"/>
            <w:tcBorders>
              <w:top w:val="nil"/>
              <w:left w:val="single" w:sz="4" w:space="0" w:color="000000"/>
              <w:bottom w:val="single" w:sz="4" w:space="0" w:color="000000"/>
              <w:right w:val="single" w:sz="4" w:space="0" w:color="000000"/>
            </w:tcBorders>
            <w:shd w:val="clear" w:color="auto" w:fill="008080"/>
            <w:hideMark/>
          </w:tcPr>
          <w:p w14:paraId="20524282" w14:textId="77777777" w:rsidR="009C5632" w:rsidRPr="00320EA7" w:rsidRDefault="009C5632" w:rsidP="00240CC4">
            <w:pPr>
              <w:jc w:val="center"/>
              <w:rPr>
                <w:rFonts w:ascii="Arial" w:hAnsi="Arial" w:cs="Arial"/>
                <w:b/>
                <w:bCs/>
                <w:color w:val="FFFFFF"/>
                <w:sz w:val="16"/>
                <w:szCs w:val="16"/>
              </w:rPr>
            </w:pPr>
            <w:r w:rsidRPr="00320EA7">
              <w:rPr>
                <w:rFonts w:ascii="Arial" w:hAnsi="Arial" w:cs="Arial"/>
                <w:b/>
                <w:bCs/>
                <w:color w:val="FFFFFF"/>
                <w:sz w:val="16"/>
                <w:szCs w:val="16"/>
              </w:rPr>
              <w:t>NSW</w:t>
            </w:r>
          </w:p>
        </w:tc>
        <w:tc>
          <w:tcPr>
            <w:tcW w:w="850" w:type="dxa"/>
            <w:tcBorders>
              <w:top w:val="nil"/>
              <w:left w:val="nil"/>
              <w:bottom w:val="single" w:sz="4" w:space="0" w:color="000000"/>
              <w:right w:val="single" w:sz="4" w:space="0" w:color="000000"/>
            </w:tcBorders>
            <w:shd w:val="clear" w:color="auto" w:fill="008080"/>
            <w:hideMark/>
          </w:tcPr>
          <w:p w14:paraId="0ECE4B2C" w14:textId="77777777" w:rsidR="009C5632" w:rsidRPr="00320EA7" w:rsidRDefault="009C5632" w:rsidP="00240CC4">
            <w:pPr>
              <w:jc w:val="center"/>
              <w:rPr>
                <w:rFonts w:ascii="Arial" w:hAnsi="Arial" w:cs="Arial"/>
                <w:b/>
                <w:bCs/>
                <w:color w:val="FFFFFF"/>
                <w:sz w:val="16"/>
                <w:szCs w:val="16"/>
              </w:rPr>
            </w:pPr>
            <w:r>
              <w:rPr>
                <w:rFonts w:ascii="Arial" w:hAnsi="Arial" w:cs="Arial"/>
                <w:b/>
                <w:bCs/>
                <w:color w:val="FFFFFF"/>
                <w:sz w:val="16"/>
                <w:szCs w:val="16"/>
              </w:rPr>
              <w:t>VIC</w:t>
            </w:r>
          </w:p>
        </w:tc>
        <w:tc>
          <w:tcPr>
            <w:tcW w:w="851" w:type="dxa"/>
            <w:tcBorders>
              <w:top w:val="nil"/>
              <w:left w:val="nil"/>
              <w:bottom w:val="single" w:sz="4" w:space="0" w:color="000000"/>
              <w:right w:val="single" w:sz="4" w:space="0" w:color="000000"/>
            </w:tcBorders>
            <w:shd w:val="clear" w:color="auto" w:fill="008080"/>
            <w:hideMark/>
          </w:tcPr>
          <w:p w14:paraId="1B269793" w14:textId="77777777" w:rsidR="009C5632" w:rsidRPr="00320EA7" w:rsidRDefault="009C5632" w:rsidP="00240CC4">
            <w:pPr>
              <w:jc w:val="center"/>
              <w:rPr>
                <w:rFonts w:ascii="Arial" w:hAnsi="Arial" w:cs="Arial"/>
                <w:b/>
                <w:bCs/>
                <w:color w:val="FFFFFF"/>
                <w:sz w:val="16"/>
                <w:szCs w:val="16"/>
              </w:rPr>
            </w:pPr>
            <w:r>
              <w:rPr>
                <w:rFonts w:ascii="Arial" w:hAnsi="Arial" w:cs="Arial"/>
                <w:b/>
                <w:bCs/>
                <w:color w:val="FFFFFF"/>
                <w:sz w:val="16"/>
                <w:szCs w:val="16"/>
              </w:rPr>
              <w:t>QLD</w:t>
            </w:r>
          </w:p>
        </w:tc>
        <w:tc>
          <w:tcPr>
            <w:tcW w:w="708" w:type="dxa"/>
            <w:tcBorders>
              <w:top w:val="nil"/>
              <w:left w:val="nil"/>
              <w:bottom w:val="single" w:sz="4" w:space="0" w:color="000000"/>
              <w:right w:val="single" w:sz="4" w:space="0" w:color="000000"/>
            </w:tcBorders>
            <w:shd w:val="clear" w:color="auto" w:fill="008080"/>
            <w:hideMark/>
          </w:tcPr>
          <w:p w14:paraId="3291ABE8" w14:textId="77777777" w:rsidR="009C5632" w:rsidRPr="00320EA7" w:rsidRDefault="009C5632" w:rsidP="00240CC4">
            <w:pPr>
              <w:jc w:val="center"/>
              <w:rPr>
                <w:rFonts w:ascii="Arial" w:hAnsi="Arial" w:cs="Arial"/>
                <w:b/>
                <w:bCs/>
                <w:color w:val="FFFFFF"/>
                <w:sz w:val="16"/>
                <w:szCs w:val="16"/>
              </w:rPr>
            </w:pPr>
            <w:r w:rsidRPr="00320EA7">
              <w:rPr>
                <w:rFonts w:ascii="Arial" w:hAnsi="Arial" w:cs="Arial"/>
                <w:b/>
                <w:bCs/>
                <w:color w:val="FFFFFF"/>
                <w:sz w:val="16"/>
                <w:szCs w:val="16"/>
              </w:rPr>
              <w:t>SA</w:t>
            </w:r>
          </w:p>
        </w:tc>
        <w:tc>
          <w:tcPr>
            <w:tcW w:w="851" w:type="dxa"/>
            <w:tcBorders>
              <w:top w:val="nil"/>
              <w:left w:val="nil"/>
              <w:bottom w:val="single" w:sz="4" w:space="0" w:color="000000"/>
              <w:right w:val="single" w:sz="4" w:space="0" w:color="000000"/>
            </w:tcBorders>
            <w:shd w:val="clear" w:color="auto" w:fill="008080"/>
            <w:hideMark/>
          </w:tcPr>
          <w:p w14:paraId="197CC464" w14:textId="77777777" w:rsidR="009C5632" w:rsidRPr="00320EA7" w:rsidRDefault="009C5632" w:rsidP="00240CC4">
            <w:pPr>
              <w:jc w:val="center"/>
              <w:rPr>
                <w:rFonts w:ascii="Arial" w:hAnsi="Arial" w:cs="Arial"/>
                <w:b/>
                <w:bCs/>
                <w:color w:val="FFFFFF"/>
                <w:sz w:val="16"/>
                <w:szCs w:val="16"/>
              </w:rPr>
            </w:pPr>
            <w:r w:rsidRPr="00320EA7">
              <w:rPr>
                <w:rFonts w:ascii="Arial" w:hAnsi="Arial" w:cs="Arial"/>
                <w:b/>
                <w:bCs/>
                <w:color w:val="FFFFFF"/>
                <w:sz w:val="16"/>
                <w:szCs w:val="16"/>
              </w:rPr>
              <w:t>WA</w:t>
            </w:r>
          </w:p>
        </w:tc>
        <w:tc>
          <w:tcPr>
            <w:tcW w:w="709" w:type="dxa"/>
            <w:tcBorders>
              <w:top w:val="nil"/>
              <w:left w:val="nil"/>
              <w:bottom w:val="single" w:sz="4" w:space="0" w:color="000000"/>
              <w:right w:val="single" w:sz="4" w:space="0" w:color="auto"/>
            </w:tcBorders>
            <w:shd w:val="clear" w:color="auto" w:fill="008080"/>
          </w:tcPr>
          <w:p w14:paraId="6286F363" w14:textId="77777777" w:rsidR="009C5632" w:rsidRPr="00320EA7" w:rsidRDefault="009C5632" w:rsidP="00240CC4">
            <w:pPr>
              <w:jc w:val="center"/>
              <w:rPr>
                <w:rFonts w:ascii="Arial" w:hAnsi="Arial" w:cs="Arial"/>
                <w:b/>
                <w:bCs/>
                <w:color w:val="FFFFFF"/>
                <w:sz w:val="16"/>
                <w:szCs w:val="16"/>
              </w:rPr>
            </w:pPr>
            <w:r>
              <w:rPr>
                <w:rFonts w:ascii="Arial" w:hAnsi="Arial" w:cs="Arial"/>
                <w:b/>
                <w:bCs/>
                <w:color w:val="FFFFFF"/>
                <w:sz w:val="16"/>
                <w:szCs w:val="16"/>
              </w:rPr>
              <w:t>TAS</w:t>
            </w:r>
          </w:p>
        </w:tc>
        <w:tc>
          <w:tcPr>
            <w:tcW w:w="567" w:type="dxa"/>
            <w:tcBorders>
              <w:top w:val="nil"/>
              <w:left w:val="single" w:sz="4" w:space="0" w:color="auto"/>
              <w:bottom w:val="single" w:sz="4" w:space="0" w:color="000000"/>
              <w:right w:val="single" w:sz="4" w:space="0" w:color="auto"/>
            </w:tcBorders>
            <w:shd w:val="clear" w:color="auto" w:fill="008080"/>
          </w:tcPr>
          <w:p w14:paraId="6E340C9B" w14:textId="77777777" w:rsidR="009C5632" w:rsidRPr="00320EA7" w:rsidRDefault="009C5632" w:rsidP="00240CC4">
            <w:pPr>
              <w:jc w:val="center"/>
              <w:rPr>
                <w:rFonts w:ascii="Arial" w:hAnsi="Arial" w:cs="Arial"/>
                <w:b/>
                <w:bCs/>
                <w:color w:val="FFFFFF"/>
                <w:sz w:val="16"/>
                <w:szCs w:val="16"/>
              </w:rPr>
            </w:pPr>
            <w:r>
              <w:rPr>
                <w:rFonts w:ascii="Arial" w:hAnsi="Arial" w:cs="Arial"/>
                <w:b/>
                <w:bCs/>
                <w:color w:val="FFFFFF"/>
                <w:sz w:val="16"/>
                <w:szCs w:val="16"/>
              </w:rPr>
              <w:t>NT</w:t>
            </w:r>
          </w:p>
        </w:tc>
        <w:tc>
          <w:tcPr>
            <w:tcW w:w="647" w:type="dxa"/>
            <w:tcBorders>
              <w:top w:val="nil"/>
              <w:left w:val="single" w:sz="4" w:space="0" w:color="auto"/>
              <w:bottom w:val="single" w:sz="4" w:space="0" w:color="000000"/>
              <w:right w:val="single" w:sz="4" w:space="0" w:color="000000"/>
            </w:tcBorders>
            <w:shd w:val="clear" w:color="auto" w:fill="008080"/>
            <w:hideMark/>
          </w:tcPr>
          <w:p w14:paraId="5DD488DF" w14:textId="77777777" w:rsidR="009C5632" w:rsidRPr="00320EA7" w:rsidRDefault="009C5632" w:rsidP="00240CC4">
            <w:pPr>
              <w:jc w:val="center"/>
              <w:rPr>
                <w:rFonts w:ascii="Arial" w:hAnsi="Arial" w:cs="Arial"/>
                <w:b/>
                <w:bCs/>
                <w:color w:val="FFFFFF"/>
                <w:sz w:val="16"/>
                <w:szCs w:val="16"/>
              </w:rPr>
            </w:pPr>
            <w:r w:rsidRPr="00320EA7">
              <w:rPr>
                <w:rFonts w:ascii="Arial" w:hAnsi="Arial" w:cs="Arial"/>
                <w:b/>
                <w:bCs/>
                <w:color w:val="FFFFFF"/>
                <w:sz w:val="16"/>
                <w:szCs w:val="16"/>
              </w:rPr>
              <w:t>ACT</w:t>
            </w:r>
          </w:p>
        </w:tc>
        <w:tc>
          <w:tcPr>
            <w:tcW w:w="962" w:type="dxa"/>
            <w:tcBorders>
              <w:top w:val="nil"/>
              <w:left w:val="nil"/>
              <w:bottom w:val="single" w:sz="4" w:space="0" w:color="000000"/>
              <w:right w:val="single" w:sz="4" w:space="0" w:color="000000"/>
            </w:tcBorders>
            <w:shd w:val="clear" w:color="auto" w:fill="008080"/>
            <w:hideMark/>
          </w:tcPr>
          <w:p w14:paraId="3D93C8E0" w14:textId="77777777" w:rsidR="009C5632" w:rsidRPr="00320EA7" w:rsidRDefault="009C5632" w:rsidP="00240CC4">
            <w:pPr>
              <w:jc w:val="center"/>
              <w:rPr>
                <w:rFonts w:ascii="Arial" w:hAnsi="Arial" w:cs="Arial"/>
                <w:b/>
                <w:bCs/>
                <w:color w:val="FFFFFF"/>
                <w:sz w:val="16"/>
                <w:szCs w:val="16"/>
              </w:rPr>
            </w:pPr>
            <w:r w:rsidRPr="00320EA7">
              <w:rPr>
                <w:rFonts w:ascii="Arial" w:hAnsi="Arial" w:cs="Arial"/>
                <w:b/>
                <w:bCs/>
                <w:color w:val="FFFFFF"/>
                <w:sz w:val="16"/>
                <w:szCs w:val="16"/>
              </w:rPr>
              <w:t>Aus</w:t>
            </w:r>
            <w:r>
              <w:rPr>
                <w:rFonts w:ascii="Arial" w:hAnsi="Arial" w:cs="Arial"/>
                <w:b/>
                <w:bCs/>
                <w:color w:val="FFFFFF"/>
                <w:sz w:val="16"/>
                <w:szCs w:val="16"/>
              </w:rPr>
              <w:t>tralia</w:t>
            </w:r>
          </w:p>
        </w:tc>
      </w:tr>
      <w:tr w:rsidR="009C5632" w:rsidRPr="00320EA7" w14:paraId="6F346572" w14:textId="77777777" w:rsidTr="00BA0206">
        <w:trPr>
          <w:trHeight w:val="300"/>
        </w:trPr>
        <w:tc>
          <w:tcPr>
            <w:tcW w:w="709" w:type="dxa"/>
            <w:vMerge w:val="restart"/>
            <w:tcBorders>
              <w:top w:val="single" w:sz="4" w:space="0" w:color="auto"/>
              <w:left w:val="single" w:sz="4" w:space="0" w:color="000000"/>
              <w:right w:val="single" w:sz="4" w:space="0" w:color="000000"/>
            </w:tcBorders>
            <w:shd w:val="clear" w:color="000000" w:fill="FFFFFF"/>
            <w:noWrap/>
            <w:vAlign w:val="center"/>
            <w:hideMark/>
          </w:tcPr>
          <w:p w14:paraId="08E8E926" w14:textId="3DA0DE61" w:rsidR="009C5632" w:rsidRPr="00320EA7" w:rsidRDefault="009C5632" w:rsidP="009C5632">
            <w:pPr>
              <w:rPr>
                <w:rFonts w:ascii="Arial" w:hAnsi="Arial" w:cs="Arial"/>
                <w:b/>
                <w:bCs/>
                <w:color w:val="000000"/>
                <w:sz w:val="16"/>
                <w:szCs w:val="16"/>
              </w:rPr>
            </w:pPr>
            <w:r>
              <w:rPr>
                <w:rFonts w:ascii="Arial" w:hAnsi="Arial" w:cs="Arial"/>
                <w:b/>
                <w:bCs/>
                <w:color w:val="000000"/>
                <w:sz w:val="16"/>
                <w:szCs w:val="16"/>
              </w:rPr>
              <w:t>2014-15</w:t>
            </w:r>
          </w:p>
        </w:tc>
        <w:tc>
          <w:tcPr>
            <w:tcW w:w="2127" w:type="dxa"/>
            <w:tcBorders>
              <w:top w:val="nil"/>
              <w:left w:val="nil"/>
              <w:bottom w:val="single" w:sz="4" w:space="0" w:color="000000"/>
              <w:right w:val="single" w:sz="4" w:space="0" w:color="000000"/>
            </w:tcBorders>
            <w:shd w:val="clear" w:color="000000" w:fill="FFFFFF"/>
            <w:noWrap/>
            <w:vAlign w:val="center"/>
            <w:hideMark/>
          </w:tcPr>
          <w:p w14:paraId="6A4517B1" w14:textId="77777777" w:rsidR="009C5632" w:rsidRPr="00320EA7" w:rsidRDefault="009C5632" w:rsidP="00240CC4">
            <w:pPr>
              <w:rPr>
                <w:rFonts w:ascii="Arial" w:hAnsi="Arial" w:cs="Arial"/>
                <w:b/>
                <w:bCs/>
                <w:color w:val="000000"/>
                <w:sz w:val="16"/>
                <w:szCs w:val="16"/>
              </w:rPr>
            </w:pPr>
            <w:r w:rsidRPr="00320EA7">
              <w:rPr>
                <w:rFonts w:ascii="Arial" w:hAnsi="Arial" w:cs="Arial"/>
                <w:b/>
                <w:bCs/>
                <w:color w:val="000000"/>
                <w:sz w:val="16"/>
                <w:szCs w:val="16"/>
              </w:rPr>
              <w:t xml:space="preserve">Average Fee Charged </w:t>
            </w:r>
          </w:p>
        </w:tc>
        <w:tc>
          <w:tcPr>
            <w:tcW w:w="851" w:type="dxa"/>
            <w:tcBorders>
              <w:top w:val="nil"/>
              <w:left w:val="nil"/>
              <w:bottom w:val="single" w:sz="4" w:space="0" w:color="000000"/>
              <w:right w:val="single" w:sz="4" w:space="0" w:color="000000"/>
            </w:tcBorders>
            <w:shd w:val="clear" w:color="000000" w:fill="FFFFFF"/>
            <w:noWrap/>
            <w:vAlign w:val="bottom"/>
            <w:hideMark/>
          </w:tcPr>
          <w:p w14:paraId="77AAC6AD" w14:textId="77777777" w:rsidR="009C5632" w:rsidRPr="00FC1D9A" w:rsidRDefault="009C5632" w:rsidP="00240CC4">
            <w:pPr>
              <w:jc w:val="right"/>
              <w:rPr>
                <w:rFonts w:ascii="Arial" w:hAnsi="Arial" w:cs="Arial"/>
                <w:color w:val="000000"/>
                <w:sz w:val="18"/>
                <w:szCs w:val="18"/>
              </w:rPr>
            </w:pPr>
            <w:r w:rsidRPr="00FC1D9A">
              <w:rPr>
                <w:rFonts w:ascii="Arial" w:hAnsi="Arial" w:cs="Arial"/>
                <w:color w:val="000000"/>
                <w:sz w:val="18"/>
                <w:szCs w:val="18"/>
              </w:rPr>
              <w:t>$479</w:t>
            </w:r>
          </w:p>
        </w:tc>
        <w:tc>
          <w:tcPr>
            <w:tcW w:w="850" w:type="dxa"/>
            <w:tcBorders>
              <w:top w:val="nil"/>
              <w:left w:val="nil"/>
              <w:bottom w:val="single" w:sz="4" w:space="0" w:color="000000"/>
              <w:right w:val="single" w:sz="4" w:space="0" w:color="000000"/>
            </w:tcBorders>
            <w:shd w:val="clear" w:color="000000" w:fill="FFFFFF"/>
            <w:noWrap/>
            <w:vAlign w:val="bottom"/>
            <w:hideMark/>
          </w:tcPr>
          <w:p w14:paraId="6D94D1D5" w14:textId="77777777" w:rsidR="009C5632" w:rsidRPr="00FC1D9A" w:rsidRDefault="009C5632" w:rsidP="00240CC4">
            <w:pPr>
              <w:jc w:val="right"/>
              <w:rPr>
                <w:rFonts w:ascii="Arial" w:hAnsi="Arial" w:cs="Arial"/>
                <w:color w:val="000000"/>
                <w:sz w:val="18"/>
                <w:szCs w:val="18"/>
              </w:rPr>
            </w:pPr>
            <w:r w:rsidRPr="00FC1D9A">
              <w:rPr>
                <w:rFonts w:ascii="Arial" w:hAnsi="Arial" w:cs="Arial"/>
                <w:color w:val="000000"/>
                <w:sz w:val="18"/>
                <w:szCs w:val="18"/>
              </w:rPr>
              <w:t>$438</w:t>
            </w:r>
          </w:p>
        </w:tc>
        <w:tc>
          <w:tcPr>
            <w:tcW w:w="851" w:type="dxa"/>
            <w:tcBorders>
              <w:top w:val="nil"/>
              <w:left w:val="nil"/>
              <w:bottom w:val="single" w:sz="4" w:space="0" w:color="000000"/>
              <w:right w:val="single" w:sz="4" w:space="0" w:color="000000"/>
            </w:tcBorders>
            <w:shd w:val="clear" w:color="000000" w:fill="FFFFFF"/>
            <w:noWrap/>
            <w:vAlign w:val="bottom"/>
            <w:hideMark/>
          </w:tcPr>
          <w:p w14:paraId="0142C34E" w14:textId="77777777" w:rsidR="009C5632" w:rsidRPr="00FC1D9A" w:rsidRDefault="009C5632" w:rsidP="00240CC4">
            <w:pPr>
              <w:jc w:val="right"/>
              <w:rPr>
                <w:rFonts w:ascii="Arial" w:hAnsi="Arial" w:cs="Arial"/>
                <w:color w:val="000000"/>
                <w:sz w:val="18"/>
                <w:szCs w:val="18"/>
              </w:rPr>
            </w:pPr>
            <w:r w:rsidRPr="00FC1D9A">
              <w:rPr>
                <w:rFonts w:ascii="Arial" w:hAnsi="Arial" w:cs="Arial"/>
                <w:color w:val="000000"/>
                <w:sz w:val="18"/>
                <w:szCs w:val="18"/>
              </w:rPr>
              <w:t>$511</w:t>
            </w:r>
          </w:p>
        </w:tc>
        <w:tc>
          <w:tcPr>
            <w:tcW w:w="708" w:type="dxa"/>
            <w:tcBorders>
              <w:top w:val="nil"/>
              <w:left w:val="nil"/>
              <w:bottom w:val="single" w:sz="4" w:space="0" w:color="000000"/>
              <w:right w:val="single" w:sz="4" w:space="0" w:color="000000"/>
            </w:tcBorders>
            <w:shd w:val="clear" w:color="000000" w:fill="FFFFFF"/>
            <w:noWrap/>
            <w:vAlign w:val="bottom"/>
            <w:hideMark/>
          </w:tcPr>
          <w:p w14:paraId="794B429A" w14:textId="77777777" w:rsidR="009C5632" w:rsidRPr="00FC1D9A" w:rsidRDefault="009C5632" w:rsidP="00240CC4">
            <w:pPr>
              <w:jc w:val="right"/>
              <w:rPr>
                <w:rFonts w:ascii="Arial" w:hAnsi="Arial" w:cs="Arial"/>
                <w:color w:val="000000"/>
                <w:sz w:val="18"/>
                <w:szCs w:val="18"/>
              </w:rPr>
            </w:pPr>
            <w:r w:rsidRPr="00FC1D9A">
              <w:rPr>
                <w:rFonts w:ascii="Arial" w:hAnsi="Arial" w:cs="Arial"/>
                <w:color w:val="000000"/>
                <w:sz w:val="18"/>
                <w:szCs w:val="18"/>
              </w:rPr>
              <w:t>$475</w:t>
            </w:r>
          </w:p>
        </w:tc>
        <w:tc>
          <w:tcPr>
            <w:tcW w:w="851" w:type="dxa"/>
            <w:tcBorders>
              <w:top w:val="nil"/>
              <w:left w:val="nil"/>
              <w:bottom w:val="single" w:sz="4" w:space="0" w:color="000000"/>
              <w:right w:val="single" w:sz="4" w:space="0" w:color="000000"/>
            </w:tcBorders>
            <w:shd w:val="clear" w:color="000000" w:fill="FFFFFF"/>
            <w:noWrap/>
            <w:vAlign w:val="bottom"/>
            <w:hideMark/>
          </w:tcPr>
          <w:p w14:paraId="574701C9" w14:textId="77777777" w:rsidR="009C5632" w:rsidRPr="00FC1D9A" w:rsidRDefault="009C5632" w:rsidP="00240CC4">
            <w:pPr>
              <w:jc w:val="right"/>
              <w:rPr>
                <w:rFonts w:ascii="Arial" w:hAnsi="Arial" w:cs="Arial"/>
                <w:color w:val="000000"/>
                <w:sz w:val="18"/>
                <w:szCs w:val="18"/>
              </w:rPr>
            </w:pPr>
            <w:r w:rsidRPr="00FC1D9A">
              <w:rPr>
                <w:rFonts w:ascii="Arial" w:hAnsi="Arial" w:cs="Arial"/>
                <w:color w:val="000000"/>
                <w:sz w:val="18"/>
                <w:szCs w:val="18"/>
              </w:rPr>
              <w:t>$515</w:t>
            </w:r>
          </w:p>
        </w:tc>
        <w:tc>
          <w:tcPr>
            <w:tcW w:w="709" w:type="dxa"/>
            <w:tcBorders>
              <w:top w:val="nil"/>
              <w:left w:val="nil"/>
              <w:bottom w:val="single" w:sz="4" w:space="0" w:color="000000"/>
              <w:right w:val="single" w:sz="4" w:space="0" w:color="auto"/>
            </w:tcBorders>
            <w:shd w:val="clear" w:color="000000" w:fill="FFFFFF"/>
            <w:vAlign w:val="bottom"/>
          </w:tcPr>
          <w:p w14:paraId="5A1C5A5A" w14:textId="77777777" w:rsidR="009C5632" w:rsidRPr="00FC1D9A" w:rsidRDefault="009C5632" w:rsidP="00240CC4">
            <w:pPr>
              <w:jc w:val="right"/>
              <w:rPr>
                <w:rFonts w:ascii="Arial" w:hAnsi="Arial" w:cs="Arial"/>
                <w:sz w:val="18"/>
                <w:szCs w:val="18"/>
              </w:rPr>
            </w:pPr>
            <w:r w:rsidRPr="00FC1D9A">
              <w:rPr>
                <w:rFonts w:ascii="Arial" w:hAnsi="Arial" w:cs="Arial"/>
                <w:color w:val="000000"/>
                <w:sz w:val="18"/>
                <w:szCs w:val="18"/>
              </w:rPr>
              <w:t>np</w:t>
            </w:r>
          </w:p>
        </w:tc>
        <w:tc>
          <w:tcPr>
            <w:tcW w:w="567" w:type="dxa"/>
            <w:tcBorders>
              <w:top w:val="nil"/>
              <w:left w:val="single" w:sz="4" w:space="0" w:color="auto"/>
              <w:bottom w:val="single" w:sz="4" w:space="0" w:color="000000"/>
              <w:right w:val="single" w:sz="4" w:space="0" w:color="auto"/>
            </w:tcBorders>
            <w:shd w:val="clear" w:color="000000" w:fill="FFFFFF"/>
            <w:vAlign w:val="bottom"/>
          </w:tcPr>
          <w:p w14:paraId="0CC322D6" w14:textId="77777777" w:rsidR="009C5632" w:rsidRPr="00FC1D9A" w:rsidRDefault="009C5632" w:rsidP="00240CC4">
            <w:pPr>
              <w:jc w:val="right"/>
              <w:rPr>
                <w:rFonts w:ascii="Arial" w:hAnsi="Arial" w:cs="Arial"/>
                <w:sz w:val="18"/>
                <w:szCs w:val="18"/>
              </w:rPr>
            </w:pPr>
            <w:r w:rsidRPr="00FC1D9A">
              <w:rPr>
                <w:rFonts w:ascii="Arial" w:hAnsi="Arial" w:cs="Arial"/>
                <w:color w:val="000000"/>
                <w:sz w:val="18"/>
                <w:szCs w:val="18"/>
              </w:rPr>
              <w:t>np</w:t>
            </w:r>
          </w:p>
        </w:tc>
        <w:tc>
          <w:tcPr>
            <w:tcW w:w="647" w:type="dxa"/>
            <w:tcBorders>
              <w:top w:val="nil"/>
              <w:left w:val="single" w:sz="4" w:space="0" w:color="auto"/>
              <w:bottom w:val="single" w:sz="4" w:space="0" w:color="000000"/>
              <w:right w:val="single" w:sz="4" w:space="0" w:color="000000"/>
            </w:tcBorders>
            <w:shd w:val="clear" w:color="000000" w:fill="FFFFFF"/>
            <w:noWrap/>
            <w:vAlign w:val="bottom"/>
            <w:hideMark/>
          </w:tcPr>
          <w:p w14:paraId="351C340D" w14:textId="77777777" w:rsidR="009C5632" w:rsidRPr="00FC1D9A" w:rsidRDefault="009C5632" w:rsidP="00240CC4">
            <w:pPr>
              <w:jc w:val="right"/>
              <w:rPr>
                <w:rFonts w:ascii="Arial" w:hAnsi="Arial" w:cs="Arial"/>
                <w:sz w:val="18"/>
                <w:szCs w:val="18"/>
              </w:rPr>
            </w:pPr>
            <w:r w:rsidRPr="00FC1D9A">
              <w:rPr>
                <w:rFonts w:ascii="Arial" w:hAnsi="Arial" w:cs="Arial"/>
                <w:color w:val="000000"/>
                <w:sz w:val="18"/>
                <w:szCs w:val="18"/>
              </w:rPr>
              <w:t>np</w:t>
            </w:r>
          </w:p>
        </w:tc>
        <w:tc>
          <w:tcPr>
            <w:tcW w:w="962" w:type="dxa"/>
            <w:tcBorders>
              <w:top w:val="nil"/>
              <w:left w:val="nil"/>
              <w:bottom w:val="single" w:sz="4" w:space="0" w:color="000000"/>
              <w:right w:val="single" w:sz="4" w:space="0" w:color="000000"/>
            </w:tcBorders>
            <w:shd w:val="clear" w:color="000000" w:fill="FFFFFF"/>
            <w:noWrap/>
            <w:vAlign w:val="bottom"/>
            <w:hideMark/>
          </w:tcPr>
          <w:p w14:paraId="16059511" w14:textId="77777777" w:rsidR="009C5632" w:rsidRPr="00FC1D9A" w:rsidRDefault="009C5632" w:rsidP="00240CC4">
            <w:pPr>
              <w:jc w:val="right"/>
              <w:rPr>
                <w:rFonts w:ascii="Arial" w:hAnsi="Arial" w:cs="Arial"/>
                <w:b/>
                <w:color w:val="000000"/>
                <w:sz w:val="18"/>
                <w:szCs w:val="18"/>
              </w:rPr>
            </w:pPr>
            <w:r w:rsidRPr="00FC1D9A">
              <w:rPr>
                <w:rFonts w:ascii="Arial" w:hAnsi="Arial" w:cs="Arial"/>
                <w:b/>
                <w:color w:val="000000"/>
                <w:sz w:val="18"/>
                <w:szCs w:val="18"/>
              </w:rPr>
              <w:t>$486</w:t>
            </w:r>
          </w:p>
        </w:tc>
      </w:tr>
      <w:tr w:rsidR="009C5632" w:rsidRPr="00320EA7" w14:paraId="6F24327C" w14:textId="77777777" w:rsidTr="00BA0206">
        <w:trPr>
          <w:trHeight w:val="300"/>
        </w:trPr>
        <w:tc>
          <w:tcPr>
            <w:tcW w:w="709" w:type="dxa"/>
            <w:vMerge/>
            <w:tcBorders>
              <w:left w:val="single" w:sz="4" w:space="0" w:color="000000"/>
              <w:right w:val="single" w:sz="4" w:space="0" w:color="000000"/>
            </w:tcBorders>
            <w:shd w:val="clear" w:color="000000" w:fill="FFFFFF"/>
            <w:noWrap/>
            <w:vAlign w:val="center"/>
            <w:hideMark/>
          </w:tcPr>
          <w:p w14:paraId="4824B010" w14:textId="4B608F9D" w:rsidR="009C5632" w:rsidRPr="00320EA7" w:rsidRDefault="009C5632" w:rsidP="00240CC4">
            <w:pPr>
              <w:rPr>
                <w:rFonts w:ascii="Arial" w:hAnsi="Arial" w:cs="Arial"/>
                <w:b/>
                <w:bCs/>
                <w:color w:val="000000"/>
                <w:sz w:val="16"/>
                <w:szCs w:val="16"/>
              </w:rPr>
            </w:pPr>
          </w:p>
        </w:tc>
        <w:tc>
          <w:tcPr>
            <w:tcW w:w="2127" w:type="dxa"/>
            <w:tcBorders>
              <w:top w:val="nil"/>
              <w:left w:val="nil"/>
              <w:bottom w:val="single" w:sz="4" w:space="0" w:color="000000"/>
              <w:right w:val="single" w:sz="4" w:space="0" w:color="000000"/>
            </w:tcBorders>
            <w:shd w:val="clear" w:color="000000" w:fill="FFFFFF"/>
            <w:noWrap/>
            <w:vAlign w:val="center"/>
            <w:hideMark/>
          </w:tcPr>
          <w:p w14:paraId="428333FF" w14:textId="77777777" w:rsidR="009C5632" w:rsidRPr="00320EA7" w:rsidRDefault="009C5632" w:rsidP="00240CC4">
            <w:pPr>
              <w:rPr>
                <w:rFonts w:ascii="Arial" w:hAnsi="Arial" w:cs="Arial"/>
                <w:b/>
                <w:bCs/>
                <w:color w:val="000000"/>
                <w:sz w:val="16"/>
                <w:szCs w:val="16"/>
              </w:rPr>
            </w:pPr>
            <w:r w:rsidRPr="00320EA7">
              <w:rPr>
                <w:rFonts w:ascii="Arial" w:hAnsi="Arial" w:cs="Arial"/>
                <w:b/>
                <w:bCs/>
                <w:color w:val="000000"/>
                <w:sz w:val="16"/>
                <w:szCs w:val="16"/>
              </w:rPr>
              <w:t>Std Deviation</w:t>
            </w:r>
          </w:p>
        </w:tc>
        <w:tc>
          <w:tcPr>
            <w:tcW w:w="851" w:type="dxa"/>
            <w:tcBorders>
              <w:top w:val="nil"/>
              <w:left w:val="nil"/>
              <w:bottom w:val="single" w:sz="4" w:space="0" w:color="000000"/>
              <w:right w:val="single" w:sz="4" w:space="0" w:color="000000"/>
            </w:tcBorders>
            <w:shd w:val="clear" w:color="000000" w:fill="FFFFFF"/>
            <w:noWrap/>
            <w:vAlign w:val="bottom"/>
            <w:hideMark/>
          </w:tcPr>
          <w:p w14:paraId="3E6EA3D7" w14:textId="77777777" w:rsidR="009C5632" w:rsidRPr="00FC1D9A" w:rsidRDefault="009C5632" w:rsidP="00240CC4">
            <w:pPr>
              <w:jc w:val="right"/>
              <w:rPr>
                <w:rFonts w:ascii="Arial" w:hAnsi="Arial" w:cs="Arial"/>
                <w:color w:val="000000"/>
                <w:sz w:val="18"/>
                <w:szCs w:val="18"/>
              </w:rPr>
            </w:pPr>
            <w:r w:rsidRPr="00FC1D9A">
              <w:rPr>
                <w:rFonts w:ascii="Arial" w:hAnsi="Arial" w:cs="Arial"/>
                <w:color w:val="000000"/>
                <w:sz w:val="18"/>
                <w:szCs w:val="18"/>
              </w:rPr>
              <w:t>$78</w:t>
            </w:r>
          </w:p>
        </w:tc>
        <w:tc>
          <w:tcPr>
            <w:tcW w:w="850" w:type="dxa"/>
            <w:tcBorders>
              <w:top w:val="nil"/>
              <w:left w:val="nil"/>
              <w:bottom w:val="single" w:sz="4" w:space="0" w:color="000000"/>
              <w:right w:val="single" w:sz="4" w:space="0" w:color="000000"/>
            </w:tcBorders>
            <w:shd w:val="clear" w:color="000000" w:fill="FFFFFF"/>
            <w:noWrap/>
            <w:vAlign w:val="bottom"/>
            <w:hideMark/>
          </w:tcPr>
          <w:p w14:paraId="35903FA8" w14:textId="77777777" w:rsidR="009C5632" w:rsidRPr="00FC1D9A" w:rsidRDefault="009C5632" w:rsidP="00240CC4">
            <w:pPr>
              <w:jc w:val="right"/>
              <w:rPr>
                <w:rFonts w:ascii="Arial" w:hAnsi="Arial" w:cs="Arial"/>
                <w:color w:val="000000"/>
                <w:sz w:val="18"/>
                <w:szCs w:val="18"/>
              </w:rPr>
            </w:pPr>
            <w:r w:rsidRPr="00FC1D9A">
              <w:rPr>
                <w:rFonts w:ascii="Arial" w:hAnsi="Arial" w:cs="Arial"/>
                <w:color w:val="000000"/>
                <w:sz w:val="18"/>
                <w:szCs w:val="18"/>
              </w:rPr>
              <w:t>$84</w:t>
            </w:r>
          </w:p>
        </w:tc>
        <w:tc>
          <w:tcPr>
            <w:tcW w:w="851" w:type="dxa"/>
            <w:tcBorders>
              <w:top w:val="nil"/>
              <w:left w:val="nil"/>
              <w:bottom w:val="single" w:sz="4" w:space="0" w:color="000000"/>
              <w:right w:val="single" w:sz="4" w:space="0" w:color="000000"/>
            </w:tcBorders>
            <w:shd w:val="clear" w:color="000000" w:fill="FFFFFF"/>
            <w:noWrap/>
            <w:vAlign w:val="bottom"/>
            <w:hideMark/>
          </w:tcPr>
          <w:p w14:paraId="79E6CD9E" w14:textId="77777777" w:rsidR="009C5632" w:rsidRPr="00FC1D9A" w:rsidRDefault="009C5632" w:rsidP="00240CC4">
            <w:pPr>
              <w:jc w:val="right"/>
              <w:rPr>
                <w:rFonts w:ascii="Arial" w:hAnsi="Arial" w:cs="Arial"/>
                <w:color w:val="000000"/>
                <w:sz w:val="18"/>
                <w:szCs w:val="18"/>
              </w:rPr>
            </w:pPr>
            <w:r w:rsidRPr="00FC1D9A">
              <w:rPr>
                <w:rFonts w:ascii="Arial" w:hAnsi="Arial" w:cs="Arial"/>
                <w:color w:val="000000"/>
                <w:sz w:val="18"/>
                <w:szCs w:val="18"/>
              </w:rPr>
              <w:t>$98</w:t>
            </w:r>
          </w:p>
        </w:tc>
        <w:tc>
          <w:tcPr>
            <w:tcW w:w="708" w:type="dxa"/>
            <w:tcBorders>
              <w:top w:val="nil"/>
              <w:left w:val="nil"/>
              <w:bottom w:val="single" w:sz="4" w:space="0" w:color="000000"/>
              <w:right w:val="single" w:sz="4" w:space="0" w:color="000000"/>
            </w:tcBorders>
            <w:shd w:val="clear" w:color="000000" w:fill="FFFFFF"/>
            <w:noWrap/>
            <w:vAlign w:val="bottom"/>
            <w:hideMark/>
          </w:tcPr>
          <w:p w14:paraId="266B3271" w14:textId="77777777" w:rsidR="009C5632" w:rsidRPr="00FC1D9A" w:rsidRDefault="009C5632" w:rsidP="00240CC4">
            <w:pPr>
              <w:jc w:val="right"/>
              <w:rPr>
                <w:rFonts w:ascii="Arial" w:hAnsi="Arial" w:cs="Arial"/>
                <w:color w:val="000000"/>
                <w:sz w:val="18"/>
                <w:szCs w:val="18"/>
              </w:rPr>
            </w:pPr>
            <w:r w:rsidRPr="00FC1D9A">
              <w:rPr>
                <w:rFonts w:ascii="Arial" w:hAnsi="Arial" w:cs="Arial"/>
                <w:color w:val="000000"/>
                <w:sz w:val="18"/>
                <w:szCs w:val="18"/>
              </w:rPr>
              <w:t>$67</w:t>
            </w:r>
          </w:p>
        </w:tc>
        <w:tc>
          <w:tcPr>
            <w:tcW w:w="851" w:type="dxa"/>
            <w:tcBorders>
              <w:top w:val="nil"/>
              <w:left w:val="nil"/>
              <w:bottom w:val="single" w:sz="4" w:space="0" w:color="000000"/>
              <w:right w:val="single" w:sz="4" w:space="0" w:color="000000"/>
            </w:tcBorders>
            <w:shd w:val="clear" w:color="000000" w:fill="FFFFFF"/>
            <w:noWrap/>
            <w:vAlign w:val="bottom"/>
            <w:hideMark/>
          </w:tcPr>
          <w:p w14:paraId="797ADF41" w14:textId="77777777" w:rsidR="009C5632" w:rsidRPr="00FC1D9A" w:rsidRDefault="009C5632" w:rsidP="00240CC4">
            <w:pPr>
              <w:jc w:val="right"/>
              <w:rPr>
                <w:rFonts w:ascii="Arial" w:hAnsi="Arial" w:cs="Arial"/>
                <w:color w:val="000000"/>
                <w:sz w:val="18"/>
                <w:szCs w:val="18"/>
              </w:rPr>
            </w:pPr>
            <w:r w:rsidRPr="00FC1D9A">
              <w:rPr>
                <w:rFonts w:ascii="Arial" w:hAnsi="Arial" w:cs="Arial"/>
                <w:color w:val="000000"/>
                <w:sz w:val="18"/>
                <w:szCs w:val="18"/>
              </w:rPr>
              <w:t>$154</w:t>
            </w:r>
          </w:p>
        </w:tc>
        <w:tc>
          <w:tcPr>
            <w:tcW w:w="709" w:type="dxa"/>
            <w:tcBorders>
              <w:top w:val="nil"/>
              <w:left w:val="nil"/>
              <w:bottom w:val="single" w:sz="4" w:space="0" w:color="000000"/>
              <w:right w:val="single" w:sz="4" w:space="0" w:color="auto"/>
            </w:tcBorders>
            <w:shd w:val="clear" w:color="000000" w:fill="FFFFFF"/>
            <w:vAlign w:val="bottom"/>
          </w:tcPr>
          <w:p w14:paraId="79D3C861" w14:textId="77777777" w:rsidR="009C5632" w:rsidRPr="00FC1D9A" w:rsidRDefault="009C5632" w:rsidP="00240CC4">
            <w:pPr>
              <w:jc w:val="right"/>
              <w:rPr>
                <w:rFonts w:ascii="Arial" w:hAnsi="Arial" w:cs="Arial"/>
                <w:sz w:val="18"/>
                <w:szCs w:val="18"/>
              </w:rPr>
            </w:pPr>
            <w:r w:rsidRPr="00FC1D9A">
              <w:rPr>
                <w:rFonts w:ascii="Arial" w:hAnsi="Arial" w:cs="Arial"/>
                <w:color w:val="000000"/>
                <w:sz w:val="18"/>
                <w:szCs w:val="18"/>
              </w:rPr>
              <w:t>np</w:t>
            </w:r>
          </w:p>
        </w:tc>
        <w:tc>
          <w:tcPr>
            <w:tcW w:w="567" w:type="dxa"/>
            <w:tcBorders>
              <w:top w:val="nil"/>
              <w:left w:val="single" w:sz="4" w:space="0" w:color="auto"/>
              <w:bottom w:val="single" w:sz="4" w:space="0" w:color="000000"/>
              <w:right w:val="single" w:sz="4" w:space="0" w:color="auto"/>
            </w:tcBorders>
            <w:shd w:val="clear" w:color="000000" w:fill="FFFFFF"/>
            <w:vAlign w:val="bottom"/>
          </w:tcPr>
          <w:p w14:paraId="4CBB3689" w14:textId="77777777" w:rsidR="009C5632" w:rsidRPr="00FC1D9A" w:rsidRDefault="009C5632" w:rsidP="00240CC4">
            <w:pPr>
              <w:jc w:val="right"/>
              <w:rPr>
                <w:rFonts w:ascii="Arial" w:hAnsi="Arial" w:cs="Arial"/>
                <w:sz w:val="18"/>
                <w:szCs w:val="18"/>
              </w:rPr>
            </w:pPr>
            <w:r w:rsidRPr="00FC1D9A">
              <w:rPr>
                <w:rFonts w:ascii="Arial" w:hAnsi="Arial" w:cs="Arial"/>
                <w:color w:val="000000"/>
                <w:sz w:val="18"/>
                <w:szCs w:val="18"/>
              </w:rPr>
              <w:t>np</w:t>
            </w:r>
          </w:p>
        </w:tc>
        <w:tc>
          <w:tcPr>
            <w:tcW w:w="647" w:type="dxa"/>
            <w:tcBorders>
              <w:top w:val="nil"/>
              <w:left w:val="single" w:sz="4" w:space="0" w:color="auto"/>
              <w:bottom w:val="single" w:sz="4" w:space="0" w:color="000000"/>
              <w:right w:val="single" w:sz="4" w:space="0" w:color="000000"/>
            </w:tcBorders>
            <w:shd w:val="clear" w:color="000000" w:fill="FFFFFF"/>
            <w:noWrap/>
            <w:vAlign w:val="bottom"/>
            <w:hideMark/>
          </w:tcPr>
          <w:p w14:paraId="45280501" w14:textId="77777777" w:rsidR="009C5632" w:rsidRPr="00FC1D9A" w:rsidRDefault="009C5632" w:rsidP="00240CC4">
            <w:pPr>
              <w:jc w:val="right"/>
              <w:rPr>
                <w:rFonts w:ascii="Arial" w:hAnsi="Arial" w:cs="Arial"/>
                <w:sz w:val="18"/>
                <w:szCs w:val="18"/>
              </w:rPr>
            </w:pPr>
            <w:r w:rsidRPr="00FC1D9A">
              <w:rPr>
                <w:rFonts w:ascii="Arial" w:hAnsi="Arial" w:cs="Arial"/>
                <w:color w:val="000000"/>
                <w:sz w:val="18"/>
                <w:szCs w:val="18"/>
              </w:rPr>
              <w:t>np</w:t>
            </w:r>
          </w:p>
        </w:tc>
        <w:tc>
          <w:tcPr>
            <w:tcW w:w="962" w:type="dxa"/>
            <w:tcBorders>
              <w:top w:val="nil"/>
              <w:left w:val="nil"/>
              <w:bottom w:val="single" w:sz="4" w:space="0" w:color="000000"/>
              <w:right w:val="single" w:sz="4" w:space="0" w:color="000000"/>
            </w:tcBorders>
            <w:shd w:val="clear" w:color="000000" w:fill="FFFFFF"/>
            <w:noWrap/>
            <w:vAlign w:val="bottom"/>
            <w:hideMark/>
          </w:tcPr>
          <w:p w14:paraId="2B54CC09" w14:textId="77777777" w:rsidR="009C5632" w:rsidRPr="00FC1D9A" w:rsidRDefault="009C5632" w:rsidP="00240CC4">
            <w:pPr>
              <w:jc w:val="right"/>
              <w:rPr>
                <w:rFonts w:ascii="Arial" w:hAnsi="Arial" w:cs="Arial"/>
                <w:b/>
                <w:color w:val="000000"/>
                <w:sz w:val="18"/>
                <w:szCs w:val="18"/>
              </w:rPr>
            </w:pPr>
            <w:r w:rsidRPr="00FC1D9A">
              <w:rPr>
                <w:rFonts w:ascii="Arial" w:hAnsi="Arial" w:cs="Arial"/>
                <w:b/>
                <w:color w:val="000000"/>
                <w:sz w:val="18"/>
                <w:szCs w:val="18"/>
              </w:rPr>
              <w:t>$105</w:t>
            </w:r>
          </w:p>
        </w:tc>
      </w:tr>
      <w:tr w:rsidR="009C5632" w:rsidRPr="00320EA7" w14:paraId="1843A020" w14:textId="77777777" w:rsidTr="00BA0206">
        <w:trPr>
          <w:trHeight w:val="300"/>
        </w:trPr>
        <w:tc>
          <w:tcPr>
            <w:tcW w:w="709" w:type="dxa"/>
            <w:vMerge/>
            <w:tcBorders>
              <w:left w:val="single" w:sz="4" w:space="0" w:color="000000"/>
              <w:right w:val="single" w:sz="4" w:space="0" w:color="000000"/>
            </w:tcBorders>
            <w:shd w:val="clear" w:color="000000" w:fill="FFFFFF"/>
            <w:noWrap/>
            <w:vAlign w:val="center"/>
            <w:hideMark/>
          </w:tcPr>
          <w:p w14:paraId="5AB1A83F" w14:textId="7521842E" w:rsidR="009C5632" w:rsidRPr="00320EA7" w:rsidRDefault="009C5632" w:rsidP="00240CC4">
            <w:pPr>
              <w:rPr>
                <w:rFonts w:ascii="Arial" w:hAnsi="Arial" w:cs="Arial"/>
                <w:b/>
                <w:bCs/>
                <w:color w:val="000000"/>
                <w:sz w:val="16"/>
                <w:szCs w:val="16"/>
              </w:rPr>
            </w:pPr>
          </w:p>
        </w:tc>
        <w:tc>
          <w:tcPr>
            <w:tcW w:w="2127" w:type="dxa"/>
            <w:tcBorders>
              <w:top w:val="nil"/>
              <w:left w:val="nil"/>
              <w:bottom w:val="single" w:sz="4" w:space="0" w:color="000000"/>
              <w:right w:val="single" w:sz="4" w:space="0" w:color="000000"/>
            </w:tcBorders>
            <w:shd w:val="clear" w:color="000000" w:fill="FFFFFF"/>
            <w:noWrap/>
            <w:vAlign w:val="center"/>
            <w:hideMark/>
          </w:tcPr>
          <w:p w14:paraId="6C90539F" w14:textId="77777777" w:rsidR="009C5632" w:rsidRPr="00320EA7" w:rsidRDefault="009C5632" w:rsidP="00240CC4">
            <w:pPr>
              <w:rPr>
                <w:rFonts w:ascii="Arial" w:hAnsi="Arial" w:cs="Arial"/>
                <w:b/>
                <w:bCs/>
                <w:color w:val="000000"/>
                <w:sz w:val="16"/>
                <w:szCs w:val="16"/>
              </w:rPr>
            </w:pPr>
            <w:r w:rsidRPr="00320EA7">
              <w:rPr>
                <w:rFonts w:ascii="Arial" w:hAnsi="Arial" w:cs="Arial"/>
                <w:b/>
                <w:bCs/>
                <w:color w:val="000000"/>
                <w:sz w:val="16"/>
                <w:szCs w:val="16"/>
              </w:rPr>
              <w:t xml:space="preserve">Median Fee Charged </w:t>
            </w:r>
          </w:p>
        </w:tc>
        <w:tc>
          <w:tcPr>
            <w:tcW w:w="851" w:type="dxa"/>
            <w:tcBorders>
              <w:top w:val="nil"/>
              <w:left w:val="nil"/>
              <w:bottom w:val="single" w:sz="4" w:space="0" w:color="000000"/>
              <w:right w:val="single" w:sz="4" w:space="0" w:color="000000"/>
            </w:tcBorders>
            <w:shd w:val="clear" w:color="000000" w:fill="FFFFFF"/>
            <w:noWrap/>
            <w:vAlign w:val="bottom"/>
            <w:hideMark/>
          </w:tcPr>
          <w:p w14:paraId="77E4F9B0" w14:textId="77777777" w:rsidR="009C5632" w:rsidRPr="00FC1D9A" w:rsidRDefault="009C5632" w:rsidP="00240CC4">
            <w:pPr>
              <w:jc w:val="right"/>
              <w:rPr>
                <w:rFonts w:ascii="Arial" w:hAnsi="Arial" w:cs="Arial"/>
                <w:color w:val="000000"/>
                <w:sz w:val="18"/>
                <w:szCs w:val="18"/>
              </w:rPr>
            </w:pPr>
            <w:r w:rsidRPr="00FC1D9A">
              <w:rPr>
                <w:rFonts w:ascii="Arial" w:hAnsi="Arial" w:cs="Arial"/>
                <w:color w:val="000000"/>
                <w:sz w:val="18"/>
                <w:szCs w:val="18"/>
              </w:rPr>
              <w:t>$480</w:t>
            </w:r>
          </w:p>
        </w:tc>
        <w:tc>
          <w:tcPr>
            <w:tcW w:w="850" w:type="dxa"/>
            <w:tcBorders>
              <w:top w:val="nil"/>
              <w:left w:val="nil"/>
              <w:bottom w:val="single" w:sz="4" w:space="0" w:color="000000"/>
              <w:right w:val="single" w:sz="4" w:space="0" w:color="000000"/>
            </w:tcBorders>
            <w:shd w:val="clear" w:color="000000" w:fill="FFFFFF"/>
            <w:noWrap/>
            <w:vAlign w:val="bottom"/>
            <w:hideMark/>
          </w:tcPr>
          <w:p w14:paraId="264BC99A" w14:textId="77777777" w:rsidR="009C5632" w:rsidRPr="00FC1D9A" w:rsidRDefault="009C5632" w:rsidP="00240CC4">
            <w:pPr>
              <w:jc w:val="right"/>
              <w:rPr>
                <w:rFonts w:ascii="Arial" w:hAnsi="Arial" w:cs="Arial"/>
                <w:color w:val="000000"/>
                <w:sz w:val="18"/>
                <w:szCs w:val="18"/>
              </w:rPr>
            </w:pPr>
            <w:r w:rsidRPr="00FC1D9A">
              <w:rPr>
                <w:rFonts w:ascii="Arial" w:hAnsi="Arial" w:cs="Arial"/>
                <w:color w:val="000000"/>
                <w:sz w:val="18"/>
                <w:szCs w:val="18"/>
              </w:rPr>
              <w:t>$397</w:t>
            </w:r>
          </w:p>
        </w:tc>
        <w:tc>
          <w:tcPr>
            <w:tcW w:w="851" w:type="dxa"/>
            <w:tcBorders>
              <w:top w:val="nil"/>
              <w:left w:val="nil"/>
              <w:bottom w:val="single" w:sz="4" w:space="0" w:color="000000"/>
              <w:right w:val="single" w:sz="4" w:space="0" w:color="000000"/>
            </w:tcBorders>
            <w:shd w:val="clear" w:color="000000" w:fill="FFFFFF"/>
            <w:noWrap/>
            <w:vAlign w:val="bottom"/>
            <w:hideMark/>
          </w:tcPr>
          <w:p w14:paraId="4481EBBE" w14:textId="77777777" w:rsidR="009C5632" w:rsidRPr="00FC1D9A" w:rsidRDefault="009C5632" w:rsidP="00240CC4">
            <w:pPr>
              <w:jc w:val="right"/>
              <w:rPr>
                <w:rFonts w:ascii="Arial" w:hAnsi="Arial" w:cs="Arial"/>
                <w:color w:val="000000"/>
                <w:sz w:val="18"/>
                <w:szCs w:val="18"/>
              </w:rPr>
            </w:pPr>
            <w:r w:rsidRPr="00FC1D9A">
              <w:rPr>
                <w:rFonts w:ascii="Arial" w:hAnsi="Arial" w:cs="Arial"/>
                <w:color w:val="000000"/>
                <w:sz w:val="18"/>
                <w:szCs w:val="18"/>
              </w:rPr>
              <w:t>$517</w:t>
            </w:r>
          </w:p>
        </w:tc>
        <w:tc>
          <w:tcPr>
            <w:tcW w:w="708" w:type="dxa"/>
            <w:tcBorders>
              <w:top w:val="nil"/>
              <w:left w:val="nil"/>
              <w:bottom w:val="single" w:sz="4" w:space="0" w:color="000000"/>
              <w:right w:val="single" w:sz="4" w:space="0" w:color="000000"/>
            </w:tcBorders>
            <w:shd w:val="clear" w:color="000000" w:fill="FFFFFF"/>
            <w:noWrap/>
            <w:vAlign w:val="bottom"/>
            <w:hideMark/>
          </w:tcPr>
          <w:p w14:paraId="473DA6D9" w14:textId="77777777" w:rsidR="009C5632" w:rsidRPr="00FC1D9A" w:rsidRDefault="009C5632" w:rsidP="00240CC4">
            <w:pPr>
              <w:jc w:val="right"/>
              <w:rPr>
                <w:rFonts w:ascii="Arial" w:hAnsi="Arial" w:cs="Arial"/>
                <w:color w:val="000000"/>
                <w:sz w:val="18"/>
                <w:szCs w:val="18"/>
              </w:rPr>
            </w:pPr>
            <w:r w:rsidRPr="00FC1D9A">
              <w:rPr>
                <w:rFonts w:ascii="Arial" w:hAnsi="Arial" w:cs="Arial"/>
                <w:color w:val="000000"/>
                <w:sz w:val="18"/>
                <w:szCs w:val="18"/>
              </w:rPr>
              <w:t>$513</w:t>
            </w:r>
          </w:p>
        </w:tc>
        <w:tc>
          <w:tcPr>
            <w:tcW w:w="851" w:type="dxa"/>
            <w:tcBorders>
              <w:top w:val="nil"/>
              <w:left w:val="nil"/>
              <w:bottom w:val="single" w:sz="4" w:space="0" w:color="000000"/>
              <w:right w:val="single" w:sz="4" w:space="0" w:color="000000"/>
            </w:tcBorders>
            <w:shd w:val="clear" w:color="000000" w:fill="FFFFFF"/>
            <w:noWrap/>
            <w:vAlign w:val="bottom"/>
            <w:hideMark/>
          </w:tcPr>
          <w:p w14:paraId="2336AFF8" w14:textId="77777777" w:rsidR="009C5632" w:rsidRPr="00FC1D9A" w:rsidRDefault="009C5632" w:rsidP="00240CC4">
            <w:pPr>
              <w:jc w:val="right"/>
              <w:rPr>
                <w:rFonts w:ascii="Arial" w:hAnsi="Arial" w:cs="Arial"/>
                <w:color w:val="000000"/>
                <w:sz w:val="18"/>
                <w:szCs w:val="18"/>
              </w:rPr>
            </w:pPr>
            <w:r w:rsidRPr="00FC1D9A">
              <w:rPr>
                <w:rFonts w:ascii="Arial" w:hAnsi="Arial" w:cs="Arial"/>
                <w:color w:val="000000"/>
                <w:sz w:val="18"/>
                <w:szCs w:val="18"/>
              </w:rPr>
              <w:t>$529</w:t>
            </w:r>
          </w:p>
        </w:tc>
        <w:tc>
          <w:tcPr>
            <w:tcW w:w="709" w:type="dxa"/>
            <w:tcBorders>
              <w:top w:val="nil"/>
              <w:left w:val="nil"/>
              <w:bottom w:val="single" w:sz="4" w:space="0" w:color="000000"/>
              <w:right w:val="single" w:sz="4" w:space="0" w:color="auto"/>
            </w:tcBorders>
            <w:shd w:val="clear" w:color="000000" w:fill="FFFFFF"/>
            <w:vAlign w:val="bottom"/>
          </w:tcPr>
          <w:p w14:paraId="04098E78" w14:textId="77777777" w:rsidR="009C5632" w:rsidRPr="00FC1D9A" w:rsidRDefault="009C5632" w:rsidP="00240CC4">
            <w:pPr>
              <w:jc w:val="right"/>
              <w:rPr>
                <w:rFonts w:ascii="Arial" w:hAnsi="Arial" w:cs="Arial"/>
                <w:sz w:val="18"/>
                <w:szCs w:val="18"/>
              </w:rPr>
            </w:pPr>
            <w:r w:rsidRPr="00FC1D9A">
              <w:rPr>
                <w:rFonts w:ascii="Arial" w:hAnsi="Arial" w:cs="Arial"/>
                <w:color w:val="000000"/>
                <w:sz w:val="18"/>
                <w:szCs w:val="18"/>
              </w:rPr>
              <w:t>np</w:t>
            </w:r>
          </w:p>
        </w:tc>
        <w:tc>
          <w:tcPr>
            <w:tcW w:w="567" w:type="dxa"/>
            <w:tcBorders>
              <w:top w:val="nil"/>
              <w:left w:val="single" w:sz="4" w:space="0" w:color="auto"/>
              <w:bottom w:val="single" w:sz="4" w:space="0" w:color="000000"/>
              <w:right w:val="single" w:sz="4" w:space="0" w:color="auto"/>
            </w:tcBorders>
            <w:shd w:val="clear" w:color="000000" w:fill="FFFFFF"/>
            <w:vAlign w:val="bottom"/>
          </w:tcPr>
          <w:p w14:paraId="7DAB4F1B" w14:textId="77777777" w:rsidR="009C5632" w:rsidRPr="00FC1D9A" w:rsidRDefault="009C5632" w:rsidP="00240CC4">
            <w:pPr>
              <w:jc w:val="right"/>
              <w:rPr>
                <w:rFonts w:ascii="Arial" w:hAnsi="Arial" w:cs="Arial"/>
                <w:sz w:val="18"/>
                <w:szCs w:val="18"/>
              </w:rPr>
            </w:pPr>
            <w:r w:rsidRPr="00FC1D9A">
              <w:rPr>
                <w:rFonts w:ascii="Arial" w:hAnsi="Arial" w:cs="Arial"/>
                <w:color w:val="000000"/>
                <w:sz w:val="18"/>
                <w:szCs w:val="18"/>
              </w:rPr>
              <w:t>np</w:t>
            </w:r>
          </w:p>
        </w:tc>
        <w:tc>
          <w:tcPr>
            <w:tcW w:w="647" w:type="dxa"/>
            <w:tcBorders>
              <w:top w:val="nil"/>
              <w:left w:val="single" w:sz="4" w:space="0" w:color="auto"/>
              <w:bottom w:val="single" w:sz="4" w:space="0" w:color="000000"/>
              <w:right w:val="single" w:sz="4" w:space="0" w:color="000000"/>
            </w:tcBorders>
            <w:shd w:val="clear" w:color="000000" w:fill="FFFFFF"/>
            <w:noWrap/>
            <w:vAlign w:val="bottom"/>
          </w:tcPr>
          <w:p w14:paraId="3006C3E2" w14:textId="77777777" w:rsidR="009C5632" w:rsidRPr="00FC1D9A" w:rsidRDefault="009C5632" w:rsidP="00240CC4">
            <w:pPr>
              <w:jc w:val="right"/>
              <w:rPr>
                <w:rFonts w:ascii="Arial" w:hAnsi="Arial" w:cs="Arial"/>
                <w:sz w:val="18"/>
                <w:szCs w:val="18"/>
              </w:rPr>
            </w:pPr>
            <w:r w:rsidRPr="00FC1D9A">
              <w:rPr>
                <w:rFonts w:ascii="Arial" w:hAnsi="Arial" w:cs="Arial"/>
                <w:color w:val="000000"/>
                <w:sz w:val="18"/>
                <w:szCs w:val="18"/>
              </w:rPr>
              <w:t>np</w:t>
            </w:r>
          </w:p>
        </w:tc>
        <w:tc>
          <w:tcPr>
            <w:tcW w:w="962" w:type="dxa"/>
            <w:tcBorders>
              <w:top w:val="nil"/>
              <w:left w:val="nil"/>
              <w:bottom w:val="single" w:sz="4" w:space="0" w:color="000000"/>
              <w:right w:val="single" w:sz="4" w:space="0" w:color="000000"/>
            </w:tcBorders>
            <w:shd w:val="clear" w:color="000000" w:fill="FFFFFF"/>
            <w:noWrap/>
            <w:vAlign w:val="bottom"/>
            <w:hideMark/>
          </w:tcPr>
          <w:p w14:paraId="0E957F5C" w14:textId="77777777" w:rsidR="009C5632" w:rsidRPr="00FC1D9A" w:rsidRDefault="009C5632" w:rsidP="00240CC4">
            <w:pPr>
              <w:jc w:val="right"/>
              <w:rPr>
                <w:rFonts w:ascii="Arial" w:hAnsi="Arial" w:cs="Arial"/>
                <w:b/>
                <w:color w:val="000000"/>
                <w:sz w:val="18"/>
                <w:szCs w:val="18"/>
              </w:rPr>
            </w:pPr>
            <w:r w:rsidRPr="00FC1D9A">
              <w:rPr>
                <w:rFonts w:ascii="Arial" w:hAnsi="Arial" w:cs="Arial"/>
                <w:b/>
                <w:color w:val="000000"/>
                <w:sz w:val="18"/>
                <w:szCs w:val="18"/>
              </w:rPr>
              <w:t>$240</w:t>
            </w:r>
          </w:p>
        </w:tc>
      </w:tr>
      <w:tr w:rsidR="009C5632" w:rsidRPr="00320EA7" w14:paraId="341609F0" w14:textId="77777777" w:rsidTr="00BA0206">
        <w:trPr>
          <w:trHeight w:val="300"/>
        </w:trPr>
        <w:tc>
          <w:tcPr>
            <w:tcW w:w="709" w:type="dxa"/>
            <w:vMerge/>
            <w:tcBorders>
              <w:left w:val="single" w:sz="4" w:space="0" w:color="000000"/>
              <w:right w:val="single" w:sz="4" w:space="0" w:color="000000"/>
            </w:tcBorders>
            <w:shd w:val="clear" w:color="000000" w:fill="FFFFFF"/>
            <w:noWrap/>
            <w:vAlign w:val="center"/>
            <w:hideMark/>
          </w:tcPr>
          <w:p w14:paraId="7562ABD6" w14:textId="2802B733" w:rsidR="009C5632" w:rsidRPr="00320EA7" w:rsidRDefault="009C5632" w:rsidP="00240CC4">
            <w:pPr>
              <w:rPr>
                <w:rFonts w:ascii="Arial" w:hAnsi="Arial" w:cs="Arial"/>
                <w:b/>
                <w:bCs/>
                <w:color w:val="000000"/>
                <w:sz w:val="16"/>
                <w:szCs w:val="16"/>
              </w:rPr>
            </w:pPr>
          </w:p>
        </w:tc>
        <w:tc>
          <w:tcPr>
            <w:tcW w:w="2127" w:type="dxa"/>
            <w:tcBorders>
              <w:top w:val="nil"/>
              <w:left w:val="nil"/>
              <w:bottom w:val="single" w:sz="4" w:space="0" w:color="000000"/>
              <w:right w:val="single" w:sz="4" w:space="0" w:color="000000"/>
            </w:tcBorders>
            <w:shd w:val="clear" w:color="000000" w:fill="FFFFFF"/>
            <w:noWrap/>
            <w:vAlign w:val="center"/>
            <w:hideMark/>
          </w:tcPr>
          <w:p w14:paraId="65672421" w14:textId="77777777" w:rsidR="009C5632" w:rsidRPr="00320EA7" w:rsidRDefault="009C5632" w:rsidP="00240CC4">
            <w:pPr>
              <w:rPr>
                <w:rFonts w:ascii="Arial" w:hAnsi="Arial" w:cs="Arial"/>
                <w:b/>
                <w:bCs/>
                <w:color w:val="000000"/>
                <w:sz w:val="16"/>
                <w:szCs w:val="16"/>
              </w:rPr>
            </w:pPr>
            <w:r w:rsidRPr="00320EA7">
              <w:rPr>
                <w:rFonts w:ascii="Arial" w:hAnsi="Arial" w:cs="Arial"/>
                <w:b/>
                <w:bCs/>
                <w:color w:val="000000"/>
                <w:sz w:val="16"/>
                <w:szCs w:val="16"/>
              </w:rPr>
              <w:t>75th Percentile</w:t>
            </w:r>
          </w:p>
        </w:tc>
        <w:tc>
          <w:tcPr>
            <w:tcW w:w="851" w:type="dxa"/>
            <w:tcBorders>
              <w:top w:val="nil"/>
              <w:left w:val="nil"/>
              <w:bottom w:val="single" w:sz="4" w:space="0" w:color="000000"/>
              <w:right w:val="single" w:sz="4" w:space="0" w:color="000000"/>
            </w:tcBorders>
            <w:shd w:val="clear" w:color="000000" w:fill="FFFFFF"/>
            <w:noWrap/>
            <w:vAlign w:val="bottom"/>
            <w:hideMark/>
          </w:tcPr>
          <w:p w14:paraId="40E1FBB3" w14:textId="77777777" w:rsidR="009C5632" w:rsidRPr="00FC1D9A" w:rsidRDefault="009C5632" w:rsidP="00240CC4">
            <w:pPr>
              <w:jc w:val="right"/>
              <w:rPr>
                <w:rFonts w:ascii="Arial" w:hAnsi="Arial" w:cs="Arial"/>
                <w:color w:val="000000"/>
                <w:sz w:val="18"/>
                <w:szCs w:val="18"/>
              </w:rPr>
            </w:pPr>
            <w:r w:rsidRPr="00FC1D9A">
              <w:rPr>
                <w:rFonts w:ascii="Arial" w:hAnsi="Arial" w:cs="Arial"/>
                <w:color w:val="000000"/>
                <w:sz w:val="18"/>
                <w:szCs w:val="18"/>
              </w:rPr>
              <w:t>$517</w:t>
            </w:r>
          </w:p>
        </w:tc>
        <w:tc>
          <w:tcPr>
            <w:tcW w:w="850" w:type="dxa"/>
            <w:tcBorders>
              <w:top w:val="nil"/>
              <w:left w:val="nil"/>
              <w:bottom w:val="single" w:sz="4" w:space="0" w:color="000000"/>
              <w:right w:val="single" w:sz="4" w:space="0" w:color="000000"/>
            </w:tcBorders>
            <w:shd w:val="clear" w:color="000000" w:fill="FFFFFF"/>
            <w:noWrap/>
            <w:vAlign w:val="bottom"/>
            <w:hideMark/>
          </w:tcPr>
          <w:p w14:paraId="3881E994" w14:textId="77777777" w:rsidR="009C5632" w:rsidRPr="00FC1D9A" w:rsidRDefault="009C5632" w:rsidP="00240CC4">
            <w:pPr>
              <w:jc w:val="right"/>
              <w:rPr>
                <w:rFonts w:ascii="Arial" w:hAnsi="Arial" w:cs="Arial"/>
                <w:color w:val="000000"/>
                <w:sz w:val="18"/>
                <w:szCs w:val="18"/>
              </w:rPr>
            </w:pPr>
            <w:r w:rsidRPr="00FC1D9A">
              <w:rPr>
                <w:rFonts w:ascii="Arial" w:hAnsi="Arial" w:cs="Arial"/>
                <w:color w:val="000000"/>
                <w:sz w:val="18"/>
                <w:szCs w:val="18"/>
              </w:rPr>
              <w:t>$514</w:t>
            </w:r>
          </w:p>
        </w:tc>
        <w:tc>
          <w:tcPr>
            <w:tcW w:w="851" w:type="dxa"/>
            <w:tcBorders>
              <w:top w:val="nil"/>
              <w:left w:val="nil"/>
              <w:bottom w:val="single" w:sz="4" w:space="0" w:color="000000"/>
              <w:right w:val="single" w:sz="4" w:space="0" w:color="000000"/>
            </w:tcBorders>
            <w:shd w:val="clear" w:color="000000" w:fill="FFFFFF"/>
            <w:noWrap/>
            <w:vAlign w:val="bottom"/>
            <w:hideMark/>
          </w:tcPr>
          <w:p w14:paraId="6AEAADA7" w14:textId="77777777" w:rsidR="009C5632" w:rsidRPr="00FC1D9A" w:rsidRDefault="009C5632" w:rsidP="00240CC4">
            <w:pPr>
              <w:jc w:val="right"/>
              <w:rPr>
                <w:rFonts w:ascii="Arial" w:hAnsi="Arial" w:cs="Arial"/>
                <w:color w:val="000000"/>
                <w:sz w:val="18"/>
                <w:szCs w:val="18"/>
              </w:rPr>
            </w:pPr>
            <w:r w:rsidRPr="00FC1D9A">
              <w:rPr>
                <w:rFonts w:ascii="Arial" w:hAnsi="Arial" w:cs="Arial"/>
                <w:color w:val="000000"/>
                <w:sz w:val="18"/>
                <w:szCs w:val="18"/>
              </w:rPr>
              <w:t>$552</w:t>
            </w:r>
          </w:p>
        </w:tc>
        <w:tc>
          <w:tcPr>
            <w:tcW w:w="708" w:type="dxa"/>
            <w:tcBorders>
              <w:top w:val="nil"/>
              <w:left w:val="nil"/>
              <w:bottom w:val="single" w:sz="4" w:space="0" w:color="000000"/>
              <w:right w:val="single" w:sz="4" w:space="0" w:color="000000"/>
            </w:tcBorders>
            <w:shd w:val="clear" w:color="000000" w:fill="FFFFFF"/>
            <w:noWrap/>
            <w:vAlign w:val="bottom"/>
            <w:hideMark/>
          </w:tcPr>
          <w:p w14:paraId="4814C62B" w14:textId="77777777" w:rsidR="009C5632" w:rsidRPr="00FC1D9A" w:rsidRDefault="009C5632" w:rsidP="00240CC4">
            <w:pPr>
              <w:jc w:val="right"/>
              <w:rPr>
                <w:rFonts w:ascii="Arial" w:hAnsi="Arial" w:cs="Arial"/>
                <w:color w:val="000000"/>
                <w:sz w:val="18"/>
                <w:szCs w:val="18"/>
              </w:rPr>
            </w:pPr>
            <w:r w:rsidRPr="00FC1D9A">
              <w:rPr>
                <w:rFonts w:ascii="Arial" w:hAnsi="Arial" w:cs="Arial"/>
                <w:color w:val="000000"/>
                <w:sz w:val="18"/>
                <w:szCs w:val="18"/>
              </w:rPr>
              <w:t>$517</w:t>
            </w:r>
          </w:p>
        </w:tc>
        <w:tc>
          <w:tcPr>
            <w:tcW w:w="851" w:type="dxa"/>
            <w:tcBorders>
              <w:top w:val="nil"/>
              <w:left w:val="nil"/>
              <w:bottom w:val="single" w:sz="4" w:space="0" w:color="000000"/>
              <w:right w:val="single" w:sz="4" w:space="0" w:color="000000"/>
            </w:tcBorders>
            <w:shd w:val="clear" w:color="000000" w:fill="FFFFFF"/>
            <w:noWrap/>
            <w:vAlign w:val="bottom"/>
            <w:hideMark/>
          </w:tcPr>
          <w:p w14:paraId="60034C0A" w14:textId="77777777" w:rsidR="009C5632" w:rsidRPr="00FC1D9A" w:rsidRDefault="009C5632" w:rsidP="00240CC4">
            <w:pPr>
              <w:jc w:val="right"/>
              <w:rPr>
                <w:rFonts w:ascii="Arial" w:hAnsi="Arial" w:cs="Arial"/>
                <w:color w:val="000000"/>
                <w:sz w:val="18"/>
                <w:szCs w:val="18"/>
              </w:rPr>
            </w:pPr>
            <w:r w:rsidRPr="00FC1D9A">
              <w:rPr>
                <w:rFonts w:ascii="Arial" w:hAnsi="Arial" w:cs="Arial"/>
                <w:color w:val="000000"/>
                <w:sz w:val="18"/>
                <w:szCs w:val="18"/>
              </w:rPr>
              <w:t>$556</w:t>
            </w:r>
          </w:p>
        </w:tc>
        <w:tc>
          <w:tcPr>
            <w:tcW w:w="709" w:type="dxa"/>
            <w:tcBorders>
              <w:top w:val="nil"/>
              <w:left w:val="nil"/>
              <w:bottom w:val="single" w:sz="4" w:space="0" w:color="000000"/>
              <w:right w:val="single" w:sz="4" w:space="0" w:color="auto"/>
            </w:tcBorders>
            <w:shd w:val="clear" w:color="000000" w:fill="FFFFFF"/>
            <w:vAlign w:val="bottom"/>
          </w:tcPr>
          <w:p w14:paraId="79891577" w14:textId="77777777" w:rsidR="009C5632" w:rsidRPr="00FC1D9A" w:rsidRDefault="009C5632" w:rsidP="00240CC4">
            <w:pPr>
              <w:jc w:val="right"/>
              <w:rPr>
                <w:rFonts w:ascii="Arial" w:hAnsi="Arial" w:cs="Arial"/>
                <w:sz w:val="18"/>
                <w:szCs w:val="18"/>
              </w:rPr>
            </w:pPr>
            <w:r w:rsidRPr="00FC1D9A">
              <w:rPr>
                <w:rFonts w:ascii="Arial" w:hAnsi="Arial" w:cs="Arial"/>
                <w:color w:val="000000"/>
                <w:sz w:val="18"/>
                <w:szCs w:val="18"/>
              </w:rPr>
              <w:t>np</w:t>
            </w:r>
          </w:p>
        </w:tc>
        <w:tc>
          <w:tcPr>
            <w:tcW w:w="567" w:type="dxa"/>
            <w:tcBorders>
              <w:top w:val="nil"/>
              <w:left w:val="single" w:sz="4" w:space="0" w:color="auto"/>
              <w:bottom w:val="single" w:sz="4" w:space="0" w:color="000000"/>
              <w:right w:val="single" w:sz="4" w:space="0" w:color="auto"/>
            </w:tcBorders>
            <w:shd w:val="clear" w:color="000000" w:fill="FFFFFF"/>
            <w:vAlign w:val="bottom"/>
          </w:tcPr>
          <w:p w14:paraId="1B095D69" w14:textId="77777777" w:rsidR="009C5632" w:rsidRPr="00FC1D9A" w:rsidRDefault="009C5632" w:rsidP="00240CC4">
            <w:pPr>
              <w:jc w:val="right"/>
              <w:rPr>
                <w:rFonts w:ascii="Arial" w:hAnsi="Arial" w:cs="Arial"/>
                <w:sz w:val="18"/>
                <w:szCs w:val="18"/>
              </w:rPr>
            </w:pPr>
            <w:r w:rsidRPr="00FC1D9A">
              <w:rPr>
                <w:rFonts w:ascii="Arial" w:hAnsi="Arial" w:cs="Arial"/>
                <w:color w:val="000000"/>
                <w:sz w:val="18"/>
                <w:szCs w:val="18"/>
              </w:rPr>
              <w:t>np</w:t>
            </w:r>
          </w:p>
        </w:tc>
        <w:tc>
          <w:tcPr>
            <w:tcW w:w="647" w:type="dxa"/>
            <w:tcBorders>
              <w:top w:val="nil"/>
              <w:left w:val="single" w:sz="4" w:space="0" w:color="auto"/>
              <w:bottom w:val="single" w:sz="4" w:space="0" w:color="000000"/>
              <w:right w:val="single" w:sz="4" w:space="0" w:color="000000"/>
            </w:tcBorders>
            <w:shd w:val="clear" w:color="000000" w:fill="FFFFFF"/>
            <w:noWrap/>
            <w:vAlign w:val="bottom"/>
          </w:tcPr>
          <w:p w14:paraId="51513D44" w14:textId="77777777" w:rsidR="009C5632" w:rsidRPr="00FC1D9A" w:rsidRDefault="009C5632" w:rsidP="00240CC4">
            <w:pPr>
              <w:jc w:val="right"/>
              <w:rPr>
                <w:rFonts w:ascii="Arial" w:hAnsi="Arial" w:cs="Arial"/>
                <w:sz w:val="18"/>
                <w:szCs w:val="18"/>
              </w:rPr>
            </w:pPr>
            <w:r w:rsidRPr="00FC1D9A">
              <w:rPr>
                <w:rFonts w:ascii="Arial" w:hAnsi="Arial" w:cs="Arial"/>
                <w:color w:val="000000"/>
                <w:sz w:val="18"/>
                <w:szCs w:val="18"/>
              </w:rPr>
              <w:t>np</w:t>
            </w:r>
          </w:p>
        </w:tc>
        <w:tc>
          <w:tcPr>
            <w:tcW w:w="962" w:type="dxa"/>
            <w:tcBorders>
              <w:top w:val="nil"/>
              <w:left w:val="nil"/>
              <w:bottom w:val="single" w:sz="4" w:space="0" w:color="000000"/>
              <w:right w:val="single" w:sz="4" w:space="0" w:color="000000"/>
            </w:tcBorders>
            <w:shd w:val="clear" w:color="000000" w:fill="FFFFFF"/>
            <w:noWrap/>
            <w:vAlign w:val="bottom"/>
            <w:hideMark/>
          </w:tcPr>
          <w:p w14:paraId="34A8356B" w14:textId="77777777" w:rsidR="009C5632" w:rsidRPr="00FC1D9A" w:rsidRDefault="009C5632" w:rsidP="00240CC4">
            <w:pPr>
              <w:jc w:val="right"/>
              <w:rPr>
                <w:rFonts w:ascii="Arial" w:hAnsi="Arial" w:cs="Arial"/>
                <w:b/>
                <w:color w:val="000000"/>
                <w:sz w:val="18"/>
                <w:szCs w:val="18"/>
              </w:rPr>
            </w:pPr>
            <w:r w:rsidRPr="00FC1D9A">
              <w:rPr>
                <w:rFonts w:ascii="Arial" w:hAnsi="Arial" w:cs="Arial"/>
                <w:b/>
                <w:color w:val="000000"/>
                <w:sz w:val="18"/>
                <w:szCs w:val="18"/>
              </w:rPr>
              <w:t>$350</w:t>
            </w:r>
          </w:p>
        </w:tc>
      </w:tr>
      <w:tr w:rsidR="009C5632" w:rsidRPr="00320EA7" w14:paraId="414A7119" w14:textId="77777777" w:rsidTr="00BA0206">
        <w:trPr>
          <w:trHeight w:val="300"/>
        </w:trPr>
        <w:tc>
          <w:tcPr>
            <w:tcW w:w="709" w:type="dxa"/>
            <w:vMerge/>
            <w:tcBorders>
              <w:left w:val="single" w:sz="4" w:space="0" w:color="000000"/>
              <w:right w:val="single" w:sz="4" w:space="0" w:color="000000"/>
            </w:tcBorders>
            <w:shd w:val="clear" w:color="000000" w:fill="FFFFFF"/>
            <w:noWrap/>
            <w:vAlign w:val="center"/>
            <w:hideMark/>
          </w:tcPr>
          <w:p w14:paraId="4C87FB47" w14:textId="2487586D" w:rsidR="009C5632" w:rsidRPr="00320EA7" w:rsidRDefault="009C5632" w:rsidP="00240CC4">
            <w:pPr>
              <w:rPr>
                <w:rFonts w:ascii="Arial" w:hAnsi="Arial" w:cs="Arial"/>
                <w:b/>
                <w:bCs/>
                <w:color w:val="000000"/>
                <w:sz w:val="16"/>
                <w:szCs w:val="16"/>
              </w:rPr>
            </w:pPr>
          </w:p>
        </w:tc>
        <w:tc>
          <w:tcPr>
            <w:tcW w:w="2127" w:type="dxa"/>
            <w:tcBorders>
              <w:top w:val="nil"/>
              <w:left w:val="nil"/>
              <w:bottom w:val="single" w:sz="4" w:space="0" w:color="000000"/>
              <w:right w:val="single" w:sz="4" w:space="0" w:color="000000"/>
            </w:tcBorders>
            <w:shd w:val="clear" w:color="000000" w:fill="FFFFFF"/>
            <w:noWrap/>
            <w:vAlign w:val="center"/>
            <w:hideMark/>
          </w:tcPr>
          <w:p w14:paraId="17BFAA63" w14:textId="77777777" w:rsidR="009C5632" w:rsidRPr="00320EA7" w:rsidRDefault="009C5632" w:rsidP="00240CC4">
            <w:pPr>
              <w:rPr>
                <w:rFonts w:ascii="Arial" w:hAnsi="Arial" w:cs="Arial"/>
                <w:b/>
                <w:bCs/>
                <w:color w:val="000000"/>
                <w:sz w:val="16"/>
                <w:szCs w:val="16"/>
              </w:rPr>
            </w:pPr>
            <w:r w:rsidRPr="00320EA7">
              <w:rPr>
                <w:rFonts w:ascii="Arial" w:hAnsi="Arial" w:cs="Arial"/>
                <w:b/>
                <w:bCs/>
                <w:color w:val="000000"/>
                <w:sz w:val="16"/>
                <w:szCs w:val="16"/>
              </w:rPr>
              <w:t>95th Percentile</w:t>
            </w:r>
            <w:r>
              <w:rPr>
                <w:rStyle w:val="FootnoteReference"/>
                <w:rFonts w:ascii="Arial" w:hAnsi="Arial" w:cs="Arial"/>
                <w:b/>
                <w:bCs/>
                <w:color w:val="000000"/>
                <w:sz w:val="16"/>
                <w:szCs w:val="16"/>
              </w:rPr>
              <w:footnoteReference w:id="1"/>
            </w:r>
          </w:p>
        </w:tc>
        <w:tc>
          <w:tcPr>
            <w:tcW w:w="851" w:type="dxa"/>
            <w:tcBorders>
              <w:top w:val="nil"/>
              <w:left w:val="nil"/>
              <w:bottom w:val="single" w:sz="4" w:space="0" w:color="000000"/>
              <w:right w:val="single" w:sz="4" w:space="0" w:color="000000"/>
            </w:tcBorders>
            <w:shd w:val="clear" w:color="000000" w:fill="FFFFFF"/>
            <w:noWrap/>
            <w:vAlign w:val="bottom"/>
            <w:hideMark/>
          </w:tcPr>
          <w:p w14:paraId="2EF85868" w14:textId="77777777" w:rsidR="009C5632" w:rsidRPr="00FC1D9A" w:rsidRDefault="009C5632" w:rsidP="00240CC4">
            <w:pPr>
              <w:jc w:val="right"/>
              <w:rPr>
                <w:rFonts w:ascii="Arial" w:hAnsi="Arial" w:cs="Arial"/>
                <w:color w:val="000000"/>
                <w:sz w:val="18"/>
                <w:szCs w:val="18"/>
              </w:rPr>
            </w:pPr>
            <w:r w:rsidRPr="00FC1D9A">
              <w:rPr>
                <w:rFonts w:ascii="Arial" w:hAnsi="Arial" w:cs="Arial"/>
                <w:color w:val="000000"/>
                <w:sz w:val="18"/>
                <w:szCs w:val="18"/>
              </w:rPr>
              <w:t>$644</w:t>
            </w:r>
          </w:p>
        </w:tc>
        <w:tc>
          <w:tcPr>
            <w:tcW w:w="850" w:type="dxa"/>
            <w:tcBorders>
              <w:top w:val="nil"/>
              <w:left w:val="nil"/>
              <w:bottom w:val="single" w:sz="4" w:space="0" w:color="000000"/>
              <w:right w:val="single" w:sz="4" w:space="0" w:color="000000"/>
            </w:tcBorders>
            <w:shd w:val="clear" w:color="000000" w:fill="FFFFFF"/>
            <w:noWrap/>
            <w:vAlign w:val="bottom"/>
            <w:hideMark/>
          </w:tcPr>
          <w:p w14:paraId="0864495A" w14:textId="77777777" w:rsidR="009C5632" w:rsidRPr="00FC1D9A" w:rsidRDefault="009C5632" w:rsidP="00240CC4">
            <w:pPr>
              <w:jc w:val="right"/>
              <w:rPr>
                <w:rFonts w:ascii="Arial" w:hAnsi="Arial" w:cs="Arial"/>
                <w:color w:val="000000"/>
                <w:sz w:val="18"/>
                <w:szCs w:val="18"/>
              </w:rPr>
            </w:pPr>
            <w:r w:rsidRPr="00FC1D9A">
              <w:rPr>
                <w:rFonts w:ascii="Arial" w:hAnsi="Arial" w:cs="Arial"/>
                <w:color w:val="000000"/>
                <w:sz w:val="18"/>
                <w:szCs w:val="18"/>
              </w:rPr>
              <w:t>$596</w:t>
            </w:r>
          </w:p>
        </w:tc>
        <w:tc>
          <w:tcPr>
            <w:tcW w:w="851" w:type="dxa"/>
            <w:tcBorders>
              <w:top w:val="nil"/>
              <w:left w:val="nil"/>
              <w:bottom w:val="single" w:sz="4" w:space="0" w:color="000000"/>
              <w:right w:val="single" w:sz="4" w:space="0" w:color="000000"/>
            </w:tcBorders>
            <w:shd w:val="clear" w:color="000000" w:fill="FFFFFF"/>
            <w:noWrap/>
            <w:vAlign w:val="bottom"/>
            <w:hideMark/>
          </w:tcPr>
          <w:p w14:paraId="0A5EC4AF" w14:textId="77777777" w:rsidR="009C5632" w:rsidRPr="00FC1D9A" w:rsidRDefault="009C5632" w:rsidP="00240CC4">
            <w:pPr>
              <w:jc w:val="right"/>
              <w:rPr>
                <w:rFonts w:ascii="Arial" w:hAnsi="Arial" w:cs="Arial"/>
                <w:color w:val="000000"/>
                <w:sz w:val="18"/>
                <w:szCs w:val="18"/>
              </w:rPr>
            </w:pPr>
            <w:r w:rsidRPr="00FC1D9A">
              <w:rPr>
                <w:rFonts w:ascii="Arial" w:hAnsi="Arial" w:cs="Arial"/>
                <w:color w:val="000000"/>
                <w:sz w:val="18"/>
                <w:szCs w:val="18"/>
              </w:rPr>
              <w:t>$610</w:t>
            </w:r>
          </w:p>
        </w:tc>
        <w:tc>
          <w:tcPr>
            <w:tcW w:w="708" w:type="dxa"/>
            <w:tcBorders>
              <w:top w:val="nil"/>
              <w:left w:val="nil"/>
              <w:bottom w:val="single" w:sz="4" w:space="0" w:color="000000"/>
              <w:right w:val="single" w:sz="4" w:space="0" w:color="000000"/>
            </w:tcBorders>
            <w:shd w:val="clear" w:color="000000" w:fill="FFFFFF"/>
            <w:noWrap/>
            <w:vAlign w:val="bottom"/>
            <w:hideMark/>
          </w:tcPr>
          <w:p w14:paraId="70AC2FE2" w14:textId="77777777" w:rsidR="009C5632" w:rsidRPr="00FC1D9A" w:rsidRDefault="009C5632" w:rsidP="00240CC4">
            <w:pPr>
              <w:jc w:val="right"/>
              <w:rPr>
                <w:rFonts w:ascii="Arial" w:hAnsi="Arial" w:cs="Arial"/>
                <w:color w:val="000000"/>
                <w:sz w:val="18"/>
                <w:szCs w:val="18"/>
              </w:rPr>
            </w:pPr>
            <w:r w:rsidRPr="00FC1D9A">
              <w:rPr>
                <w:rFonts w:ascii="Arial" w:hAnsi="Arial" w:cs="Arial"/>
                <w:color w:val="000000"/>
                <w:sz w:val="18"/>
                <w:szCs w:val="18"/>
              </w:rPr>
              <w:t>$575</w:t>
            </w:r>
          </w:p>
        </w:tc>
        <w:tc>
          <w:tcPr>
            <w:tcW w:w="851" w:type="dxa"/>
            <w:tcBorders>
              <w:top w:val="nil"/>
              <w:left w:val="nil"/>
              <w:bottom w:val="single" w:sz="4" w:space="0" w:color="000000"/>
              <w:right w:val="single" w:sz="4" w:space="0" w:color="000000"/>
            </w:tcBorders>
            <w:shd w:val="clear" w:color="000000" w:fill="FFFFFF"/>
            <w:noWrap/>
            <w:vAlign w:val="bottom"/>
            <w:hideMark/>
          </w:tcPr>
          <w:p w14:paraId="18B5E7CA" w14:textId="77777777" w:rsidR="009C5632" w:rsidRPr="00FC1D9A" w:rsidRDefault="009C5632" w:rsidP="00240CC4">
            <w:pPr>
              <w:jc w:val="right"/>
              <w:rPr>
                <w:rFonts w:ascii="Arial" w:hAnsi="Arial" w:cs="Arial"/>
                <w:color w:val="000000"/>
                <w:sz w:val="18"/>
                <w:szCs w:val="18"/>
              </w:rPr>
            </w:pPr>
            <w:r w:rsidRPr="00FC1D9A">
              <w:rPr>
                <w:rFonts w:ascii="Arial" w:hAnsi="Arial" w:cs="Arial"/>
                <w:color w:val="000000"/>
                <w:sz w:val="18"/>
                <w:szCs w:val="18"/>
              </w:rPr>
              <w:t>$603</w:t>
            </w:r>
          </w:p>
        </w:tc>
        <w:tc>
          <w:tcPr>
            <w:tcW w:w="709" w:type="dxa"/>
            <w:tcBorders>
              <w:top w:val="nil"/>
              <w:left w:val="nil"/>
              <w:bottom w:val="single" w:sz="4" w:space="0" w:color="000000"/>
              <w:right w:val="single" w:sz="4" w:space="0" w:color="auto"/>
            </w:tcBorders>
            <w:shd w:val="clear" w:color="000000" w:fill="FFFFFF"/>
            <w:vAlign w:val="bottom"/>
          </w:tcPr>
          <w:p w14:paraId="1589FF6F" w14:textId="77777777" w:rsidR="009C5632" w:rsidRPr="00FC1D9A" w:rsidRDefault="009C5632" w:rsidP="00240CC4">
            <w:pPr>
              <w:jc w:val="right"/>
              <w:rPr>
                <w:rFonts w:ascii="Arial" w:hAnsi="Arial" w:cs="Arial"/>
                <w:sz w:val="18"/>
                <w:szCs w:val="18"/>
              </w:rPr>
            </w:pPr>
            <w:r w:rsidRPr="00FC1D9A">
              <w:rPr>
                <w:rFonts w:ascii="Arial" w:hAnsi="Arial" w:cs="Arial"/>
                <w:color w:val="000000"/>
                <w:sz w:val="18"/>
                <w:szCs w:val="18"/>
              </w:rPr>
              <w:t>np</w:t>
            </w:r>
          </w:p>
        </w:tc>
        <w:tc>
          <w:tcPr>
            <w:tcW w:w="567" w:type="dxa"/>
            <w:tcBorders>
              <w:top w:val="nil"/>
              <w:left w:val="single" w:sz="4" w:space="0" w:color="auto"/>
              <w:bottom w:val="single" w:sz="4" w:space="0" w:color="000000"/>
              <w:right w:val="single" w:sz="4" w:space="0" w:color="auto"/>
            </w:tcBorders>
            <w:shd w:val="clear" w:color="000000" w:fill="FFFFFF"/>
            <w:vAlign w:val="bottom"/>
          </w:tcPr>
          <w:p w14:paraId="6A191100" w14:textId="77777777" w:rsidR="009C5632" w:rsidRPr="00FC1D9A" w:rsidRDefault="009C5632" w:rsidP="00240CC4">
            <w:pPr>
              <w:jc w:val="right"/>
              <w:rPr>
                <w:rFonts w:ascii="Arial" w:hAnsi="Arial" w:cs="Arial"/>
                <w:sz w:val="18"/>
                <w:szCs w:val="18"/>
              </w:rPr>
            </w:pPr>
            <w:r w:rsidRPr="00FC1D9A">
              <w:rPr>
                <w:rFonts w:ascii="Arial" w:hAnsi="Arial" w:cs="Arial"/>
                <w:color w:val="000000"/>
                <w:sz w:val="18"/>
                <w:szCs w:val="18"/>
              </w:rPr>
              <w:t>np</w:t>
            </w:r>
          </w:p>
        </w:tc>
        <w:tc>
          <w:tcPr>
            <w:tcW w:w="647" w:type="dxa"/>
            <w:tcBorders>
              <w:top w:val="nil"/>
              <w:left w:val="single" w:sz="4" w:space="0" w:color="auto"/>
              <w:bottom w:val="single" w:sz="4" w:space="0" w:color="000000"/>
              <w:right w:val="single" w:sz="4" w:space="0" w:color="000000"/>
            </w:tcBorders>
            <w:shd w:val="clear" w:color="000000" w:fill="FFFFFF"/>
            <w:noWrap/>
            <w:vAlign w:val="bottom"/>
          </w:tcPr>
          <w:p w14:paraId="5EAE185F" w14:textId="77777777" w:rsidR="009C5632" w:rsidRPr="00FC1D9A" w:rsidRDefault="009C5632" w:rsidP="00240CC4">
            <w:pPr>
              <w:jc w:val="right"/>
              <w:rPr>
                <w:rFonts w:ascii="Arial" w:hAnsi="Arial" w:cs="Arial"/>
                <w:sz w:val="18"/>
                <w:szCs w:val="18"/>
              </w:rPr>
            </w:pPr>
            <w:r w:rsidRPr="00FC1D9A">
              <w:rPr>
                <w:rFonts w:ascii="Arial" w:hAnsi="Arial" w:cs="Arial"/>
                <w:color w:val="000000"/>
                <w:sz w:val="18"/>
                <w:szCs w:val="18"/>
              </w:rPr>
              <w:t>np</w:t>
            </w:r>
          </w:p>
        </w:tc>
        <w:tc>
          <w:tcPr>
            <w:tcW w:w="962" w:type="dxa"/>
            <w:tcBorders>
              <w:top w:val="nil"/>
              <w:left w:val="nil"/>
              <w:bottom w:val="single" w:sz="4" w:space="0" w:color="000000"/>
              <w:right w:val="single" w:sz="4" w:space="0" w:color="000000"/>
            </w:tcBorders>
            <w:shd w:val="clear" w:color="000000" w:fill="FFFFFF"/>
            <w:noWrap/>
            <w:vAlign w:val="bottom"/>
            <w:hideMark/>
          </w:tcPr>
          <w:p w14:paraId="57E9D984" w14:textId="77777777" w:rsidR="009C5632" w:rsidRPr="00FC1D9A" w:rsidRDefault="009C5632" w:rsidP="00240CC4">
            <w:pPr>
              <w:jc w:val="right"/>
              <w:rPr>
                <w:rFonts w:ascii="Arial" w:hAnsi="Arial" w:cs="Arial"/>
                <w:b/>
                <w:color w:val="000000"/>
                <w:sz w:val="18"/>
                <w:szCs w:val="18"/>
              </w:rPr>
            </w:pPr>
            <w:r w:rsidRPr="00FC1D9A">
              <w:rPr>
                <w:rFonts w:ascii="Arial" w:hAnsi="Arial" w:cs="Arial"/>
                <w:b/>
                <w:color w:val="000000"/>
                <w:sz w:val="18"/>
                <w:szCs w:val="18"/>
              </w:rPr>
              <w:t>$500</w:t>
            </w:r>
          </w:p>
        </w:tc>
      </w:tr>
      <w:tr w:rsidR="009C5632" w:rsidRPr="00320EA7" w14:paraId="2257769B" w14:textId="77777777" w:rsidTr="00BA0206">
        <w:trPr>
          <w:trHeight w:val="300"/>
        </w:trPr>
        <w:tc>
          <w:tcPr>
            <w:tcW w:w="709" w:type="dxa"/>
            <w:vMerge/>
            <w:tcBorders>
              <w:left w:val="single" w:sz="4" w:space="0" w:color="000000"/>
              <w:bottom w:val="single" w:sz="4" w:space="0" w:color="auto"/>
              <w:right w:val="single" w:sz="4" w:space="0" w:color="000000"/>
            </w:tcBorders>
            <w:shd w:val="clear" w:color="000000" w:fill="FFFFFF"/>
            <w:noWrap/>
            <w:vAlign w:val="center"/>
            <w:hideMark/>
          </w:tcPr>
          <w:p w14:paraId="5FE1A53F" w14:textId="79618BA4" w:rsidR="009C5632" w:rsidRPr="00320EA7" w:rsidRDefault="009C5632" w:rsidP="00240CC4">
            <w:pPr>
              <w:rPr>
                <w:rFonts w:ascii="Arial" w:hAnsi="Arial" w:cs="Arial"/>
                <w:b/>
                <w:bCs/>
                <w:color w:val="000000"/>
                <w:sz w:val="16"/>
                <w:szCs w:val="16"/>
              </w:rPr>
            </w:pPr>
          </w:p>
        </w:tc>
        <w:tc>
          <w:tcPr>
            <w:tcW w:w="2127" w:type="dxa"/>
            <w:tcBorders>
              <w:top w:val="nil"/>
              <w:left w:val="nil"/>
              <w:bottom w:val="single" w:sz="4" w:space="0" w:color="000000"/>
              <w:right w:val="single" w:sz="4" w:space="0" w:color="000000"/>
            </w:tcBorders>
            <w:shd w:val="clear" w:color="000000" w:fill="FFFFFF"/>
            <w:noWrap/>
            <w:vAlign w:val="center"/>
            <w:hideMark/>
          </w:tcPr>
          <w:p w14:paraId="6E8D4191" w14:textId="77777777" w:rsidR="009C5632" w:rsidRPr="00320EA7" w:rsidRDefault="009C5632" w:rsidP="00240CC4">
            <w:pPr>
              <w:rPr>
                <w:rFonts w:ascii="Arial" w:hAnsi="Arial" w:cs="Arial"/>
                <w:b/>
                <w:bCs/>
                <w:color w:val="000000"/>
                <w:sz w:val="16"/>
                <w:szCs w:val="16"/>
              </w:rPr>
            </w:pPr>
            <w:r w:rsidRPr="00320EA7">
              <w:rPr>
                <w:rFonts w:ascii="Arial" w:hAnsi="Arial" w:cs="Arial"/>
                <w:b/>
                <w:bCs/>
                <w:color w:val="000000"/>
                <w:sz w:val="16"/>
                <w:szCs w:val="16"/>
              </w:rPr>
              <w:t>Bulk-billing Rate</w:t>
            </w:r>
          </w:p>
        </w:tc>
        <w:tc>
          <w:tcPr>
            <w:tcW w:w="851" w:type="dxa"/>
            <w:tcBorders>
              <w:top w:val="nil"/>
              <w:left w:val="nil"/>
              <w:bottom w:val="single" w:sz="4" w:space="0" w:color="000000"/>
              <w:right w:val="single" w:sz="4" w:space="0" w:color="000000"/>
            </w:tcBorders>
            <w:shd w:val="clear" w:color="000000" w:fill="FFFFFF"/>
            <w:noWrap/>
            <w:vAlign w:val="bottom"/>
            <w:hideMark/>
          </w:tcPr>
          <w:p w14:paraId="3C195628" w14:textId="77777777" w:rsidR="009C5632" w:rsidRPr="00FC1D9A" w:rsidRDefault="009C5632" w:rsidP="00240CC4">
            <w:pPr>
              <w:jc w:val="right"/>
              <w:rPr>
                <w:rFonts w:ascii="Arial" w:hAnsi="Arial" w:cs="Arial"/>
                <w:color w:val="000000"/>
                <w:sz w:val="18"/>
                <w:szCs w:val="18"/>
              </w:rPr>
            </w:pPr>
            <w:r w:rsidRPr="00FC1D9A">
              <w:rPr>
                <w:rFonts w:ascii="Arial" w:hAnsi="Arial" w:cs="Arial"/>
                <w:color w:val="000000"/>
                <w:sz w:val="18"/>
                <w:szCs w:val="18"/>
              </w:rPr>
              <w:t>83%</w:t>
            </w:r>
          </w:p>
        </w:tc>
        <w:tc>
          <w:tcPr>
            <w:tcW w:w="850" w:type="dxa"/>
            <w:tcBorders>
              <w:top w:val="nil"/>
              <w:left w:val="nil"/>
              <w:bottom w:val="single" w:sz="4" w:space="0" w:color="000000"/>
              <w:right w:val="single" w:sz="4" w:space="0" w:color="000000"/>
            </w:tcBorders>
            <w:shd w:val="clear" w:color="000000" w:fill="FFFFFF"/>
            <w:noWrap/>
            <w:vAlign w:val="bottom"/>
            <w:hideMark/>
          </w:tcPr>
          <w:p w14:paraId="330B0763" w14:textId="77777777" w:rsidR="009C5632" w:rsidRPr="00FC1D9A" w:rsidRDefault="009C5632" w:rsidP="00240CC4">
            <w:pPr>
              <w:jc w:val="right"/>
              <w:rPr>
                <w:rFonts w:ascii="Arial" w:hAnsi="Arial" w:cs="Arial"/>
                <w:color w:val="000000"/>
                <w:sz w:val="18"/>
                <w:szCs w:val="18"/>
              </w:rPr>
            </w:pPr>
            <w:r w:rsidRPr="00FC1D9A">
              <w:rPr>
                <w:rFonts w:ascii="Arial" w:hAnsi="Arial" w:cs="Arial"/>
                <w:color w:val="000000"/>
                <w:sz w:val="18"/>
                <w:szCs w:val="18"/>
              </w:rPr>
              <w:t>85%</w:t>
            </w:r>
          </w:p>
        </w:tc>
        <w:tc>
          <w:tcPr>
            <w:tcW w:w="851" w:type="dxa"/>
            <w:tcBorders>
              <w:top w:val="nil"/>
              <w:left w:val="nil"/>
              <w:bottom w:val="single" w:sz="4" w:space="0" w:color="000000"/>
              <w:right w:val="single" w:sz="4" w:space="0" w:color="000000"/>
            </w:tcBorders>
            <w:shd w:val="clear" w:color="000000" w:fill="FFFFFF"/>
            <w:noWrap/>
            <w:vAlign w:val="bottom"/>
            <w:hideMark/>
          </w:tcPr>
          <w:p w14:paraId="4927260C" w14:textId="77777777" w:rsidR="009C5632" w:rsidRPr="00FC1D9A" w:rsidRDefault="009C5632" w:rsidP="00240CC4">
            <w:pPr>
              <w:jc w:val="right"/>
              <w:rPr>
                <w:rFonts w:ascii="Arial" w:hAnsi="Arial" w:cs="Arial"/>
                <w:color w:val="000000"/>
                <w:sz w:val="18"/>
                <w:szCs w:val="18"/>
              </w:rPr>
            </w:pPr>
            <w:r w:rsidRPr="00FC1D9A">
              <w:rPr>
                <w:rFonts w:ascii="Arial" w:hAnsi="Arial" w:cs="Arial"/>
                <w:color w:val="000000"/>
                <w:sz w:val="18"/>
                <w:szCs w:val="18"/>
              </w:rPr>
              <w:t>43%</w:t>
            </w:r>
          </w:p>
        </w:tc>
        <w:tc>
          <w:tcPr>
            <w:tcW w:w="708" w:type="dxa"/>
            <w:tcBorders>
              <w:top w:val="nil"/>
              <w:left w:val="nil"/>
              <w:bottom w:val="single" w:sz="4" w:space="0" w:color="000000"/>
              <w:right w:val="single" w:sz="4" w:space="0" w:color="000000"/>
            </w:tcBorders>
            <w:shd w:val="clear" w:color="000000" w:fill="FFFFFF"/>
            <w:noWrap/>
            <w:vAlign w:val="bottom"/>
            <w:hideMark/>
          </w:tcPr>
          <w:p w14:paraId="7DEB8654" w14:textId="77777777" w:rsidR="009C5632" w:rsidRPr="00FC1D9A" w:rsidRDefault="009C5632" w:rsidP="00240CC4">
            <w:pPr>
              <w:jc w:val="right"/>
              <w:rPr>
                <w:rFonts w:ascii="Arial" w:hAnsi="Arial" w:cs="Arial"/>
                <w:color w:val="000000"/>
                <w:sz w:val="18"/>
                <w:szCs w:val="18"/>
              </w:rPr>
            </w:pPr>
            <w:r w:rsidRPr="00FC1D9A">
              <w:rPr>
                <w:rFonts w:ascii="Arial" w:hAnsi="Arial" w:cs="Arial"/>
                <w:color w:val="000000"/>
                <w:sz w:val="18"/>
                <w:szCs w:val="18"/>
              </w:rPr>
              <w:t>55%</w:t>
            </w:r>
          </w:p>
        </w:tc>
        <w:tc>
          <w:tcPr>
            <w:tcW w:w="851" w:type="dxa"/>
            <w:tcBorders>
              <w:top w:val="nil"/>
              <w:left w:val="nil"/>
              <w:bottom w:val="single" w:sz="4" w:space="0" w:color="000000"/>
              <w:right w:val="single" w:sz="4" w:space="0" w:color="000000"/>
            </w:tcBorders>
            <w:shd w:val="clear" w:color="000000" w:fill="FFFFFF"/>
            <w:noWrap/>
            <w:vAlign w:val="bottom"/>
            <w:hideMark/>
          </w:tcPr>
          <w:p w14:paraId="4F8D3AE7" w14:textId="77777777" w:rsidR="009C5632" w:rsidRPr="00FC1D9A" w:rsidRDefault="009C5632" w:rsidP="00240CC4">
            <w:pPr>
              <w:jc w:val="right"/>
              <w:rPr>
                <w:rFonts w:ascii="Arial" w:hAnsi="Arial" w:cs="Arial"/>
                <w:color w:val="000000"/>
                <w:sz w:val="18"/>
                <w:szCs w:val="18"/>
              </w:rPr>
            </w:pPr>
            <w:r w:rsidRPr="00FC1D9A">
              <w:rPr>
                <w:rFonts w:ascii="Arial" w:hAnsi="Arial" w:cs="Arial"/>
                <w:color w:val="000000"/>
                <w:sz w:val="18"/>
                <w:szCs w:val="18"/>
              </w:rPr>
              <w:t>21%</w:t>
            </w:r>
          </w:p>
        </w:tc>
        <w:tc>
          <w:tcPr>
            <w:tcW w:w="709" w:type="dxa"/>
            <w:tcBorders>
              <w:top w:val="nil"/>
              <w:left w:val="nil"/>
              <w:bottom w:val="single" w:sz="4" w:space="0" w:color="000000"/>
              <w:right w:val="single" w:sz="4" w:space="0" w:color="auto"/>
            </w:tcBorders>
            <w:shd w:val="clear" w:color="000000" w:fill="FFFFFF"/>
            <w:vAlign w:val="bottom"/>
          </w:tcPr>
          <w:p w14:paraId="78198974" w14:textId="77777777" w:rsidR="009C5632" w:rsidRPr="00FC1D9A" w:rsidRDefault="009C5632" w:rsidP="00240CC4">
            <w:pPr>
              <w:jc w:val="right"/>
              <w:rPr>
                <w:rFonts w:ascii="Arial" w:hAnsi="Arial" w:cs="Arial"/>
                <w:sz w:val="18"/>
                <w:szCs w:val="18"/>
              </w:rPr>
            </w:pPr>
            <w:r w:rsidRPr="00FC1D9A">
              <w:rPr>
                <w:rFonts w:ascii="Arial" w:hAnsi="Arial" w:cs="Arial"/>
                <w:color w:val="000000"/>
                <w:sz w:val="18"/>
                <w:szCs w:val="18"/>
              </w:rPr>
              <w:t>np</w:t>
            </w:r>
          </w:p>
        </w:tc>
        <w:tc>
          <w:tcPr>
            <w:tcW w:w="567" w:type="dxa"/>
            <w:tcBorders>
              <w:top w:val="nil"/>
              <w:left w:val="single" w:sz="4" w:space="0" w:color="auto"/>
              <w:bottom w:val="single" w:sz="4" w:space="0" w:color="000000"/>
              <w:right w:val="single" w:sz="4" w:space="0" w:color="auto"/>
            </w:tcBorders>
            <w:shd w:val="clear" w:color="000000" w:fill="FFFFFF"/>
            <w:vAlign w:val="bottom"/>
          </w:tcPr>
          <w:p w14:paraId="06BB29AB" w14:textId="77777777" w:rsidR="009C5632" w:rsidRPr="00FC1D9A" w:rsidRDefault="009C5632" w:rsidP="00240CC4">
            <w:pPr>
              <w:jc w:val="right"/>
              <w:rPr>
                <w:rFonts w:ascii="Arial" w:hAnsi="Arial" w:cs="Arial"/>
                <w:sz w:val="18"/>
                <w:szCs w:val="18"/>
              </w:rPr>
            </w:pPr>
            <w:r w:rsidRPr="00FC1D9A">
              <w:rPr>
                <w:rFonts w:ascii="Arial" w:hAnsi="Arial" w:cs="Arial"/>
                <w:color w:val="000000"/>
                <w:sz w:val="18"/>
                <w:szCs w:val="18"/>
              </w:rPr>
              <w:t>np</w:t>
            </w:r>
          </w:p>
        </w:tc>
        <w:tc>
          <w:tcPr>
            <w:tcW w:w="647" w:type="dxa"/>
            <w:tcBorders>
              <w:top w:val="nil"/>
              <w:left w:val="single" w:sz="4" w:space="0" w:color="auto"/>
              <w:bottom w:val="single" w:sz="4" w:space="0" w:color="000000"/>
              <w:right w:val="single" w:sz="4" w:space="0" w:color="000000"/>
            </w:tcBorders>
            <w:shd w:val="clear" w:color="000000" w:fill="FFFFFF"/>
            <w:noWrap/>
            <w:vAlign w:val="bottom"/>
            <w:hideMark/>
          </w:tcPr>
          <w:p w14:paraId="553A48A1" w14:textId="77777777" w:rsidR="009C5632" w:rsidRPr="00FC1D9A" w:rsidRDefault="009C5632" w:rsidP="00240CC4">
            <w:pPr>
              <w:jc w:val="right"/>
              <w:rPr>
                <w:rFonts w:ascii="Arial" w:hAnsi="Arial" w:cs="Arial"/>
                <w:sz w:val="18"/>
                <w:szCs w:val="18"/>
              </w:rPr>
            </w:pPr>
            <w:r w:rsidRPr="00FC1D9A">
              <w:rPr>
                <w:rFonts w:ascii="Arial" w:hAnsi="Arial" w:cs="Arial"/>
                <w:color w:val="000000"/>
                <w:sz w:val="18"/>
                <w:szCs w:val="18"/>
              </w:rPr>
              <w:t>np</w:t>
            </w:r>
          </w:p>
        </w:tc>
        <w:tc>
          <w:tcPr>
            <w:tcW w:w="962" w:type="dxa"/>
            <w:tcBorders>
              <w:top w:val="nil"/>
              <w:left w:val="nil"/>
              <w:bottom w:val="single" w:sz="4" w:space="0" w:color="000000"/>
              <w:right w:val="single" w:sz="4" w:space="0" w:color="000000"/>
            </w:tcBorders>
            <w:shd w:val="clear" w:color="000000" w:fill="FFFFFF"/>
            <w:noWrap/>
            <w:vAlign w:val="bottom"/>
            <w:hideMark/>
          </w:tcPr>
          <w:p w14:paraId="38013B94" w14:textId="77777777" w:rsidR="009C5632" w:rsidRPr="00FC1D9A" w:rsidRDefault="009C5632" w:rsidP="00240CC4">
            <w:pPr>
              <w:jc w:val="right"/>
              <w:rPr>
                <w:rFonts w:ascii="Arial" w:hAnsi="Arial" w:cs="Arial"/>
                <w:b/>
                <w:color w:val="000000"/>
                <w:sz w:val="18"/>
                <w:szCs w:val="18"/>
              </w:rPr>
            </w:pPr>
            <w:r w:rsidRPr="00FC1D9A">
              <w:rPr>
                <w:rFonts w:ascii="Arial" w:hAnsi="Arial" w:cs="Arial"/>
                <w:b/>
                <w:color w:val="000000"/>
                <w:sz w:val="18"/>
                <w:szCs w:val="18"/>
              </w:rPr>
              <w:t>73%</w:t>
            </w:r>
          </w:p>
        </w:tc>
      </w:tr>
      <w:tr w:rsidR="009C5632" w:rsidRPr="00320EA7" w14:paraId="73ECA189" w14:textId="77777777" w:rsidTr="00BA0206">
        <w:trPr>
          <w:trHeight w:val="300"/>
        </w:trPr>
        <w:tc>
          <w:tcPr>
            <w:tcW w:w="709" w:type="dxa"/>
            <w:vMerge w:val="restart"/>
            <w:tcBorders>
              <w:top w:val="single" w:sz="4" w:space="0" w:color="auto"/>
              <w:left w:val="single" w:sz="4" w:space="0" w:color="000000"/>
              <w:right w:val="single" w:sz="4" w:space="0" w:color="000000"/>
            </w:tcBorders>
            <w:shd w:val="clear" w:color="000000" w:fill="FFFFFF"/>
            <w:noWrap/>
            <w:vAlign w:val="center"/>
            <w:hideMark/>
          </w:tcPr>
          <w:p w14:paraId="106DE9FC" w14:textId="12B9C0A4" w:rsidR="009C5632" w:rsidRPr="00320EA7" w:rsidRDefault="009C5632" w:rsidP="009C5632">
            <w:pPr>
              <w:rPr>
                <w:rFonts w:ascii="Arial" w:hAnsi="Arial" w:cs="Arial"/>
                <w:b/>
                <w:bCs/>
                <w:color w:val="000000"/>
                <w:sz w:val="16"/>
                <w:szCs w:val="16"/>
              </w:rPr>
            </w:pPr>
            <w:r>
              <w:rPr>
                <w:rFonts w:ascii="Arial" w:hAnsi="Arial" w:cs="Arial"/>
                <w:b/>
                <w:bCs/>
                <w:color w:val="000000"/>
                <w:sz w:val="16"/>
                <w:szCs w:val="16"/>
              </w:rPr>
              <w:t>2015-16</w:t>
            </w:r>
          </w:p>
        </w:tc>
        <w:tc>
          <w:tcPr>
            <w:tcW w:w="2127" w:type="dxa"/>
            <w:tcBorders>
              <w:top w:val="nil"/>
              <w:left w:val="nil"/>
              <w:bottom w:val="single" w:sz="4" w:space="0" w:color="000000"/>
              <w:right w:val="single" w:sz="4" w:space="0" w:color="000000"/>
            </w:tcBorders>
            <w:shd w:val="clear" w:color="000000" w:fill="FFFFFF"/>
            <w:noWrap/>
            <w:vAlign w:val="center"/>
            <w:hideMark/>
          </w:tcPr>
          <w:p w14:paraId="63B61B92" w14:textId="77777777" w:rsidR="009C5632" w:rsidRPr="00320EA7" w:rsidRDefault="009C5632" w:rsidP="00240CC4">
            <w:pPr>
              <w:rPr>
                <w:rFonts w:ascii="Arial" w:hAnsi="Arial" w:cs="Arial"/>
                <w:b/>
                <w:bCs/>
                <w:color w:val="000000"/>
                <w:sz w:val="16"/>
                <w:szCs w:val="16"/>
              </w:rPr>
            </w:pPr>
            <w:r w:rsidRPr="00320EA7">
              <w:rPr>
                <w:rFonts w:ascii="Arial" w:hAnsi="Arial" w:cs="Arial"/>
                <w:b/>
                <w:bCs/>
                <w:color w:val="000000"/>
                <w:sz w:val="16"/>
                <w:szCs w:val="16"/>
              </w:rPr>
              <w:t xml:space="preserve">Average Fee Charged </w:t>
            </w:r>
          </w:p>
        </w:tc>
        <w:tc>
          <w:tcPr>
            <w:tcW w:w="851" w:type="dxa"/>
            <w:tcBorders>
              <w:top w:val="nil"/>
              <w:left w:val="nil"/>
              <w:bottom w:val="single" w:sz="4" w:space="0" w:color="000000"/>
              <w:right w:val="single" w:sz="4" w:space="0" w:color="000000"/>
            </w:tcBorders>
            <w:shd w:val="clear" w:color="000000" w:fill="FFFFFF"/>
            <w:noWrap/>
            <w:vAlign w:val="bottom"/>
            <w:hideMark/>
          </w:tcPr>
          <w:p w14:paraId="5C4CA4A0" w14:textId="77777777" w:rsidR="009C5632" w:rsidRPr="00FC1D9A" w:rsidRDefault="009C5632" w:rsidP="00240CC4">
            <w:pPr>
              <w:jc w:val="right"/>
              <w:rPr>
                <w:rFonts w:ascii="Arial" w:hAnsi="Arial" w:cs="Arial"/>
                <w:color w:val="000000"/>
                <w:sz w:val="18"/>
                <w:szCs w:val="18"/>
              </w:rPr>
            </w:pPr>
            <w:r w:rsidRPr="00FC1D9A">
              <w:rPr>
                <w:rFonts w:ascii="Arial" w:hAnsi="Arial" w:cs="Arial"/>
                <w:color w:val="000000"/>
                <w:sz w:val="18"/>
                <w:szCs w:val="18"/>
              </w:rPr>
              <w:t>$483</w:t>
            </w:r>
          </w:p>
        </w:tc>
        <w:tc>
          <w:tcPr>
            <w:tcW w:w="850" w:type="dxa"/>
            <w:tcBorders>
              <w:top w:val="nil"/>
              <w:left w:val="nil"/>
              <w:bottom w:val="single" w:sz="4" w:space="0" w:color="000000"/>
              <w:right w:val="single" w:sz="4" w:space="0" w:color="000000"/>
            </w:tcBorders>
            <w:shd w:val="clear" w:color="000000" w:fill="FFFFFF"/>
            <w:noWrap/>
            <w:vAlign w:val="bottom"/>
            <w:hideMark/>
          </w:tcPr>
          <w:p w14:paraId="0354803F" w14:textId="77777777" w:rsidR="009C5632" w:rsidRPr="00FC1D9A" w:rsidRDefault="009C5632" w:rsidP="00240CC4">
            <w:pPr>
              <w:jc w:val="right"/>
              <w:rPr>
                <w:rFonts w:ascii="Arial" w:hAnsi="Arial" w:cs="Arial"/>
                <w:color w:val="000000"/>
                <w:sz w:val="18"/>
                <w:szCs w:val="18"/>
              </w:rPr>
            </w:pPr>
            <w:r w:rsidRPr="00FC1D9A">
              <w:rPr>
                <w:rFonts w:ascii="Arial" w:hAnsi="Arial" w:cs="Arial"/>
                <w:color w:val="000000"/>
                <w:sz w:val="18"/>
                <w:szCs w:val="18"/>
              </w:rPr>
              <w:t>$448</w:t>
            </w:r>
          </w:p>
        </w:tc>
        <w:tc>
          <w:tcPr>
            <w:tcW w:w="851" w:type="dxa"/>
            <w:tcBorders>
              <w:top w:val="nil"/>
              <w:left w:val="nil"/>
              <w:bottom w:val="single" w:sz="4" w:space="0" w:color="000000"/>
              <w:right w:val="single" w:sz="4" w:space="0" w:color="000000"/>
            </w:tcBorders>
            <w:shd w:val="clear" w:color="000000" w:fill="FFFFFF"/>
            <w:noWrap/>
            <w:vAlign w:val="bottom"/>
            <w:hideMark/>
          </w:tcPr>
          <w:p w14:paraId="5BC89680" w14:textId="77777777" w:rsidR="009C5632" w:rsidRPr="00FC1D9A" w:rsidRDefault="009C5632" w:rsidP="00240CC4">
            <w:pPr>
              <w:jc w:val="right"/>
              <w:rPr>
                <w:rFonts w:ascii="Arial" w:hAnsi="Arial" w:cs="Arial"/>
                <w:color w:val="000000"/>
                <w:sz w:val="18"/>
                <w:szCs w:val="18"/>
              </w:rPr>
            </w:pPr>
            <w:r w:rsidRPr="00FC1D9A">
              <w:rPr>
                <w:rFonts w:ascii="Arial" w:hAnsi="Arial" w:cs="Arial"/>
                <w:color w:val="000000"/>
                <w:sz w:val="18"/>
                <w:szCs w:val="18"/>
              </w:rPr>
              <w:t>$504</w:t>
            </w:r>
          </w:p>
        </w:tc>
        <w:tc>
          <w:tcPr>
            <w:tcW w:w="708" w:type="dxa"/>
            <w:tcBorders>
              <w:top w:val="nil"/>
              <w:left w:val="nil"/>
              <w:bottom w:val="single" w:sz="4" w:space="0" w:color="000000"/>
              <w:right w:val="single" w:sz="4" w:space="0" w:color="000000"/>
            </w:tcBorders>
            <w:shd w:val="clear" w:color="000000" w:fill="FFFFFF"/>
            <w:noWrap/>
            <w:vAlign w:val="bottom"/>
            <w:hideMark/>
          </w:tcPr>
          <w:p w14:paraId="39428D63" w14:textId="77777777" w:rsidR="009C5632" w:rsidRPr="00FC1D9A" w:rsidRDefault="009C5632" w:rsidP="00240CC4">
            <w:pPr>
              <w:jc w:val="right"/>
              <w:rPr>
                <w:rFonts w:ascii="Arial" w:hAnsi="Arial" w:cs="Arial"/>
                <w:color w:val="000000"/>
                <w:sz w:val="18"/>
                <w:szCs w:val="18"/>
              </w:rPr>
            </w:pPr>
            <w:r w:rsidRPr="00FC1D9A">
              <w:rPr>
                <w:rFonts w:ascii="Arial" w:hAnsi="Arial" w:cs="Arial"/>
                <w:color w:val="000000"/>
                <w:sz w:val="18"/>
                <w:szCs w:val="18"/>
              </w:rPr>
              <w:t>$457</w:t>
            </w:r>
          </w:p>
        </w:tc>
        <w:tc>
          <w:tcPr>
            <w:tcW w:w="851" w:type="dxa"/>
            <w:tcBorders>
              <w:top w:val="nil"/>
              <w:left w:val="nil"/>
              <w:bottom w:val="single" w:sz="4" w:space="0" w:color="000000"/>
              <w:right w:val="single" w:sz="4" w:space="0" w:color="000000"/>
            </w:tcBorders>
            <w:shd w:val="clear" w:color="000000" w:fill="FFFFFF"/>
            <w:noWrap/>
            <w:vAlign w:val="bottom"/>
            <w:hideMark/>
          </w:tcPr>
          <w:p w14:paraId="4936D420" w14:textId="77777777" w:rsidR="009C5632" w:rsidRPr="00FC1D9A" w:rsidRDefault="009C5632" w:rsidP="00240CC4">
            <w:pPr>
              <w:jc w:val="right"/>
              <w:rPr>
                <w:rFonts w:ascii="Arial" w:hAnsi="Arial" w:cs="Arial"/>
                <w:color w:val="000000"/>
                <w:sz w:val="18"/>
                <w:szCs w:val="18"/>
              </w:rPr>
            </w:pPr>
            <w:r w:rsidRPr="00FC1D9A">
              <w:rPr>
                <w:rFonts w:ascii="Arial" w:hAnsi="Arial" w:cs="Arial"/>
                <w:color w:val="000000"/>
                <w:sz w:val="18"/>
                <w:szCs w:val="18"/>
              </w:rPr>
              <w:t>$546</w:t>
            </w:r>
          </w:p>
        </w:tc>
        <w:tc>
          <w:tcPr>
            <w:tcW w:w="709" w:type="dxa"/>
            <w:tcBorders>
              <w:top w:val="nil"/>
              <w:left w:val="nil"/>
              <w:bottom w:val="single" w:sz="4" w:space="0" w:color="000000"/>
              <w:right w:val="single" w:sz="4" w:space="0" w:color="auto"/>
            </w:tcBorders>
            <w:shd w:val="clear" w:color="000000" w:fill="FFFFFF"/>
            <w:vAlign w:val="bottom"/>
          </w:tcPr>
          <w:p w14:paraId="57749C33" w14:textId="77777777" w:rsidR="009C5632" w:rsidRPr="00FC1D9A" w:rsidRDefault="009C5632" w:rsidP="00240CC4">
            <w:pPr>
              <w:jc w:val="right"/>
              <w:rPr>
                <w:rFonts w:ascii="Arial" w:hAnsi="Arial" w:cs="Arial"/>
                <w:sz w:val="18"/>
                <w:szCs w:val="18"/>
              </w:rPr>
            </w:pPr>
            <w:r w:rsidRPr="00FC1D9A">
              <w:rPr>
                <w:rFonts w:ascii="Arial" w:hAnsi="Arial" w:cs="Arial"/>
                <w:color w:val="000000"/>
                <w:sz w:val="18"/>
                <w:szCs w:val="18"/>
              </w:rPr>
              <w:t>np</w:t>
            </w:r>
          </w:p>
        </w:tc>
        <w:tc>
          <w:tcPr>
            <w:tcW w:w="567" w:type="dxa"/>
            <w:tcBorders>
              <w:top w:val="nil"/>
              <w:left w:val="single" w:sz="4" w:space="0" w:color="auto"/>
              <w:bottom w:val="single" w:sz="4" w:space="0" w:color="000000"/>
              <w:right w:val="single" w:sz="4" w:space="0" w:color="auto"/>
            </w:tcBorders>
            <w:shd w:val="clear" w:color="000000" w:fill="FFFFFF"/>
            <w:vAlign w:val="bottom"/>
          </w:tcPr>
          <w:p w14:paraId="2F9942CB" w14:textId="77777777" w:rsidR="009C5632" w:rsidRPr="00FC1D9A" w:rsidRDefault="009C5632" w:rsidP="00240CC4">
            <w:pPr>
              <w:jc w:val="right"/>
              <w:rPr>
                <w:rFonts w:ascii="Arial" w:hAnsi="Arial" w:cs="Arial"/>
                <w:sz w:val="18"/>
                <w:szCs w:val="18"/>
              </w:rPr>
            </w:pPr>
            <w:r w:rsidRPr="00FC1D9A">
              <w:rPr>
                <w:rFonts w:ascii="Arial" w:hAnsi="Arial" w:cs="Arial"/>
                <w:color w:val="000000"/>
                <w:sz w:val="18"/>
                <w:szCs w:val="18"/>
              </w:rPr>
              <w:t>np</w:t>
            </w:r>
          </w:p>
        </w:tc>
        <w:tc>
          <w:tcPr>
            <w:tcW w:w="647" w:type="dxa"/>
            <w:tcBorders>
              <w:top w:val="nil"/>
              <w:left w:val="single" w:sz="4" w:space="0" w:color="auto"/>
              <w:bottom w:val="single" w:sz="4" w:space="0" w:color="000000"/>
              <w:right w:val="single" w:sz="4" w:space="0" w:color="000000"/>
            </w:tcBorders>
            <w:shd w:val="clear" w:color="000000" w:fill="FFFFFF"/>
            <w:noWrap/>
            <w:vAlign w:val="bottom"/>
            <w:hideMark/>
          </w:tcPr>
          <w:p w14:paraId="25A43FA9" w14:textId="77777777" w:rsidR="009C5632" w:rsidRPr="00FC1D9A" w:rsidRDefault="009C5632" w:rsidP="00240CC4">
            <w:pPr>
              <w:jc w:val="right"/>
              <w:rPr>
                <w:rFonts w:ascii="Arial" w:hAnsi="Arial" w:cs="Arial"/>
                <w:sz w:val="18"/>
                <w:szCs w:val="18"/>
              </w:rPr>
            </w:pPr>
            <w:r w:rsidRPr="00FC1D9A">
              <w:rPr>
                <w:rFonts w:ascii="Arial" w:hAnsi="Arial" w:cs="Arial"/>
                <w:color w:val="000000"/>
                <w:sz w:val="18"/>
                <w:szCs w:val="18"/>
              </w:rPr>
              <w:t>np</w:t>
            </w:r>
          </w:p>
        </w:tc>
        <w:tc>
          <w:tcPr>
            <w:tcW w:w="962" w:type="dxa"/>
            <w:tcBorders>
              <w:top w:val="nil"/>
              <w:left w:val="nil"/>
              <w:bottom w:val="single" w:sz="4" w:space="0" w:color="000000"/>
              <w:right w:val="single" w:sz="4" w:space="0" w:color="000000"/>
            </w:tcBorders>
            <w:shd w:val="clear" w:color="000000" w:fill="FFFFFF"/>
            <w:noWrap/>
            <w:vAlign w:val="bottom"/>
            <w:hideMark/>
          </w:tcPr>
          <w:p w14:paraId="292B0F09" w14:textId="77777777" w:rsidR="009C5632" w:rsidRPr="00FC1D9A" w:rsidRDefault="009C5632" w:rsidP="00240CC4">
            <w:pPr>
              <w:jc w:val="right"/>
              <w:rPr>
                <w:rFonts w:ascii="Arial" w:hAnsi="Arial" w:cs="Arial"/>
                <w:b/>
                <w:color w:val="000000"/>
                <w:sz w:val="18"/>
                <w:szCs w:val="18"/>
              </w:rPr>
            </w:pPr>
            <w:r w:rsidRPr="00FC1D9A">
              <w:rPr>
                <w:rFonts w:ascii="Arial" w:hAnsi="Arial" w:cs="Arial"/>
                <w:b/>
                <w:color w:val="000000"/>
                <w:sz w:val="18"/>
                <w:szCs w:val="18"/>
              </w:rPr>
              <w:t>$489</w:t>
            </w:r>
          </w:p>
        </w:tc>
      </w:tr>
      <w:tr w:rsidR="009C5632" w:rsidRPr="00320EA7" w14:paraId="64D256AD" w14:textId="77777777" w:rsidTr="00BA0206">
        <w:trPr>
          <w:trHeight w:val="300"/>
        </w:trPr>
        <w:tc>
          <w:tcPr>
            <w:tcW w:w="709" w:type="dxa"/>
            <w:vMerge/>
            <w:tcBorders>
              <w:left w:val="single" w:sz="4" w:space="0" w:color="000000"/>
              <w:right w:val="single" w:sz="4" w:space="0" w:color="000000"/>
            </w:tcBorders>
            <w:shd w:val="clear" w:color="000000" w:fill="FFFFFF"/>
            <w:noWrap/>
            <w:vAlign w:val="center"/>
            <w:hideMark/>
          </w:tcPr>
          <w:p w14:paraId="57FDF9BB" w14:textId="0524D37F" w:rsidR="009C5632" w:rsidRPr="00320EA7" w:rsidRDefault="009C5632" w:rsidP="00240CC4">
            <w:pPr>
              <w:rPr>
                <w:rFonts w:ascii="Arial" w:hAnsi="Arial" w:cs="Arial"/>
                <w:b/>
                <w:bCs/>
                <w:color w:val="000000"/>
                <w:sz w:val="16"/>
                <w:szCs w:val="16"/>
              </w:rPr>
            </w:pPr>
          </w:p>
        </w:tc>
        <w:tc>
          <w:tcPr>
            <w:tcW w:w="2127" w:type="dxa"/>
            <w:tcBorders>
              <w:top w:val="nil"/>
              <w:left w:val="nil"/>
              <w:bottom w:val="single" w:sz="4" w:space="0" w:color="000000"/>
              <w:right w:val="single" w:sz="4" w:space="0" w:color="000000"/>
            </w:tcBorders>
            <w:shd w:val="clear" w:color="000000" w:fill="FFFFFF"/>
            <w:noWrap/>
            <w:vAlign w:val="center"/>
            <w:hideMark/>
          </w:tcPr>
          <w:p w14:paraId="4562699A" w14:textId="77777777" w:rsidR="009C5632" w:rsidRPr="00320EA7" w:rsidRDefault="009C5632" w:rsidP="00240CC4">
            <w:pPr>
              <w:rPr>
                <w:rFonts w:ascii="Arial" w:hAnsi="Arial" w:cs="Arial"/>
                <w:b/>
                <w:bCs/>
                <w:color w:val="000000"/>
                <w:sz w:val="16"/>
                <w:szCs w:val="16"/>
              </w:rPr>
            </w:pPr>
            <w:r w:rsidRPr="00320EA7">
              <w:rPr>
                <w:rFonts w:ascii="Arial" w:hAnsi="Arial" w:cs="Arial"/>
                <w:b/>
                <w:bCs/>
                <w:color w:val="000000"/>
                <w:sz w:val="16"/>
                <w:szCs w:val="16"/>
              </w:rPr>
              <w:t>Std Deviation</w:t>
            </w:r>
          </w:p>
        </w:tc>
        <w:tc>
          <w:tcPr>
            <w:tcW w:w="851" w:type="dxa"/>
            <w:tcBorders>
              <w:top w:val="nil"/>
              <w:left w:val="nil"/>
              <w:bottom w:val="single" w:sz="4" w:space="0" w:color="000000"/>
              <w:right w:val="single" w:sz="4" w:space="0" w:color="000000"/>
            </w:tcBorders>
            <w:shd w:val="clear" w:color="000000" w:fill="FFFFFF"/>
            <w:noWrap/>
            <w:vAlign w:val="bottom"/>
            <w:hideMark/>
          </w:tcPr>
          <w:p w14:paraId="6B7A1DA6" w14:textId="77777777" w:rsidR="009C5632" w:rsidRPr="00FC1D9A" w:rsidRDefault="009C5632" w:rsidP="00240CC4">
            <w:pPr>
              <w:jc w:val="right"/>
              <w:rPr>
                <w:rFonts w:ascii="Arial" w:hAnsi="Arial" w:cs="Arial"/>
                <w:color w:val="000000"/>
                <w:sz w:val="18"/>
                <w:szCs w:val="18"/>
              </w:rPr>
            </w:pPr>
            <w:r w:rsidRPr="00FC1D9A">
              <w:rPr>
                <w:rFonts w:ascii="Arial" w:hAnsi="Arial" w:cs="Arial"/>
                <w:color w:val="000000"/>
                <w:sz w:val="18"/>
                <w:szCs w:val="18"/>
              </w:rPr>
              <w:t>$82</w:t>
            </w:r>
          </w:p>
        </w:tc>
        <w:tc>
          <w:tcPr>
            <w:tcW w:w="850" w:type="dxa"/>
            <w:tcBorders>
              <w:top w:val="nil"/>
              <w:left w:val="nil"/>
              <w:bottom w:val="single" w:sz="4" w:space="0" w:color="000000"/>
              <w:right w:val="single" w:sz="4" w:space="0" w:color="000000"/>
            </w:tcBorders>
            <w:shd w:val="clear" w:color="000000" w:fill="FFFFFF"/>
            <w:noWrap/>
            <w:vAlign w:val="bottom"/>
            <w:hideMark/>
          </w:tcPr>
          <w:p w14:paraId="46D047F0" w14:textId="77777777" w:rsidR="009C5632" w:rsidRPr="00FC1D9A" w:rsidRDefault="009C5632" w:rsidP="00240CC4">
            <w:pPr>
              <w:jc w:val="right"/>
              <w:rPr>
                <w:rFonts w:ascii="Arial" w:hAnsi="Arial" w:cs="Arial"/>
                <w:color w:val="000000"/>
                <w:sz w:val="18"/>
                <w:szCs w:val="18"/>
              </w:rPr>
            </w:pPr>
            <w:r w:rsidRPr="00FC1D9A">
              <w:rPr>
                <w:rFonts w:ascii="Arial" w:hAnsi="Arial" w:cs="Arial"/>
                <w:color w:val="000000"/>
                <w:sz w:val="18"/>
                <w:szCs w:val="18"/>
              </w:rPr>
              <w:t>$218</w:t>
            </w:r>
          </w:p>
        </w:tc>
        <w:tc>
          <w:tcPr>
            <w:tcW w:w="851" w:type="dxa"/>
            <w:tcBorders>
              <w:top w:val="nil"/>
              <w:left w:val="nil"/>
              <w:bottom w:val="single" w:sz="4" w:space="0" w:color="000000"/>
              <w:right w:val="single" w:sz="4" w:space="0" w:color="000000"/>
            </w:tcBorders>
            <w:shd w:val="clear" w:color="000000" w:fill="FFFFFF"/>
            <w:noWrap/>
            <w:vAlign w:val="bottom"/>
            <w:hideMark/>
          </w:tcPr>
          <w:p w14:paraId="3F64ABE9" w14:textId="77777777" w:rsidR="009C5632" w:rsidRPr="00FC1D9A" w:rsidRDefault="009C5632" w:rsidP="00240CC4">
            <w:pPr>
              <w:jc w:val="right"/>
              <w:rPr>
                <w:rFonts w:ascii="Arial" w:hAnsi="Arial" w:cs="Arial"/>
                <w:color w:val="000000"/>
                <w:sz w:val="18"/>
                <w:szCs w:val="18"/>
              </w:rPr>
            </w:pPr>
            <w:r w:rsidRPr="00FC1D9A">
              <w:rPr>
                <w:rFonts w:ascii="Arial" w:hAnsi="Arial" w:cs="Arial"/>
                <w:color w:val="000000"/>
                <w:sz w:val="18"/>
                <w:szCs w:val="18"/>
              </w:rPr>
              <w:t>$87</w:t>
            </w:r>
          </w:p>
        </w:tc>
        <w:tc>
          <w:tcPr>
            <w:tcW w:w="708" w:type="dxa"/>
            <w:tcBorders>
              <w:top w:val="nil"/>
              <w:left w:val="nil"/>
              <w:bottom w:val="single" w:sz="4" w:space="0" w:color="000000"/>
              <w:right w:val="single" w:sz="4" w:space="0" w:color="000000"/>
            </w:tcBorders>
            <w:shd w:val="clear" w:color="000000" w:fill="FFFFFF"/>
            <w:noWrap/>
            <w:vAlign w:val="bottom"/>
            <w:hideMark/>
          </w:tcPr>
          <w:p w14:paraId="1423EECD" w14:textId="77777777" w:rsidR="009C5632" w:rsidRPr="00FC1D9A" w:rsidRDefault="009C5632" w:rsidP="00240CC4">
            <w:pPr>
              <w:jc w:val="right"/>
              <w:rPr>
                <w:rFonts w:ascii="Arial" w:hAnsi="Arial" w:cs="Arial"/>
                <w:color w:val="000000"/>
                <w:sz w:val="18"/>
                <w:szCs w:val="18"/>
              </w:rPr>
            </w:pPr>
            <w:r w:rsidRPr="00FC1D9A">
              <w:rPr>
                <w:rFonts w:ascii="Arial" w:hAnsi="Arial" w:cs="Arial"/>
                <w:color w:val="000000"/>
                <w:sz w:val="18"/>
                <w:szCs w:val="18"/>
              </w:rPr>
              <w:t>$71</w:t>
            </w:r>
          </w:p>
        </w:tc>
        <w:tc>
          <w:tcPr>
            <w:tcW w:w="851" w:type="dxa"/>
            <w:tcBorders>
              <w:top w:val="nil"/>
              <w:left w:val="nil"/>
              <w:bottom w:val="single" w:sz="4" w:space="0" w:color="000000"/>
              <w:right w:val="single" w:sz="4" w:space="0" w:color="000000"/>
            </w:tcBorders>
            <w:shd w:val="clear" w:color="000000" w:fill="FFFFFF"/>
            <w:noWrap/>
            <w:vAlign w:val="bottom"/>
            <w:hideMark/>
          </w:tcPr>
          <w:p w14:paraId="418CEA31" w14:textId="77777777" w:rsidR="009C5632" w:rsidRPr="00FC1D9A" w:rsidRDefault="009C5632" w:rsidP="00240CC4">
            <w:pPr>
              <w:jc w:val="right"/>
              <w:rPr>
                <w:rFonts w:ascii="Arial" w:hAnsi="Arial" w:cs="Arial"/>
                <w:color w:val="000000"/>
                <w:sz w:val="18"/>
                <w:szCs w:val="18"/>
              </w:rPr>
            </w:pPr>
            <w:r w:rsidRPr="00FC1D9A">
              <w:rPr>
                <w:rFonts w:ascii="Arial" w:hAnsi="Arial" w:cs="Arial"/>
                <w:color w:val="000000"/>
                <w:sz w:val="18"/>
                <w:szCs w:val="18"/>
              </w:rPr>
              <w:t>$159</w:t>
            </w:r>
          </w:p>
        </w:tc>
        <w:tc>
          <w:tcPr>
            <w:tcW w:w="709" w:type="dxa"/>
            <w:tcBorders>
              <w:top w:val="nil"/>
              <w:left w:val="nil"/>
              <w:bottom w:val="single" w:sz="4" w:space="0" w:color="000000"/>
              <w:right w:val="single" w:sz="4" w:space="0" w:color="auto"/>
            </w:tcBorders>
            <w:shd w:val="clear" w:color="000000" w:fill="FFFFFF"/>
            <w:vAlign w:val="bottom"/>
          </w:tcPr>
          <w:p w14:paraId="56012AB9" w14:textId="77777777" w:rsidR="009C5632" w:rsidRPr="00FC1D9A" w:rsidRDefault="009C5632" w:rsidP="00240CC4">
            <w:pPr>
              <w:jc w:val="right"/>
              <w:rPr>
                <w:rFonts w:ascii="Arial" w:hAnsi="Arial" w:cs="Arial"/>
                <w:sz w:val="18"/>
                <w:szCs w:val="18"/>
              </w:rPr>
            </w:pPr>
            <w:r w:rsidRPr="00FC1D9A">
              <w:rPr>
                <w:rFonts w:ascii="Arial" w:hAnsi="Arial" w:cs="Arial"/>
                <w:color w:val="000000"/>
                <w:sz w:val="18"/>
                <w:szCs w:val="18"/>
              </w:rPr>
              <w:t>np</w:t>
            </w:r>
          </w:p>
        </w:tc>
        <w:tc>
          <w:tcPr>
            <w:tcW w:w="567" w:type="dxa"/>
            <w:tcBorders>
              <w:top w:val="nil"/>
              <w:left w:val="single" w:sz="4" w:space="0" w:color="auto"/>
              <w:bottom w:val="single" w:sz="4" w:space="0" w:color="000000"/>
              <w:right w:val="single" w:sz="4" w:space="0" w:color="auto"/>
            </w:tcBorders>
            <w:shd w:val="clear" w:color="000000" w:fill="FFFFFF"/>
            <w:vAlign w:val="bottom"/>
          </w:tcPr>
          <w:p w14:paraId="05D0DBA5" w14:textId="77777777" w:rsidR="009C5632" w:rsidRPr="00FC1D9A" w:rsidRDefault="009C5632" w:rsidP="00240CC4">
            <w:pPr>
              <w:jc w:val="right"/>
              <w:rPr>
                <w:rFonts w:ascii="Arial" w:hAnsi="Arial" w:cs="Arial"/>
                <w:sz w:val="18"/>
                <w:szCs w:val="18"/>
              </w:rPr>
            </w:pPr>
            <w:r w:rsidRPr="00FC1D9A">
              <w:rPr>
                <w:rFonts w:ascii="Arial" w:hAnsi="Arial" w:cs="Arial"/>
                <w:color w:val="000000"/>
                <w:sz w:val="18"/>
                <w:szCs w:val="18"/>
              </w:rPr>
              <w:t>np</w:t>
            </w:r>
          </w:p>
        </w:tc>
        <w:tc>
          <w:tcPr>
            <w:tcW w:w="647" w:type="dxa"/>
            <w:tcBorders>
              <w:top w:val="nil"/>
              <w:left w:val="single" w:sz="4" w:space="0" w:color="auto"/>
              <w:bottom w:val="single" w:sz="4" w:space="0" w:color="000000"/>
              <w:right w:val="single" w:sz="4" w:space="0" w:color="000000"/>
            </w:tcBorders>
            <w:shd w:val="clear" w:color="000000" w:fill="FFFFFF"/>
            <w:noWrap/>
            <w:vAlign w:val="bottom"/>
            <w:hideMark/>
          </w:tcPr>
          <w:p w14:paraId="3886F3A7" w14:textId="77777777" w:rsidR="009C5632" w:rsidRPr="00FC1D9A" w:rsidRDefault="009C5632" w:rsidP="00240CC4">
            <w:pPr>
              <w:jc w:val="right"/>
              <w:rPr>
                <w:rFonts w:ascii="Arial" w:hAnsi="Arial" w:cs="Arial"/>
                <w:sz w:val="18"/>
                <w:szCs w:val="18"/>
              </w:rPr>
            </w:pPr>
            <w:r w:rsidRPr="00FC1D9A">
              <w:rPr>
                <w:rFonts w:ascii="Arial" w:hAnsi="Arial" w:cs="Arial"/>
                <w:color w:val="000000"/>
                <w:sz w:val="18"/>
                <w:szCs w:val="18"/>
              </w:rPr>
              <w:t>np</w:t>
            </w:r>
          </w:p>
        </w:tc>
        <w:tc>
          <w:tcPr>
            <w:tcW w:w="962" w:type="dxa"/>
            <w:tcBorders>
              <w:top w:val="nil"/>
              <w:left w:val="nil"/>
              <w:bottom w:val="single" w:sz="4" w:space="0" w:color="000000"/>
              <w:right w:val="single" w:sz="4" w:space="0" w:color="000000"/>
            </w:tcBorders>
            <w:shd w:val="clear" w:color="000000" w:fill="FFFFFF"/>
            <w:noWrap/>
            <w:vAlign w:val="bottom"/>
            <w:hideMark/>
          </w:tcPr>
          <w:p w14:paraId="2C3E15AD" w14:textId="77777777" w:rsidR="009C5632" w:rsidRPr="00FC1D9A" w:rsidRDefault="009C5632" w:rsidP="00240CC4">
            <w:pPr>
              <w:jc w:val="right"/>
              <w:rPr>
                <w:rFonts w:ascii="Arial" w:hAnsi="Arial" w:cs="Arial"/>
                <w:b/>
                <w:color w:val="000000"/>
                <w:sz w:val="18"/>
                <w:szCs w:val="18"/>
              </w:rPr>
            </w:pPr>
            <w:r w:rsidRPr="00FC1D9A">
              <w:rPr>
                <w:rFonts w:ascii="Arial" w:hAnsi="Arial" w:cs="Arial"/>
                <w:b/>
                <w:color w:val="000000"/>
                <w:sz w:val="18"/>
                <w:szCs w:val="18"/>
              </w:rPr>
              <w:t>$141</w:t>
            </w:r>
          </w:p>
        </w:tc>
      </w:tr>
      <w:tr w:rsidR="009C5632" w:rsidRPr="00320EA7" w14:paraId="3A7E7E35" w14:textId="77777777" w:rsidTr="00BA0206">
        <w:trPr>
          <w:trHeight w:val="300"/>
        </w:trPr>
        <w:tc>
          <w:tcPr>
            <w:tcW w:w="709" w:type="dxa"/>
            <w:vMerge/>
            <w:tcBorders>
              <w:left w:val="single" w:sz="4" w:space="0" w:color="000000"/>
              <w:right w:val="single" w:sz="4" w:space="0" w:color="000000"/>
            </w:tcBorders>
            <w:shd w:val="clear" w:color="000000" w:fill="FFFFFF"/>
            <w:noWrap/>
            <w:vAlign w:val="center"/>
            <w:hideMark/>
          </w:tcPr>
          <w:p w14:paraId="745419F7" w14:textId="1B297D37" w:rsidR="009C5632" w:rsidRPr="00320EA7" w:rsidRDefault="009C5632" w:rsidP="00240CC4">
            <w:pPr>
              <w:rPr>
                <w:rFonts w:ascii="Arial" w:hAnsi="Arial" w:cs="Arial"/>
                <w:b/>
                <w:bCs/>
                <w:color w:val="000000"/>
                <w:sz w:val="16"/>
                <w:szCs w:val="16"/>
              </w:rPr>
            </w:pPr>
          </w:p>
        </w:tc>
        <w:tc>
          <w:tcPr>
            <w:tcW w:w="2127" w:type="dxa"/>
            <w:tcBorders>
              <w:top w:val="nil"/>
              <w:left w:val="nil"/>
              <w:bottom w:val="single" w:sz="4" w:space="0" w:color="000000"/>
              <w:right w:val="single" w:sz="4" w:space="0" w:color="000000"/>
            </w:tcBorders>
            <w:shd w:val="clear" w:color="000000" w:fill="FFFFFF"/>
            <w:noWrap/>
            <w:vAlign w:val="center"/>
            <w:hideMark/>
          </w:tcPr>
          <w:p w14:paraId="597500E1" w14:textId="77777777" w:rsidR="009C5632" w:rsidRPr="00320EA7" w:rsidRDefault="009C5632" w:rsidP="00240CC4">
            <w:pPr>
              <w:rPr>
                <w:rFonts w:ascii="Arial" w:hAnsi="Arial" w:cs="Arial"/>
                <w:b/>
                <w:bCs/>
                <w:color w:val="000000"/>
                <w:sz w:val="16"/>
                <w:szCs w:val="16"/>
              </w:rPr>
            </w:pPr>
            <w:r w:rsidRPr="00320EA7">
              <w:rPr>
                <w:rFonts w:ascii="Arial" w:hAnsi="Arial" w:cs="Arial"/>
                <w:b/>
                <w:bCs/>
                <w:color w:val="000000"/>
                <w:sz w:val="16"/>
                <w:szCs w:val="16"/>
              </w:rPr>
              <w:t xml:space="preserve">Median Fee Charged </w:t>
            </w:r>
          </w:p>
        </w:tc>
        <w:tc>
          <w:tcPr>
            <w:tcW w:w="851" w:type="dxa"/>
            <w:tcBorders>
              <w:top w:val="nil"/>
              <w:left w:val="nil"/>
              <w:bottom w:val="single" w:sz="4" w:space="0" w:color="000000"/>
              <w:right w:val="single" w:sz="4" w:space="0" w:color="000000"/>
            </w:tcBorders>
            <w:shd w:val="clear" w:color="000000" w:fill="FFFFFF"/>
            <w:noWrap/>
            <w:vAlign w:val="bottom"/>
            <w:hideMark/>
          </w:tcPr>
          <w:p w14:paraId="78AFA402" w14:textId="77777777" w:rsidR="009C5632" w:rsidRPr="00FC1D9A" w:rsidRDefault="009C5632" w:rsidP="00240CC4">
            <w:pPr>
              <w:jc w:val="right"/>
              <w:rPr>
                <w:rFonts w:ascii="Arial" w:hAnsi="Arial" w:cs="Arial"/>
                <w:color w:val="000000"/>
                <w:sz w:val="18"/>
                <w:szCs w:val="18"/>
              </w:rPr>
            </w:pPr>
            <w:r w:rsidRPr="00FC1D9A">
              <w:rPr>
                <w:rFonts w:ascii="Arial" w:hAnsi="Arial" w:cs="Arial"/>
                <w:color w:val="000000"/>
                <w:sz w:val="18"/>
                <w:szCs w:val="18"/>
              </w:rPr>
              <w:t>$514</w:t>
            </w:r>
          </w:p>
        </w:tc>
        <w:tc>
          <w:tcPr>
            <w:tcW w:w="850" w:type="dxa"/>
            <w:tcBorders>
              <w:top w:val="nil"/>
              <w:left w:val="nil"/>
              <w:bottom w:val="single" w:sz="4" w:space="0" w:color="000000"/>
              <w:right w:val="single" w:sz="4" w:space="0" w:color="000000"/>
            </w:tcBorders>
            <w:shd w:val="clear" w:color="000000" w:fill="FFFFFF"/>
            <w:noWrap/>
            <w:vAlign w:val="bottom"/>
            <w:hideMark/>
          </w:tcPr>
          <w:p w14:paraId="0533CCA1" w14:textId="77777777" w:rsidR="009C5632" w:rsidRPr="00FC1D9A" w:rsidRDefault="009C5632" w:rsidP="00240CC4">
            <w:pPr>
              <w:jc w:val="right"/>
              <w:rPr>
                <w:rFonts w:ascii="Arial" w:hAnsi="Arial" w:cs="Arial"/>
                <w:color w:val="000000"/>
                <w:sz w:val="18"/>
                <w:szCs w:val="18"/>
              </w:rPr>
            </w:pPr>
            <w:r w:rsidRPr="00FC1D9A">
              <w:rPr>
                <w:rFonts w:ascii="Arial" w:hAnsi="Arial" w:cs="Arial"/>
                <w:color w:val="000000"/>
                <w:sz w:val="18"/>
                <w:szCs w:val="18"/>
              </w:rPr>
              <w:t>$397</w:t>
            </w:r>
          </w:p>
        </w:tc>
        <w:tc>
          <w:tcPr>
            <w:tcW w:w="851" w:type="dxa"/>
            <w:tcBorders>
              <w:top w:val="nil"/>
              <w:left w:val="nil"/>
              <w:bottom w:val="single" w:sz="4" w:space="0" w:color="000000"/>
              <w:right w:val="single" w:sz="4" w:space="0" w:color="000000"/>
            </w:tcBorders>
            <w:shd w:val="clear" w:color="000000" w:fill="FFFFFF"/>
            <w:noWrap/>
            <w:vAlign w:val="bottom"/>
            <w:hideMark/>
          </w:tcPr>
          <w:p w14:paraId="2F3DDF2E" w14:textId="77777777" w:rsidR="009C5632" w:rsidRPr="00FC1D9A" w:rsidRDefault="009C5632" w:rsidP="00240CC4">
            <w:pPr>
              <w:jc w:val="right"/>
              <w:rPr>
                <w:rFonts w:ascii="Arial" w:hAnsi="Arial" w:cs="Arial"/>
                <w:color w:val="000000"/>
                <w:sz w:val="18"/>
                <w:szCs w:val="18"/>
              </w:rPr>
            </w:pPr>
            <w:r w:rsidRPr="00FC1D9A">
              <w:rPr>
                <w:rFonts w:ascii="Arial" w:hAnsi="Arial" w:cs="Arial"/>
                <w:color w:val="000000"/>
                <w:sz w:val="18"/>
                <w:szCs w:val="18"/>
              </w:rPr>
              <w:t>$517</w:t>
            </w:r>
          </w:p>
        </w:tc>
        <w:tc>
          <w:tcPr>
            <w:tcW w:w="708" w:type="dxa"/>
            <w:tcBorders>
              <w:top w:val="nil"/>
              <w:left w:val="nil"/>
              <w:bottom w:val="single" w:sz="4" w:space="0" w:color="000000"/>
              <w:right w:val="single" w:sz="4" w:space="0" w:color="000000"/>
            </w:tcBorders>
            <w:shd w:val="clear" w:color="000000" w:fill="FFFFFF"/>
            <w:noWrap/>
            <w:vAlign w:val="bottom"/>
            <w:hideMark/>
          </w:tcPr>
          <w:p w14:paraId="73A7C55E" w14:textId="77777777" w:rsidR="009C5632" w:rsidRPr="00FC1D9A" w:rsidRDefault="009C5632" w:rsidP="00240CC4">
            <w:pPr>
              <w:jc w:val="right"/>
              <w:rPr>
                <w:rFonts w:ascii="Arial" w:hAnsi="Arial" w:cs="Arial"/>
                <w:color w:val="000000"/>
                <w:sz w:val="18"/>
                <w:szCs w:val="18"/>
              </w:rPr>
            </w:pPr>
            <w:r w:rsidRPr="00FC1D9A">
              <w:rPr>
                <w:rFonts w:ascii="Arial" w:hAnsi="Arial" w:cs="Arial"/>
                <w:color w:val="000000"/>
                <w:sz w:val="18"/>
                <w:szCs w:val="18"/>
              </w:rPr>
              <w:t>$397</w:t>
            </w:r>
          </w:p>
        </w:tc>
        <w:tc>
          <w:tcPr>
            <w:tcW w:w="851" w:type="dxa"/>
            <w:tcBorders>
              <w:top w:val="nil"/>
              <w:left w:val="nil"/>
              <w:bottom w:val="single" w:sz="4" w:space="0" w:color="000000"/>
              <w:right w:val="single" w:sz="4" w:space="0" w:color="000000"/>
            </w:tcBorders>
            <w:shd w:val="clear" w:color="000000" w:fill="FFFFFF"/>
            <w:noWrap/>
            <w:vAlign w:val="bottom"/>
            <w:hideMark/>
          </w:tcPr>
          <w:p w14:paraId="064BA94D" w14:textId="77777777" w:rsidR="009C5632" w:rsidRPr="00FC1D9A" w:rsidRDefault="009C5632" w:rsidP="00240CC4">
            <w:pPr>
              <w:jc w:val="right"/>
              <w:rPr>
                <w:rFonts w:ascii="Arial" w:hAnsi="Arial" w:cs="Arial"/>
                <w:color w:val="000000"/>
                <w:sz w:val="18"/>
                <w:szCs w:val="18"/>
              </w:rPr>
            </w:pPr>
            <w:r w:rsidRPr="00FC1D9A">
              <w:rPr>
                <w:rFonts w:ascii="Arial" w:hAnsi="Arial" w:cs="Arial"/>
                <w:color w:val="000000"/>
                <w:sz w:val="18"/>
                <w:szCs w:val="18"/>
              </w:rPr>
              <w:t>$556</w:t>
            </w:r>
          </w:p>
        </w:tc>
        <w:tc>
          <w:tcPr>
            <w:tcW w:w="709" w:type="dxa"/>
            <w:tcBorders>
              <w:top w:val="nil"/>
              <w:left w:val="nil"/>
              <w:bottom w:val="single" w:sz="4" w:space="0" w:color="000000"/>
              <w:right w:val="single" w:sz="4" w:space="0" w:color="auto"/>
            </w:tcBorders>
            <w:shd w:val="clear" w:color="000000" w:fill="FFFFFF"/>
            <w:vAlign w:val="bottom"/>
          </w:tcPr>
          <w:p w14:paraId="1FAAB615" w14:textId="77777777" w:rsidR="009C5632" w:rsidRPr="00FC1D9A" w:rsidRDefault="009C5632" w:rsidP="00240CC4">
            <w:pPr>
              <w:jc w:val="right"/>
              <w:rPr>
                <w:rFonts w:ascii="Arial" w:hAnsi="Arial" w:cs="Arial"/>
                <w:sz w:val="18"/>
                <w:szCs w:val="18"/>
              </w:rPr>
            </w:pPr>
            <w:r w:rsidRPr="00FC1D9A">
              <w:rPr>
                <w:rFonts w:ascii="Arial" w:hAnsi="Arial" w:cs="Arial"/>
                <w:color w:val="000000"/>
                <w:sz w:val="18"/>
                <w:szCs w:val="18"/>
              </w:rPr>
              <w:t>np</w:t>
            </w:r>
          </w:p>
        </w:tc>
        <w:tc>
          <w:tcPr>
            <w:tcW w:w="567" w:type="dxa"/>
            <w:tcBorders>
              <w:top w:val="nil"/>
              <w:left w:val="single" w:sz="4" w:space="0" w:color="auto"/>
              <w:bottom w:val="single" w:sz="4" w:space="0" w:color="000000"/>
              <w:right w:val="single" w:sz="4" w:space="0" w:color="auto"/>
            </w:tcBorders>
            <w:shd w:val="clear" w:color="000000" w:fill="FFFFFF"/>
            <w:vAlign w:val="bottom"/>
          </w:tcPr>
          <w:p w14:paraId="73180590" w14:textId="77777777" w:rsidR="009C5632" w:rsidRPr="00FC1D9A" w:rsidRDefault="009C5632" w:rsidP="00240CC4">
            <w:pPr>
              <w:jc w:val="right"/>
              <w:rPr>
                <w:rFonts w:ascii="Arial" w:hAnsi="Arial" w:cs="Arial"/>
                <w:sz w:val="18"/>
                <w:szCs w:val="18"/>
              </w:rPr>
            </w:pPr>
            <w:r w:rsidRPr="00FC1D9A">
              <w:rPr>
                <w:rFonts w:ascii="Arial" w:hAnsi="Arial" w:cs="Arial"/>
                <w:color w:val="000000"/>
                <w:sz w:val="18"/>
                <w:szCs w:val="18"/>
              </w:rPr>
              <w:t>np</w:t>
            </w:r>
          </w:p>
        </w:tc>
        <w:tc>
          <w:tcPr>
            <w:tcW w:w="647" w:type="dxa"/>
            <w:tcBorders>
              <w:top w:val="nil"/>
              <w:left w:val="single" w:sz="4" w:space="0" w:color="auto"/>
              <w:bottom w:val="single" w:sz="4" w:space="0" w:color="000000"/>
              <w:right w:val="single" w:sz="4" w:space="0" w:color="000000"/>
            </w:tcBorders>
            <w:shd w:val="clear" w:color="000000" w:fill="FFFFFF"/>
            <w:noWrap/>
            <w:vAlign w:val="bottom"/>
          </w:tcPr>
          <w:p w14:paraId="7B9A5F84" w14:textId="77777777" w:rsidR="009C5632" w:rsidRPr="00FC1D9A" w:rsidRDefault="009C5632" w:rsidP="00240CC4">
            <w:pPr>
              <w:jc w:val="right"/>
              <w:rPr>
                <w:rFonts w:ascii="Arial" w:hAnsi="Arial" w:cs="Arial"/>
                <w:sz w:val="18"/>
                <w:szCs w:val="18"/>
              </w:rPr>
            </w:pPr>
            <w:r w:rsidRPr="00FC1D9A">
              <w:rPr>
                <w:rFonts w:ascii="Arial" w:hAnsi="Arial" w:cs="Arial"/>
                <w:color w:val="000000"/>
                <w:sz w:val="18"/>
                <w:szCs w:val="18"/>
              </w:rPr>
              <w:t>np</w:t>
            </w:r>
          </w:p>
        </w:tc>
        <w:tc>
          <w:tcPr>
            <w:tcW w:w="962" w:type="dxa"/>
            <w:tcBorders>
              <w:top w:val="nil"/>
              <w:left w:val="nil"/>
              <w:bottom w:val="single" w:sz="4" w:space="0" w:color="000000"/>
              <w:right w:val="single" w:sz="4" w:space="0" w:color="000000"/>
            </w:tcBorders>
            <w:shd w:val="clear" w:color="000000" w:fill="FFFFFF"/>
            <w:noWrap/>
            <w:vAlign w:val="bottom"/>
            <w:hideMark/>
          </w:tcPr>
          <w:p w14:paraId="6C4F550B" w14:textId="77777777" w:rsidR="009C5632" w:rsidRPr="00FC1D9A" w:rsidRDefault="009C5632" w:rsidP="00240CC4">
            <w:pPr>
              <w:jc w:val="right"/>
              <w:rPr>
                <w:rFonts w:ascii="Arial" w:hAnsi="Arial" w:cs="Arial"/>
                <w:b/>
                <w:color w:val="000000"/>
                <w:sz w:val="18"/>
                <w:szCs w:val="18"/>
              </w:rPr>
            </w:pPr>
            <w:r w:rsidRPr="00FC1D9A">
              <w:rPr>
                <w:rFonts w:ascii="Arial" w:hAnsi="Arial" w:cs="Arial"/>
                <w:b/>
                <w:color w:val="000000"/>
                <w:sz w:val="18"/>
                <w:szCs w:val="18"/>
              </w:rPr>
              <w:t>$514</w:t>
            </w:r>
          </w:p>
        </w:tc>
      </w:tr>
      <w:tr w:rsidR="009C5632" w:rsidRPr="00320EA7" w14:paraId="0FBD8EB5" w14:textId="77777777" w:rsidTr="00BA0206">
        <w:trPr>
          <w:trHeight w:val="300"/>
        </w:trPr>
        <w:tc>
          <w:tcPr>
            <w:tcW w:w="709" w:type="dxa"/>
            <w:vMerge/>
            <w:tcBorders>
              <w:left w:val="single" w:sz="4" w:space="0" w:color="000000"/>
              <w:right w:val="single" w:sz="4" w:space="0" w:color="000000"/>
            </w:tcBorders>
            <w:shd w:val="clear" w:color="000000" w:fill="FFFFFF"/>
            <w:noWrap/>
            <w:vAlign w:val="center"/>
            <w:hideMark/>
          </w:tcPr>
          <w:p w14:paraId="21BC90CC" w14:textId="266975C9" w:rsidR="009C5632" w:rsidRPr="00320EA7" w:rsidRDefault="009C5632" w:rsidP="00240CC4">
            <w:pPr>
              <w:rPr>
                <w:rFonts w:ascii="Arial" w:hAnsi="Arial" w:cs="Arial"/>
                <w:b/>
                <w:bCs/>
                <w:color w:val="000000"/>
                <w:sz w:val="16"/>
                <w:szCs w:val="16"/>
              </w:rPr>
            </w:pPr>
          </w:p>
        </w:tc>
        <w:tc>
          <w:tcPr>
            <w:tcW w:w="2127" w:type="dxa"/>
            <w:tcBorders>
              <w:top w:val="nil"/>
              <w:left w:val="nil"/>
              <w:bottom w:val="single" w:sz="4" w:space="0" w:color="000000"/>
              <w:right w:val="single" w:sz="4" w:space="0" w:color="000000"/>
            </w:tcBorders>
            <w:shd w:val="clear" w:color="000000" w:fill="FFFFFF"/>
            <w:noWrap/>
            <w:vAlign w:val="center"/>
            <w:hideMark/>
          </w:tcPr>
          <w:p w14:paraId="5A0B97E8" w14:textId="77777777" w:rsidR="009C5632" w:rsidRPr="00320EA7" w:rsidRDefault="009C5632" w:rsidP="00240CC4">
            <w:pPr>
              <w:rPr>
                <w:rFonts w:ascii="Arial" w:hAnsi="Arial" w:cs="Arial"/>
                <w:b/>
                <w:bCs/>
                <w:color w:val="000000"/>
                <w:sz w:val="16"/>
                <w:szCs w:val="16"/>
              </w:rPr>
            </w:pPr>
            <w:r w:rsidRPr="00320EA7">
              <w:rPr>
                <w:rFonts w:ascii="Arial" w:hAnsi="Arial" w:cs="Arial"/>
                <w:b/>
                <w:bCs/>
                <w:color w:val="000000"/>
                <w:sz w:val="16"/>
                <w:szCs w:val="16"/>
              </w:rPr>
              <w:t>75th Percentile</w:t>
            </w:r>
          </w:p>
        </w:tc>
        <w:tc>
          <w:tcPr>
            <w:tcW w:w="851" w:type="dxa"/>
            <w:tcBorders>
              <w:top w:val="nil"/>
              <w:left w:val="nil"/>
              <w:bottom w:val="single" w:sz="4" w:space="0" w:color="000000"/>
              <w:right w:val="single" w:sz="4" w:space="0" w:color="000000"/>
            </w:tcBorders>
            <w:shd w:val="clear" w:color="000000" w:fill="FFFFFF"/>
            <w:noWrap/>
            <w:vAlign w:val="bottom"/>
            <w:hideMark/>
          </w:tcPr>
          <w:p w14:paraId="09CF8929" w14:textId="77777777" w:rsidR="009C5632" w:rsidRPr="00FC1D9A" w:rsidRDefault="009C5632" w:rsidP="00240CC4">
            <w:pPr>
              <w:jc w:val="right"/>
              <w:rPr>
                <w:rFonts w:ascii="Arial" w:hAnsi="Arial" w:cs="Arial"/>
                <w:color w:val="000000"/>
                <w:sz w:val="18"/>
                <w:szCs w:val="18"/>
              </w:rPr>
            </w:pPr>
            <w:r w:rsidRPr="00FC1D9A">
              <w:rPr>
                <w:rFonts w:ascii="Arial" w:hAnsi="Arial" w:cs="Arial"/>
                <w:color w:val="000000"/>
                <w:sz w:val="18"/>
                <w:szCs w:val="18"/>
              </w:rPr>
              <w:t>$517</w:t>
            </w:r>
          </w:p>
        </w:tc>
        <w:tc>
          <w:tcPr>
            <w:tcW w:w="850" w:type="dxa"/>
            <w:tcBorders>
              <w:top w:val="nil"/>
              <w:left w:val="nil"/>
              <w:bottom w:val="single" w:sz="4" w:space="0" w:color="000000"/>
              <w:right w:val="single" w:sz="4" w:space="0" w:color="000000"/>
            </w:tcBorders>
            <w:shd w:val="clear" w:color="000000" w:fill="FFFFFF"/>
            <w:noWrap/>
            <w:vAlign w:val="bottom"/>
            <w:hideMark/>
          </w:tcPr>
          <w:p w14:paraId="79CD9041" w14:textId="77777777" w:rsidR="009C5632" w:rsidRPr="00FC1D9A" w:rsidRDefault="009C5632" w:rsidP="00240CC4">
            <w:pPr>
              <w:jc w:val="right"/>
              <w:rPr>
                <w:rFonts w:ascii="Arial" w:hAnsi="Arial" w:cs="Arial"/>
                <w:color w:val="000000"/>
                <w:sz w:val="18"/>
                <w:szCs w:val="18"/>
              </w:rPr>
            </w:pPr>
            <w:r w:rsidRPr="00FC1D9A">
              <w:rPr>
                <w:rFonts w:ascii="Arial" w:hAnsi="Arial" w:cs="Arial"/>
                <w:color w:val="000000"/>
                <w:sz w:val="18"/>
                <w:szCs w:val="18"/>
              </w:rPr>
              <w:t>$514</w:t>
            </w:r>
          </w:p>
        </w:tc>
        <w:tc>
          <w:tcPr>
            <w:tcW w:w="851" w:type="dxa"/>
            <w:tcBorders>
              <w:top w:val="nil"/>
              <w:left w:val="nil"/>
              <w:bottom w:val="single" w:sz="4" w:space="0" w:color="000000"/>
              <w:right w:val="single" w:sz="4" w:space="0" w:color="000000"/>
            </w:tcBorders>
            <w:shd w:val="clear" w:color="000000" w:fill="FFFFFF"/>
            <w:noWrap/>
            <w:vAlign w:val="bottom"/>
            <w:hideMark/>
          </w:tcPr>
          <w:p w14:paraId="5E240DD0" w14:textId="77777777" w:rsidR="009C5632" w:rsidRPr="00FC1D9A" w:rsidRDefault="009C5632" w:rsidP="00240CC4">
            <w:pPr>
              <w:jc w:val="right"/>
              <w:rPr>
                <w:rFonts w:ascii="Arial" w:hAnsi="Arial" w:cs="Arial"/>
                <w:color w:val="000000"/>
                <w:sz w:val="18"/>
                <w:szCs w:val="18"/>
              </w:rPr>
            </w:pPr>
            <w:r w:rsidRPr="00FC1D9A">
              <w:rPr>
                <w:rFonts w:ascii="Arial" w:hAnsi="Arial" w:cs="Arial"/>
                <w:color w:val="000000"/>
                <w:sz w:val="18"/>
                <w:szCs w:val="18"/>
              </w:rPr>
              <w:t>$542</w:t>
            </w:r>
          </w:p>
        </w:tc>
        <w:tc>
          <w:tcPr>
            <w:tcW w:w="708" w:type="dxa"/>
            <w:tcBorders>
              <w:top w:val="nil"/>
              <w:left w:val="nil"/>
              <w:bottom w:val="single" w:sz="4" w:space="0" w:color="000000"/>
              <w:right w:val="single" w:sz="4" w:space="0" w:color="000000"/>
            </w:tcBorders>
            <w:shd w:val="clear" w:color="000000" w:fill="FFFFFF"/>
            <w:noWrap/>
            <w:vAlign w:val="bottom"/>
            <w:hideMark/>
          </w:tcPr>
          <w:p w14:paraId="2832DCAD" w14:textId="77777777" w:rsidR="009C5632" w:rsidRPr="00FC1D9A" w:rsidRDefault="009C5632" w:rsidP="00240CC4">
            <w:pPr>
              <w:jc w:val="right"/>
              <w:rPr>
                <w:rFonts w:ascii="Arial" w:hAnsi="Arial" w:cs="Arial"/>
                <w:color w:val="000000"/>
                <w:sz w:val="18"/>
                <w:szCs w:val="18"/>
              </w:rPr>
            </w:pPr>
            <w:r w:rsidRPr="00FC1D9A">
              <w:rPr>
                <w:rFonts w:ascii="Arial" w:hAnsi="Arial" w:cs="Arial"/>
                <w:color w:val="000000"/>
                <w:sz w:val="18"/>
                <w:szCs w:val="18"/>
              </w:rPr>
              <w:t>$513</w:t>
            </w:r>
          </w:p>
        </w:tc>
        <w:tc>
          <w:tcPr>
            <w:tcW w:w="851" w:type="dxa"/>
            <w:tcBorders>
              <w:top w:val="nil"/>
              <w:left w:val="nil"/>
              <w:bottom w:val="single" w:sz="4" w:space="0" w:color="000000"/>
              <w:right w:val="single" w:sz="4" w:space="0" w:color="000000"/>
            </w:tcBorders>
            <w:shd w:val="clear" w:color="000000" w:fill="FFFFFF"/>
            <w:noWrap/>
            <w:vAlign w:val="bottom"/>
            <w:hideMark/>
          </w:tcPr>
          <w:p w14:paraId="424892D8" w14:textId="77777777" w:rsidR="009C5632" w:rsidRPr="00FC1D9A" w:rsidRDefault="009C5632" w:rsidP="00240CC4">
            <w:pPr>
              <w:jc w:val="right"/>
              <w:rPr>
                <w:rFonts w:ascii="Arial" w:hAnsi="Arial" w:cs="Arial"/>
                <w:color w:val="000000"/>
                <w:sz w:val="18"/>
                <w:szCs w:val="18"/>
              </w:rPr>
            </w:pPr>
            <w:r w:rsidRPr="00FC1D9A">
              <w:rPr>
                <w:rFonts w:ascii="Arial" w:hAnsi="Arial" w:cs="Arial"/>
                <w:color w:val="000000"/>
                <w:sz w:val="18"/>
                <w:szCs w:val="18"/>
              </w:rPr>
              <w:t>$556</w:t>
            </w:r>
          </w:p>
        </w:tc>
        <w:tc>
          <w:tcPr>
            <w:tcW w:w="709" w:type="dxa"/>
            <w:tcBorders>
              <w:top w:val="nil"/>
              <w:left w:val="nil"/>
              <w:bottom w:val="single" w:sz="4" w:space="0" w:color="000000"/>
              <w:right w:val="single" w:sz="4" w:space="0" w:color="auto"/>
            </w:tcBorders>
            <w:shd w:val="clear" w:color="000000" w:fill="FFFFFF"/>
            <w:vAlign w:val="bottom"/>
          </w:tcPr>
          <w:p w14:paraId="75363292" w14:textId="77777777" w:rsidR="009C5632" w:rsidRPr="00FC1D9A" w:rsidRDefault="009C5632" w:rsidP="00240CC4">
            <w:pPr>
              <w:jc w:val="right"/>
              <w:rPr>
                <w:rFonts w:ascii="Arial" w:hAnsi="Arial" w:cs="Arial"/>
                <w:sz w:val="18"/>
                <w:szCs w:val="18"/>
              </w:rPr>
            </w:pPr>
            <w:r w:rsidRPr="00FC1D9A">
              <w:rPr>
                <w:rFonts w:ascii="Arial" w:hAnsi="Arial" w:cs="Arial"/>
                <w:color w:val="000000"/>
                <w:sz w:val="18"/>
                <w:szCs w:val="18"/>
              </w:rPr>
              <w:t>np</w:t>
            </w:r>
          </w:p>
        </w:tc>
        <w:tc>
          <w:tcPr>
            <w:tcW w:w="567" w:type="dxa"/>
            <w:tcBorders>
              <w:top w:val="nil"/>
              <w:left w:val="single" w:sz="4" w:space="0" w:color="auto"/>
              <w:bottom w:val="single" w:sz="4" w:space="0" w:color="000000"/>
              <w:right w:val="single" w:sz="4" w:space="0" w:color="auto"/>
            </w:tcBorders>
            <w:shd w:val="clear" w:color="000000" w:fill="FFFFFF"/>
            <w:vAlign w:val="bottom"/>
          </w:tcPr>
          <w:p w14:paraId="3B3EFD88" w14:textId="77777777" w:rsidR="009C5632" w:rsidRPr="00FC1D9A" w:rsidRDefault="009C5632" w:rsidP="00240CC4">
            <w:pPr>
              <w:jc w:val="right"/>
              <w:rPr>
                <w:rFonts w:ascii="Arial" w:hAnsi="Arial" w:cs="Arial"/>
                <w:sz w:val="18"/>
                <w:szCs w:val="18"/>
              </w:rPr>
            </w:pPr>
            <w:r w:rsidRPr="00FC1D9A">
              <w:rPr>
                <w:rFonts w:ascii="Arial" w:hAnsi="Arial" w:cs="Arial"/>
                <w:color w:val="000000"/>
                <w:sz w:val="18"/>
                <w:szCs w:val="18"/>
              </w:rPr>
              <w:t>np</w:t>
            </w:r>
          </w:p>
        </w:tc>
        <w:tc>
          <w:tcPr>
            <w:tcW w:w="647" w:type="dxa"/>
            <w:tcBorders>
              <w:top w:val="nil"/>
              <w:left w:val="single" w:sz="4" w:space="0" w:color="auto"/>
              <w:bottom w:val="single" w:sz="4" w:space="0" w:color="000000"/>
              <w:right w:val="single" w:sz="4" w:space="0" w:color="000000"/>
            </w:tcBorders>
            <w:shd w:val="clear" w:color="000000" w:fill="FFFFFF"/>
            <w:noWrap/>
            <w:vAlign w:val="bottom"/>
          </w:tcPr>
          <w:p w14:paraId="7A9112DC" w14:textId="77777777" w:rsidR="009C5632" w:rsidRPr="00FC1D9A" w:rsidRDefault="009C5632" w:rsidP="00240CC4">
            <w:pPr>
              <w:jc w:val="right"/>
              <w:rPr>
                <w:rFonts w:ascii="Arial" w:hAnsi="Arial" w:cs="Arial"/>
                <w:sz w:val="18"/>
                <w:szCs w:val="18"/>
              </w:rPr>
            </w:pPr>
            <w:r w:rsidRPr="00FC1D9A">
              <w:rPr>
                <w:rFonts w:ascii="Arial" w:hAnsi="Arial" w:cs="Arial"/>
                <w:color w:val="000000"/>
                <w:sz w:val="18"/>
                <w:szCs w:val="18"/>
              </w:rPr>
              <w:t>np</w:t>
            </w:r>
          </w:p>
        </w:tc>
        <w:tc>
          <w:tcPr>
            <w:tcW w:w="962" w:type="dxa"/>
            <w:tcBorders>
              <w:top w:val="nil"/>
              <w:left w:val="nil"/>
              <w:bottom w:val="single" w:sz="4" w:space="0" w:color="000000"/>
              <w:right w:val="single" w:sz="4" w:space="0" w:color="000000"/>
            </w:tcBorders>
            <w:shd w:val="clear" w:color="000000" w:fill="FFFFFF"/>
            <w:noWrap/>
            <w:vAlign w:val="bottom"/>
            <w:hideMark/>
          </w:tcPr>
          <w:p w14:paraId="2A8D7490" w14:textId="77777777" w:rsidR="009C5632" w:rsidRPr="00FC1D9A" w:rsidRDefault="009C5632" w:rsidP="00240CC4">
            <w:pPr>
              <w:jc w:val="right"/>
              <w:rPr>
                <w:rFonts w:ascii="Arial" w:hAnsi="Arial" w:cs="Arial"/>
                <w:b/>
                <w:color w:val="000000"/>
                <w:sz w:val="18"/>
                <w:szCs w:val="18"/>
              </w:rPr>
            </w:pPr>
            <w:r w:rsidRPr="00FC1D9A">
              <w:rPr>
                <w:rFonts w:ascii="Arial" w:hAnsi="Arial" w:cs="Arial"/>
                <w:b/>
                <w:color w:val="000000"/>
                <w:sz w:val="18"/>
                <w:szCs w:val="18"/>
              </w:rPr>
              <w:t>$542</w:t>
            </w:r>
          </w:p>
        </w:tc>
      </w:tr>
      <w:tr w:rsidR="009C5632" w:rsidRPr="00320EA7" w14:paraId="3E7B42BE" w14:textId="77777777" w:rsidTr="00BA0206">
        <w:trPr>
          <w:trHeight w:val="300"/>
        </w:trPr>
        <w:tc>
          <w:tcPr>
            <w:tcW w:w="709" w:type="dxa"/>
            <w:vMerge/>
            <w:tcBorders>
              <w:left w:val="single" w:sz="4" w:space="0" w:color="000000"/>
              <w:right w:val="single" w:sz="4" w:space="0" w:color="000000"/>
            </w:tcBorders>
            <w:shd w:val="clear" w:color="000000" w:fill="FFFFFF"/>
            <w:noWrap/>
            <w:vAlign w:val="center"/>
            <w:hideMark/>
          </w:tcPr>
          <w:p w14:paraId="761879C9" w14:textId="330FC156" w:rsidR="009C5632" w:rsidRPr="00320EA7" w:rsidRDefault="009C5632" w:rsidP="00240CC4">
            <w:pPr>
              <w:rPr>
                <w:rFonts w:ascii="Arial" w:hAnsi="Arial" w:cs="Arial"/>
                <w:b/>
                <w:bCs/>
                <w:color w:val="000000"/>
                <w:sz w:val="16"/>
                <w:szCs w:val="16"/>
              </w:rPr>
            </w:pPr>
          </w:p>
        </w:tc>
        <w:tc>
          <w:tcPr>
            <w:tcW w:w="2127" w:type="dxa"/>
            <w:tcBorders>
              <w:top w:val="nil"/>
              <w:left w:val="nil"/>
              <w:bottom w:val="single" w:sz="4" w:space="0" w:color="000000"/>
              <w:right w:val="single" w:sz="4" w:space="0" w:color="000000"/>
            </w:tcBorders>
            <w:shd w:val="clear" w:color="000000" w:fill="FFFFFF"/>
            <w:noWrap/>
            <w:vAlign w:val="center"/>
            <w:hideMark/>
          </w:tcPr>
          <w:p w14:paraId="24051187" w14:textId="77777777" w:rsidR="009C5632" w:rsidRPr="00320EA7" w:rsidRDefault="009C5632" w:rsidP="00240CC4">
            <w:pPr>
              <w:rPr>
                <w:rFonts w:ascii="Arial" w:hAnsi="Arial" w:cs="Arial"/>
                <w:b/>
                <w:bCs/>
                <w:color w:val="000000"/>
                <w:sz w:val="16"/>
                <w:szCs w:val="16"/>
              </w:rPr>
            </w:pPr>
            <w:r w:rsidRPr="00320EA7">
              <w:rPr>
                <w:rFonts w:ascii="Arial" w:hAnsi="Arial" w:cs="Arial"/>
                <w:b/>
                <w:bCs/>
                <w:color w:val="000000"/>
                <w:sz w:val="16"/>
                <w:szCs w:val="16"/>
              </w:rPr>
              <w:t>95th Percentile</w:t>
            </w:r>
          </w:p>
        </w:tc>
        <w:tc>
          <w:tcPr>
            <w:tcW w:w="851" w:type="dxa"/>
            <w:tcBorders>
              <w:top w:val="nil"/>
              <w:left w:val="nil"/>
              <w:bottom w:val="single" w:sz="4" w:space="0" w:color="000000"/>
              <w:right w:val="single" w:sz="4" w:space="0" w:color="000000"/>
            </w:tcBorders>
            <w:shd w:val="clear" w:color="000000" w:fill="FFFFFF"/>
            <w:noWrap/>
            <w:vAlign w:val="bottom"/>
            <w:hideMark/>
          </w:tcPr>
          <w:p w14:paraId="717E251B" w14:textId="77777777" w:rsidR="009C5632" w:rsidRPr="00FC1D9A" w:rsidRDefault="009C5632" w:rsidP="00240CC4">
            <w:pPr>
              <w:jc w:val="right"/>
              <w:rPr>
                <w:rFonts w:ascii="Arial" w:hAnsi="Arial" w:cs="Arial"/>
                <w:color w:val="000000"/>
                <w:sz w:val="18"/>
                <w:szCs w:val="18"/>
              </w:rPr>
            </w:pPr>
            <w:r w:rsidRPr="00FC1D9A">
              <w:rPr>
                <w:rFonts w:ascii="Arial" w:hAnsi="Arial" w:cs="Arial"/>
                <w:color w:val="000000"/>
                <w:sz w:val="18"/>
                <w:szCs w:val="18"/>
              </w:rPr>
              <w:t>$650</w:t>
            </w:r>
          </w:p>
        </w:tc>
        <w:tc>
          <w:tcPr>
            <w:tcW w:w="850" w:type="dxa"/>
            <w:tcBorders>
              <w:top w:val="nil"/>
              <w:left w:val="nil"/>
              <w:bottom w:val="single" w:sz="4" w:space="0" w:color="000000"/>
              <w:right w:val="single" w:sz="4" w:space="0" w:color="000000"/>
            </w:tcBorders>
            <w:shd w:val="clear" w:color="000000" w:fill="FFFFFF"/>
            <w:noWrap/>
            <w:vAlign w:val="bottom"/>
            <w:hideMark/>
          </w:tcPr>
          <w:p w14:paraId="0F627E70" w14:textId="77777777" w:rsidR="009C5632" w:rsidRPr="00FC1D9A" w:rsidRDefault="009C5632" w:rsidP="00240CC4">
            <w:pPr>
              <w:jc w:val="right"/>
              <w:rPr>
                <w:rFonts w:ascii="Arial" w:hAnsi="Arial" w:cs="Arial"/>
                <w:color w:val="000000"/>
                <w:sz w:val="18"/>
                <w:szCs w:val="18"/>
              </w:rPr>
            </w:pPr>
            <w:r w:rsidRPr="00FC1D9A">
              <w:rPr>
                <w:rFonts w:ascii="Arial" w:hAnsi="Arial" w:cs="Arial"/>
                <w:color w:val="000000"/>
                <w:sz w:val="18"/>
                <w:szCs w:val="18"/>
              </w:rPr>
              <w:t>$640</w:t>
            </w:r>
          </w:p>
        </w:tc>
        <w:tc>
          <w:tcPr>
            <w:tcW w:w="851" w:type="dxa"/>
            <w:tcBorders>
              <w:top w:val="nil"/>
              <w:left w:val="nil"/>
              <w:bottom w:val="single" w:sz="4" w:space="0" w:color="000000"/>
              <w:right w:val="single" w:sz="4" w:space="0" w:color="000000"/>
            </w:tcBorders>
            <w:shd w:val="clear" w:color="000000" w:fill="FFFFFF"/>
            <w:noWrap/>
            <w:vAlign w:val="bottom"/>
            <w:hideMark/>
          </w:tcPr>
          <w:p w14:paraId="50994B4E" w14:textId="77777777" w:rsidR="009C5632" w:rsidRPr="00FC1D9A" w:rsidRDefault="009C5632" w:rsidP="00240CC4">
            <w:pPr>
              <w:jc w:val="right"/>
              <w:rPr>
                <w:rFonts w:ascii="Arial" w:hAnsi="Arial" w:cs="Arial"/>
                <w:color w:val="000000"/>
                <w:sz w:val="18"/>
                <w:szCs w:val="18"/>
              </w:rPr>
            </w:pPr>
            <w:r w:rsidRPr="00FC1D9A">
              <w:rPr>
                <w:rFonts w:ascii="Arial" w:hAnsi="Arial" w:cs="Arial"/>
                <w:color w:val="000000"/>
                <w:sz w:val="18"/>
                <w:szCs w:val="18"/>
              </w:rPr>
              <w:t>$616</w:t>
            </w:r>
          </w:p>
        </w:tc>
        <w:tc>
          <w:tcPr>
            <w:tcW w:w="708" w:type="dxa"/>
            <w:tcBorders>
              <w:top w:val="nil"/>
              <w:left w:val="nil"/>
              <w:bottom w:val="single" w:sz="4" w:space="0" w:color="000000"/>
              <w:right w:val="single" w:sz="4" w:space="0" w:color="000000"/>
            </w:tcBorders>
            <w:shd w:val="clear" w:color="000000" w:fill="FFFFFF"/>
            <w:noWrap/>
            <w:vAlign w:val="bottom"/>
            <w:hideMark/>
          </w:tcPr>
          <w:p w14:paraId="23EAC727" w14:textId="77777777" w:rsidR="009C5632" w:rsidRPr="00FC1D9A" w:rsidRDefault="009C5632" w:rsidP="00240CC4">
            <w:pPr>
              <w:jc w:val="right"/>
              <w:rPr>
                <w:rFonts w:ascii="Arial" w:hAnsi="Arial" w:cs="Arial"/>
                <w:color w:val="000000"/>
                <w:sz w:val="18"/>
                <w:szCs w:val="18"/>
              </w:rPr>
            </w:pPr>
            <w:r w:rsidRPr="00FC1D9A">
              <w:rPr>
                <w:rFonts w:ascii="Arial" w:hAnsi="Arial" w:cs="Arial"/>
                <w:color w:val="000000"/>
                <w:sz w:val="18"/>
                <w:szCs w:val="18"/>
              </w:rPr>
              <w:t>$579</w:t>
            </w:r>
          </w:p>
        </w:tc>
        <w:tc>
          <w:tcPr>
            <w:tcW w:w="851" w:type="dxa"/>
            <w:tcBorders>
              <w:top w:val="nil"/>
              <w:left w:val="nil"/>
              <w:bottom w:val="single" w:sz="4" w:space="0" w:color="000000"/>
              <w:right w:val="single" w:sz="4" w:space="0" w:color="000000"/>
            </w:tcBorders>
            <w:shd w:val="clear" w:color="000000" w:fill="FFFFFF"/>
            <w:noWrap/>
            <w:vAlign w:val="bottom"/>
            <w:hideMark/>
          </w:tcPr>
          <w:p w14:paraId="00E6F884" w14:textId="77777777" w:rsidR="009C5632" w:rsidRPr="00FC1D9A" w:rsidRDefault="009C5632" w:rsidP="00240CC4">
            <w:pPr>
              <w:jc w:val="right"/>
              <w:rPr>
                <w:rFonts w:ascii="Arial" w:hAnsi="Arial" w:cs="Arial"/>
                <w:color w:val="000000"/>
                <w:sz w:val="18"/>
                <w:szCs w:val="18"/>
              </w:rPr>
            </w:pPr>
            <w:r w:rsidRPr="00FC1D9A">
              <w:rPr>
                <w:rFonts w:ascii="Arial" w:hAnsi="Arial" w:cs="Arial"/>
                <w:color w:val="000000"/>
                <w:sz w:val="18"/>
                <w:szCs w:val="18"/>
              </w:rPr>
              <w:t>$1,073</w:t>
            </w:r>
          </w:p>
        </w:tc>
        <w:tc>
          <w:tcPr>
            <w:tcW w:w="709" w:type="dxa"/>
            <w:tcBorders>
              <w:top w:val="nil"/>
              <w:left w:val="nil"/>
              <w:bottom w:val="single" w:sz="4" w:space="0" w:color="000000"/>
              <w:right w:val="single" w:sz="4" w:space="0" w:color="auto"/>
            </w:tcBorders>
            <w:shd w:val="clear" w:color="000000" w:fill="FFFFFF"/>
            <w:vAlign w:val="bottom"/>
          </w:tcPr>
          <w:p w14:paraId="37D88F29" w14:textId="77777777" w:rsidR="009C5632" w:rsidRPr="00FC1D9A" w:rsidRDefault="009C5632" w:rsidP="00240CC4">
            <w:pPr>
              <w:jc w:val="right"/>
              <w:rPr>
                <w:rFonts w:ascii="Arial" w:hAnsi="Arial" w:cs="Arial"/>
                <w:sz w:val="18"/>
                <w:szCs w:val="18"/>
              </w:rPr>
            </w:pPr>
            <w:r w:rsidRPr="00FC1D9A">
              <w:rPr>
                <w:rFonts w:ascii="Arial" w:hAnsi="Arial" w:cs="Arial"/>
                <w:color w:val="000000"/>
                <w:sz w:val="18"/>
                <w:szCs w:val="18"/>
              </w:rPr>
              <w:t>np</w:t>
            </w:r>
          </w:p>
        </w:tc>
        <w:tc>
          <w:tcPr>
            <w:tcW w:w="567" w:type="dxa"/>
            <w:tcBorders>
              <w:top w:val="nil"/>
              <w:left w:val="single" w:sz="4" w:space="0" w:color="auto"/>
              <w:bottom w:val="single" w:sz="4" w:space="0" w:color="000000"/>
              <w:right w:val="single" w:sz="4" w:space="0" w:color="auto"/>
            </w:tcBorders>
            <w:shd w:val="clear" w:color="000000" w:fill="FFFFFF"/>
            <w:vAlign w:val="bottom"/>
          </w:tcPr>
          <w:p w14:paraId="09F8DC02" w14:textId="77777777" w:rsidR="009C5632" w:rsidRPr="00FC1D9A" w:rsidRDefault="009C5632" w:rsidP="00240CC4">
            <w:pPr>
              <w:jc w:val="right"/>
              <w:rPr>
                <w:rFonts w:ascii="Arial" w:hAnsi="Arial" w:cs="Arial"/>
                <w:sz w:val="18"/>
                <w:szCs w:val="18"/>
              </w:rPr>
            </w:pPr>
            <w:r w:rsidRPr="00FC1D9A">
              <w:rPr>
                <w:rFonts w:ascii="Arial" w:hAnsi="Arial" w:cs="Arial"/>
                <w:color w:val="000000"/>
                <w:sz w:val="18"/>
                <w:szCs w:val="18"/>
              </w:rPr>
              <w:t>np</w:t>
            </w:r>
          </w:p>
        </w:tc>
        <w:tc>
          <w:tcPr>
            <w:tcW w:w="647" w:type="dxa"/>
            <w:tcBorders>
              <w:top w:val="nil"/>
              <w:left w:val="single" w:sz="4" w:space="0" w:color="auto"/>
              <w:bottom w:val="single" w:sz="4" w:space="0" w:color="000000"/>
              <w:right w:val="single" w:sz="4" w:space="0" w:color="000000"/>
            </w:tcBorders>
            <w:shd w:val="clear" w:color="000000" w:fill="FFFFFF"/>
            <w:noWrap/>
            <w:vAlign w:val="bottom"/>
          </w:tcPr>
          <w:p w14:paraId="2B1CFBF0" w14:textId="77777777" w:rsidR="009C5632" w:rsidRPr="00FC1D9A" w:rsidRDefault="009C5632" w:rsidP="00240CC4">
            <w:pPr>
              <w:jc w:val="right"/>
              <w:rPr>
                <w:rFonts w:ascii="Arial" w:hAnsi="Arial" w:cs="Arial"/>
                <w:sz w:val="18"/>
                <w:szCs w:val="18"/>
              </w:rPr>
            </w:pPr>
            <w:r w:rsidRPr="00FC1D9A">
              <w:rPr>
                <w:rFonts w:ascii="Arial" w:hAnsi="Arial" w:cs="Arial"/>
                <w:color w:val="000000"/>
                <w:sz w:val="18"/>
                <w:szCs w:val="18"/>
              </w:rPr>
              <w:t>np</w:t>
            </w:r>
          </w:p>
        </w:tc>
        <w:tc>
          <w:tcPr>
            <w:tcW w:w="962" w:type="dxa"/>
            <w:tcBorders>
              <w:top w:val="nil"/>
              <w:left w:val="nil"/>
              <w:bottom w:val="single" w:sz="4" w:space="0" w:color="000000"/>
              <w:right w:val="single" w:sz="4" w:space="0" w:color="000000"/>
            </w:tcBorders>
            <w:shd w:val="clear" w:color="000000" w:fill="FFFFFF"/>
            <w:noWrap/>
            <w:vAlign w:val="bottom"/>
            <w:hideMark/>
          </w:tcPr>
          <w:p w14:paraId="11F9FD68" w14:textId="77777777" w:rsidR="009C5632" w:rsidRPr="00FC1D9A" w:rsidRDefault="009C5632" w:rsidP="00240CC4">
            <w:pPr>
              <w:jc w:val="right"/>
              <w:rPr>
                <w:rFonts w:ascii="Arial" w:hAnsi="Arial" w:cs="Arial"/>
                <w:b/>
                <w:color w:val="000000"/>
                <w:sz w:val="18"/>
                <w:szCs w:val="18"/>
              </w:rPr>
            </w:pPr>
            <w:r w:rsidRPr="00FC1D9A">
              <w:rPr>
                <w:rFonts w:ascii="Arial" w:hAnsi="Arial" w:cs="Arial"/>
                <w:b/>
                <w:color w:val="000000"/>
                <w:sz w:val="18"/>
                <w:szCs w:val="18"/>
              </w:rPr>
              <w:t>$616</w:t>
            </w:r>
          </w:p>
        </w:tc>
      </w:tr>
      <w:tr w:rsidR="009C5632" w:rsidRPr="00320EA7" w14:paraId="209C4C5E" w14:textId="77777777" w:rsidTr="00BA0206">
        <w:trPr>
          <w:trHeight w:val="300"/>
        </w:trPr>
        <w:tc>
          <w:tcPr>
            <w:tcW w:w="709" w:type="dxa"/>
            <w:vMerge/>
            <w:tcBorders>
              <w:left w:val="single" w:sz="4" w:space="0" w:color="000000"/>
              <w:bottom w:val="single" w:sz="4" w:space="0" w:color="auto"/>
              <w:right w:val="single" w:sz="4" w:space="0" w:color="000000"/>
            </w:tcBorders>
            <w:shd w:val="clear" w:color="000000" w:fill="FFFFFF"/>
            <w:noWrap/>
            <w:vAlign w:val="center"/>
            <w:hideMark/>
          </w:tcPr>
          <w:p w14:paraId="19BC4333" w14:textId="21AFF8D2" w:rsidR="009C5632" w:rsidRPr="00320EA7" w:rsidRDefault="009C5632" w:rsidP="00240CC4">
            <w:pPr>
              <w:rPr>
                <w:rFonts w:ascii="Arial" w:hAnsi="Arial" w:cs="Arial"/>
                <w:b/>
                <w:bCs/>
                <w:color w:val="000000"/>
                <w:sz w:val="16"/>
                <w:szCs w:val="16"/>
              </w:rPr>
            </w:pPr>
          </w:p>
        </w:tc>
        <w:tc>
          <w:tcPr>
            <w:tcW w:w="2127" w:type="dxa"/>
            <w:tcBorders>
              <w:top w:val="nil"/>
              <w:left w:val="nil"/>
              <w:bottom w:val="single" w:sz="4" w:space="0" w:color="auto"/>
              <w:right w:val="single" w:sz="4" w:space="0" w:color="000000"/>
            </w:tcBorders>
            <w:shd w:val="clear" w:color="000000" w:fill="FFFFFF"/>
            <w:noWrap/>
            <w:vAlign w:val="center"/>
            <w:hideMark/>
          </w:tcPr>
          <w:p w14:paraId="666ABCA3" w14:textId="77777777" w:rsidR="009C5632" w:rsidRPr="00320EA7" w:rsidRDefault="009C5632" w:rsidP="00240CC4">
            <w:pPr>
              <w:rPr>
                <w:rFonts w:ascii="Arial" w:hAnsi="Arial" w:cs="Arial"/>
                <w:b/>
                <w:bCs/>
                <w:color w:val="000000"/>
                <w:sz w:val="16"/>
                <w:szCs w:val="16"/>
              </w:rPr>
            </w:pPr>
            <w:r w:rsidRPr="00320EA7">
              <w:rPr>
                <w:rFonts w:ascii="Arial" w:hAnsi="Arial" w:cs="Arial"/>
                <w:b/>
                <w:bCs/>
                <w:color w:val="000000"/>
                <w:sz w:val="16"/>
                <w:szCs w:val="16"/>
              </w:rPr>
              <w:t>Bulk-billing Rate</w:t>
            </w:r>
          </w:p>
        </w:tc>
        <w:tc>
          <w:tcPr>
            <w:tcW w:w="851" w:type="dxa"/>
            <w:tcBorders>
              <w:top w:val="nil"/>
              <w:left w:val="nil"/>
              <w:bottom w:val="single" w:sz="4" w:space="0" w:color="000000"/>
              <w:right w:val="single" w:sz="4" w:space="0" w:color="000000"/>
            </w:tcBorders>
            <w:shd w:val="clear" w:color="000000" w:fill="FFFFFF"/>
            <w:noWrap/>
            <w:vAlign w:val="bottom"/>
            <w:hideMark/>
          </w:tcPr>
          <w:p w14:paraId="27D3B380" w14:textId="77777777" w:rsidR="009C5632" w:rsidRPr="00FC1D9A" w:rsidRDefault="009C5632" w:rsidP="00240CC4">
            <w:pPr>
              <w:jc w:val="right"/>
              <w:rPr>
                <w:rFonts w:ascii="Arial" w:hAnsi="Arial" w:cs="Arial"/>
                <w:color w:val="000000"/>
                <w:sz w:val="18"/>
                <w:szCs w:val="18"/>
              </w:rPr>
            </w:pPr>
            <w:r w:rsidRPr="00FC1D9A">
              <w:rPr>
                <w:rFonts w:ascii="Arial" w:hAnsi="Arial" w:cs="Arial"/>
                <w:color w:val="000000"/>
                <w:sz w:val="18"/>
                <w:szCs w:val="18"/>
              </w:rPr>
              <w:t>80%</w:t>
            </w:r>
          </w:p>
        </w:tc>
        <w:tc>
          <w:tcPr>
            <w:tcW w:w="850" w:type="dxa"/>
            <w:tcBorders>
              <w:top w:val="nil"/>
              <w:left w:val="nil"/>
              <w:bottom w:val="single" w:sz="4" w:space="0" w:color="000000"/>
              <w:right w:val="single" w:sz="4" w:space="0" w:color="000000"/>
            </w:tcBorders>
            <w:shd w:val="clear" w:color="000000" w:fill="FFFFFF"/>
            <w:noWrap/>
            <w:vAlign w:val="bottom"/>
            <w:hideMark/>
          </w:tcPr>
          <w:p w14:paraId="7F99F9C2" w14:textId="77777777" w:rsidR="009C5632" w:rsidRPr="00FC1D9A" w:rsidRDefault="009C5632" w:rsidP="00240CC4">
            <w:pPr>
              <w:jc w:val="right"/>
              <w:rPr>
                <w:rFonts w:ascii="Arial" w:hAnsi="Arial" w:cs="Arial"/>
                <w:color w:val="000000"/>
                <w:sz w:val="18"/>
                <w:szCs w:val="18"/>
              </w:rPr>
            </w:pPr>
            <w:r w:rsidRPr="00FC1D9A">
              <w:rPr>
                <w:rFonts w:ascii="Arial" w:hAnsi="Arial" w:cs="Arial"/>
                <w:color w:val="000000"/>
                <w:sz w:val="18"/>
                <w:szCs w:val="18"/>
              </w:rPr>
              <w:t>79%</w:t>
            </w:r>
          </w:p>
        </w:tc>
        <w:tc>
          <w:tcPr>
            <w:tcW w:w="851" w:type="dxa"/>
            <w:tcBorders>
              <w:top w:val="nil"/>
              <w:left w:val="nil"/>
              <w:bottom w:val="single" w:sz="4" w:space="0" w:color="000000"/>
              <w:right w:val="single" w:sz="4" w:space="0" w:color="000000"/>
            </w:tcBorders>
            <w:shd w:val="clear" w:color="000000" w:fill="FFFFFF"/>
            <w:noWrap/>
            <w:vAlign w:val="bottom"/>
            <w:hideMark/>
          </w:tcPr>
          <w:p w14:paraId="510F7386" w14:textId="77777777" w:rsidR="009C5632" w:rsidRPr="00FC1D9A" w:rsidRDefault="009C5632" w:rsidP="00240CC4">
            <w:pPr>
              <w:jc w:val="right"/>
              <w:rPr>
                <w:rFonts w:ascii="Arial" w:hAnsi="Arial" w:cs="Arial"/>
                <w:color w:val="000000"/>
                <w:sz w:val="18"/>
                <w:szCs w:val="18"/>
              </w:rPr>
            </w:pPr>
            <w:r w:rsidRPr="00FC1D9A">
              <w:rPr>
                <w:rFonts w:ascii="Arial" w:hAnsi="Arial" w:cs="Arial"/>
                <w:color w:val="000000"/>
                <w:sz w:val="18"/>
                <w:szCs w:val="18"/>
              </w:rPr>
              <w:t>38%</w:t>
            </w:r>
          </w:p>
        </w:tc>
        <w:tc>
          <w:tcPr>
            <w:tcW w:w="708" w:type="dxa"/>
            <w:tcBorders>
              <w:top w:val="nil"/>
              <w:left w:val="nil"/>
              <w:bottom w:val="single" w:sz="4" w:space="0" w:color="000000"/>
              <w:right w:val="single" w:sz="4" w:space="0" w:color="000000"/>
            </w:tcBorders>
            <w:shd w:val="clear" w:color="000000" w:fill="FFFFFF"/>
            <w:noWrap/>
            <w:vAlign w:val="bottom"/>
            <w:hideMark/>
          </w:tcPr>
          <w:p w14:paraId="58CFB2AC" w14:textId="77777777" w:rsidR="009C5632" w:rsidRPr="00FC1D9A" w:rsidRDefault="009C5632" w:rsidP="00240CC4">
            <w:pPr>
              <w:jc w:val="right"/>
              <w:rPr>
                <w:rFonts w:ascii="Arial" w:hAnsi="Arial" w:cs="Arial"/>
                <w:color w:val="000000"/>
                <w:sz w:val="18"/>
                <w:szCs w:val="18"/>
              </w:rPr>
            </w:pPr>
            <w:r w:rsidRPr="00FC1D9A">
              <w:rPr>
                <w:rFonts w:ascii="Arial" w:hAnsi="Arial" w:cs="Arial"/>
                <w:color w:val="000000"/>
                <w:sz w:val="18"/>
                <w:szCs w:val="18"/>
              </w:rPr>
              <w:t>49%</w:t>
            </w:r>
          </w:p>
        </w:tc>
        <w:tc>
          <w:tcPr>
            <w:tcW w:w="851" w:type="dxa"/>
            <w:tcBorders>
              <w:top w:val="nil"/>
              <w:left w:val="nil"/>
              <w:bottom w:val="single" w:sz="4" w:space="0" w:color="000000"/>
              <w:right w:val="single" w:sz="4" w:space="0" w:color="000000"/>
            </w:tcBorders>
            <w:shd w:val="clear" w:color="000000" w:fill="FFFFFF"/>
            <w:noWrap/>
            <w:vAlign w:val="bottom"/>
            <w:hideMark/>
          </w:tcPr>
          <w:p w14:paraId="330645E7" w14:textId="77777777" w:rsidR="009C5632" w:rsidRPr="00FC1D9A" w:rsidRDefault="009C5632" w:rsidP="00240CC4">
            <w:pPr>
              <w:jc w:val="right"/>
              <w:rPr>
                <w:rFonts w:ascii="Arial" w:hAnsi="Arial" w:cs="Arial"/>
                <w:color w:val="000000"/>
                <w:sz w:val="18"/>
                <w:szCs w:val="18"/>
              </w:rPr>
            </w:pPr>
            <w:r w:rsidRPr="00FC1D9A">
              <w:rPr>
                <w:rFonts w:ascii="Arial" w:hAnsi="Arial" w:cs="Arial"/>
                <w:color w:val="000000"/>
                <w:sz w:val="18"/>
                <w:szCs w:val="18"/>
              </w:rPr>
              <w:t>25%</w:t>
            </w:r>
          </w:p>
        </w:tc>
        <w:tc>
          <w:tcPr>
            <w:tcW w:w="709" w:type="dxa"/>
            <w:tcBorders>
              <w:top w:val="nil"/>
              <w:left w:val="nil"/>
              <w:bottom w:val="single" w:sz="4" w:space="0" w:color="000000"/>
              <w:right w:val="single" w:sz="4" w:space="0" w:color="auto"/>
            </w:tcBorders>
            <w:shd w:val="clear" w:color="000000" w:fill="FFFFFF"/>
            <w:vAlign w:val="bottom"/>
          </w:tcPr>
          <w:p w14:paraId="12B48B75" w14:textId="77777777" w:rsidR="009C5632" w:rsidRPr="00FC1D9A" w:rsidRDefault="009C5632" w:rsidP="00240CC4">
            <w:pPr>
              <w:jc w:val="right"/>
              <w:rPr>
                <w:rFonts w:ascii="Arial" w:hAnsi="Arial" w:cs="Arial"/>
                <w:sz w:val="18"/>
                <w:szCs w:val="18"/>
              </w:rPr>
            </w:pPr>
            <w:r w:rsidRPr="00FC1D9A">
              <w:rPr>
                <w:rFonts w:ascii="Arial" w:hAnsi="Arial" w:cs="Arial"/>
                <w:color w:val="000000"/>
                <w:sz w:val="18"/>
                <w:szCs w:val="18"/>
              </w:rPr>
              <w:t>np</w:t>
            </w:r>
          </w:p>
        </w:tc>
        <w:tc>
          <w:tcPr>
            <w:tcW w:w="567" w:type="dxa"/>
            <w:tcBorders>
              <w:top w:val="nil"/>
              <w:left w:val="single" w:sz="4" w:space="0" w:color="auto"/>
              <w:bottom w:val="single" w:sz="4" w:space="0" w:color="000000"/>
              <w:right w:val="single" w:sz="4" w:space="0" w:color="auto"/>
            </w:tcBorders>
            <w:shd w:val="clear" w:color="000000" w:fill="FFFFFF"/>
            <w:vAlign w:val="bottom"/>
          </w:tcPr>
          <w:p w14:paraId="3356C77E" w14:textId="77777777" w:rsidR="009C5632" w:rsidRPr="00FC1D9A" w:rsidRDefault="009C5632" w:rsidP="00240CC4">
            <w:pPr>
              <w:jc w:val="right"/>
              <w:rPr>
                <w:rFonts w:ascii="Arial" w:hAnsi="Arial" w:cs="Arial"/>
                <w:sz w:val="18"/>
                <w:szCs w:val="18"/>
              </w:rPr>
            </w:pPr>
            <w:r w:rsidRPr="00FC1D9A">
              <w:rPr>
                <w:rFonts w:ascii="Arial" w:hAnsi="Arial" w:cs="Arial"/>
                <w:color w:val="000000"/>
                <w:sz w:val="18"/>
                <w:szCs w:val="18"/>
              </w:rPr>
              <w:t>np</w:t>
            </w:r>
          </w:p>
        </w:tc>
        <w:tc>
          <w:tcPr>
            <w:tcW w:w="647" w:type="dxa"/>
            <w:tcBorders>
              <w:top w:val="nil"/>
              <w:left w:val="single" w:sz="4" w:space="0" w:color="auto"/>
              <w:bottom w:val="single" w:sz="4" w:space="0" w:color="000000"/>
              <w:right w:val="single" w:sz="4" w:space="0" w:color="000000"/>
            </w:tcBorders>
            <w:shd w:val="clear" w:color="000000" w:fill="FFFFFF"/>
            <w:noWrap/>
            <w:vAlign w:val="bottom"/>
            <w:hideMark/>
          </w:tcPr>
          <w:p w14:paraId="23300B43" w14:textId="77777777" w:rsidR="009C5632" w:rsidRPr="00FC1D9A" w:rsidRDefault="009C5632" w:rsidP="00240CC4">
            <w:pPr>
              <w:jc w:val="right"/>
              <w:rPr>
                <w:rFonts w:ascii="Arial" w:hAnsi="Arial" w:cs="Arial"/>
                <w:sz w:val="18"/>
                <w:szCs w:val="18"/>
              </w:rPr>
            </w:pPr>
            <w:r w:rsidRPr="00FC1D9A">
              <w:rPr>
                <w:rFonts w:ascii="Arial" w:hAnsi="Arial" w:cs="Arial"/>
                <w:color w:val="000000"/>
                <w:sz w:val="18"/>
                <w:szCs w:val="18"/>
              </w:rPr>
              <w:t>np</w:t>
            </w:r>
          </w:p>
        </w:tc>
        <w:tc>
          <w:tcPr>
            <w:tcW w:w="962" w:type="dxa"/>
            <w:tcBorders>
              <w:top w:val="nil"/>
              <w:left w:val="nil"/>
              <w:bottom w:val="single" w:sz="4" w:space="0" w:color="000000"/>
              <w:right w:val="single" w:sz="4" w:space="0" w:color="000000"/>
            </w:tcBorders>
            <w:shd w:val="clear" w:color="000000" w:fill="FFFFFF"/>
            <w:noWrap/>
            <w:vAlign w:val="bottom"/>
            <w:hideMark/>
          </w:tcPr>
          <w:p w14:paraId="052CBEB1" w14:textId="77777777" w:rsidR="009C5632" w:rsidRPr="00FC1D9A" w:rsidRDefault="009C5632" w:rsidP="00240CC4">
            <w:pPr>
              <w:jc w:val="right"/>
              <w:rPr>
                <w:rFonts w:ascii="Arial" w:hAnsi="Arial" w:cs="Arial"/>
                <w:b/>
                <w:color w:val="000000"/>
                <w:sz w:val="18"/>
                <w:szCs w:val="18"/>
              </w:rPr>
            </w:pPr>
            <w:r w:rsidRPr="00FC1D9A">
              <w:rPr>
                <w:rFonts w:ascii="Arial" w:hAnsi="Arial" w:cs="Arial"/>
                <w:b/>
                <w:color w:val="000000"/>
                <w:sz w:val="18"/>
                <w:szCs w:val="18"/>
              </w:rPr>
              <w:t>69%</w:t>
            </w:r>
          </w:p>
        </w:tc>
      </w:tr>
    </w:tbl>
    <w:p w14:paraId="029C27CB" w14:textId="77777777" w:rsidR="00F33D75" w:rsidRPr="000E7EA4" w:rsidRDefault="00F33D75" w:rsidP="00F33D75">
      <w:pPr>
        <w:rPr>
          <w:sz w:val="20"/>
        </w:rPr>
      </w:pPr>
      <w:r>
        <w:rPr>
          <w:sz w:val="20"/>
        </w:rPr>
        <w:t>NP</w:t>
      </w:r>
      <w:r w:rsidRPr="000E7EA4">
        <w:rPr>
          <w:sz w:val="20"/>
        </w:rPr>
        <w:t xml:space="preserve"> = not </w:t>
      </w:r>
      <w:r>
        <w:rPr>
          <w:sz w:val="20"/>
        </w:rPr>
        <w:t>published due to low volumes</w:t>
      </w:r>
    </w:p>
    <w:p w14:paraId="1DF2BD71" w14:textId="534864A5" w:rsidR="004E015F" w:rsidRDefault="00A73613" w:rsidP="004E015F">
      <w:r>
        <w:rPr>
          <w:i/>
          <w:sz w:val="20"/>
        </w:rPr>
        <w:t>Source: Department of Health</w:t>
      </w:r>
    </w:p>
    <w:p w14:paraId="7BB63DAF" w14:textId="3C04382D" w:rsidR="00BC1364" w:rsidRPr="00D90A38" w:rsidRDefault="00A91AFD" w:rsidP="007A775F">
      <w:pPr>
        <w:pStyle w:val="Heading1"/>
        <w:numPr>
          <w:ilvl w:val="0"/>
          <w:numId w:val="23"/>
        </w:numPr>
        <w:tabs>
          <w:tab w:val="left" w:pos="720"/>
          <w:tab w:val="left" w:pos="1140"/>
        </w:tabs>
        <w:spacing w:before="360"/>
        <w:ind w:hanging="720"/>
      </w:pPr>
      <w:r>
        <w:t>Background</w:t>
      </w:r>
    </w:p>
    <w:p w14:paraId="44894566" w14:textId="32041AA7" w:rsidR="00BC1364" w:rsidRDefault="007F42E4" w:rsidP="007F42E4">
      <w:pPr>
        <w:pStyle w:val="Heading2"/>
      </w:pPr>
      <w:r>
        <w:t>Application 1161</w:t>
      </w:r>
    </w:p>
    <w:p w14:paraId="4474536B" w14:textId="231F006D" w:rsidR="007F42E4" w:rsidRDefault="007F42E4" w:rsidP="007A775F">
      <w:r>
        <w:t>In July 2004,</w:t>
      </w:r>
      <w:r w:rsidR="00B16C0D">
        <w:t xml:space="preserve"> the Pharmaceutical Benefits Advisory Committee (</w:t>
      </w:r>
      <w:r>
        <w:t>PBAC</w:t>
      </w:r>
      <w:r w:rsidR="00B16C0D">
        <w:t>)</w:t>
      </w:r>
      <w:r>
        <w:t xml:space="preserve"> recommended PBS listing of getfitinib, which was listed from 1 December 2004. </w:t>
      </w:r>
      <w:r w:rsidR="00B16C0D">
        <w:t xml:space="preserve">The </w:t>
      </w:r>
      <w:r>
        <w:t xml:space="preserve">EGFR testing to determine </w:t>
      </w:r>
      <w:r w:rsidR="00B16C0D">
        <w:t>getfitinib eligibility was not</w:t>
      </w:r>
      <w:r>
        <w:t xml:space="preserve"> listed on the MBS at th</w:t>
      </w:r>
      <w:r w:rsidR="00B16C0D">
        <w:t>is</w:t>
      </w:r>
      <w:r>
        <w:t xml:space="preserve"> time.</w:t>
      </w:r>
    </w:p>
    <w:p w14:paraId="4D5DEAD0" w14:textId="76EF4136" w:rsidR="007F42E4" w:rsidRDefault="007F42E4" w:rsidP="007A775F">
      <w:pPr>
        <w:spacing w:before="240"/>
      </w:pPr>
      <w:r>
        <w:t>In December 2010, MSAC recommended public funding for ‘testing in the limited circumstance of determining tumour EGFR activating mutation status to contribute to a determination of eligibility for currently PBS-subsidised getfitinib for a patient with locally advanced or metastatic non-small cell lung cancer’. EGFR testing was MBS listed in May 2012.</w:t>
      </w:r>
    </w:p>
    <w:p w14:paraId="2DAA2857" w14:textId="77777777" w:rsidR="007F42E4" w:rsidRDefault="007F42E4" w:rsidP="007A775F">
      <w:pPr>
        <w:spacing w:before="240"/>
      </w:pPr>
      <w:r>
        <w:t>In November 2010, PBAC rejected PBS listing of getfitinib for the first-line treatment of patients with locally advanced or metastatic NSCLC (Stage IIIb/IV) who have an activating mutation in the EGFR gene, on the basis of unacceptably high and uncertain cost effectiveness.</w:t>
      </w:r>
    </w:p>
    <w:p w14:paraId="1C9DEE7F" w14:textId="53A59905" w:rsidR="007F42E4" w:rsidRDefault="007F42E4" w:rsidP="007A775F">
      <w:pPr>
        <w:spacing w:before="240"/>
      </w:pPr>
      <w:r>
        <w:t>In November 2012, MSAC and PBAC reviewed a co-dependent submission for EGFR mutation testing and access to getfitinib for the first-line treatment of locally advanced or metastatic NSCLC patients expressing activating mutations of the EGFR gene. The submission was rejected by PBAC, and MSAC deferred the application for the requested MBS item until such time as PBAC recommended the corresponding PBS listing of getfitinib.</w:t>
      </w:r>
    </w:p>
    <w:p w14:paraId="4DFAE784" w14:textId="77777777" w:rsidR="007F42E4" w:rsidRDefault="007F42E4" w:rsidP="007A775F">
      <w:pPr>
        <w:spacing w:before="240"/>
      </w:pPr>
      <w:r>
        <w:t>The sponsor lodged a major resubmission to PBAC for the listing of first-line getfitinib on the PBS for consideration at the July 2013 PBAC meeting. The sponsor was advised that a minor resubmission to MSAC was required to address outstanding testing issues raised in the November 2012 getfitinib MSAC minutes.</w:t>
      </w:r>
    </w:p>
    <w:p w14:paraId="69A31FB4" w14:textId="204A78D4" w:rsidR="007F42E4" w:rsidRDefault="007F42E4" w:rsidP="007A775F">
      <w:pPr>
        <w:spacing w:before="240"/>
      </w:pPr>
      <w:r>
        <w:t>MSAC supported the listing of the service at an out of session meeting in October 2013.</w:t>
      </w:r>
    </w:p>
    <w:p w14:paraId="627F3F79" w14:textId="5AD73EB7" w:rsidR="007F42E4" w:rsidRDefault="007F42E4" w:rsidP="007F42E4">
      <w:pPr>
        <w:pStyle w:val="Heading2"/>
      </w:pPr>
      <w:r>
        <w:t>Application 1173</w:t>
      </w:r>
    </w:p>
    <w:p w14:paraId="689BF87E" w14:textId="77777777" w:rsidR="007F42E4" w:rsidRDefault="007F42E4" w:rsidP="007A775F">
      <w:r>
        <w:t xml:space="preserve">In 2008, </w:t>
      </w:r>
      <w:r w:rsidRPr="00630632">
        <w:t>PBAC recommended the use of erlotinib as a monotherapy in unselected patients with non-small cell lung cancer (NSCLC) who had failed prior chemotherapy.</w:t>
      </w:r>
    </w:p>
    <w:p w14:paraId="7E06282B" w14:textId="77777777" w:rsidR="007F42E4" w:rsidRDefault="007F42E4" w:rsidP="007A775F">
      <w:pPr>
        <w:spacing w:before="240"/>
      </w:pPr>
      <w:r w:rsidRPr="00630632">
        <w:lastRenderedPageBreak/>
        <w:t xml:space="preserve">In </w:t>
      </w:r>
      <w:r>
        <w:t>December 2010</w:t>
      </w:r>
      <w:r w:rsidRPr="00630632">
        <w:t xml:space="preserve">, MSAC recommended public funding for ‘testing in the limited circumstance of determining tumour EGFR activating mutation status to contribute to a determination of eligibility for currently PBS-subsidised </w:t>
      </w:r>
      <w:r>
        <w:t>getfitinib</w:t>
      </w:r>
      <w:r w:rsidRPr="00630632">
        <w:t xml:space="preserve"> for a patient with locally advanced or metastatic non-small cell lung cancer’. EGFR testing for access to </w:t>
      </w:r>
      <w:r>
        <w:t>getfitinib</w:t>
      </w:r>
      <w:r w:rsidRPr="00630632">
        <w:t xml:space="preserve"> in the second-line setting has been MBS listed since May 2012.</w:t>
      </w:r>
    </w:p>
    <w:p w14:paraId="27240AA6" w14:textId="12EC3DF2" w:rsidR="007F42E4" w:rsidRDefault="007F42E4" w:rsidP="007A775F">
      <w:pPr>
        <w:spacing w:before="240"/>
      </w:pPr>
      <w:r w:rsidRPr="00630632">
        <w:t xml:space="preserve">Erlotinib was proposed for the first-line treatment of patients with advanced (stage IIIb) or metastatic (stage IV) NSCLC </w:t>
      </w:r>
      <w:r w:rsidRPr="00630632">
        <w:rPr>
          <w:u w:val="single"/>
        </w:rPr>
        <w:t>with activating epidermal growth factor receptor (EGFR) mutations</w:t>
      </w:r>
      <w:r w:rsidRPr="00630632">
        <w:t xml:space="preserve"> in 2012. A </w:t>
      </w:r>
      <w:r>
        <w:t xml:space="preserve">co-dependent </w:t>
      </w:r>
      <w:r w:rsidRPr="00630632">
        <w:t>submission for public funding of erlotinib and the EGFR mutation test was considered by PBAC in July 2012 and MSAC in August 2012.</w:t>
      </w:r>
    </w:p>
    <w:p w14:paraId="58EF2437" w14:textId="77777777" w:rsidR="007F42E4" w:rsidRDefault="007F42E4" w:rsidP="007A775F">
      <w:pPr>
        <w:spacing w:before="240"/>
      </w:pPr>
      <w:r w:rsidRPr="00630632">
        <w:t>At the August 2012 meeting, MSAC did not support the listing of EGFR mutation testing for determining eligibility for erlotinib treatment as a first-line therapy in patients with locally advanced or met</w:t>
      </w:r>
      <w:r>
        <w:t xml:space="preserve">astatic NSCLC. </w:t>
      </w:r>
      <w:r w:rsidRPr="00630632">
        <w:t>MSAC ‘advised the Minister that it does not support public funding for this indication on the basis of insufficient evidence to determine the comparative performance and costs across the testing options and their consequences for the comparative effectiveness and cost-effectiveness of erlotinib’.</w:t>
      </w:r>
    </w:p>
    <w:p w14:paraId="510CC3A8" w14:textId="77777777" w:rsidR="007F42E4" w:rsidRDefault="007F42E4" w:rsidP="007A775F">
      <w:pPr>
        <w:spacing w:before="240"/>
      </w:pPr>
      <w:r>
        <w:t>In October 2012, a St</w:t>
      </w:r>
      <w:r w:rsidRPr="00630632">
        <w:t xml:space="preserve">akeholder </w:t>
      </w:r>
      <w:r>
        <w:t>M</w:t>
      </w:r>
      <w:r w:rsidRPr="00630632">
        <w:t xml:space="preserve">eeting was jointly convened by </w:t>
      </w:r>
      <w:r>
        <w:t xml:space="preserve">MSAC and </w:t>
      </w:r>
      <w:r w:rsidRPr="00630632">
        <w:t>PBAC to resolve outstanding issues related to i) EGFR mutation testing, and ii) the clinical place of tyrosine kinase inhibitors (TKIs) in the treatment of locally advanced (Stage IIIb) or metastatic (Stage IV) NSCLC.</w:t>
      </w:r>
    </w:p>
    <w:p w14:paraId="54EE695D" w14:textId="594CFFC8" w:rsidR="00F16975" w:rsidRDefault="007F42E4" w:rsidP="007A775F">
      <w:pPr>
        <w:spacing w:before="240"/>
      </w:pPr>
      <w:r w:rsidRPr="00630632">
        <w:t xml:space="preserve">Following the November 2012 MSAC meeting, which discussed Application 1161 (EGFR mutation testing for first-line treatment with </w:t>
      </w:r>
      <w:r>
        <w:t>getfitinib</w:t>
      </w:r>
      <w:r w:rsidRPr="00630632">
        <w:t>), and taking the advice received from the stakeholder meeting, the MSAC outcome was more supportive of EGFR testing than reflected in the previous (August 2012) MSAC minutes for Application 1173 in relation to EGFR testing for access to erlotinib, as many concerns raised previously were resolved during the stakeholder meeting.</w:t>
      </w:r>
    </w:p>
    <w:p w14:paraId="21D683F2" w14:textId="0BFC6665" w:rsidR="005E7BD4" w:rsidRPr="007F42E4" w:rsidRDefault="005E7BD4" w:rsidP="007A775F">
      <w:pPr>
        <w:spacing w:before="240"/>
      </w:pPr>
      <w:r>
        <w:t xml:space="preserve">MBS item 73328 for a test of tumour from a non-small cell lung cancer (NSCLC) to determine EGFR gene status was removed on 1 November 2014, superseded by item 73337. </w:t>
      </w:r>
    </w:p>
    <w:p w14:paraId="766FAB28" w14:textId="0C111A53" w:rsidR="00DE60F6" w:rsidRDefault="00E60FC1" w:rsidP="007A775F">
      <w:pPr>
        <w:pStyle w:val="Heading1"/>
        <w:numPr>
          <w:ilvl w:val="0"/>
          <w:numId w:val="23"/>
        </w:numPr>
        <w:tabs>
          <w:tab w:val="left" w:pos="720"/>
          <w:tab w:val="left" w:pos="1140"/>
        </w:tabs>
        <w:spacing w:before="360"/>
        <w:ind w:hanging="720"/>
      </w:pPr>
      <w:r>
        <w:t>Item descriptor</w:t>
      </w:r>
    </w:p>
    <w:tbl>
      <w:tblPr>
        <w:tblW w:w="5000" w:type="pct"/>
        <w:tblCellMar>
          <w:left w:w="60" w:type="dxa"/>
          <w:right w:w="60" w:type="dxa"/>
        </w:tblCellMar>
        <w:tblLook w:val="0000" w:firstRow="0" w:lastRow="0" w:firstColumn="0" w:lastColumn="0" w:noHBand="0" w:noVBand="0"/>
        <w:tblDescription w:val="This table presents the item descriptors and fees for several MBS items. It contains three rows for each of the item descriptors for MBS items 73328, 73337 and 30710. The table is split into two columns: 1) item number, 2) item descriptor text and fee information."/>
      </w:tblPr>
      <w:tblGrid>
        <w:gridCol w:w="675"/>
        <w:gridCol w:w="8471"/>
      </w:tblGrid>
      <w:tr w:rsidR="000E4EC4" w:rsidRPr="00074CC0" w14:paraId="4CD51396" w14:textId="77777777" w:rsidTr="00F16975">
        <w:tc>
          <w:tcPr>
            <w:tcW w:w="369" w:type="pct"/>
            <w:tcBorders>
              <w:top w:val="single" w:sz="4" w:space="0" w:color="auto"/>
              <w:left w:val="single" w:sz="4" w:space="0" w:color="auto"/>
              <w:bottom w:val="single" w:sz="4" w:space="0" w:color="auto"/>
              <w:right w:val="single" w:sz="4" w:space="0" w:color="auto"/>
            </w:tcBorders>
            <w:shd w:val="clear" w:color="auto" w:fill="auto"/>
            <w:vAlign w:val="bottom"/>
          </w:tcPr>
          <w:p w14:paraId="3EA5F9FF" w14:textId="77777777" w:rsidR="000E4EC4" w:rsidRDefault="000E4EC4" w:rsidP="00240CC4">
            <w:pPr>
              <w:rPr>
                <w:sz w:val="20"/>
              </w:rPr>
            </w:pPr>
            <w:r>
              <w:rPr>
                <w:sz w:val="20"/>
              </w:rPr>
              <w:t>73328</w:t>
            </w:r>
          </w:p>
        </w:tc>
        <w:tc>
          <w:tcPr>
            <w:tcW w:w="4631" w:type="pct"/>
            <w:tcBorders>
              <w:top w:val="single" w:sz="4" w:space="0" w:color="auto"/>
              <w:left w:val="single" w:sz="4" w:space="0" w:color="auto"/>
              <w:bottom w:val="single" w:sz="4" w:space="0" w:color="auto"/>
              <w:right w:val="single" w:sz="4" w:space="0" w:color="auto"/>
            </w:tcBorders>
            <w:shd w:val="clear" w:color="auto" w:fill="auto"/>
          </w:tcPr>
          <w:p w14:paraId="007489FA" w14:textId="77777777" w:rsidR="000E4EC4" w:rsidRDefault="000E4EC4" w:rsidP="00240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rPr>
            </w:pPr>
          </w:p>
          <w:p w14:paraId="11DDE33C" w14:textId="77777777" w:rsidR="000E4EC4" w:rsidRPr="00BD0AF3" w:rsidRDefault="000E4EC4" w:rsidP="00240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rPr>
            </w:pPr>
            <w:r w:rsidRPr="00BD0AF3">
              <w:rPr>
                <w:color w:val="000000"/>
                <w:sz w:val="20"/>
              </w:rPr>
              <w:t xml:space="preserve">A test of tumour tissue from a patient with locally advanced or metastatic non-small cell lung cancer requested by, or on behalf of, a specialist or consultant physician to determine if the requirements relating to epidermal growth factor receptor (egfr) gene status for access to </w:t>
            </w:r>
            <w:r>
              <w:rPr>
                <w:color w:val="000000"/>
                <w:sz w:val="20"/>
              </w:rPr>
              <w:t>getfitinib</w:t>
            </w:r>
            <w:r w:rsidRPr="00BD0AF3">
              <w:rPr>
                <w:color w:val="000000"/>
                <w:sz w:val="20"/>
              </w:rPr>
              <w:t xml:space="preserve"> under the pharmaceutical benefits scheme (pbs) are fulfilled.</w:t>
            </w:r>
          </w:p>
          <w:p w14:paraId="08633D1C" w14:textId="77777777" w:rsidR="000E4EC4" w:rsidRDefault="000E4EC4" w:rsidP="00240CC4">
            <w:pPr>
              <w:rPr>
                <w:sz w:val="20"/>
              </w:rPr>
            </w:pPr>
          </w:p>
          <w:p w14:paraId="622BFEA6" w14:textId="09554F34" w:rsidR="000E4EC4" w:rsidRPr="00BD0AF3" w:rsidRDefault="000E4EC4" w:rsidP="00240CC4">
            <w:pPr>
              <w:rPr>
                <w:sz w:val="20"/>
              </w:rPr>
            </w:pPr>
            <w:r>
              <w:rPr>
                <w:b/>
                <w:sz w:val="20"/>
              </w:rPr>
              <w:t xml:space="preserve">Fee: </w:t>
            </w:r>
            <w:r>
              <w:rPr>
                <w:sz w:val="20"/>
              </w:rPr>
              <w:t>$397.35</w:t>
            </w:r>
            <w:r w:rsidR="00FC1D9A" w:rsidRPr="00AB7F20">
              <w:rPr>
                <w:sz w:val="20"/>
              </w:rPr>
              <w:tab/>
            </w:r>
            <w:r>
              <w:rPr>
                <w:b/>
                <w:sz w:val="20"/>
              </w:rPr>
              <w:t xml:space="preserve">Benefit: </w:t>
            </w:r>
            <w:r>
              <w:rPr>
                <w:sz w:val="20"/>
              </w:rPr>
              <w:t xml:space="preserve">75% = $298.05  85% = $337.75 </w:t>
            </w:r>
          </w:p>
        </w:tc>
      </w:tr>
      <w:tr w:rsidR="000E4EC4" w:rsidRPr="00074CC0" w14:paraId="33B30565" w14:textId="77777777" w:rsidTr="00F16975">
        <w:tc>
          <w:tcPr>
            <w:tcW w:w="369" w:type="pct"/>
            <w:tcBorders>
              <w:top w:val="single" w:sz="4" w:space="0" w:color="auto"/>
              <w:left w:val="single" w:sz="4" w:space="0" w:color="auto"/>
              <w:bottom w:val="single" w:sz="4" w:space="0" w:color="auto"/>
              <w:right w:val="single" w:sz="4" w:space="0" w:color="auto"/>
            </w:tcBorders>
            <w:shd w:val="clear" w:color="auto" w:fill="auto"/>
            <w:vAlign w:val="bottom"/>
          </w:tcPr>
          <w:p w14:paraId="255D4B98" w14:textId="77777777" w:rsidR="000E4EC4" w:rsidRPr="00AB7F20" w:rsidRDefault="000E4EC4" w:rsidP="00240CC4">
            <w:pPr>
              <w:rPr>
                <w:sz w:val="20"/>
              </w:rPr>
            </w:pPr>
            <w:r>
              <w:rPr>
                <w:sz w:val="20"/>
              </w:rPr>
              <w:t>73337</w:t>
            </w:r>
          </w:p>
        </w:tc>
        <w:tc>
          <w:tcPr>
            <w:tcW w:w="4631" w:type="pct"/>
            <w:tcBorders>
              <w:top w:val="single" w:sz="4" w:space="0" w:color="auto"/>
              <w:left w:val="single" w:sz="4" w:space="0" w:color="auto"/>
              <w:bottom w:val="single" w:sz="4" w:space="0" w:color="auto"/>
              <w:right w:val="single" w:sz="4" w:space="0" w:color="auto"/>
            </w:tcBorders>
            <w:shd w:val="clear" w:color="auto" w:fill="auto"/>
          </w:tcPr>
          <w:p w14:paraId="0729C17E" w14:textId="77777777" w:rsidR="000E4EC4" w:rsidRPr="00AB7F20" w:rsidRDefault="000E4EC4" w:rsidP="00240CC4">
            <w:pPr>
              <w:rPr>
                <w:sz w:val="20"/>
              </w:rPr>
            </w:pPr>
          </w:p>
          <w:p w14:paraId="67F0A5E2" w14:textId="072B987B" w:rsidR="000E4EC4" w:rsidRDefault="000E4EC4" w:rsidP="00240CC4">
            <w:pPr>
              <w:rPr>
                <w:sz w:val="20"/>
              </w:rPr>
            </w:pPr>
            <w:r w:rsidRPr="00F021FC">
              <w:rPr>
                <w:sz w:val="20"/>
              </w:rPr>
              <w:t xml:space="preserve">A test of tumour tissue from a patient diagnosed with non-small cell lung cancer, shown to have non-squamous histology or histology not otherwise specified, requested by, or on behalf of, a specialist or consultant physician, to determine if the requirements relating to epidermal growth factor receptor (EGFR) gene status for access to erlotinib or </w:t>
            </w:r>
            <w:r>
              <w:rPr>
                <w:sz w:val="20"/>
              </w:rPr>
              <w:t>getfitinib</w:t>
            </w:r>
            <w:r w:rsidRPr="00F021FC">
              <w:rPr>
                <w:sz w:val="20"/>
              </w:rPr>
              <w:t xml:space="preserve"> under the Pharmaceutical Benefits Scheme (PBS) are fulfilled.</w:t>
            </w:r>
          </w:p>
          <w:p w14:paraId="1618C843" w14:textId="77777777" w:rsidR="000E4EC4" w:rsidRDefault="000E4EC4" w:rsidP="00240CC4">
            <w:pPr>
              <w:rPr>
                <w:sz w:val="20"/>
              </w:rPr>
            </w:pPr>
          </w:p>
          <w:p w14:paraId="4FC7812A" w14:textId="3AF9670E" w:rsidR="000E4EC4" w:rsidRPr="00AB7F20" w:rsidRDefault="000E4EC4" w:rsidP="00240CC4">
            <w:pPr>
              <w:tabs>
                <w:tab w:val="left" w:pos="2660"/>
                <w:tab w:val="left" w:pos="5040"/>
              </w:tabs>
              <w:rPr>
                <w:sz w:val="20"/>
              </w:rPr>
            </w:pPr>
            <w:r w:rsidRPr="00AB7F20">
              <w:rPr>
                <w:b/>
                <w:sz w:val="20"/>
              </w:rPr>
              <w:t xml:space="preserve">Fee: </w:t>
            </w:r>
            <w:r w:rsidRPr="00AB7F20">
              <w:rPr>
                <w:sz w:val="20"/>
              </w:rPr>
              <w:t>$</w:t>
            </w:r>
            <w:r>
              <w:rPr>
                <w:sz w:val="20"/>
              </w:rPr>
              <w:t>397.35</w:t>
            </w:r>
            <w:r w:rsidR="00FC1D9A" w:rsidRPr="00AB7F20">
              <w:rPr>
                <w:sz w:val="20"/>
              </w:rPr>
              <w:tab/>
            </w:r>
            <w:r w:rsidRPr="00AB7F20">
              <w:rPr>
                <w:b/>
                <w:sz w:val="20"/>
              </w:rPr>
              <w:t xml:space="preserve">Benefit: </w:t>
            </w:r>
            <w:r w:rsidRPr="00AB7F20">
              <w:rPr>
                <w:sz w:val="20"/>
              </w:rPr>
              <w:t>75% = $</w:t>
            </w:r>
            <w:r>
              <w:rPr>
                <w:sz w:val="20"/>
              </w:rPr>
              <w:t>298.05  85% = $337.75</w:t>
            </w:r>
          </w:p>
        </w:tc>
      </w:tr>
      <w:tr w:rsidR="000E4EC4" w:rsidRPr="00430AAB" w14:paraId="7049C7A1" w14:textId="77777777" w:rsidTr="00F16975">
        <w:tc>
          <w:tcPr>
            <w:tcW w:w="369" w:type="pct"/>
            <w:tcBorders>
              <w:top w:val="single" w:sz="4" w:space="0" w:color="auto"/>
              <w:left w:val="single" w:sz="4" w:space="0" w:color="auto"/>
              <w:bottom w:val="single" w:sz="4" w:space="0" w:color="auto"/>
              <w:right w:val="single" w:sz="4" w:space="0" w:color="auto"/>
            </w:tcBorders>
            <w:shd w:val="clear" w:color="auto" w:fill="auto"/>
            <w:vAlign w:val="bottom"/>
          </w:tcPr>
          <w:p w14:paraId="75E2C510" w14:textId="77777777" w:rsidR="000E4EC4" w:rsidRPr="004E420F" w:rsidRDefault="000E4EC4" w:rsidP="00240CC4">
            <w:pPr>
              <w:rPr>
                <w:sz w:val="20"/>
              </w:rPr>
            </w:pPr>
            <w:r w:rsidRPr="004E420F">
              <w:rPr>
                <w:sz w:val="20"/>
              </w:rPr>
              <w:t>30710</w:t>
            </w:r>
          </w:p>
        </w:tc>
        <w:tc>
          <w:tcPr>
            <w:tcW w:w="4631" w:type="pct"/>
            <w:tcBorders>
              <w:top w:val="single" w:sz="4" w:space="0" w:color="auto"/>
              <w:left w:val="single" w:sz="4" w:space="0" w:color="auto"/>
              <w:bottom w:val="single" w:sz="4" w:space="0" w:color="auto"/>
              <w:right w:val="single" w:sz="4" w:space="0" w:color="auto"/>
            </w:tcBorders>
            <w:shd w:val="clear" w:color="auto" w:fill="auto"/>
          </w:tcPr>
          <w:p w14:paraId="17AEDAB2" w14:textId="77777777" w:rsidR="000E4EC4" w:rsidRPr="004E420F" w:rsidRDefault="000E4EC4" w:rsidP="00240CC4">
            <w:pPr>
              <w:rPr>
                <w:sz w:val="20"/>
              </w:rPr>
            </w:pPr>
          </w:p>
          <w:p w14:paraId="2A089716" w14:textId="77777777" w:rsidR="000E4EC4" w:rsidRPr="004E420F" w:rsidRDefault="000E4EC4" w:rsidP="00240CC4">
            <w:pPr>
              <w:rPr>
                <w:sz w:val="20"/>
              </w:rPr>
            </w:pPr>
            <w:r w:rsidRPr="004E420F">
              <w:rPr>
                <w:sz w:val="20"/>
              </w:rPr>
              <w:t>ENDOBRONCHIAL ULTRASOUND GUIDED BIOPSY(S) (bronchoscopy with ultrasound imaging, with or without associated fluoroscopic imaging) to obtain one or more specimens by either:</w:t>
            </w:r>
          </w:p>
          <w:p w14:paraId="2698F837" w14:textId="77777777" w:rsidR="000E4EC4" w:rsidRPr="004E420F" w:rsidRDefault="000E4EC4" w:rsidP="00240CC4">
            <w:pPr>
              <w:rPr>
                <w:sz w:val="20"/>
              </w:rPr>
            </w:pPr>
          </w:p>
          <w:p w14:paraId="55772BEC" w14:textId="77777777" w:rsidR="000E4EC4" w:rsidRPr="004E420F" w:rsidRDefault="000E4EC4" w:rsidP="00240CC4">
            <w:pPr>
              <w:rPr>
                <w:sz w:val="20"/>
              </w:rPr>
            </w:pPr>
            <w:r w:rsidRPr="004E420F">
              <w:rPr>
                <w:sz w:val="20"/>
              </w:rPr>
              <w:t>(a) transbronchial biopsy(s) of peripheral lung lesions; or</w:t>
            </w:r>
          </w:p>
          <w:p w14:paraId="57DCE3AF" w14:textId="77777777" w:rsidR="000E4EC4" w:rsidRPr="004E420F" w:rsidRDefault="000E4EC4" w:rsidP="00240CC4">
            <w:pPr>
              <w:rPr>
                <w:sz w:val="20"/>
              </w:rPr>
            </w:pPr>
            <w:r w:rsidRPr="004E420F">
              <w:rPr>
                <w:sz w:val="20"/>
              </w:rPr>
              <w:t xml:space="preserve">(b) fine needle aspiration(s) of a mediastinal mass(es);  or </w:t>
            </w:r>
          </w:p>
          <w:p w14:paraId="5017A071" w14:textId="77777777" w:rsidR="000E4EC4" w:rsidRPr="004E420F" w:rsidRDefault="000E4EC4" w:rsidP="00240CC4">
            <w:pPr>
              <w:rPr>
                <w:sz w:val="20"/>
              </w:rPr>
            </w:pPr>
            <w:r w:rsidRPr="004E420F">
              <w:rPr>
                <w:sz w:val="20"/>
              </w:rPr>
              <w:t>(c) fine needle aspiration(s) of locoregional nodes to stage non-small cell lung carcinoma</w:t>
            </w:r>
          </w:p>
          <w:p w14:paraId="3572F029" w14:textId="77777777" w:rsidR="000E4EC4" w:rsidRPr="004E420F" w:rsidRDefault="000E4EC4" w:rsidP="00240CC4">
            <w:pPr>
              <w:rPr>
                <w:sz w:val="20"/>
              </w:rPr>
            </w:pPr>
          </w:p>
          <w:p w14:paraId="157417F5" w14:textId="77777777" w:rsidR="000E4EC4" w:rsidRPr="004E420F" w:rsidRDefault="000E4EC4" w:rsidP="00240CC4">
            <w:pPr>
              <w:rPr>
                <w:sz w:val="20"/>
              </w:rPr>
            </w:pPr>
            <w:r w:rsidRPr="004E420F">
              <w:rPr>
                <w:sz w:val="20"/>
              </w:rPr>
              <w:t>not being a service associated with another item in this subgroup or to which items 30696, 41892, 41898, and 60500 to 60509 applies (Anaes.)</w:t>
            </w:r>
          </w:p>
          <w:p w14:paraId="21C7DB49" w14:textId="77777777" w:rsidR="000E4EC4" w:rsidRPr="004E420F" w:rsidRDefault="000E4EC4" w:rsidP="00240CC4">
            <w:pPr>
              <w:rPr>
                <w:sz w:val="20"/>
              </w:rPr>
            </w:pPr>
            <w:r w:rsidRPr="004E420F">
              <w:rPr>
                <w:sz w:val="20"/>
              </w:rPr>
              <w:t>(See para T8.21 of explanatory notes to this Category)</w:t>
            </w:r>
          </w:p>
          <w:p w14:paraId="0B344BBA" w14:textId="77777777" w:rsidR="000E4EC4" w:rsidRPr="004E420F" w:rsidRDefault="000E4EC4" w:rsidP="00240CC4">
            <w:pPr>
              <w:rPr>
                <w:sz w:val="20"/>
              </w:rPr>
            </w:pPr>
            <w:r w:rsidRPr="004E420F">
              <w:rPr>
                <w:b/>
                <w:sz w:val="20"/>
              </w:rPr>
              <w:t>Fee:</w:t>
            </w:r>
            <w:r w:rsidRPr="004E420F">
              <w:rPr>
                <w:sz w:val="20"/>
              </w:rPr>
              <w:t xml:space="preserve"> $563.30</w:t>
            </w:r>
            <w:r w:rsidRPr="004E420F">
              <w:rPr>
                <w:sz w:val="20"/>
              </w:rPr>
              <w:tab/>
            </w:r>
            <w:r w:rsidRPr="004E420F">
              <w:rPr>
                <w:b/>
                <w:sz w:val="20"/>
              </w:rPr>
              <w:t>Benefit:</w:t>
            </w:r>
            <w:r w:rsidRPr="004E420F">
              <w:rPr>
                <w:sz w:val="20"/>
              </w:rPr>
              <w:t xml:space="preserve"> 75% = $422.50</w:t>
            </w:r>
            <w:r w:rsidRPr="004E420F">
              <w:rPr>
                <w:sz w:val="20"/>
              </w:rPr>
              <w:tab/>
              <w:t>85% = $483.80</w:t>
            </w:r>
          </w:p>
        </w:tc>
      </w:tr>
    </w:tbl>
    <w:p w14:paraId="7CF8E0FA" w14:textId="2E854E3F" w:rsidR="00BC1364" w:rsidRDefault="006A528C" w:rsidP="007A775F">
      <w:pPr>
        <w:pStyle w:val="Heading1"/>
        <w:numPr>
          <w:ilvl w:val="0"/>
          <w:numId w:val="23"/>
        </w:numPr>
        <w:tabs>
          <w:tab w:val="left" w:pos="720"/>
          <w:tab w:val="left" w:pos="1140"/>
        </w:tabs>
        <w:spacing w:before="360"/>
        <w:ind w:hanging="720"/>
      </w:pPr>
      <w:r>
        <w:lastRenderedPageBreak/>
        <w:t>Applicant’s comments on MSAC’s public summary document</w:t>
      </w:r>
    </w:p>
    <w:p w14:paraId="219CDD89" w14:textId="19EB9D46" w:rsidR="006643EF" w:rsidRPr="006643EF" w:rsidRDefault="006643EF" w:rsidP="006643EF">
      <w:pPr>
        <w:ind w:left="720"/>
      </w:pPr>
      <w:r>
        <w:t>Nil response</w:t>
      </w:r>
    </w:p>
    <w:p w14:paraId="06F15D02" w14:textId="77777777" w:rsidR="00BC1364" w:rsidRDefault="00271F18" w:rsidP="007A775F">
      <w:pPr>
        <w:pStyle w:val="Heading1"/>
        <w:numPr>
          <w:ilvl w:val="0"/>
          <w:numId w:val="23"/>
        </w:numPr>
        <w:tabs>
          <w:tab w:val="left" w:pos="720"/>
          <w:tab w:val="left" w:pos="1140"/>
        </w:tabs>
        <w:spacing w:before="360"/>
        <w:ind w:hanging="720"/>
      </w:pPr>
      <w:r>
        <w:t>Further information on MSAC</w:t>
      </w:r>
    </w:p>
    <w:p w14:paraId="64D3433E" w14:textId="3060E387" w:rsidR="00BC1364" w:rsidRPr="00DD2858" w:rsidRDefault="00271F18" w:rsidP="006643EF">
      <w:pPr>
        <w:ind w:left="720"/>
        <w:rPr>
          <w:szCs w:val="24"/>
        </w:rPr>
      </w:pPr>
      <w:r>
        <w:rPr>
          <w:szCs w:val="24"/>
        </w:rPr>
        <w:t xml:space="preserve">MSAC Terms of Reference and other </w:t>
      </w:r>
      <w:r w:rsidR="00BC1364" w:rsidRPr="00DD2858">
        <w:rPr>
          <w:szCs w:val="24"/>
        </w:rPr>
        <w:t xml:space="preserve">information </w:t>
      </w:r>
      <w:r w:rsidRPr="00DD2858">
        <w:rPr>
          <w:szCs w:val="24"/>
        </w:rPr>
        <w:t>are</w:t>
      </w:r>
      <w:r w:rsidR="00BC1364" w:rsidRPr="00DD2858">
        <w:rPr>
          <w:szCs w:val="24"/>
        </w:rPr>
        <w:t xml:space="preserve"> available on the </w:t>
      </w:r>
      <w:hyperlink r:id="rId17" w:tooltip="This is a link to the MSAC website" w:history="1">
        <w:r w:rsidR="009C5632">
          <w:rPr>
            <w:rStyle w:val="Hyperlink"/>
            <w:color w:val="auto"/>
            <w:szCs w:val="24"/>
          </w:rPr>
          <w:t>MSAC Website</w:t>
        </w:r>
      </w:hyperlink>
      <w:r w:rsidR="00BC1364" w:rsidRPr="00DD2858">
        <w:rPr>
          <w:szCs w:val="24"/>
        </w:rPr>
        <w:t>.</w:t>
      </w:r>
      <w:bookmarkStart w:id="2" w:name="_GoBack"/>
      <w:bookmarkEnd w:id="2"/>
    </w:p>
    <w:sectPr w:rsidR="00BC1364" w:rsidRPr="00DD2858" w:rsidSect="00271F18">
      <w:footerReference w:type="default" r:id="rId18"/>
      <w:pgSz w:w="11906" w:h="16838"/>
      <w:pgMar w:top="1134" w:right="1440" w:bottom="426"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9B0570" w15:done="0"/>
  <w15:commentEx w15:paraId="4DDE9BC3" w15:done="0"/>
  <w15:commentEx w15:paraId="73225AE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AADC06" w14:textId="77777777" w:rsidR="00F40D6F" w:rsidRDefault="00F40D6F" w:rsidP="00065623">
      <w:r>
        <w:separator/>
      </w:r>
    </w:p>
  </w:endnote>
  <w:endnote w:type="continuationSeparator" w:id="0">
    <w:p w14:paraId="42B534CE" w14:textId="77777777" w:rsidR="00F40D6F" w:rsidRDefault="00F40D6F"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1A5478BB" w14:textId="02DA1C6E" w:rsidR="007D146C" w:rsidRDefault="007D146C" w:rsidP="00A75A90">
        <w:pPr>
          <w:pStyle w:val="Footer"/>
          <w:spacing w:after="240"/>
          <w:jc w:val="right"/>
        </w:pPr>
        <w:r>
          <w:fldChar w:fldCharType="begin"/>
        </w:r>
        <w:r>
          <w:instrText xml:space="preserve"> PAGE   \* MERGEFORMAT </w:instrText>
        </w:r>
        <w:r>
          <w:fldChar w:fldCharType="separate"/>
        </w:r>
        <w:r w:rsidR="006643EF">
          <w:rPr>
            <w:noProof/>
          </w:rPr>
          <w:t>11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850A85" w14:textId="77777777" w:rsidR="00F40D6F" w:rsidRDefault="00F40D6F" w:rsidP="00065623">
      <w:r>
        <w:separator/>
      </w:r>
    </w:p>
  </w:footnote>
  <w:footnote w:type="continuationSeparator" w:id="0">
    <w:p w14:paraId="502D1B24" w14:textId="77777777" w:rsidR="00F40D6F" w:rsidRDefault="00F40D6F" w:rsidP="00065623">
      <w:r>
        <w:continuationSeparator/>
      </w:r>
    </w:p>
  </w:footnote>
  <w:footnote w:id="1">
    <w:p w14:paraId="224708C1" w14:textId="615E3A4B" w:rsidR="007D146C" w:rsidRDefault="007D146C" w:rsidP="009E332F">
      <w:pPr>
        <w:pStyle w:val="FootnoteText"/>
      </w:pPr>
      <w:r>
        <w:rPr>
          <w:rStyle w:val="FootnoteReference"/>
        </w:rPr>
        <w:footnoteRef/>
      </w:r>
      <w:r>
        <w:t xml:space="preserve"> The 95</w:t>
      </w:r>
      <w:r w:rsidRPr="007D0C48">
        <w:rPr>
          <w:vertAlign w:val="superscript"/>
        </w:rPr>
        <w:t>th</w:t>
      </w:r>
      <w:r>
        <w:t xml:space="preserve"> percentile fee charged represents that 95% of the time the fee is below this amount but in 5% of cases, the fee is higher than this.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11A6F"/>
    <w:multiLevelType w:val="hybridMultilevel"/>
    <w:tmpl w:val="92F2F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FC65D09"/>
    <w:multiLevelType w:val="hybridMultilevel"/>
    <w:tmpl w:val="BA7E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15EE0FF9"/>
    <w:multiLevelType w:val="hybridMultilevel"/>
    <w:tmpl w:val="0B4A6024"/>
    <w:lvl w:ilvl="0" w:tplc="FA588B4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BFF3A35"/>
    <w:multiLevelType w:val="hybridMultilevel"/>
    <w:tmpl w:val="7DBE4F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31A5EBA"/>
    <w:multiLevelType w:val="hybridMultilevel"/>
    <w:tmpl w:val="85DA6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8F83C5D"/>
    <w:multiLevelType w:val="multilevel"/>
    <w:tmpl w:val="8E82874E"/>
    <w:lvl w:ilvl="0">
      <w:start w:val="1"/>
      <w:numFmt w:val="bullet"/>
      <w:pStyle w:val="ListBullet1"/>
      <w:lvlText w:val=""/>
      <w:lvlJc w:val="left"/>
      <w:pPr>
        <w:ind w:left="360" w:hanging="360"/>
      </w:pPr>
      <w:rPr>
        <w:rFonts w:ascii="Wingdings 3" w:hAnsi="Wingdings 3" w:hint="default"/>
        <w:b/>
        <w:i w:val="0"/>
        <w:color w:val="401E6C"/>
        <w:spacing w:val="0"/>
        <w:w w:val="100"/>
        <w:position w:val="3"/>
        <w:sz w:val="16"/>
      </w:rPr>
    </w:lvl>
    <w:lvl w:ilvl="1">
      <w:start w:val="1"/>
      <w:numFmt w:val="bullet"/>
      <w:lvlText w:val="–"/>
      <w:lvlJc w:val="left"/>
      <w:pPr>
        <w:tabs>
          <w:tab w:val="num" w:pos="714"/>
        </w:tabs>
        <w:ind w:left="714" w:hanging="357"/>
      </w:pPr>
      <w:rPr>
        <w:rFonts w:ascii="Times New Roman" w:hAnsi="Times New Roman" w:cs="Times New Roman" w:hint="default"/>
        <w:b w:val="0"/>
        <w:i w:val="0"/>
        <w:color w:val="00326C"/>
        <w:position w:val="2"/>
        <w:sz w:val="19"/>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D53CA7"/>
    <w:multiLevelType w:val="hybridMultilevel"/>
    <w:tmpl w:val="3EB89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1535386"/>
    <w:multiLevelType w:val="multilevel"/>
    <w:tmpl w:val="D3EC8D5C"/>
    <w:styleLink w:val="TableListNumbers"/>
    <w:lvl w:ilvl="0">
      <w:start w:val="1"/>
      <w:numFmt w:val="lowerRoman"/>
      <w:pStyle w:val="TableListNumber"/>
      <w:lvlText w:val="(%1)"/>
      <w:lvlJc w:val="left"/>
      <w:pPr>
        <w:tabs>
          <w:tab w:val="num" w:pos="170"/>
        </w:tabs>
        <w:ind w:left="170" w:hanging="170"/>
      </w:pPr>
      <w:rPr>
        <w:rFonts w:hint="default"/>
      </w:rPr>
    </w:lvl>
    <w:lvl w:ilvl="1">
      <w:start w:val="1"/>
      <w:numFmt w:val="lowerLetter"/>
      <w:pStyle w:val="TableListNumber2"/>
      <w:lvlText w:val="%2)"/>
      <w:lvlJc w:val="left"/>
      <w:pPr>
        <w:tabs>
          <w:tab w:val="num" w:pos="340"/>
        </w:tabs>
        <w:ind w:left="340" w:hanging="17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420612FA"/>
    <w:multiLevelType w:val="hybridMultilevel"/>
    <w:tmpl w:val="827AF080"/>
    <w:lvl w:ilvl="0" w:tplc="FA588B4C">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9D6B50"/>
    <w:multiLevelType w:val="hybridMultilevel"/>
    <w:tmpl w:val="5126B828"/>
    <w:lvl w:ilvl="0" w:tplc="FA588B4C">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4A3E7B"/>
    <w:multiLevelType w:val="hybridMultilevel"/>
    <w:tmpl w:val="13089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542E221A"/>
    <w:multiLevelType w:val="multilevel"/>
    <w:tmpl w:val="567ADE74"/>
    <w:styleLink w:val="TableListBullets"/>
    <w:lvl w:ilvl="0">
      <w:start w:val="1"/>
      <w:numFmt w:val="bullet"/>
      <w:pStyle w:val="TableListBullet"/>
      <w:lvlText w:val="■"/>
      <w:lvlJc w:val="left"/>
      <w:pPr>
        <w:tabs>
          <w:tab w:val="num" w:pos="170"/>
        </w:tabs>
        <w:ind w:left="170" w:hanging="170"/>
      </w:pPr>
      <w:rPr>
        <w:rFonts w:ascii="Franklin Gothic Book" w:hAnsi="Franklin Gothic Book"/>
        <w:color w:val="8064A2" w:themeColor="accent4"/>
        <w:spacing w:val="0"/>
        <w:w w:val="100"/>
        <w:position w:val="3"/>
        <w:sz w:val="12"/>
      </w:rPr>
    </w:lvl>
    <w:lvl w:ilvl="1">
      <w:start w:val="1"/>
      <w:numFmt w:val="bullet"/>
      <w:pStyle w:val="TableListBullet2"/>
      <w:lvlText w:val="–"/>
      <w:lvlJc w:val="left"/>
      <w:pPr>
        <w:tabs>
          <w:tab w:val="num" w:pos="340"/>
        </w:tabs>
        <w:ind w:left="340" w:hanging="170"/>
      </w:pPr>
      <w:rPr>
        <w:rFonts w:ascii="Arial" w:hAnsi="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6787896"/>
    <w:multiLevelType w:val="multilevel"/>
    <w:tmpl w:val="567ADE74"/>
    <w:numStyleLink w:val="TableListBullets"/>
  </w:abstractNum>
  <w:abstractNum w:abstractNumId="27">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3">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4">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B097700"/>
    <w:multiLevelType w:val="hybridMultilevel"/>
    <w:tmpl w:val="06822932"/>
    <w:lvl w:ilvl="0" w:tplc="FA588B4C">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nsid w:val="6FBA0B51"/>
    <w:multiLevelType w:val="hybridMultilevel"/>
    <w:tmpl w:val="0A8267A2"/>
    <w:lvl w:ilvl="0" w:tplc="0C090001">
      <w:start w:val="1"/>
      <w:numFmt w:val="bullet"/>
      <w:lvlText w:val=""/>
      <w:lvlJc w:val="left"/>
      <w:pPr>
        <w:tabs>
          <w:tab w:val="num" w:pos="1080"/>
        </w:tabs>
        <w:ind w:left="1080" w:hanging="720"/>
      </w:pPr>
      <w:rPr>
        <w:rFonts w:ascii="Symbol" w:hAnsi="Symbol"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18120EA"/>
    <w:multiLevelType w:val="multilevel"/>
    <w:tmpl w:val="CB3EC8D0"/>
    <w:styleLink w:val="ListBullets"/>
    <w:lvl w:ilvl="0">
      <w:start w:val="1"/>
      <w:numFmt w:val="bullet"/>
      <w:pStyle w:val="ListBullet"/>
      <w:lvlText w:val="■"/>
      <w:lvlJc w:val="left"/>
      <w:pPr>
        <w:tabs>
          <w:tab w:val="num" w:pos="284"/>
        </w:tabs>
        <w:ind w:left="284" w:hanging="284"/>
      </w:pPr>
      <w:rPr>
        <w:rFonts w:ascii="Franklin Gothic Demi" w:hAnsi="Franklin Gothic Demi" w:hint="default"/>
        <w:color w:val="8064A2" w:themeColor="accent4"/>
        <w:position w:val="3"/>
        <w:sz w:val="16"/>
      </w:rPr>
    </w:lvl>
    <w:lvl w:ilvl="1">
      <w:start w:val="1"/>
      <w:numFmt w:val="bullet"/>
      <w:pStyle w:val="ListBullet2"/>
      <w:lvlText w:val="–"/>
      <w:lvlJc w:val="left"/>
      <w:pPr>
        <w:tabs>
          <w:tab w:val="num" w:pos="567"/>
        </w:tabs>
        <w:ind w:left="567" w:hanging="283"/>
      </w:pPr>
      <w:rPr>
        <w:rFonts w:hint="default"/>
      </w:rPr>
    </w:lvl>
    <w:lvl w:ilvl="2">
      <w:start w:val="1"/>
      <w:numFmt w:val="bullet"/>
      <w:pStyle w:val="ListBullet3"/>
      <w:lvlText w:val="…"/>
      <w:lvlJc w:val="left"/>
      <w:pPr>
        <w:tabs>
          <w:tab w:val="num" w:pos="907"/>
        </w:tabs>
        <w:ind w:left="907" w:hanging="340"/>
      </w:pPr>
      <w:rPr>
        <w:rFonts w:ascii="Calisto MT" w:hAnsi="Calisto MT" w:hint="default"/>
        <w:color w:val="8064A2" w:themeColor="accent4"/>
        <w:position w:val="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AD63964"/>
    <w:multiLevelType w:val="hybridMultilevel"/>
    <w:tmpl w:val="FF3C5F34"/>
    <w:lvl w:ilvl="0" w:tplc="FA588B4C">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3A0DF8"/>
    <w:multiLevelType w:val="multilevel"/>
    <w:tmpl w:val="E6863C72"/>
    <w:lvl w:ilvl="0">
      <w:start w:val="1"/>
      <w:numFmt w:val="none"/>
      <w:lvlRestart w:val="0"/>
      <w:suff w:val="nothing"/>
      <w:lvlText w:val="%1"/>
      <w:lvlJc w:val="left"/>
      <w:pPr>
        <w:ind w:left="0" w:firstLine="0"/>
      </w:pPr>
      <w:rPr>
        <w:rFonts w:ascii="Calibri" w:hAnsi="Calibri" w:cs="Garamond" w:hint="default"/>
        <w:b/>
        <w:i w:val="0"/>
        <w:color w:val="9BBB59" w:themeColor="accent3"/>
        <w:position w:val="4"/>
      </w:rPr>
    </w:lvl>
    <w:lvl w:ilvl="1">
      <w:start w:val="1"/>
      <w:numFmt w:val="lowerLetter"/>
      <w:lvlText w:val="%1%2"/>
      <w:lvlJc w:val="left"/>
      <w:pPr>
        <w:tabs>
          <w:tab w:val="num" w:pos="170"/>
        </w:tabs>
        <w:ind w:left="170" w:hanging="170"/>
      </w:pPr>
      <w:rPr>
        <w:rFonts w:hint="default"/>
        <w:b/>
        <w:i w:val="0"/>
        <w:color w:val="9BBB59" w:themeColor="accent3"/>
        <w:position w:val="4"/>
      </w:rPr>
    </w:lvl>
    <w:lvl w:ilvl="2">
      <w:start w:val="1"/>
      <w:numFmt w:val="none"/>
      <w:lvlRestart w:val="0"/>
      <w:suff w:val="nothing"/>
      <w:lvlText w:val="%1"/>
      <w:lvlJc w:val="left"/>
      <w:pPr>
        <w:ind w:left="1224" w:hanging="504"/>
      </w:pPr>
      <w:rPr>
        <w:rFonts w:hint="default"/>
      </w:rPr>
    </w:lvl>
    <w:lvl w:ilvl="3">
      <w:start w:val="1"/>
      <w:numFmt w:val="none"/>
      <w:lvlRestart w:val="0"/>
      <w:suff w:val="nothing"/>
      <w:lvlText w:val="%1"/>
      <w:lvlJc w:val="left"/>
      <w:pPr>
        <w:ind w:left="1728" w:hanging="648"/>
      </w:pPr>
      <w:rPr>
        <w:rFonts w:hint="default"/>
      </w:rPr>
    </w:lvl>
    <w:lvl w:ilvl="4">
      <w:start w:val="1"/>
      <w:numFmt w:val="none"/>
      <w:lvlRestart w:val="0"/>
      <w:suff w:val="nothing"/>
      <w:lvlText w:val="%1"/>
      <w:lvlJc w:val="left"/>
      <w:pPr>
        <w:ind w:left="2232" w:hanging="792"/>
      </w:pPr>
      <w:rPr>
        <w:rFonts w:hint="default"/>
      </w:rPr>
    </w:lvl>
    <w:lvl w:ilvl="5">
      <w:start w:val="1"/>
      <w:numFmt w:val="none"/>
      <w:lvlRestart w:val="0"/>
      <w:suff w:val="nothing"/>
      <w:lvlText w:val="%1"/>
      <w:lvlJc w:val="left"/>
      <w:pPr>
        <w:ind w:left="2736" w:hanging="936"/>
      </w:pPr>
      <w:rPr>
        <w:rFonts w:hint="default"/>
      </w:rPr>
    </w:lvl>
    <w:lvl w:ilvl="6">
      <w:start w:val="1"/>
      <w:numFmt w:val="none"/>
      <w:lvlRestart w:val="0"/>
      <w:suff w:val="nothing"/>
      <w:lvlText w:val="%1"/>
      <w:lvlJc w:val="left"/>
      <w:pPr>
        <w:ind w:left="3240" w:hanging="1080"/>
      </w:pPr>
      <w:rPr>
        <w:rFonts w:hint="default"/>
      </w:rPr>
    </w:lvl>
    <w:lvl w:ilvl="7">
      <w:start w:val="1"/>
      <w:numFmt w:val="none"/>
      <w:lvlRestart w:val="0"/>
      <w:suff w:val="nothing"/>
      <w:lvlText w:val="%1"/>
      <w:lvlJc w:val="left"/>
      <w:pPr>
        <w:ind w:left="3744" w:hanging="1224"/>
      </w:pPr>
      <w:rPr>
        <w:rFonts w:hint="default"/>
      </w:rPr>
    </w:lvl>
    <w:lvl w:ilvl="8">
      <w:start w:val="1"/>
      <w:numFmt w:val="none"/>
      <w:lvlRestart w:val="0"/>
      <w:suff w:val="nothing"/>
      <w:lvlText w:val="%1"/>
      <w:lvlJc w:val="left"/>
      <w:pPr>
        <w:ind w:left="4320" w:hanging="1440"/>
      </w:pPr>
      <w:rPr>
        <w:rFonts w:hint="default"/>
      </w:rPr>
    </w:lvl>
  </w:abstractNum>
  <w:abstractNum w:abstractNumId="41">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3"/>
  </w:num>
  <w:num w:numId="3">
    <w:abstractNumId w:val="2"/>
  </w:num>
  <w:num w:numId="4">
    <w:abstractNumId w:val="27"/>
  </w:num>
  <w:num w:numId="5">
    <w:abstractNumId w:val="14"/>
  </w:num>
  <w:num w:numId="6">
    <w:abstractNumId w:val="25"/>
  </w:num>
  <w:num w:numId="7">
    <w:abstractNumId w:val="30"/>
  </w:num>
  <w:num w:numId="8">
    <w:abstractNumId w:val="20"/>
  </w:num>
  <w:num w:numId="9">
    <w:abstractNumId w:val="41"/>
  </w:num>
  <w:num w:numId="10">
    <w:abstractNumId w:val="1"/>
  </w:num>
  <w:num w:numId="11">
    <w:abstractNumId w:val="29"/>
  </w:num>
  <w:num w:numId="12">
    <w:abstractNumId w:val="31"/>
  </w:num>
  <w:num w:numId="13">
    <w:abstractNumId w:val="6"/>
  </w:num>
  <w:num w:numId="14">
    <w:abstractNumId w:val="36"/>
  </w:num>
  <w:num w:numId="15">
    <w:abstractNumId w:val="28"/>
  </w:num>
  <w:num w:numId="16">
    <w:abstractNumId w:val="32"/>
  </w:num>
  <w:num w:numId="17">
    <w:abstractNumId w:val="21"/>
  </w:num>
  <w:num w:numId="18">
    <w:abstractNumId w:val="22"/>
  </w:num>
  <w:num w:numId="19">
    <w:abstractNumId w:val="34"/>
  </w:num>
  <w:num w:numId="20">
    <w:abstractNumId w:val="33"/>
  </w:num>
  <w:num w:numId="21">
    <w:abstractNumId w:val="4"/>
  </w:num>
  <w:num w:numId="22">
    <w:abstractNumId w:val="12"/>
  </w:num>
  <w:num w:numId="23">
    <w:abstractNumId w:val="3"/>
  </w:num>
  <w:num w:numId="24">
    <w:abstractNumId w:val="11"/>
  </w:num>
  <w:num w:numId="25">
    <w:abstractNumId w:val="8"/>
  </w:num>
  <w:num w:numId="26">
    <w:abstractNumId w:val="0"/>
  </w:num>
  <w:num w:numId="27">
    <w:abstractNumId w:val="40"/>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16"/>
  </w:num>
  <w:num w:numId="31">
    <w:abstractNumId w:val="24"/>
  </w:num>
  <w:num w:numId="32">
    <w:abstractNumId w:val="26"/>
  </w:num>
  <w:num w:numId="33">
    <w:abstractNumId w:val="38"/>
  </w:num>
  <w:num w:numId="34">
    <w:abstractNumId w:val="5"/>
  </w:num>
  <w:num w:numId="35">
    <w:abstractNumId w:val="17"/>
  </w:num>
  <w:num w:numId="36">
    <w:abstractNumId w:val="18"/>
  </w:num>
  <w:num w:numId="37">
    <w:abstractNumId w:val="35"/>
  </w:num>
  <w:num w:numId="38">
    <w:abstractNumId w:val="39"/>
  </w:num>
  <w:num w:numId="39">
    <w:abstractNumId w:val="15"/>
  </w:num>
  <w:num w:numId="40">
    <w:abstractNumId w:val="9"/>
  </w:num>
  <w:num w:numId="41">
    <w:abstractNumId w:val="19"/>
  </w:num>
  <w:num w:numId="42">
    <w:abstractNumId w:val="7"/>
  </w:num>
  <w:num w:numId="43">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yn Ward">
    <w15:presenceInfo w15:providerId="Windows Live" w15:userId="2f8c0452c87ad331"/>
  </w15:person>
  <w15:person w15:author="Claire Oreilly">
    <w15:presenceInfo w15:providerId="AD" w15:userId="S-1-5-21-653478955-3067283134-999092648-198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11A36"/>
    <w:rsid w:val="00031CA5"/>
    <w:rsid w:val="0003739B"/>
    <w:rsid w:val="00042F11"/>
    <w:rsid w:val="00047606"/>
    <w:rsid w:val="00065623"/>
    <w:rsid w:val="000756B9"/>
    <w:rsid w:val="00096B67"/>
    <w:rsid w:val="00096DAF"/>
    <w:rsid w:val="000A11F9"/>
    <w:rsid w:val="000A51E4"/>
    <w:rsid w:val="000A5B70"/>
    <w:rsid w:val="000B45F1"/>
    <w:rsid w:val="000B6956"/>
    <w:rsid w:val="000B78E7"/>
    <w:rsid w:val="000C2F47"/>
    <w:rsid w:val="000C4BBA"/>
    <w:rsid w:val="000C6B40"/>
    <w:rsid w:val="000D6C00"/>
    <w:rsid w:val="000E3B33"/>
    <w:rsid w:val="000E4E04"/>
    <w:rsid w:val="000E4EC4"/>
    <w:rsid w:val="000F14B4"/>
    <w:rsid w:val="000F391E"/>
    <w:rsid w:val="000F600C"/>
    <w:rsid w:val="000F75DF"/>
    <w:rsid w:val="00114899"/>
    <w:rsid w:val="00115C4F"/>
    <w:rsid w:val="001259C4"/>
    <w:rsid w:val="001328FA"/>
    <w:rsid w:val="00147AAF"/>
    <w:rsid w:val="001552C0"/>
    <w:rsid w:val="00157C03"/>
    <w:rsid w:val="001640B1"/>
    <w:rsid w:val="00182148"/>
    <w:rsid w:val="0018435E"/>
    <w:rsid w:val="001864F5"/>
    <w:rsid w:val="001C1BE6"/>
    <w:rsid w:val="001C7D46"/>
    <w:rsid w:val="002041A1"/>
    <w:rsid w:val="002054F0"/>
    <w:rsid w:val="00230D6B"/>
    <w:rsid w:val="00232068"/>
    <w:rsid w:val="002330F2"/>
    <w:rsid w:val="00240CC4"/>
    <w:rsid w:val="00243D9E"/>
    <w:rsid w:val="00253B66"/>
    <w:rsid w:val="00261DF1"/>
    <w:rsid w:val="00271F18"/>
    <w:rsid w:val="00282779"/>
    <w:rsid w:val="0028334D"/>
    <w:rsid w:val="002A5D0B"/>
    <w:rsid w:val="002B7FFA"/>
    <w:rsid w:val="002C2135"/>
    <w:rsid w:val="002C2BCF"/>
    <w:rsid w:val="002E4AF9"/>
    <w:rsid w:val="002F279D"/>
    <w:rsid w:val="002F43B8"/>
    <w:rsid w:val="002F5C48"/>
    <w:rsid w:val="00320D06"/>
    <w:rsid w:val="00336856"/>
    <w:rsid w:val="0034554D"/>
    <w:rsid w:val="00352224"/>
    <w:rsid w:val="003671E6"/>
    <w:rsid w:val="00376575"/>
    <w:rsid w:val="00384272"/>
    <w:rsid w:val="00386D67"/>
    <w:rsid w:val="003945B8"/>
    <w:rsid w:val="00394C26"/>
    <w:rsid w:val="003C722C"/>
    <w:rsid w:val="003D7F29"/>
    <w:rsid w:val="003F36DA"/>
    <w:rsid w:val="003F5DD6"/>
    <w:rsid w:val="00402FA7"/>
    <w:rsid w:val="00405A6B"/>
    <w:rsid w:val="00407B1F"/>
    <w:rsid w:val="0041123D"/>
    <w:rsid w:val="00414C57"/>
    <w:rsid w:val="0041758C"/>
    <w:rsid w:val="00420DE9"/>
    <w:rsid w:val="004372A7"/>
    <w:rsid w:val="00442254"/>
    <w:rsid w:val="004539DE"/>
    <w:rsid w:val="0045582A"/>
    <w:rsid w:val="00455E04"/>
    <w:rsid w:val="00471DF6"/>
    <w:rsid w:val="004A2CF1"/>
    <w:rsid w:val="004B2B03"/>
    <w:rsid w:val="004C3035"/>
    <w:rsid w:val="004C307F"/>
    <w:rsid w:val="004E015F"/>
    <w:rsid w:val="004E4BA8"/>
    <w:rsid w:val="004E7076"/>
    <w:rsid w:val="004F340F"/>
    <w:rsid w:val="004F7B7C"/>
    <w:rsid w:val="00501654"/>
    <w:rsid w:val="0051148C"/>
    <w:rsid w:val="005166AA"/>
    <w:rsid w:val="0052243D"/>
    <w:rsid w:val="00527BF0"/>
    <w:rsid w:val="00531C81"/>
    <w:rsid w:val="00532435"/>
    <w:rsid w:val="0053288F"/>
    <w:rsid w:val="00547178"/>
    <w:rsid w:val="00550354"/>
    <w:rsid w:val="00564662"/>
    <w:rsid w:val="00571236"/>
    <w:rsid w:val="005840D3"/>
    <w:rsid w:val="0058426A"/>
    <w:rsid w:val="005953A1"/>
    <w:rsid w:val="005A5929"/>
    <w:rsid w:val="005B52E3"/>
    <w:rsid w:val="005D0332"/>
    <w:rsid w:val="005D0D8C"/>
    <w:rsid w:val="005E7BD4"/>
    <w:rsid w:val="00610222"/>
    <w:rsid w:val="00613AC3"/>
    <w:rsid w:val="006263B1"/>
    <w:rsid w:val="006643EF"/>
    <w:rsid w:val="006717A0"/>
    <w:rsid w:val="00676D7A"/>
    <w:rsid w:val="006776AE"/>
    <w:rsid w:val="00684038"/>
    <w:rsid w:val="006A0D97"/>
    <w:rsid w:val="006A528C"/>
    <w:rsid w:val="006B1F86"/>
    <w:rsid w:val="006C0A91"/>
    <w:rsid w:val="007054BB"/>
    <w:rsid w:val="00707064"/>
    <w:rsid w:val="00730683"/>
    <w:rsid w:val="00732856"/>
    <w:rsid w:val="0073590E"/>
    <w:rsid w:val="0075261F"/>
    <w:rsid w:val="0075468E"/>
    <w:rsid w:val="007656A8"/>
    <w:rsid w:val="00765E44"/>
    <w:rsid w:val="007665D8"/>
    <w:rsid w:val="00766E36"/>
    <w:rsid w:val="007722BF"/>
    <w:rsid w:val="007765F4"/>
    <w:rsid w:val="00776633"/>
    <w:rsid w:val="00784D53"/>
    <w:rsid w:val="00797797"/>
    <w:rsid w:val="007A215B"/>
    <w:rsid w:val="007A63C9"/>
    <w:rsid w:val="007A775F"/>
    <w:rsid w:val="007B32D1"/>
    <w:rsid w:val="007B7095"/>
    <w:rsid w:val="007D146C"/>
    <w:rsid w:val="007D24E1"/>
    <w:rsid w:val="007E0EE6"/>
    <w:rsid w:val="007F42E4"/>
    <w:rsid w:val="007F4CE9"/>
    <w:rsid w:val="007F4E20"/>
    <w:rsid w:val="007F66B0"/>
    <w:rsid w:val="00800266"/>
    <w:rsid w:val="008156EC"/>
    <w:rsid w:val="00822C7E"/>
    <w:rsid w:val="00833EA2"/>
    <w:rsid w:val="00847060"/>
    <w:rsid w:val="00856A33"/>
    <w:rsid w:val="00860499"/>
    <w:rsid w:val="00875B33"/>
    <w:rsid w:val="00882F72"/>
    <w:rsid w:val="00892620"/>
    <w:rsid w:val="008C56B7"/>
    <w:rsid w:val="008C7D37"/>
    <w:rsid w:val="008D5885"/>
    <w:rsid w:val="00904F10"/>
    <w:rsid w:val="00916EBC"/>
    <w:rsid w:val="00923FA2"/>
    <w:rsid w:val="009461B5"/>
    <w:rsid w:val="009475A3"/>
    <w:rsid w:val="0096060D"/>
    <w:rsid w:val="00960FD2"/>
    <w:rsid w:val="00974A50"/>
    <w:rsid w:val="0097585A"/>
    <w:rsid w:val="009924B0"/>
    <w:rsid w:val="009942C9"/>
    <w:rsid w:val="009A49DA"/>
    <w:rsid w:val="009B35C4"/>
    <w:rsid w:val="009C5632"/>
    <w:rsid w:val="009C630A"/>
    <w:rsid w:val="009D5A48"/>
    <w:rsid w:val="009E0D98"/>
    <w:rsid w:val="009E332F"/>
    <w:rsid w:val="009F4192"/>
    <w:rsid w:val="00A068A1"/>
    <w:rsid w:val="00A1207D"/>
    <w:rsid w:val="00A12FD8"/>
    <w:rsid w:val="00A346FC"/>
    <w:rsid w:val="00A44FBD"/>
    <w:rsid w:val="00A73613"/>
    <w:rsid w:val="00A74D4C"/>
    <w:rsid w:val="00A75A90"/>
    <w:rsid w:val="00A84F93"/>
    <w:rsid w:val="00A91AFD"/>
    <w:rsid w:val="00AA7480"/>
    <w:rsid w:val="00AB038D"/>
    <w:rsid w:val="00AB1AC5"/>
    <w:rsid w:val="00AB3BFC"/>
    <w:rsid w:val="00AC4F2E"/>
    <w:rsid w:val="00AC58CB"/>
    <w:rsid w:val="00AC6433"/>
    <w:rsid w:val="00AC657D"/>
    <w:rsid w:val="00AD0C37"/>
    <w:rsid w:val="00AD385F"/>
    <w:rsid w:val="00AE6E2A"/>
    <w:rsid w:val="00B11472"/>
    <w:rsid w:val="00B16BD9"/>
    <w:rsid w:val="00B16C0D"/>
    <w:rsid w:val="00B2220C"/>
    <w:rsid w:val="00B31E9C"/>
    <w:rsid w:val="00B35595"/>
    <w:rsid w:val="00B51C6D"/>
    <w:rsid w:val="00B55B8A"/>
    <w:rsid w:val="00B86D64"/>
    <w:rsid w:val="00B87E74"/>
    <w:rsid w:val="00B9099B"/>
    <w:rsid w:val="00B915E6"/>
    <w:rsid w:val="00B91882"/>
    <w:rsid w:val="00B9446D"/>
    <w:rsid w:val="00BA0206"/>
    <w:rsid w:val="00BA2C66"/>
    <w:rsid w:val="00BA4AC5"/>
    <w:rsid w:val="00BB19D5"/>
    <w:rsid w:val="00BC1364"/>
    <w:rsid w:val="00BC7DE9"/>
    <w:rsid w:val="00BF359F"/>
    <w:rsid w:val="00BF479B"/>
    <w:rsid w:val="00C00794"/>
    <w:rsid w:val="00C02577"/>
    <w:rsid w:val="00C204FB"/>
    <w:rsid w:val="00C20BEE"/>
    <w:rsid w:val="00C2158D"/>
    <w:rsid w:val="00C238C8"/>
    <w:rsid w:val="00C65C25"/>
    <w:rsid w:val="00C67DD2"/>
    <w:rsid w:val="00C725CB"/>
    <w:rsid w:val="00C76F5C"/>
    <w:rsid w:val="00C90F65"/>
    <w:rsid w:val="00C96BAD"/>
    <w:rsid w:val="00CA6944"/>
    <w:rsid w:val="00CB0F8E"/>
    <w:rsid w:val="00CB7E7D"/>
    <w:rsid w:val="00CC2911"/>
    <w:rsid w:val="00CD4FF0"/>
    <w:rsid w:val="00CF0C6D"/>
    <w:rsid w:val="00CF7307"/>
    <w:rsid w:val="00CF7C68"/>
    <w:rsid w:val="00D01A07"/>
    <w:rsid w:val="00D07239"/>
    <w:rsid w:val="00D124FA"/>
    <w:rsid w:val="00D14EAB"/>
    <w:rsid w:val="00D152D7"/>
    <w:rsid w:val="00D154DA"/>
    <w:rsid w:val="00D23F52"/>
    <w:rsid w:val="00D26292"/>
    <w:rsid w:val="00D340DE"/>
    <w:rsid w:val="00D55723"/>
    <w:rsid w:val="00D62FAD"/>
    <w:rsid w:val="00D70450"/>
    <w:rsid w:val="00D77E59"/>
    <w:rsid w:val="00D83BFD"/>
    <w:rsid w:val="00D90A38"/>
    <w:rsid w:val="00D91583"/>
    <w:rsid w:val="00DA0515"/>
    <w:rsid w:val="00DA171E"/>
    <w:rsid w:val="00DA56AA"/>
    <w:rsid w:val="00DB5833"/>
    <w:rsid w:val="00DB66AD"/>
    <w:rsid w:val="00DD2858"/>
    <w:rsid w:val="00DE60F6"/>
    <w:rsid w:val="00DF2DA7"/>
    <w:rsid w:val="00E03E33"/>
    <w:rsid w:val="00E23A30"/>
    <w:rsid w:val="00E32B82"/>
    <w:rsid w:val="00E3642A"/>
    <w:rsid w:val="00E415C4"/>
    <w:rsid w:val="00E50016"/>
    <w:rsid w:val="00E50EAA"/>
    <w:rsid w:val="00E523B1"/>
    <w:rsid w:val="00E60FC1"/>
    <w:rsid w:val="00E656D6"/>
    <w:rsid w:val="00E9524A"/>
    <w:rsid w:val="00E977EE"/>
    <w:rsid w:val="00EA67A2"/>
    <w:rsid w:val="00EB0A50"/>
    <w:rsid w:val="00EB6B6F"/>
    <w:rsid w:val="00EC4F98"/>
    <w:rsid w:val="00ED3D0C"/>
    <w:rsid w:val="00ED556D"/>
    <w:rsid w:val="00EE081A"/>
    <w:rsid w:val="00EF60DD"/>
    <w:rsid w:val="00F03659"/>
    <w:rsid w:val="00F06FF9"/>
    <w:rsid w:val="00F12F02"/>
    <w:rsid w:val="00F16975"/>
    <w:rsid w:val="00F21117"/>
    <w:rsid w:val="00F32E0D"/>
    <w:rsid w:val="00F33D75"/>
    <w:rsid w:val="00F35134"/>
    <w:rsid w:val="00F375CA"/>
    <w:rsid w:val="00F40D6F"/>
    <w:rsid w:val="00F41812"/>
    <w:rsid w:val="00F479DE"/>
    <w:rsid w:val="00F523B5"/>
    <w:rsid w:val="00F73333"/>
    <w:rsid w:val="00F85270"/>
    <w:rsid w:val="00F91D8D"/>
    <w:rsid w:val="00F93545"/>
    <w:rsid w:val="00F95D8F"/>
    <w:rsid w:val="00FA5AC7"/>
    <w:rsid w:val="00FB0D81"/>
    <w:rsid w:val="00FB350A"/>
    <w:rsid w:val="00FC1D9A"/>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961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List Bullet" w:uiPriority="2" w:qFormat="1"/>
    <w:lsdException w:name="List Bullet 2" w:uiPriority="2"/>
    <w:lsdException w:name="List Bullet 3" w:uiPriority="2"/>
    <w:lsdException w:name="Title" w:locked="1" w:semiHidden="0" w:uiPriority="0" w:unhideWhenUsed="0" w:qFormat="1"/>
    <w:lsdException w:name="Default Paragraph Font" w:locked="1" w:semiHidden="0" w:uiPriority="0" w:unhideWhenUsed="0"/>
    <w:lsdException w:name="Body Text" w:uiPriority="2"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unhideWhenUsed/>
    <w:qFormat/>
    <w:locked/>
    <w:rsid w:val="004E015F"/>
    <w:pPr>
      <w:keepNext/>
      <w:keepLines/>
      <w:spacing w:before="200"/>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nhideWhenUsed/>
    <w:qFormat/>
    <w:locked/>
    <w:rsid w:val="009C5632"/>
    <w:pPr>
      <w:keepNext/>
      <w:keepLines/>
      <w:spacing w:before="200"/>
      <w:outlineLvl w:val="2"/>
    </w:pPr>
    <w:rPr>
      <w:rFonts w:eastAsiaTheme="majorEastAsia" w:cstheme="majorBidi"/>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rsid w:val="00065623"/>
    <w:rPr>
      <w:sz w:val="20"/>
    </w:rPr>
  </w:style>
  <w:style w:type="character" w:customStyle="1" w:styleId="FootnoteTextChar">
    <w:name w:val="Footnote Text Char"/>
    <w:basedOn w:val="DefaultParagraphFont"/>
    <w:link w:val="FootnoteText"/>
    <w:locked/>
    <w:rsid w:val="00065623"/>
    <w:rPr>
      <w:rFonts w:eastAsia="Times New Roman" w:cs="Times New Roman"/>
      <w:sz w:val="20"/>
      <w:szCs w:val="20"/>
      <w:lang w:eastAsia="en-AU"/>
    </w:rPr>
  </w:style>
  <w:style w:type="character" w:styleId="FootnoteReference">
    <w:name w:val="footnote reference"/>
    <w:basedOn w:val="DefaultParagraphFont"/>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4E015F"/>
    <w:rPr>
      <w:rFonts w:asciiTheme="majorHAnsi" w:eastAsiaTheme="majorEastAsia" w:hAnsiTheme="majorHAnsi" w:cstheme="majorBidi"/>
      <w:b/>
      <w:bCs/>
      <w:sz w:val="24"/>
      <w:szCs w:val="26"/>
    </w:rPr>
  </w:style>
  <w:style w:type="paragraph" w:customStyle="1" w:styleId="TableDataEntries">
    <w:name w:val="Table Data Entries"/>
    <w:basedOn w:val="Normal"/>
    <w:uiPriority w:val="11"/>
    <w:rsid w:val="00DB66AD"/>
    <w:pPr>
      <w:keepLines/>
      <w:spacing w:before="40" w:after="40" w:line="200" w:lineRule="atLeast"/>
      <w:jc w:val="right"/>
    </w:pPr>
    <w:rPr>
      <w:rFonts w:ascii="Franklin Gothic Book" w:hAnsi="Franklin Gothic Book"/>
      <w:sz w:val="16"/>
      <w:szCs w:val="18"/>
      <w:lang w:eastAsia="en-US"/>
    </w:rPr>
  </w:style>
  <w:style w:type="paragraph" w:customStyle="1" w:styleId="TableDataColumnHeading">
    <w:name w:val="Table Data Column Heading"/>
    <w:basedOn w:val="TableDataEntries"/>
    <w:uiPriority w:val="11"/>
    <w:rsid w:val="00DB66AD"/>
    <w:pPr>
      <w:keepNext/>
      <w:spacing w:before="80" w:after="80"/>
    </w:pPr>
    <w:rPr>
      <w:rFonts w:ascii="Franklin Gothic Demi" w:hAnsi="Franklin Gothic Demi"/>
      <w:color w:val="FFFFFF"/>
    </w:rPr>
  </w:style>
  <w:style w:type="paragraph" w:customStyle="1" w:styleId="TableUnit">
    <w:name w:val="Table Unit"/>
    <w:basedOn w:val="TableDataColumnHeading"/>
    <w:next w:val="TableDataEntries"/>
    <w:uiPriority w:val="11"/>
    <w:rsid w:val="00DB66AD"/>
    <w:rPr>
      <w:rFonts w:ascii="Franklin Gothic Book" w:hAnsi="Franklin Gothic Book"/>
      <w:color w:val="auto"/>
      <w:szCs w:val="17"/>
    </w:rPr>
  </w:style>
  <w:style w:type="paragraph" w:customStyle="1" w:styleId="ChartText">
    <w:name w:val="Chart Text"/>
    <w:basedOn w:val="Normal"/>
    <w:link w:val="ChartTextChar"/>
    <w:uiPriority w:val="23"/>
    <w:rsid w:val="000B6956"/>
    <w:pPr>
      <w:keepLines/>
      <w:spacing w:after="80" w:line="200" w:lineRule="atLeast"/>
    </w:pPr>
    <w:rPr>
      <w:rFonts w:ascii="Franklin Gothic Medium" w:hAnsi="Franklin Gothic Medium"/>
      <w:sz w:val="16"/>
      <w:szCs w:val="18"/>
      <w:lang w:eastAsia="en-US"/>
    </w:rPr>
  </w:style>
  <w:style w:type="character" w:customStyle="1" w:styleId="ChartTextChar">
    <w:name w:val="Chart Text Char"/>
    <w:link w:val="ChartText"/>
    <w:uiPriority w:val="23"/>
    <w:rsid w:val="000B6956"/>
    <w:rPr>
      <w:rFonts w:ascii="Franklin Gothic Medium" w:eastAsia="Times New Roman" w:hAnsi="Franklin Gothic Medium"/>
      <w:sz w:val="16"/>
      <w:szCs w:val="18"/>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Caption Char1 Char Char"/>
    <w:basedOn w:val="Normal"/>
    <w:next w:val="Normal"/>
    <w:link w:val="CaptionChar"/>
    <w:unhideWhenUsed/>
    <w:qFormat/>
    <w:locked/>
    <w:rsid w:val="00BB19D5"/>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BB19D5"/>
    <w:rPr>
      <w:rFonts w:ascii="Arial Narrow" w:eastAsia="Times New Roman" w:hAnsi="Arial Narrow" w:cs="Arial"/>
      <w:b/>
      <w:bCs/>
      <w:iCs/>
      <w:sz w:val="20"/>
      <w:szCs w:val="20"/>
      <w:lang w:eastAsia="en-US"/>
    </w:rPr>
  </w:style>
  <w:style w:type="paragraph" w:styleId="BodyText">
    <w:name w:val="Body Text"/>
    <w:basedOn w:val="Normal"/>
    <w:link w:val="BodyTextChar"/>
    <w:uiPriority w:val="2"/>
    <w:qFormat/>
    <w:rsid w:val="00BB19D5"/>
    <w:pPr>
      <w:spacing w:before="140" w:line="280" w:lineRule="atLeast"/>
    </w:pPr>
    <w:rPr>
      <w:rFonts w:asciiTheme="minorHAnsi" w:hAnsiTheme="minorHAnsi"/>
      <w:sz w:val="21"/>
      <w:szCs w:val="21"/>
    </w:rPr>
  </w:style>
  <w:style w:type="character" w:customStyle="1" w:styleId="BodyTextChar">
    <w:name w:val="Body Text Char"/>
    <w:basedOn w:val="DefaultParagraphFont"/>
    <w:link w:val="BodyText"/>
    <w:uiPriority w:val="2"/>
    <w:rsid w:val="00BB19D5"/>
    <w:rPr>
      <w:rFonts w:asciiTheme="minorHAnsi" w:eastAsia="Times New Roman" w:hAnsiTheme="minorHAnsi"/>
      <w:sz w:val="21"/>
      <w:szCs w:val="21"/>
    </w:rPr>
  </w:style>
  <w:style w:type="paragraph" w:customStyle="1" w:styleId="TableTextEntries">
    <w:name w:val="Table Text Entries"/>
    <w:basedOn w:val="BodyText"/>
    <w:uiPriority w:val="13"/>
    <w:rsid w:val="00BB19D5"/>
    <w:pPr>
      <w:keepLines/>
      <w:spacing w:before="80" w:after="80" w:line="200" w:lineRule="atLeast"/>
    </w:pPr>
    <w:rPr>
      <w:rFonts w:ascii="Franklin Gothic Book" w:hAnsi="Franklin Gothic Book"/>
      <w:sz w:val="16"/>
      <w:szCs w:val="18"/>
      <w:lang w:eastAsia="en-US"/>
    </w:rPr>
  </w:style>
  <w:style w:type="character" w:customStyle="1" w:styleId="NoteLabel">
    <w:name w:val="Note Label"/>
    <w:uiPriority w:val="15"/>
    <w:rsid w:val="00BB19D5"/>
    <w:rPr>
      <w:rFonts w:ascii="Franklin Gothic Demi" w:hAnsi="Franklin Gothic Demi"/>
      <w:b w:val="0"/>
      <w:i w:val="0"/>
      <w:color w:val="8064A2" w:themeColor="accent4"/>
      <w:position w:val="4"/>
      <w:sz w:val="14"/>
      <w:szCs w:val="16"/>
    </w:rPr>
  </w:style>
  <w:style w:type="paragraph" w:customStyle="1" w:styleId="TableText">
    <w:name w:val="TableText"/>
    <w:basedOn w:val="Normal"/>
    <w:link w:val="TableTextChar"/>
    <w:rsid w:val="00BB19D5"/>
    <w:pPr>
      <w:keepNext/>
      <w:spacing w:before="20" w:after="20"/>
    </w:pPr>
    <w:rPr>
      <w:rFonts w:ascii="Arial Narrow" w:hAnsi="Arial Narrow"/>
      <w:color w:val="000000"/>
      <w:sz w:val="20"/>
      <w:szCs w:val="21"/>
    </w:rPr>
  </w:style>
  <w:style w:type="character" w:customStyle="1" w:styleId="TableTextChar">
    <w:name w:val="TableText Char"/>
    <w:link w:val="TableText"/>
    <w:rsid w:val="00BB19D5"/>
    <w:rPr>
      <w:rFonts w:ascii="Arial Narrow" w:eastAsia="Times New Roman" w:hAnsi="Arial Narrow"/>
      <w:color w:val="000000"/>
      <w:sz w:val="20"/>
      <w:szCs w:val="21"/>
    </w:rPr>
  </w:style>
  <w:style w:type="paragraph" w:customStyle="1" w:styleId="Source">
    <w:name w:val="Source"/>
    <w:basedOn w:val="Normal"/>
    <w:next w:val="BodyText"/>
    <w:link w:val="SourceChar"/>
    <w:uiPriority w:val="16"/>
    <w:rsid w:val="00BB19D5"/>
    <w:pPr>
      <w:keepLines/>
      <w:spacing w:before="40" w:after="60" w:line="180" w:lineRule="atLeast"/>
    </w:pPr>
    <w:rPr>
      <w:rFonts w:ascii="Franklin Gothic Book" w:hAnsi="Franklin Gothic Book"/>
      <w:sz w:val="14"/>
      <w:szCs w:val="16"/>
      <w:lang w:eastAsia="en-US"/>
    </w:rPr>
  </w:style>
  <w:style w:type="character" w:customStyle="1" w:styleId="SourceChar">
    <w:name w:val="Source Char"/>
    <w:basedOn w:val="DefaultParagraphFont"/>
    <w:link w:val="Source"/>
    <w:uiPriority w:val="16"/>
    <w:locked/>
    <w:rsid w:val="00BB19D5"/>
    <w:rPr>
      <w:rFonts w:ascii="Franklin Gothic Book" w:eastAsia="Times New Roman" w:hAnsi="Franklin Gothic Book"/>
      <w:sz w:val="14"/>
      <w:szCs w:val="16"/>
      <w:lang w:eastAsia="en-US"/>
    </w:rPr>
  </w:style>
  <w:style w:type="paragraph" w:customStyle="1" w:styleId="Note">
    <w:name w:val="Note"/>
    <w:basedOn w:val="TableTextEntries"/>
    <w:next w:val="Source"/>
    <w:link w:val="NoteCharChar"/>
    <w:uiPriority w:val="15"/>
    <w:rsid w:val="00BB19D5"/>
    <w:pPr>
      <w:spacing w:before="40" w:after="0" w:line="180" w:lineRule="atLeast"/>
    </w:pPr>
    <w:rPr>
      <w:sz w:val="14"/>
      <w:szCs w:val="16"/>
    </w:rPr>
  </w:style>
  <w:style w:type="character" w:customStyle="1" w:styleId="NoteCharChar">
    <w:name w:val="Note Char Char"/>
    <w:link w:val="Note"/>
    <w:uiPriority w:val="15"/>
    <w:rsid w:val="00BB19D5"/>
    <w:rPr>
      <w:rFonts w:ascii="Franklin Gothic Book" w:eastAsia="Times New Roman" w:hAnsi="Franklin Gothic Book"/>
      <w:sz w:val="14"/>
      <w:szCs w:val="16"/>
      <w:lang w:eastAsia="en-US"/>
    </w:rPr>
  </w:style>
  <w:style w:type="paragraph" w:customStyle="1" w:styleId="TableFigNotes0">
    <w:name w:val="TableFigNotes+0"/>
    <w:basedOn w:val="Normal"/>
    <w:rsid w:val="00BB19D5"/>
    <w:pPr>
      <w:keepNext/>
      <w:keepLines/>
      <w:ind w:left="720"/>
    </w:pPr>
    <w:rPr>
      <w:rFonts w:ascii="Arial Narrow" w:hAnsi="Arial Narrow"/>
      <w:color w:val="000000"/>
      <w:sz w:val="18"/>
      <w:szCs w:val="18"/>
    </w:rPr>
  </w:style>
  <w:style w:type="numbering" w:customStyle="1" w:styleId="ListBullets">
    <w:name w:val="ListBullets"/>
    <w:uiPriority w:val="99"/>
    <w:rsid w:val="00BB19D5"/>
    <w:pPr>
      <w:numPr>
        <w:numId w:val="33"/>
      </w:numPr>
    </w:pPr>
  </w:style>
  <w:style w:type="paragraph" w:styleId="ListBullet3">
    <w:name w:val="List Bullet 3"/>
    <w:basedOn w:val="ListBullet2"/>
    <w:uiPriority w:val="2"/>
    <w:rsid w:val="00BB19D5"/>
    <w:pPr>
      <w:numPr>
        <w:ilvl w:val="2"/>
      </w:numPr>
      <w:tabs>
        <w:tab w:val="clear" w:pos="907"/>
        <w:tab w:val="num" w:pos="2160"/>
      </w:tabs>
      <w:ind w:left="2160" w:hanging="360"/>
    </w:pPr>
  </w:style>
  <w:style w:type="paragraph" w:styleId="ListBullet">
    <w:name w:val="List Bullet"/>
    <w:basedOn w:val="BodyText"/>
    <w:link w:val="ListBulletChar"/>
    <w:uiPriority w:val="2"/>
    <w:qFormat/>
    <w:rsid w:val="00BB19D5"/>
    <w:pPr>
      <w:numPr>
        <w:numId w:val="33"/>
      </w:numPr>
      <w:spacing w:before="70"/>
    </w:pPr>
  </w:style>
  <w:style w:type="paragraph" w:styleId="ListBullet2">
    <w:name w:val="List Bullet 2"/>
    <w:basedOn w:val="ListBullet"/>
    <w:uiPriority w:val="2"/>
    <w:rsid w:val="00BB19D5"/>
    <w:pPr>
      <w:numPr>
        <w:ilvl w:val="1"/>
      </w:numPr>
      <w:tabs>
        <w:tab w:val="clear" w:pos="567"/>
        <w:tab w:val="num" w:pos="1440"/>
      </w:tabs>
      <w:spacing w:before="40"/>
      <w:ind w:left="568" w:hanging="284"/>
    </w:pPr>
  </w:style>
  <w:style w:type="paragraph" w:customStyle="1" w:styleId="TableTextColumnHeading">
    <w:name w:val="Table Text Column Heading"/>
    <w:basedOn w:val="TableDataColumnHeading"/>
    <w:uiPriority w:val="13"/>
    <w:rsid w:val="00BB19D5"/>
    <w:pPr>
      <w:jc w:val="left"/>
    </w:pPr>
  </w:style>
  <w:style w:type="paragraph" w:customStyle="1" w:styleId="TableListBullet">
    <w:name w:val="Table List Bullet"/>
    <w:basedOn w:val="TableTextEntries"/>
    <w:uiPriority w:val="14"/>
    <w:rsid w:val="00BB19D5"/>
    <w:pPr>
      <w:numPr>
        <w:numId w:val="32"/>
      </w:numPr>
      <w:spacing w:line="210" w:lineRule="atLeast"/>
    </w:pPr>
    <w:rPr>
      <w:szCs w:val="19"/>
    </w:rPr>
  </w:style>
  <w:style w:type="paragraph" w:customStyle="1" w:styleId="TableListBullet2">
    <w:name w:val="Table List Bullet 2"/>
    <w:basedOn w:val="TableListBullet"/>
    <w:uiPriority w:val="14"/>
    <w:rsid w:val="00BB19D5"/>
    <w:pPr>
      <w:numPr>
        <w:ilvl w:val="1"/>
      </w:numPr>
    </w:pPr>
  </w:style>
  <w:style w:type="paragraph" w:customStyle="1" w:styleId="TableListNumber">
    <w:name w:val="Table List Number"/>
    <w:basedOn w:val="TableTextEntries"/>
    <w:uiPriority w:val="14"/>
    <w:rsid w:val="00BB19D5"/>
    <w:pPr>
      <w:numPr>
        <w:numId w:val="30"/>
      </w:numPr>
      <w:spacing w:before="40" w:after="40"/>
    </w:pPr>
    <w:rPr>
      <w:szCs w:val="19"/>
    </w:rPr>
  </w:style>
  <w:style w:type="paragraph" w:customStyle="1" w:styleId="TableListNumber2">
    <w:name w:val="Table List Number 2"/>
    <w:basedOn w:val="TableListNumber"/>
    <w:uiPriority w:val="14"/>
    <w:rsid w:val="00BB19D5"/>
    <w:pPr>
      <w:numPr>
        <w:ilvl w:val="1"/>
      </w:numPr>
    </w:pPr>
  </w:style>
  <w:style w:type="numbering" w:customStyle="1" w:styleId="TableListBullets">
    <w:name w:val="TableListBullets"/>
    <w:uiPriority w:val="99"/>
    <w:rsid w:val="00BB19D5"/>
    <w:pPr>
      <w:numPr>
        <w:numId w:val="31"/>
      </w:numPr>
    </w:pPr>
  </w:style>
  <w:style w:type="numbering" w:customStyle="1" w:styleId="TableListNumbers">
    <w:name w:val="TableListNumbers"/>
    <w:uiPriority w:val="99"/>
    <w:rsid w:val="00BB19D5"/>
    <w:pPr>
      <w:numPr>
        <w:numId w:val="30"/>
      </w:numPr>
    </w:pPr>
  </w:style>
  <w:style w:type="character" w:customStyle="1" w:styleId="ListBulletChar">
    <w:name w:val="List Bullet Char"/>
    <w:link w:val="ListBullet"/>
    <w:uiPriority w:val="2"/>
    <w:locked/>
    <w:rsid w:val="00BB19D5"/>
    <w:rPr>
      <w:rFonts w:asciiTheme="minorHAnsi" w:eastAsia="Times New Roman" w:hAnsiTheme="minorHAnsi"/>
      <w:sz w:val="21"/>
      <w:szCs w:val="21"/>
    </w:rPr>
  </w:style>
  <w:style w:type="table" w:styleId="TableGrid">
    <w:name w:val="Table Grid"/>
    <w:basedOn w:val="TableNormal"/>
    <w:locked/>
    <w:rsid w:val="000E3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14EAB"/>
    <w:rPr>
      <w:rFonts w:eastAsia="Times New Roman"/>
      <w:sz w:val="24"/>
      <w:szCs w:val="20"/>
    </w:rPr>
  </w:style>
  <w:style w:type="paragraph" w:styleId="EndnoteText">
    <w:name w:val="endnote text"/>
    <w:basedOn w:val="Normal"/>
    <w:link w:val="EndnoteTextChar"/>
    <w:uiPriority w:val="99"/>
    <w:semiHidden/>
    <w:unhideWhenUsed/>
    <w:rsid w:val="00471DF6"/>
    <w:rPr>
      <w:sz w:val="20"/>
    </w:rPr>
  </w:style>
  <w:style w:type="character" w:customStyle="1" w:styleId="EndnoteTextChar">
    <w:name w:val="Endnote Text Char"/>
    <w:basedOn w:val="DefaultParagraphFont"/>
    <w:link w:val="EndnoteText"/>
    <w:uiPriority w:val="99"/>
    <w:semiHidden/>
    <w:rsid w:val="00471DF6"/>
    <w:rPr>
      <w:rFonts w:eastAsia="Times New Roman"/>
      <w:sz w:val="20"/>
      <w:szCs w:val="20"/>
    </w:rPr>
  </w:style>
  <w:style w:type="character" w:styleId="EndnoteReference">
    <w:name w:val="endnote reference"/>
    <w:basedOn w:val="DefaultParagraphFont"/>
    <w:uiPriority w:val="99"/>
    <w:semiHidden/>
    <w:unhideWhenUsed/>
    <w:rsid w:val="00471DF6"/>
    <w:rPr>
      <w:vertAlign w:val="superscript"/>
    </w:rPr>
  </w:style>
  <w:style w:type="paragraph" w:styleId="Title">
    <w:name w:val="Title"/>
    <w:basedOn w:val="Normal"/>
    <w:next w:val="Normal"/>
    <w:link w:val="TitleChar"/>
    <w:qFormat/>
    <w:locked/>
    <w:rsid w:val="003F5DD6"/>
    <w:pPr>
      <w:pBdr>
        <w:bottom w:val="single" w:sz="8" w:space="4" w:color="4F81BD" w:themeColor="accent1"/>
      </w:pBdr>
      <w:spacing w:after="300"/>
      <w:contextualSpacing/>
      <w:jc w:val="center"/>
    </w:pPr>
    <w:rPr>
      <w:rFonts w:ascii="Arial" w:eastAsiaTheme="majorEastAsia" w:hAnsi="Arial" w:cstheme="majorBidi"/>
      <w:b/>
      <w:kern w:val="28"/>
      <w:sz w:val="32"/>
      <w:szCs w:val="52"/>
      <w:lang w:eastAsia="en-US"/>
    </w:rPr>
  </w:style>
  <w:style w:type="character" w:customStyle="1" w:styleId="TitleChar">
    <w:name w:val="Title Char"/>
    <w:basedOn w:val="DefaultParagraphFont"/>
    <w:link w:val="Title"/>
    <w:rsid w:val="003F5DD6"/>
    <w:rPr>
      <w:rFonts w:ascii="Arial" w:eastAsiaTheme="majorEastAsia" w:hAnsi="Arial" w:cstheme="majorBidi"/>
      <w:b/>
      <w:kern w:val="28"/>
      <w:sz w:val="32"/>
      <w:szCs w:val="52"/>
      <w:lang w:eastAsia="en-US"/>
    </w:rPr>
  </w:style>
  <w:style w:type="character" w:styleId="IntenseReference">
    <w:name w:val="Intense Reference"/>
    <w:basedOn w:val="DefaultParagraphFont"/>
    <w:uiPriority w:val="32"/>
    <w:qFormat/>
    <w:rsid w:val="003F5DD6"/>
    <w:rPr>
      <w:b/>
      <w:bCs/>
      <w:i/>
      <w:smallCaps/>
      <w:color w:val="C0504D" w:themeColor="accent2"/>
      <w:spacing w:val="5"/>
      <w:u w:val="none"/>
    </w:rPr>
  </w:style>
  <w:style w:type="character" w:customStyle="1" w:styleId="textitem">
    <w:name w:val="textitem"/>
    <w:basedOn w:val="DefaultParagraphFont"/>
    <w:rsid w:val="004E015F"/>
  </w:style>
  <w:style w:type="paragraph" w:customStyle="1" w:styleId="ListBullet1">
    <w:name w:val="List Bullet1"/>
    <w:basedOn w:val="Normal"/>
    <w:uiPriority w:val="5"/>
    <w:qFormat/>
    <w:rsid w:val="00610222"/>
    <w:pPr>
      <w:numPr>
        <w:numId w:val="43"/>
      </w:numPr>
      <w:shd w:val="clear" w:color="auto" w:fill="FFFFFF" w:themeFill="background1"/>
      <w:spacing w:before="120" w:after="120" w:line="260" w:lineRule="exact"/>
      <w:contextualSpacing/>
    </w:pPr>
    <w:rPr>
      <w:rFonts w:ascii="Arial" w:hAnsi="Arial" w:cs="Arial"/>
      <w:sz w:val="20"/>
      <w:szCs w:val="24"/>
    </w:rPr>
  </w:style>
  <w:style w:type="character" w:customStyle="1" w:styleId="Heading3Char">
    <w:name w:val="Heading 3 Char"/>
    <w:basedOn w:val="DefaultParagraphFont"/>
    <w:link w:val="Heading3"/>
    <w:rsid w:val="009C5632"/>
    <w:rPr>
      <w:rFonts w:eastAsiaTheme="majorEastAsia" w:cstheme="majorBidi"/>
      <w:b/>
      <w:bCs/>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List Bullet" w:uiPriority="2" w:qFormat="1"/>
    <w:lsdException w:name="List Bullet 2" w:uiPriority="2"/>
    <w:lsdException w:name="List Bullet 3" w:uiPriority="2"/>
    <w:lsdException w:name="Title" w:locked="1" w:semiHidden="0" w:uiPriority="0" w:unhideWhenUsed="0" w:qFormat="1"/>
    <w:lsdException w:name="Default Paragraph Font" w:locked="1" w:semiHidden="0" w:uiPriority="0" w:unhideWhenUsed="0"/>
    <w:lsdException w:name="Body Text" w:uiPriority="2"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unhideWhenUsed/>
    <w:qFormat/>
    <w:locked/>
    <w:rsid w:val="004E015F"/>
    <w:pPr>
      <w:keepNext/>
      <w:keepLines/>
      <w:spacing w:before="200"/>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nhideWhenUsed/>
    <w:qFormat/>
    <w:locked/>
    <w:rsid w:val="009C5632"/>
    <w:pPr>
      <w:keepNext/>
      <w:keepLines/>
      <w:spacing w:before="200"/>
      <w:outlineLvl w:val="2"/>
    </w:pPr>
    <w:rPr>
      <w:rFonts w:eastAsiaTheme="majorEastAsia" w:cstheme="majorBidi"/>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rsid w:val="00065623"/>
    <w:rPr>
      <w:sz w:val="20"/>
    </w:rPr>
  </w:style>
  <w:style w:type="character" w:customStyle="1" w:styleId="FootnoteTextChar">
    <w:name w:val="Footnote Text Char"/>
    <w:basedOn w:val="DefaultParagraphFont"/>
    <w:link w:val="FootnoteText"/>
    <w:locked/>
    <w:rsid w:val="00065623"/>
    <w:rPr>
      <w:rFonts w:eastAsia="Times New Roman" w:cs="Times New Roman"/>
      <w:sz w:val="20"/>
      <w:szCs w:val="20"/>
      <w:lang w:eastAsia="en-AU"/>
    </w:rPr>
  </w:style>
  <w:style w:type="character" w:styleId="FootnoteReference">
    <w:name w:val="footnote reference"/>
    <w:basedOn w:val="DefaultParagraphFont"/>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4E015F"/>
    <w:rPr>
      <w:rFonts w:asciiTheme="majorHAnsi" w:eastAsiaTheme="majorEastAsia" w:hAnsiTheme="majorHAnsi" w:cstheme="majorBidi"/>
      <w:b/>
      <w:bCs/>
      <w:sz w:val="24"/>
      <w:szCs w:val="26"/>
    </w:rPr>
  </w:style>
  <w:style w:type="paragraph" w:customStyle="1" w:styleId="TableDataEntries">
    <w:name w:val="Table Data Entries"/>
    <w:basedOn w:val="Normal"/>
    <w:uiPriority w:val="11"/>
    <w:rsid w:val="00DB66AD"/>
    <w:pPr>
      <w:keepLines/>
      <w:spacing w:before="40" w:after="40" w:line="200" w:lineRule="atLeast"/>
      <w:jc w:val="right"/>
    </w:pPr>
    <w:rPr>
      <w:rFonts w:ascii="Franklin Gothic Book" w:hAnsi="Franklin Gothic Book"/>
      <w:sz w:val="16"/>
      <w:szCs w:val="18"/>
      <w:lang w:eastAsia="en-US"/>
    </w:rPr>
  </w:style>
  <w:style w:type="paragraph" w:customStyle="1" w:styleId="TableDataColumnHeading">
    <w:name w:val="Table Data Column Heading"/>
    <w:basedOn w:val="TableDataEntries"/>
    <w:uiPriority w:val="11"/>
    <w:rsid w:val="00DB66AD"/>
    <w:pPr>
      <w:keepNext/>
      <w:spacing w:before="80" w:after="80"/>
    </w:pPr>
    <w:rPr>
      <w:rFonts w:ascii="Franklin Gothic Demi" w:hAnsi="Franklin Gothic Demi"/>
      <w:color w:val="FFFFFF"/>
    </w:rPr>
  </w:style>
  <w:style w:type="paragraph" w:customStyle="1" w:styleId="TableUnit">
    <w:name w:val="Table Unit"/>
    <w:basedOn w:val="TableDataColumnHeading"/>
    <w:next w:val="TableDataEntries"/>
    <w:uiPriority w:val="11"/>
    <w:rsid w:val="00DB66AD"/>
    <w:rPr>
      <w:rFonts w:ascii="Franklin Gothic Book" w:hAnsi="Franklin Gothic Book"/>
      <w:color w:val="auto"/>
      <w:szCs w:val="17"/>
    </w:rPr>
  </w:style>
  <w:style w:type="paragraph" w:customStyle="1" w:styleId="ChartText">
    <w:name w:val="Chart Text"/>
    <w:basedOn w:val="Normal"/>
    <w:link w:val="ChartTextChar"/>
    <w:uiPriority w:val="23"/>
    <w:rsid w:val="000B6956"/>
    <w:pPr>
      <w:keepLines/>
      <w:spacing w:after="80" w:line="200" w:lineRule="atLeast"/>
    </w:pPr>
    <w:rPr>
      <w:rFonts w:ascii="Franklin Gothic Medium" w:hAnsi="Franklin Gothic Medium"/>
      <w:sz w:val="16"/>
      <w:szCs w:val="18"/>
      <w:lang w:eastAsia="en-US"/>
    </w:rPr>
  </w:style>
  <w:style w:type="character" w:customStyle="1" w:styleId="ChartTextChar">
    <w:name w:val="Chart Text Char"/>
    <w:link w:val="ChartText"/>
    <w:uiPriority w:val="23"/>
    <w:rsid w:val="000B6956"/>
    <w:rPr>
      <w:rFonts w:ascii="Franklin Gothic Medium" w:eastAsia="Times New Roman" w:hAnsi="Franklin Gothic Medium"/>
      <w:sz w:val="16"/>
      <w:szCs w:val="18"/>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Caption Char1 Char Char"/>
    <w:basedOn w:val="Normal"/>
    <w:next w:val="Normal"/>
    <w:link w:val="CaptionChar"/>
    <w:unhideWhenUsed/>
    <w:qFormat/>
    <w:locked/>
    <w:rsid w:val="00BB19D5"/>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BB19D5"/>
    <w:rPr>
      <w:rFonts w:ascii="Arial Narrow" w:eastAsia="Times New Roman" w:hAnsi="Arial Narrow" w:cs="Arial"/>
      <w:b/>
      <w:bCs/>
      <w:iCs/>
      <w:sz w:val="20"/>
      <w:szCs w:val="20"/>
      <w:lang w:eastAsia="en-US"/>
    </w:rPr>
  </w:style>
  <w:style w:type="paragraph" w:styleId="BodyText">
    <w:name w:val="Body Text"/>
    <w:basedOn w:val="Normal"/>
    <w:link w:val="BodyTextChar"/>
    <w:uiPriority w:val="2"/>
    <w:qFormat/>
    <w:rsid w:val="00BB19D5"/>
    <w:pPr>
      <w:spacing w:before="140" w:line="280" w:lineRule="atLeast"/>
    </w:pPr>
    <w:rPr>
      <w:rFonts w:asciiTheme="minorHAnsi" w:hAnsiTheme="minorHAnsi"/>
      <w:sz w:val="21"/>
      <w:szCs w:val="21"/>
    </w:rPr>
  </w:style>
  <w:style w:type="character" w:customStyle="1" w:styleId="BodyTextChar">
    <w:name w:val="Body Text Char"/>
    <w:basedOn w:val="DefaultParagraphFont"/>
    <w:link w:val="BodyText"/>
    <w:uiPriority w:val="2"/>
    <w:rsid w:val="00BB19D5"/>
    <w:rPr>
      <w:rFonts w:asciiTheme="minorHAnsi" w:eastAsia="Times New Roman" w:hAnsiTheme="minorHAnsi"/>
      <w:sz w:val="21"/>
      <w:szCs w:val="21"/>
    </w:rPr>
  </w:style>
  <w:style w:type="paragraph" w:customStyle="1" w:styleId="TableTextEntries">
    <w:name w:val="Table Text Entries"/>
    <w:basedOn w:val="BodyText"/>
    <w:uiPriority w:val="13"/>
    <w:rsid w:val="00BB19D5"/>
    <w:pPr>
      <w:keepLines/>
      <w:spacing w:before="80" w:after="80" w:line="200" w:lineRule="atLeast"/>
    </w:pPr>
    <w:rPr>
      <w:rFonts w:ascii="Franklin Gothic Book" w:hAnsi="Franklin Gothic Book"/>
      <w:sz w:val="16"/>
      <w:szCs w:val="18"/>
      <w:lang w:eastAsia="en-US"/>
    </w:rPr>
  </w:style>
  <w:style w:type="character" w:customStyle="1" w:styleId="NoteLabel">
    <w:name w:val="Note Label"/>
    <w:uiPriority w:val="15"/>
    <w:rsid w:val="00BB19D5"/>
    <w:rPr>
      <w:rFonts w:ascii="Franklin Gothic Demi" w:hAnsi="Franklin Gothic Demi"/>
      <w:b w:val="0"/>
      <w:i w:val="0"/>
      <w:color w:val="8064A2" w:themeColor="accent4"/>
      <w:position w:val="4"/>
      <w:sz w:val="14"/>
      <w:szCs w:val="16"/>
    </w:rPr>
  </w:style>
  <w:style w:type="paragraph" w:customStyle="1" w:styleId="TableText">
    <w:name w:val="TableText"/>
    <w:basedOn w:val="Normal"/>
    <w:link w:val="TableTextChar"/>
    <w:rsid w:val="00BB19D5"/>
    <w:pPr>
      <w:keepNext/>
      <w:spacing w:before="20" w:after="20"/>
    </w:pPr>
    <w:rPr>
      <w:rFonts w:ascii="Arial Narrow" w:hAnsi="Arial Narrow"/>
      <w:color w:val="000000"/>
      <w:sz w:val="20"/>
      <w:szCs w:val="21"/>
    </w:rPr>
  </w:style>
  <w:style w:type="character" w:customStyle="1" w:styleId="TableTextChar">
    <w:name w:val="TableText Char"/>
    <w:link w:val="TableText"/>
    <w:rsid w:val="00BB19D5"/>
    <w:rPr>
      <w:rFonts w:ascii="Arial Narrow" w:eastAsia="Times New Roman" w:hAnsi="Arial Narrow"/>
      <w:color w:val="000000"/>
      <w:sz w:val="20"/>
      <w:szCs w:val="21"/>
    </w:rPr>
  </w:style>
  <w:style w:type="paragraph" w:customStyle="1" w:styleId="Source">
    <w:name w:val="Source"/>
    <w:basedOn w:val="Normal"/>
    <w:next w:val="BodyText"/>
    <w:link w:val="SourceChar"/>
    <w:uiPriority w:val="16"/>
    <w:rsid w:val="00BB19D5"/>
    <w:pPr>
      <w:keepLines/>
      <w:spacing w:before="40" w:after="60" w:line="180" w:lineRule="atLeast"/>
    </w:pPr>
    <w:rPr>
      <w:rFonts w:ascii="Franklin Gothic Book" w:hAnsi="Franklin Gothic Book"/>
      <w:sz w:val="14"/>
      <w:szCs w:val="16"/>
      <w:lang w:eastAsia="en-US"/>
    </w:rPr>
  </w:style>
  <w:style w:type="character" w:customStyle="1" w:styleId="SourceChar">
    <w:name w:val="Source Char"/>
    <w:basedOn w:val="DefaultParagraphFont"/>
    <w:link w:val="Source"/>
    <w:uiPriority w:val="16"/>
    <w:locked/>
    <w:rsid w:val="00BB19D5"/>
    <w:rPr>
      <w:rFonts w:ascii="Franklin Gothic Book" w:eastAsia="Times New Roman" w:hAnsi="Franklin Gothic Book"/>
      <w:sz w:val="14"/>
      <w:szCs w:val="16"/>
      <w:lang w:eastAsia="en-US"/>
    </w:rPr>
  </w:style>
  <w:style w:type="paragraph" w:customStyle="1" w:styleId="Note">
    <w:name w:val="Note"/>
    <w:basedOn w:val="TableTextEntries"/>
    <w:next w:val="Source"/>
    <w:link w:val="NoteCharChar"/>
    <w:uiPriority w:val="15"/>
    <w:rsid w:val="00BB19D5"/>
    <w:pPr>
      <w:spacing w:before="40" w:after="0" w:line="180" w:lineRule="atLeast"/>
    </w:pPr>
    <w:rPr>
      <w:sz w:val="14"/>
      <w:szCs w:val="16"/>
    </w:rPr>
  </w:style>
  <w:style w:type="character" w:customStyle="1" w:styleId="NoteCharChar">
    <w:name w:val="Note Char Char"/>
    <w:link w:val="Note"/>
    <w:uiPriority w:val="15"/>
    <w:rsid w:val="00BB19D5"/>
    <w:rPr>
      <w:rFonts w:ascii="Franklin Gothic Book" w:eastAsia="Times New Roman" w:hAnsi="Franklin Gothic Book"/>
      <w:sz w:val="14"/>
      <w:szCs w:val="16"/>
      <w:lang w:eastAsia="en-US"/>
    </w:rPr>
  </w:style>
  <w:style w:type="paragraph" w:customStyle="1" w:styleId="TableFigNotes0">
    <w:name w:val="TableFigNotes+0"/>
    <w:basedOn w:val="Normal"/>
    <w:rsid w:val="00BB19D5"/>
    <w:pPr>
      <w:keepNext/>
      <w:keepLines/>
      <w:ind w:left="720"/>
    </w:pPr>
    <w:rPr>
      <w:rFonts w:ascii="Arial Narrow" w:hAnsi="Arial Narrow"/>
      <w:color w:val="000000"/>
      <w:sz w:val="18"/>
      <w:szCs w:val="18"/>
    </w:rPr>
  </w:style>
  <w:style w:type="numbering" w:customStyle="1" w:styleId="ListBullets">
    <w:name w:val="ListBullets"/>
    <w:uiPriority w:val="99"/>
    <w:rsid w:val="00BB19D5"/>
    <w:pPr>
      <w:numPr>
        <w:numId w:val="33"/>
      </w:numPr>
    </w:pPr>
  </w:style>
  <w:style w:type="paragraph" w:styleId="ListBullet3">
    <w:name w:val="List Bullet 3"/>
    <w:basedOn w:val="ListBullet2"/>
    <w:uiPriority w:val="2"/>
    <w:rsid w:val="00BB19D5"/>
    <w:pPr>
      <w:numPr>
        <w:ilvl w:val="2"/>
      </w:numPr>
      <w:tabs>
        <w:tab w:val="clear" w:pos="907"/>
        <w:tab w:val="num" w:pos="2160"/>
      </w:tabs>
      <w:ind w:left="2160" w:hanging="360"/>
    </w:pPr>
  </w:style>
  <w:style w:type="paragraph" w:styleId="ListBullet">
    <w:name w:val="List Bullet"/>
    <w:basedOn w:val="BodyText"/>
    <w:link w:val="ListBulletChar"/>
    <w:uiPriority w:val="2"/>
    <w:qFormat/>
    <w:rsid w:val="00BB19D5"/>
    <w:pPr>
      <w:numPr>
        <w:numId w:val="33"/>
      </w:numPr>
      <w:spacing w:before="70"/>
    </w:pPr>
  </w:style>
  <w:style w:type="paragraph" w:styleId="ListBullet2">
    <w:name w:val="List Bullet 2"/>
    <w:basedOn w:val="ListBullet"/>
    <w:uiPriority w:val="2"/>
    <w:rsid w:val="00BB19D5"/>
    <w:pPr>
      <w:numPr>
        <w:ilvl w:val="1"/>
      </w:numPr>
      <w:tabs>
        <w:tab w:val="clear" w:pos="567"/>
        <w:tab w:val="num" w:pos="1440"/>
      </w:tabs>
      <w:spacing w:before="40"/>
      <w:ind w:left="568" w:hanging="284"/>
    </w:pPr>
  </w:style>
  <w:style w:type="paragraph" w:customStyle="1" w:styleId="TableTextColumnHeading">
    <w:name w:val="Table Text Column Heading"/>
    <w:basedOn w:val="TableDataColumnHeading"/>
    <w:uiPriority w:val="13"/>
    <w:rsid w:val="00BB19D5"/>
    <w:pPr>
      <w:jc w:val="left"/>
    </w:pPr>
  </w:style>
  <w:style w:type="paragraph" w:customStyle="1" w:styleId="TableListBullet">
    <w:name w:val="Table List Bullet"/>
    <w:basedOn w:val="TableTextEntries"/>
    <w:uiPriority w:val="14"/>
    <w:rsid w:val="00BB19D5"/>
    <w:pPr>
      <w:numPr>
        <w:numId w:val="32"/>
      </w:numPr>
      <w:spacing w:line="210" w:lineRule="atLeast"/>
    </w:pPr>
    <w:rPr>
      <w:szCs w:val="19"/>
    </w:rPr>
  </w:style>
  <w:style w:type="paragraph" w:customStyle="1" w:styleId="TableListBullet2">
    <w:name w:val="Table List Bullet 2"/>
    <w:basedOn w:val="TableListBullet"/>
    <w:uiPriority w:val="14"/>
    <w:rsid w:val="00BB19D5"/>
    <w:pPr>
      <w:numPr>
        <w:ilvl w:val="1"/>
      </w:numPr>
    </w:pPr>
  </w:style>
  <w:style w:type="paragraph" w:customStyle="1" w:styleId="TableListNumber">
    <w:name w:val="Table List Number"/>
    <w:basedOn w:val="TableTextEntries"/>
    <w:uiPriority w:val="14"/>
    <w:rsid w:val="00BB19D5"/>
    <w:pPr>
      <w:numPr>
        <w:numId w:val="30"/>
      </w:numPr>
      <w:spacing w:before="40" w:after="40"/>
    </w:pPr>
    <w:rPr>
      <w:szCs w:val="19"/>
    </w:rPr>
  </w:style>
  <w:style w:type="paragraph" w:customStyle="1" w:styleId="TableListNumber2">
    <w:name w:val="Table List Number 2"/>
    <w:basedOn w:val="TableListNumber"/>
    <w:uiPriority w:val="14"/>
    <w:rsid w:val="00BB19D5"/>
    <w:pPr>
      <w:numPr>
        <w:ilvl w:val="1"/>
      </w:numPr>
    </w:pPr>
  </w:style>
  <w:style w:type="numbering" w:customStyle="1" w:styleId="TableListBullets">
    <w:name w:val="TableListBullets"/>
    <w:uiPriority w:val="99"/>
    <w:rsid w:val="00BB19D5"/>
    <w:pPr>
      <w:numPr>
        <w:numId w:val="31"/>
      </w:numPr>
    </w:pPr>
  </w:style>
  <w:style w:type="numbering" w:customStyle="1" w:styleId="TableListNumbers">
    <w:name w:val="TableListNumbers"/>
    <w:uiPriority w:val="99"/>
    <w:rsid w:val="00BB19D5"/>
    <w:pPr>
      <w:numPr>
        <w:numId w:val="30"/>
      </w:numPr>
    </w:pPr>
  </w:style>
  <w:style w:type="character" w:customStyle="1" w:styleId="ListBulletChar">
    <w:name w:val="List Bullet Char"/>
    <w:link w:val="ListBullet"/>
    <w:uiPriority w:val="2"/>
    <w:locked/>
    <w:rsid w:val="00BB19D5"/>
    <w:rPr>
      <w:rFonts w:asciiTheme="minorHAnsi" w:eastAsia="Times New Roman" w:hAnsiTheme="minorHAnsi"/>
      <w:sz w:val="21"/>
      <w:szCs w:val="21"/>
    </w:rPr>
  </w:style>
  <w:style w:type="table" w:styleId="TableGrid">
    <w:name w:val="Table Grid"/>
    <w:basedOn w:val="TableNormal"/>
    <w:locked/>
    <w:rsid w:val="000E3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14EAB"/>
    <w:rPr>
      <w:rFonts w:eastAsia="Times New Roman"/>
      <w:sz w:val="24"/>
      <w:szCs w:val="20"/>
    </w:rPr>
  </w:style>
  <w:style w:type="paragraph" w:styleId="EndnoteText">
    <w:name w:val="endnote text"/>
    <w:basedOn w:val="Normal"/>
    <w:link w:val="EndnoteTextChar"/>
    <w:uiPriority w:val="99"/>
    <w:semiHidden/>
    <w:unhideWhenUsed/>
    <w:rsid w:val="00471DF6"/>
    <w:rPr>
      <w:sz w:val="20"/>
    </w:rPr>
  </w:style>
  <w:style w:type="character" w:customStyle="1" w:styleId="EndnoteTextChar">
    <w:name w:val="Endnote Text Char"/>
    <w:basedOn w:val="DefaultParagraphFont"/>
    <w:link w:val="EndnoteText"/>
    <w:uiPriority w:val="99"/>
    <w:semiHidden/>
    <w:rsid w:val="00471DF6"/>
    <w:rPr>
      <w:rFonts w:eastAsia="Times New Roman"/>
      <w:sz w:val="20"/>
      <w:szCs w:val="20"/>
    </w:rPr>
  </w:style>
  <w:style w:type="character" w:styleId="EndnoteReference">
    <w:name w:val="endnote reference"/>
    <w:basedOn w:val="DefaultParagraphFont"/>
    <w:uiPriority w:val="99"/>
    <w:semiHidden/>
    <w:unhideWhenUsed/>
    <w:rsid w:val="00471DF6"/>
    <w:rPr>
      <w:vertAlign w:val="superscript"/>
    </w:rPr>
  </w:style>
  <w:style w:type="paragraph" w:styleId="Title">
    <w:name w:val="Title"/>
    <w:basedOn w:val="Normal"/>
    <w:next w:val="Normal"/>
    <w:link w:val="TitleChar"/>
    <w:qFormat/>
    <w:locked/>
    <w:rsid w:val="003F5DD6"/>
    <w:pPr>
      <w:pBdr>
        <w:bottom w:val="single" w:sz="8" w:space="4" w:color="4F81BD" w:themeColor="accent1"/>
      </w:pBdr>
      <w:spacing w:after="300"/>
      <w:contextualSpacing/>
      <w:jc w:val="center"/>
    </w:pPr>
    <w:rPr>
      <w:rFonts w:ascii="Arial" w:eastAsiaTheme="majorEastAsia" w:hAnsi="Arial" w:cstheme="majorBidi"/>
      <w:b/>
      <w:kern w:val="28"/>
      <w:sz w:val="32"/>
      <w:szCs w:val="52"/>
      <w:lang w:eastAsia="en-US"/>
    </w:rPr>
  </w:style>
  <w:style w:type="character" w:customStyle="1" w:styleId="TitleChar">
    <w:name w:val="Title Char"/>
    <w:basedOn w:val="DefaultParagraphFont"/>
    <w:link w:val="Title"/>
    <w:rsid w:val="003F5DD6"/>
    <w:rPr>
      <w:rFonts w:ascii="Arial" w:eastAsiaTheme="majorEastAsia" w:hAnsi="Arial" w:cstheme="majorBidi"/>
      <w:b/>
      <w:kern w:val="28"/>
      <w:sz w:val="32"/>
      <w:szCs w:val="52"/>
      <w:lang w:eastAsia="en-US"/>
    </w:rPr>
  </w:style>
  <w:style w:type="character" w:styleId="IntenseReference">
    <w:name w:val="Intense Reference"/>
    <w:basedOn w:val="DefaultParagraphFont"/>
    <w:uiPriority w:val="32"/>
    <w:qFormat/>
    <w:rsid w:val="003F5DD6"/>
    <w:rPr>
      <w:b/>
      <w:bCs/>
      <w:i/>
      <w:smallCaps/>
      <w:color w:val="C0504D" w:themeColor="accent2"/>
      <w:spacing w:val="5"/>
      <w:u w:val="none"/>
    </w:rPr>
  </w:style>
  <w:style w:type="character" w:customStyle="1" w:styleId="textitem">
    <w:name w:val="textitem"/>
    <w:basedOn w:val="DefaultParagraphFont"/>
    <w:rsid w:val="004E015F"/>
  </w:style>
  <w:style w:type="paragraph" w:customStyle="1" w:styleId="ListBullet1">
    <w:name w:val="List Bullet1"/>
    <w:basedOn w:val="Normal"/>
    <w:uiPriority w:val="5"/>
    <w:qFormat/>
    <w:rsid w:val="00610222"/>
    <w:pPr>
      <w:numPr>
        <w:numId w:val="43"/>
      </w:numPr>
      <w:shd w:val="clear" w:color="auto" w:fill="FFFFFF" w:themeFill="background1"/>
      <w:spacing w:before="120" w:after="120" w:line="260" w:lineRule="exact"/>
      <w:contextualSpacing/>
    </w:pPr>
    <w:rPr>
      <w:rFonts w:ascii="Arial" w:hAnsi="Arial" w:cs="Arial"/>
      <w:sz w:val="20"/>
      <w:szCs w:val="24"/>
    </w:rPr>
  </w:style>
  <w:style w:type="character" w:customStyle="1" w:styleId="Heading3Char">
    <w:name w:val="Heading 3 Char"/>
    <w:basedOn w:val="DefaultParagraphFont"/>
    <w:link w:val="Heading3"/>
    <w:rsid w:val="009C5632"/>
    <w:rPr>
      <w:rFonts w:eastAsiaTheme="majorEastAsia" w:cstheme="majorBidi"/>
      <w:b/>
      <w:bCs/>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353721">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gif"/><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gif"/><Relationship Id="rId17" Type="http://schemas.openxmlformats.org/officeDocument/2006/relationships/hyperlink" Target="http://www.msac.gov.au/" TargetMode="External"/><Relationship Id="rId2" Type="http://schemas.openxmlformats.org/officeDocument/2006/relationships/numbering" Target="numbering.xml"/><Relationship Id="rId16" Type="http://schemas.openxmlformats.org/officeDocument/2006/relationships/image" Target="media/image6.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 TargetMode="External"/><Relationship Id="rId5" Type="http://schemas.openxmlformats.org/officeDocument/2006/relationships/settings" Target="settings.xml"/><Relationship Id="rId15" Type="http://schemas.openxmlformats.org/officeDocument/2006/relationships/image" Target="media/image5.gif"/><Relationship Id="rId10" Type="http://schemas.openxmlformats.org/officeDocument/2006/relationships/hyperlink" Target="http://www.msac.gov.a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gif"/><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BBAD4-B494-455A-A10F-F24139A07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E2A93900.dotm</Template>
  <TotalTime>0</TotalTime>
  <Pages>11</Pages>
  <Words>3430</Words>
  <Characters>17607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2017-02-10T03:09:00Z</dcterms:created>
  <dcterms:modified xsi:type="dcterms:W3CDTF">2017-06-05T05:38:00Z</dcterms:modified>
</cp:coreProperties>
</file>