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E342D" w14:textId="77777777" w:rsidR="00E44B80" w:rsidRPr="00F637B3" w:rsidRDefault="00E44B80" w:rsidP="00E44B80">
      <w:pPr>
        <w:jc w:val="center"/>
        <w:rPr>
          <w:b/>
          <w:szCs w:val="20"/>
        </w:rPr>
      </w:pPr>
      <w:bookmarkStart w:id="0" w:name="_GoBack"/>
      <w:bookmarkEnd w:id="0"/>
      <w:r w:rsidRPr="00F637B3">
        <w:rPr>
          <w:b/>
          <w:noProof/>
          <w:szCs w:val="20"/>
          <w:lang w:eastAsia="en-AU"/>
        </w:rPr>
        <w:drawing>
          <wp:inline distT="0" distB="0" distL="0" distR="0" wp14:anchorId="013C9EA5" wp14:editId="0D9ED525">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18B44CE9" w14:textId="77777777" w:rsidR="008B2610" w:rsidRDefault="008B2610" w:rsidP="00F971CC">
      <w:pPr>
        <w:pStyle w:val="Title"/>
        <w:spacing w:before="2600"/>
      </w:pPr>
      <w:r w:rsidRPr="001906CD">
        <w:t>Application Form</w:t>
      </w:r>
    </w:p>
    <w:p w14:paraId="57F740B6" w14:textId="77777777" w:rsidR="0056015F" w:rsidRDefault="0056015F" w:rsidP="0056015F"/>
    <w:p w14:paraId="437A7D8E" w14:textId="32903A45" w:rsidR="0056015F" w:rsidRPr="0056015F" w:rsidRDefault="00094CF6" w:rsidP="0056015F">
      <w:pPr>
        <w:pStyle w:val="TitleBlue"/>
      </w:pPr>
      <w:r>
        <w:t>T</w:t>
      </w:r>
      <w:r w:rsidRPr="00094CF6">
        <w:t>ranscatheter occlusion of the left atrial appendage for patients with non-valvular atrial fibrillation</w:t>
      </w:r>
    </w:p>
    <w:p w14:paraId="3132280D" w14:textId="0DA3B0CB" w:rsidR="00E44B80" w:rsidRPr="00D73646" w:rsidRDefault="00E44B80" w:rsidP="001E6A32">
      <w:pPr>
        <w:pStyle w:val="Title"/>
        <w:spacing w:before="240"/>
        <w:rPr>
          <w:sz w:val="28"/>
          <w:szCs w:val="28"/>
        </w:rPr>
      </w:pPr>
      <w:r w:rsidRPr="00D73646">
        <w:rPr>
          <w:sz w:val="28"/>
          <w:szCs w:val="28"/>
        </w:rPr>
        <w:t>(</w:t>
      </w:r>
      <w:r w:rsidR="001906CD" w:rsidRPr="00D73646">
        <w:rPr>
          <w:sz w:val="28"/>
          <w:szCs w:val="28"/>
        </w:rPr>
        <w:t>New and</w:t>
      </w:r>
      <w:r w:rsidR="001E6A32">
        <w:rPr>
          <w:sz w:val="28"/>
          <w:szCs w:val="28"/>
        </w:rPr>
        <w:t>/</w:t>
      </w:r>
      <w:r w:rsidR="00554E7A">
        <w:rPr>
          <w:sz w:val="28"/>
          <w:szCs w:val="28"/>
        </w:rPr>
        <w:t>or</w:t>
      </w:r>
      <w:r w:rsidR="001906CD" w:rsidRPr="00D73646">
        <w:rPr>
          <w:sz w:val="28"/>
          <w:szCs w:val="28"/>
        </w:rPr>
        <w:t xml:space="preserve"> Amended</w:t>
      </w:r>
      <w:r w:rsidR="001E6A32">
        <w:rPr>
          <w:sz w:val="28"/>
          <w:szCs w:val="28"/>
        </w:rPr>
        <w:t xml:space="preserve"> </w:t>
      </w:r>
      <w:r w:rsidR="00554E7A">
        <w:rPr>
          <w:sz w:val="28"/>
          <w:szCs w:val="28"/>
        </w:rPr>
        <w:t>Request</w:t>
      </w:r>
      <w:r w:rsidR="003433D1" w:rsidRPr="00D73646">
        <w:rPr>
          <w:sz w:val="28"/>
          <w:szCs w:val="28"/>
        </w:rPr>
        <w:t xml:space="preserve"> for Public Funding</w:t>
      </w:r>
      <w:r w:rsidR="008B2610" w:rsidRPr="00D73646">
        <w:rPr>
          <w:sz w:val="28"/>
          <w:szCs w:val="28"/>
        </w:rPr>
        <w:t>)</w:t>
      </w:r>
    </w:p>
    <w:p w14:paraId="5C691090" w14:textId="77777777" w:rsidR="00E04FB3" w:rsidRPr="00C776B1" w:rsidRDefault="00D73646" w:rsidP="0056015F">
      <w:pPr>
        <w:pStyle w:val="Heading1"/>
      </w:pPr>
      <w:bookmarkStart w:id="1" w:name="_Toc443555803"/>
      <w:r>
        <w:rPr>
          <w:rStyle w:val="IntenseReference"/>
        </w:rPr>
        <w:br w:type="page"/>
      </w:r>
      <w:bookmarkEnd w:id="1"/>
      <w:r w:rsidR="00494011">
        <w:lastRenderedPageBreak/>
        <w:t>PART 1</w:t>
      </w:r>
      <w:r w:rsidR="00F93784">
        <w:t xml:space="preserve"> – </w:t>
      </w:r>
      <w:r w:rsidR="00E04FB3" w:rsidRPr="00C776B1">
        <w:t>APPLICANT DETAILS</w:t>
      </w:r>
    </w:p>
    <w:p w14:paraId="45AD4964"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0D92D139" w14:textId="6FFD59D9" w:rsidR="003A65A8"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r w:rsidR="003A65A8">
        <w:t xml:space="preserve">Joint application by Abbott </w:t>
      </w:r>
      <w:r w:rsidR="008E1ADC">
        <w:t xml:space="preserve">Australasia </w:t>
      </w:r>
      <w:r w:rsidR="003A65A8">
        <w:t>and Boston Scientific</w:t>
      </w:r>
    </w:p>
    <w:p w14:paraId="65C52F46" w14:textId="77777777" w:rsidR="008E1ADC" w:rsidRDefault="008E1ADC" w:rsidP="008E1ADC">
      <w:pPr>
        <w:pBdr>
          <w:top w:val="single" w:sz="4" w:space="1" w:color="auto"/>
          <w:left w:val="single" w:sz="4" w:space="4" w:color="auto"/>
          <w:bottom w:val="single" w:sz="4" w:space="1" w:color="auto"/>
          <w:right w:val="single" w:sz="4" w:space="4" w:color="auto"/>
        </w:pBdr>
      </w:pPr>
      <w:r>
        <w:t>Corporation name: Boston Scientific</w:t>
      </w:r>
    </w:p>
    <w:p w14:paraId="58B3853E" w14:textId="77777777" w:rsidR="008E1ADC" w:rsidRDefault="008E1ADC" w:rsidP="008E1ADC">
      <w:pPr>
        <w:pBdr>
          <w:top w:val="single" w:sz="4" w:space="1" w:color="auto"/>
          <w:left w:val="single" w:sz="4" w:space="4" w:color="auto"/>
          <w:bottom w:val="single" w:sz="4" w:space="1" w:color="auto"/>
          <w:right w:val="single" w:sz="4" w:space="4" w:color="auto"/>
        </w:pBdr>
      </w:pPr>
      <w:r>
        <w:t>ABN: 45071 676 063</w:t>
      </w:r>
    </w:p>
    <w:p w14:paraId="32E40005" w14:textId="291F9D88" w:rsidR="008E1ADC" w:rsidRDefault="008E1ADC" w:rsidP="001E6A32">
      <w:pPr>
        <w:pBdr>
          <w:top w:val="single" w:sz="4" w:space="1" w:color="auto"/>
          <w:left w:val="single" w:sz="4" w:space="4" w:color="auto"/>
          <w:bottom w:val="single" w:sz="4" w:space="1" w:color="auto"/>
          <w:right w:val="single" w:sz="4" w:space="4" w:color="auto"/>
        </w:pBdr>
        <w:spacing w:before="240"/>
      </w:pPr>
      <w:r>
        <w:t>Business trading name: Boston Scientific Pty Ltd</w:t>
      </w:r>
    </w:p>
    <w:p w14:paraId="6652E0F3" w14:textId="77777777" w:rsidR="008E1ADC" w:rsidRDefault="008E1ADC" w:rsidP="008E1ADC">
      <w:pPr>
        <w:pBdr>
          <w:top w:val="single" w:sz="4" w:space="1" w:color="auto"/>
          <w:left w:val="single" w:sz="4" w:space="4" w:color="auto"/>
          <w:bottom w:val="single" w:sz="4" w:space="1" w:color="auto"/>
          <w:right w:val="single" w:sz="4" w:space="4" w:color="auto"/>
        </w:pBdr>
      </w:pPr>
      <w:r>
        <w:t xml:space="preserve">Corporation name: Abbott Australasia Pty Ltd. </w:t>
      </w:r>
    </w:p>
    <w:p w14:paraId="148CB085" w14:textId="77777777" w:rsidR="008E1ADC" w:rsidRDefault="008E1ADC" w:rsidP="008E1ADC">
      <w:pPr>
        <w:pBdr>
          <w:top w:val="single" w:sz="4" w:space="1" w:color="auto"/>
          <w:left w:val="single" w:sz="4" w:space="4" w:color="auto"/>
          <w:bottom w:val="single" w:sz="4" w:space="1" w:color="auto"/>
          <w:right w:val="single" w:sz="4" w:space="4" w:color="auto"/>
        </w:pBdr>
      </w:pPr>
      <w:r>
        <w:t>ABN: 95 000 180 389</w:t>
      </w:r>
    </w:p>
    <w:p w14:paraId="22ACC085" w14:textId="7381ACF1" w:rsidR="008E1ADC" w:rsidRDefault="008E1ADC" w:rsidP="008E1ADC">
      <w:pPr>
        <w:pBdr>
          <w:top w:val="single" w:sz="4" w:space="1" w:color="auto"/>
          <w:left w:val="single" w:sz="4" w:space="4" w:color="auto"/>
          <w:bottom w:val="single" w:sz="4" w:space="1" w:color="auto"/>
          <w:right w:val="single" w:sz="4" w:space="4" w:color="auto"/>
        </w:pBdr>
      </w:pPr>
      <w:r>
        <w:t>Business trading name: Abbott Vascular</w:t>
      </w:r>
    </w:p>
    <w:p w14:paraId="29D05714" w14:textId="77777777" w:rsidR="00C171FB" w:rsidRPr="00C171FB" w:rsidRDefault="00C171FB" w:rsidP="00C171FB"/>
    <w:p w14:paraId="38A96139" w14:textId="14FC2959" w:rsidR="00C171FB" w:rsidRPr="00C171FB" w:rsidRDefault="00C171FB" w:rsidP="00C171FB">
      <w:pPr>
        <w:rPr>
          <w:b/>
        </w:rPr>
      </w:pPr>
      <w:r>
        <w:rPr>
          <w:b/>
        </w:rPr>
        <w:t>Primary contact name</w:t>
      </w:r>
      <w:r w:rsidR="0039246B" w:rsidRPr="0039246B">
        <w:rPr>
          <w:color w:val="000000"/>
        </w:rPr>
        <w:t xml:space="preserve"> </w:t>
      </w:r>
      <w:r w:rsidR="0039246B">
        <w:rPr>
          <w:color w:val="000000"/>
        </w:rPr>
        <w:t>REDACTED</w:t>
      </w:r>
    </w:p>
    <w:p w14:paraId="5503A212"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076D68A1" w14:textId="79F70809"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39246B">
        <w:rPr>
          <w:color w:val="000000"/>
        </w:rPr>
        <w:t>REDACTED</w:t>
      </w:r>
    </w:p>
    <w:p w14:paraId="0B53A509" w14:textId="61EDC6F8" w:rsidR="00C171FB" w:rsidRDefault="00C171FB" w:rsidP="00C171FB">
      <w:pPr>
        <w:pBdr>
          <w:top w:val="single" w:sz="4" w:space="1" w:color="auto"/>
          <w:left w:val="single" w:sz="4" w:space="4" w:color="auto"/>
          <w:bottom w:val="single" w:sz="4" w:space="1" w:color="auto"/>
          <w:right w:val="single" w:sz="4" w:space="4" w:color="auto"/>
        </w:pBdr>
      </w:pPr>
      <w:r>
        <w:t>Mobile:</w:t>
      </w:r>
      <w:r>
        <w:tab/>
      </w:r>
      <w:r w:rsidR="0039246B">
        <w:rPr>
          <w:color w:val="000000"/>
        </w:rPr>
        <w:t>REDACTED</w:t>
      </w:r>
    </w:p>
    <w:p w14:paraId="44306994" w14:textId="1D29A6B9" w:rsidR="00C171FB" w:rsidRDefault="00C171FB" w:rsidP="0039246B">
      <w:pPr>
        <w:pBdr>
          <w:top w:val="single" w:sz="4" w:space="1" w:color="auto"/>
          <w:left w:val="single" w:sz="4" w:space="4" w:color="auto"/>
          <w:bottom w:val="single" w:sz="4" w:space="1" w:color="auto"/>
          <w:right w:val="single" w:sz="4" w:space="4" w:color="auto"/>
        </w:pBdr>
        <w:rPr>
          <w:b/>
        </w:rPr>
      </w:pPr>
      <w:r>
        <w:t xml:space="preserve">Email: </w:t>
      </w:r>
      <w:r w:rsidR="0039246B">
        <w:rPr>
          <w:color w:val="000000"/>
        </w:rPr>
        <w:t>REDACTED</w:t>
      </w:r>
    </w:p>
    <w:p w14:paraId="104F27F6" w14:textId="313ADCDF" w:rsidR="00C171FB" w:rsidRPr="00C171FB" w:rsidRDefault="00C171FB" w:rsidP="00C171FB">
      <w:pPr>
        <w:rPr>
          <w:b/>
        </w:rPr>
      </w:pPr>
      <w:r>
        <w:rPr>
          <w:b/>
        </w:rPr>
        <w:t xml:space="preserve">Alternative contact name: </w:t>
      </w:r>
      <w:r w:rsidR="0039246B">
        <w:rPr>
          <w:color w:val="000000"/>
        </w:rPr>
        <w:t>REDACTED</w:t>
      </w:r>
    </w:p>
    <w:p w14:paraId="47BCD000" w14:textId="1A24DD56"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p>
    <w:p w14:paraId="31845C5A" w14:textId="15D14E3C"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39246B">
        <w:rPr>
          <w:color w:val="000000"/>
        </w:rPr>
        <w:t>REDACTED</w:t>
      </w:r>
    </w:p>
    <w:p w14:paraId="19D5ED5E" w14:textId="0835AB8C"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39246B">
        <w:rPr>
          <w:color w:val="000000"/>
        </w:rPr>
        <w:t>REDACTED</w:t>
      </w:r>
    </w:p>
    <w:p w14:paraId="3EFFE04D" w14:textId="77777777" w:rsidR="00C171FB" w:rsidRPr="00C171FB" w:rsidRDefault="00C171FB" w:rsidP="00C171FB"/>
    <w:p w14:paraId="794CC9CE" w14:textId="77777777" w:rsidR="00534C5F" w:rsidRPr="00154B00" w:rsidRDefault="00494011" w:rsidP="004A0BF4">
      <w:pPr>
        <w:pStyle w:val="Heading2"/>
      </w:pPr>
      <w:r>
        <w:t xml:space="preserve">(a) </w:t>
      </w:r>
      <w:r w:rsidR="00534C5F">
        <w:t>Are you a lobbyist acting on behalf of an Applicant?</w:t>
      </w:r>
    </w:p>
    <w:p w14:paraId="11E6C9E4" w14:textId="592B675B" w:rsidR="00A6491A" w:rsidRDefault="003A65A8"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A6491A">
        <w:rPr>
          <w:szCs w:val="20"/>
        </w:rPr>
        <w:t xml:space="preserve"> Yes</w:t>
      </w:r>
    </w:p>
    <w:p w14:paraId="5DDBF296"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No</w:t>
      </w:r>
      <w:r w:rsidRPr="00753C44">
        <w:rPr>
          <w:szCs w:val="20"/>
        </w:rPr>
        <w:t xml:space="preserve">  </w:t>
      </w:r>
    </w:p>
    <w:p w14:paraId="59F65EA0"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5B98FCCF" w14:textId="69399F0B" w:rsidR="00A6491A" w:rsidRDefault="003A65A8"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A6491A">
        <w:rPr>
          <w:szCs w:val="20"/>
        </w:rPr>
        <w:t xml:space="preserve"> Yes</w:t>
      </w:r>
    </w:p>
    <w:p w14:paraId="1727857E"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No</w:t>
      </w:r>
      <w:r w:rsidRPr="00753C44">
        <w:rPr>
          <w:szCs w:val="20"/>
        </w:rPr>
        <w:t xml:space="preserve">  </w:t>
      </w:r>
    </w:p>
    <w:p w14:paraId="6238E2A7" w14:textId="77777777" w:rsidR="00E04FB3" w:rsidRDefault="00E04FB3" w:rsidP="005C333E">
      <w:pPr>
        <w:spacing w:before="0" w:after="0"/>
        <w:ind w:left="426"/>
        <w:rPr>
          <w:b/>
          <w:szCs w:val="20"/>
        </w:rPr>
      </w:pPr>
      <w:r w:rsidRPr="00154B00">
        <w:rPr>
          <w:b/>
          <w:szCs w:val="20"/>
        </w:rPr>
        <w:br w:type="page"/>
      </w:r>
    </w:p>
    <w:p w14:paraId="3B5BFD21"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530ABA5F" w14:textId="77777777" w:rsidR="000B3CD0" w:rsidRDefault="000B3CD0" w:rsidP="00730C04">
      <w:pPr>
        <w:pStyle w:val="Heading2"/>
      </w:pPr>
      <w:r w:rsidRPr="00154B00">
        <w:t>Application title</w:t>
      </w:r>
      <w:r w:rsidR="00A8732C">
        <w:t xml:space="preserve"> </w:t>
      </w:r>
    </w:p>
    <w:p w14:paraId="5D9CB11E" w14:textId="1F24D911" w:rsidR="009056C5" w:rsidRPr="009056C5" w:rsidRDefault="004A5A87" w:rsidP="00A6491A">
      <w:pPr>
        <w:ind w:left="284"/>
      </w:pPr>
      <w:r w:rsidRPr="004A5A87">
        <w:t xml:space="preserve">Transcatheter occlusion of the left atrial appendage </w:t>
      </w:r>
      <w:r w:rsidR="00010381">
        <w:t xml:space="preserve">(LAA) </w:t>
      </w:r>
      <w:r w:rsidRPr="004A5A87">
        <w:t>for patients with non-valvular atrial fibrillation</w:t>
      </w:r>
      <w:r>
        <w:t xml:space="preserve"> (NVAF) who have relative contraindications to oral anticoagulant therapy (OAT)</w:t>
      </w:r>
    </w:p>
    <w:p w14:paraId="5F43A73C" w14:textId="41A5AA12"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0B7A49D0" w14:textId="79906F1F" w:rsidR="00010381" w:rsidRPr="00010381" w:rsidRDefault="00010381" w:rsidP="00010381">
      <w:pPr>
        <w:ind w:left="284"/>
      </w:pPr>
      <w:r w:rsidRPr="004A5A87">
        <w:t>Atrial Fibrillation (AF) is the most common sustained cardiac arrhythmia and a key risk factor for ischaemic strokes. A thrombus can form when blood becomes trapped in the LAA due to fibrillation. When the thrombus becomes dislodged it migrates through the arterial system towards the brain, resulting in vascular occlusion from the thromboembolism which may cause an ischemic stroke. Ischemic strokes can lead to a large number of complications including hemi-paralysis, speech deficits, dysphasia, and even death.</w:t>
      </w:r>
    </w:p>
    <w:p w14:paraId="09D17D16"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52D1780F" w14:textId="3D5178B4" w:rsidR="00010381" w:rsidRDefault="00010381" w:rsidP="00010381">
      <w:pPr>
        <w:ind w:left="284"/>
      </w:pPr>
      <w:r>
        <w:t>The medical service is the percutaneous insertion of a left atrial appendage closure (LAAC) device to occlude the left atrial appendage (LAA) in patients with non-valvular atrial fibrillation (NVAF). The LAA is the primary source for thromboembolism in patients with NVAF. The procedure aims at preventing stroke and systemic thromboembolism by closing off the LAA permanently to avoid the formation and migration of emboli to the brain.</w:t>
      </w:r>
    </w:p>
    <w:p w14:paraId="48F7AF7D" w14:textId="77777777" w:rsidR="00010381" w:rsidRDefault="00010381" w:rsidP="00010381">
      <w:pPr>
        <w:ind w:left="284"/>
      </w:pPr>
      <w:r>
        <w:t>The implantation procedure uses standard transseptal techniques. The access sheath and delivery catheter permit device placement in the LAA via femoral venous access and inter-atrial septum crossing into the left atrium. The device is unsheathed when in the appropriate position.</w:t>
      </w:r>
    </w:p>
    <w:p w14:paraId="611438A8" w14:textId="77777777" w:rsidR="00010381" w:rsidRPr="009056C5" w:rsidRDefault="00010381" w:rsidP="00010381">
      <w:pPr>
        <w:ind w:left="284"/>
      </w:pPr>
      <w:r>
        <w:t>The procedure is performed under local or general anaesthesia by an interventional cardiologist or cardiac electrophysiologist in a catheterisation laboratory under guidance of fluoroscopy and TOE. The procedure takes approximately 60 minutes.</w:t>
      </w:r>
    </w:p>
    <w:p w14:paraId="44B86459" w14:textId="6B66D3E8" w:rsidR="00CB12EC" w:rsidRPr="00CB12EC" w:rsidRDefault="00CB12EC" w:rsidP="00A6491A">
      <w:pPr>
        <w:ind w:left="284"/>
      </w:pPr>
    </w:p>
    <w:p w14:paraId="70EE7C60"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08266B1C" w14:textId="484E6216" w:rsidR="00753C44" w:rsidRDefault="004A5A87" w:rsidP="00A6491A">
      <w:pPr>
        <w:spacing w:before="0" w:after="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0F19CE">
        <w:rPr>
          <w:szCs w:val="20"/>
        </w:rPr>
      </w:r>
      <w:r w:rsidR="000F19CE">
        <w:rPr>
          <w:szCs w:val="20"/>
        </w:rPr>
        <w:fldChar w:fldCharType="separate"/>
      </w:r>
      <w:r>
        <w:rPr>
          <w:szCs w:val="20"/>
        </w:rPr>
        <w:fldChar w:fldCharType="end"/>
      </w:r>
      <w:bookmarkEnd w:id="2"/>
      <w:r w:rsidR="006B6390">
        <w:rPr>
          <w:szCs w:val="20"/>
        </w:rPr>
        <w:t xml:space="preserve"> Yes</w:t>
      </w:r>
    </w:p>
    <w:p w14:paraId="44E7CAF1" w14:textId="77777777" w:rsidR="00753C44" w:rsidRPr="00753C44" w:rsidRDefault="006B6390" w:rsidP="00A6491A">
      <w:pPr>
        <w:spacing w:before="0" w:after="0"/>
        <w:ind w:left="284"/>
        <w:rPr>
          <w:szCs w:val="20"/>
        </w:rPr>
      </w:pPr>
      <w:r w:rsidRPr="00753C44">
        <w:rPr>
          <w:szCs w:val="20"/>
        </w:rPr>
        <w:lastRenderedPageBreak/>
        <w:fldChar w:fldCharType="begin">
          <w:ffData>
            <w:name w:val="Check2"/>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0B615B1E"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30F14007" w14:textId="7115DED8" w:rsidR="00753C44" w:rsidRDefault="004A5A87" w:rsidP="00A6491A">
      <w:pPr>
        <w:spacing w:before="0" w:after="0"/>
        <w:ind w:left="284"/>
        <w:rPr>
          <w:szCs w:val="20"/>
        </w:rPr>
      </w:pPr>
      <w:r>
        <w:rPr>
          <w:szCs w:val="20"/>
        </w:rPr>
        <w:fldChar w:fldCharType="begin">
          <w:ffData>
            <w:name w:val="Check2"/>
            <w:enabled/>
            <w:calcOnExit w:val="0"/>
            <w:checkBox>
              <w:sizeAuto/>
              <w:default w:val="1"/>
            </w:checkBox>
          </w:ffData>
        </w:fldChar>
      </w:r>
      <w:bookmarkStart w:id="3" w:name="Check2"/>
      <w:r>
        <w:rPr>
          <w:szCs w:val="20"/>
        </w:rPr>
        <w:instrText xml:space="preserve"> FORMCHECKBOX </w:instrText>
      </w:r>
      <w:r w:rsidR="000F19CE">
        <w:rPr>
          <w:szCs w:val="20"/>
        </w:rPr>
      </w:r>
      <w:r w:rsidR="000F19CE">
        <w:rPr>
          <w:szCs w:val="20"/>
        </w:rPr>
        <w:fldChar w:fldCharType="separate"/>
      </w:r>
      <w:r>
        <w:rPr>
          <w:szCs w:val="20"/>
        </w:rPr>
        <w:fldChar w:fldCharType="end"/>
      </w:r>
      <w:bookmarkEnd w:id="3"/>
      <w:r w:rsidR="006B6390">
        <w:rPr>
          <w:szCs w:val="20"/>
        </w:rPr>
        <w:t xml:space="preserve"> </w:t>
      </w:r>
      <w:r w:rsidR="00753C44" w:rsidRPr="00154B00">
        <w:rPr>
          <w:szCs w:val="20"/>
        </w:rPr>
        <w:t>Amendment to existing MBS item</w:t>
      </w:r>
      <w:r w:rsidR="00753C44">
        <w:rPr>
          <w:szCs w:val="20"/>
        </w:rPr>
        <w:t>(s)</w:t>
      </w:r>
    </w:p>
    <w:p w14:paraId="323213E0"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w:t>
      </w:r>
      <w:r w:rsidR="00753C44" w:rsidRPr="00154B00">
        <w:rPr>
          <w:szCs w:val="20"/>
        </w:rPr>
        <w:t>New MBS item</w:t>
      </w:r>
      <w:r w:rsidR="00753C44">
        <w:rPr>
          <w:szCs w:val="20"/>
        </w:rPr>
        <w:t>(s)</w:t>
      </w:r>
    </w:p>
    <w:p w14:paraId="46314F38"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6CB8DED3" w14:textId="4BB6D3AA" w:rsidR="003D795C" w:rsidRPr="00CB12EC" w:rsidRDefault="004A5A87" w:rsidP="00A6491A">
      <w:pPr>
        <w:ind w:left="284"/>
      </w:pPr>
      <w:r>
        <w:t xml:space="preserve">The relevant MBS item number is </w:t>
      </w:r>
      <w:r w:rsidRPr="004A5A87">
        <w:t>38276</w:t>
      </w:r>
      <w:r>
        <w:t>, which has been listed on the MBS since 1 November 2017.</w:t>
      </w:r>
    </w:p>
    <w:p w14:paraId="0B49296F"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10C746A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47EDC7B6" w14:textId="0F5597D5" w:rsidR="002A270B" w:rsidRPr="004A263B" w:rsidRDefault="004A5A87" w:rsidP="004A263B">
      <w:pPr>
        <w:pStyle w:val="ListParagraph"/>
        <w:numPr>
          <w:ilvl w:val="0"/>
          <w:numId w:val="34"/>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0F19CE">
        <w:rPr>
          <w:b/>
          <w:szCs w:val="20"/>
        </w:rPr>
      </w:r>
      <w:r w:rsidR="000F19CE">
        <w:rPr>
          <w:b/>
          <w:szCs w:val="20"/>
        </w:rPr>
        <w:fldChar w:fldCharType="separate"/>
      </w:r>
      <w:r>
        <w:rPr>
          <w:b/>
          <w:szCs w:val="20"/>
        </w:rPr>
        <w:fldChar w:fldCharType="end"/>
      </w:r>
      <w:r w:rsidR="002A270B" w:rsidRPr="004A263B">
        <w:rPr>
          <w:b/>
          <w:szCs w:val="20"/>
        </w:rPr>
        <w:t xml:space="preserve"> </w:t>
      </w:r>
      <w:r w:rsidR="002A270B" w:rsidRPr="004A263B">
        <w:rPr>
          <w:rStyle w:val="Strong"/>
          <w:b w:val="0"/>
        </w:rPr>
        <w:t>An amendment to the patient population under the existing item(s)</w:t>
      </w:r>
    </w:p>
    <w:p w14:paraId="08136B8F"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6C1209A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0B08B75E"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686F3C1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0E60CE8B"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32E066F7"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65DADB9C"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0F19CE">
        <w:rPr>
          <w:b/>
          <w:szCs w:val="20"/>
        </w:rPr>
      </w:r>
      <w:r w:rsidR="000F19CE">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1827CD43" w14:textId="61AE88C3" w:rsidR="002A270B" w:rsidRPr="00CB12EC" w:rsidRDefault="002A270B" w:rsidP="00A6491A">
      <w:pPr>
        <w:ind w:left="284"/>
      </w:pPr>
    </w:p>
    <w:p w14:paraId="49FA31CC"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1E552A44"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0F19CE">
        <w:rPr>
          <w:b/>
          <w:szCs w:val="20"/>
        </w:rPr>
      </w:r>
      <w:r w:rsidR="000F19CE">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44432D4C"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0F19CE">
        <w:rPr>
          <w:b/>
          <w:szCs w:val="20"/>
        </w:rPr>
      </w:r>
      <w:r w:rsidR="000F19CE">
        <w:rPr>
          <w:b/>
          <w:szCs w:val="20"/>
        </w:rPr>
        <w:fldChar w:fldCharType="separate"/>
      </w:r>
      <w:r w:rsidRPr="00AA2CFE">
        <w:rPr>
          <w:b/>
          <w:szCs w:val="20"/>
        </w:rPr>
        <w:fldChar w:fldCharType="end"/>
      </w:r>
      <w:r w:rsidRPr="00AA2CFE">
        <w:rPr>
          <w:b/>
          <w:szCs w:val="20"/>
        </w:rPr>
        <w:t xml:space="preserve"> </w:t>
      </w:r>
      <w:r w:rsidRPr="00AA2CFE">
        <w:rPr>
          <w:rStyle w:val="Strong"/>
          <w:b w:val="0"/>
        </w:rPr>
        <w:t>A new item that is proposing a way of clinically delivering a service that is new to the MBS (in terms of new technology and / or population)</w:t>
      </w:r>
    </w:p>
    <w:p w14:paraId="602D981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0F19CE">
        <w:rPr>
          <w:b/>
          <w:szCs w:val="20"/>
        </w:rPr>
      </w:r>
      <w:r w:rsidR="000F19C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5030C89A"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0F19CE">
        <w:rPr>
          <w:b/>
          <w:szCs w:val="20"/>
        </w:rPr>
      </w:r>
      <w:r w:rsidR="000F19C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7A8CADC2"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01F2E850"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Yes</w:t>
      </w:r>
    </w:p>
    <w:p w14:paraId="5EC6E9DA" w14:textId="4833C586" w:rsidR="00626365" w:rsidRDefault="004A5A87"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0A5B32" w:rsidRPr="000A5B32">
        <w:rPr>
          <w:szCs w:val="20"/>
        </w:rPr>
        <w:t xml:space="preserve"> No</w:t>
      </w:r>
    </w:p>
    <w:p w14:paraId="10063128" w14:textId="7812EF19" w:rsidR="00626365" w:rsidRDefault="00626365" w:rsidP="00626365">
      <w:pPr>
        <w:spacing w:before="0" w:after="0"/>
        <w:ind w:left="284"/>
        <w:rPr>
          <w:szCs w:val="20"/>
        </w:rPr>
      </w:pPr>
    </w:p>
    <w:p w14:paraId="70FEF6D9"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lastRenderedPageBreak/>
        <w:t>If yes, please advise:</w:t>
      </w:r>
    </w:p>
    <w:p w14:paraId="0050D57A" w14:textId="0E78B56C" w:rsidR="000A5B32" w:rsidRPr="00855944" w:rsidRDefault="004A5A87" w:rsidP="00A6491A">
      <w:pPr>
        <w:ind w:left="284"/>
        <w:rPr>
          <w:rStyle w:val="Strong"/>
        </w:rPr>
      </w:pPr>
      <w:r>
        <w:t>N/A</w:t>
      </w:r>
    </w:p>
    <w:p w14:paraId="381A5980" w14:textId="77777777" w:rsidR="000B3CD0" w:rsidRDefault="000B3CD0" w:rsidP="00730C04">
      <w:pPr>
        <w:pStyle w:val="Heading2"/>
      </w:pPr>
      <w:r w:rsidRPr="00154B00">
        <w:t>What is the type of service:</w:t>
      </w:r>
    </w:p>
    <w:p w14:paraId="65E85579" w14:textId="170AD552" w:rsidR="00A6594E" w:rsidRDefault="004A5A87"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0F19CE">
        <w:rPr>
          <w:b/>
          <w:szCs w:val="20"/>
        </w:rPr>
      </w:r>
      <w:r w:rsidR="000F19CE">
        <w:rPr>
          <w:b/>
          <w:szCs w:val="20"/>
        </w:rPr>
        <w:fldChar w:fldCharType="separate"/>
      </w:r>
      <w:r>
        <w:rPr>
          <w:b/>
          <w:szCs w:val="20"/>
        </w:rPr>
        <w:fldChar w:fldCharType="end"/>
      </w:r>
      <w:r w:rsidR="00A6594E" w:rsidRPr="0027105F">
        <w:rPr>
          <w:b/>
          <w:szCs w:val="20"/>
        </w:rPr>
        <w:t xml:space="preserve"> </w:t>
      </w:r>
      <w:r w:rsidR="00A6594E">
        <w:t>Therapeutic medical service</w:t>
      </w:r>
    </w:p>
    <w:p w14:paraId="1D23E03F"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Investigative medical service</w:t>
      </w:r>
    </w:p>
    <w:p w14:paraId="045E89D6"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Single consultation medical service</w:t>
      </w:r>
    </w:p>
    <w:p w14:paraId="39DA8C0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Global consultation medical service</w:t>
      </w:r>
    </w:p>
    <w:p w14:paraId="103A54EA"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Allied health service</w:t>
      </w:r>
    </w:p>
    <w:p w14:paraId="28D85838"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Co-dependent technology</w:t>
      </w:r>
    </w:p>
    <w:p w14:paraId="0EBD3390" w14:textId="77777777" w:rsidR="00A6594E" w:rsidRP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Hybrid health technology</w:t>
      </w:r>
    </w:p>
    <w:p w14:paraId="0B6FDF47" w14:textId="15A66A08"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2C3E7413" w14:textId="1838B539" w:rsidR="004A5A87" w:rsidRPr="004A5A87" w:rsidRDefault="004A5A87" w:rsidP="004A5A87">
      <w:r>
        <w:t>N/A</w:t>
      </w:r>
    </w:p>
    <w:p w14:paraId="5DD5509A"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0F19CE">
        <w:rPr>
          <w:b/>
          <w:szCs w:val="20"/>
        </w:rPr>
      </w:r>
      <w:r w:rsidR="000F19CE">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5B820B6C"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0F19CE">
        <w:rPr>
          <w:b/>
          <w:szCs w:val="20"/>
        </w:rPr>
      </w:r>
      <w:r w:rsidR="000F19CE">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26FD0228"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0F19CE">
        <w:rPr>
          <w:b/>
          <w:szCs w:val="20"/>
        </w:rPr>
      </w:r>
      <w:r w:rsidR="000F19CE">
        <w:rPr>
          <w:b/>
          <w:szCs w:val="20"/>
        </w:rPr>
        <w:fldChar w:fldCharType="separate"/>
      </w:r>
      <w:r w:rsidRPr="00AF4466">
        <w:rPr>
          <w:b/>
          <w:szCs w:val="20"/>
        </w:rPr>
        <w:fldChar w:fldCharType="end"/>
      </w:r>
      <w:r w:rsidRPr="00AF4466">
        <w:rPr>
          <w:b/>
          <w:szCs w:val="20"/>
        </w:rPr>
        <w:t xml:space="preserve"> </w:t>
      </w:r>
      <w:r>
        <w:t>Provides information about prognosis</w:t>
      </w:r>
    </w:p>
    <w:p w14:paraId="53487CCA"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0F19CE">
        <w:rPr>
          <w:b/>
          <w:szCs w:val="20"/>
        </w:rPr>
      </w:r>
      <w:r w:rsidR="000F19CE">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1EE83D6F" w14:textId="77777777" w:rsidR="00A6594E" w:rsidRP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0F19CE">
        <w:rPr>
          <w:b/>
          <w:szCs w:val="20"/>
        </w:rPr>
      </w:r>
      <w:r w:rsidR="000F19CE">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4E897BF4"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0B651510"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Pharmaceutical / Biological</w:t>
      </w:r>
    </w:p>
    <w:p w14:paraId="3FE5BCFC" w14:textId="76129981" w:rsidR="00FE16C1" w:rsidRDefault="004A5A87"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0F19CE">
        <w:rPr>
          <w:b/>
          <w:szCs w:val="20"/>
        </w:rPr>
      </w:r>
      <w:r w:rsidR="000F19CE">
        <w:rPr>
          <w:b/>
          <w:szCs w:val="20"/>
        </w:rPr>
        <w:fldChar w:fldCharType="separate"/>
      </w:r>
      <w:r>
        <w:rPr>
          <w:b/>
          <w:szCs w:val="20"/>
        </w:rPr>
        <w:fldChar w:fldCharType="end"/>
      </w:r>
      <w:r w:rsidR="00FE16C1" w:rsidRPr="0027105F">
        <w:rPr>
          <w:b/>
          <w:szCs w:val="20"/>
        </w:rPr>
        <w:t xml:space="preserve"> </w:t>
      </w:r>
      <w:r w:rsidR="00FE16C1">
        <w:t>Prosthesis or device</w:t>
      </w:r>
    </w:p>
    <w:p w14:paraId="6B8FF5E6"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0F19CE">
        <w:rPr>
          <w:b/>
          <w:szCs w:val="20"/>
        </w:rPr>
      </w:r>
      <w:r w:rsidR="000F19CE">
        <w:rPr>
          <w:b/>
          <w:szCs w:val="20"/>
        </w:rPr>
        <w:fldChar w:fldCharType="separate"/>
      </w:r>
      <w:r w:rsidRPr="0027105F">
        <w:rPr>
          <w:b/>
          <w:szCs w:val="20"/>
        </w:rPr>
        <w:fldChar w:fldCharType="end"/>
      </w:r>
      <w:r w:rsidRPr="0027105F">
        <w:rPr>
          <w:b/>
          <w:szCs w:val="20"/>
        </w:rPr>
        <w:t xml:space="preserve"> </w:t>
      </w:r>
      <w:r>
        <w:t>No</w:t>
      </w:r>
    </w:p>
    <w:p w14:paraId="0CD9570B"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08ECF66C"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Yes</w:t>
      </w:r>
    </w:p>
    <w:p w14:paraId="267FA8F2" w14:textId="77777777" w:rsidR="007E53B3" w:rsidRDefault="00FE16C1" w:rsidP="007E53B3">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007E53B3">
        <w:rPr>
          <w:szCs w:val="20"/>
        </w:rPr>
        <w:t xml:space="preserve"> No</w:t>
      </w:r>
    </w:p>
    <w:p w14:paraId="4BBA68D9" w14:textId="00FDDFCF" w:rsidR="004A5A87" w:rsidRPr="00FE16C1" w:rsidRDefault="004A5A87" w:rsidP="007E53B3">
      <w:pPr>
        <w:spacing w:before="0" w:after="0"/>
        <w:ind w:left="284"/>
        <w:rPr>
          <w:szCs w:val="20"/>
        </w:rPr>
      </w:pPr>
      <w:r>
        <w:rPr>
          <w:szCs w:val="20"/>
        </w:rPr>
        <w:t>N/A</w:t>
      </w:r>
    </w:p>
    <w:p w14:paraId="3ECB9609"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2347AF3D" w14:textId="5CADFD6F" w:rsidR="007E39E4" w:rsidRPr="007E39E4" w:rsidRDefault="004A5A87" w:rsidP="00A6491A">
      <w:pPr>
        <w:ind w:left="284"/>
        <w:rPr>
          <w:b/>
          <w:szCs w:val="20"/>
        </w:rPr>
      </w:pPr>
      <w:r>
        <w:t>N/A</w:t>
      </w:r>
    </w:p>
    <w:p w14:paraId="101A7415"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61E3F097"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0091BC15"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001E6919">
        <w:rPr>
          <w:szCs w:val="20"/>
        </w:rPr>
        <w:t xml:space="preserve"> No</w:t>
      </w:r>
    </w:p>
    <w:p w14:paraId="71E92254" w14:textId="219D11F5" w:rsidR="001E6919" w:rsidRPr="007E39E4" w:rsidRDefault="004A5A87" w:rsidP="00A6491A">
      <w:pPr>
        <w:spacing w:before="0" w:after="0"/>
        <w:ind w:left="284"/>
        <w:rPr>
          <w:szCs w:val="20"/>
        </w:rPr>
      </w:pPr>
      <w:r>
        <w:t>N/A</w:t>
      </w:r>
    </w:p>
    <w:p w14:paraId="17D6F345" w14:textId="77777777" w:rsidR="000E5439" w:rsidRDefault="000E5439" w:rsidP="00530204">
      <w:pPr>
        <w:pStyle w:val="Heading2"/>
        <w:numPr>
          <w:ilvl w:val="0"/>
          <w:numId w:val="25"/>
        </w:numPr>
      </w:pPr>
      <w:r w:rsidRPr="007E39E4">
        <w:lastRenderedPageBreak/>
        <w:t>If you are seeking both MBS and PBS listing</w:t>
      </w:r>
      <w:r w:rsidR="00B75965" w:rsidRPr="007E39E4">
        <w:t>, what is the trade name and generic name of the pharmaceutical?</w:t>
      </w:r>
    </w:p>
    <w:p w14:paraId="2C3F5BBC" w14:textId="71C8732D" w:rsidR="001E6958" w:rsidRDefault="001E6958" w:rsidP="00A6491A">
      <w:pPr>
        <w:spacing w:before="0" w:after="0"/>
        <w:ind w:left="284"/>
      </w:pPr>
      <w:r>
        <w:t xml:space="preserve">Trade name: </w:t>
      </w:r>
      <w:r w:rsidR="004A5A87">
        <w:t>N/A</w:t>
      </w:r>
    </w:p>
    <w:p w14:paraId="15AF0195" w14:textId="437C798B" w:rsidR="001E6958" w:rsidRPr="001E6958" w:rsidRDefault="001E6958" w:rsidP="00A6491A">
      <w:pPr>
        <w:spacing w:before="0" w:after="0"/>
        <w:ind w:left="284"/>
      </w:pPr>
      <w:r>
        <w:t xml:space="preserve">Generic name: </w:t>
      </w:r>
      <w:r w:rsidR="004A5A87">
        <w:t>N/A</w:t>
      </w:r>
    </w:p>
    <w:p w14:paraId="75DC7323"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253A06E5" w14:textId="21BAD25E" w:rsidR="001E6958" w:rsidRDefault="004A5A87"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1E6958" w:rsidRPr="000A5B32">
        <w:rPr>
          <w:szCs w:val="20"/>
        </w:rPr>
        <w:t xml:space="preserve"> Yes</w:t>
      </w:r>
    </w:p>
    <w:p w14:paraId="3E27385D" w14:textId="4360EAD3" w:rsidR="001E6958" w:rsidRDefault="001E6958"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007E53B3">
        <w:rPr>
          <w:szCs w:val="20"/>
        </w:rPr>
        <w:t xml:space="preserve"> No</w:t>
      </w:r>
    </w:p>
    <w:p w14:paraId="6E1FA059"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4E5774E3" w14:textId="6A23D9DD" w:rsidR="001E6958" w:rsidRDefault="001E6958" w:rsidP="00A6491A">
      <w:pPr>
        <w:spacing w:before="0" w:after="0"/>
        <w:ind w:left="284"/>
      </w:pPr>
      <w:r>
        <w:t xml:space="preserve">Billing code(s): </w:t>
      </w:r>
      <w:r w:rsidR="004A5A87">
        <w:t>BS332</w:t>
      </w:r>
    </w:p>
    <w:p w14:paraId="0C2BFA5D" w14:textId="47A9CC83" w:rsidR="001E6958" w:rsidRDefault="001E6958" w:rsidP="00A6491A">
      <w:pPr>
        <w:spacing w:before="0" w:after="0"/>
        <w:ind w:left="284"/>
      </w:pPr>
      <w:r>
        <w:t xml:space="preserve">Trade name of prostheses: </w:t>
      </w:r>
      <w:r w:rsidR="00AB4D75">
        <w:t>WATCHMAN</w:t>
      </w:r>
    </w:p>
    <w:p w14:paraId="0E3089B8" w14:textId="243A5F9E" w:rsidR="001E6958" w:rsidRDefault="001E6958" w:rsidP="00A6491A">
      <w:pPr>
        <w:spacing w:before="0" w:after="0"/>
        <w:ind w:left="284"/>
      </w:pPr>
      <w:r>
        <w:t xml:space="preserve">Clinical name of prostheses: </w:t>
      </w:r>
      <w:r w:rsidR="00AB4D75">
        <w:t>Left atrial appendage closure device</w:t>
      </w:r>
      <w:r w:rsidR="00E712C3">
        <w:t xml:space="preserve"> (includes access sheath and delivery system)</w:t>
      </w:r>
    </w:p>
    <w:p w14:paraId="772019B4" w14:textId="3280419C" w:rsidR="001E6958" w:rsidRDefault="001E6958" w:rsidP="00A6491A">
      <w:pPr>
        <w:spacing w:before="0" w:after="0"/>
        <w:ind w:left="284"/>
      </w:pPr>
      <w:r>
        <w:t xml:space="preserve">Other device components delivered as part of the service: </w:t>
      </w:r>
      <w:r w:rsidR="008E3931">
        <w:t>N/A</w:t>
      </w:r>
    </w:p>
    <w:p w14:paraId="59A3F934" w14:textId="77777777" w:rsidR="00AB4D75" w:rsidRPr="001E6958" w:rsidRDefault="00AB4D75" w:rsidP="00A6491A">
      <w:pPr>
        <w:spacing w:before="0" w:after="0"/>
        <w:ind w:left="284"/>
      </w:pPr>
    </w:p>
    <w:p w14:paraId="372A3C2E" w14:textId="68554A0C" w:rsidR="00AB4D75" w:rsidRDefault="00AB4D75" w:rsidP="00AB4D75">
      <w:pPr>
        <w:spacing w:before="0" w:after="0"/>
        <w:ind w:left="284"/>
      </w:pPr>
      <w:r>
        <w:t xml:space="preserve">Billing code(s): </w:t>
      </w:r>
      <w:r w:rsidRPr="00AB4D75">
        <w:t>SJ395</w:t>
      </w:r>
    </w:p>
    <w:p w14:paraId="6A53792A" w14:textId="5B4CD9F8" w:rsidR="00AB4D75" w:rsidRDefault="00AB4D75" w:rsidP="00AB4D75">
      <w:pPr>
        <w:spacing w:before="0" w:after="0"/>
        <w:ind w:left="284"/>
      </w:pPr>
      <w:r>
        <w:t>Trade name of prostheses: Amplatzer left atrial appendage closure device</w:t>
      </w:r>
    </w:p>
    <w:p w14:paraId="1F5C32E7" w14:textId="55A9DF49" w:rsidR="00AB4D75" w:rsidRDefault="00AB4D75" w:rsidP="00AB4D75">
      <w:pPr>
        <w:spacing w:before="0" w:after="0"/>
        <w:ind w:left="284"/>
      </w:pPr>
      <w:r>
        <w:t xml:space="preserve">Clinical name of prostheses: </w:t>
      </w:r>
      <w:r w:rsidRPr="00AB4D75">
        <w:t>Amplatzer Amulet Occluder, Amplatzer Cardiac Plug. Nitinol wire mesh</w:t>
      </w:r>
    </w:p>
    <w:p w14:paraId="2F1977F3" w14:textId="5263EA26" w:rsidR="00AB4D75" w:rsidRPr="001E6958" w:rsidRDefault="00AB4D75" w:rsidP="00AB4D75">
      <w:pPr>
        <w:spacing w:before="0" w:after="0"/>
        <w:ind w:left="284"/>
      </w:pPr>
      <w:r>
        <w:t xml:space="preserve">Other device components delivered as part of the service: </w:t>
      </w:r>
      <w:r w:rsidR="008E3931">
        <w:t>N/A</w:t>
      </w:r>
    </w:p>
    <w:p w14:paraId="258701A2" w14:textId="40C79825" w:rsidR="009939DC" w:rsidRDefault="009939DC" w:rsidP="009939DC"/>
    <w:p w14:paraId="4756656A"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587D6ADF"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Yes</w:t>
      </w:r>
    </w:p>
    <w:p w14:paraId="5E79E545" w14:textId="77777777" w:rsidR="001E6958" w:rsidRPr="009939DC" w:rsidRDefault="009939DC"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No  </w:t>
      </w:r>
    </w:p>
    <w:p w14:paraId="055D765D"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6D928FA5" w14:textId="7A9CF92D" w:rsidR="009939DC" w:rsidRDefault="00494F60"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9939DC" w:rsidRPr="000A5B32">
        <w:rPr>
          <w:szCs w:val="20"/>
        </w:rPr>
        <w:t xml:space="preserve"> Yes</w:t>
      </w:r>
    </w:p>
    <w:p w14:paraId="2A9DA02F" w14:textId="4A26C206" w:rsidR="009939DC" w:rsidRPr="001E6958" w:rsidRDefault="00494F60" w:rsidP="00A6491A">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9939DC">
        <w:rPr>
          <w:szCs w:val="20"/>
        </w:rPr>
        <w:t xml:space="preserve"> No  </w:t>
      </w:r>
    </w:p>
    <w:p w14:paraId="7C16ECA2"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16810096" w14:textId="60C684CD" w:rsidR="00016B6E" w:rsidRPr="009939DC" w:rsidRDefault="00494F60" w:rsidP="00A6491A">
      <w:pPr>
        <w:ind w:left="284"/>
      </w:pPr>
      <w:r w:rsidRPr="00494F60">
        <w:t>Johnson &amp; Johnson Medical Pty Ltd</w:t>
      </w:r>
      <w:r>
        <w:t xml:space="preserve"> has a device, </w:t>
      </w:r>
      <w:r w:rsidRPr="00494F60">
        <w:t>1. Coherex WaveCrest™</w:t>
      </w:r>
      <w:r>
        <w:t xml:space="preserve">, which is registered for use in Australia as a LAA occluder, however, the device is not listed on the prosthesis list. </w:t>
      </w:r>
    </w:p>
    <w:p w14:paraId="6E00262C"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3898DCFD" w14:textId="616ED8EA" w:rsidR="00A96741" w:rsidRPr="00A96741" w:rsidRDefault="00A96741" w:rsidP="00A6491A">
      <w:pPr>
        <w:spacing w:before="0" w:after="0"/>
        <w:ind w:left="284"/>
        <w:rPr>
          <w:b/>
          <w:bCs/>
        </w:rPr>
      </w:pPr>
      <w:r w:rsidRPr="00A96741">
        <w:rPr>
          <w:b/>
          <w:bCs/>
        </w:rPr>
        <w:lastRenderedPageBreak/>
        <w:t xml:space="preserve">WATCHMAN </w:t>
      </w:r>
    </w:p>
    <w:p w14:paraId="2B4AE556" w14:textId="7E4CA877" w:rsidR="00C62BEA" w:rsidRDefault="009939DC" w:rsidP="00A6491A">
      <w:pPr>
        <w:spacing w:before="0" w:after="0"/>
        <w:ind w:left="284"/>
      </w:pPr>
      <w:r>
        <w:t xml:space="preserve">Single use consumables: </w:t>
      </w:r>
      <w:r w:rsidR="00032DD1" w:rsidRPr="00032DD1">
        <w:t>The WATCHMAN LAA Closure Technology consists of the Access System (Access Sheath and Dilator) and Delivery System (Delivery Catheter and LAA Closure Device). The Access System and Delivery System permit device placement in the LAA via femoral venous access and inter-atrial septum crossing into the left atrium.</w:t>
      </w:r>
    </w:p>
    <w:p w14:paraId="097A59E2" w14:textId="45B7BB52" w:rsidR="00A96741" w:rsidRDefault="009939DC" w:rsidP="00A6491A">
      <w:pPr>
        <w:spacing w:before="0" w:after="0"/>
        <w:ind w:left="284"/>
      </w:pPr>
      <w:r>
        <w:t>Multi-use consumables:</w:t>
      </w:r>
      <w:r w:rsidRPr="009939DC">
        <w:t xml:space="preserve"> </w:t>
      </w:r>
      <w:r w:rsidR="00A96741">
        <w:t>N/A</w:t>
      </w:r>
    </w:p>
    <w:p w14:paraId="11D3FC5F" w14:textId="77777777" w:rsidR="00A96741" w:rsidRDefault="00A96741" w:rsidP="00A6491A">
      <w:pPr>
        <w:spacing w:before="0" w:after="0"/>
        <w:ind w:left="284"/>
      </w:pPr>
    </w:p>
    <w:p w14:paraId="72FB263B" w14:textId="2A21E7F1" w:rsidR="00A96741" w:rsidRPr="00A96741" w:rsidRDefault="00A96741" w:rsidP="00A96741">
      <w:pPr>
        <w:spacing w:before="0" w:after="0"/>
        <w:ind w:left="284"/>
        <w:rPr>
          <w:b/>
          <w:bCs/>
        </w:rPr>
      </w:pPr>
      <w:r>
        <w:rPr>
          <w:b/>
          <w:bCs/>
        </w:rPr>
        <w:t>AMULET</w:t>
      </w:r>
    </w:p>
    <w:p w14:paraId="4102A733" w14:textId="5DE7D9E9" w:rsidR="00952887" w:rsidRDefault="00A96741" w:rsidP="00952887">
      <w:pPr>
        <w:spacing w:before="0" w:after="0"/>
        <w:ind w:left="284"/>
      </w:pPr>
      <w:r>
        <w:t xml:space="preserve">Single use consumables: </w:t>
      </w:r>
      <w:r w:rsidR="00952887">
        <w:t xml:space="preserve">The Amplatzer LAAC System consists of the Amplatzer Amulet Device or Amplatzer Cardiac Plug (LAAC device), Amplatzer Amulet Delivery Sheath (delivery system) and Amplatzer Guidewire. The delivery system and guidewire are single use items integral to the placement of the LAAC device </w:t>
      </w:r>
      <w:r w:rsidR="00952887" w:rsidRPr="00032DD1">
        <w:t>via femoral venous access and inter-atrial septum crossing into the left atrium</w:t>
      </w:r>
      <w:r w:rsidR="00952887">
        <w:t>.</w:t>
      </w:r>
    </w:p>
    <w:p w14:paraId="76D8B741" w14:textId="47B251B6" w:rsidR="00A96741" w:rsidRDefault="00A96741" w:rsidP="003A65A8">
      <w:pPr>
        <w:tabs>
          <w:tab w:val="left" w:pos="8080"/>
        </w:tabs>
        <w:spacing w:before="0" w:after="0"/>
        <w:ind w:left="284"/>
      </w:pPr>
      <w:r>
        <w:t>Multi-use consumables</w:t>
      </w:r>
      <w:r w:rsidR="00952887">
        <w:t>: N/A</w:t>
      </w:r>
    </w:p>
    <w:p w14:paraId="2D55B81D" w14:textId="0C8574A6" w:rsidR="00F301F1" w:rsidRPr="00855944" w:rsidRDefault="00F301F1" w:rsidP="00A6491A">
      <w:pPr>
        <w:spacing w:before="0" w:after="0"/>
        <w:ind w:left="284"/>
      </w:pPr>
      <w:r w:rsidRPr="00855944">
        <w:br w:type="page"/>
      </w:r>
    </w:p>
    <w:p w14:paraId="4C850C19"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272DF393"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28E615BC" w14:textId="40E9DE8E" w:rsidR="00A26343" w:rsidRPr="00A26343" w:rsidRDefault="00A26343" w:rsidP="00A6491A">
      <w:pPr>
        <w:spacing w:before="0" w:after="0"/>
        <w:ind w:left="284"/>
        <w:rPr>
          <w:szCs w:val="20"/>
        </w:rPr>
      </w:pPr>
      <w:r w:rsidRPr="00A26343">
        <w:rPr>
          <w:szCs w:val="20"/>
        </w:rPr>
        <w:t>Type of therapeutic good</w:t>
      </w:r>
      <w:r>
        <w:rPr>
          <w:szCs w:val="20"/>
        </w:rPr>
        <w:t xml:space="preserve">: </w:t>
      </w:r>
      <w:r w:rsidR="00BD18FF" w:rsidRPr="00BD18FF">
        <w:rPr>
          <w:szCs w:val="20"/>
        </w:rPr>
        <w:t xml:space="preserve">Medical </w:t>
      </w:r>
      <w:r w:rsidR="00BD18FF">
        <w:rPr>
          <w:szCs w:val="20"/>
        </w:rPr>
        <w:t>d</w:t>
      </w:r>
      <w:r w:rsidR="00BD18FF" w:rsidRPr="00BD18FF">
        <w:rPr>
          <w:szCs w:val="20"/>
        </w:rPr>
        <w:t xml:space="preserve">evice </w:t>
      </w:r>
    </w:p>
    <w:p w14:paraId="1DDCA424" w14:textId="7330A507" w:rsidR="00A26343" w:rsidRPr="00A26343" w:rsidRDefault="00A26343" w:rsidP="00A6491A">
      <w:pPr>
        <w:spacing w:before="0" w:after="0"/>
        <w:ind w:left="284"/>
        <w:rPr>
          <w:szCs w:val="20"/>
        </w:rPr>
      </w:pPr>
      <w:r w:rsidRPr="00A26343">
        <w:rPr>
          <w:szCs w:val="20"/>
        </w:rPr>
        <w:t>Manufacturer’s name</w:t>
      </w:r>
      <w:r>
        <w:rPr>
          <w:szCs w:val="20"/>
        </w:rPr>
        <w:t xml:space="preserve">: </w:t>
      </w:r>
      <w:r w:rsidR="00BD18FF" w:rsidRPr="00BD18FF">
        <w:rPr>
          <w:szCs w:val="20"/>
        </w:rPr>
        <w:t>Boston Scientific Corporation</w:t>
      </w:r>
      <w:r w:rsidR="00BD18FF">
        <w:rPr>
          <w:szCs w:val="20"/>
        </w:rPr>
        <w:t xml:space="preserve"> / </w:t>
      </w:r>
      <w:r w:rsidR="00BD18FF" w:rsidRPr="00BD18FF">
        <w:rPr>
          <w:szCs w:val="20"/>
        </w:rPr>
        <w:t>AGA Medical Corporation</w:t>
      </w:r>
      <w:r w:rsidR="00621D7D">
        <w:rPr>
          <w:szCs w:val="20"/>
        </w:rPr>
        <w:t xml:space="preserve"> / </w:t>
      </w:r>
      <w:r w:rsidR="00621D7D" w:rsidRPr="00621D7D">
        <w:rPr>
          <w:szCs w:val="20"/>
        </w:rPr>
        <w:t>Coherex Medical Inc</w:t>
      </w:r>
    </w:p>
    <w:p w14:paraId="3491C090" w14:textId="54D74343" w:rsidR="00A26343" w:rsidRPr="00A26343" w:rsidRDefault="00A26343" w:rsidP="00A6491A">
      <w:pPr>
        <w:spacing w:before="0" w:after="0"/>
        <w:ind w:left="284"/>
        <w:rPr>
          <w:szCs w:val="20"/>
        </w:rPr>
      </w:pPr>
      <w:r w:rsidRPr="00A26343">
        <w:rPr>
          <w:szCs w:val="20"/>
        </w:rPr>
        <w:t>Sponsor’s name</w:t>
      </w:r>
      <w:r>
        <w:rPr>
          <w:szCs w:val="20"/>
        </w:rPr>
        <w:t xml:space="preserve">: </w:t>
      </w:r>
      <w:r w:rsidR="00BD18FF">
        <w:t xml:space="preserve">Boston Scientific Pty Ltd / </w:t>
      </w:r>
      <w:r w:rsidR="00BD18FF" w:rsidRPr="00BD18FF">
        <w:t>Abbott Medical Australia Pty Ltd</w:t>
      </w:r>
      <w:r w:rsidR="00621D7D">
        <w:t xml:space="preserve"> / </w:t>
      </w:r>
      <w:r w:rsidR="00621D7D" w:rsidRPr="00621D7D">
        <w:t>Johnson &amp; Johnson Medical Pty Ltd</w:t>
      </w:r>
    </w:p>
    <w:p w14:paraId="569512BA"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2FFC4F2D" w14:textId="5D537720" w:rsidR="00615F42" w:rsidRPr="00615F42" w:rsidRDefault="00BD18FF"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7D763082"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w:t>
      </w:r>
      <w:r w:rsidRPr="00615F42">
        <w:rPr>
          <w:szCs w:val="20"/>
        </w:rPr>
        <w:t>AIMD</w:t>
      </w:r>
    </w:p>
    <w:p w14:paraId="3A2FF026" w14:textId="77777777" w:rsidR="005E2CE3" w:rsidRPr="00154B00"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sidRPr="000A5B32">
        <w:rPr>
          <w:szCs w:val="20"/>
        </w:rPr>
        <w:t xml:space="preserve"> </w:t>
      </w:r>
      <w:r w:rsidRPr="00615F42">
        <w:rPr>
          <w:szCs w:val="20"/>
        </w:rPr>
        <w:t>N/A</w:t>
      </w:r>
    </w:p>
    <w:p w14:paraId="5C1CC4A2"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56B06B18"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4909554E" w14:textId="227ECABE" w:rsidR="003421AE" w:rsidRPr="00615F42" w:rsidRDefault="00BD18FF"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615F42">
        <w:rPr>
          <w:szCs w:val="20"/>
        </w:rPr>
        <w:t xml:space="preserve"> No</w:t>
      </w:r>
    </w:p>
    <w:p w14:paraId="061A6629"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3DCDD7AF" w14:textId="173C7E9F" w:rsidR="0043654D" w:rsidRDefault="00BD18FF"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43654D">
        <w:rPr>
          <w:szCs w:val="20"/>
        </w:rPr>
        <w:t xml:space="preserve"> Yes (if yes, please provide details below)</w:t>
      </w:r>
    </w:p>
    <w:p w14:paraId="1CD83589"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No</w:t>
      </w:r>
    </w:p>
    <w:p w14:paraId="2D8A7DE5" w14:textId="6B40328E" w:rsidR="0043654D" w:rsidRDefault="0043654D" w:rsidP="0043654D">
      <w:pPr>
        <w:spacing w:before="0" w:after="0"/>
        <w:ind w:left="284"/>
        <w:rPr>
          <w:b/>
          <w:szCs w:val="20"/>
        </w:rPr>
      </w:pPr>
    </w:p>
    <w:p w14:paraId="4F6DD1DD" w14:textId="3B66BF05" w:rsidR="00BD18FF" w:rsidRPr="000E7F7B" w:rsidRDefault="000E7F7B" w:rsidP="000E7F7B">
      <w:pPr>
        <w:spacing w:before="0" w:after="0"/>
        <w:ind w:left="284"/>
        <w:rPr>
          <w:bCs/>
          <w:szCs w:val="20"/>
        </w:rPr>
      </w:pPr>
      <w:r w:rsidRPr="000E7F7B">
        <w:rPr>
          <w:bCs/>
          <w:szCs w:val="20"/>
        </w:rPr>
        <w:t xml:space="preserve">Details of the medical devices listed on the ARTG for the proposed medical service is provided in </w:t>
      </w:r>
      <w:r w:rsidRPr="000E7F7B">
        <w:rPr>
          <w:bCs/>
          <w:szCs w:val="20"/>
        </w:rPr>
        <w:fldChar w:fldCharType="begin"/>
      </w:r>
      <w:r w:rsidRPr="000E7F7B">
        <w:rPr>
          <w:bCs/>
          <w:szCs w:val="20"/>
        </w:rPr>
        <w:instrText xml:space="preserve"> REF _Ref21951086 \h </w:instrText>
      </w:r>
      <w:r>
        <w:rPr>
          <w:bCs/>
          <w:szCs w:val="20"/>
        </w:rPr>
        <w:instrText xml:space="preserve"> \* MERGEFORMAT </w:instrText>
      </w:r>
      <w:r w:rsidRPr="000E7F7B">
        <w:rPr>
          <w:bCs/>
          <w:szCs w:val="20"/>
        </w:rPr>
      </w:r>
      <w:r w:rsidRPr="000E7F7B">
        <w:rPr>
          <w:bCs/>
          <w:szCs w:val="20"/>
        </w:rPr>
        <w:fldChar w:fldCharType="separate"/>
      </w:r>
      <w:r w:rsidR="004E2E17" w:rsidRPr="004E2E17">
        <w:rPr>
          <w:bCs/>
        </w:rPr>
        <w:t xml:space="preserve">Table </w:t>
      </w:r>
      <w:r w:rsidR="004E2E17" w:rsidRPr="004E2E17">
        <w:rPr>
          <w:bCs/>
          <w:noProof/>
        </w:rPr>
        <w:t>1</w:t>
      </w:r>
      <w:r w:rsidRPr="000E7F7B">
        <w:rPr>
          <w:bCs/>
          <w:szCs w:val="20"/>
        </w:rPr>
        <w:fldChar w:fldCharType="end"/>
      </w:r>
      <w:r w:rsidRPr="000E7F7B">
        <w:rPr>
          <w:bCs/>
          <w:szCs w:val="20"/>
        </w:rPr>
        <w:t>.</w:t>
      </w:r>
      <w:r w:rsidR="0080382C">
        <w:rPr>
          <w:bCs/>
          <w:szCs w:val="20"/>
        </w:rPr>
        <w:t xml:space="preserve"> There are four cardiac occluders listed on the ARTG (WATHMAN, AMPLATZER Amulet, AMPLATZER Cardiac Plug, Coherex WaveCrest) with their delivery kits. </w:t>
      </w:r>
    </w:p>
    <w:p w14:paraId="52A202A6" w14:textId="77777777" w:rsidR="000E7F7B" w:rsidRPr="000E7F7B" w:rsidRDefault="000E7F7B" w:rsidP="000E7F7B">
      <w:pPr>
        <w:spacing w:before="0" w:after="0"/>
        <w:ind w:left="284"/>
        <w:rPr>
          <w:bCs/>
          <w:szCs w:val="20"/>
        </w:rPr>
      </w:pPr>
    </w:p>
    <w:p w14:paraId="2CAD9336" w14:textId="238218A6" w:rsidR="00BD18FF" w:rsidRDefault="000E7F7B" w:rsidP="000E7F7B">
      <w:pPr>
        <w:pStyle w:val="Caption"/>
      </w:pPr>
      <w:bookmarkStart w:id="4" w:name="_Ref21951086"/>
      <w:r>
        <w:t xml:space="preserve">Table </w:t>
      </w:r>
      <w:fldSimple w:instr=" SEQ Table \* ARABIC ">
        <w:r w:rsidR="004E2E17">
          <w:rPr>
            <w:noProof/>
          </w:rPr>
          <w:t>1</w:t>
        </w:r>
      </w:fldSimple>
      <w:bookmarkEnd w:id="4"/>
      <w:r>
        <w:tab/>
        <w:t>Medical devices listed on the ARTG for the proposed medical service</w:t>
      </w:r>
    </w:p>
    <w:tbl>
      <w:tblPr>
        <w:tblStyle w:val="TableGrid"/>
        <w:tblW w:w="0" w:type="auto"/>
        <w:tblInd w:w="284" w:type="dxa"/>
        <w:tblLook w:val="04A0" w:firstRow="1" w:lastRow="0" w:firstColumn="1" w:lastColumn="0" w:noHBand="0" w:noVBand="1"/>
        <w:tblCaption w:val="Table 1"/>
      </w:tblPr>
      <w:tblGrid>
        <w:gridCol w:w="987"/>
        <w:gridCol w:w="3260"/>
        <w:gridCol w:w="3261"/>
        <w:gridCol w:w="1224"/>
      </w:tblGrid>
      <w:tr w:rsidR="000E7F7B" w:rsidRPr="000E7F7B" w14:paraId="71F6CF18" w14:textId="41976831" w:rsidTr="0080382C">
        <w:trPr>
          <w:tblHeader/>
        </w:trPr>
        <w:tc>
          <w:tcPr>
            <w:tcW w:w="987" w:type="dxa"/>
          </w:tcPr>
          <w:p w14:paraId="5862AF4B" w14:textId="4B03D5E9" w:rsidR="000E7F7B" w:rsidRPr="000E7F7B" w:rsidRDefault="000E7F7B" w:rsidP="0043654D">
            <w:pPr>
              <w:spacing w:before="0" w:after="0"/>
              <w:rPr>
                <w:b/>
                <w:bCs/>
                <w:szCs w:val="20"/>
              </w:rPr>
            </w:pPr>
            <w:r w:rsidRPr="000E7F7B">
              <w:rPr>
                <w:b/>
                <w:bCs/>
                <w:szCs w:val="20"/>
              </w:rPr>
              <w:t>ARTG number</w:t>
            </w:r>
          </w:p>
        </w:tc>
        <w:tc>
          <w:tcPr>
            <w:tcW w:w="3260" w:type="dxa"/>
          </w:tcPr>
          <w:p w14:paraId="5CEBBF5D" w14:textId="78769CC2" w:rsidR="000E7F7B" w:rsidRPr="000E7F7B" w:rsidRDefault="000E7F7B" w:rsidP="0043654D">
            <w:pPr>
              <w:spacing w:before="0" w:after="0"/>
              <w:rPr>
                <w:b/>
                <w:bCs/>
                <w:szCs w:val="20"/>
              </w:rPr>
            </w:pPr>
            <w:r w:rsidRPr="000E7F7B">
              <w:rPr>
                <w:b/>
                <w:bCs/>
                <w:szCs w:val="20"/>
              </w:rPr>
              <w:t>Description</w:t>
            </w:r>
          </w:p>
        </w:tc>
        <w:tc>
          <w:tcPr>
            <w:tcW w:w="3261" w:type="dxa"/>
          </w:tcPr>
          <w:p w14:paraId="5B193AEF" w14:textId="259DE964" w:rsidR="000E7F7B" w:rsidRPr="000E7F7B" w:rsidRDefault="007622DE" w:rsidP="0043654D">
            <w:pPr>
              <w:spacing w:before="0" w:after="0"/>
              <w:rPr>
                <w:b/>
                <w:bCs/>
                <w:szCs w:val="20"/>
              </w:rPr>
            </w:pPr>
            <w:r>
              <w:rPr>
                <w:b/>
                <w:bCs/>
                <w:szCs w:val="20"/>
              </w:rPr>
              <w:t>Intended purpose</w:t>
            </w:r>
          </w:p>
        </w:tc>
        <w:tc>
          <w:tcPr>
            <w:tcW w:w="1224" w:type="dxa"/>
          </w:tcPr>
          <w:p w14:paraId="6885070D" w14:textId="3B5A49AB" w:rsidR="000E7F7B" w:rsidRPr="000E7F7B" w:rsidRDefault="000E7F7B" w:rsidP="0043654D">
            <w:pPr>
              <w:spacing w:before="0" w:after="0"/>
              <w:rPr>
                <w:b/>
                <w:bCs/>
                <w:szCs w:val="20"/>
              </w:rPr>
            </w:pPr>
            <w:r w:rsidRPr="000E7F7B">
              <w:rPr>
                <w:b/>
                <w:bCs/>
                <w:szCs w:val="20"/>
              </w:rPr>
              <w:t>Sponsor</w:t>
            </w:r>
          </w:p>
        </w:tc>
      </w:tr>
      <w:tr w:rsidR="000E7F7B" w14:paraId="297BB043" w14:textId="526C631A" w:rsidTr="0080382C">
        <w:tc>
          <w:tcPr>
            <w:tcW w:w="987" w:type="dxa"/>
          </w:tcPr>
          <w:p w14:paraId="2473B79E" w14:textId="500D4DEE" w:rsidR="000E7F7B" w:rsidRDefault="000E7F7B" w:rsidP="0043654D">
            <w:pPr>
              <w:spacing w:before="0" w:after="0"/>
              <w:rPr>
                <w:szCs w:val="20"/>
              </w:rPr>
            </w:pPr>
            <w:r w:rsidRPr="000E7F7B">
              <w:rPr>
                <w:szCs w:val="20"/>
              </w:rPr>
              <w:t>216434</w:t>
            </w:r>
          </w:p>
        </w:tc>
        <w:tc>
          <w:tcPr>
            <w:tcW w:w="3260" w:type="dxa"/>
          </w:tcPr>
          <w:p w14:paraId="26347D9B" w14:textId="77777777" w:rsidR="007622DE" w:rsidRPr="007622DE" w:rsidRDefault="007622DE" w:rsidP="000E7F7B">
            <w:pPr>
              <w:spacing w:before="0" w:after="0"/>
              <w:rPr>
                <w:b/>
                <w:bCs/>
                <w:szCs w:val="20"/>
              </w:rPr>
            </w:pPr>
            <w:r w:rsidRPr="007622DE">
              <w:rPr>
                <w:b/>
                <w:bCs/>
                <w:szCs w:val="20"/>
              </w:rPr>
              <w:t>Cardiac occluder</w:t>
            </w:r>
          </w:p>
          <w:p w14:paraId="0657F175" w14:textId="52912B3C" w:rsidR="000E7F7B" w:rsidRDefault="000E7F7B" w:rsidP="000E7F7B">
            <w:pPr>
              <w:spacing w:before="0" w:after="0"/>
              <w:rPr>
                <w:szCs w:val="20"/>
              </w:rPr>
            </w:pPr>
            <w:r w:rsidRPr="000E7F7B">
              <w:rPr>
                <w:szCs w:val="20"/>
              </w:rPr>
              <w:t>The WATCHMAN LEFT ATRIAL APPENDAGE (LAA) Closure Technology consists of the Access System</w:t>
            </w:r>
            <w:r>
              <w:rPr>
                <w:szCs w:val="20"/>
              </w:rPr>
              <w:t xml:space="preserve"> </w:t>
            </w:r>
            <w:r w:rsidRPr="000E7F7B">
              <w:rPr>
                <w:szCs w:val="20"/>
              </w:rPr>
              <w:t xml:space="preserve">&amp; Delivery System (Delivery Catheter and LAA Closure Device). This System permits Device </w:t>
            </w:r>
            <w:r w:rsidRPr="000E7F7B">
              <w:rPr>
                <w:szCs w:val="20"/>
              </w:rPr>
              <w:lastRenderedPageBreak/>
              <w:t>placement in</w:t>
            </w:r>
            <w:r>
              <w:rPr>
                <w:szCs w:val="20"/>
              </w:rPr>
              <w:t xml:space="preserve"> </w:t>
            </w:r>
            <w:r w:rsidRPr="000E7F7B">
              <w:rPr>
                <w:szCs w:val="20"/>
              </w:rPr>
              <w:t>the LAA via femoral venous access and inter-atrial septum crossing into the left atrium. The WATCHMAN</w:t>
            </w:r>
            <w:r>
              <w:rPr>
                <w:szCs w:val="20"/>
              </w:rPr>
              <w:t xml:space="preserve"> </w:t>
            </w:r>
            <w:r w:rsidRPr="000E7F7B">
              <w:rPr>
                <w:szCs w:val="20"/>
              </w:rPr>
              <w:t>Device is a self-expanding nitinol structure with a porous membrane on the proximal face. The Device is</w:t>
            </w:r>
            <w:r>
              <w:rPr>
                <w:szCs w:val="20"/>
              </w:rPr>
              <w:t xml:space="preserve"> </w:t>
            </w:r>
            <w:r w:rsidRPr="000E7F7B">
              <w:rPr>
                <w:szCs w:val="20"/>
              </w:rPr>
              <w:t>constrained within the Delivery System until deployment in the LAA</w:t>
            </w:r>
          </w:p>
        </w:tc>
        <w:tc>
          <w:tcPr>
            <w:tcW w:w="3261" w:type="dxa"/>
          </w:tcPr>
          <w:p w14:paraId="76D6CCCC" w14:textId="1BDCFFCB" w:rsidR="000E7F7B" w:rsidRDefault="000E7F7B" w:rsidP="000E7F7B">
            <w:pPr>
              <w:spacing w:before="0" w:after="0"/>
              <w:rPr>
                <w:szCs w:val="20"/>
              </w:rPr>
            </w:pPr>
            <w:r w:rsidRPr="00643F41">
              <w:rPr>
                <w:szCs w:val="20"/>
              </w:rPr>
              <w:lastRenderedPageBreak/>
              <w:t>The WATCHMAN LAA Closure Technology is intended to</w:t>
            </w:r>
            <w:r w:rsidRPr="000E7F7B">
              <w:rPr>
                <w:szCs w:val="20"/>
              </w:rPr>
              <w:t xml:space="preserve"> prevent thrombus embolization from the left</w:t>
            </w:r>
            <w:r>
              <w:rPr>
                <w:szCs w:val="20"/>
              </w:rPr>
              <w:t xml:space="preserve"> </w:t>
            </w:r>
            <w:r w:rsidRPr="000E7F7B">
              <w:rPr>
                <w:szCs w:val="20"/>
              </w:rPr>
              <w:t>atrial appendage and reduce the risk of life-threatening bleeding events in patients with non-valvular atrial</w:t>
            </w:r>
            <w:r>
              <w:rPr>
                <w:szCs w:val="20"/>
              </w:rPr>
              <w:t xml:space="preserve"> </w:t>
            </w:r>
            <w:r w:rsidRPr="000E7F7B">
              <w:rPr>
                <w:szCs w:val="20"/>
              </w:rPr>
              <w:t xml:space="preserve">fibrillation who are eligible for </w:t>
            </w:r>
            <w:r w:rsidRPr="000E7F7B">
              <w:rPr>
                <w:szCs w:val="20"/>
              </w:rPr>
              <w:lastRenderedPageBreak/>
              <w:t>anticoagulation therapy</w:t>
            </w:r>
            <w:r>
              <w:rPr>
                <w:szCs w:val="20"/>
              </w:rPr>
              <w:t xml:space="preserve"> </w:t>
            </w:r>
            <w:r w:rsidRPr="000E7F7B">
              <w:rPr>
                <w:szCs w:val="20"/>
              </w:rPr>
              <w:t>or who have a contraindication to anticoagulation therapy.</w:t>
            </w:r>
          </w:p>
        </w:tc>
        <w:tc>
          <w:tcPr>
            <w:tcW w:w="1224" w:type="dxa"/>
          </w:tcPr>
          <w:p w14:paraId="2322AD12" w14:textId="2136EA31" w:rsidR="000E7F7B" w:rsidRDefault="000E7F7B" w:rsidP="0043654D">
            <w:pPr>
              <w:spacing w:before="0" w:after="0"/>
              <w:rPr>
                <w:szCs w:val="20"/>
              </w:rPr>
            </w:pPr>
            <w:r w:rsidRPr="000E7F7B">
              <w:rPr>
                <w:szCs w:val="20"/>
              </w:rPr>
              <w:lastRenderedPageBreak/>
              <w:t>Boston Scientific Pty Ltd</w:t>
            </w:r>
          </w:p>
        </w:tc>
      </w:tr>
      <w:tr w:rsidR="00694CC7" w14:paraId="5355CC74" w14:textId="77777777" w:rsidTr="0080382C">
        <w:tc>
          <w:tcPr>
            <w:tcW w:w="987" w:type="dxa"/>
          </w:tcPr>
          <w:p w14:paraId="45576D7F" w14:textId="64740320" w:rsidR="00694CC7" w:rsidRPr="000E7F7B" w:rsidRDefault="00694CC7" w:rsidP="0043654D">
            <w:pPr>
              <w:spacing w:before="0" w:after="0"/>
              <w:rPr>
                <w:szCs w:val="20"/>
              </w:rPr>
            </w:pPr>
            <w:r>
              <w:t>216435</w:t>
            </w:r>
          </w:p>
        </w:tc>
        <w:tc>
          <w:tcPr>
            <w:tcW w:w="3260" w:type="dxa"/>
          </w:tcPr>
          <w:p w14:paraId="48C3F1BA" w14:textId="0DE0F1C8" w:rsidR="00694CC7" w:rsidRPr="007622DE" w:rsidRDefault="0080382C" w:rsidP="00643F41">
            <w:pPr>
              <w:widowControl w:val="0"/>
              <w:spacing w:before="0" w:after="0"/>
              <w:rPr>
                <w:b/>
                <w:bCs/>
                <w:szCs w:val="20"/>
              </w:rPr>
            </w:pPr>
            <w:r>
              <w:rPr>
                <w:b/>
                <w:bCs/>
                <w:szCs w:val="20"/>
              </w:rPr>
              <w:t>D</w:t>
            </w:r>
            <w:r w:rsidR="00694CC7" w:rsidRPr="007622DE">
              <w:rPr>
                <w:b/>
                <w:bCs/>
                <w:szCs w:val="20"/>
              </w:rPr>
              <w:t>elivery kit</w:t>
            </w:r>
          </w:p>
          <w:p w14:paraId="2E5A0645" w14:textId="77777777" w:rsidR="007622DE" w:rsidRPr="007622DE" w:rsidRDefault="007622DE" w:rsidP="00643F41">
            <w:pPr>
              <w:widowControl w:val="0"/>
              <w:spacing w:before="0" w:after="0"/>
              <w:rPr>
                <w:szCs w:val="20"/>
              </w:rPr>
            </w:pPr>
            <w:r w:rsidRPr="007622DE">
              <w:rPr>
                <w:szCs w:val="20"/>
              </w:rPr>
              <w:t>WATCHMAN Access System is made up of Access Sheath and Dilator, the system is advanced over</w:t>
            </w:r>
          </w:p>
          <w:p w14:paraId="3435915E" w14:textId="4BF17FF3" w:rsidR="007622DE" w:rsidRPr="007622DE" w:rsidRDefault="007622DE" w:rsidP="00643F41">
            <w:pPr>
              <w:widowControl w:val="0"/>
              <w:spacing w:before="0" w:after="0"/>
              <w:rPr>
                <w:szCs w:val="20"/>
              </w:rPr>
            </w:pPr>
            <w:r w:rsidRPr="007622DE">
              <w:rPr>
                <w:szCs w:val="20"/>
              </w:rPr>
              <w:t>guidewire into left atrium (LA). As Access Sheath nears center of LA,</w:t>
            </w:r>
            <w:r w:rsidR="00643F41">
              <w:rPr>
                <w:szCs w:val="20"/>
              </w:rPr>
              <w:t xml:space="preserve"> </w:t>
            </w:r>
            <w:r w:rsidRPr="007622DE">
              <w:rPr>
                <w:szCs w:val="20"/>
              </w:rPr>
              <w:t>Dilator is held down and</w:t>
            </w:r>
            <w:r w:rsidR="00643F41">
              <w:rPr>
                <w:szCs w:val="20"/>
              </w:rPr>
              <w:t xml:space="preserve"> </w:t>
            </w:r>
            <w:r w:rsidRPr="007622DE">
              <w:rPr>
                <w:szCs w:val="20"/>
              </w:rPr>
              <w:t>advancement of Access Sheath into initial position in LA or ostium of LUPV. Dilator &amp; Guidewire then</w:t>
            </w:r>
          </w:p>
          <w:p w14:paraId="46108A7C" w14:textId="06168431" w:rsidR="007622DE" w:rsidRPr="00694CC7" w:rsidRDefault="007622DE" w:rsidP="00643F41">
            <w:pPr>
              <w:widowControl w:val="0"/>
              <w:spacing w:before="0" w:after="0"/>
              <w:rPr>
                <w:b/>
                <w:bCs/>
                <w:szCs w:val="20"/>
              </w:rPr>
            </w:pPr>
            <w:r w:rsidRPr="007622DE">
              <w:rPr>
                <w:szCs w:val="20"/>
              </w:rPr>
              <w:t>removed to leave behind Access Sheath, ready for WATCHMAN™ LAA Closure Device</w:t>
            </w:r>
          </w:p>
        </w:tc>
        <w:tc>
          <w:tcPr>
            <w:tcW w:w="3261" w:type="dxa"/>
          </w:tcPr>
          <w:p w14:paraId="30309822" w14:textId="77777777" w:rsidR="007622DE" w:rsidRPr="007622DE" w:rsidRDefault="007622DE" w:rsidP="007622DE">
            <w:pPr>
              <w:spacing w:before="0" w:after="0"/>
              <w:rPr>
                <w:szCs w:val="20"/>
              </w:rPr>
            </w:pPr>
            <w:r w:rsidRPr="007622DE">
              <w:rPr>
                <w:szCs w:val="20"/>
              </w:rPr>
              <w:t>The WATCHMAN Access System is intended to provide vascular and transseptal access for the</w:t>
            </w:r>
          </w:p>
          <w:p w14:paraId="039D9FBA" w14:textId="53490B9E" w:rsidR="00694CC7" w:rsidRPr="000E7F7B" w:rsidRDefault="007622DE" w:rsidP="007622DE">
            <w:pPr>
              <w:spacing w:before="0" w:after="0"/>
              <w:rPr>
                <w:szCs w:val="20"/>
              </w:rPr>
            </w:pPr>
            <w:r w:rsidRPr="007622DE">
              <w:rPr>
                <w:szCs w:val="20"/>
              </w:rPr>
              <w:t>WATCHMAN Left Atrial Appendage Closure Device with Delivery System.</w:t>
            </w:r>
          </w:p>
        </w:tc>
        <w:tc>
          <w:tcPr>
            <w:tcW w:w="1224" w:type="dxa"/>
          </w:tcPr>
          <w:p w14:paraId="51054C88" w14:textId="200DA723" w:rsidR="00694CC7" w:rsidRPr="000E7F7B" w:rsidRDefault="007622DE" w:rsidP="0043654D">
            <w:pPr>
              <w:spacing w:before="0" w:after="0"/>
              <w:rPr>
                <w:szCs w:val="20"/>
              </w:rPr>
            </w:pPr>
            <w:r w:rsidRPr="000E7F7B">
              <w:rPr>
                <w:szCs w:val="20"/>
              </w:rPr>
              <w:t>Boston Scientific Pty Ltd</w:t>
            </w:r>
          </w:p>
        </w:tc>
      </w:tr>
      <w:tr w:rsidR="007622DE" w14:paraId="2574B8C1" w14:textId="77777777" w:rsidTr="0080382C">
        <w:tc>
          <w:tcPr>
            <w:tcW w:w="987" w:type="dxa"/>
          </w:tcPr>
          <w:p w14:paraId="0A08F3F1" w14:textId="7FACF3D5" w:rsidR="007622DE" w:rsidRDefault="007622DE" w:rsidP="0043654D">
            <w:pPr>
              <w:spacing w:before="0" w:after="0"/>
            </w:pPr>
            <w:r>
              <w:t>310680</w:t>
            </w:r>
          </w:p>
        </w:tc>
        <w:tc>
          <w:tcPr>
            <w:tcW w:w="3260" w:type="dxa"/>
          </w:tcPr>
          <w:p w14:paraId="38CCD029" w14:textId="17602F3F" w:rsidR="007622DE" w:rsidRDefault="0080382C" w:rsidP="000E7F7B">
            <w:pPr>
              <w:spacing w:before="0" w:after="0"/>
              <w:rPr>
                <w:b/>
                <w:bCs/>
                <w:szCs w:val="20"/>
              </w:rPr>
            </w:pPr>
            <w:r>
              <w:rPr>
                <w:b/>
                <w:bCs/>
                <w:szCs w:val="20"/>
              </w:rPr>
              <w:t>D</w:t>
            </w:r>
            <w:r w:rsidR="007622DE" w:rsidRPr="007622DE">
              <w:rPr>
                <w:b/>
                <w:bCs/>
                <w:szCs w:val="20"/>
              </w:rPr>
              <w:t>elivery kit</w:t>
            </w:r>
          </w:p>
          <w:p w14:paraId="148328AA" w14:textId="455A7492" w:rsidR="007622DE" w:rsidRPr="007622DE" w:rsidRDefault="007622DE" w:rsidP="00643F41">
            <w:pPr>
              <w:spacing w:before="0" w:after="0"/>
              <w:rPr>
                <w:szCs w:val="20"/>
              </w:rPr>
            </w:pPr>
            <w:r w:rsidRPr="007622DE">
              <w:rPr>
                <w:szCs w:val="20"/>
              </w:rPr>
              <w:t>The WATCHMAN TruSeal Access System (Access Sheath and Dilator) is compatible with components of</w:t>
            </w:r>
            <w:r w:rsidR="00643F41">
              <w:rPr>
                <w:szCs w:val="20"/>
              </w:rPr>
              <w:t xml:space="preserve"> </w:t>
            </w:r>
            <w:r w:rsidRPr="007622DE">
              <w:rPr>
                <w:szCs w:val="20"/>
              </w:rPr>
              <w:t>all WATCHMAN Left Atrial Appendage Closure Devices. The WATCHMAN TruSeal Access System is</w:t>
            </w:r>
            <w:r w:rsidR="00643F41">
              <w:rPr>
                <w:szCs w:val="20"/>
              </w:rPr>
              <w:t xml:space="preserve"> </w:t>
            </w:r>
            <w:r w:rsidRPr="007622DE">
              <w:rPr>
                <w:szCs w:val="20"/>
              </w:rPr>
              <w:t>available in multiple curve shapes to assist with placement of the sheath into the Left Atrial Appendage for</w:t>
            </w:r>
            <w:r w:rsidR="00643F41">
              <w:rPr>
                <w:szCs w:val="20"/>
              </w:rPr>
              <w:t xml:space="preserve"> </w:t>
            </w:r>
            <w:r w:rsidRPr="007622DE">
              <w:rPr>
                <w:szCs w:val="20"/>
              </w:rPr>
              <w:t>preparation of WATCHMAN LAA Closure Devices</w:t>
            </w:r>
          </w:p>
        </w:tc>
        <w:tc>
          <w:tcPr>
            <w:tcW w:w="3261" w:type="dxa"/>
          </w:tcPr>
          <w:p w14:paraId="06BBB982" w14:textId="3EE74F2E" w:rsidR="007622DE" w:rsidRPr="007622DE" w:rsidRDefault="0080382C" w:rsidP="007622DE">
            <w:pPr>
              <w:spacing w:before="0" w:after="0"/>
              <w:rPr>
                <w:szCs w:val="20"/>
              </w:rPr>
            </w:pPr>
            <w:r>
              <w:t>The WATCHMAN TruSeal Access System is intended to provide vascular and transseptal access for all WATCHMAN Left Atrial Appendage Closure Devices with Delivery Systems.</w:t>
            </w:r>
          </w:p>
        </w:tc>
        <w:tc>
          <w:tcPr>
            <w:tcW w:w="1224" w:type="dxa"/>
          </w:tcPr>
          <w:p w14:paraId="6AC86918" w14:textId="73B15928" w:rsidR="007622DE" w:rsidRPr="000E7F7B" w:rsidRDefault="0080382C" w:rsidP="0043654D">
            <w:pPr>
              <w:spacing w:before="0" w:after="0"/>
              <w:rPr>
                <w:szCs w:val="20"/>
              </w:rPr>
            </w:pPr>
            <w:r w:rsidRPr="000E7F7B">
              <w:rPr>
                <w:szCs w:val="20"/>
              </w:rPr>
              <w:t>Boston Scientific Pty Ltd</w:t>
            </w:r>
          </w:p>
        </w:tc>
      </w:tr>
      <w:tr w:rsidR="000E7F7B" w14:paraId="6311FDCE" w14:textId="0456501A" w:rsidTr="0080382C">
        <w:tc>
          <w:tcPr>
            <w:tcW w:w="987" w:type="dxa"/>
          </w:tcPr>
          <w:p w14:paraId="0925C173" w14:textId="18BED10D" w:rsidR="000E7F7B" w:rsidRDefault="0080382C" w:rsidP="0043654D">
            <w:pPr>
              <w:spacing w:before="0" w:after="0"/>
              <w:rPr>
                <w:szCs w:val="20"/>
              </w:rPr>
            </w:pPr>
            <w:r>
              <w:t>216398</w:t>
            </w:r>
          </w:p>
        </w:tc>
        <w:tc>
          <w:tcPr>
            <w:tcW w:w="3260" w:type="dxa"/>
          </w:tcPr>
          <w:p w14:paraId="18F0AA52" w14:textId="5A572494" w:rsidR="0080382C" w:rsidRPr="0080382C" w:rsidRDefault="0080382C" w:rsidP="000E7F7B">
            <w:pPr>
              <w:spacing w:before="0" w:after="0"/>
              <w:rPr>
                <w:b/>
                <w:bCs/>
                <w:szCs w:val="20"/>
              </w:rPr>
            </w:pPr>
            <w:r w:rsidRPr="0080382C">
              <w:rPr>
                <w:b/>
                <w:bCs/>
                <w:szCs w:val="20"/>
              </w:rPr>
              <w:t>Cardiac occluder</w:t>
            </w:r>
          </w:p>
          <w:p w14:paraId="087B1AB8" w14:textId="6A855A93" w:rsidR="000E7F7B" w:rsidRDefault="000E7F7B" w:rsidP="000E7F7B">
            <w:pPr>
              <w:spacing w:before="0" w:after="0"/>
              <w:rPr>
                <w:szCs w:val="20"/>
              </w:rPr>
            </w:pPr>
            <w:r w:rsidRPr="000E7F7B">
              <w:rPr>
                <w:szCs w:val="20"/>
              </w:rPr>
              <w:t>The device is constructed from a nitinol mesh and consists of a lobe and a disc connected by a central</w:t>
            </w:r>
            <w:r>
              <w:rPr>
                <w:szCs w:val="20"/>
              </w:rPr>
              <w:t xml:space="preserve"> </w:t>
            </w:r>
            <w:r w:rsidRPr="000E7F7B">
              <w:rPr>
                <w:szCs w:val="20"/>
              </w:rPr>
              <w:t>waist. Polyester patches are sewn into both the lobe and disc to facilitate occlusion. The lobe has</w:t>
            </w:r>
            <w:r>
              <w:rPr>
                <w:szCs w:val="20"/>
              </w:rPr>
              <w:t xml:space="preserve"> </w:t>
            </w:r>
            <w:r w:rsidRPr="000E7F7B">
              <w:rPr>
                <w:szCs w:val="20"/>
              </w:rPr>
              <w:t>stabilizing wires to improve device placement and retention. The device has threaded screw attachments</w:t>
            </w:r>
            <w:r>
              <w:rPr>
                <w:szCs w:val="20"/>
              </w:rPr>
              <w:t xml:space="preserve"> </w:t>
            </w:r>
            <w:r w:rsidRPr="000E7F7B">
              <w:rPr>
                <w:szCs w:val="20"/>
              </w:rPr>
              <w:t>at each end for connection to the delivery and loading cables. The device has radiopaque markers at each</w:t>
            </w:r>
            <w:r>
              <w:rPr>
                <w:szCs w:val="20"/>
              </w:rPr>
              <w:t xml:space="preserve"> </w:t>
            </w:r>
            <w:r w:rsidRPr="000E7F7B">
              <w:rPr>
                <w:szCs w:val="20"/>
              </w:rPr>
              <w:t>end and at the stabilizing wires that permit visibility during fluoroscopy.</w:t>
            </w:r>
          </w:p>
        </w:tc>
        <w:tc>
          <w:tcPr>
            <w:tcW w:w="3261" w:type="dxa"/>
          </w:tcPr>
          <w:p w14:paraId="75BCB253" w14:textId="50102531" w:rsidR="000E7F7B" w:rsidRDefault="000E7F7B" w:rsidP="000E7F7B">
            <w:pPr>
              <w:spacing w:before="0" w:after="0"/>
              <w:rPr>
                <w:szCs w:val="20"/>
              </w:rPr>
            </w:pPr>
            <w:r w:rsidRPr="000E7F7B">
              <w:rPr>
                <w:szCs w:val="20"/>
              </w:rPr>
              <w:t xml:space="preserve">The </w:t>
            </w:r>
            <w:r w:rsidRPr="00643F41">
              <w:rPr>
                <w:szCs w:val="20"/>
              </w:rPr>
              <w:t>AMPLATZER Amulet Left Atrial Appendage Occluder is a</w:t>
            </w:r>
            <w:r w:rsidRPr="000E7F7B">
              <w:rPr>
                <w:szCs w:val="20"/>
              </w:rPr>
              <w:t xml:space="preserve"> percutaneous transcatheter device intended</w:t>
            </w:r>
            <w:r>
              <w:rPr>
                <w:szCs w:val="20"/>
              </w:rPr>
              <w:t xml:space="preserve"> </w:t>
            </w:r>
            <w:r w:rsidRPr="000E7F7B">
              <w:rPr>
                <w:szCs w:val="20"/>
              </w:rPr>
              <w:t>to prevent thrombus embolization from the left atrial appendage (LAA) in patients who have nonvalvular</w:t>
            </w:r>
            <w:r>
              <w:rPr>
                <w:szCs w:val="20"/>
              </w:rPr>
              <w:t xml:space="preserve"> </w:t>
            </w:r>
            <w:r w:rsidRPr="000E7F7B">
              <w:rPr>
                <w:szCs w:val="20"/>
              </w:rPr>
              <w:t>atrial fibrillation.</w:t>
            </w:r>
          </w:p>
        </w:tc>
        <w:tc>
          <w:tcPr>
            <w:tcW w:w="1224" w:type="dxa"/>
          </w:tcPr>
          <w:p w14:paraId="7E4BB0A3" w14:textId="25EADF45" w:rsidR="000E7F7B" w:rsidRDefault="000E7F7B" w:rsidP="0043654D">
            <w:pPr>
              <w:spacing w:before="0" w:after="0"/>
              <w:rPr>
                <w:szCs w:val="20"/>
              </w:rPr>
            </w:pPr>
            <w:r w:rsidRPr="000E7F7B">
              <w:rPr>
                <w:szCs w:val="20"/>
              </w:rPr>
              <w:t>Abbott Medical Australia Pty Ltd</w:t>
            </w:r>
          </w:p>
        </w:tc>
      </w:tr>
      <w:tr w:rsidR="000E7F7B" w14:paraId="74CE88CE" w14:textId="38C44A16" w:rsidTr="0080382C">
        <w:tc>
          <w:tcPr>
            <w:tcW w:w="987" w:type="dxa"/>
          </w:tcPr>
          <w:p w14:paraId="4442B827" w14:textId="24460993" w:rsidR="000E7F7B" w:rsidRDefault="000E7F7B" w:rsidP="0043654D">
            <w:pPr>
              <w:spacing w:before="0" w:after="0"/>
              <w:rPr>
                <w:szCs w:val="20"/>
              </w:rPr>
            </w:pPr>
            <w:r w:rsidRPr="000E7F7B">
              <w:rPr>
                <w:szCs w:val="20"/>
              </w:rPr>
              <w:t>162137</w:t>
            </w:r>
          </w:p>
        </w:tc>
        <w:tc>
          <w:tcPr>
            <w:tcW w:w="3260" w:type="dxa"/>
          </w:tcPr>
          <w:p w14:paraId="23BD2E77" w14:textId="1FEEBC8E" w:rsidR="0080382C" w:rsidRPr="0080382C" w:rsidRDefault="0080382C" w:rsidP="000E7F7B">
            <w:pPr>
              <w:spacing w:before="0" w:after="0"/>
              <w:rPr>
                <w:b/>
                <w:bCs/>
                <w:szCs w:val="20"/>
              </w:rPr>
            </w:pPr>
            <w:r w:rsidRPr="0080382C">
              <w:rPr>
                <w:b/>
                <w:bCs/>
              </w:rPr>
              <w:t>Cardiac occluder</w:t>
            </w:r>
          </w:p>
          <w:p w14:paraId="4E9F94B9" w14:textId="7D3CE229" w:rsidR="000E7F7B" w:rsidRDefault="000E7F7B" w:rsidP="000E7F7B">
            <w:pPr>
              <w:spacing w:before="0" w:after="0"/>
              <w:rPr>
                <w:szCs w:val="20"/>
              </w:rPr>
            </w:pPr>
            <w:r w:rsidRPr="000E7F7B">
              <w:rPr>
                <w:szCs w:val="20"/>
              </w:rPr>
              <w:t>A transcatheter, self-expanding device constructed from a nitinol mesh and consists of a lobe and a disc</w:t>
            </w:r>
            <w:r>
              <w:rPr>
                <w:szCs w:val="20"/>
              </w:rPr>
              <w:t xml:space="preserve"> </w:t>
            </w:r>
            <w:r w:rsidRPr="000E7F7B">
              <w:rPr>
                <w:szCs w:val="20"/>
              </w:rPr>
              <w:t>connected by a central waist. The lobe has stabilising wires for device placement and retention. The</w:t>
            </w:r>
            <w:r>
              <w:rPr>
                <w:szCs w:val="20"/>
              </w:rPr>
              <w:t xml:space="preserve"> </w:t>
            </w:r>
            <w:r w:rsidRPr="000E7F7B">
              <w:rPr>
                <w:szCs w:val="20"/>
              </w:rPr>
              <w:t>device has threaded screw attachments at each end for connection to the delivery and loading cables. The</w:t>
            </w:r>
            <w:r>
              <w:rPr>
                <w:szCs w:val="20"/>
              </w:rPr>
              <w:t xml:space="preserve"> </w:t>
            </w:r>
            <w:r w:rsidRPr="000E7F7B">
              <w:rPr>
                <w:szCs w:val="20"/>
              </w:rPr>
              <w:t>device has radiopaque markers at each end and at the stabilising wires</w:t>
            </w:r>
          </w:p>
        </w:tc>
        <w:tc>
          <w:tcPr>
            <w:tcW w:w="3261" w:type="dxa"/>
          </w:tcPr>
          <w:p w14:paraId="5B194DE7" w14:textId="2A4BF471" w:rsidR="000E7F7B" w:rsidRDefault="000E7F7B" w:rsidP="000E7F7B">
            <w:pPr>
              <w:spacing w:before="0" w:after="0"/>
              <w:rPr>
                <w:szCs w:val="20"/>
              </w:rPr>
            </w:pPr>
            <w:r w:rsidRPr="000E7F7B">
              <w:rPr>
                <w:szCs w:val="20"/>
              </w:rPr>
              <w:t>The AMPLATZER Cardiac Plug is a percutaneous transcatheter device intended to prevent thrombus</w:t>
            </w:r>
            <w:r>
              <w:rPr>
                <w:szCs w:val="20"/>
              </w:rPr>
              <w:t xml:space="preserve"> </w:t>
            </w:r>
            <w:r w:rsidRPr="000E7F7B">
              <w:rPr>
                <w:szCs w:val="20"/>
              </w:rPr>
              <w:t>embolization from the left atrial appendage (LAA) in patients who have nonvalvular atrial fibrillation.</w:t>
            </w:r>
          </w:p>
        </w:tc>
        <w:tc>
          <w:tcPr>
            <w:tcW w:w="1224" w:type="dxa"/>
          </w:tcPr>
          <w:p w14:paraId="5D5B04FC" w14:textId="2439D3E4" w:rsidR="000E7F7B" w:rsidRDefault="000E7F7B" w:rsidP="0043654D">
            <w:pPr>
              <w:spacing w:before="0" w:after="0"/>
              <w:rPr>
                <w:szCs w:val="20"/>
              </w:rPr>
            </w:pPr>
            <w:r w:rsidRPr="000E7F7B">
              <w:rPr>
                <w:szCs w:val="20"/>
              </w:rPr>
              <w:t>Abbott Medical Australia Pty Ltd</w:t>
            </w:r>
          </w:p>
        </w:tc>
      </w:tr>
      <w:tr w:rsidR="00621D7D" w14:paraId="29C8358A" w14:textId="77777777" w:rsidTr="0080382C">
        <w:tc>
          <w:tcPr>
            <w:tcW w:w="987" w:type="dxa"/>
          </w:tcPr>
          <w:p w14:paraId="6CDD8733" w14:textId="22E05483" w:rsidR="00621D7D" w:rsidRPr="000E7F7B" w:rsidRDefault="00621D7D" w:rsidP="0043654D">
            <w:pPr>
              <w:spacing w:before="0" w:after="0"/>
              <w:rPr>
                <w:szCs w:val="20"/>
              </w:rPr>
            </w:pPr>
            <w:r w:rsidRPr="00621D7D">
              <w:rPr>
                <w:szCs w:val="20"/>
              </w:rPr>
              <w:t>230575</w:t>
            </w:r>
          </w:p>
        </w:tc>
        <w:tc>
          <w:tcPr>
            <w:tcW w:w="3260" w:type="dxa"/>
          </w:tcPr>
          <w:p w14:paraId="4E703064" w14:textId="77777777" w:rsidR="0080382C" w:rsidRPr="0080382C" w:rsidRDefault="0080382C" w:rsidP="0080382C">
            <w:pPr>
              <w:spacing w:before="0" w:after="0"/>
              <w:rPr>
                <w:b/>
                <w:bCs/>
                <w:szCs w:val="20"/>
              </w:rPr>
            </w:pPr>
            <w:r w:rsidRPr="0080382C">
              <w:rPr>
                <w:b/>
                <w:bCs/>
              </w:rPr>
              <w:t>Cardiac occluder</w:t>
            </w:r>
          </w:p>
          <w:p w14:paraId="099891FD" w14:textId="71FA459D" w:rsidR="00621D7D" w:rsidRPr="000E7F7B" w:rsidRDefault="00621D7D" w:rsidP="00621D7D">
            <w:pPr>
              <w:spacing w:before="0" w:after="0"/>
              <w:rPr>
                <w:szCs w:val="20"/>
              </w:rPr>
            </w:pPr>
            <w:r w:rsidRPr="00621D7D">
              <w:rPr>
                <w:szCs w:val="20"/>
              </w:rPr>
              <w:t>The System permanently occludes the Left Atrial Appendage (LAA). The System consists of an occluder</w:t>
            </w:r>
            <w:r>
              <w:rPr>
                <w:szCs w:val="20"/>
              </w:rPr>
              <w:t xml:space="preserve"> </w:t>
            </w:r>
            <w:r w:rsidRPr="00621D7D">
              <w:rPr>
                <w:szCs w:val="20"/>
              </w:rPr>
              <w:t>and anchors (comprising the implant) and delivery system. The delivery system consists of a delivery</w:t>
            </w:r>
            <w:r>
              <w:rPr>
                <w:szCs w:val="20"/>
              </w:rPr>
              <w:t xml:space="preserve"> </w:t>
            </w:r>
            <w:r w:rsidRPr="00621D7D">
              <w:rPr>
                <w:szCs w:val="20"/>
              </w:rPr>
              <w:t>catheter with loading device and control handle that actuates the anchors through the catheter to detach</w:t>
            </w:r>
            <w:r>
              <w:rPr>
                <w:szCs w:val="20"/>
              </w:rPr>
              <w:t xml:space="preserve"> </w:t>
            </w:r>
            <w:r w:rsidRPr="00621D7D">
              <w:rPr>
                <w:szCs w:val="20"/>
              </w:rPr>
              <w:t>the Implant from the System. The Implant is constrained in the Delivery Sheath (packaged separately) until</w:t>
            </w:r>
            <w:r>
              <w:rPr>
                <w:szCs w:val="20"/>
              </w:rPr>
              <w:t xml:space="preserve"> </w:t>
            </w:r>
            <w:r w:rsidRPr="00621D7D">
              <w:rPr>
                <w:szCs w:val="20"/>
              </w:rPr>
              <w:t>deployment in the LAA. After positioning, anchors are extended and implant detached.</w:t>
            </w:r>
          </w:p>
        </w:tc>
        <w:tc>
          <w:tcPr>
            <w:tcW w:w="3261" w:type="dxa"/>
          </w:tcPr>
          <w:p w14:paraId="3D253E19" w14:textId="30FA919C" w:rsidR="00621D7D" w:rsidRPr="000E7F7B" w:rsidRDefault="00621D7D" w:rsidP="00621D7D">
            <w:pPr>
              <w:spacing w:before="0" w:after="0"/>
              <w:rPr>
                <w:szCs w:val="20"/>
              </w:rPr>
            </w:pPr>
            <w:r w:rsidRPr="00621D7D">
              <w:rPr>
                <w:szCs w:val="20"/>
              </w:rPr>
              <w:t>The Coherex WaveCrest Left Atrial Appendage Occlusion System is intended to be used for occlusion of</w:t>
            </w:r>
            <w:r>
              <w:rPr>
                <w:szCs w:val="20"/>
              </w:rPr>
              <w:t xml:space="preserve"> </w:t>
            </w:r>
            <w:r w:rsidRPr="00621D7D">
              <w:rPr>
                <w:szCs w:val="20"/>
              </w:rPr>
              <w:t>the Left Atrial Appendage in patients who have all of the following: Non-valvular paroxysmal, persistent, or</w:t>
            </w:r>
            <w:r>
              <w:rPr>
                <w:szCs w:val="20"/>
              </w:rPr>
              <w:t xml:space="preserve"> </w:t>
            </w:r>
            <w:r w:rsidRPr="00621D7D">
              <w:rPr>
                <w:szCs w:val="20"/>
              </w:rPr>
              <w:t>permanent atrial fibrillation, LAA anatomy amenable to treatment by percutaneous techniques, and Risk</w:t>
            </w:r>
            <w:r>
              <w:rPr>
                <w:szCs w:val="20"/>
              </w:rPr>
              <w:t xml:space="preserve"> </w:t>
            </w:r>
            <w:r w:rsidRPr="00621D7D">
              <w:rPr>
                <w:szCs w:val="20"/>
              </w:rPr>
              <w:t>factors for potential thrombus formation in the LAA.</w:t>
            </w:r>
          </w:p>
        </w:tc>
        <w:tc>
          <w:tcPr>
            <w:tcW w:w="1224" w:type="dxa"/>
          </w:tcPr>
          <w:p w14:paraId="58CC1ED8" w14:textId="53D150C1" w:rsidR="00621D7D" w:rsidRPr="000E7F7B" w:rsidRDefault="00621D7D" w:rsidP="0043654D">
            <w:pPr>
              <w:spacing w:before="0" w:after="0"/>
              <w:rPr>
                <w:szCs w:val="20"/>
              </w:rPr>
            </w:pPr>
            <w:r w:rsidRPr="00621D7D">
              <w:rPr>
                <w:szCs w:val="20"/>
              </w:rPr>
              <w:t>Johnson &amp; Johnson Medical Pty Ltd</w:t>
            </w:r>
          </w:p>
        </w:tc>
      </w:tr>
      <w:tr w:rsidR="0080382C" w14:paraId="1674D890" w14:textId="77777777" w:rsidTr="0080382C">
        <w:tc>
          <w:tcPr>
            <w:tcW w:w="987" w:type="dxa"/>
          </w:tcPr>
          <w:p w14:paraId="10816513" w14:textId="5F4032AB" w:rsidR="0080382C" w:rsidRPr="00621D7D" w:rsidRDefault="0080382C" w:rsidP="0043654D">
            <w:pPr>
              <w:spacing w:before="0" w:after="0"/>
              <w:rPr>
                <w:szCs w:val="20"/>
              </w:rPr>
            </w:pPr>
            <w:r w:rsidRPr="0080382C">
              <w:rPr>
                <w:szCs w:val="20"/>
              </w:rPr>
              <w:t>230576</w:t>
            </w:r>
          </w:p>
        </w:tc>
        <w:tc>
          <w:tcPr>
            <w:tcW w:w="3260" w:type="dxa"/>
          </w:tcPr>
          <w:p w14:paraId="5BCDED00" w14:textId="77777777" w:rsidR="0080382C" w:rsidRPr="0080382C" w:rsidRDefault="0080382C" w:rsidP="0080382C">
            <w:pPr>
              <w:spacing w:before="0" w:after="0"/>
              <w:rPr>
                <w:b/>
                <w:bCs/>
                <w:szCs w:val="20"/>
              </w:rPr>
            </w:pPr>
            <w:r w:rsidRPr="0080382C">
              <w:rPr>
                <w:b/>
                <w:bCs/>
                <w:szCs w:val="20"/>
              </w:rPr>
              <w:t>Delivery kit</w:t>
            </w:r>
          </w:p>
          <w:p w14:paraId="1DF6E666" w14:textId="39CBD598" w:rsidR="0080382C" w:rsidRPr="0080382C" w:rsidRDefault="0080382C" w:rsidP="0080382C">
            <w:pPr>
              <w:spacing w:before="0" w:after="0"/>
              <w:rPr>
                <w:szCs w:val="20"/>
              </w:rPr>
            </w:pPr>
            <w:r w:rsidRPr="0080382C">
              <w:rPr>
                <w:szCs w:val="20"/>
              </w:rPr>
              <w:t>The sheath and dilator which are packaged together are advanced over the guide-wire into the patient</w:t>
            </w:r>
          </w:p>
          <w:p w14:paraId="23F18643" w14:textId="77777777" w:rsidR="0080382C" w:rsidRPr="0080382C" w:rsidRDefault="0080382C" w:rsidP="0080382C">
            <w:pPr>
              <w:spacing w:before="0" w:after="0"/>
              <w:rPr>
                <w:szCs w:val="20"/>
              </w:rPr>
            </w:pPr>
            <w:r w:rsidRPr="0080382C">
              <w:rPr>
                <w:szCs w:val="20"/>
              </w:rPr>
              <w:t>through the transeptal puncture until the tip is seen to be in the mid portion of the left atrium. The implant is</w:t>
            </w:r>
          </w:p>
          <w:p w14:paraId="03B87C74" w14:textId="77777777" w:rsidR="0080382C" w:rsidRPr="0080382C" w:rsidRDefault="0080382C" w:rsidP="0080382C">
            <w:pPr>
              <w:spacing w:before="0" w:after="0"/>
              <w:rPr>
                <w:szCs w:val="20"/>
              </w:rPr>
            </w:pPr>
            <w:r w:rsidRPr="0080382C">
              <w:rPr>
                <w:szCs w:val="20"/>
              </w:rPr>
              <w:lastRenderedPageBreak/>
              <w:t>advanced inside the delivery sheath and is detached using the delivery system handle under fluoroscopy.</w:t>
            </w:r>
          </w:p>
          <w:p w14:paraId="4F0F49F7" w14:textId="578B25E3" w:rsidR="0080382C" w:rsidRPr="00621D7D" w:rsidRDefault="0080382C" w:rsidP="0080382C">
            <w:pPr>
              <w:spacing w:before="0" w:after="0"/>
              <w:rPr>
                <w:szCs w:val="20"/>
              </w:rPr>
            </w:pPr>
            <w:r w:rsidRPr="0080382C">
              <w:rPr>
                <w:szCs w:val="20"/>
              </w:rPr>
              <w:t>Once the implant is in place the delivery system is retracted into the sheath and removed from the patient</w:t>
            </w:r>
          </w:p>
        </w:tc>
        <w:tc>
          <w:tcPr>
            <w:tcW w:w="3261" w:type="dxa"/>
          </w:tcPr>
          <w:p w14:paraId="6CE2C6CD" w14:textId="77777777" w:rsidR="0080382C" w:rsidRPr="0080382C" w:rsidRDefault="0080382C" w:rsidP="0080382C">
            <w:pPr>
              <w:spacing w:before="0" w:after="0"/>
              <w:rPr>
                <w:szCs w:val="20"/>
              </w:rPr>
            </w:pPr>
            <w:r w:rsidRPr="0080382C">
              <w:rPr>
                <w:szCs w:val="20"/>
              </w:rPr>
              <w:lastRenderedPageBreak/>
              <w:t>The Coherex WaveCrest Left Atrial Appendage Occlusion System delivery sheath is used to constrain the</w:t>
            </w:r>
          </w:p>
          <w:p w14:paraId="52F1A4A7" w14:textId="77777777" w:rsidR="0080382C" w:rsidRPr="0080382C" w:rsidRDefault="0080382C" w:rsidP="0080382C">
            <w:pPr>
              <w:spacing w:before="0" w:after="0"/>
              <w:rPr>
                <w:szCs w:val="20"/>
              </w:rPr>
            </w:pPr>
            <w:r w:rsidRPr="0080382C">
              <w:rPr>
                <w:szCs w:val="20"/>
              </w:rPr>
              <w:t>LAA implant which is intended to be used for occlusion of the Left Atrial Appendage in patients who have</w:t>
            </w:r>
          </w:p>
          <w:p w14:paraId="1B467004" w14:textId="77777777" w:rsidR="0080382C" w:rsidRPr="0080382C" w:rsidRDefault="0080382C" w:rsidP="0080382C">
            <w:pPr>
              <w:spacing w:before="0" w:after="0"/>
              <w:rPr>
                <w:szCs w:val="20"/>
              </w:rPr>
            </w:pPr>
            <w:r w:rsidRPr="0080382C">
              <w:rPr>
                <w:szCs w:val="20"/>
              </w:rPr>
              <w:t xml:space="preserve">all of the following: Non-valvular paroxysmal, persistent, or </w:t>
            </w:r>
            <w:r w:rsidRPr="0080382C">
              <w:rPr>
                <w:szCs w:val="20"/>
              </w:rPr>
              <w:lastRenderedPageBreak/>
              <w:t>permanent atrial fibrillation, LAA anatomy</w:t>
            </w:r>
          </w:p>
          <w:p w14:paraId="7843F8A8" w14:textId="77777777" w:rsidR="0080382C" w:rsidRPr="0080382C" w:rsidRDefault="0080382C" w:rsidP="0080382C">
            <w:pPr>
              <w:spacing w:before="0" w:after="0"/>
              <w:rPr>
                <w:szCs w:val="20"/>
              </w:rPr>
            </w:pPr>
            <w:r w:rsidRPr="0080382C">
              <w:rPr>
                <w:szCs w:val="20"/>
              </w:rPr>
              <w:t>amenable to treatment by percutaneous techniques, and Risk factors for potential thrombus formation in</w:t>
            </w:r>
          </w:p>
          <w:p w14:paraId="18956E30" w14:textId="03D004DD" w:rsidR="0080382C" w:rsidRPr="00621D7D" w:rsidRDefault="0080382C" w:rsidP="0080382C">
            <w:pPr>
              <w:spacing w:before="0" w:after="0"/>
              <w:rPr>
                <w:szCs w:val="20"/>
              </w:rPr>
            </w:pPr>
            <w:r w:rsidRPr="0080382C">
              <w:rPr>
                <w:szCs w:val="20"/>
              </w:rPr>
              <w:t>the LAA.</w:t>
            </w:r>
          </w:p>
        </w:tc>
        <w:tc>
          <w:tcPr>
            <w:tcW w:w="1224" w:type="dxa"/>
          </w:tcPr>
          <w:p w14:paraId="37B0D8AB" w14:textId="56A02A0D" w:rsidR="0080382C" w:rsidRPr="00621D7D" w:rsidRDefault="0080382C" w:rsidP="0043654D">
            <w:pPr>
              <w:spacing w:before="0" w:after="0"/>
              <w:rPr>
                <w:szCs w:val="20"/>
              </w:rPr>
            </w:pPr>
            <w:r w:rsidRPr="00621D7D">
              <w:rPr>
                <w:szCs w:val="20"/>
              </w:rPr>
              <w:lastRenderedPageBreak/>
              <w:t>Johnson &amp; Johnson Medical Pty Ltd</w:t>
            </w:r>
          </w:p>
        </w:tc>
      </w:tr>
    </w:tbl>
    <w:p w14:paraId="74B6CD84" w14:textId="77777777" w:rsidR="00BD18FF" w:rsidRPr="0043654D" w:rsidRDefault="00BD18FF" w:rsidP="0043654D">
      <w:pPr>
        <w:spacing w:before="0" w:after="0"/>
        <w:ind w:left="284"/>
        <w:rPr>
          <w:szCs w:val="20"/>
        </w:rPr>
      </w:pPr>
    </w:p>
    <w:p w14:paraId="27939940"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646AFF45"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Yes (please provide details below)</w:t>
      </w:r>
    </w:p>
    <w:p w14:paraId="77CFDDCB"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No</w:t>
      </w:r>
    </w:p>
    <w:p w14:paraId="7C7CABE1" w14:textId="21F5605F" w:rsidR="0047581D" w:rsidRDefault="0047581D" w:rsidP="0047581D">
      <w:pPr>
        <w:spacing w:before="0" w:after="0"/>
        <w:rPr>
          <w:b/>
          <w:szCs w:val="20"/>
        </w:rPr>
      </w:pPr>
    </w:p>
    <w:p w14:paraId="5D7EE4F7" w14:textId="2123AC51" w:rsidR="000E7F7B" w:rsidRPr="000E7F7B" w:rsidRDefault="000E7F7B" w:rsidP="00A51635">
      <w:pPr>
        <w:spacing w:before="0" w:after="0"/>
        <w:ind w:left="284"/>
        <w:rPr>
          <w:bCs/>
          <w:szCs w:val="20"/>
        </w:rPr>
      </w:pPr>
      <w:r w:rsidRPr="000E7F7B">
        <w:rPr>
          <w:bCs/>
          <w:szCs w:val="20"/>
        </w:rPr>
        <w:t>N/A</w:t>
      </w:r>
    </w:p>
    <w:p w14:paraId="55DACFBF" w14:textId="70967691" w:rsidR="0047581D" w:rsidRPr="0047581D" w:rsidRDefault="0047581D" w:rsidP="00A51635">
      <w:pPr>
        <w:spacing w:before="0" w:after="0"/>
        <w:ind w:left="284"/>
        <w:rPr>
          <w:szCs w:val="20"/>
        </w:rPr>
      </w:pPr>
      <w:r w:rsidRPr="0047581D">
        <w:rPr>
          <w:szCs w:val="20"/>
        </w:rPr>
        <w:t xml:space="preserve">Date of submission to TGA:  </w:t>
      </w:r>
    </w:p>
    <w:p w14:paraId="4660B9B6" w14:textId="574F7C08" w:rsidR="0047581D" w:rsidRPr="0047581D" w:rsidRDefault="0047581D" w:rsidP="00A51635">
      <w:pPr>
        <w:spacing w:before="0" w:after="0"/>
        <w:ind w:left="284"/>
        <w:rPr>
          <w:szCs w:val="20"/>
        </w:rPr>
      </w:pPr>
      <w:r w:rsidRPr="0047581D">
        <w:rPr>
          <w:szCs w:val="20"/>
        </w:rPr>
        <w:t>Estimated date by which TGA approval can be expected</w:t>
      </w:r>
      <w:r>
        <w:rPr>
          <w:szCs w:val="20"/>
        </w:rPr>
        <w:t xml:space="preserve">:  </w:t>
      </w:r>
    </w:p>
    <w:p w14:paraId="07C16778" w14:textId="1F56135A" w:rsidR="0047581D" w:rsidRPr="0047581D" w:rsidRDefault="0047581D" w:rsidP="00A51635">
      <w:pPr>
        <w:spacing w:before="0" w:after="0"/>
        <w:ind w:left="284"/>
        <w:rPr>
          <w:szCs w:val="20"/>
        </w:rPr>
      </w:pPr>
      <w:r w:rsidRPr="0047581D">
        <w:rPr>
          <w:szCs w:val="20"/>
        </w:rPr>
        <w:t>TGA Application ID</w:t>
      </w:r>
      <w:r>
        <w:rPr>
          <w:szCs w:val="20"/>
        </w:rPr>
        <w:t xml:space="preserve">:  </w:t>
      </w:r>
    </w:p>
    <w:p w14:paraId="21AB0CBC" w14:textId="2E6635B6" w:rsidR="0047581D" w:rsidRPr="0047581D" w:rsidRDefault="0047581D" w:rsidP="00A51635">
      <w:pPr>
        <w:spacing w:before="0" w:after="0"/>
        <w:ind w:left="284"/>
        <w:rPr>
          <w:szCs w:val="20"/>
        </w:rPr>
      </w:pPr>
      <w:r w:rsidRPr="0047581D">
        <w:rPr>
          <w:szCs w:val="20"/>
        </w:rPr>
        <w:t>TGA approved indication(s), if applicable</w:t>
      </w:r>
      <w:r>
        <w:rPr>
          <w:szCs w:val="20"/>
        </w:rPr>
        <w:t xml:space="preserve">:  </w:t>
      </w:r>
    </w:p>
    <w:p w14:paraId="3A144D3B" w14:textId="4431325F" w:rsidR="003433D1" w:rsidRPr="0047581D" w:rsidRDefault="0047581D" w:rsidP="00A51635">
      <w:pPr>
        <w:spacing w:before="0" w:after="0"/>
        <w:ind w:left="284"/>
        <w:rPr>
          <w:szCs w:val="20"/>
        </w:rPr>
      </w:pPr>
      <w:r w:rsidRPr="0047581D">
        <w:rPr>
          <w:szCs w:val="20"/>
        </w:rPr>
        <w:t>TGA approved purpose(s), if applicable</w:t>
      </w:r>
      <w:r>
        <w:rPr>
          <w:szCs w:val="20"/>
        </w:rPr>
        <w:t xml:space="preserve">:  </w:t>
      </w:r>
    </w:p>
    <w:p w14:paraId="4157E977" w14:textId="77777777" w:rsidR="00621D7D" w:rsidRPr="000A110D" w:rsidRDefault="00621D7D" w:rsidP="00621D7D">
      <w:pPr>
        <w:pStyle w:val="Heading2"/>
      </w:pPr>
      <w:r>
        <w:t>I</w:t>
      </w:r>
      <w:r w:rsidRPr="000A110D">
        <w:t>f the therapeutic good is not in the process of being considered for listing, registration or inclusion by the TGA, is an application to the TGA being prepared?</w:t>
      </w:r>
    </w:p>
    <w:p w14:paraId="64A45DA9" w14:textId="77777777" w:rsidR="00621D7D" w:rsidRDefault="00621D7D" w:rsidP="00621D7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Yes (please provide details below)</w:t>
      </w:r>
    </w:p>
    <w:p w14:paraId="10A9F7A9" w14:textId="77777777" w:rsidR="00621D7D" w:rsidRDefault="00621D7D" w:rsidP="00621D7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No</w:t>
      </w:r>
    </w:p>
    <w:p w14:paraId="638ECB02" w14:textId="77777777" w:rsidR="00621D7D" w:rsidRDefault="00621D7D" w:rsidP="00621D7D">
      <w:pPr>
        <w:spacing w:before="0" w:after="0"/>
        <w:rPr>
          <w:szCs w:val="20"/>
        </w:rPr>
      </w:pPr>
    </w:p>
    <w:p w14:paraId="780F09E7" w14:textId="77777777" w:rsidR="00621D7D" w:rsidRDefault="00621D7D" w:rsidP="00A51635">
      <w:pPr>
        <w:spacing w:before="0" w:after="0"/>
        <w:ind w:left="284"/>
        <w:rPr>
          <w:szCs w:val="20"/>
        </w:rPr>
      </w:pPr>
      <w:r>
        <w:rPr>
          <w:szCs w:val="20"/>
        </w:rPr>
        <w:t>N/A</w:t>
      </w:r>
    </w:p>
    <w:p w14:paraId="73FBDE9F" w14:textId="77777777" w:rsidR="00621D7D" w:rsidRPr="00971EDB" w:rsidRDefault="00621D7D" w:rsidP="00A51635">
      <w:pPr>
        <w:spacing w:before="0" w:after="0"/>
        <w:ind w:left="284"/>
        <w:rPr>
          <w:szCs w:val="20"/>
        </w:rPr>
      </w:pPr>
      <w:r w:rsidRPr="00971EDB">
        <w:rPr>
          <w:szCs w:val="20"/>
        </w:rPr>
        <w:t>Estimated date of submission to TGA</w:t>
      </w:r>
      <w:r>
        <w:rPr>
          <w:szCs w:val="20"/>
        </w:rPr>
        <w:t xml:space="preserve">:  </w:t>
      </w:r>
    </w:p>
    <w:p w14:paraId="209875C5" w14:textId="77777777" w:rsidR="00621D7D" w:rsidRPr="00971EDB" w:rsidRDefault="00621D7D" w:rsidP="00A51635">
      <w:pPr>
        <w:spacing w:before="0" w:after="0"/>
        <w:ind w:left="284"/>
        <w:rPr>
          <w:szCs w:val="20"/>
        </w:rPr>
      </w:pPr>
      <w:r w:rsidRPr="00971EDB">
        <w:rPr>
          <w:szCs w:val="20"/>
        </w:rPr>
        <w:t>Proposed indication(s), if applicable</w:t>
      </w:r>
      <w:r>
        <w:rPr>
          <w:szCs w:val="20"/>
        </w:rPr>
        <w:t xml:space="preserve">:  </w:t>
      </w:r>
    </w:p>
    <w:p w14:paraId="327C60CD" w14:textId="2413A9D8" w:rsidR="00621D7D" w:rsidRPr="00154B00" w:rsidRDefault="00621D7D" w:rsidP="00A51635">
      <w:pPr>
        <w:spacing w:before="0" w:after="0"/>
        <w:ind w:left="284"/>
        <w:rPr>
          <w:szCs w:val="20"/>
        </w:rPr>
      </w:pPr>
      <w:r w:rsidRPr="00971EDB">
        <w:rPr>
          <w:szCs w:val="20"/>
        </w:rPr>
        <w:t>Proposed purpose(s), if applicable</w:t>
      </w:r>
      <w:r>
        <w:rPr>
          <w:szCs w:val="20"/>
        </w:rPr>
        <w:t xml:space="preserve">:  </w:t>
      </w:r>
    </w:p>
    <w:p w14:paraId="689A73F5" w14:textId="77777777" w:rsidR="00621D7D" w:rsidRDefault="00621D7D" w:rsidP="00621D7D">
      <w:pPr>
        <w:rPr>
          <w:b/>
          <w:sz w:val="32"/>
          <w:szCs w:val="32"/>
        </w:rPr>
        <w:sectPr w:rsidR="00621D7D" w:rsidSect="00991EE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pPr>
    </w:p>
    <w:p w14:paraId="18F8C38E"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1A72EBC4"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tblLook w:val="04A0" w:firstRow="1" w:lastRow="0" w:firstColumn="1" w:lastColumn="0" w:noHBand="0" w:noVBand="1"/>
        <w:tblCaption w:val="Summary of Evidence - Published"/>
      </w:tblPr>
      <w:tblGrid>
        <w:gridCol w:w="368"/>
        <w:gridCol w:w="1146"/>
        <w:gridCol w:w="2340"/>
        <w:gridCol w:w="2982"/>
        <w:gridCol w:w="5579"/>
        <w:gridCol w:w="1533"/>
      </w:tblGrid>
      <w:tr w:rsidR="00DD308E" w14:paraId="1E2F0958" w14:textId="77777777" w:rsidTr="00621D7D">
        <w:trPr>
          <w:cantSplit/>
          <w:tblHeader/>
        </w:trPr>
        <w:tc>
          <w:tcPr>
            <w:tcW w:w="132" w:type="pct"/>
          </w:tcPr>
          <w:p w14:paraId="45CB7520" w14:textId="77777777" w:rsidR="00DD308E" w:rsidRDefault="00DD308E" w:rsidP="00855944">
            <w:pPr>
              <w:pStyle w:val="TableHEADER"/>
            </w:pPr>
          </w:p>
        </w:tc>
        <w:tc>
          <w:tcPr>
            <w:tcW w:w="411" w:type="pct"/>
          </w:tcPr>
          <w:p w14:paraId="29592BEF" w14:textId="77777777" w:rsidR="00DD308E" w:rsidRDefault="00DD308E" w:rsidP="00855944">
            <w:pPr>
              <w:pStyle w:val="TableHEADER"/>
            </w:pPr>
            <w:r>
              <w:t>Type of study design*</w:t>
            </w:r>
          </w:p>
        </w:tc>
        <w:tc>
          <w:tcPr>
            <w:tcW w:w="839" w:type="pct"/>
          </w:tcPr>
          <w:p w14:paraId="5CF74B76" w14:textId="77777777" w:rsidR="00DD308E" w:rsidRDefault="00DD308E" w:rsidP="00855944">
            <w:pPr>
              <w:pStyle w:val="TableHEADER"/>
            </w:pPr>
            <w:r>
              <w:t>Title of journal article  or research project (including any trial identifier or study lead if relevant)</w:t>
            </w:r>
          </w:p>
        </w:tc>
        <w:tc>
          <w:tcPr>
            <w:tcW w:w="1069" w:type="pct"/>
          </w:tcPr>
          <w:p w14:paraId="1616CD54" w14:textId="77777777" w:rsidR="00DD308E" w:rsidRDefault="00DD308E" w:rsidP="00855944">
            <w:pPr>
              <w:pStyle w:val="TableHEADER"/>
            </w:pPr>
            <w:r>
              <w:t>Short description of research  (max 50 words)**</w:t>
            </w:r>
          </w:p>
        </w:tc>
        <w:tc>
          <w:tcPr>
            <w:tcW w:w="2000" w:type="pct"/>
          </w:tcPr>
          <w:p w14:paraId="03CFD2BB" w14:textId="77777777" w:rsidR="00DD308E" w:rsidRDefault="00DD308E" w:rsidP="00855944">
            <w:pPr>
              <w:pStyle w:val="TableHEADER"/>
            </w:pPr>
            <w:r w:rsidRPr="00E82F54">
              <w:t xml:space="preserve">Website link to </w:t>
            </w:r>
            <w:r>
              <w:t>journal article or research (if available)</w:t>
            </w:r>
          </w:p>
        </w:tc>
        <w:tc>
          <w:tcPr>
            <w:tcW w:w="550" w:type="pct"/>
          </w:tcPr>
          <w:p w14:paraId="56D400C9" w14:textId="77777777" w:rsidR="00DD308E" w:rsidRDefault="00DD308E" w:rsidP="00855944">
            <w:pPr>
              <w:pStyle w:val="TableHEADER"/>
            </w:pPr>
            <w:r w:rsidRPr="00E82F54">
              <w:t>Date</w:t>
            </w:r>
            <w:r>
              <w:t xml:space="preserve"> of publication</w:t>
            </w:r>
            <w:r w:rsidRPr="00E82F54">
              <w:t>*</w:t>
            </w:r>
            <w:r>
              <w:t>**</w:t>
            </w:r>
          </w:p>
        </w:tc>
      </w:tr>
      <w:tr w:rsidR="00DD308E" w14:paraId="7E0F1688" w14:textId="77777777" w:rsidTr="00621D7D">
        <w:trPr>
          <w:cantSplit/>
        </w:trPr>
        <w:tc>
          <w:tcPr>
            <w:tcW w:w="132" w:type="pct"/>
          </w:tcPr>
          <w:p w14:paraId="0D864525" w14:textId="77777777" w:rsidR="00DD308E" w:rsidRPr="00965B6B" w:rsidRDefault="00DD308E" w:rsidP="00DD308E">
            <w:pPr>
              <w:rPr>
                <w:szCs w:val="20"/>
              </w:rPr>
            </w:pPr>
            <w:r w:rsidRPr="00965B6B">
              <w:rPr>
                <w:szCs w:val="20"/>
              </w:rPr>
              <w:t>1</w:t>
            </w:r>
            <w:r>
              <w:rPr>
                <w:szCs w:val="20"/>
              </w:rPr>
              <w:t>.</w:t>
            </w:r>
          </w:p>
        </w:tc>
        <w:tc>
          <w:tcPr>
            <w:tcW w:w="411" w:type="pct"/>
          </w:tcPr>
          <w:p w14:paraId="73175D8D" w14:textId="6114528D" w:rsidR="00DD308E" w:rsidRDefault="000149FD" w:rsidP="00DD308E">
            <w:pPr>
              <w:rPr>
                <w:b/>
                <w:szCs w:val="20"/>
              </w:rPr>
            </w:pPr>
            <w:r>
              <w:t>Patient-level meta-analysis of 2 RCTs</w:t>
            </w:r>
          </w:p>
        </w:tc>
        <w:tc>
          <w:tcPr>
            <w:tcW w:w="839" w:type="pct"/>
          </w:tcPr>
          <w:p w14:paraId="6E73E0C6" w14:textId="1A2D7A9D" w:rsidR="0080382C" w:rsidRPr="0080382C" w:rsidRDefault="0080382C" w:rsidP="00DD308E">
            <w:pPr>
              <w:rPr>
                <w:b/>
                <w:szCs w:val="20"/>
              </w:rPr>
            </w:pPr>
            <w:r w:rsidRPr="0080382C">
              <w:rPr>
                <w:b/>
                <w:szCs w:val="20"/>
              </w:rPr>
              <w:t>Meta-analysis</w:t>
            </w:r>
          </w:p>
          <w:p w14:paraId="626CE481" w14:textId="20516A9E" w:rsidR="00DD308E" w:rsidRPr="000149FD" w:rsidRDefault="000149FD" w:rsidP="00DD308E">
            <w:pPr>
              <w:rPr>
                <w:bCs/>
                <w:szCs w:val="20"/>
              </w:rPr>
            </w:pPr>
            <w:r w:rsidRPr="000149FD">
              <w:rPr>
                <w:bCs/>
                <w:szCs w:val="20"/>
              </w:rPr>
              <w:t>Reddy et al 2017. 5-Year Outcomes After Left Atrial Appendage Closure: From the PREVAIL and PROTECT AF Trials.</w:t>
            </w:r>
            <w:r>
              <w:rPr>
                <w:bCs/>
                <w:szCs w:val="20"/>
              </w:rPr>
              <w:t xml:space="preserve"> </w:t>
            </w:r>
            <w:r w:rsidRPr="000149FD">
              <w:rPr>
                <w:bCs/>
                <w:szCs w:val="20"/>
              </w:rPr>
              <w:t xml:space="preserve">J Am Coll Cardiol. 2017 Dec 19;70(24):2964-2975. </w:t>
            </w:r>
          </w:p>
        </w:tc>
        <w:tc>
          <w:tcPr>
            <w:tcW w:w="1069" w:type="pct"/>
          </w:tcPr>
          <w:p w14:paraId="0687137D" w14:textId="5D298540" w:rsidR="00DD308E" w:rsidRDefault="000149FD" w:rsidP="00DD308E">
            <w:pPr>
              <w:rPr>
                <w:b/>
                <w:szCs w:val="20"/>
              </w:rPr>
            </w:pPr>
            <w:r w:rsidRPr="000149FD">
              <w:rPr>
                <w:bCs/>
                <w:szCs w:val="20"/>
              </w:rPr>
              <w:t>A meta-analysis of the PROTECT AF and PREVAIL utilising 5 year outcomes data comparing LAAC with warfarin in treatment of patients with NVAF, demonstrated that LAAC with Watchman provides stroke prevention in nonvalvular atrial fibrillation comparable to warfarin, with additional reductions in major bleeding, particularly haemorrhagic stroke, and mortality.</w:t>
            </w:r>
          </w:p>
        </w:tc>
        <w:tc>
          <w:tcPr>
            <w:tcW w:w="2000" w:type="pct"/>
          </w:tcPr>
          <w:p w14:paraId="07036819" w14:textId="55202443" w:rsidR="00DD308E" w:rsidRPr="000149FD" w:rsidRDefault="000E7F7B" w:rsidP="00DD308E">
            <w:pPr>
              <w:rPr>
                <w:bCs/>
                <w:szCs w:val="20"/>
              </w:rPr>
            </w:pPr>
            <w:r w:rsidRPr="000149FD">
              <w:rPr>
                <w:bCs/>
                <w:szCs w:val="20"/>
              </w:rPr>
              <w:t>https://www.ncbi.nlm.nih.gov/pubmed/29103847</w:t>
            </w:r>
          </w:p>
        </w:tc>
        <w:tc>
          <w:tcPr>
            <w:tcW w:w="550" w:type="pct"/>
          </w:tcPr>
          <w:p w14:paraId="28BD37B6" w14:textId="0DF11069" w:rsidR="00DD308E" w:rsidRPr="000149FD" w:rsidRDefault="000149FD" w:rsidP="00DD308E">
            <w:pPr>
              <w:rPr>
                <w:bCs/>
                <w:szCs w:val="20"/>
              </w:rPr>
            </w:pPr>
            <w:r w:rsidRPr="000149FD">
              <w:rPr>
                <w:bCs/>
              </w:rPr>
              <w:t>2017</w:t>
            </w:r>
          </w:p>
        </w:tc>
      </w:tr>
      <w:tr w:rsidR="00DD308E" w14:paraId="1461075B" w14:textId="77777777" w:rsidTr="00621D7D">
        <w:trPr>
          <w:cantSplit/>
        </w:trPr>
        <w:tc>
          <w:tcPr>
            <w:tcW w:w="132" w:type="pct"/>
          </w:tcPr>
          <w:p w14:paraId="23E0624F" w14:textId="77777777" w:rsidR="00DD308E" w:rsidRPr="00965B6B" w:rsidRDefault="00DD308E" w:rsidP="00DD308E">
            <w:pPr>
              <w:rPr>
                <w:szCs w:val="20"/>
              </w:rPr>
            </w:pPr>
            <w:r>
              <w:rPr>
                <w:szCs w:val="20"/>
              </w:rPr>
              <w:t>2.</w:t>
            </w:r>
          </w:p>
        </w:tc>
        <w:tc>
          <w:tcPr>
            <w:tcW w:w="411" w:type="pct"/>
          </w:tcPr>
          <w:p w14:paraId="722830C3" w14:textId="458DA4EB" w:rsidR="00DD308E" w:rsidRDefault="000149FD" w:rsidP="00DD308E">
            <w:pPr>
              <w:rPr>
                <w:b/>
                <w:szCs w:val="20"/>
              </w:rPr>
            </w:pPr>
            <w:r>
              <w:t>RCT, OL</w:t>
            </w:r>
          </w:p>
        </w:tc>
        <w:tc>
          <w:tcPr>
            <w:tcW w:w="839" w:type="pct"/>
          </w:tcPr>
          <w:p w14:paraId="0B55BB7B" w14:textId="49C16404" w:rsidR="000149FD" w:rsidRPr="0080382C" w:rsidRDefault="000149FD" w:rsidP="00DD308E">
            <w:pPr>
              <w:rPr>
                <w:b/>
                <w:szCs w:val="20"/>
              </w:rPr>
            </w:pPr>
            <w:r w:rsidRPr="0080382C">
              <w:rPr>
                <w:b/>
                <w:szCs w:val="20"/>
              </w:rPr>
              <w:t>PROTECT AF / NCT00129545</w:t>
            </w:r>
          </w:p>
          <w:p w14:paraId="0AE38E4C" w14:textId="12636CE8" w:rsidR="00DD308E" w:rsidRPr="000149FD" w:rsidRDefault="000149FD" w:rsidP="00DD308E">
            <w:pPr>
              <w:rPr>
                <w:bCs/>
                <w:szCs w:val="20"/>
              </w:rPr>
            </w:pPr>
            <w:r w:rsidRPr="000149FD">
              <w:rPr>
                <w:bCs/>
                <w:szCs w:val="20"/>
              </w:rPr>
              <w:t>Reddy VY</w:t>
            </w:r>
            <w:r>
              <w:rPr>
                <w:bCs/>
                <w:szCs w:val="20"/>
              </w:rPr>
              <w:t xml:space="preserve"> et al. 2015.</w:t>
            </w:r>
            <w:r w:rsidRPr="000149FD">
              <w:rPr>
                <w:bCs/>
                <w:szCs w:val="20"/>
              </w:rPr>
              <w:t xml:space="preserve"> Percutaneous left atrial appendage closure vs warfarin for atrial fibrillation: a randomized clinical trial. JAMA. 2014 Nov 19;312(19):1988-98</w:t>
            </w:r>
          </w:p>
        </w:tc>
        <w:tc>
          <w:tcPr>
            <w:tcW w:w="1069" w:type="pct"/>
          </w:tcPr>
          <w:p w14:paraId="56D6AAFC" w14:textId="53AFE62F" w:rsidR="00DD308E" w:rsidRDefault="000149FD" w:rsidP="00DD308E">
            <w:pPr>
              <w:rPr>
                <w:b/>
                <w:szCs w:val="20"/>
              </w:rPr>
            </w:pPr>
            <w:r>
              <w:t xml:space="preserve">The RCT comparing LAAC vs warfarin in NVAF patients demonstrated that after 3.8 years of follow up, LAAC was superior in the prevention of the combined outcome of stroke, systemic embolism and cardiovascular death, as well as cardiovascular and all-cause mortality. </w:t>
            </w:r>
          </w:p>
        </w:tc>
        <w:tc>
          <w:tcPr>
            <w:tcW w:w="2000" w:type="pct"/>
          </w:tcPr>
          <w:p w14:paraId="046A7A4A" w14:textId="7673E375" w:rsidR="00DD308E" w:rsidRPr="000149FD" w:rsidRDefault="000149FD" w:rsidP="00DD308E">
            <w:pPr>
              <w:rPr>
                <w:bCs/>
                <w:szCs w:val="20"/>
              </w:rPr>
            </w:pPr>
            <w:r w:rsidRPr="000149FD">
              <w:rPr>
                <w:bCs/>
                <w:szCs w:val="20"/>
              </w:rPr>
              <w:t>https://www.ncbi.nlm.nih.gov/pubmed/25399274?dopt=Abstract</w:t>
            </w:r>
          </w:p>
        </w:tc>
        <w:tc>
          <w:tcPr>
            <w:tcW w:w="550" w:type="pct"/>
          </w:tcPr>
          <w:p w14:paraId="03E21C36" w14:textId="19BC8098" w:rsidR="00DD308E" w:rsidRPr="000149FD" w:rsidRDefault="000149FD" w:rsidP="00DD308E">
            <w:pPr>
              <w:rPr>
                <w:bCs/>
                <w:szCs w:val="20"/>
              </w:rPr>
            </w:pPr>
            <w:r>
              <w:rPr>
                <w:bCs/>
              </w:rPr>
              <w:t>2015</w:t>
            </w:r>
          </w:p>
        </w:tc>
      </w:tr>
      <w:tr w:rsidR="00DD308E" w14:paraId="766E6EAF" w14:textId="77777777" w:rsidTr="00621D7D">
        <w:trPr>
          <w:cantSplit/>
        </w:trPr>
        <w:tc>
          <w:tcPr>
            <w:tcW w:w="132" w:type="pct"/>
          </w:tcPr>
          <w:p w14:paraId="6963E953" w14:textId="77777777" w:rsidR="00DD308E" w:rsidRPr="00965B6B" w:rsidRDefault="00DD308E" w:rsidP="00DD308E">
            <w:pPr>
              <w:rPr>
                <w:szCs w:val="20"/>
              </w:rPr>
            </w:pPr>
            <w:r>
              <w:rPr>
                <w:szCs w:val="20"/>
              </w:rPr>
              <w:t>3.</w:t>
            </w:r>
          </w:p>
        </w:tc>
        <w:tc>
          <w:tcPr>
            <w:tcW w:w="411" w:type="pct"/>
          </w:tcPr>
          <w:p w14:paraId="38FB08FE" w14:textId="18FAE925" w:rsidR="00DD308E" w:rsidRDefault="009A7B1C" w:rsidP="00DD308E">
            <w:pPr>
              <w:rPr>
                <w:b/>
                <w:szCs w:val="20"/>
              </w:rPr>
            </w:pPr>
            <w:r>
              <w:t>RCT, OL</w:t>
            </w:r>
          </w:p>
        </w:tc>
        <w:tc>
          <w:tcPr>
            <w:tcW w:w="839" w:type="pct"/>
          </w:tcPr>
          <w:p w14:paraId="385D999B" w14:textId="77777777" w:rsidR="00DD308E" w:rsidRPr="0080382C" w:rsidRDefault="000149FD" w:rsidP="00DD308E">
            <w:pPr>
              <w:rPr>
                <w:b/>
                <w:bCs/>
              </w:rPr>
            </w:pPr>
            <w:r w:rsidRPr="0080382C">
              <w:rPr>
                <w:b/>
                <w:bCs/>
              </w:rPr>
              <w:t>PREVAIL / NCT01182441</w:t>
            </w:r>
          </w:p>
          <w:p w14:paraId="1194CB13" w14:textId="779C5975" w:rsidR="000149FD" w:rsidRDefault="000149FD" w:rsidP="00DD308E">
            <w:pPr>
              <w:rPr>
                <w:b/>
                <w:szCs w:val="20"/>
              </w:rPr>
            </w:pPr>
            <w:r>
              <w:rPr>
                <w:bCs/>
                <w:szCs w:val="20"/>
              </w:rPr>
              <w:t xml:space="preserve">Belgaid et al. 2016. </w:t>
            </w:r>
            <w:r w:rsidRPr="000149FD">
              <w:rPr>
                <w:bCs/>
                <w:szCs w:val="20"/>
              </w:rPr>
              <w:t>Prospective randomized evaluation of the watchman left atrial appendage closure device in patients with atrial fibrillation versus long-term warfarin therapy: The PREVAIL trial.</w:t>
            </w:r>
            <w:r w:rsidR="009A7B1C">
              <w:rPr>
                <w:bCs/>
                <w:szCs w:val="20"/>
              </w:rPr>
              <w:t xml:space="preserve"> </w:t>
            </w:r>
            <w:r w:rsidR="009A7B1C" w:rsidRPr="009A7B1C">
              <w:rPr>
                <w:bCs/>
                <w:szCs w:val="20"/>
              </w:rPr>
              <w:t>Int J Cardiol. 2016 Sep 15;219:177-9.</w:t>
            </w:r>
          </w:p>
        </w:tc>
        <w:tc>
          <w:tcPr>
            <w:tcW w:w="1069" w:type="pct"/>
          </w:tcPr>
          <w:p w14:paraId="143F405E" w14:textId="6CAE6E14" w:rsidR="00DD308E" w:rsidRPr="000149FD" w:rsidRDefault="000149FD" w:rsidP="00DD308E">
            <w:pPr>
              <w:rPr>
                <w:bCs/>
                <w:szCs w:val="20"/>
              </w:rPr>
            </w:pPr>
            <w:r w:rsidRPr="000149FD">
              <w:rPr>
                <w:bCs/>
                <w:szCs w:val="20"/>
              </w:rPr>
              <w:t>The PREVAIL trial was designed to show non-inferiority</w:t>
            </w:r>
            <w:r w:rsidR="009A7B1C">
              <w:rPr>
                <w:bCs/>
                <w:szCs w:val="20"/>
              </w:rPr>
              <w:t xml:space="preserve"> of LAAC vs warfarin</w:t>
            </w:r>
            <w:r w:rsidRPr="000149FD">
              <w:rPr>
                <w:bCs/>
                <w:szCs w:val="20"/>
              </w:rPr>
              <w:t xml:space="preserve">. </w:t>
            </w:r>
            <w:r w:rsidR="009A7B1C">
              <w:rPr>
                <w:bCs/>
                <w:szCs w:val="20"/>
              </w:rPr>
              <w:t xml:space="preserve">The trial </w:t>
            </w:r>
            <w:r w:rsidRPr="000149FD">
              <w:rPr>
                <w:bCs/>
                <w:szCs w:val="20"/>
              </w:rPr>
              <w:t>met the safety endpoint</w:t>
            </w:r>
            <w:r w:rsidR="009A7B1C">
              <w:rPr>
                <w:bCs/>
                <w:szCs w:val="20"/>
              </w:rPr>
              <w:t xml:space="preserve"> and demonstrated </w:t>
            </w:r>
            <w:r w:rsidRPr="000149FD">
              <w:rPr>
                <w:bCs/>
                <w:szCs w:val="20"/>
              </w:rPr>
              <w:t xml:space="preserve">that </w:t>
            </w:r>
            <w:r w:rsidR="009A7B1C">
              <w:rPr>
                <w:bCs/>
                <w:szCs w:val="20"/>
              </w:rPr>
              <w:t>LAAC</w:t>
            </w:r>
            <w:r w:rsidRPr="000149FD">
              <w:rPr>
                <w:bCs/>
                <w:szCs w:val="20"/>
              </w:rPr>
              <w:t xml:space="preserve"> is </w:t>
            </w:r>
            <w:r w:rsidR="009A7B1C">
              <w:rPr>
                <w:bCs/>
                <w:szCs w:val="20"/>
              </w:rPr>
              <w:t xml:space="preserve">non-inferior to </w:t>
            </w:r>
            <w:r w:rsidRPr="000149FD">
              <w:rPr>
                <w:bCs/>
                <w:szCs w:val="20"/>
              </w:rPr>
              <w:t xml:space="preserve">warfarin for the prevention of </w:t>
            </w:r>
            <w:r w:rsidR="009A7B1C">
              <w:rPr>
                <w:bCs/>
                <w:szCs w:val="20"/>
              </w:rPr>
              <w:t xml:space="preserve">post procedural </w:t>
            </w:r>
            <w:r w:rsidRPr="000149FD">
              <w:rPr>
                <w:bCs/>
                <w:szCs w:val="20"/>
              </w:rPr>
              <w:t>strok</w:t>
            </w:r>
            <w:r w:rsidR="009A7B1C">
              <w:rPr>
                <w:bCs/>
                <w:szCs w:val="20"/>
              </w:rPr>
              <w:t>e</w:t>
            </w:r>
            <w:r w:rsidRPr="000149FD">
              <w:rPr>
                <w:bCs/>
                <w:szCs w:val="20"/>
              </w:rPr>
              <w:t>.</w:t>
            </w:r>
          </w:p>
        </w:tc>
        <w:tc>
          <w:tcPr>
            <w:tcW w:w="2000" w:type="pct"/>
          </w:tcPr>
          <w:p w14:paraId="59950CEB" w14:textId="56D66F54" w:rsidR="00DD308E" w:rsidRPr="000149FD" w:rsidRDefault="009A7B1C" w:rsidP="00DD308E">
            <w:pPr>
              <w:rPr>
                <w:bCs/>
                <w:szCs w:val="20"/>
              </w:rPr>
            </w:pPr>
            <w:r w:rsidRPr="009A7B1C">
              <w:rPr>
                <w:bCs/>
                <w:szCs w:val="20"/>
              </w:rPr>
              <w:t>https://www.ncbi.nlm.nih.gov/pubmed/27343417</w:t>
            </w:r>
          </w:p>
        </w:tc>
        <w:tc>
          <w:tcPr>
            <w:tcW w:w="550" w:type="pct"/>
          </w:tcPr>
          <w:p w14:paraId="461D8B1B" w14:textId="208D2555" w:rsidR="00DD308E" w:rsidRPr="00E82F54" w:rsidRDefault="009A7B1C" w:rsidP="00DD308E">
            <w:pPr>
              <w:rPr>
                <w:b/>
                <w:szCs w:val="20"/>
              </w:rPr>
            </w:pPr>
            <w:r>
              <w:t>2016</w:t>
            </w:r>
          </w:p>
        </w:tc>
      </w:tr>
    </w:tbl>
    <w:p w14:paraId="5D03939B" w14:textId="77777777" w:rsidR="00DD308E" w:rsidRDefault="00DD308E" w:rsidP="00DD308E">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6D427F1E" w14:textId="77777777" w:rsidR="00DD308E" w:rsidRDefault="00DD308E" w:rsidP="00DD308E">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2B138BA0" w14:textId="77777777" w:rsidR="00DD308E" w:rsidRDefault="00DD308E" w:rsidP="00DD308E">
      <w:pPr>
        <w:spacing w:after="0"/>
        <w:ind w:left="426"/>
        <w:rPr>
          <w:i/>
          <w:szCs w:val="20"/>
        </w:rPr>
      </w:pPr>
      <w:r w:rsidRPr="00E82F54">
        <w:rPr>
          <w:i/>
          <w:szCs w:val="20"/>
        </w:rPr>
        <w:t>*</w:t>
      </w:r>
      <w:r>
        <w:rPr>
          <w:szCs w:val="20"/>
        </w:rPr>
        <w:t>**</w:t>
      </w:r>
      <w:r>
        <w:rPr>
          <w:i/>
          <w:szCs w:val="20"/>
        </w:rPr>
        <w:t xml:space="preserve"> If the publication is a follow-up to an initial publication, please advise.</w:t>
      </w:r>
    </w:p>
    <w:p w14:paraId="27E037FE" w14:textId="77777777" w:rsidR="00DD308E" w:rsidRDefault="00DD308E" w:rsidP="00DD308E">
      <w:pPr>
        <w:rPr>
          <w:i/>
          <w:szCs w:val="20"/>
        </w:rPr>
      </w:pPr>
      <w:r>
        <w:rPr>
          <w:i/>
          <w:szCs w:val="20"/>
        </w:rPr>
        <w:br w:type="page"/>
      </w:r>
    </w:p>
    <w:p w14:paraId="5FD0CDF5" w14:textId="77777777" w:rsidR="00DD308E" w:rsidRDefault="00DD308E">
      <w:pPr>
        <w:rPr>
          <w:b/>
          <w:sz w:val="32"/>
          <w:szCs w:val="32"/>
        </w:rPr>
        <w:sectPr w:rsidR="00DD308E" w:rsidSect="00DD308E">
          <w:footerReference w:type="default" r:id="rId15"/>
          <w:pgSz w:w="16838" w:h="11906" w:orient="landscape"/>
          <w:pgMar w:top="1440" w:right="1440" w:bottom="1440" w:left="1440" w:header="708" w:footer="708" w:gutter="0"/>
          <w:cols w:space="708"/>
          <w:docGrid w:linePitch="360"/>
        </w:sectPr>
      </w:pPr>
    </w:p>
    <w:p w14:paraId="687A232B"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909"/>
        <w:gridCol w:w="2497"/>
        <w:gridCol w:w="3138"/>
        <w:gridCol w:w="2466"/>
        <w:gridCol w:w="3476"/>
        <w:gridCol w:w="1462"/>
      </w:tblGrid>
      <w:tr w:rsidR="004C49EF" w14:paraId="33AEF422" w14:textId="77777777" w:rsidTr="004C49EF">
        <w:trPr>
          <w:cantSplit/>
          <w:tblHeader/>
        </w:trPr>
        <w:tc>
          <w:tcPr>
            <w:tcW w:w="326" w:type="pct"/>
          </w:tcPr>
          <w:p w14:paraId="30A4096E" w14:textId="77777777" w:rsidR="004C49EF" w:rsidRDefault="004C49EF" w:rsidP="00855944">
            <w:pPr>
              <w:pStyle w:val="TableHEADER"/>
            </w:pPr>
          </w:p>
        </w:tc>
        <w:tc>
          <w:tcPr>
            <w:tcW w:w="895" w:type="pct"/>
          </w:tcPr>
          <w:p w14:paraId="200A8E84" w14:textId="77777777" w:rsidR="004C49EF" w:rsidRDefault="004C49EF" w:rsidP="00855944">
            <w:pPr>
              <w:pStyle w:val="TableHEADER"/>
            </w:pPr>
            <w:r>
              <w:t>Type of study design*</w:t>
            </w:r>
          </w:p>
        </w:tc>
        <w:tc>
          <w:tcPr>
            <w:tcW w:w="1125" w:type="pct"/>
          </w:tcPr>
          <w:p w14:paraId="500A115A" w14:textId="77777777" w:rsidR="004C49EF" w:rsidRDefault="004C49EF" w:rsidP="00855944">
            <w:pPr>
              <w:pStyle w:val="TableHEADER"/>
            </w:pPr>
            <w:r>
              <w:t>Title of research (including any trial identifier if relevant)</w:t>
            </w:r>
          </w:p>
        </w:tc>
        <w:tc>
          <w:tcPr>
            <w:tcW w:w="884" w:type="pct"/>
          </w:tcPr>
          <w:p w14:paraId="2D489AC3" w14:textId="77777777" w:rsidR="004C49EF" w:rsidRDefault="00367C1B" w:rsidP="00855944">
            <w:pPr>
              <w:pStyle w:val="TableHEADER"/>
            </w:pPr>
            <w:r>
              <w:t xml:space="preserve">Short description of research </w:t>
            </w:r>
            <w:r w:rsidR="004C49EF">
              <w:t>(max 50 words)**</w:t>
            </w:r>
          </w:p>
        </w:tc>
        <w:tc>
          <w:tcPr>
            <w:tcW w:w="1246" w:type="pct"/>
          </w:tcPr>
          <w:p w14:paraId="55660859" w14:textId="77777777" w:rsidR="004C49EF" w:rsidRDefault="004C49EF" w:rsidP="00855944">
            <w:pPr>
              <w:pStyle w:val="TableHEADER"/>
            </w:pPr>
            <w:r w:rsidRPr="00E82F54">
              <w:t xml:space="preserve">Website link to </w:t>
            </w:r>
            <w:r>
              <w:t>research (if available)</w:t>
            </w:r>
          </w:p>
        </w:tc>
        <w:tc>
          <w:tcPr>
            <w:tcW w:w="524" w:type="pct"/>
          </w:tcPr>
          <w:p w14:paraId="465B328C" w14:textId="77777777" w:rsidR="004C49EF" w:rsidRDefault="004C49EF" w:rsidP="00855944">
            <w:pPr>
              <w:pStyle w:val="TableHEADER"/>
            </w:pPr>
            <w:r w:rsidRPr="00E82F54">
              <w:t>Date*</w:t>
            </w:r>
            <w:r>
              <w:t>**</w:t>
            </w:r>
          </w:p>
        </w:tc>
      </w:tr>
      <w:tr w:rsidR="00503DE1" w14:paraId="6C6F402B" w14:textId="77777777" w:rsidTr="004C49EF">
        <w:trPr>
          <w:cantSplit/>
        </w:trPr>
        <w:tc>
          <w:tcPr>
            <w:tcW w:w="326" w:type="pct"/>
          </w:tcPr>
          <w:p w14:paraId="2039AE16" w14:textId="75F351DB" w:rsidR="00503DE1" w:rsidRPr="00965B6B" w:rsidRDefault="000B6808" w:rsidP="00526478">
            <w:pPr>
              <w:rPr>
                <w:szCs w:val="20"/>
              </w:rPr>
            </w:pPr>
            <w:r>
              <w:rPr>
                <w:szCs w:val="20"/>
              </w:rPr>
              <w:t>1</w:t>
            </w:r>
          </w:p>
        </w:tc>
        <w:tc>
          <w:tcPr>
            <w:tcW w:w="895" w:type="pct"/>
          </w:tcPr>
          <w:p w14:paraId="5FD8456D" w14:textId="085D58CE" w:rsidR="00503DE1" w:rsidRDefault="00503DE1" w:rsidP="00526478">
            <w:r>
              <w:t>RCT, OL</w:t>
            </w:r>
          </w:p>
        </w:tc>
        <w:tc>
          <w:tcPr>
            <w:tcW w:w="1125" w:type="pct"/>
          </w:tcPr>
          <w:p w14:paraId="73D1598C" w14:textId="77777777" w:rsidR="00503DE1" w:rsidRPr="000B6808" w:rsidRDefault="00503DE1" w:rsidP="00526478">
            <w:pPr>
              <w:rPr>
                <w:u w:val="single"/>
              </w:rPr>
            </w:pPr>
            <w:r w:rsidRPr="000B6808">
              <w:rPr>
                <w:u w:val="single"/>
              </w:rPr>
              <w:t>PRAGUE-17</w:t>
            </w:r>
          </w:p>
          <w:p w14:paraId="06EC52B9" w14:textId="607FAE22" w:rsidR="00503DE1" w:rsidRDefault="00503DE1" w:rsidP="00526478">
            <w:r w:rsidRPr="00503DE1">
              <w:t>Left Atrial Appendage Closure vs. Novel Anticoagulation Agents in Atrial Fibrillation</w:t>
            </w:r>
          </w:p>
        </w:tc>
        <w:tc>
          <w:tcPr>
            <w:tcW w:w="884" w:type="pct"/>
          </w:tcPr>
          <w:p w14:paraId="332E3ACE" w14:textId="10F68B63" w:rsidR="00503DE1" w:rsidRPr="008121AB" w:rsidRDefault="00503DE1" w:rsidP="00526478">
            <w:pPr>
              <w:rPr>
                <w:bCs/>
                <w:szCs w:val="20"/>
              </w:rPr>
            </w:pPr>
            <w:r>
              <w:rPr>
                <w:bCs/>
                <w:szCs w:val="20"/>
              </w:rPr>
              <w:t>This study aims to compare LAAC (Amulet™ or WATCHMAN™) versus NOACs in patients with NVAF in patients with history of significant bleeding, or cardioembolic event or a high risk based on CHA</w:t>
            </w:r>
            <w:r w:rsidRPr="00503DE1">
              <w:rPr>
                <w:bCs/>
                <w:szCs w:val="20"/>
                <w:vertAlign w:val="subscript"/>
              </w:rPr>
              <w:t>2</w:t>
            </w:r>
            <w:r>
              <w:rPr>
                <w:bCs/>
                <w:szCs w:val="20"/>
              </w:rPr>
              <w:t>DS</w:t>
            </w:r>
            <w:r w:rsidRPr="00503DE1">
              <w:rPr>
                <w:bCs/>
                <w:szCs w:val="20"/>
                <w:vertAlign w:val="subscript"/>
              </w:rPr>
              <w:t>2</w:t>
            </w:r>
            <w:r>
              <w:rPr>
                <w:bCs/>
                <w:szCs w:val="20"/>
              </w:rPr>
              <w:t>-VA</w:t>
            </w:r>
            <w:r w:rsidRPr="00503DE1">
              <w:rPr>
                <w:bCs/>
                <w:szCs w:val="20"/>
              </w:rPr>
              <w:t>S</w:t>
            </w:r>
            <w:r w:rsidRPr="00503DE1">
              <w:rPr>
                <w:bCs/>
                <w:szCs w:val="20"/>
                <w:vertAlign w:val="subscript"/>
              </w:rPr>
              <w:t>C</w:t>
            </w:r>
            <w:r>
              <w:rPr>
                <w:bCs/>
                <w:szCs w:val="20"/>
              </w:rPr>
              <w:t xml:space="preserve"> </w:t>
            </w:r>
            <w:r>
              <w:rPr>
                <w:rFonts w:cstheme="minorHAnsi"/>
                <w:bCs/>
                <w:szCs w:val="20"/>
              </w:rPr>
              <w:t>≥</w:t>
            </w:r>
            <w:r>
              <w:rPr>
                <w:bCs/>
                <w:szCs w:val="20"/>
              </w:rPr>
              <w:t xml:space="preserve"> 3 and HAS-BLED </w:t>
            </w:r>
            <w:r>
              <w:rPr>
                <w:rFonts w:cstheme="minorHAnsi"/>
                <w:bCs/>
                <w:szCs w:val="20"/>
              </w:rPr>
              <w:t>≥2. Expected enrolment of 400 patients</w:t>
            </w:r>
          </w:p>
        </w:tc>
        <w:tc>
          <w:tcPr>
            <w:tcW w:w="1246" w:type="pct"/>
          </w:tcPr>
          <w:p w14:paraId="0F92C223" w14:textId="7480A01F" w:rsidR="00503DE1" w:rsidRPr="008121AB" w:rsidRDefault="00503DE1" w:rsidP="00526478">
            <w:r w:rsidRPr="00503DE1">
              <w:t>NCT02426944</w:t>
            </w:r>
          </w:p>
        </w:tc>
        <w:tc>
          <w:tcPr>
            <w:tcW w:w="524" w:type="pct"/>
          </w:tcPr>
          <w:p w14:paraId="138A3AE7" w14:textId="77777777" w:rsidR="002B1ACC" w:rsidRDefault="002B1ACC" w:rsidP="002B1ACC">
            <w:pPr>
              <w:rPr>
                <w:bCs/>
                <w:szCs w:val="20"/>
              </w:rPr>
            </w:pPr>
            <w:r>
              <w:rPr>
                <w:bCs/>
                <w:szCs w:val="20"/>
              </w:rPr>
              <w:t>Recruiting</w:t>
            </w:r>
          </w:p>
          <w:p w14:paraId="0C2E6F44" w14:textId="39027C6C" w:rsidR="00503DE1" w:rsidRPr="008121AB" w:rsidRDefault="002B1ACC" w:rsidP="002B1ACC">
            <w:pPr>
              <w:rPr>
                <w:bCs/>
                <w:szCs w:val="20"/>
              </w:rPr>
            </w:pPr>
            <w:r w:rsidRPr="00621D7D">
              <w:t xml:space="preserve">Estimated study completion date: </w:t>
            </w:r>
            <w:r>
              <w:t>May</w:t>
            </w:r>
            <w:r w:rsidRPr="00621D7D">
              <w:t xml:space="preserve"> 202</w:t>
            </w:r>
            <w:r>
              <w:t>0</w:t>
            </w:r>
          </w:p>
        </w:tc>
      </w:tr>
      <w:tr w:rsidR="002B1ACC" w14:paraId="4C4F9740" w14:textId="77777777" w:rsidTr="004C49EF">
        <w:trPr>
          <w:cantSplit/>
        </w:trPr>
        <w:tc>
          <w:tcPr>
            <w:tcW w:w="326" w:type="pct"/>
          </w:tcPr>
          <w:p w14:paraId="735930DF" w14:textId="12982523" w:rsidR="002B1ACC" w:rsidRPr="00965B6B" w:rsidRDefault="000B6808" w:rsidP="002B1ACC">
            <w:pPr>
              <w:rPr>
                <w:szCs w:val="20"/>
              </w:rPr>
            </w:pPr>
            <w:r>
              <w:rPr>
                <w:szCs w:val="20"/>
              </w:rPr>
              <w:t>2</w:t>
            </w:r>
          </w:p>
        </w:tc>
        <w:tc>
          <w:tcPr>
            <w:tcW w:w="895" w:type="pct"/>
          </w:tcPr>
          <w:p w14:paraId="3FB4CA6E" w14:textId="0508E5A9" w:rsidR="002B1ACC" w:rsidRDefault="002B1ACC" w:rsidP="002B1ACC">
            <w:r>
              <w:t>RCT, OL</w:t>
            </w:r>
          </w:p>
        </w:tc>
        <w:tc>
          <w:tcPr>
            <w:tcW w:w="1125" w:type="pct"/>
          </w:tcPr>
          <w:p w14:paraId="7BD58B8C" w14:textId="77777777" w:rsidR="002B1ACC" w:rsidRPr="000B6808" w:rsidRDefault="002B1ACC" w:rsidP="002B1ACC">
            <w:pPr>
              <w:rPr>
                <w:u w:val="single"/>
              </w:rPr>
            </w:pPr>
            <w:r w:rsidRPr="000B6808">
              <w:rPr>
                <w:u w:val="single"/>
              </w:rPr>
              <w:t>CLOSURE-AF</w:t>
            </w:r>
          </w:p>
          <w:p w14:paraId="15C6BBB3" w14:textId="0EE03B30" w:rsidR="002B1ACC" w:rsidRDefault="002B1ACC" w:rsidP="002B1ACC">
            <w:r w:rsidRPr="002B1ACC">
              <w:t xml:space="preserve">Left Atrial Appendage CLOSURE in Patients With Atrial Fibrillation Compared to Medical Therapy </w:t>
            </w:r>
          </w:p>
        </w:tc>
        <w:tc>
          <w:tcPr>
            <w:tcW w:w="884" w:type="pct"/>
          </w:tcPr>
          <w:p w14:paraId="041B7E6C" w14:textId="1584D8B0" w:rsidR="002B1ACC" w:rsidRDefault="002B1ACC" w:rsidP="002B1ACC">
            <w:pPr>
              <w:rPr>
                <w:bCs/>
                <w:szCs w:val="20"/>
              </w:rPr>
            </w:pPr>
            <w:r w:rsidRPr="002B1ACC">
              <w:rPr>
                <w:bCs/>
                <w:szCs w:val="20"/>
              </w:rPr>
              <w:t>Th</w:t>
            </w:r>
            <w:r>
              <w:rPr>
                <w:bCs/>
                <w:szCs w:val="20"/>
              </w:rPr>
              <w:t>is</w:t>
            </w:r>
            <w:r w:rsidRPr="002B1ACC">
              <w:rPr>
                <w:bCs/>
                <w:szCs w:val="20"/>
              </w:rPr>
              <w:t xml:space="preserve"> study </w:t>
            </w:r>
            <w:r>
              <w:rPr>
                <w:bCs/>
                <w:szCs w:val="20"/>
              </w:rPr>
              <w:t>aims</w:t>
            </w:r>
            <w:r w:rsidRPr="002B1ACC">
              <w:rPr>
                <w:bCs/>
                <w:szCs w:val="20"/>
              </w:rPr>
              <w:t xml:space="preserve"> is to </w:t>
            </w:r>
            <w:r>
              <w:rPr>
                <w:bCs/>
                <w:szCs w:val="20"/>
              </w:rPr>
              <w:t>establish</w:t>
            </w:r>
            <w:r w:rsidRPr="002B1ACC">
              <w:rPr>
                <w:bCs/>
                <w:szCs w:val="20"/>
              </w:rPr>
              <w:t xml:space="preserve"> the clinical benefit </w:t>
            </w:r>
            <w:r>
              <w:rPr>
                <w:bCs/>
                <w:szCs w:val="20"/>
              </w:rPr>
              <w:t>LAAC</w:t>
            </w:r>
            <w:r w:rsidRPr="002B1ACC">
              <w:rPr>
                <w:bCs/>
                <w:szCs w:val="20"/>
              </w:rPr>
              <w:t xml:space="preserve"> in patients with NVAF at high risk of stroke (CHA</w:t>
            </w:r>
            <w:r w:rsidRPr="002B1ACC">
              <w:rPr>
                <w:bCs/>
                <w:szCs w:val="20"/>
                <w:vertAlign w:val="subscript"/>
              </w:rPr>
              <w:t>2</w:t>
            </w:r>
            <w:r w:rsidRPr="002B1ACC">
              <w:rPr>
                <w:bCs/>
                <w:szCs w:val="20"/>
              </w:rPr>
              <w:t>DS</w:t>
            </w:r>
            <w:r w:rsidRPr="002B1ACC">
              <w:rPr>
                <w:bCs/>
                <w:szCs w:val="20"/>
                <w:vertAlign w:val="subscript"/>
              </w:rPr>
              <w:t>2</w:t>
            </w:r>
            <w:r w:rsidRPr="002B1ACC">
              <w:rPr>
                <w:bCs/>
                <w:szCs w:val="20"/>
              </w:rPr>
              <w:t>‐VASc Score ≥2) as well as high risk of bleeding as compared to best medical care (including NOAC</w:t>
            </w:r>
            <w:r>
              <w:rPr>
                <w:bCs/>
                <w:szCs w:val="20"/>
              </w:rPr>
              <w:t xml:space="preserve">s </w:t>
            </w:r>
            <w:r w:rsidRPr="002B1ACC">
              <w:rPr>
                <w:bCs/>
                <w:szCs w:val="20"/>
              </w:rPr>
              <w:t>when eligible).</w:t>
            </w:r>
            <w:r>
              <w:rPr>
                <w:bCs/>
                <w:szCs w:val="20"/>
              </w:rPr>
              <w:t xml:space="preserve"> </w:t>
            </w:r>
            <w:r>
              <w:rPr>
                <w:rFonts w:cstheme="minorHAnsi"/>
                <w:bCs/>
                <w:szCs w:val="20"/>
              </w:rPr>
              <w:t>Expected enrolment of 1512 patients</w:t>
            </w:r>
          </w:p>
        </w:tc>
        <w:tc>
          <w:tcPr>
            <w:tcW w:w="1246" w:type="pct"/>
          </w:tcPr>
          <w:p w14:paraId="2DCDB826" w14:textId="5AA869F9" w:rsidR="002B1ACC" w:rsidRPr="00503DE1" w:rsidRDefault="002B1ACC" w:rsidP="002B1ACC">
            <w:r w:rsidRPr="002B1ACC">
              <w:t>NCT03463317</w:t>
            </w:r>
          </w:p>
        </w:tc>
        <w:tc>
          <w:tcPr>
            <w:tcW w:w="524" w:type="pct"/>
          </w:tcPr>
          <w:p w14:paraId="5E3E1466" w14:textId="77777777" w:rsidR="002B1ACC" w:rsidRDefault="002B1ACC" w:rsidP="002B1ACC">
            <w:pPr>
              <w:rPr>
                <w:bCs/>
                <w:szCs w:val="20"/>
              </w:rPr>
            </w:pPr>
            <w:r>
              <w:rPr>
                <w:bCs/>
                <w:szCs w:val="20"/>
              </w:rPr>
              <w:t>Recruiting</w:t>
            </w:r>
          </w:p>
          <w:p w14:paraId="481E4526" w14:textId="506CDA2B" w:rsidR="002B1ACC" w:rsidRDefault="002B1ACC" w:rsidP="002B1ACC">
            <w:pPr>
              <w:rPr>
                <w:bCs/>
                <w:szCs w:val="20"/>
              </w:rPr>
            </w:pPr>
            <w:r w:rsidRPr="00621D7D">
              <w:t xml:space="preserve">Estimated study completion date: </w:t>
            </w:r>
            <w:r>
              <w:t>February</w:t>
            </w:r>
            <w:r w:rsidRPr="00621D7D">
              <w:t xml:space="preserve"> 202</w:t>
            </w:r>
            <w:r>
              <w:t>3</w:t>
            </w:r>
          </w:p>
        </w:tc>
      </w:tr>
      <w:tr w:rsidR="009D1BF1" w14:paraId="19E7424D" w14:textId="77777777" w:rsidTr="004C49EF">
        <w:trPr>
          <w:cantSplit/>
        </w:trPr>
        <w:tc>
          <w:tcPr>
            <w:tcW w:w="326" w:type="pct"/>
          </w:tcPr>
          <w:p w14:paraId="4E03C46A" w14:textId="71D57CD0" w:rsidR="009D1BF1" w:rsidRPr="00965B6B" w:rsidRDefault="000B6808" w:rsidP="002B1ACC">
            <w:pPr>
              <w:rPr>
                <w:szCs w:val="20"/>
              </w:rPr>
            </w:pPr>
            <w:r>
              <w:rPr>
                <w:szCs w:val="20"/>
              </w:rPr>
              <w:t>3</w:t>
            </w:r>
          </w:p>
        </w:tc>
        <w:tc>
          <w:tcPr>
            <w:tcW w:w="895" w:type="pct"/>
          </w:tcPr>
          <w:p w14:paraId="0192E543" w14:textId="5E033197" w:rsidR="009D1BF1" w:rsidRDefault="009D1BF1" w:rsidP="002B1ACC">
            <w:r>
              <w:t>RCT, OL</w:t>
            </w:r>
          </w:p>
        </w:tc>
        <w:tc>
          <w:tcPr>
            <w:tcW w:w="1125" w:type="pct"/>
          </w:tcPr>
          <w:p w14:paraId="52F58977" w14:textId="77777777" w:rsidR="009D1BF1" w:rsidRPr="000B6808" w:rsidRDefault="009D1BF1" w:rsidP="002B1ACC">
            <w:pPr>
              <w:rPr>
                <w:u w:val="single"/>
              </w:rPr>
            </w:pPr>
            <w:r w:rsidRPr="000B6808">
              <w:rPr>
                <w:u w:val="single"/>
              </w:rPr>
              <w:t>ELIGIBLE</w:t>
            </w:r>
          </w:p>
          <w:p w14:paraId="7B71EB24" w14:textId="65DAD56D" w:rsidR="009D1BF1" w:rsidRPr="002B1ACC" w:rsidRDefault="009D1BF1" w:rsidP="002B1ACC">
            <w:r w:rsidRPr="009D1BF1">
              <w:t>Efficacy of Left atr</w:t>
            </w:r>
            <w:r>
              <w:t>i</w:t>
            </w:r>
            <w:r w:rsidRPr="009D1BF1">
              <w:t>al Appendage Closure After GastroIntestinal BLEeding</w:t>
            </w:r>
          </w:p>
        </w:tc>
        <w:tc>
          <w:tcPr>
            <w:tcW w:w="884" w:type="pct"/>
          </w:tcPr>
          <w:p w14:paraId="5C56BFEF" w14:textId="43C575D3" w:rsidR="009D1BF1" w:rsidRPr="002B1ACC" w:rsidRDefault="009D1BF1" w:rsidP="002B1ACC">
            <w:pPr>
              <w:rPr>
                <w:bCs/>
                <w:szCs w:val="20"/>
              </w:rPr>
            </w:pPr>
            <w:r>
              <w:rPr>
                <w:bCs/>
                <w:szCs w:val="20"/>
              </w:rPr>
              <w:t xml:space="preserve">The study set out to compare OAT with LAAC NVAF patients who have experienced gastrointestinal bleeding. The study was first posted in 2012 and has status unknown, suggesting the study is not going ahead. </w:t>
            </w:r>
          </w:p>
        </w:tc>
        <w:tc>
          <w:tcPr>
            <w:tcW w:w="1246" w:type="pct"/>
          </w:tcPr>
          <w:p w14:paraId="070E22F2" w14:textId="32AE2820" w:rsidR="009D1BF1" w:rsidRPr="002B1ACC" w:rsidRDefault="009D1BF1" w:rsidP="002B1ACC">
            <w:r w:rsidRPr="009D1BF1">
              <w:t>NCT01628068</w:t>
            </w:r>
          </w:p>
        </w:tc>
        <w:tc>
          <w:tcPr>
            <w:tcW w:w="524" w:type="pct"/>
          </w:tcPr>
          <w:p w14:paraId="445F5FB3" w14:textId="5FDC4BC8" w:rsidR="009D1BF1" w:rsidRDefault="009D1BF1" w:rsidP="002B1ACC">
            <w:pPr>
              <w:rPr>
                <w:bCs/>
                <w:szCs w:val="20"/>
              </w:rPr>
            </w:pPr>
            <w:r>
              <w:rPr>
                <w:bCs/>
                <w:szCs w:val="20"/>
              </w:rPr>
              <w:t>Status unknown</w:t>
            </w:r>
          </w:p>
        </w:tc>
      </w:tr>
      <w:tr w:rsidR="009D1BF1" w14:paraId="5651CB6C" w14:textId="77777777" w:rsidTr="004C49EF">
        <w:trPr>
          <w:cantSplit/>
        </w:trPr>
        <w:tc>
          <w:tcPr>
            <w:tcW w:w="326" w:type="pct"/>
          </w:tcPr>
          <w:p w14:paraId="6DEDDC96" w14:textId="2622343F" w:rsidR="009D1BF1" w:rsidRPr="00965B6B" w:rsidRDefault="000B6808" w:rsidP="002B1ACC">
            <w:pPr>
              <w:rPr>
                <w:szCs w:val="20"/>
              </w:rPr>
            </w:pPr>
            <w:r>
              <w:rPr>
                <w:szCs w:val="20"/>
              </w:rPr>
              <w:t>4</w:t>
            </w:r>
          </w:p>
        </w:tc>
        <w:tc>
          <w:tcPr>
            <w:tcW w:w="895" w:type="pct"/>
          </w:tcPr>
          <w:p w14:paraId="59346425" w14:textId="38226FD5" w:rsidR="009D1BF1" w:rsidRDefault="009D1BF1" w:rsidP="002B1ACC">
            <w:r>
              <w:t>RCT, OL</w:t>
            </w:r>
          </w:p>
        </w:tc>
        <w:tc>
          <w:tcPr>
            <w:tcW w:w="1125" w:type="pct"/>
          </w:tcPr>
          <w:p w14:paraId="49F2D0CF" w14:textId="389B9F57" w:rsidR="009D1BF1" w:rsidRDefault="009D1BF1" w:rsidP="002B1ACC">
            <w:r>
              <w:t>P</w:t>
            </w:r>
            <w:r w:rsidRPr="009D1BF1">
              <w:t>revention of Stroke by Left Atrial Appendage Closure in Atrial Fibrillation Patients After Intracerebral Hemorrhage</w:t>
            </w:r>
          </w:p>
        </w:tc>
        <w:tc>
          <w:tcPr>
            <w:tcW w:w="884" w:type="pct"/>
          </w:tcPr>
          <w:p w14:paraId="03416839" w14:textId="4D2D836A" w:rsidR="009D1BF1" w:rsidRDefault="009D1BF1" w:rsidP="002B1ACC">
            <w:pPr>
              <w:rPr>
                <w:bCs/>
                <w:szCs w:val="20"/>
              </w:rPr>
            </w:pPr>
            <w:r>
              <w:rPr>
                <w:bCs/>
                <w:szCs w:val="20"/>
              </w:rPr>
              <w:t>This trial aims to compare LAAC using the Amulet™ versus medical management (OAT including NOACs or antiplatelets) in patients with NVAF who have experienced a prior stroke. Estimated enrolment 750 patients</w:t>
            </w:r>
          </w:p>
        </w:tc>
        <w:tc>
          <w:tcPr>
            <w:tcW w:w="1246" w:type="pct"/>
          </w:tcPr>
          <w:p w14:paraId="7F481012" w14:textId="6C452087" w:rsidR="009D1BF1" w:rsidRPr="009D1BF1" w:rsidRDefault="009D1BF1" w:rsidP="002B1ACC">
            <w:r w:rsidRPr="009D1BF1">
              <w:t>NCT02830152</w:t>
            </w:r>
          </w:p>
        </w:tc>
        <w:tc>
          <w:tcPr>
            <w:tcW w:w="524" w:type="pct"/>
          </w:tcPr>
          <w:p w14:paraId="3FF4FF22" w14:textId="77777777" w:rsidR="009D1BF1" w:rsidRDefault="009D1BF1" w:rsidP="002B1ACC">
            <w:pPr>
              <w:rPr>
                <w:bCs/>
                <w:szCs w:val="20"/>
              </w:rPr>
            </w:pPr>
            <w:r>
              <w:rPr>
                <w:bCs/>
                <w:szCs w:val="20"/>
              </w:rPr>
              <w:t>Recruiting</w:t>
            </w:r>
          </w:p>
          <w:p w14:paraId="0A9D79AE" w14:textId="6CA3D27C" w:rsidR="009D1BF1" w:rsidRDefault="009D1BF1" w:rsidP="002B1ACC">
            <w:pPr>
              <w:rPr>
                <w:bCs/>
                <w:szCs w:val="20"/>
              </w:rPr>
            </w:pPr>
            <w:r w:rsidRPr="00621D7D">
              <w:t xml:space="preserve">Estimated study completion date: </w:t>
            </w:r>
            <w:r>
              <w:t>February</w:t>
            </w:r>
            <w:r w:rsidRPr="00621D7D">
              <w:t xml:space="preserve"> 20</w:t>
            </w:r>
            <w:r>
              <w:t>30</w:t>
            </w:r>
          </w:p>
        </w:tc>
      </w:tr>
    </w:tbl>
    <w:p w14:paraId="27B99B86" w14:textId="77777777"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169035CE"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2B667090" w14:textId="6C2D8D3C" w:rsidR="00DD308E" w:rsidRDefault="004C49EF" w:rsidP="0079641A">
      <w:pPr>
        <w:spacing w:after="0"/>
        <w:ind w:left="426"/>
        <w:rPr>
          <w:b/>
          <w:sz w:val="32"/>
          <w:szCs w:val="32"/>
        </w:rPr>
        <w:sectPr w:rsidR="00DD308E" w:rsidSect="00DD308E">
          <w:pgSz w:w="16838" w:h="11906" w:orient="landscape"/>
          <w:pgMar w:top="1440" w:right="1440" w:bottom="1440" w:left="1440" w:header="708" w:footer="708" w:gutter="0"/>
          <w:cols w:space="708"/>
          <w:docGrid w:linePitch="360"/>
        </w:sect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14:paraId="13F91251"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55406446"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bookmarkStart w:id="5" w:name="_Hlk24724913"/>
      <w:r w:rsidR="00EA173C" w:rsidRPr="00CA26DD">
        <w:t>attach</w:t>
      </w:r>
      <w:r w:rsidR="00F93784" w:rsidRPr="00CA26DD">
        <w:t xml:space="preserve"> a </w:t>
      </w:r>
      <w:r w:rsidR="00254813">
        <w:t xml:space="preserve">statement of clinical relevance </w:t>
      </w:r>
      <w:bookmarkEnd w:id="5"/>
      <w:r w:rsidR="00254813">
        <w:t>from</w:t>
      </w:r>
      <w:r w:rsidR="00EA173C" w:rsidRPr="00CA26DD">
        <w:t xml:space="preserve"> each </w:t>
      </w:r>
      <w:r w:rsidR="00F93784" w:rsidRPr="00CA26DD">
        <w:t>group</w:t>
      </w:r>
      <w:r w:rsidR="00EA173C" w:rsidRPr="00CA26DD">
        <w:t xml:space="preserve"> nominated</w:t>
      </w:r>
      <w:r w:rsidR="00F93784" w:rsidRPr="00CA26DD">
        <w:t>)</w:t>
      </w:r>
      <w:r w:rsidR="00A727B6">
        <w:t>:</w:t>
      </w:r>
    </w:p>
    <w:p w14:paraId="274DA8C8" w14:textId="5D13FE6A" w:rsidR="00BC39AF" w:rsidRPr="00A727B6" w:rsidRDefault="00BC39AF" w:rsidP="00A727B6">
      <w:pPr>
        <w:ind w:left="426"/>
      </w:pPr>
      <w:bookmarkStart w:id="6" w:name="_Hlk24724719"/>
      <w:r>
        <w:t xml:space="preserve">Professional bodies / organisations have confirmed clinical relevance of the service as part of </w:t>
      </w:r>
      <w:r w:rsidR="00387C65">
        <w:t>Application</w:t>
      </w:r>
      <w:r>
        <w:t xml:space="preserve"> 1347 and 1347.1. This is an expansion of the current MBS item code for LAAC. As such, provision of further justification of clinical relevance is not considered required for this application. </w:t>
      </w:r>
      <w:r w:rsidR="00A96741">
        <w:t xml:space="preserve">Nevertheless, a </w:t>
      </w:r>
      <w:r w:rsidR="007E5393">
        <w:t xml:space="preserve">statement </w:t>
      </w:r>
      <w:r w:rsidR="00A96741">
        <w:t>from the Cardiac Society of Australia and New Zealand (CSANZ) supporting the clinical need of LAAC in the proposed patient population</w:t>
      </w:r>
      <w:r w:rsidR="007E5393">
        <w:t xml:space="preserve"> will be forwarded</w:t>
      </w:r>
      <w:r w:rsidR="00A96741">
        <w:t xml:space="preserve">. </w:t>
      </w:r>
    </w:p>
    <w:bookmarkEnd w:id="6"/>
    <w:p w14:paraId="7EA4CA52"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12F2B13D" w14:textId="6AA1AFA3" w:rsidR="00EA173C" w:rsidRDefault="00BC39AF" w:rsidP="00A727B6">
      <w:pPr>
        <w:ind w:left="426"/>
      </w:pPr>
      <w:r>
        <w:t>The professional bod</w:t>
      </w:r>
      <w:r w:rsidR="00253C03">
        <w:t>y</w:t>
      </w:r>
      <w:r>
        <w:t>, Cardiac Society of Australia and New Zealand (CSANZ)</w:t>
      </w:r>
      <w:r w:rsidR="00253C03">
        <w:t>, represents the professionals providing the comparator service (management) and the intervention service (procedure).</w:t>
      </w:r>
      <w:r>
        <w:t xml:space="preserve"> </w:t>
      </w:r>
    </w:p>
    <w:p w14:paraId="038637F9"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6101EBE9" w14:textId="3C66003D" w:rsidR="0044462D" w:rsidRDefault="0044462D" w:rsidP="00A727B6">
      <w:pPr>
        <w:ind w:left="426"/>
        <w:rPr>
          <w:szCs w:val="20"/>
        </w:rPr>
      </w:pPr>
      <w:r>
        <w:t xml:space="preserve">As per Q.19, consumer organisation support was provided as part of Applications 1347 and 1347.1, thus not required. </w:t>
      </w:r>
    </w:p>
    <w:p w14:paraId="4AC75FA5"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5DAD1F19" w14:textId="7C8FDDD4" w:rsidR="00EE6450" w:rsidRDefault="0044462D" w:rsidP="00EE6450">
      <w:pPr>
        <w:ind w:left="426"/>
        <w:rPr>
          <w:szCs w:val="20"/>
        </w:rPr>
      </w:pPr>
      <w:r>
        <w:t xml:space="preserve">All relevant sponsor(s) who produce cardiac occluder devices are listed in </w:t>
      </w:r>
      <w:r>
        <w:fldChar w:fldCharType="begin"/>
      </w:r>
      <w:r>
        <w:instrText xml:space="preserve"> REF _Ref21951086 \h </w:instrText>
      </w:r>
      <w:r>
        <w:fldChar w:fldCharType="separate"/>
      </w:r>
      <w:r w:rsidR="004E2E17">
        <w:t xml:space="preserve">Table </w:t>
      </w:r>
      <w:r w:rsidR="004E2E17">
        <w:rPr>
          <w:noProof/>
        </w:rPr>
        <w:t>1</w:t>
      </w:r>
      <w:r>
        <w:fldChar w:fldCharType="end"/>
      </w:r>
      <w:r>
        <w:t xml:space="preserve">. There are no other relevant sponsors or manufacturers. </w:t>
      </w:r>
    </w:p>
    <w:p w14:paraId="558ED9F9" w14:textId="77777777" w:rsidR="00E82F54" w:rsidRDefault="00E82F54" w:rsidP="00530204">
      <w:pPr>
        <w:pStyle w:val="Heading2"/>
      </w:pPr>
      <w:r w:rsidRPr="00154B00">
        <w:t>Nominate two experts who could be approached about the proposed medical service and the current clinical management of the service(s):</w:t>
      </w:r>
    </w:p>
    <w:p w14:paraId="644D01C4" w14:textId="77777777" w:rsidR="00A96329" w:rsidRPr="00A96329" w:rsidRDefault="00A96329" w:rsidP="00A96329"/>
    <w:p w14:paraId="7949B403" w14:textId="115945B0" w:rsidR="00987ABE" w:rsidRPr="00987ABE" w:rsidRDefault="00987ABE" w:rsidP="00987ABE">
      <w:pPr>
        <w:ind w:left="426"/>
        <w:rPr>
          <w:szCs w:val="20"/>
        </w:rPr>
      </w:pPr>
      <w:r>
        <w:rPr>
          <w:szCs w:val="20"/>
        </w:rPr>
        <w:t>Name of expert 1:</w:t>
      </w:r>
      <w:r w:rsidR="0039246B" w:rsidRPr="0039246B">
        <w:rPr>
          <w:color w:val="000000"/>
        </w:rPr>
        <w:t xml:space="preserve"> </w:t>
      </w:r>
      <w:r w:rsidR="0039246B">
        <w:rPr>
          <w:color w:val="000000"/>
        </w:rPr>
        <w:t>REDACTED</w:t>
      </w:r>
    </w:p>
    <w:p w14:paraId="1B8BC1F1" w14:textId="48C3D5B0" w:rsidR="00987ABE" w:rsidRPr="00987ABE" w:rsidRDefault="00987ABE" w:rsidP="000B6808">
      <w:pPr>
        <w:ind w:left="426"/>
        <w:rPr>
          <w:szCs w:val="20"/>
        </w:rPr>
      </w:pPr>
      <w:r>
        <w:rPr>
          <w:szCs w:val="20"/>
        </w:rPr>
        <w:t xml:space="preserve">Telephone number(s): </w:t>
      </w:r>
      <w:r w:rsidR="0039246B">
        <w:rPr>
          <w:color w:val="000000"/>
        </w:rPr>
        <w:t>REDACTED</w:t>
      </w:r>
    </w:p>
    <w:p w14:paraId="5B9BEEED" w14:textId="69BE8EAA" w:rsidR="00987ABE" w:rsidRPr="00987ABE" w:rsidRDefault="00987ABE" w:rsidP="00987ABE">
      <w:pPr>
        <w:ind w:left="426"/>
        <w:rPr>
          <w:szCs w:val="20"/>
        </w:rPr>
      </w:pPr>
      <w:r>
        <w:rPr>
          <w:szCs w:val="20"/>
        </w:rPr>
        <w:t xml:space="preserve">Email address: </w:t>
      </w:r>
      <w:r w:rsidR="0039246B">
        <w:rPr>
          <w:color w:val="000000"/>
        </w:rPr>
        <w:t>REDACTED</w:t>
      </w:r>
    </w:p>
    <w:p w14:paraId="0829D2AB" w14:textId="297154F9" w:rsidR="00987ABE" w:rsidRPr="00987ABE" w:rsidRDefault="00987ABE" w:rsidP="00987ABE">
      <w:pPr>
        <w:ind w:left="426"/>
        <w:rPr>
          <w:szCs w:val="20"/>
        </w:rPr>
      </w:pPr>
      <w:r>
        <w:rPr>
          <w:szCs w:val="20"/>
        </w:rPr>
        <w:t xml:space="preserve">Justification of expertise: </w:t>
      </w:r>
      <w:r w:rsidR="0039246B">
        <w:rPr>
          <w:color w:val="000000"/>
        </w:rPr>
        <w:t>REDACTED</w:t>
      </w:r>
    </w:p>
    <w:p w14:paraId="4783920F" w14:textId="77777777" w:rsidR="00987ABE" w:rsidRPr="00987ABE" w:rsidRDefault="00987ABE" w:rsidP="00987ABE">
      <w:pPr>
        <w:ind w:left="426"/>
        <w:rPr>
          <w:szCs w:val="20"/>
        </w:rPr>
      </w:pPr>
    </w:p>
    <w:p w14:paraId="1D871C2C" w14:textId="4DEB9E08" w:rsidR="00987ABE" w:rsidRPr="00987ABE" w:rsidRDefault="00987ABE" w:rsidP="00987ABE">
      <w:pPr>
        <w:ind w:left="426"/>
        <w:rPr>
          <w:szCs w:val="20"/>
        </w:rPr>
      </w:pPr>
      <w:r>
        <w:rPr>
          <w:szCs w:val="20"/>
        </w:rPr>
        <w:t xml:space="preserve">Name of expert 2: </w:t>
      </w:r>
      <w:r w:rsidR="0039246B">
        <w:rPr>
          <w:color w:val="000000"/>
        </w:rPr>
        <w:t>REDACTED</w:t>
      </w:r>
    </w:p>
    <w:p w14:paraId="63508BD7" w14:textId="0BF2758F" w:rsidR="00987ABE" w:rsidRPr="00987ABE" w:rsidRDefault="00987ABE" w:rsidP="00987ABE">
      <w:pPr>
        <w:ind w:left="426"/>
        <w:rPr>
          <w:szCs w:val="20"/>
        </w:rPr>
      </w:pPr>
      <w:r>
        <w:rPr>
          <w:szCs w:val="20"/>
        </w:rPr>
        <w:t xml:space="preserve">Telephone number(s): </w:t>
      </w:r>
      <w:r w:rsidR="0039246B">
        <w:rPr>
          <w:color w:val="000000"/>
        </w:rPr>
        <w:t>REDACTED</w:t>
      </w:r>
    </w:p>
    <w:p w14:paraId="2411985D" w14:textId="33368C22" w:rsidR="00987ABE" w:rsidRPr="00987ABE" w:rsidRDefault="00987ABE" w:rsidP="00987ABE">
      <w:pPr>
        <w:ind w:left="426"/>
        <w:rPr>
          <w:szCs w:val="20"/>
        </w:rPr>
      </w:pPr>
      <w:r>
        <w:rPr>
          <w:szCs w:val="20"/>
        </w:rPr>
        <w:t xml:space="preserve">Email address: </w:t>
      </w:r>
      <w:r w:rsidR="0039246B">
        <w:rPr>
          <w:color w:val="000000"/>
        </w:rPr>
        <w:t>REDACTED</w:t>
      </w:r>
    </w:p>
    <w:p w14:paraId="4132680F" w14:textId="09CBFE71" w:rsidR="00414906" w:rsidRPr="00414906" w:rsidRDefault="0039246B" w:rsidP="00414906">
      <w:pPr>
        <w:ind w:left="426"/>
        <w:rPr>
          <w:szCs w:val="20"/>
        </w:rPr>
      </w:pPr>
      <w:r>
        <w:rPr>
          <w:color w:val="000000"/>
        </w:rPr>
        <w:t>REDACTED</w:t>
      </w:r>
    </w:p>
    <w:p w14:paraId="7B704BCC" w14:textId="77777777" w:rsidR="003433D1" w:rsidRDefault="003433D1">
      <w:pPr>
        <w:rPr>
          <w:b/>
          <w:sz w:val="32"/>
          <w:szCs w:val="32"/>
        </w:rPr>
      </w:pPr>
      <w:r>
        <w:rPr>
          <w:b/>
          <w:sz w:val="32"/>
          <w:szCs w:val="32"/>
        </w:rPr>
        <w:br w:type="page"/>
      </w:r>
    </w:p>
    <w:p w14:paraId="1E18BCC9"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360F1F3F" w14:textId="77777777" w:rsidR="0021185D" w:rsidRPr="005C3AE7" w:rsidRDefault="005C3AE7" w:rsidP="005C3AE7">
      <w:pPr>
        <w:pStyle w:val="Subtitle"/>
      </w:pPr>
      <w:r w:rsidRPr="005C3AE7">
        <w:t xml:space="preserve">PART 6a – </w:t>
      </w:r>
      <w:r w:rsidR="0021185D" w:rsidRPr="005C3AE7">
        <w:t>INFORMATION ABOUT THE PROPOSED POPULATION</w:t>
      </w:r>
    </w:p>
    <w:p w14:paraId="7D2E7E83"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311CC25F" w14:textId="77777777" w:rsidR="00275BEC" w:rsidRDefault="00275BEC" w:rsidP="00275BEC">
      <w:pPr>
        <w:ind w:left="426"/>
        <w:rPr>
          <w:szCs w:val="20"/>
        </w:rPr>
      </w:pPr>
      <w:r w:rsidRPr="00275BEC">
        <w:rPr>
          <w:szCs w:val="20"/>
        </w:rPr>
        <w:t xml:space="preserve">Atrial fibrillation (AF) is a condition characterised by disorganised atrial activity without discrete p-waves on a 12 lead electrocardiogram. It is caused by a malfunction in the sequence of electrical impulses controlling the rate and order of contraction of the chambers of the heart. AF is the most common form of irregular heart rhythm. A minority (10%) of AF cases occur in people with rheumatic mitral valve disease, a prosthetic heart valve, or mitral valve repair; this is described as valvular AF. The other 90 per cent of AF is described as NVAF </w:t>
      </w:r>
      <w:bookmarkStart w:id="7" w:name="_Hlk23167432"/>
      <w:r w:rsidRPr="00275BEC">
        <w:rPr>
          <w:szCs w:val="20"/>
        </w:rPr>
        <w:t xml:space="preserve">(Ang et al 1998). </w:t>
      </w:r>
      <w:bookmarkEnd w:id="7"/>
      <w:r w:rsidRPr="00275BEC">
        <w:rPr>
          <w:szCs w:val="20"/>
        </w:rPr>
        <w:t xml:space="preserve">AF is associated with substantial morbidity and mortality from heart failure, stroke, and other thromboembolic complications </w:t>
      </w:r>
      <w:bookmarkStart w:id="8" w:name="_Hlk23167445"/>
      <w:r w:rsidRPr="00275BEC">
        <w:rPr>
          <w:szCs w:val="20"/>
        </w:rPr>
        <w:t xml:space="preserve">(Lip 2003). </w:t>
      </w:r>
      <w:bookmarkEnd w:id="8"/>
      <w:r w:rsidRPr="00275BEC">
        <w:rPr>
          <w:szCs w:val="20"/>
        </w:rPr>
        <w:t>AF affects quality of life across areas of physical, mental, social, and functional measures.</w:t>
      </w:r>
      <w:r>
        <w:rPr>
          <w:szCs w:val="20"/>
        </w:rPr>
        <w:t xml:space="preserve"> </w:t>
      </w:r>
      <w:r w:rsidRPr="00275BEC">
        <w:rPr>
          <w:szCs w:val="20"/>
        </w:rPr>
        <w:t xml:space="preserve">Patients with asymptomatic AF have lower global life satisfaction compared with healthy subjects </w:t>
      </w:r>
      <w:bookmarkStart w:id="9" w:name="_Hlk23167456"/>
      <w:r w:rsidRPr="00275BEC">
        <w:rPr>
          <w:szCs w:val="20"/>
        </w:rPr>
        <w:t xml:space="preserve">(Savelieva et al 2011). </w:t>
      </w:r>
      <w:bookmarkEnd w:id="9"/>
    </w:p>
    <w:p w14:paraId="3A996819" w14:textId="69C172E6" w:rsidR="00800B4E" w:rsidRDefault="000465F1" w:rsidP="00275BEC">
      <w:pPr>
        <w:ind w:left="426"/>
        <w:rPr>
          <w:szCs w:val="20"/>
        </w:rPr>
      </w:pPr>
      <w:r>
        <w:rPr>
          <w:szCs w:val="20"/>
        </w:rPr>
        <w:t xml:space="preserve">Th death rate of atrial fibrillation has seen a steady increase in the last decade with a t </w:t>
      </w:r>
      <w:r w:rsidR="00B203F3" w:rsidRPr="00B203F3">
        <w:rPr>
          <w:szCs w:val="20"/>
        </w:rPr>
        <w:t xml:space="preserve">total of </w:t>
      </w:r>
      <w:r>
        <w:rPr>
          <w:szCs w:val="20"/>
        </w:rPr>
        <w:t>1552</w:t>
      </w:r>
      <w:r w:rsidR="00B203F3" w:rsidRPr="00B203F3">
        <w:rPr>
          <w:szCs w:val="20"/>
        </w:rPr>
        <w:t xml:space="preserve"> Australians hav</w:t>
      </w:r>
      <w:r>
        <w:rPr>
          <w:szCs w:val="20"/>
        </w:rPr>
        <w:t>ing</w:t>
      </w:r>
      <w:r w:rsidR="00B203F3" w:rsidRPr="00B203F3">
        <w:rPr>
          <w:szCs w:val="20"/>
        </w:rPr>
        <w:t xml:space="preserve"> lost their lives due to atrial fibrillation </w:t>
      </w:r>
      <w:r>
        <w:rPr>
          <w:szCs w:val="20"/>
        </w:rPr>
        <w:t xml:space="preserve">in 2009 increasing to a total of 2953 lives lost in 2018 (Australian Bureau of Statistics [ABS] 2018). </w:t>
      </w:r>
      <w:r w:rsidR="00B203F3">
        <w:rPr>
          <w:szCs w:val="20"/>
        </w:rPr>
        <w:t xml:space="preserve">These figures do not account for deaths caused by AF related conditions (ie, stroke, heart failure), thus are likely to </w:t>
      </w:r>
      <w:r>
        <w:rPr>
          <w:szCs w:val="20"/>
        </w:rPr>
        <w:t>underestimate</w:t>
      </w:r>
      <w:r w:rsidR="00B203F3">
        <w:rPr>
          <w:szCs w:val="20"/>
        </w:rPr>
        <w:t xml:space="preserve"> the true numbers. </w:t>
      </w:r>
      <w:r w:rsidR="00275BEC" w:rsidRPr="00275BEC">
        <w:rPr>
          <w:szCs w:val="20"/>
        </w:rPr>
        <w:t>Costs of AF to the Australian economy are at least $1.25 billion (AUD) per annum through medical costs, costs of long-term care for those with a disability, and lost productivity (Price</w:t>
      </w:r>
      <w:r w:rsidR="00643F41">
        <w:rPr>
          <w:szCs w:val="20"/>
        </w:rPr>
        <w:t xml:space="preserve"> </w:t>
      </w:r>
      <w:r w:rsidR="00275BEC" w:rsidRPr="00275BEC">
        <w:rPr>
          <w:szCs w:val="20"/>
        </w:rPr>
        <w:t>Waterhouse</w:t>
      </w:r>
      <w:r w:rsidR="00643F41">
        <w:rPr>
          <w:szCs w:val="20"/>
        </w:rPr>
        <w:t xml:space="preserve"> </w:t>
      </w:r>
      <w:r w:rsidR="00275BEC" w:rsidRPr="00275BEC">
        <w:rPr>
          <w:szCs w:val="20"/>
        </w:rPr>
        <w:t xml:space="preserve">Coopers 2010). </w:t>
      </w:r>
    </w:p>
    <w:p w14:paraId="7A17FBA1" w14:textId="7DE7649F" w:rsidR="00275BEC" w:rsidRPr="00275BEC" w:rsidRDefault="00800B4E" w:rsidP="00275BEC">
      <w:pPr>
        <w:ind w:left="426"/>
        <w:rPr>
          <w:szCs w:val="20"/>
        </w:rPr>
      </w:pPr>
      <w:r>
        <w:rPr>
          <w:szCs w:val="20"/>
        </w:rPr>
        <w:t>In 2015, 1.7% of the Australian population (~397,000) had experienced a stroke at some time in their life (</w:t>
      </w:r>
      <w:r w:rsidR="00230B00">
        <w:rPr>
          <w:szCs w:val="20"/>
        </w:rPr>
        <w:t>Australian Institute in Health of Health and Welfare [AIHW]: cardiovascular disease 2019)</w:t>
      </w:r>
      <w:r>
        <w:rPr>
          <w:szCs w:val="20"/>
        </w:rPr>
        <w:t xml:space="preserve">. </w:t>
      </w:r>
      <w:r w:rsidR="00275BEC" w:rsidRPr="00275BEC">
        <w:rPr>
          <w:szCs w:val="20"/>
        </w:rPr>
        <w:t xml:space="preserve">People disabled by stroke are more likely to need ongoing assistance with activities of daily living compared with people disabled by other diseases. For example, those disabled by stroke were twice as likely </w:t>
      </w:r>
      <w:r w:rsidR="00275BEC" w:rsidRPr="00275BEC">
        <w:rPr>
          <w:szCs w:val="20"/>
        </w:rPr>
        <w:lastRenderedPageBreak/>
        <w:t>to need ongoing assistance with these activities as those whose disability was caused by coronary heart disease (42.1% compared with 21.6%) (AIHW: Heart, stroke and vascular diseases 2004).</w:t>
      </w:r>
    </w:p>
    <w:p w14:paraId="0A545EB1" w14:textId="7760D5E1" w:rsidR="00275BEC" w:rsidRDefault="00275BEC" w:rsidP="00275BEC">
      <w:pPr>
        <w:ind w:left="426"/>
        <w:rPr>
          <w:szCs w:val="20"/>
        </w:rPr>
      </w:pPr>
      <w:r w:rsidRPr="00275BEC">
        <w:rPr>
          <w:szCs w:val="20"/>
        </w:rPr>
        <w:t xml:space="preserve">The symptoms of AF can include palpitations, dizziness, chest pain and shortness of breath, often noticed as an inability to tolerate exercise. However, approximately 10–30 per cent of people with AF have no symptoms; many of these people are not diagnosed and thus do not receive appropriate treatment for stroke risk </w:t>
      </w:r>
      <w:bookmarkStart w:id="10" w:name="_Hlk23167476"/>
      <w:r w:rsidRPr="00275BEC">
        <w:rPr>
          <w:szCs w:val="20"/>
        </w:rPr>
        <w:t>(Department of Health and ageing (DoHA): review of anticoagulation therapies in atrial fibrillation 2012).</w:t>
      </w:r>
      <w:bookmarkEnd w:id="10"/>
    </w:p>
    <w:p w14:paraId="03FAC2C1" w14:textId="5B9E3295" w:rsidR="00B920D2" w:rsidRDefault="00B920D2" w:rsidP="00B920D2">
      <w:pPr>
        <w:ind w:left="426"/>
        <w:rPr>
          <w:szCs w:val="20"/>
        </w:rPr>
      </w:pPr>
      <w:r>
        <w:rPr>
          <w:szCs w:val="20"/>
        </w:rPr>
        <w:t xml:space="preserve">Based on </w:t>
      </w:r>
      <w:bookmarkStart w:id="11" w:name="_Hlk23167490"/>
      <w:r>
        <w:rPr>
          <w:szCs w:val="20"/>
        </w:rPr>
        <w:t xml:space="preserve">the </w:t>
      </w:r>
      <w:r w:rsidRPr="005015FA">
        <w:rPr>
          <w:szCs w:val="20"/>
        </w:rPr>
        <w:t xml:space="preserve">National Heart Foundation </w:t>
      </w:r>
      <w:r>
        <w:rPr>
          <w:szCs w:val="20"/>
        </w:rPr>
        <w:t xml:space="preserve">(NHF) </w:t>
      </w:r>
      <w:r w:rsidRPr="005015FA">
        <w:rPr>
          <w:szCs w:val="20"/>
        </w:rPr>
        <w:t>of Australia</w:t>
      </w:r>
      <w:r>
        <w:rPr>
          <w:szCs w:val="20"/>
        </w:rPr>
        <w:t xml:space="preserve"> </w:t>
      </w:r>
      <w:r w:rsidRPr="005015FA">
        <w:rPr>
          <w:szCs w:val="20"/>
        </w:rPr>
        <w:t>and the Cardiac Society of Australia and</w:t>
      </w:r>
      <w:r>
        <w:rPr>
          <w:szCs w:val="20"/>
        </w:rPr>
        <w:t xml:space="preserve"> </w:t>
      </w:r>
      <w:r w:rsidRPr="005015FA">
        <w:rPr>
          <w:szCs w:val="20"/>
        </w:rPr>
        <w:t>New Zealand</w:t>
      </w:r>
      <w:r>
        <w:rPr>
          <w:szCs w:val="20"/>
        </w:rPr>
        <w:t xml:space="preserve"> (CSANZ) </w:t>
      </w:r>
      <w:r w:rsidRPr="00B920D2">
        <w:rPr>
          <w:szCs w:val="20"/>
        </w:rPr>
        <w:t>Australian clinical</w:t>
      </w:r>
      <w:r>
        <w:rPr>
          <w:szCs w:val="20"/>
        </w:rPr>
        <w:t xml:space="preserve"> </w:t>
      </w:r>
      <w:r w:rsidRPr="00B920D2">
        <w:rPr>
          <w:szCs w:val="20"/>
        </w:rPr>
        <w:t>guidelines for the diagnosis and</w:t>
      </w:r>
      <w:r>
        <w:rPr>
          <w:szCs w:val="20"/>
        </w:rPr>
        <w:t xml:space="preserve"> </w:t>
      </w:r>
      <w:r w:rsidRPr="00B920D2">
        <w:rPr>
          <w:szCs w:val="20"/>
        </w:rPr>
        <w:t xml:space="preserve">management of </w:t>
      </w:r>
      <w:r>
        <w:rPr>
          <w:szCs w:val="20"/>
        </w:rPr>
        <w:t>AF</w:t>
      </w:r>
      <w:r w:rsidRPr="00B920D2">
        <w:rPr>
          <w:szCs w:val="20"/>
        </w:rPr>
        <w:t xml:space="preserve"> </w:t>
      </w:r>
      <w:r>
        <w:rPr>
          <w:szCs w:val="20"/>
        </w:rPr>
        <w:t>(2018)</w:t>
      </w:r>
      <w:bookmarkEnd w:id="11"/>
      <w:r>
        <w:rPr>
          <w:szCs w:val="20"/>
        </w:rPr>
        <w:t>, the stroke risk of patients with NVAF</w:t>
      </w:r>
      <w:r w:rsidR="007E6838">
        <w:rPr>
          <w:szCs w:val="20"/>
        </w:rPr>
        <w:t xml:space="preserve"> in Australia</w:t>
      </w:r>
      <w:r>
        <w:rPr>
          <w:szCs w:val="20"/>
        </w:rPr>
        <w:t xml:space="preserve"> is assessed using a modified version of the CHA</w:t>
      </w:r>
      <w:r w:rsidRPr="00B920D2">
        <w:rPr>
          <w:szCs w:val="20"/>
          <w:vertAlign w:val="subscript"/>
        </w:rPr>
        <w:t>2</w:t>
      </w:r>
      <w:r>
        <w:rPr>
          <w:szCs w:val="20"/>
        </w:rPr>
        <w:t>DS</w:t>
      </w:r>
      <w:r w:rsidRPr="00B920D2">
        <w:rPr>
          <w:szCs w:val="20"/>
          <w:vertAlign w:val="subscript"/>
        </w:rPr>
        <w:t>2</w:t>
      </w:r>
      <w:r>
        <w:rPr>
          <w:szCs w:val="20"/>
        </w:rPr>
        <w:t>-VAS, namely CHA</w:t>
      </w:r>
      <w:r w:rsidRPr="00B920D2">
        <w:rPr>
          <w:szCs w:val="20"/>
          <w:vertAlign w:val="subscript"/>
        </w:rPr>
        <w:t>2</w:t>
      </w:r>
      <w:r>
        <w:rPr>
          <w:szCs w:val="20"/>
        </w:rPr>
        <w:t>DS</w:t>
      </w:r>
      <w:r w:rsidRPr="00B920D2">
        <w:rPr>
          <w:szCs w:val="20"/>
          <w:vertAlign w:val="subscript"/>
        </w:rPr>
        <w:t>2</w:t>
      </w:r>
      <w:r>
        <w:rPr>
          <w:szCs w:val="20"/>
        </w:rPr>
        <w:t xml:space="preserve">-VA, which does not take into account sex (the former gives one point for female sex). </w:t>
      </w:r>
      <w:r w:rsidR="00D0571B">
        <w:rPr>
          <w:szCs w:val="20"/>
        </w:rPr>
        <w:t xml:space="preserve">The sexless score is recommended to avoid the cumbersome practice of selecting different thresholds for males and females when recommending anticoagulation. </w:t>
      </w:r>
      <w:r>
        <w:rPr>
          <w:szCs w:val="20"/>
        </w:rPr>
        <w:t>The definition and points in the CHA</w:t>
      </w:r>
      <w:r w:rsidRPr="00B920D2">
        <w:rPr>
          <w:szCs w:val="20"/>
          <w:vertAlign w:val="subscript"/>
        </w:rPr>
        <w:t>2</w:t>
      </w:r>
      <w:r>
        <w:rPr>
          <w:szCs w:val="20"/>
        </w:rPr>
        <w:t>DS</w:t>
      </w:r>
      <w:r w:rsidRPr="00B920D2">
        <w:rPr>
          <w:szCs w:val="20"/>
          <w:vertAlign w:val="subscript"/>
        </w:rPr>
        <w:t>2</w:t>
      </w:r>
      <w:r>
        <w:rPr>
          <w:szCs w:val="20"/>
        </w:rPr>
        <w:t xml:space="preserve">-VA is provided in </w:t>
      </w:r>
      <w:r>
        <w:rPr>
          <w:szCs w:val="20"/>
        </w:rPr>
        <w:fldChar w:fldCharType="begin"/>
      </w:r>
      <w:r>
        <w:rPr>
          <w:szCs w:val="20"/>
        </w:rPr>
        <w:instrText xml:space="preserve"> REF _Ref22289575 \h </w:instrText>
      </w:r>
      <w:r>
        <w:rPr>
          <w:szCs w:val="20"/>
        </w:rPr>
      </w:r>
      <w:r>
        <w:rPr>
          <w:szCs w:val="20"/>
        </w:rPr>
        <w:fldChar w:fldCharType="separate"/>
      </w:r>
      <w:r w:rsidR="004E2E17">
        <w:t xml:space="preserve">Table </w:t>
      </w:r>
      <w:r w:rsidR="004E2E17">
        <w:rPr>
          <w:noProof/>
        </w:rPr>
        <w:t>2</w:t>
      </w:r>
      <w:r>
        <w:rPr>
          <w:szCs w:val="20"/>
        </w:rPr>
        <w:fldChar w:fldCharType="end"/>
      </w:r>
      <w:r>
        <w:rPr>
          <w:szCs w:val="20"/>
        </w:rPr>
        <w:t>.</w:t>
      </w:r>
    </w:p>
    <w:p w14:paraId="5229F656" w14:textId="1F149C5E" w:rsidR="00B920D2" w:rsidRDefault="00B920D2" w:rsidP="00B920D2">
      <w:pPr>
        <w:pStyle w:val="Caption"/>
        <w:rPr>
          <w:szCs w:val="20"/>
        </w:rPr>
      </w:pPr>
      <w:bookmarkStart w:id="12" w:name="_Ref22289575"/>
      <w:r>
        <w:t xml:space="preserve">Table </w:t>
      </w:r>
      <w:fldSimple w:instr=" SEQ Table \* ARABIC ">
        <w:r w:rsidR="004E2E17">
          <w:rPr>
            <w:noProof/>
          </w:rPr>
          <w:t>2</w:t>
        </w:r>
      </w:fldSimple>
      <w:bookmarkEnd w:id="12"/>
      <w:r>
        <w:tab/>
      </w:r>
      <w:r>
        <w:rPr>
          <w:szCs w:val="20"/>
        </w:rPr>
        <w:t>Definition and points in the CHA</w:t>
      </w:r>
      <w:r w:rsidRPr="00B920D2">
        <w:rPr>
          <w:szCs w:val="20"/>
          <w:vertAlign w:val="subscript"/>
        </w:rPr>
        <w:t>2</w:t>
      </w:r>
      <w:r>
        <w:rPr>
          <w:szCs w:val="20"/>
        </w:rPr>
        <w:t>DS</w:t>
      </w:r>
      <w:r w:rsidRPr="00B920D2">
        <w:rPr>
          <w:szCs w:val="20"/>
          <w:vertAlign w:val="subscript"/>
        </w:rPr>
        <w:t>2</w:t>
      </w:r>
      <w:r>
        <w:rPr>
          <w:szCs w:val="20"/>
        </w:rPr>
        <w:t>-VA score</w:t>
      </w:r>
    </w:p>
    <w:tbl>
      <w:tblPr>
        <w:tblStyle w:val="TableGrid"/>
        <w:tblW w:w="0" w:type="auto"/>
        <w:tblLook w:val="04A0" w:firstRow="1" w:lastRow="0" w:firstColumn="1" w:lastColumn="0" w:noHBand="0" w:noVBand="1"/>
        <w:tblCaption w:val="Table 2"/>
        <w:tblDescription w:val="Definition and points"/>
      </w:tblPr>
      <w:tblGrid>
        <w:gridCol w:w="704"/>
        <w:gridCol w:w="851"/>
        <w:gridCol w:w="7461"/>
      </w:tblGrid>
      <w:tr w:rsidR="00B920D2" w:rsidRPr="007E6838" w14:paraId="7F0DF9A9" w14:textId="77777777" w:rsidTr="007E6838">
        <w:trPr>
          <w:tblHeader/>
        </w:trPr>
        <w:tc>
          <w:tcPr>
            <w:tcW w:w="704" w:type="dxa"/>
          </w:tcPr>
          <w:p w14:paraId="2EDC323C" w14:textId="77777777" w:rsidR="00B920D2" w:rsidRPr="007E6838" w:rsidRDefault="00B920D2" w:rsidP="007E6838">
            <w:pPr>
              <w:pStyle w:val="Tabletext"/>
              <w:rPr>
                <w:b/>
                <w:bCs w:val="0"/>
              </w:rPr>
            </w:pPr>
            <w:r w:rsidRPr="007E6838">
              <w:rPr>
                <w:b/>
                <w:bCs w:val="0"/>
              </w:rPr>
              <w:t>Score</w:t>
            </w:r>
          </w:p>
        </w:tc>
        <w:tc>
          <w:tcPr>
            <w:tcW w:w="851" w:type="dxa"/>
          </w:tcPr>
          <w:p w14:paraId="507FFE57" w14:textId="77777777" w:rsidR="00B920D2" w:rsidRPr="007E6838" w:rsidRDefault="00B920D2" w:rsidP="007E6838">
            <w:pPr>
              <w:pStyle w:val="Tabletext"/>
              <w:rPr>
                <w:b/>
                <w:bCs w:val="0"/>
              </w:rPr>
            </w:pPr>
            <w:r w:rsidRPr="007E6838">
              <w:rPr>
                <w:b/>
                <w:bCs w:val="0"/>
              </w:rPr>
              <w:t>Points</w:t>
            </w:r>
          </w:p>
        </w:tc>
        <w:tc>
          <w:tcPr>
            <w:tcW w:w="7461" w:type="dxa"/>
          </w:tcPr>
          <w:p w14:paraId="594D2193" w14:textId="77777777" w:rsidR="00B920D2" w:rsidRPr="007E6838" w:rsidRDefault="00B920D2" w:rsidP="007E6838">
            <w:pPr>
              <w:pStyle w:val="Tabletext"/>
              <w:rPr>
                <w:b/>
                <w:bCs w:val="0"/>
              </w:rPr>
            </w:pPr>
            <w:r w:rsidRPr="007E6838">
              <w:rPr>
                <w:b/>
                <w:bCs w:val="0"/>
              </w:rPr>
              <w:t>Definition</w:t>
            </w:r>
          </w:p>
        </w:tc>
      </w:tr>
      <w:tr w:rsidR="00B920D2" w14:paraId="1FC59A5F" w14:textId="77777777" w:rsidTr="007E6838">
        <w:tc>
          <w:tcPr>
            <w:tcW w:w="704" w:type="dxa"/>
          </w:tcPr>
          <w:p w14:paraId="562FD2DC" w14:textId="77777777" w:rsidR="00B920D2" w:rsidRDefault="00B920D2" w:rsidP="007E6838">
            <w:pPr>
              <w:pStyle w:val="Tabletext"/>
            </w:pPr>
            <w:r>
              <w:t>C</w:t>
            </w:r>
          </w:p>
        </w:tc>
        <w:tc>
          <w:tcPr>
            <w:tcW w:w="851" w:type="dxa"/>
          </w:tcPr>
          <w:p w14:paraId="03B9358A" w14:textId="77777777" w:rsidR="00B920D2" w:rsidRDefault="00B920D2" w:rsidP="007E6838">
            <w:pPr>
              <w:pStyle w:val="Tabletext"/>
            </w:pPr>
            <w:r>
              <w:t>1</w:t>
            </w:r>
          </w:p>
        </w:tc>
        <w:tc>
          <w:tcPr>
            <w:tcW w:w="7461" w:type="dxa"/>
          </w:tcPr>
          <w:p w14:paraId="7347AD05" w14:textId="77777777" w:rsidR="00B920D2" w:rsidRDefault="00B920D2" w:rsidP="007E6838">
            <w:pPr>
              <w:pStyle w:val="Tabletext"/>
            </w:pPr>
            <w:r w:rsidRPr="005015FA">
              <w:t>Congestive heart failure—recent signs, symptoms or admission for decompensated heart failure; this includes</w:t>
            </w:r>
            <w:r>
              <w:t xml:space="preserve"> </w:t>
            </w:r>
            <w:r w:rsidRPr="005015FA">
              <w:t>both HFrEF and HFpEF, or moderately to severely reduced systolic left ventricular function, whether or not</w:t>
            </w:r>
            <w:r>
              <w:t xml:space="preserve"> </w:t>
            </w:r>
            <w:r w:rsidRPr="005015FA">
              <w:t>there is a history of heart failure</w:t>
            </w:r>
          </w:p>
        </w:tc>
      </w:tr>
      <w:tr w:rsidR="00B920D2" w14:paraId="26F2B3A0" w14:textId="77777777" w:rsidTr="007E6838">
        <w:tc>
          <w:tcPr>
            <w:tcW w:w="704" w:type="dxa"/>
          </w:tcPr>
          <w:p w14:paraId="7ABFE43B" w14:textId="77777777" w:rsidR="00B920D2" w:rsidRDefault="00B920D2" w:rsidP="007E6838">
            <w:pPr>
              <w:pStyle w:val="Tabletext"/>
            </w:pPr>
            <w:r>
              <w:t>H</w:t>
            </w:r>
          </w:p>
        </w:tc>
        <w:tc>
          <w:tcPr>
            <w:tcW w:w="851" w:type="dxa"/>
          </w:tcPr>
          <w:p w14:paraId="2EA3B4B4" w14:textId="77777777" w:rsidR="00B920D2" w:rsidRDefault="00B920D2" w:rsidP="007E6838">
            <w:pPr>
              <w:pStyle w:val="Tabletext"/>
            </w:pPr>
            <w:r>
              <w:t>1</w:t>
            </w:r>
          </w:p>
        </w:tc>
        <w:tc>
          <w:tcPr>
            <w:tcW w:w="7461" w:type="dxa"/>
          </w:tcPr>
          <w:p w14:paraId="59582E3D" w14:textId="77777777" w:rsidR="00B920D2" w:rsidRDefault="00B920D2" w:rsidP="007E6838">
            <w:pPr>
              <w:pStyle w:val="Tabletext"/>
            </w:pPr>
            <w:r w:rsidRPr="005015FA">
              <w:t>History of hypertension, whether or not BP is currently elevated</w:t>
            </w:r>
          </w:p>
        </w:tc>
      </w:tr>
      <w:tr w:rsidR="00B920D2" w14:paraId="71C10DDA" w14:textId="77777777" w:rsidTr="007E6838">
        <w:tc>
          <w:tcPr>
            <w:tcW w:w="704" w:type="dxa"/>
          </w:tcPr>
          <w:p w14:paraId="47E1D651" w14:textId="77777777" w:rsidR="00B920D2" w:rsidRDefault="00B920D2" w:rsidP="007E6838">
            <w:pPr>
              <w:pStyle w:val="Tabletext"/>
            </w:pPr>
            <w:r>
              <w:t>A2</w:t>
            </w:r>
          </w:p>
        </w:tc>
        <w:tc>
          <w:tcPr>
            <w:tcW w:w="851" w:type="dxa"/>
          </w:tcPr>
          <w:p w14:paraId="3DE7CF6C" w14:textId="77777777" w:rsidR="00B920D2" w:rsidRDefault="00B920D2" w:rsidP="007E6838">
            <w:pPr>
              <w:pStyle w:val="Tabletext"/>
            </w:pPr>
            <w:r>
              <w:t>2</w:t>
            </w:r>
          </w:p>
        </w:tc>
        <w:tc>
          <w:tcPr>
            <w:tcW w:w="7461" w:type="dxa"/>
          </w:tcPr>
          <w:p w14:paraId="010D2E97" w14:textId="77777777" w:rsidR="00B920D2" w:rsidRDefault="00B920D2" w:rsidP="007E6838">
            <w:pPr>
              <w:pStyle w:val="Tabletext"/>
            </w:pPr>
            <w:r w:rsidRPr="005015FA">
              <w:t>Age</w:t>
            </w:r>
            <w:r>
              <w:t xml:space="preserve"> </w:t>
            </w:r>
            <w:r>
              <w:rPr>
                <w:rFonts w:cstheme="minorHAnsi"/>
              </w:rPr>
              <w:t xml:space="preserve">≥ </w:t>
            </w:r>
            <w:r w:rsidRPr="005015FA">
              <w:t>75 years</w:t>
            </w:r>
          </w:p>
        </w:tc>
      </w:tr>
      <w:tr w:rsidR="00B920D2" w14:paraId="135F987E" w14:textId="77777777" w:rsidTr="007E6838">
        <w:tc>
          <w:tcPr>
            <w:tcW w:w="704" w:type="dxa"/>
          </w:tcPr>
          <w:p w14:paraId="163D4A7A" w14:textId="77777777" w:rsidR="00B920D2" w:rsidRDefault="00B920D2" w:rsidP="007E6838">
            <w:pPr>
              <w:pStyle w:val="Tabletext"/>
            </w:pPr>
            <w:r>
              <w:t>D</w:t>
            </w:r>
          </w:p>
        </w:tc>
        <w:tc>
          <w:tcPr>
            <w:tcW w:w="851" w:type="dxa"/>
          </w:tcPr>
          <w:p w14:paraId="485EE716" w14:textId="77777777" w:rsidR="00B920D2" w:rsidRDefault="00B920D2" w:rsidP="007E6838">
            <w:pPr>
              <w:pStyle w:val="Tabletext"/>
            </w:pPr>
            <w:r>
              <w:t>1</w:t>
            </w:r>
          </w:p>
        </w:tc>
        <w:tc>
          <w:tcPr>
            <w:tcW w:w="7461" w:type="dxa"/>
          </w:tcPr>
          <w:p w14:paraId="7BD41CBE" w14:textId="77777777" w:rsidR="00B920D2" w:rsidRDefault="00B920D2" w:rsidP="007E6838">
            <w:pPr>
              <w:pStyle w:val="Tabletext"/>
            </w:pPr>
            <w:r>
              <w:t>Diabetes</w:t>
            </w:r>
          </w:p>
        </w:tc>
      </w:tr>
      <w:tr w:rsidR="00B920D2" w14:paraId="3DA1D486" w14:textId="77777777" w:rsidTr="007E6838">
        <w:tc>
          <w:tcPr>
            <w:tcW w:w="704" w:type="dxa"/>
          </w:tcPr>
          <w:p w14:paraId="5569C9CD" w14:textId="77777777" w:rsidR="00B920D2" w:rsidRDefault="00B920D2" w:rsidP="007E6838">
            <w:pPr>
              <w:pStyle w:val="Tabletext"/>
            </w:pPr>
            <w:r>
              <w:t>S2</w:t>
            </w:r>
          </w:p>
        </w:tc>
        <w:tc>
          <w:tcPr>
            <w:tcW w:w="851" w:type="dxa"/>
          </w:tcPr>
          <w:p w14:paraId="566FA7DF" w14:textId="77777777" w:rsidR="00B920D2" w:rsidRDefault="00B920D2" w:rsidP="007E6838">
            <w:pPr>
              <w:pStyle w:val="Tabletext"/>
            </w:pPr>
            <w:r>
              <w:t>2</w:t>
            </w:r>
          </w:p>
        </w:tc>
        <w:tc>
          <w:tcPr>
            <w:tcW w:w="7461" w:type="dxa"/>
          </w:tcPr>
          <w:p w14:paraId="1487ED28" w14:textId="77777777" w:rsidR="00B920D2" w:rsidRDefault="00B920D2" w:rsidP="007E6838">
            <w:pPr>
              <w:pStyle w:val="Tabletext"/>
            </w:pPr>
            <w:r w:rsidRPr="005015FA">
              <w:t>History of prior stroke or TIA or systemic thromboembolism</w:t>
            </w:r>
          </w:p>
        </w:tc>
      </w:tr>
      <w:tr w:rsidR="00B920D2" w14:paraId="25518F20" w14:textId="77777777" w:rsidTr="007E6838">
        <w:tc>
          <w:tcPr>
            <w:tcW w:w="704" w:type="dxa"/>
          </w:tcPr>
          <w:p w14:paraId="0462ECFA" w14:textId="77777777" w:rsidR="00B920D2" w:rsidRDefault="00B920D2" w:rsidP="007E6838">
            <w:pPr>
              <w:pStyle w:val="Tabletext"/>
            </w:pPr>
            <w:r>
              <w:t>V</w:t>
            </w:r>
          </w:p>
        </w:tc>
        <w:tc>
          <w:tcPr>
            <w:tcW w:w="851" w:type="dxa"/>
          </w:tcPr>
          <w:p w14:paraId="6229F38E" w14:textId="77777777" w:rsidR="00B920D2" w:rsidRDefault="00B920D2" w:rsidP="007E6838">
            <w:pPr>
              <w:pStyle w:val="Tabletext"/>
            </w:pPr>
            <w:r>
              <w:t>1</w:t>
            </w:r>
          </w:p>
        </w:tc>
        <w:tc>
          <w:tcPr>
            <w:tcW w:w="7461" w:type="dxa"/>
          </w:tcPr>
          <w:p w14:paraId="7E718C63" w14:textId="77777777" w:rsidR="00B920D2" w:rsidRPr="005015FA" w:rsidRDefault="00B920D2" w:rsidP="007E6838">
            <w:pPr>
              <w:pStyle w:val="Tabletext"/>
            </w:pPr>
            <w:r w:rsidRPr="005015FA">
              <w:t>Vascular disease, defined as prior myocardial infarction or peripheral arterial disease or complex aortic atheroma</w:t>
            </w:r>
          </w:p>
          <w:p w14:paraId="6523B131" w14:textId="77777777" w:rsidR="00B920D2" w:rsidRDefault="00B920D2" w:rsidP="007E6838">
            <w:pPr>
              <w:pStyle w:val="Tabletext"/>
            </w:pPr>
            <w:r w:rsidRPr="005015FA">
              <w:t>or plaque on imaging (if performed)</w:t>
            </w:r>
          </w:p>
        </w:tc>
      </w:tr>
      <w:tr w:rsidR="00B920D2" w14:paraId="1A89C3C5" w14:textId="77777777" w:rsidTr="007E6838">
        <w:tc>
          <w:tcPr>
            <w:tcW w:w="704" w:type="dxa"/>
          </w:tcPr>
          <w:p w14:paraId="44EC8ECC" w14:textId="77777777" w:rsidR="00B920D2" w:rsidRDefault="00B920D2" w:rsidP="007E6838">
            <w:pPr>
              <w:pStyle w:val="Tabletext"/>
            </w:pPr>
            <w:r>
              <w:t>A</w:t>
            </w:r>
          </w:p>
        </w:tc>
        <w:tc>
          <w:tcPr>
            <w:tcW w:w="851" w:type="dxa"/>
          </w:tcPr>
          <w:p w14:paraId="422F0F96" w14:textId="77777777" w:rsidR="00B920D2" w:rsidRDefault="00B920D2" w:rsidP="007E6838">
            <w:pPr>
              <w:pStyle w:val="Tabletext"/>
            </w:pPr>
            <w:r>
              <w:t>1</w:t>
            </w:r>
          </w:p>
        </w:tc>
        <w:tc>
          <w:tcPr>
            <w:tcW w:w="7461" w:type="dxa"/>
          </w:tcPr>
          <w:p w14:paraId="2275C16A" w14:textId="77777777" w:rsidR="00B920D2" w:rsidRDefault="00B920D2" w:rsidP="007E6838">
            <w:pPr>
              <w:pStyle w:val="Tabletext"/>
            </w:pPr>
            <w:r w:rsidRPr="005015FA">
              <w:t>Age 65–74 years</w:t>
            </w:r>
          </w:p>
        </w:tc>
      </w:tr>
    </w:tbl>
    <w:p w14:paraId="32282240" w14:textId="77777777" w:rsidR="00B920D2" w:rsidRDefault="00B920D2" w:rsidP="007E6838">
      <w:pPr>
        <w:pStyle w:val="TableNote"/>
      </w:pPr>
      <w:r w:rsidRPr="005015FA">
        <w:t>AF</w:t>
      </w:r>
      <w:r>
        <w:t>=</w:t>
      </w:r>
      <w:r w:rsidRPr="005015FA">
        <w:t>atrial fibrillation; BP</w:t>
      </w:r>
      <w:r>
        <w:t>=</w:t>
      </w:r>
      <w:r w:rsidRPr="005015FA">
        <w:t>blood pressure; HFpEF</w:t>
      </w:r>
      <w:r>
        <w:t>=</w:t>
      </w:r>
      <w:r w:rsidRPr="005015FA">
        <w:t>heart failure with preserved ejection fraction; HFrEF</w:t>
      </w:r>
      <w:r>
        <w:t>=</w:t>
      </w:r>
      <w:r w:rsidRPr="005015FA">
        <w:t>heart failure with reduced ejection fraction; TIA</w:t>
      </w:r>
      <w:r>
        <w:t>=</w:t>
      </w:r>
      <w:r w:rsidRPr="005015FA">
        <w:t>transient</w:t>
      </w:r>
      <w:r>
        <w:t xml:space="preserve"> </w:t>
      </w:r>
      <w:r w:rsidRPr="005015FA">
        <w:t>ischaemic attack.</w:t>
      </w:r>
    </w:p>
    <w:p w14:paraId="48B6C83E" w14:textId="02B7B732" w:rsidR="00B920D2" w:rsidRDefault="00B920D2" w:rsidP="007E6838">
      <w:pPr>
        <w:pStyle w:val="TableNote"/>
      </w:pPr>
      <w:r>
        <w:t xml:space="preserve">Source: </w:t>
      </w:r>
      <w:r w:rsidRPr="005015FA">
        <w:t xml:space="preserve">National Heart Foundation </w:t>
      </w:r>
      <w:r>
        <w:t xml:space="preserve">(NHF) </w:t>
      </w:r>
      <w:r w:rsidRPr="005015FA">
        <w:t>of Australia</w:t>
      </w:r>
      <w:r>
        <w:t xml:space="preserve"> </w:t>
      </w:r>
      <w:r w:rsidRPr="005015FA">
        <w:t>and the Cardiac Society of Australia and</w:t>
      </w:r>
      <w:r>
        <w:t xml:space="preserve"> </w:t>
      </w:r>
      <w:r w:rsidRPr="005015FA">
        <w:t>New Zealand</w:t>
      </w:r>
      <w:r>
        <w:t xml:space="preserve"> (CSANZ) (2018) Table 3 </w:t>
      </w:r>
      <w:r w:rsidR="00643F41">
        <w:t>pg.</w:t>
      </w:r>
      <w:r>
        <w:t xml:space="preserve"> 1235.</w:t>
      </w:r>
    </w:p>
    <w:p w14:paraId="61C1519D" w14:textId="77777777" w:rsidR="00275BEC" w:rsidRPr="00275BEC" w:rsidRDefault="00275BEC" w:rsidP="00275BEC">
      <w:pPr>
        <w:ind w:left="426"/>
        <w:rPr>
          <w:szCs w:val="20"/>
        </w:rPr>
      </w:pPr>
    </w:p>
    <w:p w14:paraId="6BF42E2E"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tbl>
      <w:tblPr>
        <w:tblStyle w:val="TableGrid"/>
        <w:tblW w:w="0" w:type="auto"/>
        <w:tblInd w:w="426" w:type="dxa"/>
        <w:shd w:val="clear" w:color="auto" w:fill="D9D9D9" w:themeFill="background1" w:themeFillShade="D9"/>
        <w:tblLook w:val="04A0" w:firstRow="1" w:lastRow="0" w:firstColumn="1" w:lastColumn="0" w:noHBand="0" w:noVBand="1"/>
        <w:tblCaption w:val="Text box"/>
        <w:tblDescription w:val="Text box"/>
      </w:tblPr>
      <w:tblGrid>
        <w:gridCol w:w="8590"/>
      </w:tblGrid>
      <w:tr w:rsidR="00535316" w14:paraId="43D2BF90" w14:textId="77777777" w:rsidTr="007E53B3">
        <w:trPr>
          <w:tblHeader/>
        </w:trPr>
        <w:tc>
          <w:tcPr>
            <w:tcW w:w="9016" w:type="dxa"/>
            <w:shd w:val="clear" w:color="auto" w:fill="D9D9D9" w:themeFill="background1" w:themeFillShade="D9"/>
          </w:tcPr>
          <w:p w14:paraId="621C727E" w14:textId="77D59240" w:rsidR="00535316" w:rsidRPr="006755C8" w:rsidRDefault="006755C8" w:rsidP="00535316">
            <w:pPr>
              <w:pStyle w:val="Tabletext"/>
              <w:rPr>
                <w:b/>
                <w:bCs w:val="0"/>
              </w:rPr>
            </w:pPr>
            <w:r w:rsidRPr="006755C8">
              <w:rPr>
                <w:b/>
                <w:bCs w:val="0"/>
              </w:rPr>
              <w:t>P</w:t>
            </w:r>
            <w:r w:rsidR="00535316" w:rsidRPr="006755C8">
              <w:rPr>
                <w:b/>
                <w:bCs w:val="0"/>
              </w:rPr>
              <w:t xml:space="preserve">roposed patient </w:t>
            </w:r>
            <w:r w:rsidRPr="006755C8">
              <w:rPr>
                <w:b/>
                <w:bCs w:val="0"/>
              </w:rPr>
              <w:t>population</w:t>
            </w:r>
            <w:r w:rsidR="00535316" w:rsidRPr="006755C8">
              <w:rPr>
                <w:b/>
                <w:bCs w:val="0"/>
              </w:rPr>
              <w:t>:</w:t>
            </w:r>
          </w:p>
          <w:p w14:paraId="1378221E" w14:textId="74F1420C" w:rsidR="00535316" w:rsidRDefault="006755C8" w:rsidP="00535316">
            <w:pPr>
              <w:pStyle w:val="Tabletext"/>
            </w:pPr>
            <w:r>
              <w:t>P</w:t>
            </w:r>
            <w:r w:rsidR="00535316">
              <w:t>atient</w:t>
            </w:r>
            <w:r>
              <w:t>s</w:t>
            </w:r>
            <w:r w:rsidR="00535316">
              <w:t xml:space="preserve"> </w:t>
            </w:r>
            <w:r>
              <w:t>with</w:t>
            </w:r>
            <w:r w:rsidR="00535316">
              <w:t xml:space="preserve"> </w:t>
            </w:r>
            <w:r>
              <w:t>NVAF</w:t>
            </w:r>
            <w:r w:rsidR="00535316">
              <w:t xml:space="preserve"> a</w:t>
            </w:r>
            <w:r>
              <w:t>ssessed by</w:t>
            </w:r>
            <w:r w:rsidR="00216561">
              <w:t xml:space="preserve"> </w:t>
            </w:r>
            <w:r w:rsidR="00CE633F">
              <w:t>a non-interventional</w:t>
            </w:r>
            <w:r w:rsidR="00216561">
              <w:t xml:space="preserve"> and interventional physician as </w:t>
            </w:r>
            <w:r>
              <w:t>has having</w:t>
            </w:r>
            <w:r w:rsidR="00535316">
              <w:t xml:space="preserve"> contraindication to life</w:t>
            </w:r>
            <w:r w:rsidR="00535316">
              <w:rPr>
                <w:rFonts w:ascii="Cambria Math" w:hAnsi="Cambria Math" w:cs="Cambria Math"/>
              </w:rPr>
              <w:t>‑</w:t>
            </w:r>
            <w:r w:rsidR="00535316">
              <w:t>long oral anticoagulation therapy, and is at increased risk of thromboembolism demonstrated by:</w:t>
            </w:r>
          </w:p>
          <w:p w14:paraId="02C19884" w14:textId="77777777" w:rsidR="00535316" w:rsidRDefault="00535316" w:rsidP="00535316">
            <w:pPr>
              <w:pStyle w:val="Tabletext"/>
            </w:pPr>
            <w:r>
              <w:t>(a) a prior stroke (whether of an ischaemic or unknown type), transient ischaemic attack or non</w:t>
            </w:r>
            <w:r>
              <w:rPr>
                <w:rFonts w:ascii="Cambria Math" w:hAnsi="Cambria Math" w:cs="Cambria Math"/>
              </w:rPr>
              <w:t>‑</w:t>
            </w:r>
            <w:r>
              <w:t>central nervous system systemic embolism; or</w:t>
            </w:r>
          </w:p>
          <w:p w14:paraId="5804BB98" w14:textId="77777777" w:rsidR="00535316" w:rsidRDefault="00535316" w:rsidP="00535316">
            <w:pPr>
              <w:pStyle w:val="Tabletext"/>
            </w:pPr>
            <w:r>
              <w:t>(b) at least 2 of the following risk factors:</w:t>
            </w:r>
          </w:p>
          <w:p w14:paraId="489DA68A" w14:textId="77777777" w:rsidR="00535316" w:rsidRDefault="00535316" w:rsidP="00535316">
            <w:pPr>
              <w:pStyle w:val="Tabletext"/>
            </w:pPr>
            <w:r>
              <w:t>(i) an age of 65 years or more;</w:t>
            </w:r>
          </w:p>
          <w:p w14:paraId="630AD153" w14:textId="77777777" w:rsidR="00535316" w:rsidRDefault="00535316" w:rsidP="00535316">
            <w:pPr>
              <w:pStyle w:val="Tabletext"/>
            </w:pPr>
            <w:r>
              <w:t>(ii) hypertension;</w:t>
            </w:r>
          </w:p>
          <w:p w14:paraId="310D4B26" w14:textId="77777777" w:rsidR="00535316" w:rsidRDefault="00535316" w:rsidP="00535316">
            <w:pPr>
              <w:pStyle w:val="Tabletext"/>
            </w:pPr>
            <w:r>
              <w:t>(iii) diabetes mellitus;</w:t>
            </w:r>
          </w:p>
          <w:p w14:paraId="6608BD28" w14:textId="77777777" w:rsidR="00535316" w:rsidRDefault="00535316" w:rsidP="00535316">
            <w:pPr>
              <w:pStyle w:val="Tabletext"/>
            </w:pPr>
            <w:r>
              <w:t>(iv) heart failure or left ventricular ejection fraction of 35% or less (or both);</w:t>
            </w:r>
          </w:p>
          <w:p w14:paraId="784D84E4" w14:textId="58A8BD9F" w:rsidR="00535316" w:rsidRDefault="00535316" w:rsidP="00535316">
            <w:pPr>
              <w:pStyle w:val="Tabletext"/>
            </w:pPr>
            <w:r>
              <w:t>(v) vascular disease (prior myocardial infarction, peripheral artery disease or aortic plaque)</w:t>
            </w:r>
          </w:p>
          <w:p w14:paraId="0A527C91" w14:textId="77777777" w:rsidR="006755C8" w:rsidRDefault="006755C8" w:rsidP="006755C8">
            <w:pPr>
              <w:pStyle w:val="Tabletext"/>
            </w:pPr>
          </w:p>
          <w:p w14:paraId="32B653BC" w14:textId="77777777" w:rsidR="007E5393" w:rsidRDefault="007E5393" w:rsidP="007E5393">
            <w:pPr>
              <w:pStyle w:val="Tabletext"/>
            </w:pPr>
            <w:r>
              <w:lastRenderedPageBreak/>
              <w:t>A contraindication to lifelong anticoagulation is defined as:</w:t>
            </w:r>
          </w:p>
          <w:p w14:paraId="17B71862" w14:textId="7B6C81E2" w:rsidR="007E5393" w:rsidRDefault="007E5393" w:rsidP="007E5393">
            <w:pPr>
              <w:pStyle w:val="Tabletext"/>
            </w:pPr>
            <w:r>
              <w:t>i) a previous major bleeding complication, or</w:t>
            </w:r>
          </w:p>
          <w:p w14:paraId="662F2D35" w14:textId="77777777" w:rsidR="007E5393" w:rsidRDefault="007E5393" w:rsidP="007E5393">
            <w:pPr>
              <w:pStyle w:val="Tabletext"/>
            </w:pPr>
            <w:r>
              <w:t>ii) a blood dyscrasia, or</w:t>
            </w:r>
          </w:p>
          <w:p w14:paraId="3AE640A4" w14:textId="77777777" w:rsidR="007E5393" w:rsidRDefault="007E5393" w:rsidP="007E5393">
            <w:pPr>
              <w:pStyle w:val="Tabletext"/>
            </w:pPr>
            <w:r>
              <w:t>iii) a vascular abnormality predisposing to potentially life-threatening haemorrhage, or</w:t>
            </w:r>
          </w:p>
          <w:p w14:paraId="2E4AAD1E" w14:textId="1EF94042" w:rsidR="007E5393" w:rsidRDefault="007E5393" w:rsidP="007E5393">
            <w:pPr>
              <w:pStyle w:val="Tabletext"/>
            </w:pPr>
            <w:r>
              <w:t>iv) anaemia, or</w:t>
            </w:r>
          </w:p>
          <w:p w14:paraId="01E03410" w14:textId="231985ED" w:rsidR="007E5393" w:rsidRDefault="007E5393" w:rsidP="007E5393">
            <w:pPr>
              <w:pStyle w:val="Tabletext"/>
            </w:pPr>
            <w:r>
              <w:t>v) prior gastrointestinal bleed, or</w:t>
            </w:r>
          </w:p>
          <w:p w14:paraId="113A0D53" w14:textId="3234FCDE" w:rsidR="007E5393" w:rsidRDefault="007E5393" w:rsidP="007E5393">
            <w:pPr>
              <w:pStyle w:val="Tabletext"/>
            </w:pPr>
            <w:r>
              <w:t>vi) thrombocytopenia, or</w:t>
            </w:r>
          </w:p>
          <w:p w14:paraId="7B1DF5E1" w14:textId="77750434" w:rsidR="007E5393" w:rsidRDefault="007E5393" w:rsidP="007E5393">
            <w:pPr>
              <w:pStyle w:val="Tabletext"/>
            </w:pPr>
            <w:r>
              <w:t>vii) haematological malignancy, or</w:t>
            </w:r>
          </w:p>
          <w:p w14:paraId="25E7AC89" w14:textId="7D86ADEF" w:rsidR="007E5393" w:rsidRDefault="007E5393" w:rsidP="007E5393">
            <w:pPr>
              <w:pStyle w:val="Tabletext"/>
            </w:pPr>
            <w:r>
              <w:t>viii) traumatic intracranial haemorrhage</w:t>
            </w:r>
          </w:p>
        </w:tc>
      </w:tr>
    </w:tbl>
    <w:p w14:paraId="1076F79E" w14:textId="77777777" w:rsidR="00535316" w:rsidRDefault="00535316" w:rsidP="00E357B9">
      <w:pPr>
        <w:ind w:left="426"/>
      </w:pPr>
    </w:p>
    <w:p w14:paraId="119C9705" w14:textId="4DF4C7EC" w:rsidR="00AA5FDA" w:rsidRDefault="00657C78" w:rsidP="00E357B9">
      <w:pPr>
        <w:ind w:left="426"/>
      </w:pPr>
      <w:r>
        <w:t>Currently, to be eligible for LAAC on the MBS, patients must have NVA</w:t>
      </w:r>
      <w:r w:rsidR="00C47645">
        <w:t>F</w:t>
      </w:r>
      <w:r>
        <w:t xml:space="preserve"> and be at increased risk of stroke</w:t>
      </w:r>
      <w:r w:rsidR="007E6838">
        <w:t xml:space="preserve"> (</w:t>
      </w:r>
      <w:r w:rsidR="007E6838">
        <w:rPr>
          <w:szCs w:val="20"/>
        </w:rPr>
        <w:t>CHA</w:t>
      </w:r>
      <w:r w:rsidR="007E6838" w:rsidRPr="00B920D2">
        <w:rPr>
          <w:szCs w:val="20"/>
          <w:vertAlign w:val="subscript"/>
        </w:rPr>
        <w:t>2</w:t>
      </w:r>
      <w:r w:rsidR="007E6838">
        <w:rPr>
          <w:szCs w:val="20"/>
        </w:rPr>
        <w:t>DS</w:t>
      </w:r>
      <w:r w:rsidR="007E6838" w:rsidRPr="00B920D2">
        <w:rPr>
          <w:szCs w:val="20"/>
          <w:vertAlign w:val="subscript"/>
        </w:rPr>
        <w:t>2</w:t>
      </w:r>
      <w:r w:rsidR="007E6838">
        <w:rPr>
          <w:szCs w:val="20"/>
        </w:rPr>
        <w:t>-VA</w:t>
      </w:r>
      <w:r w:rsidR="00FC22BD">
        <w:rPr>
          <w:szCs w:val="20"/>
        </w:rPr>
        <w:t xml:space="preserve"> </w:t>
      </w:r>
      <w:r w:rsidR="00FC22BD">
        <w:rPr>
          <w:rFonts w:cstheme="minorHAnsi"/>
        </w:rPr>
        <w:t>≥</w:t>
      </w:r>
      <w:r w:rsidR="00FC22BD">
        <w:t xml:space="preserve"> 2</w:t>
      </w:r>
      <w:r w:rsidR="007E6838">
        <w:rPr>
          <w:szCs w:val="20"/>
        </w:rPr>
        <w:t xml:space="preserve">) </w:t>
      </w:r>
      <w:r>
        <w:t>and have a</w:t>
      </w:r>
      <w:r w:rsidRPr="00657C78">
        <w:t xml:space="preserve"> contraindication to lifelong </w:t>
      </w:r>
      <w:r w:rsidR="00350DD1">
        <w:t xml:space="preserve">oral </w:t>
      </w:r>
      <w:r w:rsidRPr="00657C78">
        <w:t>anticoagulation</w:t>
      </w:r>
      <w:r>
        <w:t>, here referred to as ‘absolute</w:t>
      </w:r>
      <w:r w:rsidR="002330D1">
        <w:t>’</w:t>
      </w:r>
      <w:r>
        <w:t xml:space="preserve"> contraindication to OAT. The proposed patient population in this application is the same as those who are currently eligible for LAAC on the MBS with the exception that patients have ‘relative</w:t>
      </w:r>
      <w:r w:rsidR="002330D1">
        <w:t>’</w:t>
      </w:r>
      <w:r>
        <w:t xml:space="preserve"> contraindication to OAT, </w:t>
      </w:r>
      <w:r w:rsidR="00C47645">
        <w:t>rather than</w:t>
      </w:r>
      <w:r>
        <w:t xml:space="preserve"> </w:t>
      </w:r>
      <w:r w:rsidR="002330D1">
        <w:t>‘</w:t>
      </w:r>
      <w:r>
        <w:t>absolute</w:t>
      </w:r>
      <w:r w:rsidR="002330D1">
        <w:t xml:space="preserve">’ contraindication to </w:t>
      </w:r>
      <w:r w:rsidR="00643F41">
        <w:t>lifelong</w:t>
      </w:r>
      <w:r w:rsidR="002330D1">
        <w:t xml:space="preserve"> OAT</w:t>
      </w:r>
      <w:r>
        <w:t xml:space="preserve">. The eligibility criteria for MBS item code </w:t>
      </w:r>
      <w:r w:rsidRPr="00657C78">
        <w:t>38276</w:t>
      </w:r>
      <w:r>
        <w:t xml:space="preserve"> is as follows</w:t>
      </w:r>
      <w:r w:rsidR="007E6838">
        <w:t xml:space="preserve"> with contraindications to lifelong anticoagulation defined in explanatory note (TN.8.132)</w:t>
      </w:r>
      <w:r w:rsidR="00350DD1">
        <w:t>.</w:t>
      </w:r>
    </w:p>
    <w:tbl>
      <w:tblPr>
        <w:tblStyle w:val="TableGrid"/>
        <w:tblW w:w="0" w:type="auto"/>
        <w:tblInd w:w="421" w:type="dxa"/>
        <w:tblLook w:val="04A0" w:firstRow="1" w:lastRow="0" w:firstColumn="1" w:lastColumn="0" w:noHBand="0" w:noVBand="1"/>
        <w:tblCaption w:val="MBS item 39276"/>
        <w:tblDescription w:val="current descriptor"/>
      </w:tblPr>
      <w:tblGrid>
        <w:gridCol w:w="8595"/>
      </w:tblGrid>
      <w:tr w:rsidR="00657C78" w14:paraId="7E747CD3" w14:textId="77777777" w:rsidTr="007E53B3">
        <w:trPr>
          <w:tblHeader/>
        </w:trPr>
        <w:tc>
          <w:tcPr>
            <w:tcW w:w="8595" w:type="dxa"/>
          </w:tcPr>
          <w:p w14:paraId="5D62B0D9" w14:textId="77777777" w:rsidR="00657C78" w:rsidRDefault="00657C78" w:rsidP="000E1CB8">
            <w:pPr>
              <w:pStyle w:val="Tabletext"/>
            </w:pPr>
            <w:r>
              <w:t xml:space="preserve">38276 </w:t>
            </w:r>
          </w:p>
          <w:p w14:paraId="2E276DFE" w14:textId="77777777" w:rsidR="00657C78" w:rsidRDefault="00657C78" w:rsidP="000E1CB8">
            <w:pPr>
              <w:pStyle w:val="Tabletext"/>
            </w:pPr>
            <w:r>
              <w:t>Transcatheter occlusion of left atrial appendage, and cardiac catheterisation performed by the same practitioner, for stroke prevention in a patient who has non</w:t>
            </w:r>
            <w:r>
              <w:rPr>
                <w:rFonts w:ascii="Cambria Math" w:hAnsi="Cambria Math" w:cs="Cambria Math"/>
              </w:rPr>
              <w:t>‑</w:t>
            </w:r>
            <w:r>
              <w:t>valvular atrial fibrillation and a contraindication to life</w:t>
            </w:r>
            <w:r>
              <w:rPr>
                <w:rFonts w:ascii="Cambria Math" w:hAnsi="Cambria Math" w:cs="Cambria Math"/>
              </w:rPr>
              <w:t>‑</w:t>
            </w:r>
            <w:r>
              <w:t>long oral anticoagulation therapy, and is at increased risk of thromboembolism demonstrated by:</w:t>
            </w:r>
          </w:p>
          <w:p w14:paraId="39B37819" w14:textId="77777777" w:rsidR="00657C78" w:rsidRDefault="00657C78" w:rsidP="000E1CB8">
            <w:pPr>
              <w:pStyle w:val="Tabletext"/>
            </w:pPr>
            <w:r>
              <w:t>(a) a prior stroke (whether of an ischaemic or unknown type), transient ischaemic attack or non</w:t>
            </w:r>
            <w:r>
              <w:rPr>
                <w:rFonts w:ascii="Cambria Math" w:hAnsi="Cambria Math" w:cs="Cambria Math"/>
              </w:rPr>
              <w:t>‑</w:t>
            </w:r>
            <w:r>
              <w:t>central nervous system systemic embolism; or</w:t>
            </w:r>
          </w:p>
          <w:p w14:paraId="35133438" w14:textId="77777777" w:rsidR="00657C78" w:rsidRDefault="00657C78" w:rsidP="000E1CB8">
            <w:pPr>
              <w:pStyle w:val="Tabletext"/>
            </w:pPr>
            <w:r>
              <w:t>(b) at least 2 of the following risk factors:</w:t>
            </w:r>
          </w:p>
          <w:p w14:paraId="3CC719B7" w14:textId="77777777" w:rsidR="00657C78" w:rsidRDefault="00657C78" w:rsidP="000E1CB8">
            <w:pPr>
              <w:pStyle w:val="Tabletext"/>
            </w:pPr>
            <w:r>
              <w:t>(i) an age of 65 years or more;</w:t>
            </w:r>
          </w:p>
          <w:p w14:paraId="3D32655C" w14:textId="77777777" w:rsidR="00657C78" w:rsidRDefault="00657C78" w:rsidP="000E1CB8">
            <w:pPr>
              <w:pStyle w:val="Tabletext"/>
            </w:pPr>
            <w:r>
              <w:t>(ii) hypertension;</w:t>
            </w:r>
          </w:p>
          <w:p w14:paraId="51675921" w14:textId="77777777" w:rsidR="00657C78" w:rsidRDefault="00657C78" w:rsidP="000E1CB8">
            <w:pPr>
              <w:pStyle w:val="Tabletext"/>
            </w:pPr>
            <w:r>
              <w:t>(iii) diabetes mellitus;</w:t>
            </w:r>
          </w:p>
          <w:p w14:paraId="04D3379C" w14:textId="77777777" w:rsidR="00657C78" w:rsidRDefault="00657C78" w:rsidP="000E1CB8">
            <w:pPr>
              <w:pStyle w:val="Tabletext"/>
            </w:pPr>
            <w:r>
              <w:t>(iv) heart failure or left ventricular ejection fraction of 35% or less (or both);</w:t>
            </w:r>
          </w:p>
          <w:p w14:paraId="36090F60" w14:textId="77777777" w:rsidR="00657C78" w:rsidRDefault="00657C78" w:rsidP="000E1CB8">
            <w:pPr>
              <w:pStyle w:val="Tabletext"/>
            </w:pPr>
            <w:r>
              <w:t>(v) vascular disease (prior myocardial infarction, peripheral artery disease or aortic plaque)</w:t>
            </w:r>
          </w:p>
          <w:p w14:paraId="149F9617" w14:textId="77777777" w:rsidR="00657C78" w:rsidRDefault="00657C78" w:rsidP="000E1CB8">
            <w:pPr>
              <w:pStyle w:val="Tabletext"/>
            </w:pPr>
            <w:r>
              <w:t>Multiple Operation Rule</w:t>
            </w:r>
          </w:p>
          <w:p w14:paraId="494DBD62" w14:textId="77777777" w:rsidR="00657C78" w:rsidRDefault="00657C78" w:rsidP="000E1CB8">
            <w:pPr>
              <w:pStyle w:val="Tabletext"/>
            </w:pPr>
            <w:r>
              <w:t>(Anaes.) (Assist.)</w:t>
            </w:r>
          </w:p>
          <w:p w14:paraId="466727F3" w14:textId="671240DE" w:rsidR="00657C78" w:rsidRDefault="00961F3A" w:rsidP="000E1CB8">
            <w:pPr>
              <w:pStyle w:val="Tabletext"/>
            </w:pPr>
            <w:r w:rsidRPr="00961F3A">
              <w:t>Fee: $926.90 Benefit: 75% = $695.20</w:t>
            </w:r>
          </w:p>
        </w:tc>
      </w:tr>
      <w:tr w:rsidR="00657C78" w14:paraId="75626CB3" w14:textId="77777777" w:rsidTr="00657C78">
        <w:tc>
          <w:tcPr>
            <w:tcW w:w="8595" w:type="dxa"/>
          </w:tcPr>
          <w:p w14:paraId="55E5ABE7" w14:textId="77777777" w:rsidR="00657C78" w:rsidRDefault="00657C78" w:rsidP="000E1CB8">
            <w:pPr>
              <w:pStyle w:val="Tabletext"/>
            </w:pPr>
            <w:r>
              <w:t>Explanatory Note (</w:t>
            </w:r>
            <w:r w:rsidRPr="00A0378A">
              <w:t>TN.8.132</w:t>
            </w:r>
            <w:r>
              <w:t>)</w:t>
            </w:r>
          </w:p>
          <w:p w14:paraId="6700A37E" w14:textId="77777777" w:rsidR="00657C78" w:rsidRDefault="00657C78" w:rsidP="000E1CB8">
            <w:pPr>
              <w:pStyle w:val="Tabletext"/>
            </w:pPr>
            <w:r>
              <w:t>A contraindication to lifelong anticoagulation is defined as:</w:t>
            </w:r>
          </w:p>
          <w:p w14:paraId="1E8D0C2A" w14:textId="77777777" w:rsidR="00657C78" w:rsidRDefault="00657C78" w:rsidP="000E1CB8">
            <w:pPr>
              <w:pStyle w:val="Tabletext"/>
            </w:pPr>
            <w:r>
              <w:t>i) a previous major bleeding complication experienced whilst undergoing treatment with oral anticoagulation therapy,</w:t>
            </w:r>
          </w:p>
          <w:p w14:paraId="2418769C" w14:textId="77777777" w:rsidR="00657C78" w:rsidRDefault="00657C78" w:rsidP="000E1CB8">
            <w:pPr>
              <w:pStyle w:val="Tabletext"/>
            </w:pPr>
            <w:r>
              <w:t>ii) a blood dyscrasia, or</w:t>
            </w:r>
          </w:p>
          <w:p w14:paraId="598AFFDC" w14:textId="77777777" w:rsidR="00657C78" w:rsidRDefault="00657C78" w:rsidP="000E1CB8">
            <w:pPr>
              <w:pStyle w:val="Tabletext"/>
            </w:pPr>
            <w:r>
              <w:t xml:space="preserve">iii) a vascular abnormality predisposing to potentially life-threatening haemorrhage </w:t>
            </w:r>
          </w:p>
          <w:p w14:paraId="448675CF" w14:textId="77777777" w:rsidR="00657C78" w:rsidRDefault="00657C78" w:rsidP="000E1CB8">
            <w:pPr>
              <w:pStyle w:val="Tabletext"/>
            </w:pPr>
            <w:r>
              <w:t>The procedure is performed as a hospital service.</w:t>
            </w:r>
          </w:p>
        </w:tc>
      </w:tr>
    </w:tbl>
    <w:p w14:paraId="539BD2C8" w14:textId="1BF23766" w:rsidR="00657C78" w:rsidRDefault="00657C78" w:rsidP="00E357B9">
      <w:pPr>
        <w:ind w:left="426"/>
      </w:pPr>
    </w:p>
    <w:p w14:paraId="5B22F0AE" w14:textId="35437EA4" w:rsidR="000C3241" w:rsidRDefault="000C3241" w:rsidP="000C3241">
      <w:pPr>
        <w:ind w:left="426"/>
      </w:pPr>
      <w:r>
        <w:t>The use of OAT for prevention of stroke in NVAF patients is based on a patient's stroke risk, relative to any comorbid conditions that might carry significant risk of bleeding. Such characteristics are referred to as relative contraindications</w:t>
      </w:r>
      <w:r w:rsidR="000E1D96">
        <w:t xml:space="preserve">. Relative contraindications </w:t>
      </w:r>
      <w:r>
        <w:t xml:space="preserve">represent patient characteristics that put them at higher risk for bleeding and may </w:t>
      </w:r>
      <w:r w:rsidR="000E1D96">
        <w:t xml:space="preserve">result in </w:t>
      </w:r>
      <w:r>
        <w:t xml:space="preserve">withholding </w:t>
      </w:r>
      <w:r w:rsidR="000E1D96">
        <w:t>OAT</w:t>
      </w:r>
      <w:r>
        <w:t xml:space="preserve">, </w:t>
      </w:r>
      <w:r w:rsidR="000E1D96">
        <w:t>given the balance of risk to benefit of treatment</w:t>
      </w:r>
      <w:r>
        <w:t xml:space="preserve"> (Steinberg et al 2015).</w:t>
      </w:r>
    </w:p>
    <w:p w14:paraId="3643F762" w14:textId="4874285E" w:rsidR="00657C78" w:rsidRDefault="002330D1" w:rsidP="00EF10B3">
      <w:pPr>
        <w:ind w:left="426"/>
      </w:pPr>
      <w:r>
        <w:t>The ‘absolute’ contraindication to lifelong anticoagulation as per explanatory note (TN.8.132) were defined in the Stakeholder meeting for Application 1347 (MSAC Application 1347 Stake holder meeting minutes 5 June 2015). This stakeholder meeting</w:t>
      </w:r>
      <w:r w:rsidR="00C47645">
        <w:t xml:space="preserve"> </w:t>
      </w:r>
      <w:r w:rsidR="00C47645" w:rsidRPr="00C47645">
        <w:rPr>
          <w:i/>
          <w:iCs/>
        </w:rPr>
        <w:t>“considered that relative contraindications were more difficult to establish particularly whether there was true intolerance to therapy or just reflected patient preference”</w:t>
      </w:r>
      <w:r w:rsidR="00C47645">
        <w:t xml:space="preserve"> (p.2)</w:t>
      </w:r>
      <w:r w:rsidR="00C47645" w:rsidRPr="00C47645">
        <w:t>.</w:t>
      </w:r>
      <w:r w:rsidR="00C47645">
        <w:t xml:space="preserve"> To mitigate this, the Applicant </w:t>
      </w:r>
      <w:r w:rsidR="00BA4384">
        <w:t xml:space="preserve">has sought local expert advice to formulate a specific list of contraindications that do not reflect patient preference. </w:t>
      </w:r>
    </w:p>
    <w:p w14:paraId="74D688C1" w14:textId="5B15AD1F" w:rsidR="00FC22BD" w:rsidRDefault="000C3241" w:rsidP="000C3241">
      <w:pPr>
        <w:ind w:left="426"/>
      </w:pPr>
      <w:r>
        <w:lastRenderedPageBreak/>
        <w:t>The study by Steinberg et al (2015) defi</w:t>
      </w:r>
      <w:r w:rsidR="000E1D96">
        <w:t xml:space="preserve">nes relative contraindications as </w:t>
      </w:r>
      <w:r>
        <w:t>advanced age (85</w:t>
      </w:r>
      <w:r w:rsidR="00EF10B3">
        <w:t xml:space="preserve"> </w:t>
      </w:r>
      <w:r>
        <w:t>years or older</w:t>
      </w:r>
      <w:r w:rsidR="00EF10B3">
        <w:t xml:space="preserve">), </w:t>
      </w:r>
      <w:r>
        <w:t>evidence of</w:t>
      </w:r>
      <w:r w:rsidR="00EF10B3">
        <w:t xml:space="preserve"> </w:t>
      </w:r>
      <w:r>
        <w:t xml:space="preserve">dementia, gastrointestinal </w:t>
      </w:r>
      <w:r w:rsidR="00EF10B3">
        <w:t>haemorrhage</w:t>
      </w:r>
      <w:r>
        <w:t>, thrombocytopenia, an</w:t>
      </w:r>
      <w:r w:rsidR="00EF10B3">
        <w:t>a</w:t>
      </w:r>
      <w:r>
        <w:t>emia, h</w:t>
      </w:r>
      <w:r w:rsidR="00EF10B3">
        <w:t>a</w:t>
      </w:r>
      <w:r>
        <w:t>ematological</w:t>
      </w:r>
      <w:r w:rsidR="00EF10B3">
        <w:t xml:space="preserve"> </w:t>
      </w:r>
      <w:r>
        <w:t xml:space="preserve">malignancy and traumatic intracranial </w:t>
      </w:r>
      <w:r w:rsidR="00EF10B3">
        <w:t xml:space="preserve">haemorrhage. Other sources </w:t>
      </w:r>
      <w:r w:rsidR="00D66ED0">
        <w:t xml:space="preserve">are broadly similar, however also </w:t>
      </w:r>
      <w:r w:rsidR="00EF10B3">
        <w:t>include r</w:t>
      </w:r>
      <w:r w:rsidR="00EF10B3" w:rsidRPr="00EF10B3">
        <w:t>ecent history recurrent iatrogenic falls in patient at higher bleeding risk</w:t>
      </w:r>
      <w:r w:rsidR="00437057">
        <w:t xml:space="preserve"> as a relative contraindication,</w:t>
      </w:r>
      <w:r w:rsidR="00D66ED0">
        <w:t xml:space="preserve"> whilst acknowledging that </w:t>
      </w:r>
      <w:r w:rsidR="00437057">
        <w:t>risk of fall is not a contraindication to OAT per se (Buckinghamshire</w:t>
      </w:r>
      <w:r w:rsidR="006755C8">
        <w:t xml:space="preserve"> Formulary NHS</w:t>
      </w:r>
      <w:r w:rsidR="00D66ED0">
        <w:rPr>
          <w:rStyle w:val="FootnoteReference"/>
        </w:rPr>
        <w:footnoteReference w:id="1"/>
      </w:r>
      <w:r w:rsidR="00437057">
        <w:t>.</w:t>
      </w:r>
      <w:r w:rsidR="00BA4384">
        <w:t xml:space="preserve"> The definitions used by Steinberg et al (2015) were adapted based on local expert advice, to ensure only contraindications pertaining to patients bleeding risk were included. As such, age </w:t>
      </w:r>
      <w:r w:rsidR="00BA4384">
        <w:rPr>
          <w:rFonts w:cstheme="minorHAnsi"/>
        </w:rPr>
        <w:t>≥</w:t>
      </w:r>
      <w:r w:rsidR="00BA4384">
        <w:t xml:space="preserve"> 85 years and dementia were not considered specific to patients bleeding risk per se and were not included in the list. </w:t>
      </w:r>
    </w:p>
    <w:p w14:paraId="18DC7AE0" w14:textId="77777777" w:rsidR="00657C78" w:rsidRPr="00154B00" w:rsidRDefault="00657C78" w:rsidP="00E357B9">
      <w:pPr>
        <w:ind w:left="426"/>
        <w:rPr>
          <w:szCs w:val="20"/>
        </w:rPr>
      </w:pPr>
    </w:p>
    <w:p w14:paraId="3F5A5B7B"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08744E29" w14:textId="2CF5D955" w:rsidR="00BC424B" w:rsidRDefault="000D2DB4" w:rsidP="00D73646">
      <w:pPr>
        <w:ind w:left="426"/>
      </w:pPr>
      <w:r>
        <w:t>The current clinical management pathway for stroke prevention in AF, based</w:t>
      </w:r>
      <w:r w:rsidR="00DA7323">
        <w:t xml:space="preserve"> </w:t>
      </w:r>
      <w:r>
        <w:t xml:space="preserve">on the NHF of Australia and CSANZ (2018) guidelines for AF, is provided in </w:t>
      </w:r>
      <w:r>
        <w:fldChar w:fldCharType="begin"/>
      </w:r>
      <w:r>
        <w:instrText xml:space="preserve"> REF _Ref22290797 \h </w:instrText>
      </w:r>
      <w:r>
        <w:fldChar w:fldCharType="separate"/>
      </w:r>
      <w:r w:rsidR="004E2E17">
        <w:t xml:space="preserve">Figure </w:t>
      </w:r>
      <w:r w:rsidR="004E2E17">
        <w:rPr>
          <w:noProof/>
        </w:rPr>
        <w:t>1</w:t>
      </w:r>
      <w:r>
        <w:fldChar w:fldCharType="end"/>
      </w:r>
      <w:r>
        <w:t xml:space="preserve">. The pathway considers both NVAF and valvular AF, however, the focus of this Application is NVAF. </w:t>
      </w:r>
    </w:p>
    <w:p w14:paraId="08DAE232" w14:textId="30A69959" w:rsidR="000D2DB4" w:rsidRDefault="000D2DB4" w:rsidP="00D73646">
      <w:pPr>
        <w:ind w:left="426"/>
        <w:rPr>
          <w:szCs w:val="20"/>
        </w:rPr>
      </w:pPr>
      <w:r>
        <w:t xml:space="preserve">As previously mentioned, </w:t>
      </w:r>
      <w:r w:rsidR="005C3430">
        <w:t xml:space="preserve">in this guideline </w:t>
      </w:r>
      <w:r>
        <w:t xml:space="preserve">the </w:t>
      </w:r>
      <w:r w:rsidR="00D0571B">
        <w:rPr>
          <w:szCs w:val="20"/>
        </w:rPr>
        <w:t>CHA</w:t>
      </w:r>
      <w:r w:rsidR="00D0571B" w:rsidRPr="00B920D2">
        <w:rPr>
          <w:szCs w:val="20"/>
          <w:vertAlign w:val="subscript"/>
        </w:rPr>
        <w:t>2</w:t>
      </w:r>
      <w:r w:rsidR="00D0571B">
        <w:rPr>
          <w:szCs w:val="20"/>
        </w:rPr>
        <w:t>DS</w:t>
      </w:r>
      <w:r w:rsidR="00D0571B" w:rsidRPr="00B920D2">
        <w:rPr>
          <w:szCs w:val="20"/>
          <w:vertAlign w:val="subscript"/>
        </w:rPr>
        <w:t>2</w:t>
      </w:r>
      <w:r w:rsidR="00D0571B">
        <w:rPr>
          <w:szCs w:val="20"/>
        </w:rPr>
        <w:t>-VA score is recommended for predicting stroke risk in AF and determines management of patients. In patients with a score of zero, oral anticoagulation or antiplatelets are not recommended, rather these patients will be re-evaluated annually to review their score. Patients with a CHA</w:t>
      </w:r>
      <w:r w:rsidR="00D0571B" w:rsidRPr="00B920D2">
        <w:rPr>
          <w:szCs w:val="20"/>
          <w:vertAlign w:val="subscript"/>
        </w:rPr>
        <w:t>2</w:t>
      </w:r>
      <w:r w:rsidR="00D0571B">
        <w:rPr>
          <w:szCs w:val="20"/>
        </w:rPr>
        <w:t>DS</w:t>
      </w:r>
      <w:r w:rsidR="00D0571B" w:rsidRPr="00B920D2">
        <w:rPr>
          <w:szCs w:val="20"/>
          <w:vertAlign w:val="subscript"/>
        </w:rPr>
        <w:t>2</w:t>
      </w:r>
      <w:r w:rsidR="00D0571B">
        <w:rPr>
          <w:szCs w:val="20"/>
        </w:rPr>
        <w:t xml:space="preserve">-VA score of 1 are </w:t>
      </w:r>
      <w:r w:rsidR="00D0571B" w:rsidRPr="00D0571B">
        <w:rPr>
          <w:szCs w:val="20"/>
        </w:rPr>
        <w:t>considered for OAT</w:t>
      </w:r>
      <w:r w:rsidR="00D0571B">
        <w:rPr>
          <w:szCs w:val="20"/>
        </w:rPr>
        <w:t xml:space="preserve"> to prevent stroke and systemic embolism (note the guidelines refer to oral anticoagulant [OAC] which is interchangeable with OAT)</w:t>
      </w:r>
      <w:r w:rsidR="00D0571B" w:rsidRPr="00D0571B">
        <w:rPr>
          <w:szCs w:val="20"/>
        </w:rPr>
        <w:t>.</w:t>
      </w:r>
      <w:r w:rsidR="00D0571B">
        <w:rPr>
          <w:szCs w:val="20"/>
        </w:rPr>
        <w:t xml:space="preserve"> The guidelines specifically recommend that </w:t>
      </w:r>
      <w:r w:rsidR="00D0571B" w:rsidRPr="005D5661">
        <w:rPr>
          <w:i/>
          <w:iCs/>
          <w:szCs w:val="20"/>
        </w:rPr>
        <w:t>“[w]hen oral anticoagulation is initiated in patients with NVAF</w:t>
      </w:r>
      <w:r w:rsidR="005D5661" w:rsidRPr="005D5661">
        <w:rPr>
          <w:i/>
          <w:iCs/>
          <w:szCs w:val="20"/>
        </w:rPr>
        <w:t>, an NOAC – apixaban, dabigatran, or rivaroxaban – is recommended in preference to warfarin”</w:t>
      </w:r>
      <w:r w:rsidR="005D5661">
        <w:rPr>
          <w:szCs w:val="20"/>
        </w:rPr>
        <w:t xml:space="preserve"> (p.1237). Antiplatelets are not recommended for stroke prevention of NVAF patients irrespective of their CHA</w:t>
      </w:r>
      <w:r w:rsidR="005D5661" w:rsidRPr="00B920D2">
        <w:rPr>
          <w:szCs w:val="20"/>
          <w:vertAlign w:val="subscript"/>
        </w:rPr>
        <w:t>2</w:t>
      </w:r>
      <w:r w:rsidR="005D5661">
        <w:rPr>
          <w:szCs w:val="20"/>
        </w:rPr>
        <w:t>DS</w:t>
      </w:r>
      <w:r w:rsidR="005D5661" w:rsidRPr="00B920D2">
        <w:rPr>
          <w:szCs w:val="20"/>
          <w:vertAlign w:val="subscript"/>
        </w:rPr>
        <w:t>2</w:t>
      </w:r>
      <w:r w:rsidR="005D5661">
        <w:rPr>
          <w:szCs w:val="20"/>
        </w:rPr>
        <w:t xml:space="preserve">-VA score.  </w:t>
      </w:r>
    </w:p>
    <w:p w14:paraId="38FBC16C" w14:textId="7372B458" w:rsidR="00221930" w:rsidRDefault="00221930" w:rsidP="00D73646">
      <w:pPr>
        <w:ind w:left="426"/>
      </w:pPr>
      <w:r>
        <w:rPr>
          <w:szCs w:val="20"/>
        </w:rPr>
        <w:t>For patients with a CHA</w:t>
      </w:r>
      <w:r w:rsidRPr="00B920D2">
        <w:rPr>
          <w:szCs w:val="20"/>
          <w:vertAlign w:val="subscript"/>
        </w:rPr>
        <w:t>2</w:t>
      </w:r>
      <w:r>
        <w:rPr>
          <w:szCs w:val="20"/>
        </w:rPr>
        <w:t>DS</w:t>
      </w:r>
      <w:r w:rsidRPr="00B920D2">
        <w:rPr>
          <w:szCs w:val="20"/>
          <w:vertAlign w:val="subscript"/>
        </w:rPr>
        <w:t>2</w:t>
      </w:r>
      <w:r>
        <w:rPr>
          <w:szCs w:val="20"/>
        </w:rPr>
        <w:t xml:space="preserve">-VA score of </w:t>
      </w:r>
      <w:r>
        <w:rPr>
          <w:rFonts w:cstheme="minorHAnsi"/>
          <w:szCs w:val="20"/>
        </w:rPr>
        <w:t>≥</w:t>
      </w:r>
      <w:r>
        <w:rPr>
          <w:szCs w:val="20"/>
        </w:rPr>
        <w:t xml:space="preserve"> 2 who are no</w:t>
      </w:r>
      <w:r w:rsidR="00922836">
        <w:rPr>
          <w:szCs w:val="20"/>
        </w:rPr>
        <w:t>t</w:t>
      </w:r>
      <w:r>
        <w:rPr>
          <w:szCs w:val="20"/>
        </w:rPr>
        <w:t xml:space="preserve"> contraindicated for anticoagulation, OAT is recommended with NOACs being preferred. For patients with clear contraindications to OAT, LAAC should be considered. </w:t>
      </w:r>
      <w:r w:rsidR="007E4023">
        <w:rPr>
          <w:szCs w:val="20"/>
        </w:rPr>
        <w:t xml:space="preserve">This </w:t>
      </w:r>
      <w:r>
        <w:rPr>
          <w:szCs w:val="20"/>
        </w:rPr>
        <w:t>pathway is consistent with the MBS listing for LAAC</w:t>
      </w:r>
      <w:r w:rsidR="007E4023">
        <w:rPr>
          <w:szCs w:val="20"/>
        </w:rPr>
        <w:t xml:space="preserve"> with the guidelines citing MSAC Application 1347.1, with </w:t>
      </w:r>
      <w:r w:rsidR="007E4023">
        <w:rPr>
          <w:szCs w:val="20"/>
        </w:rPr>
        <w:lastRenderedPageBreak/>
        <w:t>reference to effectiveness and cost-effectiveness of LAAC versus placebo to support this positioning of LAAC</w:t>
      </w:r>
      <w:r>
        <w:rPr>
          <w:szCs w:val="20"/>
        </w:rPr>
        <w:t xml:space="preserve">. </w:t>
      </w:r>
    </w:p>
    <w:p w14:paraId="107AA9B4" w14:textId="2EC0F85E" w:rsidR="000D2DB4" w:rsidRDefault="000D2DB4" w:rsidP="00D73646">
      <w:pPr>
        <w:ind w:left="426"/>
      </w:pPr>
      <w:r w:rsidRPr="000D2DB4">
        <w:rPr>
          <w:noProof/>
          <w:lang w:eastAsia="en-AU"/>
        </w:rPr>
        <w:drawing>
          <wp:inline distT="0" distB="0" distL="0" distR="0" wp14:anchorId="006A3F3F" wp14:editId="44ED9628">
            <wp:extent cx="3608070" cy="4679315"/>
            <wp:effectExtent l="0" t="0" r="0" b="6985"/>
            <wp:docPr id="5" name="Picture 5" descr="Flow chart&#10;"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070" cy="4679315"/>
                    </a:xfrm>
                    <a:prstGeom prst="rect">
                      <a:avLst/>
                    </a:prstGeom>
                    <a:noFill/>
                    <a:ln>
                      <a:noFill/>
                    </a:ln>
                  </pic:spPr>
                </pic:pic>
              </a:graphicData>
            </a:graphic>
          </wp:inline>
        </w:drawing>
      </w:r>
    </w:p>
    <w:p w14:paraId="727DFFF4" w14:textId="66D13B55" w:rsidR="000D2DB4" w:rsidRDefault="000D2DB4" w:rsidP="00D73646">
      <w:pPr>
        <w:ind w:left="426"/>
      </w:pPr>
    </w:p>
    <w:p w14:paraId="03DE2A49" w14:textId="0FD9F506" w:rsidR="000D2DB4" w:rsidRDefault="000D2DB4" w:rsidP="000D2DB4">
      <w:pPr>
        <w:pStyle w:val="Caption"/>
      </w:pPr>
      <w:bookmarkStart w:id="13" w:name="_Ref22290797"/>
      <w:r>
        <w:t xml:space="preserve">Figure </w:t>
      </w:r>
      <w:fldSimple w:instr=" SEQ Figure \* ARABIC ">
        <w:r w:rsidR="004E2E17">
          <w:rPr>
            <w:noProof/>
          </w:rPr>
          <w:t>1</w:t>
        </w:r>
      </w:fldSimple>
      <w:bookmarkEnd w:id="13"/>
      <w:r>
        <w:tab/>
        <w:t xml:space="preserve">Management of stroke prevention in AF </w:t>
      </w:r>
    </w:p>
    <w:p w14:paraId="3F0A9E6F" w14:textId="77777777" w:rsidR="00D0571B" w:rsidRDefault="00D0571B" w:rsidP="000D2DB4">
      <w:pPr>
        <w:pStyle w:val="TableNote"/>
      </w:pPr>
      <w:r>
        <w:t>OAC=oral anticoagulant; NOAC=non-vitamin K oral anticoagulant; LAA left atrial appendage.</w:t>
      </w:r>
    </w:p>
    <w:p w14:paraId="711AFE0C" w14:textId="21907CA6" w:rsidR="000D2DB4" w:rsidRDefault="000D2DB4" w:rsidP="000D2DB4">
      <w:pPr>
        <w:pStyle w:val="TableNote"/>
      </w:pPr>
      <w:r>
        <w:t xml:space="preserve">Source: Source: </w:t>
      </w:r>
      <w:r w:rsidRPr="005015FA">
        <w:t xml:space="preserve">National Heart Foundation </w:t>
      </w:r>
      <w:r>
        <w:t xml:space="preserve">(NHF) </w:t>
      </w:r>
      <w:r w:rsidRPr="005015FA">
        <w:t>of Australia</w:t>
      </w:r>
      <w:r>
        <w:t xml:space="preserve"> </w:t>
      </w:r>
      <w:r w:rsidRPr="005015FA">
        <w:t>and the Cardiac Society of Australia and</w:t>
      </w:r>
      <w:r>
        <w:t xml:space="preserve"> </w:t>
      </w:r>
      <w:r w:rsidRPr="005015FA">
        <w:t>New Zealand</w:t>
      </w:r>
      <w:r>
        <w:t xml:space="preserve"> (CSANZ) (2018) Figure 6 pg. 1238.</w:t>
      </w:r>
    </w:p>
    <w:p w14:paraId="5BE1BCFC" w14:textId="1A609149" w:rsidR="000D2DB4" w:rsidRDefault="000D2DB4" w:rsidP="000D2DB4"/>
    <w:p w14:paraId="05B26CF3" w14:textId="2B9C5C29" w:rsidR="00DA7323" w:rsidRDefault="00DA7323" w:rsidP="000D2DB4">
      <w:r>
        <w:t xml:space="preserve">The proposed clinical management pathway for stroke prevention in AF is provided in </w:t>
      </w:r>
      <w:r>
        <w:fldChar w:fldCharType="begin"/>
      </w:r>
      <w:r>
        <w:instrText xml:space="preserve"> REF _Ref23145598 \h </w:instrText>
      </w:r>
      <w:r>
        <w:fldChar w:fldCharType="separate"/>
      </w:r>
      <w:r w:rsidR="004E2E17">
        <w:t xml:space="preserve">Figure </w:t>
      </w:r>
      <w:r w:rsidR="004E2E17">
        <w:rPr>
          <w:noProof/>
        </w:rPr>
        <w:t>2</w:t>
      </w:r>
      <w:r>
        <w:fldChar w:fldCharType="end"/>
      </w:r>
      <w:r>
        <w:t>. Currently in Australia, patients with NVAF with CHA</w:t>
      </w:r>
      <w:r w:rsidRPr="00186421">
        <w:rPr>
          <w:vertAlign w:val="subscript"/>
        </w:rPr>
        <w:t>2</w:t>
      </w:r>
      <w:r>
        <w:t>DS</w:t>
      </w:r>
      <w:r w:rsidRPr="00186421">
        <w:rPr>
          <w:vertAlign w:val="subscript"/>
        </w:rPr>
        <w:t>2</w:t>
      </w:r>
      <w:r>
        <w:t xml:space="preserve">-VA </w:t>
      </w:r>
      <w:r>
        <w:rPr>
          <w:rFonts w:cstheme="minorHAnsi"/>
        </w:rPr>
        <w:t>≥</w:t>
      </w:r>
      <w:r>
        <w:t xml:space="preserve"> 2 are eligible for LAAC if they have an absolute contraindication to OAT, as defined in the notes of the MBS item </w:t>
      </w:r>
      <w:r w:rsidRPr="00DA7323">
        <w:t>38276</w:t>
      </w:r>
      <w:r>
        <w:t xml:space="preserve">. It is proposed that patients assessed as having ‘relative’ contraindications to OAT </w:t>
      </w:r>
      <w:r w:rsidR="001C14CA">
        <w:t xml:space="preserve">as defined in Q.25 </w:t>
      </w:r>
      <w:r>
        <w:t xml:space="preserve">will be eligible for LAAC. These patients are currently managed on NOACs as the preferred treatment option, or warfarin. Patients who have no contraindication to OAT will continue to be managed on OAT (NOACs or warfarin). </w:t>
      </w:r>
    </w:p>
    <w:p w14:paraId="31153C96" w14:textId="12069A09" w:rsidR="00186421" w:rsidRDefault="006F6850" w:rsidP="000D2DB4">
      <w:r>
        <w:lastRenderedPageBreak/>
        <w:t>Stroke prevention management with NOACs or warfarin is a lifelong commitment</w:t>
      </w:r>
      <w:r w:rsidR="008B0CF2">
        <w:t>, with t</w:t>
      </w:r>
      <w:r>
        <w:t xml:space="preserve">he effectiveness of OAT dependent on medication adherences. </w:t>
      </w:r>
      <w:r w:rsidR="004970AA">
        <w:t xml:space="preserve">Real world medication adherence </w:t>
      </w:r>
      <w:r w:rsidR="007E1FBC">
        <w:t xml:space="preserve">with OAT is suboptimal, ranging from 32.3–67.7% </w:t>
      </w:r>
      <w:r w:rsidR="004970AA">
        <w:t xml:space="preserve">with warfarin </w:t>
      </w:r>
      <w:r w:rsidR="007E1FBC">
        <w:t xml:space="preserve">(Zhao et al 2017; </w:t>
      </w:r>
      <w:r w:rsidR="008B0CF2">
        <w:t>de Andres-Nogales et al 2015</w:t>
      </w:r>
      <w:r w:rsidR="004970AA">
        <w:t xml:space="preserve">) </w:t>
      </w:r>
      <w:r w:rsidR="007E1FBC">
        <w:t>to 75.6% with NOACs (Shehab et al 2019).</w:t>
      </w:r>
      <w:r w:rsidR="004970AA">
        <w:t xml:space="preserve"> Non-adherence to OAT is associated with poorer clinical outcomes, especially in patients with </w:t>
      </w:r>
      <w:r w:rsidR="004970AA" w:rsidRPr="004970AA">
        <w:t>CHA</w:t>
      </w:r>
      <w:r w:rsidR="004970AA" w:rsidRPr="004970AA">
        <w:rPr>
          <w:vertAlign w:val="subscript"/>
        </w:rPr>
        <w:t>2</w:t>
      </w:r>
      <w:r w:rsidR="004970AA" w:rsidRPr="004970AA">
        <w:t>DS</w:t>
      </w:r>
      <w:r w:rsidR="004970AA" w:rsidRPr="004970AA">
        <w:rPr>
          <w:vertAlign w:val="subscript"/>
        </w:rPr>
        <w:t>2</w:t>
      </w:r>
      <w:r w:rsidR="004970AA" w:rsidRPr="004970AA">
        <w:t>‐VASc</w:t>
      </w:r>
      <w:r w:rsidR="004970AA">
        <w:t xml:space="preserve"> </w:t>
      </w:r>
      <w:r w:rsidR="004970AA">
        <w:rPr>
          <w:rFonts w:cstheme="minorHAnsi"/>
        </w:rPr>
        <w:t>≥</w:t>
      </w:r>
      <w:r w:rsidR="004970AA">
        <w:t xml:space="preserve"> 2 in whom risk of stroke has been found to increase</w:t>
      </w:r>
      <w:r w:rsidR="007E1FBC">
        <w:t xml:space="preserve"> significantly</w:t>
      </w:r>
      <w:r w:rsidR="004970AA">
        <w:t xml:space="preserve"> with non-adherence </w:t>
      </w:r>
      <w:r w:rsidR="007E1FBC">
        <w:t>(</w:t>
      </w:r>
      <w:r w:rsidR="004970AA">
        <w:t>Yao et al 2016)</w:t>
      </w:r>
      <w:r w:rsidR="007E1FBC">
        <w:t>.</w:t>
      </w:r>
      <w:r w:rsidR="008B0CF2">
        <w:t xml:space="preserve"> Reimbursing LAAC for the proposed patient population </w:t>
      </w:r>
      <w:r w:rsidR="00010381">
        <w:t xml:space="preserve">on the MBS </w:t>
      </w:r>
      <w:r w:rsidR="008B0CF2">
        <w:t xml:space="preserve">would thus provide an alternate, one procedure, treatment option associated with superior safety (less risk of bleeding) and effectiveness relative to OAT (Reddy et al </w:t>
      </w:r>
      <w:r w:rsidR="00010381">
        <w:t>2017)</w:t>
      </w:r>
      <w:r w:rsidR="008B0CF2">
        <w:t>, that is not dependent on compliance.</w:t>
      </w:r>
      <w:r w:rsidR="007E53B3">
        <w:t xml:space="preserve"> </w:t>
      </w:r>
    </w:p>
    <w:p w14:paraId="225001BF" w14:textId="77777777" w:rsidR="007E53B3" w:rsidRDefault="007E53B3" w:rsidP="000D2DB4"/>
    <w:p w14:paraId="3538D485" w14:textId="0A11DECF" w:rsidR="00DA7323" w:rsidRDefault="00186421" w:rsidP="000D2DB4">
      <w:r>
        <w:rPr>
          <w:noProof/>
          <w:lang w:eastAsia="en-AU"/>
        </w:rPr>
        <w:drawing>
          <wp:inline distT="0" distB="0" distL="0" distR="0" wp14:anchorId="0D6D5588" wp14:editId="773E484F">
            <wp:extent cx="5731510" cy="2869565"/>
            <wp:effectExtent l="0" t="0" r="2540" b="6985"/>
            <wp:docPr id="34" name="Picture 34" descr="flow char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69565"/>
                    </a:xfrm>
                    <a:prstGeom prst="rect">
                      <a:avLst/>
                    </a:prstGeom>
                    <a:noFill/>
                    <a:ln>
                      <a:noFill/>
                    </a:ln>
                  </pic:spPr>
                </pic:pic>
              </a:graphicData>
            </a:graphic>
          </wp:inline>
        </w:drawing>
      </w:r>
    </w:p>
    <w:p w14:paraId="39C31AC3" w14:textId="1ACF068F" w:rsidR="00DA7323" w:rsidRDefault="00DA7323" w:rsidP="00DA7323">
      <w:pPr>
        <w:pStyle w:val="Caption"/>
      </w:pPr>
      <w:bookmarkStart w:id="14" w:name="_Ref23145598"/>
      <w:r>
        <w:t xml:space="preserve">Figure </w:t>
      </w:r>
      <w:fldSimple w:instr=" SEQ Figure \* ARABIC ">
        <w:r w:rsidR="004E2E17">
          <w:rPr>
            <w:noProof/>
          </w:rPr>
          <w:t>2</w:t>
        </w:r>
      </w:fldSimple>
      <w:bookmarkEnd w:id="14"/>
      <w:r>
        <w:t xml:space="preserve"> </w:t>
      </w:r>
      <w:r>
        <w:tab/>
        <w:t>Proposed clinical management pathway for stroke prevention in patients with AF</w:t>
      </w:r>
    </w:p>
    <w:p w14:paraId="75047B20" w14:textId="1B8B5938" w:rsidR="00DA7323" w:rsidRPr="00DA7323" w:rsidRDefault="00DA7323" w:rsidP="00010381">
      <w:pPr>
        <w:pStyle w:val="TableNote"/>
      </w:pPr>
      <w:r>
        <w:t>LAAC=left atrial appendage closure</w:t>
      </w:r>
      <w:r w:rsidR="00186421">
        <w:t xml:space="preserve">; </w:t>
      </w:r>
      <w:r>
        <w:t>NOAC=</w:t>
      </w:r>
      <w:r w:rsidRPr="00DA7323">
        <w:t xml:space="preserve"> Non-Vitamin K antagonist oral anticoagulants</w:t>
      </w:r>
      <w:r w:rsidR="00FC22BD">
        <w:t>; SoC=standard of care.</w:t>
      </w:r>
    </w:p>
    <w:p w14:paraId="2B3D39A4" w14:textId="6A9D602C" w:rsidR="00FC22BD" w:rsidRDefault="00186421" w:rsidP="00010381">
      <w:pPr>
        <w:pStyle w:val="TableNote"/>
      </w:pPr>
      <w:r w:rsidRPr="00186421">
        <w:rPr>
          <w:vertAlign w:val="superscript"/>
        </w:rPr>
        <w:t>a</w:t>
      </w:r>
      <w:r w:rsidR="00FC22BD">
        <w:t xml:space="preserve">Absolute contraindications = contraindication to lifelong anticoagulation is defined as (notes </w:t>
      </w:r>
      <w:r w:rsidR="00FC22BD" w:rsidRPr="00FC22BD">
        <w:t>TN.8.132</w:t>
      </w:r>
      <w:r w:rsidR="00FC22BD">
        <w:t xml:space="preserve"> of MBS item 38276):</w:t>
      </w:r>
    </w:p>
    <w:p w14:paraId="2F1C21CF" w14:textId="77777777" w:rsidR="00FC22BD" w:rsidRDefault="00FC22BD" w:rsidP="00186421">
      <w:pPr>
        <w:pStyle w:val="TableNote"/>
        <w:ind w:firstLine="284"/>
      </w:pPr>
      <w:r>
        <w:t>i) a previous major bleeding complication experienced whilst undergoing treatment with oral anticoagulation therapy,</w:t>
      </w:r>
    </w:p>
    <w:p w14:paraId="5B29D8B8" w14:textId="77777777" w:rsidR="00FC22BD" w:rsidRDefault="00FC22BD" w:rsidP="00186421">
      <w:pPr>
        <w:pStyle w:val="TableNote"/>
        <w:ind w:firstLine="284"/>
      </w:pPr>
      <w:r>
        <w:t>ii) a blood dyscrasia, or</w:t>
      </w:r>
    </w:p>
    <w:p w14:paraId="0088AF64" w14:textId="4BFAA444" w:rsidR="00DA7323" w:rsidRDefault="00FC22BD" w:rsidP="00186421">
      <w:pPr>
        <w:pStyle w:val="TableNote"/>
        <w:ind w:firstLine="284"/>
      </w:pPr>
      <w:r>
        <w:t xml:space="preserve">iii) a vascular abnormality predisposing to potentially </w:t>
      </w:r>
      <w:r w:rsidR="00643F41">
        <w:t>life-threatening</w:t>
      </w:r>
      <w:r>
        <w:t xml:space="preserve"> haemorrhage.</w:t>
      </w:r>
    </w:p>
    <w:p w14:paraId="5BDCE185" w14:textId="7404E261" w:rsidR="00186421" w:rsidRDefault="00186421" w:rsidP="00796082">
      <w:pPr>
        <w:pStyle w:val="TableNote"/>
      </w:pPr>
      <w:r w:rsidRPr="00186421">
        <w:rPr>
          <w:vertAlign w:val="superscript"/>
        </w:rPr>
        <w:t>b</w:t>
      </w:r>
      <w:r>
        <w:t xml:space="preserve"> </w:t>
      </w:r>
      <w:r w:rsidR="00796082">
        <w:t>Defined as: i) a previous major bleeding complication, or ii) a blood dyscrasia, or iii) a vascular abnormality predisposing to potentially life-threatening haemorrhage, or iv) anaemia, or v) prior gastrointestinal bleed, or vi) thrombocytopenia, or vii) haematological malignancy, or viii) traumatic intracranial haemorrhage</w:t>
      </w:r>
    </w:p>
    <w:p w14:paraId="04709A1A" w14:textId="77777777" w:rsidR="00FC22BD" w:rsidRPr="00BC424B" w:rsidRDefault="00FC22BD" w:rsidP="00FC22BD"/>
    <w:p w14:paraId="70E73184" w14:textId="77777777" w:rsidR="002A50FD" w:rsidRPr="00881F93" w:rsidRDefault="005C3AE7" w:rsidP="005C3AE7">
      <w:pPr>
        <w:pStyle w:val="Subtitle"/>
      </w:pPr>
      <w:r>
        <w:t xml:space="preserve">PART 6b – </w:t>
      </w:r>
      <w:r w:rsidR="002A50FD" w:rsidRPr="00881F93">
        <w:t>INFORMATION ABOUT THE INTERVENTION</w:t>
      </w:r>
    </w:p>
    <w:p w14:paraId="70637EC0"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683688DC" w14:textId="77777777" w:rsidR="000E1CB8" w:rsidRPr="0087351F" w:rsidRDefault="000E1CB8" w:rsidP="00A51635">
      <w:pPr>
        <w:ind w:left="360"/>
      </w:pPr>
      <w:r w:rsidRPr="00167020">
        <w:t>T</w:t>
      </w:r>
      <w:r>
        <w:t xml:space="preserve">he LAA is the primary source for thromboembolism in patients with NVAF. The percutaneous insertion of an implantable device to occlude </w:t>
      </w:r>
      <w:r>
        <w:lastRenderedPageBreak/>
        <w:t xml:space="preserve">the LAA may be performed to reduce thromboembolism in patients with NVAF. </w:t>
      </w:r>
      <w:r w:rsidRPr="0087351F">
        <w:t>The procedure aims at preventing stroke and systemic thromboembolism by closing off the LAA permanently to avoid the formation and migration of emboli to the brain.</w:t>
      </w:r>
    </w:p>
    <w:p w14:paraId="0F2D5A35" w14:textId="77777777" w:rsidR="000E1CB8" w:rsidRDefault="000E1CB8" w:rsidP="00A51635">
      <w:pPr>
        <w:ind w:left="360"/>
      </w:pPr>
      <w:r w:rsidRPr="0083673E">
        <w:t>There are</w:t>
      </w:r>
      <w:r>
        <w:t xml:space="preserve"> currently</w:t>
      </w:r>
      <w:r w:rsidRPr="0083673E">
        <w:t xml:space="preserve"> </w:t>
      </w:r>
      <w:r>
        <w:t>four</w:t>
      </w:r>
      <w:r w:rsidRPr="0083673E">
        <w:t xml:space="preserve"> devices registered for use to perform the LAAC procedure in Australia, WATCHMAN</w:t>
      </w:r>
      <w:r w:rsidRPr="0083673E">
        <w:rPr>
          <w:vertAlign w:val="superscript"/>
        </w:rPr>
        <w:t>TM</w:t>
      </w:r>
      <w:r w:rsidRPr="0083673E">
        <w:t xml:space="preserve"> (Boston Scientific), the AMPLATZER</w:t>
      </w:r>
      <w:r w:rsidRPr="0083673E">
        <w:rPr>
          <w:vertAlign w:val="superscript"/>
        </w:rPr>
        <w:t>TM</w:t>
      </w:r>
      <w:r>
        <w:t xml:space="preserve"> Cardiac Plug (</w:t>
      </w:r>
      <w:r>
        <w:rPr>
          <w:lang w:val="en-US"/>
        </w:rPr>
        <w:t>St Jude Medical</w:t>
      </w:r>
      <w:r>
        <w:t xml:space="preserve">), </w:t>
      </w:r>
      <w:r w:rsidRPr="0083673E">
        <w:t>the AMPLATZER</w:t>
      </w:r>
      <w:r w:rsidRPr="0083673E">
        <w:rPr>
          <w:vertAlign w:val="superscript"/>
        </w:rPr>
        <w:t>TM</w:t>
      </w:r>
      <w:r w:rsidRPr="0083673E">
        <w:t xml:space="preserve"> Amulet</w:t>
      </w:r>
      <w:r>
        <w:t xml:space="preserve"> (</w:t>
      </w:r>
      <w:r>
        <w:rPr>
          <w:lang w:val="en-US"/>
        </w:rPr>
        <w:t>St Jude Medical</w:t>
      </w:r>
      <w:r>
        <w:t xml:space="preserve">) and the </w:t>
      </w:r>
      <w:r w:rsidRPr="001E7863">
        <w:t>Coherex WaveCrest™</w:t>
      </w:r>
      <w:r>
        <w:t xml:space="preserve"> (</w:t>
      </w:r>
      <w:r w:rsidRPr="00B17821">
        <w:t>Johnson and Johnson</w:t>
      </w:r>
      <w:r>
        <w:t>).</w:t>
      </w:r>
    </w:p>
    <w:p w14:paraId="59EA6783" w14:textId="13933A3C" w:rsidR="000E1CB8" w:rsidRPr="00FD035E" w:rsidRDefault="000E1CB8" w:rsidP="00A51635">
      <w:pPr>
        <w:ind w:left="360"/>
      </w:pPr>
      <w:r w:rsidRPr="00FD035E">
        <w:t>Devices such as AtriClip (A</w:t>
      </w:r>
      <w:r>
        <w:t>ustralian Register of Therapeutic Goods (ARTG)</w:t>
      </w:r>
      <w:r w:rsidRPr="00FD035E">
        <w:t xml:space="preserve"> 175070) are also used for LAA exclusion. However, the procedures </w:t>
      </w:r>
      <w:r>
        <w:t xml:space="preserve">associated with these devices </w:t>
      </w:r>
      <w:r w:rsidRPr="00FD035E">
        <w:t xml:space="preserve">are not comparable with the transcatheter LAA occlusion devices, as AtriClip is implanted under direct visualisation in conjunction with other open cardiac surgical procedures. AtriClip and similar devices are excluded from this </w:t>
      </w:r>
      <w:r>
        <w:t xml:space="preserve">resubmission, as specified in the Final Protocol </w:t>
      </w:r>
      <w:r w:rsidR="00E456BA">
        <w:t xml:space="preserve">for Application 1347 </w:t>
      </w:r>
      <w:r>
        <w:t xml:space="preserve">and consistent with </w:t>
      </w:r>
      <w:r w:rsidR="00E456BA">
        <w:t>Application 1347.1</w:t>
      </w:r>
      <w:r>
        <w:t>.</w:t>
      </w:r>
    </w:p>
    <w:p w14:paraId="1091F8A4" w14:textId="3D38553B" w:rsidR="000E1CB8" w:rsidRDefault="000E1CB8" w:rsidP="00A51635">
      <w:pPr>
        <w:ind w:left="360"/>
        <w:rPr>
          <w:i/>
        </w:rPr>
      </w:pPr>
      <w:r w:rsidRPr="00FD035E">
        <w:t xml:space="preserve">The intervention for the purpose of this </w:t>
      </w:r>
      <w:r>
        <w:t>resubmission</w:t>
      </w:r>
      <w:r w:rsidRPr="00FD035E">
        <w:t xml:space="preserve"> is transcatheter occlusion of the LAA. </w:t>
      </w:r>
      <w:r>
        <w:t>In the Final Protocol</w:t>
      </w:r>
      <w:r w:rsidR="00E456BA">
        <w:t xml:space="preserve"> for MSAC Application 1347</w:t>
      </w:r>
      <w:r>
        <w:t>, PASC</w:t>
      </w:r>
      <w:r w:rsidRPr="00FD035E">
        <w:t xml:space="preserve"> agreed that from a clinical perspective, all LAA occlusion devices are similar and for the purposes of the assessment report, it is appropriate to group all technologies in a generic approach.</w:t>
      </w:r>
      <w:r>
        <w:t xml:space="preserve"> </w:t>
      </w:r>
      <w:r w:rsidR="00643F41">
        <w:t>Indeed,</w:t>
      </w:r>
      <w:r>
        <w:t xml:space="preserve"> in the PSD, MSAC </w:t>
      </w:r>
      <w:r w:rsidRPr="008C5B6A">
        <w:rPr>
          <w:i/>
        </w:rPr>
        <w:t>“noted that there was insufficient basis to compare across available LAAC devices in terms of their comparative safety and comparative effectiveness</w:t>
      </w:r>
      <w:r>
        <w:rPr>
          <w:i/>
        </w:rPr>
        <w:t xml:space="preserve"> </w:t>
      </w:r>
      <w:r>
        <w:t>(</w:t>
      </w:r>
      <w:bookmarkStart w:id="15" w:name="_Hlk23165591"/>
      <w:r w:rsidR="00E456BA">
        <w:t xml:space="preserve">MSAC Application 1347 </w:t>
      </w:r>
      <w:r>
        <w:t>PSD November 2014</w:t>
      </w:r>
      <w:bookmarkEnd w:id="15"/>
      <w:r>
        <w:t>)</w:t>
      </w:r>
      <w:r w:rsidRPr="008C5B6A">
        <w:rPr>
          <w:i/>
        </w:rPr>
        <w:t>.</w:t>
      </w:r>
    </w:p>
    <w:p w14:paraId="352A9B44" w14:textId="15B04C61" w:rsidR="001C14CA" w:rsidRPr="001C14CA" w:rsidRDefault="001C14CA" w:rsidP="00A51635">
      <w:pPr>
        <w:ind w:left="360"/>
        <w:rPr>
          <w:iCs/>
        </w:rPr>
      </w:pPr>
      <w:r>
        <w:rPr>
          <w:iCs/>
        </w:rPr>
        <w:t xml:space="preserve">Whilst the WATCHMAN, AMPLATZER Cardiac Plug, AMPLATZER Amulet devices are listed on the prosthesis list, the Coherex WaveCrest device is not. For completeness details of all four devices are provided below.  </w:t>
      </w:r>
    </w:p>
    <w:p w14:paraId="54CB7D83" w14:textId="16936027" w:rsidR="00E456BA" w:rsidRPr="00A51635" w:rsidRDefault="00E456BA" w:rsidP="00A51635">
      <w:pPr>
        <w:pStyle w:val="Heading3"/>
      </w:pPr>
      <w:r w:rsidRPr="00A51635">
        <w:t>LAA occluders</w:t>
      </w:r>
    </w:p>
    <w:p w14:paraId="4AFC5C35" w14:textId="77777777" w:rsidR="000E1CB8" w:rsidRPr="00FD035E" w:rsidRDefault="000E1CB8" w:rsidP="00B46C16">
      <w:pPr>
        <w:pStyle w:val="Heading4"/>
      </w:pPr>
      <w:r>
        <w:t>WATCHMAN</w:t>
      </w:r>
      <w:r w:rsidRPr="00A751D8">
        <w:t>™</w:t>
      </w:r>
    </w:p>
    <w:p w14:paraId="4E6A32AC" w14:textId="1C05538C" w:rsidR="000E1CB8" w:rsidRPr="00702693" w:rsidRDefault="000E1CB8" w:rsidP="00A51635">
      <w:pPr>
        <w:ind w:left="426"/>
      </w:pPr>
      <w:r w:rsidRPr="00D0694D">
        <w:t xml:space="preserve">The WATCHMAN LAA Closure Technology consists of the Access System (Access Sheath and Dilator) and Delivery System (Delivery Catheter and LAA Closure Device). </w:t>
      </w:r>
      <w:r w:rsidRPr="00A723BB">
        <w:t xml:space="preserve">The Access System and Delivery System permit </w:t>
      </w:r>
      <w:r w:rsidRPr="000716B9">
        <w:t>d</w:t>
      </w:r>
      <w:r w:rsidRPr="00702693">
        <w:t xml:space="preserve">evice placement in the LAA via femoral venous access and inter-atrial septum crossing into the left atrium. The WATCHMAN </w:t>
      </w:r>
      <w:r w:rsidRPr="00A723BB">
        <w:t>device is a self-expanding nitinol structure with a porous membrane on the proximal face (</w:t>
      </w:r>
      <w:r w:rsidR="00E456BA">
        <w:fldChar w:fldCharType="begin"/>
      </w:r>
      <w:r w:rsidR="00E456BA">
        <w:instrText xml:space="preserve"> REF _Ref22285551 \h </w:instrText>
      </w:r>
      <w:r w:rsidR="00E456BA">
        <w:fldChar w:fldCharType="separate"/>
      </w:r>
      <w:r w:rsidR="004E2E17">
        <w:t xml:space="preserve">Figure </w:t>
      </w:r>
      <w:r w:rsidR="004E2E17">
        <w:rPr>
          <w:noProof/>
        </w:rPr>
        <w:t>3</w:t>
      </w:r>
      <w:r w:rsidR="00E456BA">
        <w:fldChar w:fldCharType="end"/>
      </w:r>
      <w:r w:rsidRPr="00A723BB">
        <w:t xml:space="preserve">). The device is constrained within the Delivery </w:t>
      </w:r>
      <w:r w:rsidRPr="000716B9">
        <w:t xml:space="preserve">System until deployment in the LAA. The </w:t>
      </w:r>
      <w:r w:rsidRPr="00702693">
        <w:t xml:space="preserve">device is available in 5 sizes from 21 to 33 mm. </w:t>
      </w:r>
    </w:p>
    <w:p w14:paraId="7A941F2A" w14:textId="77777777" w:rsidR="000E1CB8" w:rsidRDefault="000E1CB8" w:rsidP="00A51635">
      <w:pPr>
        <w:ind w:left="426"/>
      </w:pPr>
      <w:r w:rsidRPr="00A723BB">
        <w:t>The WATCHMAN LAA Closure device is designed to be permanently implanted</w:t>
      </w:r>
      <w:r w:rsidRPr="00847CA0">
        <w:t xml:space="preserve"> at or</w:t>
      </w:r>
      <w:r>
        <w:t xml:space="preserve"> </w:t>
      </w:r>
      <w:r w:rsidRPr="00847CA0">
        <w:t>slightly distal to the ostium (opening) of the LAA</w:t>
      </w:r>
      <w:r>
        <w:t>.</w:t>
      </w:r>
      <w:r w:rsidRPr="00847CA0">
        <w:t xml:space="preserve"> The WATCHMAN LAA Closure Technology is intended to </w:t>
      </w:r>
      <w:r>
        <w:t xml:space="preserve">reduce the risk of </w:t>
      </w:r>
      <w:r w:rsidRPr="00847CA0">
        <w:t>thromb</w:t>
      </w:r>
      <w:r>
        <w:t>oembolism from the LAA in patients with NVAF who:</w:t>
      </w:r>
    </w:p>
    <w:p w14:paraId="1F7C931C" w14:textId="77777777" w:rsidR="000E1CB8" w:rsidRDefault="000E1CB8" w:rsidP="00A51635">
      <w:pPr>
        <w:pStyle w:val="ListParagraph"/>
        <w:numPr>
          <w:ilvl w:val="0"/>
          <w:numId w:val="38"/>
        </w:numPr>
        <w:ind w:left="1146"/>
      </w:pPr>
      <w:r w:rsidRPr="00F2654F">
        <w:lastRenderedPageBreak/>
        <w:t>Are at increased risk for stroke and systemic embolism based on CHADS</w:t>
      </w:r>
      <w:r w:rsidRPr="000E1CB8">
        <w:rPr>
          <w:vertAlign w:val="subscript"/>
        </w:rPr>
        <w:t>2</w:t>
      </w:r>
      <w:r w:rsidRPr="00F2654F">
        <w:t xml:space="preserve"> or CHA</w:t>
      </w:r>
      <w:r w:rsidRPr="000E1CB8">
        <w:rPr>
          <w:vertAlign w:val="subscript"/>
        </w:rPr>
        <w:t>2</w:t>
      </w:r>
      <w:r w:rsidRPr="00F2654F">
        <w:t>DS</w:t>
      </w:r>
      <w:r w:rsidRPr="000E1CB8">
        <w:rPr>
          <w:vertAlign w:val="subscript"/>
        </w:rPr>
        <w:t>2</w:t>
      </w:r>
      <w:r>
        <w:t>-VAS</w:t>
      </w:r>
      <w:r w:rsidRPr="000E1CB8">
        <w:rPr>
          <w:vertAlign w:val="subscript"/>
        </w:rPr>
        <w:t>c</w:t>
      </w:r>
      <w:r w:rsidRPr="00F2654F">
        <w:t xml:space="preserve"> scores and are recommended for anticoagulation therapy; </w:t>
      </w:r>
    </w:p>
    <w:p w14:paraId="09244E99" w14:textId="77777777" w:rsidR="000E1CB8" w:rsidRDefault="000E1CB8" w:rsidP="00A51635">
      <w:pPr>
        <w:pStyle w:val="ListParagraph"/>
        <w:numPr>
          <w:ilvl w:val="0"/>
          <w:numId w:val="38"/>
        </w:numPr>
        <w:ind w:left="1146"/>
      </w:pPr>
      <w:r w:rsidRPr="00F2654F">
        <w:t xml:space="preserve">Are deemed by their physicians to </w:t>
      </w:r>
      <w:r>
        <w:t>be suitable for warfarin; and</w:t>
      </w:r>
    </w:p>
    <w:p w14:paraId="50E80A9D" w14:textId="72A03E2A" w:rsidR="000E1CB8" w:rsidRDefault="000E1CB8" w:rsidP="00A51635">
      <w:pPr>
        <w:pStyle w:val="ListParagraph"/>
        <w:numPr>
          <w:ilvl w:val="0"/>
          <w:numId w:val="38"/>
        </w:numPr>
        <w:ind w:left="1146"/>
      </w:pPr>
      <w:r w:rsidRPr="00F2654F">
        <w:t xml:space="preserve">Have an appropriate rationale to seek a non-pharmacologic alternative to warfarin, </w:t>
      </w:r>
      <w:r w:rsidR="00643F41" w:rsidRPr="00F2654F">
        <w:t>considering</w:t>
      </w:r>
      <w:r w:rsidRPr="00F2654F">
        <w:t xml:space="preserve"> the safety and effectiveness of the device compared to warfarin</w:t>
      </w:r>
      <w:r w:rsidRPr="000E1CB8">
        <w:rPr>
          <w:vertAlign w:val="superscript"/>
        </w:rPr>
        <w:t>*</w:t>
      </w:r>
      <w:r w:rsidRPr="00F2654F">
        <w:t>.</w:t>
      </w:r>
    </w:p>
    <w:p w14:paraId="70EC0A5D" w14:textId="77777777" w:rsidR="000E1CB8" w:rsidRDefault="000E1CB8" w:rsidP="00A51635">
      <w:pPr>
        <w:ind w:left="426"/>
      </w:pPr>
      <w:r w:rsidRPr="008332BD">
        <w:rPr>
          <w:vertAlign w:val="superscript"/>
        </w:rPr>
        <w:t>*</w:t>
      </w:r>
      <w:r w:rsidRPr="008332BD">
        <w:t>Specific factors may include one or more of the following: i) a history of major bleeding while taking therapeutic anticoagulation therapy; ii) the patient’s prior experience with oral anticoagulation (if applicable), which may include an inability to maintain a stable therapeutic International Normalized Ratio (INR) or inability to comply with regular INR monitoring AND unavailability of an approved alternative anticoagulation agent; iii) a medical condition, occupation, or lifestyle placing the patient at high risk of major bleeding secondary to trauma; iv) the presence of indication(s) for long-term warfarin use, other than non-valvular atrial fibrillation (e.g. mechanical heart valve, hypercoagulable states, recurrent deep venous thrombosis.</w:t>
      </w:r>
    </w:p>
    <w:p w14:paraId="2A56901E" w14:textId="77777777" w:rsidR="000E1CB8" w:rsidRPr="008332BD" w:rsidRDefault="000E1CB8" w:rsidP="00A51635">
      <w:pPr>
        <w:ind w:left="426"/>
      </w:pPr>
    </w:p>
    <w:p w14:paraId="157D5DFF" w14:textId="77777777" w:rsidR="000E1CB8" w:rsidRDefault="000E1CB8" w:rsidP="00F702C5">
      <w:pPr>
        <w:keepNext/>
        <w:keepLines/>
        <w:spacing w:after="0"/>
        <w:rPr>
          <w:sz w:val="22"/>
        </w:rPr>
      </w:pPr>
      <w:r>
        <w:rPr>
          <w:noProof/>
          <w:sz w:val="22"/>
          <w:lang w:eastAsia="en-AU"/>
        </w:rPr>
        <w:drawing>
          <wp:inline distT="0" distB="0" distL="0" distR="0" wp14:anchorId="551C5546" wp14:editId="1D6C7189">
            <wp:extent cx="3062177" cy="1690577"/>
            <wp:effectExtent l="0" t="0" r="5080" b="5080"/>
            <wp:docPr id="4" name="Picture 4" descr="Photo of the Watchman LAA occluder"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065145" cy="1692216"/>
                    </a:xfrm>
                    <a:prstGeom prst="rect">
                      <a:avLst/>
                    </a:prstGeom>
                    <a:noFill/>
                    <a:ln>
                      <a:noFill/>
                    </a:ln>
                  </pic:spPr>
                </pic:pic>
              </a:graphicData>
            </a:graphic>
          </wp:inline>
        </w:drawing>
      </w:r>
    </w:p>
    <w:p w14:paraId="7AFA1F70" w14:textId="06E16EDD" w:rsidR="000E1CB8" w:rsidRDefault="000E1CB8" w:rsidP="000E1CB8">
      <w:pPr>
        <w:pStyle w:val="Caption"/>
        <w:keepNext/>
        <w:keepLines/>
        <w:rPr>
          <w:rFonts w:asciiTheme="majorHAnsi" w:hAnsiTheme="majorHAnsi"/>
          <w:sz w:val="22"/>
          <w:szCs w:val="22"/>
        </w:rPr>
      </w:pPr>
      <w:bookmarkStart w:id="16" w:name="_Ref22285551"/>
      <w:r>
        <w:t xml:space="preserve">Figure </w:t>
      </w:r>
      <w:fldSimple w:instr=" SEQ Figure \* ARABIC ">
        <w:r w:rsidR="004E2E17">
          <w:rPr>
            <w:noProof/>
          </w:rPr>
          <w:t>3</w:t>
        </w:r>
      </w:fldSimple>
      <w:bookmarkEnd w:id="16"/>
      <w:r>
        <w:tab/>
      </w:r>
      <w:bookmarkStart w:id="17" w:name="_Ref385418214"/>
      <w:bookmarkStart w:id="18" w:name="_Toc442872210"/>
      <w:r w:rsidRPr="000E1CB8">
        <w:tab/>
        <w:t>WATCHMAN™ LAA occluder</w:t>
      </w:r>
      <w:bookmarkEnd w:id="17"/>
      <w:bookmarkEnd w:id="18"/>
    </w:p>
    <w:p w14:paraId="3F9C0218" w14:textId="77777777" w:rsidR="000E1CB8" w:rsidRDefault="000E1CB8" w:rsidP="000E1CB8">
      <w:pPr>
        <w:pStyle w:val="Caption"/>
        <w:keepNext/>
        <w:keepLines/>
        <w:spacing w:after="0"/>
        <w:contextualSpacing/>
        <w:jc w:val="both"/>
        <w:rPr>
          <w:rFonts w:asciiTheme="majorHAnsi" w:hAnsiTheme="majorHAnsi"/>
          <w:b/>
          <w:color w:val="000000"/>
          <w:sz w:val="16"/>
          <w:szCs w:val="16"/>
        </w:rPr>
      </w:pPr>
      <w:r>
        <w:rPr>
          <w:rFonts w:asciiTheme="majorHAnsi" w:hAnsiTheme="majorHAnsi"/>
          <w:sz w:val="16"/>
          <w:szCs w:val="16"/>
        </w:rPr>
        <w:t>Source</w:t>
      </w:r>
      <w:r w:rsidRPr="003F06C7">
        <w:rPr>
          <w:rFonts w:asciiTheme="majorHAnsi" w:hAnsiTheme="majorHAnsi"/>
          <w:sz w:val="16"/>
          <w:szCs w:val="16"/>
        </w:rPr>
        <w:t xml:space="preserve">: </w:t>
      </w:r>
      <w:r w:rsidRPr="003F06C7">
        <w:rPr>
          <w:rFonts w:asciiTheme="majorHAnsi" w:hAnsiTheme="majorHAnsi"/>
          <w:color w:val="000000"/>
          <w:sz w:val="16"/>
          <w:szCs w:val="16"/>
        </w:rPr>
        <w:t>Cardiac Rhythm News &lt;</w:t>
      </w:r>
      <w:hyperlink r:id="rId19" w:tooltip="This link directs to cardiac rhythm news website " w:history="1">
        <w:r w:rsidRPr="003F06C7">
          <w:rPr>
            <w:rStyle w:val="Hyperlink"/>
            <w:rFonts w:asciiTheme="majorHAnsi" w:hAnsiTheme="majorHAnsi"/>
            <w:sz w:val="16"/>
            <w:szCs w:val="16"/>
          </w:rPr>
          <w:t>www.CardiacRhythmNews.com</w:t>
        </w:r>
      </w:hyperlink>
      <w:r w:rsidRPr="003F06C7">
        <w:rPr>
          <w:rFonts w:asciiTheme="majorHAnsi" w:hAnsiTheme="majorHAnsi"/>
          <w:color w:val="000000"/>
          <w:sz w:val="16"/>
          <w:szCs w:val="16"/>
        </w:rPr>
        <w:t>&gt;</w:t>
      </w:r>
    </w:p>
    <w:p w14:paraId="4A692ACE" w14:textId="77777777" w:rsidR="000E1CB8" w:rsidRPr="000E1CB8" w:rsidRDefault="000E1CB8" w:rsidP="000E1CB8"/>
    <w:p w14:paraId="251B9BE8" w14:textId="77777777" w:rsidR="000E1CB8" w:rsidRPr="000E1CB8" w:rsidRDefault="000E1CB8" w:rsidP="00B46C16">
      <w:pPr>
        <w:pStyle w:val="Heading4"/>
      </w:pPr>
      <w:r w:rsidRPr="000E1CB8">
        <w:t>AMPLATZER Cardiac Plug™</w:t>
      </w:r>
    </w:p>
    <w:p w14:paraId="2F38D764" w14:textId="59C4A11D" w:rsidR="000E1CB8" w:rsidRDefault="000E1CB8" w:rsidP="00A51635">
      <w:pPr>
        <w:ind w:left="426"/>
      </w:pPr>
      <w:r w:rsidRPr="00FD035E">
        <w:t>The AMPLATZER Cardiac Plug™ (</w:t>
      </w:r>
      <w:r>
        <w:t>Abbott</w:t>
      </w:r>
      <w:r w:rsidRPr="00FD035E">
        <w:t xml:space="preserve"> Australia Pty Ltd) is a </w:t>
      </w:r>
      <w:r>
        <w:t xml:space="preserve">transcatheter </w:t>
      </w:r>
      <w:r w:rsidRPr="00FD035E">
        <w:t xml:space="preserve">self-expanding </w:t>
      </w:r>
      <w:r>
        <w:t xml:space="preserve">nitinol </w:t>
      </w:r>
      <w:r w:rsidRPr="00FD035E">
        <w:t>device</w:t>
      </w:r>
      <w:r>
        <w:t xml:space="preserve"> for use in cardiac structures.</w:t>
      </w:r>
      <w:r w:rsidRPr="00FD035E">
        <w:t xml:space="preserve"> </w:t>
      </w:r>
      <w:r>
        <w:t>The AMPLATZER™ Cardiac Plug™ consists of a small proximal disc, a central polyester patch, and a larger disc with hooks to anchor the device in the LAA. (</w:t>
      </w:r>
      <w:r w:rsidR="00E456BA">
        <w:fldChar w:fldCharType="begin"/>
      </w:r>
      <w:r w:rsidR="00E456BA">
        <w:instrText xml:space="preserve"> REF _Ref22285632 \h </w:instrText>
      </w:r>
      <w:r w:rsidR="00E456BA">
        <w:fldChar w:fldCharType="separate"/>
      </w:r>
      <w:r w:rsidR="004E2E17">
        <w:t xml:space="preserve">Figure </w:t>
      </w:r>
      <w:r w:rsidR="004E2E17">
        <w:rPr>
          <w:noProof/>
        </w:rPr>
        <w:t>4</w:t>
      </w:r>
      <w:r w:rsidR="00E456BA">
        <w:fldChar w:fldCharType="end"/>
      </w:r>
      <w:r>
        <w:t xml:space="preserve">). </w:t>
      </w:r>
      <w:r w:rsidRPr="00A723BB">
        <w:t xml:space="preserve">The device is constrained within the Delivery </w:t>
      </w:r>
      <w:r w:rsidRPr="00343CDD">
        <w:t>System until deployment in the LAA</w:t>
      </w:r>
      <w:r>
        <w:t>.</w:t>
      </w:r>
    </w:p>
    <w:p w14:paraId="32ABF570" w14:textId="77777777" w:rsidR="000E1CB8" w:rsidRDefault="000E1CB8" w:rsidP="00A51635">
      <w:pPr>
        <w:ind w:left="426"/>
      </w:pPr>
      <w:r>
        <w:t xml:space="preserve">The lobe has stabilising wires to improve device placement and retention. The device has threaded screw attachments at each end for </w:t>
      </w:r>
      <w:r>
        <w:lastRenderedPageBreak/>
        <w:t xml:space="preserve">connection to the delivery and loading cables. The device has radiopaque markers at each end and at the stabilising wires which </w:t>
      </w:r>
      <w:r w:rsidRPr="00A11C4F">
        <w:t>permit visibility during</w:t>
      </w:r>
      <w:r>
        <w:t xml:space="preserve"> </w:t>
      </w:r>
      <w:r w:rsidRPr="00A11C4F">
        <w:t>fluoroscopy</w:t>
      </w:r>
      <w:r>
        <w:t xml:space="preserve"> to facilitate accurate device placement.</w:t>
      </w:r>
    </w:p>
    <w:p w14:paraId="09F3A8ED" w14:textId="77777777" w:rsidR="000E1CB8" w:rsidRDefault="000E1CB8" w:rsidP="00A51635">
      <w:pPr>
        <w:ind w:left="426"/>
      </w:pPr>
      <w:r w:rsidRPr="00FD035E">
        <w:t>It is designed to provide optimal occlusion with full cross-sectional orifice coverage of the LAA, regardless of the LAA anatomy</w:t>
      </w:r>
      <w:r>
        <w:t xml:space="preserve"> and is delivered via AMPLATZER™ TORQVUE™ Delivery systems designed specifically for use with this device</w:t>
      </w:r>
      <w:r w:rsidRPr="00FD035E">
        <w:t>.</w:t>
      </w:r>
    </w:p>
    <w:p w14:paraId="63A43A67" w14:textId="77777777" w:rsidR="000E1CB8" w:rsidRDefault="000E1CB8" w:rsidP="00A51635">
      <w:pPr>
        <w:ind w:left="426"/>
      </w:pPr>
      <w:r>
        <w:t>The AMPLATZER Cardiac Plug</w:t>
      </w:r>
      <w:r w:rsidRPr="00FD035E">
        <w:t>™</w:t>
      </w:r>
      <w:r>
        <w:t xml:space="preserve"> device is available in eight different sizes (</w:t>
      </w:r>
      <w:r w:rsidRPr="00D05CFC">
        <w:t>16mm to 30mm)</w:t>
      </w:r>
      <w:r>
        <w:t xml:space="preserve"> to accommodate the size of the LAA. The AMPLATZER™ Cardiac Plug is intended for use in cardiac structures that do not involve the septal wall, but which require closure or occlusion. The AMPLATZER</w:t>
      </w:r>
      <w:r w:rsidRPr="0020730B">
        <w:rPr>
          <w:vertAlign w:val="superscript"/>
        </w:rPr>
        <w:t>TM</w:t>
      </w:r>
      <w:r>
        <w:t xml:space="preserve"> Cardiac Plug is intended to prevent thrombus embolization from the LAA in patients with NVAF. </w:t>
      </w:r>
    </w:p>
    <w:p w14:paraId="2E616500" w14:textId="77777777" w:rsidR="000E1CB8" w:rsidRDefault="000E1CB8" w:rsidP="00A51635">
      <w:pPr>
        <w:ind w:left="426"/>
        <w:rPr>
          <w:noProof/>
          <w:lang w:eastAsia="en-AU"/>
        </w:rPr>
      </w:pPr>
    </w:p>
    <w:p w14:paraId="696C73D5" w14:textId="77777777" w:rsidR="000E1CB8" w:rsidRDefault="000E1CB8" w:rsidP="000E1CB8">
      <w:pPr>
        <w:pStyle w:val="Caption"/>
        <w:rPr>
          <w:rFonts w:asciiTheme="majorHAnsi" w:hAnsiTheme="majorHAnsi"/>
          <w:sz w:val="22"/>
          <w:szCs w:val="22"/>
        </w:rPr>
      </w:pPr>
      <w:r>
        <w:rPr>
          <w:noProof/>
          <w:sz w:val="22"/>
          <w:szCs w:val="22"/>
          <w:lang w:eastAsia="en-AU"/>
        </w:rPr>
        <w:drawing>
          <wp:inline distT="0" distB="0" distL="0" distR="0" wp14:anchorId="1660F3DD" wp14:editId="2C31E0CC">
            <wp:extent cx="2083435" cy="2083435"/>
            <wp:effectExtent l="0" t="0" r="0" b="0"/>
            <wp:docPr id="2" name="Picture 2" descr="cardiac plug"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inline>
        </w:drawing>
      </w:r>
      <w:bookmarkStart w:id="19" w:name="_Ref385583203"/>
    </w:p>
    <w:p w14:paraId="00A4B37C" w14:textId="70A11EAB" w:rsidR="000E1CB8" w:rsidRPr="000E1CB8" w:rsidRDefault="000E1CB8" w:rsidP="000E1CB8">
      <w:pPr>
        <w:pStyle w:val="Caption"/>
      </w:pPr>
      <w:bookmarkStart w:id="20" w:name="_Ref22285632"/>
      <w:bookmarkStart w:id="21" w:name="_Toc442872211"/>
      <w:bookmarkEnd w:id="19"/>
      <w:r>
        <w:t xml:space="preserve">Figure </w:t>
      </w:r>
      <w:fldSimple w:instr=" SEQ Figure \* ARABIC ">
        <w:r w:rsidR="004E2E17">
          <w:rPr>
            <w:noProof/>
          </w:rPr>
          <w:t>4</w:t>
        </w:r>
      </w:fldSimple>
      <w:bookmarkEnd w:id="20"/>
      <w:r>
        <w:tab/>
      </w:r>
      <w:r w:rsidRPr="000E1CB8">
        <w:tab/>
        <w:t>AMPLATZER Cardiac Plug™ LAA occluder</w:t>
      </w:r>
      <w:bookmarkEnd w:id="21"/>
    </w:p>
    <w:p w14:paraId="4074BB8D" w14:textId="3779FB6D" w:rsidR="000E1CB8" w:rsidRDefault="000E1CB8" w:rsidP="000E1CB8">
      <w:pPr>
        <w:spacing w:after="0"/>
        <w:contextualSpacing/>
        <w:rPr>
          <w:rFonts w:asciiTheme="majorHAnsi" w:hAnsiTheme="majorHAnsi"/>
          <w:sz w:val="16"/>
          <w:szCs w:val="16"/>
        </w:rPr>
      </w:pPr>
      <w:r>
        <w:rPr>
          <w:rFonts w:asciiTheme="majorHAnsi" w:hAnsiTheme="majorHAnsi"/>
          <w:sz w:val="16"/>
          <w:szCs w:val="16"/>
        </w:rPr>
        <w:t>Source</w:t>
      </w:r>
      <w:r w:rsidRPr="003F06C7">
        <w:rPr>
          <w:rFonts w:asciiTheme="majorHAnsi" w:hAnsiTheme="majorHAnsi"/>
          <w:sz w:val="16"/>
          <w:szCs w:val="16"/>
        </w:rPr>
        <w:t>: Cardiac Rhythm News &lt;</w:t>
      </w:r>
      <w:hyperlink r:id="rId21" w:tooltip="This link directs to cardiac rhythm news website " w:history="1">
        <w:r w:rsidRPr="003F06C7">
          <w:rPr>
            <w:rStyle w:val="Hyperlink"/>
            <w:rFonts w:asciiTheme="majorHAnsi" w:hAnsiTheme="majorHAnsi"/>
            <w:sz w:val="16"/>
            <w:szCs w:val="16"/>
          </w:rPr>
          <w:t>www.CardiacRhythmNews.com</w:t>
        </w:r>
      </w:hyperlink>
      <w:r w:rsidRPr="003F06C7">
        <w:rPr>
          <w:rFonts w:asciiTheme="majorHAnsi" w:hAnsiTheme="majorHAnsi"/>
          <w:sz w:val="16"/>
          <w:szCs w:val="16"/>
        </w:rPr>
        <w:t>&gt;</w:t>
      </w:r>
    </w:p>
    <w:p w14:paraId="5DAF5AC4" w14:textId="77777777" w:rsidR="000E1CB8" w:rsidRPr="003F06C7" w:rsidRDefault="000E1CB8" w:rsidP="000E1CB8">
      <w:pPr>
        <w:spacing w:after="0"/>
        <w:contextualSpacing/>
        <w:rPr>
          <w:rFonts w:asciiTheme="majorHAnsi" w:hAnsiTheme="majorHAnsi"/>
          <w:sz w:val="16"/>
          <w:szCs w:val="16"/>
        </w:rPr>
      </w:pPr>
    </w:p>
    <w:p w14:paraId="594BEE68" w14:textId="77777777" w:rsidR="000E1CB8" w:rsidRPr="00FD035E" w:rsidRDefault="000E1CB8" w:rsidP="000E1CB8">
      <w:pPr>
        <w:spacing w:after="0"/>
        <w:contextualSpacing/>
        <w:rPr>
          <w:rFonts w:asciiTheme="majorHAnsi" w:hAnsiTheme="majorHAnsi"/>
          <w:sz w:val="22"/>
        </w:rPr>
      </w:pPr>
    </w:p>
    <w:p w14:paraId="5105F1FC" w14:textId="77777777" w:rsidR="000E1CB8" w:rsidRDefault="000E1CB8" w:rsidP="00B46C16">
      <w:pPr>
        <w:pStyle w:val="Heading4"/>
      </w:pPr>
      <w:r>
        <w:t>AMPLATZER Amulet</w:t>
      </w:r>
      <w:r w:rsidRPr="00FD035E">
        <w:t>™</w:t>
      </w:r>
    </w:p>
    <w:p w14:paraId="6C212118" w14:textId="77777777" w:rsidR="000E1CB8" w:rsidRDefault="000E1CB8" w:rsidP="00A51635">
      <w:pPr>
        <w:ind w:left="426"/>
      </w:pPr>
      <w:r w:rsidRPr="004D0E26">
        <w:t>The AMPLATZER Amulet</w:t>
      </w:r>
      <w:r>
        <w:t>™</w:t>
      </w:r>
      <w:r w:rsidRPr="004D0E26">
        <w:t xml:space="preserve"> Left Atrial Appendage Occluder is a percutaneous transcatheter device intended to prevent thrombus embolization from the LAA in patients who have </w:t>
      </w:r>
      <w:r>
        <w:t>NVAF</w:t>
      </w:r>
      <w:r w:rsidRPr="004D0E26">
        <w:t>.</w:t>
      </w:r>
    </w:p>
    <w:p w14:paraId="4DFF79AC" w14:textId="77777777" w:rsidR="000E1CB8" w:rsidRPr="00A11C4F" w:rsidRDefault="000E1CB8" w:rsidP="00A51635">
      <w:pPr>
        <w:ind w:left="426"/>
      </w:pPr>
      <w:r w:rsidRPr="00A11C4F">
        <w:t>The device is constructed from a nitinol mesh and consists of a lobe and a disc</w:t>
      </w:r>
      <w:r>
        <w:t xml:space="preserve"> </w:t>
      </w:r>
      <w:r w:rsidRPr="00A11C4F">
        <w:t>connected by a central waist. Polyester patches are sewn into both the lobe and</w:t>
      </w:r>
      <w:r>
        <w:t xml:space="preserve"> </w:t>
      </w:r>
      <w:r w:rsidRPr="00A11C4F">
        <w:t xml:space="preserve">disc to facilitate </w:t>
      </w:r>
      <w:r>
        <w:t>occlusion. The lobe has stabilis</w:t>
      </w:r>
      <w:r w:rsidRPr="00A11C4F">
        <w:t>ing wires to improve device</w:t>
      </w:r>
      <w:r>
        <w:t xml:space="preserve"> </w:t>
      </w:r>
      <w:r w:rsidRPr="00A11C4F">
        <w:t>placement and retention. The device has threaded screw attachments at each end</w:t>
      </w:r>
      <w:r>
        <w:t xml:space="preserve"> </w:t>
      </w:r>
      <w:r w:rsidRPr="00A11C4F">
        <w:t>for connection to the delivery and loading cables. The device has radiopaque</w:t>
      </w:r>
      <w:r>
        <w:t xml:space="preserve"> </w:t>
      </w:r>
      <w:r w:rsidRPr="00A11C4F">
        <w:t>markers at each end and at the stabili</w:t>
      </w:r>
      <w:r>
        <w:t>s</w:t>
      </w:r>
      <w:r w:rsidRPr="00A11C4F">
        <w:t>ing wires that permit visibility during</w:t>
      </w:r>
      <w:r>
        <w:t xml:space="preserve"> </w:t>
      </w:r>
      <w:r w:rsidRPr="00A11C4F">
        <w:t>fluoroscopy</w:t>
      </w:r>
      <w:r>
        <w:t xml:space="preserve"> to facilitate accurate device placement</w:t>
      </w:r>
      <w:r w:rsidRPr="00A11C4F">
        <w:t>.</w:t>
      </w:r>
      <w:r>
        <w:t xml:space="preserve"> </w:t>
      </w:r>
      <w:r w:rsidRPr="00A723BB">
        <w:t xml:space="preserve">The device is constrained within the Delivery </w:t>
      </w:r>
      <w:r w:rsidRPr="00343CDD">
        <w:t>System until deployment in the LAA</w:t>
      </w:r>
      <w:r>
        <w:t>.</w:t>
      </w:r>
    </w:p>
    <w:p w14:paraId="5CEBA14F" w14:textId="77777777" w:rsidR="000E1CB8" w:rsidRDefault="000E1CB8" w:rsidP="00A51635">
      <w:pPr>
        <w:ind w:left="426"/>
      </w:pPr>
      <w:r w:rsidRPr="00FD035E">
        <w:lastRenderedPageBreak/>
        <w:t>It is designed to provide optimal occlusion with full cross-sectional orifice coverage of the LAA, regardless of the LAA anatomy</w:t>
      </w:r>
      <w:r>
        <w:t xml:space="preserve"> and is delivered via AMPLATZER™ TORQVUE™ Delivery systems designed specifically for use with this device</w:t>
      </w:r>
      <w:r w:rsidRPr="00FD035E">
        <w:t xml:space="preserve">. </w:t>
      </w:r>
      <w:r>
        <w:t>The AMPLATZER Amulet</w:t>
      </w:r>
      <w:r w:rsidRPr="00FD035E">
        <w:t>™</w:t>
      </w:r>
      <w:r>
        <w:t xml:space="preserve"> device is available in eight different </w:t>
      </w:r>
      <w:r w:rsidRPr="00D05CFC">
        <w:t>sizes (16mm to 34mm) to</w:t>
      </w:r>
      <w:r>
        <w:t xml:space="preserve"> accommodate the size of the LAA. </w:t>
      </w:r>
    </w:p>
    <w:p w14:paraId="56984E22" w14:textId="77777777" w:rsidR="000E1CB8" w:rsidRPr="000E1CB8" w:rsidRDefault="000E1CB8" w:rsidP="00B46C16">
      <w:pPr>
        <w:pStyle w:val="Heading4"/>
      </w:pPr>
      <w:r w:rsidRPr="000E1CB8">
        <w:t>Coherex WaveCrest™</w:t>
      </w:r>
    </w:p>
    <w:p w14:paraId="2BFA408D" w14:textId="0F4B2F14" w:rsidR="000E1CB8" w:rsidRDefault="000E1CB8" w:rsidP="00A51635">
      <w:pPr>
        <w:ind w:left="426"/>
      </w:pPr>
      <w:r w:rsidRPr="004B5626">
        <w:t xml:space="preserve">The Coherex WaveCrest Left Atrial Appendage Occlusion System </w:t>
      </w:r>
      <w:r>
        <w:t xml:space="preserve">(Johnston and Johnston) </w:t>
      </w:r>
      <w:r w:rsidRPr="004B5626">
        <w:t xml:space="preserve">is intended to be used for occlusion of the left atrial appendage in patients who have all of the following: non-valvular paroxysmal, persistent, or permanent </w:t>
      </w:r>
      <w:r>
        <w:t>AF</w:t>
      </w:r>
      <w:r w:rsidRPr="004B5626">
        <w:t xml:space="preserve">, LAA anatomy amenable to treatment by percutaneous techniques, and risk factors for potential thrombus formation in the </w:t>
      </w:r>
      <w:r w:rsidRPr="00E456BA">
        <w:t>LAA (</w:t>
      </w:r>
      <w:r w:rsidR="00E456BA" w:rsidRPr="00E456BA">
        <w:fldChar w:fldCharType="begin"/>
      </w:r>
      <w:r w:rsidR="00E456BA" w:rsidRPr="00E456BA">
        <w:instrText xml:space="preserve"> REF _Ref22285732 \h </w:instrText>
      </w:r>
      <w:r w:rsidR="00E456BA">
        <w:instrText xml:space="preserve"> \* MERGEFORMAT </w:instrText>
      </w:r>
      <w:r w:rsidR="00E456BA" w:rsidRPr="00E456BA">
        <w:fldChar w:fldCharType="separate"/>
      </w:r>
      <w:r w:rsidR="004E2E17" w:rsidRPr="004E2E17">
        <w:t>Figure 5</w:t>
      </w:r>
      <w:r w:rsidR="00E456BA" w:rsidRPr="00E456BA">
        <w:fldChar w:fldCharType="end"/>
      </w:r>
      <w:r w:rsidRPr="00E456BA">
        <w:t>).</w:t>
      </w:r>
    </w:p>
    <w:p w14:paraId="3A8B1EAA" w14:textId="77777777" w:rsidR="000E1CB8" w:rsidRDefault="000E1CB8" w:rsidP="00A51635">
      <w:pPr>
        <w:ind w:left="426"/>
      </w:pPr>
      <w:r>
        <w:t>The system consists of the following components: 1) the occluder, 2) the anchors, and 3) the delivery system. The system is designed to be used exclusively with the Coherex WaveCrest Left Atrial Appendage Occlusion System Delivery Sheath, which is packaged and delivered separately. The occluder and anchors comprise the implantable components of the system and together for the Coherex WaveCrest Implant. The delivery system for the implant consists of a delivery catheter with a loading device and a proximal control handle. The control handle is designed to actuate the anchors through the catheter and to detach the implant from the system.</w:t>
      </w:r>
    </w:p>
    <w:p w14:paraId="06243781" w14:textId="77777777" w:rsidR="000E1CB8" w:rsidRDefault="000E1CB8" w:rsidP="000E1CB8"/>
    <w:p w14:paraId="3671F7E0" w14:textId="77777777" w:rsidR="000E1CB8" w:rsidRDefault="000E1CB8" w:rsidP="000E1CB8">
      <w:pPr>
        <w:spacing w:line="276" w:lineRule="auto"/>
        <w:rPr>
          <w:rFonts w:asciiTheme="majorHAnsi" w:hAnsiTheme="majorHAnsi"/>
          <w:sz w:val="22"/>
        </w:rPr>
      </w:pPr>
      <w:r>
        <w:rPr>
          <w:rFonts w:asciiTheme="majorHAnsi" w:hAnsiTheme="majorHAnsi"/>
          <w:noProof/>
          <w:sz w:val="22"/>
          <w:lang w:eastAsia="en-AU"/>
        </w:rPr>
        <w:drawing>
          <wp:inline distT="0" distB="0" distL="0" distR="0" wp14:anchorId="3E73F34F" wp14:editId="44F505B6">
            <wp:extent cx="3539154" cy="1990725"/>
            <wp:effectExtent l="0" t="0" r="4445" b="0"/>
            <wp:docPr id="13" name="Picture 13" descr="Coherex"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herex_LAA_ClosureAnimFINAL_Stills_v06-0024005.png"/>
                    <pic:cNvPicPr/>
                  </pic:nvPicPr>
                  <pic:blipFill>
                    <a:blip r:embed="rId22">
                      <a:extLst>
                        <a:ext uri="{28A0092B-C50C-407E-A947-70E740481C1C}">
                          <a14:useLocalDpi xmlns:a14="http://schemas.microsoft.com/office/drawing/2010/main" val="0"/>
                        </a:ext>
                      </a:extLst>
                    </a:blip>
                    <a:stretch>
                      <a:fillRect/>
                    </a:stretch>
                  </pic:blipFill>
                  <pic:spPr>
                    <a:xfrm>
                      <a:off x="0" y="0"/>
                      <a:ext cx="3542299" cy="1992494"/>
                    </a:xfrm>
                    <a:prstGeom prst="rect">
                      <a:avLst/>
                    </a:prstGeom>
                  </pic:spPr>
                </pic:pic>
              </a:graphicData>
            </a:graphic>
          </wp:inline>
        </w:drawing>
      </w:r>
    </w:p>
    <w:p w14:paraId="4D3F2610" w14:textId="6386B76B" w:rsidR="000E1CB8" w:rsidRDefault="000E1CB8" w:rsidP="000E1CB8">
      <w:pPr>
        <w:pStyle w:val="Caption"/>
        <w:rPr>
          <w:rFonts w:asciiTheme="majorHAnsi" w:hAnsiTheme="majorHAnsi"/>
          <w:sz w:val="22"/>
          <w:szCs w:val="22"/>
        </w:rPr>
      </w:pPr>
      <w:bookmarkStart w:id="22" w:name="_Ref22285732"/>
      <w:bookmarkStart w:id="23" w:name="_Toc442872212"/>
      <w:r w:rsidRPr="000E1CB8">
        <w:rPr>
          <w:rFonts w:asciiTheme="majorHAnsi" w:hAnsiTheme="majorHAnsi"/>
          <w:sz w:val="22"/>
          <w:szCs w:val="22"/>
        </w:rPr>
        <w:t xml:space="preserve">Figure </w:t>
      </w:r>
      <w:r w:rsidRPr="000E1CB8">
        <w:rPr>
          <w:rFonts w:asciiTheme="majorHAnsi" w:hAnsiTheme="majorHAnsi"/>
          <w:sz w:val="22"/>
          <w:szCs w:val="22"/>
        </w:rPr>
        <w:fldChar w:fldCharType="begin"/>
      </w:r>
      <w:r w:rsidRPr="000E1CB8">
        <w:rPr>
          <w:rFonts w:asciiTheme="majorHAnsi" w:hAnsiTheme="majorHAnsi"/>
          <w:sz w:val="22"/>
          <w:szCs w:val="22"/>
        </w:rPr>
        <w:instrText xml:space="preserve"> SEQ Figure \* ARABIC </w:instrText>
      </w:r>
      <w:r w:rsidRPr="000E1CB8">
        <w:rPr>
          <w:rFonts w:asciiTheme="majorHAnsi" w:hAnsiTheme="majorHAnsi"/>
          <w:sz w:val="22"/>
          <w:szCs w:val="22"/>
        </w:rPr>
        <w:fldChar w:fldCharType="separate"/>
      </w:r>
      <w:r w:rsidR="004E2E17">
        <w:rPr>
          <w:rFonts w:asciiTheme="majorHAnsi" w:hAnsiTheme="majorHAnsi"/>
          <w:noProof/>
          <w:sz w:val="22"/>
          <w:szCs w:val="22"/>
        </w:rPr>
        <w:t>5</w:t>
      </w:r>
      <w:r w:rsidRPr="000E1CB8">
        <w:rPr>
          <w:rFonts w:asciiTheme="majorHAnsi" w:hAnsiTheme="majorHAnsi"/>
          <w:sz w:val="22"/>
          <w:szCs w:val="22"/>
        </w:rPr>
        <w:fldChar w:fldCharType="end"/>
      </w:r>
      <w:bookmarkEnd w:id="22"/>
      <w:r w:rsidRPr="00D5659C">
        <w:rPr>
          <w:rFonts w:asciiTheme="majorHAnsi" w:hAnsiTheme="majorHAnsi"/>
          <w:sz w:val="22"/>
          <w:szCs w:val="22"/>
        </w:rPr>
        <w:tab/>
      </w:r>
      <w:r>
        <w:rPr>
          <w:rFonts w:asciiTheme="majorHAnsi" w:hAnsiTheme="majorHAnsi"/>
          <w:sz w:val="22"/>
          <w:szCs w:val="22"/>
        </w:rPr>
        <w:t xml:space="preserve">Coherex </w:t>
      </w:r>
      <w:r w:rsidRPr="004B5626">
        <w:rPr>
          <w:rFonts w:asciiTheme="majorHAnsi" w:hAnsiTheme="majorHAnsi"/>
          <w:sz w:val="22"/>
          <w:szCs w:val="22"/>
        </w:rPr>
        <w:t>WaveCrest</w:t>
      </w:r>
      <w:r w:rsidRPr="00D5659C">
        <w:rPr>
          <w:rFonts w:asciiTheme="majorHAnsi" w:hAnsiTheme="majorHAnsi"/>
          <w:sz w:val="22"/>
          <w:szCs w:val="22"/>
        </w:rPr>
        <w:t xml:space="preserve"> ™ </w:t>
      </w:r>
      <w:r>
        <w:rPr>
          <w:rFonts w:asciiTheme="majorHAnsi" w:hAnsiTheme="majorHAnsi"/>
          <w:sz w:val="22"/>
          <w:szCs w:val="22"/>
        </w:rPr>
        <w:t>LAA</w:t>
      </w:r>
      <w:r w:rsidRPr="00D5659C">
        <w:rPr>
          <w:rFonts w:asciiTheme="majorHAnsi" w:hAnsiTheme="majorHAnsi"/>
          <w:sz w:val="22"/>
          <w:szCs w:val="22"/>
        </w:rPr>
        <w:t xml:space="preserve"> occluder</w:t>
      </w:r>
      <w:bookmarkEnd w:id="23"/>
    </w:p>
    <w:p w14:paraId="0C4D2CB8" w14:textId="07B9507C" w:rsidR="00E456BA" w:rsidRDefault="00E456BA" w:rsidP="00E456BA"/>
    <w:p w14:paraId="6B515D04" w14:textId="081AD3F1" w:rsidR="00E456BA" w:rsidRDefault="00E456BA" w:rsidP="00A51635">
      <w:pPr>
        <w:pStyle w:val="Heading3"/>
      </w:pPr>
      <w:r>
        <w:t>Key steps of the intervention</w:t>
      </w:r>
    </w:p>
    <w:p w14:paraId="69EFBAA2" w14:textId="59C19DA4" w:rsidR="00E456BA" w:rsidRDefault="00E456BA" w:rsidP="00A51635">
      <w:pPr>
        <w:ind w:left="357"/>
      </w:pPr>
      <w:r>
        <w:t xml:space="preserve">Patients are pre-screened with transoesophageal echocardiogram (TOE) to ensure eligibility for the procedure (absence of thrombus and </w:t>
      </w:r>
      <w:r>
        <w:lastRenderedPageBreak/>
        <w:t>appendage size/morphology suitable for occlusion). Appendage measurements should be taken and the appropriate size device selected as per the directions for use (DFUs) of the respective devices.</w:t>
      </w:r>
    </w:p>
    <w:p w14:paraId="2CD7DA41" w14:textId="77777777" w:rsidR="00E456BA" w:rsidRDefault="00E456BA" w:rsidP="00A51635">
      <w:pPr>
        <w:ind w:left="357"/>
      </w:pPr>
      <w:r>
        <w:t>The proposed medical service is provided in a public or private hospital. The procedure is performed under local or general anaesthesia by an interventional cardiologist or cardiac electrophysiologist in a catheterisation laboratory under guidance of fluoroscopy and TOE. The procedure takes approximately 60 minutes, which includes pre-, intra- and post-service components (see below).</w:t>
      </w:r>
    </w:p>
    <w:p w14:paraId="6FDCBDB0" w14:textId="1B25CAC2" w:rsidR="00E456BA" w:rsidRDefault="00E456BA" w:rsidP="00A51635">
      <w:pPr>
        <w:pStyle w:val="ListParagraph"/>
        <w:numPr>
          <w:ilvl w:val="0"/>
          <w:numId w:val="39"/>
        </w:numPr>
        <w:ind w:left="1077"/>
      </w:pPr>
      <w:r w:rsidRPr="00E456BA">
        <w:rPr>
          <w:u w:val="single"/>
        </w:rPr>
        <w:t>Pre-service component</w:t>
      </w:r>
      <w:r>
        <w:t>: 5—10 min. The physician will review patient notes and acquire patient consent for the procedure.</w:t>
      </w:r>
    </w:p>
    <w:p w14:paraId="0265ED1F" w14:textId="22BB373F" w:rsidR="00E456BA" w:rsidRDefault="00E456BA" w:rsidP="00A51635">
      <w:pPr>
        <w:pStyle w:val="ListParagraph"/>
        <w:numPr>
          <w:ilvl w:val="0"/>
          <w:numId w:val="39"/>
        </w:numPr>
        <w:ind w:left="1077"/>
      </w:pPr>
      <w:r w:rsidRPr="00E456BA">
        <w:rPr>
          <w:u w:val="single"/>
        </w:rPr>
        <w:t>Intra-service component:</w:t>
      </w:r>
      <w:r>
        <w:t xml:space="preserve"> mean LAA occlusion procedure time is 51.5 ± 27.7 minutes (Reddy et al 2013).</w:t>
      </w:r>
    </w:p>
    <w:p w14:paraId="1B466C32" w14:textId="431C6D2E" w:rsidR="00E456BA" w:rsidRDefault="00E456BA" w:rsidP="00A51635">
      <w:pPr>
        <w:pStyle w:val="ListParagraph"/>
        <w:numPr>
          <w:ilvl w:val="0"/>
          <w:numId w:val="39"/>
        </w:numPr>
        <w:ind w:left="1077"/>
      </w:pPr>
      <w:r w:rsidRPr="00E456BA">
        <w:rPr>
          <w:u w:val="single"/>
        </w:rPr>
        <w:t>Post-service component:</w:t>
      </w:r>
      <w:r>
        <w:t xml:space="preserve"> 5 minutes. This may include procedures notes.</w:t>
      </w:r>
    </w:p>
    <w:p w14:paraId="77B17AE7" w14:textId="77777777" w:rsidR="00E456BA" w:rsidRDefault="00E456BA" w:rsidP="00A51635">
      <w:pPr>
        <w:ind w:left="357"/>
      </w:pPr>
      <w:r>
        <w:t>The implantation procedure uses standard transseptal techniques. The access sheath and delivery catheter permit device placement in the LAA via femoral venous access and inter-atrial septum crossing into the left atrium. The device is unsheathed when in the appropriate position. Several criteria are assessed prior to final release of the device including position, seal and device stability. A device can be repositioned or removed prior to its final release if criteria for permanent placement are not met. In general, patients stay overnight in the hospital after the procedure and are discharged the following day. Patients may also require additional pre-discharge imaging services (e.g. pre-discharge chest x-ray or transthoracic echocardiogram [TTE]).</w:t>
      </w:r>
    </w:p>
    <w:p w14:paraId="197A23DA" w14:textId="63E1261D" w:rsidR="00E456BA" w:rsidRDefault="00E456BA" w:rsidP="00A51635">
      <w:pPr>
        <w:ind w:left="423"/>
      </w:pPr>
      <w:r>
        <w:t xml:space="preserve">Postoperatively, patients should begin antiplatelet medication to achieve optimal results. The appropriate dose and duration of antiplatelet therapy post-procedure is </w:t>
      </w:r>
      <w:r w:rsidR="00643F41">
        <w:t>manufacturer specific</w:t>
      </w:r>
      <w:r>
        <w:t xml:space="preserve">. In general terms, patients will be managed on dual antiplatelet therapy for </w:t>
      </w:r>
      <w:r w:rsidR="009A7079">
        <w:t xml:space="preserve">a minimum of </w:t>
      </w:r>
      <w:r>
        <w:t>3</w:t>
      </w:r>
      <w:r w:rsidR="009A7079">
        <w:t xml:space="preserve"> </w:t>
      </w:r>
      <w:r>
        <w:t xml:space="preserve">months (aspirin and clopidogrel) and maintained on aspirin </w:t>
      </w:r>
      <w:r w:rsidR="009A7079">
        <w:t>for at least 12 months</w:t>
      </w:r>
      <w:r>
        <w:t>. Follow up examination with TOE is performed at six weeks to evaluate the LAA seal. A physician may choose to perform additional TOE procedures if any complications are suspected.</w:t>
      </w:r>
    </w:p>
    <w:p w14:paraId="319A7F7E" w14:textId="0F19D207" w:rsidR="000E1CB8" w:rsidRDefault="000E1CB8" w:rsidP="00A51635">
      <w:pPr>
        <w:ind w:left="423"/>
      </w:pPr>
    </w:p>
    <w:p w14:paraId="5DBD840C"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4A7F98A0" w14:textId="152754D5" w:rsidR="002A6753" w:rsidRPr="00154B00" w:rsidRDefault="009A7079" w:rsidP="00A51635">
      <w:pPr>
        <w:ind w:left="360"/>
        <w:rPr>
          <w:szCs w:val="20"/>
        </w:rPr>
      </w:pPr>
      <w:r>
        <w:t xml:space="preserve">The proposed medical service does not include a registered trademark component, however, the occluder devices inserted during the proposed procedure do have registered trademarks. </w:t>
      </w:r>
    </w:p>
    <w:p w14:paraId="1C0F0AEB"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w:t>
      </w:r>
      <w:r w:rsidRPr="00154B00">
        <w:lastRenderedPageBreak/>
        <w:t>a particular sub-group of the population with the specific medical condition?</w:t>
      </w:r>
    </w:p>
    <w:p w14:paraId="08229637" w14:textId="6D32BE5C" w:rsidR="00DF0C51" w:rsidRDefault="009A7079" w:rsidP="00A51635">
      <w:pPr>
        <w:ind w:left="360"/>
        <w:rPr>
          <w:b/>
          <w:szCs w:val="20"/>
        </w:rPr>
      </w:pPr>
      <w:r>
        <w:t xml:space="preserve">The proposed medical service, LAAC, using LAA occluder prostheses, is currently used and reimbursed for patients with NVAF on the MBS. Thus, the procedure does not represent a new approach towards managing patients with NVAF as such, however, the proposal for funding would allow a subgroup of patients who currently don’t have access to the procedure to undergo LAAC. That is, it is proposed that patients with relative contraindications to OAT who are currently not eligible for LAAC will be able to access the procedure. </w:t>
      </w:r>
    </w:p>
    <w:p w14:paraId="31E98257"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1AB14421" w14:textId="41ED9620" w:rsidR="00796082" w:rsidRDefault="00796082" w:rsidP="00A51635">
      <w:pPr>
        <w:ind w:left="360"/>
      </w:pPr>
      <w:r>
        <w:t xml:space="preserve">Accessibility to the LAAC procedure is limited by referral to an interventional cardiologist, availability of an accredited operator and equipped facility including a catheterisation laboratory. </w:t>
      </w:r>
    </w:p>
    <w:p w14:paraId="105BF00C" w14:textId="3AE91401" w:rsidR="009A7079" w:rsidRPr="005C3430" w:rsidRDefault="009A7079" w:rsidP="00A51635">
      <w:pPr>
        <w:ind w:left="360"/>
      </w:pPr>
      <w:r>
        <w:t xml:space="preserve">The LAA occluder is designed to be implanted permanently into the heart. It is therefore expected that </w:t>
      </w:r>
      <w:r w:rsidR="005C3430">
        <w:t>the</w:t>
      </w:r>
      <w:r>
        <w:t xml:space="preserve"> majority of patients will only receive a single procedure in their lifetime. However, in rare circumstances (e.g. embolization or infection) device removal may be required. This is achieved as a peripheral transcatheter procedure or in an open cardiac procedure. If removal is needed, an interventional cardiologist and/or cardiac surgeon can perform the removal.</w:t>
      </w:r>
    </w:p>
    <w:p w14:paraId="5C01AD2F"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475DC3FB" w14:textId="71D1D9A2" w:rsidR="00791C8D" w:rsidRPr="00154B00" w:rsidRDefault="00DE2FE8" w:rsidP="00A51635">
      <w:pPr>
        <w:ind w:left="360"/>
        <w:rPr>
          <w:szCs w:val="20"/>
        </w:rPr>
      </w:pPr>
      <w:r>
        <w:rPr>
          <w:szCs w:val="20"/>
        </w:rPr>
        <w:t xml:space="preserve">The health care resources delivered at the same time as the proposed medical service includes </w:t>
      </w:r>
      <w:r w:rsidRPr="00DE2FE8">
        <w:rPr>
          <w:szCs w:val="20"/>
        </w:rPr>
        <w:t>local or general anaesthesia</w:t>
      </w:r>
      <w:r>
        <w:rPr>
          <w:szCs w:val="20"/>
        </w:rPr>
        <w:t>,</w:t>
      </w:r>
      <w:r w:rsidRPr="00DE2FE8">
        <w:rPr>
          <w:szCs w:val="20"/>
        </w:rPr>
        <w:t xml:space="preserve"> </w:t>
      </w:r>
      <w:r>
        <w:rPr>
          <w:szCs w:val="20"/>
        </w:rPr>
        <w:t>an</w:t>
      </w:r>
      <w:r w:rsidR="005C3430">
        <w:rPr>
          <w:szCs w:val="20"/>
        </w:rPr>
        <w:t>d</w:t>
      </w:r>
      <w:r>
        <w:rPr>
          <w:szCs w:val="20"/>
        </w:rPr>
        <w:t xml:space="preserve"> the procedure requires</w:t>
      </w:r>
      <w:r w:rsidRPr="00DE2FE8">
        <w:rPr>
          <w:szCs w:val="20"/>
        </w:rPr>
        <w:t xml:space="preserve"> fluoroscopy and TOE</w:t>
      </w:r>
      <w:r w:rsidR="005C3430">
        <w:rPr>
          <w:szCs w:val="20"/>
        </w:rPr>
        <w:t xml:space="preserve"> guidance</w:t>
      </w:r>
      <w:r w:rsidRPr="00DE2FE8">
        <w:rPr>
          <w:szCs w:val="20"/>
        </w:rPr>
        <w:t>.</w:t>
      </w:r>
      <w:r>
        <w:rPr>
          <w:szCs w:val="20"/>
        </w:rPr>
        <w:t xml:space="preserve"> Access to a </w:t>
      </w:r>
      <w:r w:rsidRPr="00DE2FE8">
        <w:rPr>
          <w:szCs w:val="20"/>
        </w:rPr>
        <w:t>catheterisation laboratory</w:t>
      </w:r>
      <w:r>
        <w:rPr>
          <w:szCs w:val="20"/>
        </w:rPr>
        <w:t xml:space="preserve"> is also required. </w:t>
      </w:r>
    </w:p>
    <w:p w14:paraId="73346134"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3B81ECBF" w14:textId="41BB9C8C" w:rsidR="00B17E26" w:rsidRPr="00154B00" w:rsidRDefault="00DE2FE8" w:rsidP="00A51635">
      <w:pPr>
        <w:ind w:left="360"/>
        <w:rPr>
          <w:szCs w:val="20"/>
        </w:rPr>
      </w:pPr>
      <w:r w:rsidRPr="00DE2FE8">
        <w:rPr>
          <w:szCs w:val="20"/>
        </w:rPr>
        <w:t>Interventional cardiologist or cardiac electrophysiologist</w:t>
      </w:r>
    </w:p>
    <w:p w14:paraId="026421C0"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566F655E" w14:textId="14706CFC" w:rsidR="00B17E26" w:rsidRPr="00154B00" w:rsidRDefault="00DE2FE8" w:rsidP="00A51635">
      <w:pPr>
        <w:ind w:left="360"/>
        <w:rPr>
          <w:szCs w:val="20"/>
        </w:rPr>
      </w:pPr>
      <w:r>
        <w:t xml:space="preserve">Not applicable. </w:t>
      </w:r>
    </w:p>
    <w:p w14:paraId="0A909DD9"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69043804" w14:textId="23CAEA26" w:rsidR="00EA0E25" w:rsidRPr="00154B00" w:rsidRDefault="00DE2FE8" w:rsidP="00A51635">
      <w:pPr>
        <w:ind w:left="360"/>
        <w:rPr>
          <w:szCs w:val="20"/>
        </w:rPr>
      </w:pPr>
      <w:r>
        <w:t>The delivery of the service, as addressed in Q.32 is limited to interventional cardiologist</w:t>
      </w:r>
      <w:r w:rsidR="00A54989">
        <w:t>,</w:t>
      </w:r>
      <w:r>
        <w:t xml:space="preserve"> cardiac electrophysiologist</w:t>
      </w:r>
      <w:r w:rsidR="00A54989">
        <w:t xml:space="preserve"> or cardiac surgeon</w:t>
      </w:r>
      <w:r>
        <w:t xml:space="preserve">. </w:t>
      </w:r>
      <w:r w:rsidR="00186421">
        <w:t>The referring physician</w:t>
      </w:r>
      <w:r w:rsidR="00205032">
        <w:t>s</w:t>
      </w:r>
      <w:r w:rsidR="00186421">
        <w:t xml:space="preserve"> </w:t>
      </w:r>
      <w:r w:rsidR="00205032">
        <w:t>are typically</w:t>
      </w:r>
      <w:r w:rsidR="00186421">
        <w:t xml:space="preserve"> cardiologists </w:t>
      </w:r>
      <w:r w:rsidR="00205032">
        <w:t xml:space="preserve">but may include </w:t>
      </w:r>
      <w:r w:rsidR="00186421">
        <w:t>other relevant physicians</w:t>
      </w:r>
      <w:r w:rsidR="00205032">
        <w:t xml:space="preserve"> treating the patient for AF</w:t>
      </w:r>
      <w:r w:rsidR="00186421">
        <w:t xml:space="preserve">. </w:t>
      </w:r>
    </w:p>
    <w:p w14:paraId="61E5D568" w14:textId="77777777" w:rsidR="00EA0E25" w:rsidRPr="00154B00" w:rsidRDefault="00EA0E25" w:rsidP="00530204">
      <w:pPr>
        <w:pStyle w:val="Heading2"/>
      </w:pPr>
      <w:r w:rsidRPr="00154B00">
        <w:lastRenderedPageBreak/>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0D994BC4" w14:textId="77777777" w:rsidR="00DE2FE8" w:rsidRDefault="00DE2FE8" w:rsidP="00A51635">
      <w:pPr>
        <w:ind w:left="360"/>
      </w:pPr>
      <w:r>
        <w:t>Cardiologists who intend to perform transcatheter occlusion of LAA using the device undergo a comprehensive training program, which is provided by the manufacturers. The requirements to participate in this program are as follows:</w:t>
      </w:r>
    </w:p>
    <w:p w14:paraId="4CFC57F9" w14:textId="77777777" w:rsidR="00DE2FE8" w:rsidRPr="00E456BA" w:rsidRDefault="00DE2FE8" w:rsidP="00A51635">
      <w:pPr>
        <w:pStyle w:val="ListParagraph"/>
        <w:numPr>
          <w:ilvl w:val="0"/>
          <w:numId w:val="39"/>
        </w:numPr>
      </w:pPr>
      <w:r w:rsidRPr="00E456BA">
        <w:t>Proficiency in trans-septal skills and left sided procedures</w:t>
      </w:r>
    </w:p>
    <w:p w14:paraId="07C7C706" w14:textId="77777777" w:rsidR="00DE2FE8" w:rsidRPr="00E456BA" w:rsidRDefault="00DE2FE8" w:rsidP="00A51635">
      <w:pPr>
        <w:pStyle w:val="ListParagraph"/>
        <w:numPr>
          <w:ilvl w:val="0"/>
          <w:numId w:val="39"/>
        </w:numPr>
      </w:pPr>
      <w:r w:rsidRPr="00E456BA">
        <w:t>Access to surgical back-up</w:t>
      </w:r>
    </w:p>
    <w:p w14:paraId="162AE34F" w14:textId="77777777" w:rsidR="00DE2FE8" w:rsidRPr="00E456BA" w:rsidRDefault="00DE2FE8" w:rsidP="00A51635">
      <w:pPr>
        <w:pStyle w:val="ListParagraph"/>
        <w:numPr>
          <w:ilvl w:val="0"/>
          <w:numId w:val="39"/>
        </w:numPr>
      </w:pPr>
      <w:r w:rsidRPr="00E456BA">
        <w:t>Willingness to complete the LAA Closure Training Program</w:t>
      </w:r>
    </w:p>
    <w:p w14:paraId="065F1509" w14:textId="77777777" w:rsidR="00DE2FE8" w:rsidRPr="00E456BA" w:rsidRDefault="00DE2FE8" w:rsidP="00A51635">
      <w:pPr>
        <w:pStyle w:val="ListParagraph"/>
        <w:numPr>
          <w:ilvl w:val="0"/>
          <w:numId w:val="39"/>
        </w:numPr>
      </w:pPr>
      <w:r w:rsidRPr="00E456BA">
        <w:t>Committed to routine implantations to maintain skill set.</w:t>
      </w:r>
    </w:p>
    <w:p w14:paraId="08B6AAC0" w14:textId="77777777" w:rsidR="00DE2FE8" w:rsidRDefault="00DE2FE8" w:rsidP="00A51635">
      <w:pPr>
        <w:ind w:left="426"/>
      </w:pPr>
      <w:r>
        <w:t>Initial proctoring is provided by a physician experienced in LAAC and/or a clinical specialist. To be considered an independent treating cardiologist, both the trainee and proctor must agree that there is an appropriate level of skill in implanting the device which is normally achieved following the successful completion of 5-10 procedures under supervision pending skill set.</w:t>
      </w:r>
    </w:p>
    <w:p w14:paraId="4938DC75" w14:textId="05CC6708" w:rsidR="00EA0E25" w:rsidRPr="00154B00" w:rsidRDefault="00EA0E25" w:rsidP="00DE2FE8">
      <w:pPr>
        <w:rPr>
          <w:szCs w:val="20"/>
        </w:rPr>
      </w:pPr>
    </w:p>
    <w:p w14:paraId="256E6101"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168C1771" w14:textId="2E84A072" w:rsidR="000A478F" w:rsidRDefault="00DE2FE8"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0A478F">
        <w:rPr>
          <w:szCs w:val="20"/>
        </w:rPr>
        <w:t xml:space="preserve"> </w:t>
      </w:r>
      <w:r w:rsidR="000A478F">
        <w:t>Inpatient private hospital</w:t>
      </w:r>
      <w:r w:rsidR="0079354C">
        <w:t xml:space="preserve"> (admitted patient)</w:t>
      </w:r>
    </w:p>
    <w:p w14:paraId="176C06BF" w14:textId="063C9E21" w:rsidR="000A478F" w:rsidRDefault="00DE2FE8"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264B85C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3A59276C"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Public outpatient clinic</w:t>
      </w:r>
    </w:p>
    <w:p w14:paraId="094A302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t>Emergency Department</w:t>
      </w:r>
    </w:p>
    <w:p w14:paraId="7E27154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3C68F47A"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Private consulting rooms – specialist</w:t>
      </w:r>
    </w:p>
    <w:p w14:paraId="2177CD81"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Private consulting rooms – other health practitioner (nurse or allied health)</w:t>
      </w:r>
    </w:p>
    <w:p w14:paraId="0C1397E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rsidR="0079354C">
        <w:rPr>
          <w:szCs w:val="20"/>
        </w:rPr>
        <w:t>Private d</w:t>
      </w:r>
      <w:r>
        <w:t>ay surgery c</w:t>
      </w:r>
      <w:r w:rsidR="0079354C">
        <w:t>linic (admitted patient)</w:t>
      </w:r>
    </w:p>
    <w:p w14:paraId="66B6F159"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Private day surgery clinic (non-admitted patient)</w:t>
      </w:r>
    </w:p>
    <w:p w14:paraId="1355D646"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Public day surgery clinic (admitted patient)</w:t>
      </w:r>
    </w:p>
    <w:p w14:paraId="5F0A0755"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Public day surgery clinic (non-admitted patient)</w:t>
      </w:r>
    </w:p>
    <w:p w14:paraId="1EC821C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t>Residential aged care facility</w:t>
      </w:r>
    </w:p>
    <w:p w14:paraId="7EC54162"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t>Patient’s home</w:t>
      </w:r>
    </w:p>
    <w:p w14:paraId="706A483B"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t>Laboratory</w:t>
      </w:r>
    </w:p>
    <w:p w14:paraId="3861F48C"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0F19CE">
        <w:rPr>
          <w:szCs w:val="20"/>
        </w:rPr>
      </w:r>
      <w:r w:rsidR="000F19CE">
        <w:rPr>
          <w:szCs w:val="20"/>
        </w:rPr>
        <w:fldChar w:fldCharType="separate"/>
      </w:r>
      <w:r w:rsidRPr="000A5B32">
        <w:rPr>
          <w:szCs w:val="20"/>
        </w:rPr>
        <w:fldChar w:fldCharType="end"/>
      </w:r>
      <w:r>
        <w:rPr>
          <w:szCs w:val="20"/>
        </w:rPr>
        <w:t xml:space="preserve"> </w:t>
      </w:r>
      <w:r>
        <w:t>Other – please specify below</w:t>
      </w:r>
    </w:p>
    <w:p w14:paraId="20EF751B" w14:textId="5E8B17C1" w:rsidR="005F3F07" w:rsidRDefault="005F3F07" w:rsidP="0073597B">
      <w:pPr>
        <w:ind w:left="426"/>
        <w:rPr>
          <w:b/>
          <w:szCs w:val="20"/>
        </w:rPr>
      </w:pPr>
    </w:p>
    <w:p w14:paraId="1D6C42E9"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5D4F9DAA" w14:textId="3CD3DEEA" w:rsidR="0073597B" w:rsidRDefault="00DE2FE8" w:rsidP="0073597B">
      <w:pPr>
        <w:ind w:left="426"/>
        <w:rPr>
          <w:b/>
          <w:szCs w:val="20"/>
        </w:rPr>
      </w:pPr>
      <w:r>
        <w:t xml:space="preserve">The procedure is performed as an inpatient service, either in the public or public hospital setting. </w:t>
      </w:r>
    </w:p>
    <w:p w14:paraId="5260655D" w14:textId="77777777" w:rsidR="003E30FB" w:rsidRDefault="003E30FB" w:rsidP="00530204">
      <w:pPr>
        <w:pStyle w:val="Heading2"/>
      </w:pPr>
      <w:r>
        <w:lastRenderedPageBreak/>
        <w:t xml:space="preserve">Is the </w:t>
      </w:r>
      <w:r w:rsidRPr="001B29A1">
        <w:t>proposed</w:t>
      </w:r>
      <w:r>
        <w:t xml:space="preserve"> medical service intended to be entirely rendered in Australia?</w:t>
      </w:r>
    </w:p>
    <w:p w14:paraId="571D7C1F" w14:textId="4CC6E567" w:rsidR="000A478F" w:rsidRDefault="00DE2FE8"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0A478F">
        <w:rPr>
          <w:szCs w:val="20"/>
        </w:rPr>
        <w:t xml:space="preserve"> Yes</w:t>
      </w:r>
    </w:p>
    <w:p w14:paraId="212F9B36"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3A623A50" w14:textId="055B8640" w:rsidR="003E30FB" w:rsidRPr="000A478F" w:rsidRDefault="003E30FB" w:rsidP="000A478F">
      <w:pPr>
        <w:ind w:left="426"/>
      </w:pPr>
    </w:p>
    <w:p w14:paraId="6563E4C7" w14:textId="4434B283" w:rsidR="000A478F" w:rsidRDefault="000A478F" w:rsidP="00881F93">
      <w:pPr>
        <w:rPr>
          <w:b/>
          <w:i/>
          <w:szCs w:val="20"/>
          <w:u w:val="single"/>
        </w:rPr>
      </w:pPr>
    </w:p>
    <w:p w14:paraId="444C9EB4" w14:textId="77777777" w:rsidR="00E60529" w:rsidRPr="00881F93" w:rsidRDefault="005C3AE7" w:rsidP="005C3AE7">
      <w:pPr>
        <w:pStyle w:val="Subtitle"/>
      </w:pPr>
      <w:r>
        <w:t xml:space="preserve">PART 6c – </w:t>
      </w:r>
      <w:r w:rsidR="00E60529" w:rsidRPr="00881F93">
        <w:t>INFORMATION ABOUT THE COMPARATOR</w:t>
      </w:r>
      <w:r w:rsidR="00A83EC6" w:rsidRPr="00881F93">
        <w:t>(S)</w:t>
      </w:r>
    </w:p>
    <w:p w14:paraId="4A713542"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741504F5" w14:textId="76A54E75" w:rsidR="00E60529" w:rsidRDefault="003509EC" w:rsidP="00A51635">
      <w:pPr>
        <w:ind w:left="360"/>
      </w:pPr>
      <w:r>
        <w:t xml:space="preserve">The proposed main comparator for LAAC in the proposed patient population, patients with NVAF with relative contraindication to OAT, </w:t>
      </w:r>
      <w:r w:rsidR="00270FF3">
        <w:t xml:space="preserve">is </w:t>
      </w:r>
      <w:r w:rsidR="00270FF3" w:rsidRPr="00270FF3">
        <w:t xml:space="preserve">non-vitamin K antagonist oral </w:t>
      </w:r>
      <w:r w:rsidR="00270FF3" w:rsidRPr="00D66ED0">
        <w:t>anticoagulants (NOAC) as these agents are the preferred treatment option in the proposed patient population (refer to algorithm</w:t>
      </w:r>
      <w:r w:rsidR="00D66ED0" w:rsidRPr="00D66ED0">
        <w:t>s in Q26</w:t>
      </w:r>
      <w:r w:rsidR="00B46C16">
        <w:t xml:space="preserve">; </w:t>
      </w:r>
      <w:r w:rsidR="00B46C16" w:rsidRPr="00B46C16">
        <w:t xml:space="preserve">NHF of Australia and CSANZ </w:t>
      </w:r>
      <w:r w:rsidR="00B46C16">
        <w:t>[</w:t>
      </w:r>
      <w:r w:rsidR="00B46C16" w:rsidRPr="00B46C16">
        <w:t>2018</w:t>
      </w:r>
      <w:r w:rsidR="00B46C16">
        <w:t>]</w:t>
      </w:r>
      <w:r w:rsidR="00270FF3" w:rsidRPr="00D66ED0">
        <w:t>). Warfarin</w:t>
      </w:r>
      <w:r w:rsidR="00270FF3">
        <w:t xml:space="preserve"> is an alternate treatment option in these patient</w:t>
      </w:r>
      <w:r w:rsidR="00B46C16">
        <w:t>s</w:t>
      </w:r>
      <w:r w:rsidR="00270FF3">
        <w:t>, thus is included as an additional comparator</w:t>
      </w:r>
      <w:r w:rsidR="00B920D2">
        <w:t xml:space="preserve"> </w:t>
      </w:r>
      <w:r w:rsidR="00B46C16" w:rsidRPr="00D66ED0">
        <w:t>(refer to algorithms in Q26</w:t>
      </w:r>
      <w:r w:rsidR="00B46C16">
        <w:t xml:space="preserve">; </w:t>
      </w:r>
      <w:r w:rsidR="00B46C16" w:rsidRPr="00B46C16">
        <w:t xml:space="preserve">NHF of Australia and CSANZ </w:t>
      </w:r>
      <w:r w:rsidR="00B46C16">
        <w:t>[</w:t>
      </w:r>
      <w:r w:rsidR="00B46C16" w:rsidRPr="00B46C16">
        <w:t>2018</w:t>
      </w:r>
      <w:r w:rsidR="00B46C16">
        <w:t>]</w:t>
      </w:r>
      <w:r w:rsidR="00B46C16" w:rsidRPr="00D66ED0">
        <w:t>)</w:t>
      </w:r>
      <w:r w:rsidR="00B46C16">
        <w:t>.</w:t>
      </w:r>
    </w:p>
    <w:p w14:paraId="287D5962" w14:textId="7C136053" w:rsidR="00B920D2" w:rsidRDefault="00B920D2" w:rsidP="00A51635">
      <w:pPr>
        <w:ind w:left="360"/>
      </w:pPr>
      <w:r>
        <w:t xml:space="preserve">Warfarin has a general listing on the pharmaceutical benefits scheme (PBS) whereas the NOACs are restricted to stroke prevention in NVAF patients </w:t>
      </w:r>
      <w:r w:rsidR="007E6838">
        <w:t xml:space="preserve">with </w:t>
      </w:r>
      <w:r>
        <w:t>CHA</w:t>
      </w:r>
      <w:r w:rsidRPr="00B920D2">
        <w:rPr>
          <w:vertAlign w:val="subscript"/>
        </w:rPr>
        <w:t>2</w:t>
      </w:r>
      <w:r>
        <w:t>DS</w:t>
      </w:r>
      <w:r w:rsidRPr="00B920D2">
        <w:rPr>
          <w:vertAlign w:val="subscript"/>
        </w:rPr>
        <w:t>2</w:t>
      </w:r>
      <w:r>
        <w:t>-VA</w:t>
      </w:r>
      <w:r w:rsidR="007E6838">
        <w:t xml:space="preserve"> </w:t>
      </w:r>
      <w:r w:rsidR="007E6838">
        <w:rPr>
          <w:rFonts w:cstheme="minorHAnsi"/>
        </w:rPr>
        <w:t>≥</w:t>
      </w:r>
      <w:r w:rsidR="007E6838">
        <w:t xml:space="preserve"> 1</w:t>
      </w:r>
      <w:r>
        <w:t xml:space="preserve">. There are three NOACs listed on the PBS for stroke prevention in NVAF: apixaban, dabigatran and rivaroxaban, restriction provided in </w:t>
      </w:r>
      <w:r>
        <w:fldChar w:fldCharType="begin"/>
      </w:r>
      <w:r>
        <w:instrText xml:space="preserve"> REF _Ref11159696 \h </w:instrText>
      </w:r>
      <w:r>
        <w:fldChar w:fldCharType="separate"/>
      </w:r>
      <w:r w:rsidR="004E2E17">
        <w:t xml:space="preserve">Table </w:t>
      </w:r>
      <w:r w:rsidR="004E2E17">
        <w:rPr>
          <w:noProof/>
        </w:rPr>
        <w:t>3</w:t>
      </w:r>
      <w:r>
        <w:fldChar w:fldCharType="end"/>
      </w:r>
      <w:r>
        <w:t xml:space="preserve">. Rivaroxaban was listed on a cost-effectiveness basis versus warfarin, with apixaban and dabigatran cost-minimised to rivaroxaban. </w:t>
      </w:r>
    </w:p>
    <w:p w14:paraId="6BDAD094" w14:textId="538CC105" w:rsidR="00B920D2" w:rsidRDefault="00B920D2" w:rsidP="00A54989">
      <w:pPr>
        <w:pStyle w:val="Caption"/>
        <w:keepNext/>
        <w:keepLines/>
        <w:widowControl w:val="0"/>
      </w:pPr>
      <w:bookmarkStart w:id="24" w:name="_Ref11159696"/>
      <w:r>
        <w:t xml:space="preserve">Table </w:t>
      </w:r>
      <w:fldSimple w:instr=" SEQ Table \* ARABIC ">
        <w:r w:rsidR="004E2E17">
          <w:rPr>
            <w:noProof/>
          </w:rPr>
          <w:t>3</w:t>
        </w:r>
      </w:fldSimple>
      <w:bookmarkEnd w:id="24"/>
      <w:r>
        <w:tab/>
        <w:t xml:space="preserve">PBS restriction for NOACs for prevention of stroke </w:t>
      </w:r>
    </w:p>
    <w:tbl>
      <w:tblPr>
        <w:tblStyle w:val="TableGrid"/>
        <w:tblW w:w="9209" w:type="dxa"/>
        <w:tblLook w:val="04A0" w:firstRow="1" w:lastRow="0" w:firstColumn="1" w:lastColumn="0" w:noHBand="0" w:noVBand="1"/>
        <w:tblCaption w:val="Table 3"/>
        <w:tblDescription w:val="Table"/>
      </w:tblPr>
      <w:tblGrid>
        <w:gridCol w:w="9209"/>
      </w:tblGrid>
      <w:tr w:rsidR="00B920D2" w:rsidRPr="00D5183B" w14:paraId="15531AE7" w14:textId="77777777" w:rsidTr="007E53B3">
        <w:trPr>
          <w:tblHeader/>
        </w:trPr>
        <w:tc>
          <w:tcPr>
            <w:tcW w:w="9209" w:type="dxa"/>
            <w:tcBorders>
              <w:bottom w:val="single" w:sz="4" w:space="0" w:color="000000"/>
            </w:tcBorders>
          </w:tcPr>
          <w:p w14:paraId="44809EA6" w14:textId="77777777" w:rsidR="00B920D2" w:rsidRPr="00D5183B" w:rsidRDefault="00B920D2" w:rsidP="00A54989">
            <w:pPr>
              <w:pStyle w:val="Tabletext"/>
              <w:keepNext/>
              <w:keepLines/>
              <w:widowControl w:val="0"/>
            </w:pPr>
            <w:r>
              <w:t>PBS restriction for NOACs</w:t>
            </w:r>
          </w:p>
        </w:tc>
      </w:tr>
      <w:tr w:rsidR="00B920D2" w14:paraId="058AD622" w14:textId="77777777" w:rsidTr="00813F74">
        <w:tc>
          <w:tcPr>
            <w:tcW w:w="9209" w:type="dxa"/>
            <w:tcBorders>
              <w:bottom w:val="nil"/>
            </w:tcBorders>
          </w:tcPr>
          <w:p w14:paraId="303BC62B" w14:textId="77777777" w:rsidR="00B920D2" w:rsidRPr="00A534DF" w:rsidRDefault="00B920D2" w:rsidP="00A54989">
            <w:pPr>
              <w:pStyle w:val="Tabletext"/>
              <w:keepNext/>
              <w:keepLines/>
              <w:widowControl w:val="0"/>
              <w:rPr>
                <w:color w:val="222222"/>
                <w:szCs w:val="20"/>
                <w:lang w:eastAsia="en-AU"/>
              </w:rPr>
            </w:pPr>
            <w:r w:rsidRPr="00A534DF">
              <w:rPr>
                <w:color w:val="222222"/>
                <w:szCs w:val="20"/>
                <w:lang w:eastAsia="en-AU"/>
              </w:rPr>
              <w:t>Prevention of stroke or systemic embolism</w:t>
            </w:r>
          </w:p>
          <w:p w14:paraId="002E2695" w14:textId="77777777" w:rsidR="00B920D2" w:rsidRPr="002E0DAC" w:rsidRDefault="00B920D2" w:rsidP="00A54989">
            <w:pPr>
              <w:pStyle w:val="Tabletext"/>
              <w:keepNext/>
              <w:keepLines/>
              <w:widowControl w:val="0"/>
              <w:rPr>
                <w:color w:val="222222"/>
                <w:szCs w:val="20"/>
                <w:lang w:eastAsia="en-AU"/>
              </w:rPr>
            </w:pPr>
            <w:r w:rsidRPr="00A534DF">
              <w:rPr>
                <w:color w:val="222222"/>
                <w:szCs w:val="20"/>
                <w:lang w:eastAsia="en-AU"/>
              </w:rPr>
              <w:t>Patient must have non-valvular atrial fibrillation</w:t>
            </w:r>
          </w:p>
        </w:tc>
      </w:tr>
      <w:tr w:rsidR="00B920D2" w:rsidRPr="00D5183B" w14:paraId="7631A24C" w14:textId="77777777" w:rsidTr="00813F74">
        <w:tc>
          <w:tcPr>
            <w:tcW w:w="9209" w:type="dxa"/>
            <w:tcBorders>
              <w:top w:val="nil"/>
            </w:tcBorders>
          </w:tcPr>
          <w:p w14:paraId="3A458C14" w14:textId="77777777" w:rsidR="00B920D2" w:rsidRDefault="00B920D2" w:rsidP="00A54989">
            <w:pPr>
              <w:pStyle w:val="Tabletext"/>
              <w:keepNext/>
              <w:keepLines/>
              <w:widowControl w:val="0"/>
              <w:rPr>
                <w:color w:val="222222"/>
                <w:szCs w:val="20"/>
                <w:lang w:eastAsia="en-AU"/>
              </w:rPr>
            </w:pPr>
            <w:r w:rsidRPr="00A534DF">
              <w:rPr>
                <w:color w:val="222222"/>
                <w:szCs w:val="20"/>
                <w:lang w:eastAsia="en-AU"/>
              </w:rPr>
              <w:t>Patient must have one or more risk factors for developing stroke or systemic embolism</w:t>
            </w:r>
            <w:r>
              <w:rPr>
                <w:color w:val="222222"/>
                <w:szCs w:val="20"/>
                <w:lang w:eastAsia="en-AU"/>
              </w:rPr>
              <w:t>:</w:t>
            </w:r>
          </w:p>
          <w:p w14:paraId="191BA62F" w14:textId="77777777" w:rsidR="00B920D2" w:rsidRPr="007E6838" w:rsidRDefault="00B920D2" w:rsidP="00A54989">
            <w:pPr>
              <w:pStyle w:val="Tabletext"/>
              <w:keepNext/>
              <w:keepLines/>
              <w:widowControl w:val="0"/>
            </w:pPr>
            <w:r w:rsidRPr="007E6838">
              <w:t xml:space="preserve">(i) Prior stroke (ischaemic or unknown type), transient ischaemic attack or non-central nervous system (CNS) systemic embolism; </w:t>
            </w:r>
          </w:p>
          <w:p w14:paraId="54C30E46" w14:textId="77777777" w:rsidR="00B920D2" w:rsidRPr="007E6838" w:rsidRDefault="00B920D2" w:rsidP="00A54989">
            <w:pPr>
              <w:pStyle w:val="Tabletext"/>
              <w:keepNext/>
              <w:keepLines/>
              <w:widowControl w:val="0"/>
            </w:pPr>
            <w:r w:rsidRPr="007E6838">
              <w:t>(ii) age 75 years or older;</w:t>
            </w:r>
          </w:p>
          <w:p w14:paraId="5A076BEB" w14:textId="77777777" w:rsidR="00B920D2" w:rsidRPr="007E6838" w:rsidRDefault="00B920D2" w:rsidP="00A54989">
            <w:pPr>
              <w:pStyle w:val="Tabletext"/>
              <w:keepNext/>
              <w:keepLines/>
              <w:widowControl w:val="0"/>
            </w:pPr>
            <w:r w:rsidRPr="007E6838">
              <w:t>(iii) hypertension;</w:t>
            </w:r>
          </w:p>
          <w:p w14:paraId="69C40410" w14:textId="77777777" w:rsidR="00B920D2" w:rsidRPr="007E6838" w:rsidRDefault="00B920D2" w:rsidP="00A54989">
            <w:pPr>
              <w:pStyle w:val="Tabletext"/>
              <w:keepNext/>
              <w:keepLines/>
              <w:widowControl w:val="0"/>
            </w:pPr>
            <w:r w:rsidRPr="007E6838">
              <w:t>(iv) diabetes mellitus;</w:t>
            </w:r>
          </w:p>
          <w:p w14:paraId="1FDCD705" w14:textId="77777777" w:rsidR="00B920D2" w:rsidRPr="00D5183B" w:rsidRDefault="00B920D2" w:rsidP="00A54989">
            <w:pPr>
              <w:pStyle w:val="Tabletext"/>
              <w:keepNext/>
              <w:keepLines/>
              <w:widowControl w:val="0"/>
              <w:rPr>
                <w:rFonts w:ascii="Helvetica" w:hAnsi="Helvetica" w:cs="Helvetica"/>
              </w:rPr>
            </w:pPr>
            <w:r w:rsidRPr="007E6838">
              <w:t>(v) heart failure and/or left ventricular ejection fraction 35% or less.</w:t>
            </w:r>
          </w:p>
        </w:tc>
      </w:tr>
    </w:tbl>
    <w:p w14:paraId="25D9ED97" w14:textId="77777777" w:rsidR="00B920D2" w:rsidRDefault="00B920D2" w:rsidP="003509EC"/>
    <w:p w14:paraId="311B6926" w14:textId="039D9899" w:rsidR="00B920D2" w:rsidRDefault="00B920D2" w:rsidP="003509EC">
      <w:pPr>
        <w:rPr>
          <w:szCs w:val="20"/>
        </w:rPr>
      </w:pPr>
    </w:p>
    <w:p w14:paraId="656C1EFE"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7FEDD701" w14:textId="77777777" w:rsidR="006A1038" w:rsidRDefault="006A1038" w:rsidP="006A1038">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Yes (please </w:t>
      </w:r>
      <w:r w:rsidR="003904AC">
        <w:rPr>
          <w:szCs w:val="20"/>
        </w:rPr>
        <w:t xml:space="preserve">list </w:t>
      </w:r>
      <w:r>
        <w:rPr>
          <w:szCs w:val="20"/>
        </w:rPr>
        <w:t>all relevant MBS item numbers below)</w:t>
      </w:r>
    </w:p>
    <w:p w14:paraId="625E2E4F" w14:textId="7471EF12" w:rsidR="000159B9" w:rsidRDefault="003509EC"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6A1038">
        <w:rPr>
          <w:szCs w:val="20"/>
        </w:rPr>
        <w:t xml:space="preserve"> No  </w:t>
      </w:r>
    </w:p>
    <w:p w14:paraId="52236ABC" w14:textId="60B15A24" w:rsidR="000159B9" w:rsidRPr="00154B00" w:rsidRDefault="007E6838" w:rsidP="001B29A1">
      <w:pPr>
        <w:ind w:left="426"/>
        <w:rPr>
          <w:szCs w:val="20"/>
        </w:rPr>
      </w:pPr>
      <w:r>
        <w:lastRenderedPageBreak/>
        <w:t xml:space="preserve">As previously noted, </w:t>
      </w:r>
      <w:r w:rsidR="003509EC">
        <w:t xml:space="preserve">NOACs are listed on the PBS for stroke prevention in patients with NVAF, and warfarin has a general listing on the PBS. </w:t>
      </w:r>
    </w:p>
    <w:p w14:paraId="33C28690"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0B097BB2" w14:textId="77C43314" w:rsidR="008B5667" w:rsidRDefault="008B5667" w:rsidP="00A76045">
      <w:pPr>
        <w:ind w:left="426"/>
      </w:pPr>
      <w:r>
        <w:t>The current clinical management pathways that patients follow after they receive the comparator treatments</w:t>
      </w:r>
      <w:r w:rsidR="00E253AB">
        <w:t xml:space="preserve"> is provided in </w:t>
      </w:r>
      <w:r w:rsidR="00E253AB">
        <w:fldChar w:fldCharType="begin"/>
      </w:r>
      <w:r w:rsidR="00E253AB">
        <w:instrText xml:space="preserve"> REF _Ref23163148 \h </w:instrText>
      </w:r>
      <w:r w:rsidR="00E253AB">
        <w:fldChar w:fldCharType="separate"/>
      </w:r>
      <w:r w:rsidR="004E2E17">
        <w:t xml:space="preserve">Figure </w:t>
      </w:r>
      <w:r w:rsidR="004E2E17">
        <w:rPr>
          <w:noProof/>
        </w:rPr>
        <w:t>6</w:t>
      </w:r>
      <w:r w:rsidR="00E253AB">
        <w:fldChar w:fldCharType="end"/>
      </w:r>
      <w:r w:rsidR="00E253AB">
        <w:t xml:space="preserve">. </w:t>
      </w:r>
      <w:r w:rsidR="0007411F">
        <w:t xml:space="preserve">The main health care resources consumed from the point of receiving the comparator is monitoring of bleeding risk and treatment adherences. </w:t>
      </w:r>
    </w:p>
    <w:p w14:paraId="6E3844AE" w14:textId="77777777" w:rsidR="0007411F" w:rsidRDefault="00B46C16" w:rsidP="0007411F">
      <w:pPr>
        <w:ind w:left="426"/>
      </w:pPr>
      <w:r>
        <w:t xml:space="preserve">According to the </w:t>
      </w:r>
      <w:r w:rsidR="0007411F">
        <w:t>NHF of Australia and CSANZ (2018) guidelines for AF</w:t>
      </w:r>
      <w:r>
        <w:t xml:space="preserve">, patients prescribed pharmacotherapy including OAT should have their </w:t>
      </w:r>
      <w:r w:rsidR="0007411F" w:rsidRPr="0007411F">
        <w:t>treatment adherence and persistence</w:t>
      </w:r>
      <w:r w:rsidR="0007411F">
        <w:t xml:space="preserve"> </w:t>
      </w:r>
      <w:r w:rsidRPr="00B46C16">
        <w:t>regularly monitored</w:t>
      </w:r>
      <w:r w:rsidR="0007411F">
        <w:t xml:space="preserve">, although the guidelines do not specify the time interval at which patients should be monitored. Non-compliance with NOACs is a particular concern given the rapid offset of action, thus potentially increasing the risk of stroke in these patients (NHF of Australia and CSANZ 2018). </w:t>
      </w:r>
    </w:p>
    <w:p w14:paraId="7295137F" w14:textId="45DFD528" w:rsidR="0007411F" w:rsidRDefault="0007411F" w:rsidP="00A76045">
      <w:pPr>
        <w:ind w:left="426"/>
      </w:pPr>
      <w:r>
        <w:t>Whilst p</w:t>
      </w:r>
      <w:r w:rsidR="007E4023">
        <w:t xml:space="preserve">atients treated with NOACs </w:t>
      </w:r>
      <w:r w:rsidR="00C75F9C">
        <w:t xml:space="preserve">do not require specific monitoring in terms of bleeding risk, </w:t>
      </w:r>
      <w:r>
        <w:t xml:space="preserve">patients treated with </w:t>
      </w:r>
      <w:r w:rsidR="00C75F9C">
        <w:t>warfarin</w:t>
      </w:r>
      <w:r>
        <w:t xml:space="preserve"> </w:t>
      </w:r>
      <w:r w:rsidR="00C75F9C">
        <w:t>require regular monitoring of their international normalised ratio (INR)</w:t>
      </w:r>
      <w:r w:rsidR="00651758">
        <w:t xml:space="preserve"> to ensure adequate anticoagulation whilst balancing the risk of bleeding</w:t>
      </w:r>
      <w:r w:rsidR="00C75F9C">
        <w:t xml:space="preserve">. </w:t>
      </w:r>
      <w:r w:rsidR="00E253AB">
        <w:t xml:space="preserve">Further details of the healthcare resources associated with INR monitoring is provided below. </w:t>
      </w:r>
    </w:p>
    <w:p w14:paraId="48B11B1A" w14:textId="3E2E5C35" w:rsidR="003433D1" w:rsidRDefault="0007411F" w:rsidP="00A76045">
      <w:pPr>
        <w:ind w:left="426"/>
      </w:pPr>
      <w:r>
        <w:t xml:space="preserve">Patients with relative contraindication to OAT treated with </w:t>
      </w:r>
      <w:r w:rsidR="00C75F9C">
        <w:t xml:space="preserve">NOACs </w:t>
      </w:r>
      <w:r>
        <w:t xml:space="preserve">or warfarin </w:t>
      </w:r>
      <w:r w:rsidR="00C75F9C">
        <w:t xml:space="preserve">may experience a </w:t>
      </w:r>
      <w:r w:rsidR="00A76045">
        <w:t xml:space="preserve">major bleeding complication, a blood dyscrasia or develop a vascular abnormality predisposing </w:t>
      </w:r>
      <w:r w:rsidR="008B5667">
        <w:t xml:space="preserve">them </w:t>
      </w:r>
      <w:r w:rsidR="00A76045">
        <w:t>to potentially life-threatening haemorrhage</w:t>
      </w:r>
      <w:r w:rsidR="00E253AB">
        <w:t xml:space="preserve">, </w:t>
      </w:r>
      <w:r w:rsidR="00A76045">
        <w:t>thus becoming eligible for LAAC based on the current MBS reimbursement</w:t>
      </w:r>
      <w:r w:rsidR="00B46C16">
        <w:t>)</w:t>
      </w:r>
      <w:r w:rsidR="00A76045">
        <w:t xml:space="preserve">. </w:t>
      </w:r>
    </w:p>
    <w:p w14:paraId="4D3EACC5" w14:textId="7876D449" w:rsidR="00093E26" w:rsidRDefault="00093E26" w:rsidP="00A76045">
      <w:pPr>
        <w:ind w:left="426"/>
      </w:pPr>
    </w:p>
    <w:p w14:paraId="01BAE2BE" w14:textId="06913D47" w:rsidR="00093E26" w:rsidRDefault="00093E26" w:rsidP="007E53B3">
      <w:pPr>
        <w:ind w:left="426"/>
        <w:jc w:val="both"/>
      </w:pPr>
      <w:r>
        <w:rPr>
          <w:noProof/>
          <w:lang w:eastAsia="en-AU"/>
        </w:rPr>
        <w:lastRenderedPageBreak/>
        <w:drawing>
          <wp:inline distT="0" distB="0" distL="0" distR="0" wp14:anchorId="5E47E280" wp14:editId="6D8E91D2">
            <wp:extent cx="5276850" cy="3429000"/>
            <wp:effectExtent l="0" t="0" r="0" b="0"/>
            <wp:docPr id="11" name="Picture 11" descr="Flow char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429000"/>
                    </a:xfrm>
                    <a:prstGeom prst="rect">
                      <a:avLst/>
                    </a:prstGeom>
                    <a:noFill/>
                    <a:ln>
                      <a:noFill/>
                    </a:ln>
                  </pic:spPr>
                </pic:pic>
              </a:graphicData>
            </a:graphic>
          </wp:inline>
        </w:drawing>
      </w:r>
    </w:p>
    <w:p w14:paraId="4B0D999F" w14:textId="4F39046D" w:rsidR="00E253AB" w:rsidRDefault="00E253AB" w:rsidP="00E253AB">
      <w:pPr>
        <w:pStyle w:val="Caption"/>
      </w:pPr>
      <w:bookmarkStart w:id="25" w:name="_Ref23163148"/>
      <w:r>
        <w:t xml:space="preserve">Figure </w:t>
      </w:r>
      <w:fldSimple w:instr=" SEQ Figure \* ARABIC ">
        <w:r w:rsidR="004E2E17">
          <w:rPr>
            <w:noProof/>
          </w:rPr>
          <w:t>6</w:t>
        </w:r>
      </w:fldSimple>
      <w:bookmarkEnd w:id="25"/>
      <w:r>
        <w:tab/>
        <w:t>Current management pathway from the point of receiving the comparators onwards</w:t>
      </w:r>
    </w:p>
    <w:p w14:paraId="0951E13F" w14:textId="7F41D7E1" w:rsidR="00093E26" w:rsidRDefault="00E253AB" w:rsidP="00380E93">
      <w:pPr>
        <w:pStyle w:val="TableNote"/>
      </w:pPr>
      <w:r>
        <w:t>INR=international normalised ratio; OAT=oral anticoagulant therapy; LAAC=left atrial appendage closure; MBS=Medicare Benefits Schedule; NOACs=</w:t>
      </w:r>
      <w:r w:rsidRPr="00E253AB">
        <w:t>non-vitamin K antagonist oral anticoagulants</w:t>
      </w:r>
      <w:r>
        <w:t xml:space="preserve">. </w:t>
      </w:r>
    </w:p>
    <w:p w14:paraId="652F7DF2" w14:textId="77777777" w:rsidR="00E253AB" w:rsidRDefault="00E253AB" w:rsidP="00A76045">
      <w:pPr>
        <w:ind w:left="426"/>
      </w:pPr>
    </w:p>
    <w:p w14:paraId="7CC743ED" w14:textId="2649D9EB" w:rsidR="007F7701" w:rsidRPr="00B46C16" w:rsidRDefault="00E253AB" w:rsidP="00B46C16">
      <w:pPr>
        <w:pStyle w:val="Heading4"/>
      </w:pPr>
      <w:r>
        <w:t>INR</w:t>
      </w:r>
      <w:r w:rsidR="007F7701" w:rsidRPr="00B46C16">
        <w:t xml:space="preserve"> monitoring</w:t>
      </w:r>
    </w:p>
    <w:p w14:paraId="258BAAE3" w14:textId="3AD90F7B" w:rsidR="005227DA" w:rsidRDefault="005227DA" w:rsidP="001B29A1">
      <w:pPr>
        <w:ind w:left="426"/>
      </w:pPr>
      <w:r>
        <w:t xml:space="preserve">Given the narrow therapeutic window of warfarin, regular monitoring of INR is required to ensure adequate anticoagulation whilst minimising the risk of bleeding. According the to the </w:t>
      </w:r>
      <w:r w:rsidRPr="003B5C70">
        <w:t xml:space="preserve">warfarin </w:t>
      </w:r>
      <w:r w:rsidR="003B5C70" w:rsidRPr="003B5C70">
        <w:t>product information (</w:t>
      </w:r>
      <w:r w:rsidRPr="003B5C70">
        <w:t>PI</w:t>
      </w:r>
      <w:r w:rsidR="003B5C70" w:rsidRPr="003B5C70">
        <w:t>) (Coumadin)</w:t>
      </w:r>
      <w:r w:rsidRPr="003B5C70">
        <w:t>, the therapeutic range is considered INR 2-3, with bleeding risk increasing significantly with an INR of 4</w:t>
      </w:r>
      <w:r w:rsidR="003B5C70">
        <w:t xml:space="preserve">. </w:t>
      </w:r>
      <w:r w:rsidRPr="003B5C70">
        <w:t>The bleeding risk of INR 2-3 is 1.3% (</w:t>
      </w:r>
      <w:r w:rsidR="00651758" w:rsidRPr="003B5C70">
        <w:t>De Caterina et al 2007</w:t>
      </w:r>
      <w:r w:rsidRPr="003B5C70">
        <w:t xml:space="preserve">). </w:t>
      </w:r>
      <w:r w:rsidR="00643F41" w:rsidRPr="003B5C70">
        <w:t>Thus,</w:t>
      </w:r>
      <w:r w:rsidRPr="003B5C70">
        <w:t xml:space="preserve"> regular INR measurement is required for the duration of w</w:t>
      </w:r>
      <w:r>
        <w:t>arfarin therapy. The approaches to monitoring in Australia include:</w:t>
      </w:r>
    </w:p>
    <w:p w14:paraId="56526038" w14:textId="2B8832C0" w:rsidR="005227DA" w:rsidRDefault="005227DA" w:rsidP="005227DA">
      <w:pPr>
        <w:pStyle w:val="ListParagraph"/>
        <w:numPr>
          <w:ilvl w:val="0"/>
          <w:numId w:val="40"/>
        </w:numPr>
      </w:pPr>
      <w:r>
        <w:t>General practitioner (GP) led management</w:t>
      </w:r>
    </w:p>
    <w:p w14:paraId="08F85D03" w14:textId="3A2C3541" w:rsidR="005227DA" w:rsidRDefault="005227DA" w:rsidP="005227DA">
      <w:pPr>
        <w:pStyle w:val="ListParagraph"/>
        <w:numPr>
          <w:ilvl w:val="0"/>
          <w:numId w:val="40"/>
        </w:numPr>
      </w:pPr>
      <w:r>
        <w:t>Anticoagulation clinic</w:t>
      </w:r>
    </w:p>
    <w:p w14:paraId="4D03E14B" w14:textId="02EF15D9" w:rsidR="005227DA" w:rsidRDefault="005227DA" w:rsidP="005227DA">
      <w:pPr>
        <w:pStyle w:val="ListParagraph"/>
        <w:numPr>
          <w:ilvl w:val="0"/>
          <w:numId w:val="40"/>
        </w:numPr>
      </w:pPr>
      <w:r>
        <w:t>Pathology service-led care (using validated computerised dosing algorithms)</w:t>
      </w:r>
    </w:p>
    <w:p w14:paraId="2925E440" w14:textId="0C28BFBC" w:rsidR="005227DA" w:rsidRDefault="005227DA" w:rsidP="005227DA">
      <w:pPr>
        <w:pStyle w:val="ListParagraph"/>
        <w:numPr>
          <w:ilvl w:val="0"/>
          <w:numId w:val="40"/>
        </w:numPr>
      </w:pPr>
      <w:r>
        <w:t xml:space="preserve">Point of care (POC) testing (including patient </w:t>
      </w:r>
      <w:r w:rsidR="00643F41">
        <w:t>self-management</w:t>
      </w:r>
      <w:r>
        <w:t xml:space="preserve"> using coagulometers</w:t>
      </w:r>
      <w:r w:rsidR="003B5C70">
        <w:t xml:space="preserve"> (NHF CZANZ 2018</w:t>
      </w:r>
      <w:r>
        <w:t>)</w:t>
      </w:r>
    </w:p>
    <w:p w14:paraId="3CFC73C6" w14:textId="2FF29A9F" w:rsidR="00B768C9" w:rsidRDefault="007F7701" w:rsidP="001B29A1">
      <w:pPr>
        <w:ind w:left="426"/>
      </w:pPr>
      <w:r>
        <w:t>When commencing treatment, p</w:t>
      </w:r>
      <w:r w:rsidR="00B768C9">
        <w:t>atients treated with warfarin are recommended to have daily checks of p</w:t>
      </w:r>
      <w:r w:rsidR="00B768C9" w:rsidRPr="00B768C9">
        <w:t>rothrombin time</w:t>
      </w:r>
      <w:r w:rsidR="00B768C9">
        <w:t xml:space="preserve"> (PT) until the patient is stable and a therapeutic range is reached (Warfarin PI). The PT is used to calculate the INR. </w:t>
      </w:r>
      <w:r w:rsidR="005227DA">
        <w:t xml:space="preserve">Patients maintained on warfarin require continuous monitoring, at an interval of every 1-4 weeks (Warfarin PI). </w:t>
      </w:r>
    </w:p>
    <w:p w14:paraId="09228647" w14:textId="7081BBDC" w:rsidR="007F7701" w:rsidRDefault="007F7701" w:rsidP="001B29A1">
      <w:pPr>
        <w:ind w:left="426"/>
      </w:pPr>
      <w:r>
        <w:t xml:space="preserve">POC devices using finger-prick capillary blood sampling allows for convenient and efficient INR measurement in the clinical practice setting and for </w:t>
      </w:r>
      <w:r w:rsidR="00643F41">
        <w:t>self-management</w:t>
      </w:r>
      <w:r>
        <w:t xml:space="preserve"> in the patient’s home. </w:t>
      </w:r>
    </w:p>
    <w:p w14:paraId="06A96B95" w14:textId="7E9BF7CD" w:rsidR="007F7701" w:rsidRDefault="007F7701" w:rsidP="007F7701">
      <w:pPr>
        <w:ind w:left="426"/>
      </w:pPr>
      <w:r w:rsidRPr="00512E22">
        <w:lastRenderedPageBreak/>
        <w:t xml:space="preserve">POC devices, ie coagulometers, and required consumables, </w:t>
      </w:r>
      <w:r w:rsidR="00643F41" w:rsidRPr="00512E22">
        <w:t>e.g.</w:t>
      </w:r>
      <w:r w:rsidRPr="00512E22">
        <w:t xml:space="preserve"> test strips are not reimbursed via MBS and </w:t>
      </w:r>
      <w:r w:rsidRPr="00E253AB">
        <w:rPr>
          <w:shd w:val="clear" w:color="auto" w:fill="FFFFFF" w:themeFill="background1"/>
        </w:rPr>
        <w:t>as such comes at a cost to the practice or patient. The</w:t>
      </w:r>
      <w:r>
        <w:t xml:space="preserve"> healthcare resources required for INR measurement of patients treated with warfarin depends on the model of care used (as described above). There are several coagulometers registered for use in Australia. POC testing is generally most </w:t>
      </w:r>
      <w:r w:rsidR="00813F74">
        <w:t xml:space="preserve">relevant in </w:t>
      </w:r>
      <w:r w:rsidR="00512E22">
        <w:t xml:space="preserve">the </w:t>
      </w:r>
      <w:r w:rsidR="00813F74">
        <w:t xml:space="preserve">on-going monitoring of patients who are stable. </w:t>
      </w:r>
    </w:p>
    <w:p w14:paraId="1E9320E5" w14:textId="7389D364" w:rsidR="00813F74" w:rsidRDefault="00B30C2A" w:rsidP="00B30C2A">
      <w:pPr>
        <w:ind w:left="426"/>
      </w:pPr>
      <w:bookmarkStart w:id="26" w:name="_Hlk22303398"/>
      <w:r>
        <w:t>Costs associated with INR monitoring when warfarin is prescribed includes pathology collection and testing, and general practitioner consultations as reimbursed. I</w:t>
      </w:r>
      <w:r w:rsidR="006A12D8">
        <w:t xml:space="preserve">t is estimated that the annual cost of monitoring INR to ensure therapeutic targets range </w:t>
      </w:r>
      <w:r w:rsidR="00363814">
        <w:t>is $445</w:t>
      </w:r>
      <w:r w:rsidR="006A12D8">
        <w:t xml:space="preserve"> per </w:t>
      </w:r>
      <w:r w:rsidR="00363814">
        <w:t xml:space="preserve">patient per </w:t>
      </w:r>
      <w:r w:rsidR="006A12D8">
        <w:t>year.</w:t>
      </w:r>
      <w:r w:rsidR="00363814">
        <w:t xml:space="preserve"> </w:t>
      </w:r>
      <w:r w:rsidR="006A12D8">
        <w:t xml:space="preserve">Alternatively, POC monitoring by the patient would mean purchasing of the coagulometer, such as CoaguChek (estimated at $700/device) and test strips (estimated at $150 per 24 strips) as these devices and consumables are not reimbursed on the MBS. </w:t>
      </w:r>
    </w:p>
    <w:p w14:paraId="19D0F5A2" w14:textId="77777777" w:rsidR="006A12D8" w:rsidRDefault="006A12D8" w:rsidP="007F7701">
      <w:pPr>
        <w:ind w:left="426"/>
      </w:pPr>
    </w:p>
    <w:tbl>
      <w:tblPr>
        <w:tblStyle w:val="TableGrid"/>
        <w:tblW w:w="0" w:type="auto"/>
        <w:tblInd w:w="426" w:type="dxa"/>
        <w:tblLook w:val="04A0" w:firstRow="1" w:lastRow="0" w:firstColumn="1" w:lastColumn="0" w:noHBand="0" w:noVBand="1"/>
        <w:tblCaption w:val="Table"/>
        <w:tblDescription w:val="Table"/>
      </w:tblPr>
      <w:tblGrid>
        <w:gridCol w:w="549"/>
        <w:gridCol w:w="3859"/>
        <w:gridCol w:w="1824"/>
        <w:gridCol w:w="2358"/>
      </w:tblGrid>
      <w:tr w:rsidR="00813F74" w:rsidRPr="006A12D8" w14:paraId="2AAAA622" w14:textId="77777777" w:rsidTr="007E53B3">
        <w:trPr>
          <w:tblHeader/>
        </w:trPr>
        <w:tc>
          <w:tcPr>
            <w:tcW w:w="549" w:type="dxa"/>
          </w:tcPr>
          <w:p w14:paraId="1C3F7E3F" w14:textId="7BD7A25C" w:rsidR="00813F74" w:rsidRPr="006A12D8" w:rsidRDefault="00813F74" w:rsidP="006A12D8">
            <w:pPr>
              <w:pStyle w:val="Tabletext"/>
              <w:rPr>
                <w:b/>
                <w:bCs w:val="0"/>
              </w:rPr>
            </w:pPr>
            <w:r w:rsidRPr="006A12D8">
              <w:rPr>
                <w:b/>
                <w:bCs w:val="0"/>
              </w:rPr>
              <w:t>Row</w:t>
            </w:r>
          </w:p>
        </w:tc>
        <w:tc>
          <w:tcPr>
            <w:tcW w:w="3859" w:type="dxa"/>
          </w:tcPr>
          <w:p w14:paraId="76606277" w14:textId="4E1F09EC" w:rsidR="00813F74" w:rsidRPr="006A12D8" w:rsidRDefault="006A12D8" w:rsidP="006A12D8">
            <w:pPr>
              <w:pStyle w:val="Tabletext"/>
              <w:rPr>
                <w:b/>
                <w:bCs w:val="0"/>
              </w:rPr>
            </w:pPr>
            <w:r>
              <w:rPr>
                <w:b/>
                <w:bCs w:val="0"/>
              </w:rPr>
              <w:t>Variable</w:t>
            </w:r>
          </w:p>
        </w:tc>
        <w:tc>
          <w:tcPr>
            <w:tcW w:w="1824" w:type="dxa"/>
          </w:tcPr>
          <w:p w14:paraId="6AAE53DB" w14:textId="355F8C09" w:rsidR="00813F74" w:rsidRPr="006A12D8" w:rsidRDefault="006A12D8" w:rsidP="006A12D8">
            <w:pPr>
              <w:pStyle w:val="Tabletext"/>
              <w:rPr>
                <w:b/>
                <w:bCs w:val="0"/>
              </w:rPr>
            </w:pPr>
            <w:r w:rsidRPr="006A12D8">
              <w:rPr>
                <w:b/>
                <w:bCs w:val="0"/>
              </w:rPr>
              <w:t>Input</w:t>
            </w:r>
          </w:p>
        </w:tc>
        <w:tc>
          <w:tcPr>
            <w:tcW w:w="2358" w:type="dxa"/>
          </w:tcPr>
          <w:p w14:paraId="3CD3F6AA" w14:textId="54E78E75" w:rsidR="00813F74" w:rsidRPr="006A12D8" w:rsidRDefault="006A12D8" w:rsidP="006A12D8">
            <w:pPr>
              <w:pStyle w:val="Tabletext"/>
              <w:rPr>
                <w:b/>
                <w:bCs w:val="0"/>
              </w:rPr>
            </w:pPr>
            <w:r>
              <w:rPr>
                <w:b/>
                <w:bCs w:val="0"/>
              </w:rPr>
              <w:t>Source</w:t>
            </w:r>
          </w:p>
        </w:tc>
      </w:tr>
      <w:tr w:rsidR="00512E22" w14:paraId="4DAE04EB" w14:textId="77777777" w:rsidTr="006A12D8">
        <w:tc>
          <w:tcPr>
            <w:tcW w:w="549" w:type="dxa"/>
          </w:tcPr>
          <w:p w14:paraId="05A6240B" w14:textId="42B3BB16" w:rsidR="00512E22" w:rsidRDefault="00512E22" w:rsidP="006A12D8">
            <w:pPr>
              <w:pStyle w:val="Tabletext"/>
            </w:pPr>
            <w:r>
              <w:t>A</w:t>
            </w:r>
          </w:p>
        </w:tc>
        <w:tc>
          <w:tcPr>
            <w:tcW w:w="3859" w:type="dxa"/>
          </w:tcPr>
          <w:p w14:paraId="51C166CD" w14:textId="7C15BD23" w:rsidR="00512E22" w:rsidRDefault="00512E22" w:rsidP="006A12D8">
            <w:pPr>
              <w:pStyle w:val="Tabletext"/>
            </w:pPr>
            <w:r>
              <w:t xml:space="preserve">Patient episode initiation: </w:t>
            </w:r>
            <w:r w:rsidRPr="00512E22">
              <w:t>Initiation of a patient episode by collection of a specimen for 1 or more  services</w:t>
            </w:r>
          </w:p>
        </w:tc>
        <w:tc>
          <w:tcPr>
            <w:tcW w:w="1824" w:type="dxa"/>
          </w:tcPr>
          <w:p w14:paraId="0391B825" w14:textId="20FA1DC8" w:rsidR="00512E22" w:rsidRDefault="00512E22" w:rsidP="006A12D8">
            <w:pPr>
              <w:pStyle w:val="Tabletext"/>
            </w:pPr>
            <w:r>
              <w:t>$5.95</w:t>
            </w:r>
          </w:p>
        </w:tc>
        <w:tc>
          <w:tcPr>
            <w:tcW w:w="2358" w:type="dxa"/>
          </w:tcPr>
          <w:p w14:paraId="0852059D" w14:textId="5332109A" w:rsidR="00512E22" w:rsidRDefault="00512E22" w:rsidP="006A12D8">
            <w:pPr>
              <w:pStyle w:val="Tabletext"/>
            </w:pPr>
            <w:r>
              <w:t>MBS item 73928</w:t>
            </w:r>
          </w:p>
        </w:tc>
      </w:tr>
      <w:tr w:rsidR="00813F74" w14:paraId="04A3243B" w14:textId="77777777" w:rsidTr="006A12D8">
        <w:tc>
          <w:tcPr>
            <w:tcW w:w="549" w:type="dxa"/>
          </w:tcPr>
          <w:p w14:paraId="4F2677E0" w14:textId="1A7CACD8" w:rsidR="00813F74" w:rsidRDefault="00813F74" w:rsidP="006A12D8">
            <w:pPr>
              <w:pStyle w:val="Tabletext"/>
            </w:pPr>
            <w:r>
              <w:t>A</w:t>
            </w:r>
          </w:p>
        </w:tc>
        <w:tc>
          <w:tcPr>
            <w:tcW w:w="3859" w:type="dxa"/>
          </w:tcPr>
          <w:p w14:paraId="6FB4400A" w14:textId="3E4297FB" w:rsidR="00813F74" w:rsidRDefault="006A12D8" w:rsidP="006A12D8">
            <w:pPr>
              <w:pStyle w:val="Tabletext"/>
            </w:pPr>
            <w:r>
              <w:t>Prothrombin</w:t>
            </w:r>
            <w:r w:rsidR="00813F74">
              <w:t xml:space="preserve"> time (including INR): pathology services </w:t>
            </w:r>
          </w:p>
        </w:tc>
        <w:tc>
          <w:tcPr>
            <w:tcW w:w="1824" w:type="dxa"/>
          </w:tcPr>
          <w:p w14:paraId="7109A9BB" w14:textId="2413A404" w:rsidR="00813F74" w:rsidRDefault="00813F74" w:rsidP="006A12D8">
            <w:pPr>
              <w:pStyle w:val="Tabletext"/>
            </w:pPr>
            <w:r>
              <w:t>$13.70</w:t>
            </w:r>
          </w:p>
        </w:tc>
        <w:tc>
          <w:tcPr>
            <w:tcW w:w="2358" w:type="dxa"/>
          </w:tcPr>
          <w:p w14:paraId="1AC14C91" w14:textId="01A9FF93" w:rsidR="00813F74" w:rsidRDefault="00813F74" w:rsidP="006A12D8">
            <w:pPr>
              <w:pStyle w:val="Tabletext"/>
            </w:pPr>
            <w:r>
              <w:t>MBS item 65120</w:t>
            </w:r>
          </w:p>
        </w:tc>
      </w:tr>
      <w:tr w:rsidR="006A12D8" w14:paraId="058A24F4" w14:textId="77777777" w:rsidTr="006A12D8">
        <w:tc>
          <w:tcPr>
            <w:tcW w:w="549" w:type="dxa"/>
          </w:tcPr>
          <w:p w14:paraId="31A90BC0" w14:textId="5F5FAF84" w:rsidR="006A12D8" w:rsidRDefault="00363814" w:rsidP="006A12D8">
            <w:pPr>
              <w:pStyle w:val="Tabletext"/>
            </w:pPr>
            <w:r>
              <w:t>C</w:t>
            </w:r>
          </w:p>
        </w:tc>
        <w:tc>
          <w:tcPr>
            <w:tcW w:w="3859" w:type="dxa"/>
          </w:tcPr>
          <w:p w14:paraId="01B19ED7" w14:textId="48B87917" w:rsidR="006A12D8" w:rsidRDefault="00512E22" w:rsidP="006A12D8">
            <w:pPr>
              <w:pStyle w:val="Tabletext"/>
            </w:pPr>
            <w:r>
              <w:t>Number of INR test required per year</w:t>
            </w:r>
          </w:p>
        </w:tc>
        <w:tc>
          <w:tcPr>
            <w:tcW w:w="1824" w:type="dxa"/>
          </w:tcPr>
          <w:p w14:paraId="16274273" w14:textId="3670C43D" w:rsidR="006A12D8" w:rsidRDefault="00512E22" w:rsidP="006A12D8">
            <w:pPr>
              <w:pStyle w:val="Tabletext"/>
            </w:pPr>
            <w:r>
              <w:t>20</w:t>
            </w:r>
          </w:p>
        </w:tc>
        <w:tc>
          <w:tcPr>
            <w:tcW w:w="2358" w:type="dxa"/>
          </w:tcPr>
          <w:p w14:paraId="7B2CECEC" w14:textId="683F96D4" w:rsidR="006A12D8" w:rsidRDefault="00363814" w:rsidP="006A12D8">
            <w:pPr>
              <w:pStyle w:val="Tabletext"/>
            </w:pPr>
            <w:r>
              <w:t>Deloitte Access Economics 2011</w:t>
            </w:r>
          </w:p>
        </w:tc>
      </w:tr>
      <w:tr w:rsidR="006A12D8" w14:paraId="3F65B2BB" w14:textId="77777777" w:rsidTr="006A12D8">
        <w:tc>
          <w:tcPr>
            <w:tcW w:w="549" w:type="dxa"/>
          </w:tcPr>
          <w:p w14:paraId="19890E05" w14:textId="6991CFA0" w:rsidR="006A12D8" w:rsidRDefault="00363814" w:rsidP="006A12D8">
            <w:pPr>
              <w:pStyle w:val="Tabletext"/>
            </w:pPr>
            <w:r>
              <w:t>D</w:t>
            </w:r>
          </w:p>
        </w:tc>
        <w:tc>
          <w:tcPr>
            <w:tcW w:w="3859" w:type="dxa"/>
          </w:tcPr>
          <w:p w14:paraId="39EB9B47" w14:textId="344D8FD8" w:rsidR="006A12D8" w:rsidRDefault="00512E22" w:rsidP="006A12D8">
            <w:pPr>
              <w:pStyle w:val="Tabletext"/>
            </w:pPr>
            <w:r>
              <w:t>Number of GP visits required per year</w:t>
            </w:r>
          </w:p>
        </w:tc>
        <w:tc>
          <w:tcPr>
            <w:tcW w:w="1824" w:type="dxa"/>
          </w:tcPr>
          <w:p w14:paraId="1EB0B4E2" w14:textId="7B5ED403" w:rsidR="006A12D8" w:rsidRDefault="00512E22" w:rsidP="006A12D8">
            <w:pPr>
              <w:pStyle w:val="Tabletext"/>
            </w:pPr>
            <w:r>
              <w:t>3</w:t>
            </w:r>
          </w:p>
        </w:tc>
        <w:tc>
          <w:tcPr>
            <w:tcW w:w="2358" w:type="dxa"/>
          </w:tcPr>
          <w:p w14:paraId="7C17FD84" w14:textId="5CDBE147" w:rsidR="006A12D8" w:rsidRDefault="00363814" w:rsidP="006A12D8">
            <w:pPr>
              <w:pStyle w:val="Tabletext"/>
            </w:pPr>
            <w:r w:rsidRPr="00363814">
              <w:t>MSAC application 1071</w:t>
            </w:r>
            <w:r>
              <w:t xml:space="preserve">; </w:t>
            </w:r>
            <w:r w:rsidR="00B30C2A">
              <w:t>e</w:t>
            </w:r>
            <w:r>
              <w:t>very 6</w:t>
            </w:r>
            <w:r w:rsidRPr="00363814">
              <w:rPr>
                <w:vertAlign w:val="superscript"/>
              </w:rPr>
              <w:t>th</w:t>
            </w:r>
            <w:r>
              <w:t xml:space="preserve"> test</w:t>
            </w:r>
          </w:p>
        </w:tc>
      </w:tr>
      <w:tr w:rsidR="00512E22" w14:paraId="33D5F41A" w14:textId="77777777" w:rsidTr="006A12D8">
        <w:tc>
          <w:tcPr>
            <w:tcW w:w="549" w:type="dxa"/>
          </w:tcPr>
          <w:p w14:paraId="7DC9A948" w14:textId="19D71F3E" w:rsidR="00512E22" w:rsidRDefault="00363814" w:rsidP="006A12D8">
            <w:pPr>
              <w:pStyle w:val="Tabletext"/>
            </w:pPr>
            <w:r>
              <w:t>E</w:t>
            </w:r>
          </w:p>
        </w:tc>
        <w:tc>
          <w:tcPr>
            <w:tcW w:w="3859" w:type="dxa"/>
          </w:tcPr>
          <w:p w14:paraId="3C7021F2" w14:textId="428B6940" w:rsidR="00512E22" w:rsidRDefault="00512E22" w:rsidP="006A12D8">
            <w:pPr>
              <w:pStyle w:val="Tabletext"/>
            </w:pPr>
            <w:r>
              <w:t>GP professional attendance</w:t>
            </w:r>
          </w:p>
        </w:tc>
        <w:tc>
          <w:tcPr>
            <w:tcW w:w="1824" w:type="dxa"/>
          </w:tcPr>
          <w:p w14:paraId="34D3253E" w14:textId="52862B71" w:rsidR="00512E22" w:rsidRDefault="00512E22" w:rsidP="006A12D8">
            <w:pPr>
              <w:pStyle w:val="Tabletext"/>
            </w:pPr>
            <w:r>
              <w:t>$17.50</w:t>
            </w:r>
          </w:p>
        </w:tc>
        <w:tc>
          <w:tcPr>
            <w:tcW w:w="2358" w:type="dxa"/>
          </w:tcPr>
          <w:p w14:paraId="23489DAE" w14:textId="13114F58" w:rsidR="00512E22" w:rsidRDefault="00512E22" w:rsidP="006A12D8">
            <w:pPr>
              <w:pStyle w:val="Tabletext"/>
            </w:pPr>
            <w:r>
              <w:t>MBS item 3</w:t>
            </w:r>
          </w:p>
        </w:tc>
      </w:tr>
      <w:tr w:rsidR="00813F74" w14:paraId="460E546C" w14:textId="77777777" w:rsidTr="006A12D8">
        <w:tc>
          <w:tcPr>
            <w:tcW w:w="549" w:type="dxa"/>
          </w:tcPr>
          <w:p w14:paraId="24F74C93" w14:textId="76346461" w:rsidR="00813F74" w:rsidRDefault="00363814" w:rsidP="006A12D8">
            <w:pPr>
              <w:pStyle w:val="Tabletext"/>
            </w:pPr>
            <w:r>
              <w:t>F</w:t>
            </w:r>
          </w:p>
        </w:tc>
        <w:tc>
          <w:tcPr>
            <w:tcW w:w="3859" w:type="dxa"/>
          </w:tcPr>
          <w:p w14:paraId="796ABFE4" w14:textId="7C8320AF" w:rsidR="00813F74" w:rsidRDefault="006A12D8" w:rsidP="006A12D8">
            <w:pPr>
              <w:pStyle w:val="Tabletext"/>
            </w:pPr>
            <w:r>
              <w:t>A</w:t>
            </w:r>
            <w:r w:rsidR="00813F74">
              <w:t xml:space="preserve">nnual </w:t>
            </w:r>
            <w:r>
              <w:t xml:space="preserve">cost of </w:t>
            </w:r>
            <w:r w:rsidR="00813F74">
              <w:t>monitoring</w:t>
            </w:r>
            <w:r>
              <w:t xml:space="preserve"> </w:t>
            </w:r>
          </w:p>
        </w:tc>
        <w:tc>
          <w:tcPr>
            <w:tcW w:w="1824" w:type="dxa"/>
          </w:tcPr>
          <w:p w14:paraId="0F507E00" w14:textId="3958F4EC" w:rsidR="00813F74" w:rsidRDefault="006A12D8" w:rsidP="006A12D8">
            <w:pPr>
              <w:pStyle w:val="Tabletext"/>
            </w:pPr>
            <w:r>
              <w:t>$</w:t>
            </w:r>
            <w:r w:rsidR="00363814">
              <w:t>445.5</w:t>
            </w:r>
          </w:p>
        </w:tc>
        <w:tc>
          <w:tcPr>
            <w:tcW w:w="2358" w:type="dxa"/>
          </w:tcPr>
          <w:p w14:paraId="1DFE7655" w14:textId="2C212D54" w:rsidR="00813F74" w:rsidRDefault="00363814" w:rsidP="006A12D8">
            <w:pPr>
              <w:pStyle w:val="Tabletext"/>
            </w:pPr>
            <w:r>
              <w:t>(</w:t>
            </w:r>
            <w:r w:rsidR="006A12D8">
              <w:t xml:space="preserve">A </w:t>
            </w:r>
            <w:r>
              <w:t>+</w:t>
            </w:r>
            <w:r w:rsidR="006A12D8">
              <w:t xml:space="preserve"> B</w:t>
            </w:r>
            <w:r>
              <w:t>)</w:t>
            </w:r>
            <w:r w:rsidR="006A12D8">
              <w:t xml:space="preserve"> </w:t>
            </w:r>
            <w:r>
              <w:rPr>
                <w:rFonts w:cs="Calibri"/>
              </w:rPr>
              <w:t>× C +(D</w:t>
            </w:r>
            <w:r w:rsidR="006A12D8">
              <w:t xml:space="preserve"> </w:t>
            </w:r>
            <w:r w:rsidR="006A12D8">
              <w:rPr>
                <w:rFonts w:cs="Calibri"/>
              </w:rPr>
              <w:t xml:space="preserve">× </w:t>
            </w:r>
            <w:r>
              <w:rPr>
                <w:rFonts w:cs="Calibri"/>
              </w:rPr>
              <w:t>E)</w:t>
            </w:r>
          </w:p>
        </w:tc>
      </w:tr>
      <w:bookmarkEnd w:id="26"/>
    </w:tbl>
    <w:p w14:paraId="769ADE6B" w14:textId="77777777" w:rsidR="00813F74" w:rsidRDefault="00813F74" w:rsidP="007F7701">
      <w:pPr>
        <w:ind w:left="426"/>
        <w:rPr>
          <w:b/>
          <w:szCs w:val="20"/>
        </w:rPr>
      </w:pPr>
    </w:p>
    <w:p w14:paraId="4D6997A6"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66EBA806" w14:textId="77777777" w:rsidR="001B29A1" w:rsidRDefault="001B29A1" w:rsidP="001B29A1">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0F19CE">
        <w:rPr>
          <w:szCs w:val="20"/>
        </w:rPr>
      </w:r>
      <w:r w:rsidR="000F19CE">
        <w:rPr>
          <w:szCs w:val="20"/>
        </w:rPr>
        <w:fldChar w:fldCharType="separate"/>
      </w:r>
      <w:r w:rsidRPr="00753C44">
        <w:rPr>
          <w:szCs w:val="20"/>
        </w:rPr>
        <w:fldChar w:fldCharType="end"/>
      </w:r>
      <w:r>
        <w:rPr>
          <w:szCs w:val="20"/>
        </w:rPr>
        <w:t xml:space="preserve"> </w:t>
      </w:r>
      <w:r w:rsidR="00282BE8">
        <w:rPr>
          <w:szCs w:val="20"/>
        </w:rPr>
        <w:t>In addition to (i.e. it is an add-on service)</w:t>
      </w:r>
      <w:r>
        <w:rPr>
          <w:szCs w:val="20"/>
        </w:rPr>
        <w:t xml:space="preserve"> </w:t>
      </w:r>
    </w:p>
    <w:p w14:paraId="7999DD85" w14:textId="68A720EE" w:rsidR="001B29A1" w:rsidRDefault="00A76045"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6EA743C4" w14:textId="21DFB954" w:rsidR="00A76045" w:rsidRDefault="00A76045" w:rsidP="001B29A1">
      <w:pPr>
        <w:spacing w:before="0" w:after="0"/>
        <w:ind w:left="426"/>
        <w:rPr>
          <w:szCs w:val="20"/>
        </w:rPr>
      </w:pPr>
    </w:p>
    <w:p w14:paraId="1ED5A090" w14:textId="77777777" w:rsidR="00A76045" w:rsidRDefault="00A76045" w:rsidP="001B29A1">
      <w:pPr>
        <w:spacing w:before="0" w:after="0"/>
        <w:ind w:left="426"/>
        <w:rPr>
          <w:szCs w:val="20"/>
        </w:rPr>
      </w:pPr>
    </w:p>
    <w:p w14:paraId="1ED43460" w14:textId="77777777" w:rsidR="00E70D86" w:rsidRPr="00154B00" w:rsidRDefault="00E70D86" w:rsidP="005C3AE7">
      <w:pPr>
        <w:pStyle w:val="Heading2"/>
        <w:numPr>
          <w:ilvl w:val="0"/>
          <w:numId w:val="30"/>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01342B46" w14:textId="75BC5649" w:rsidR="00A54989" w:rsidRDefault="00A54989" w:rsidP="00A54989">
      <w:pPr>
        <w:ind w:left="360"/>
        <w:rPr>
          <w:szCs w:val="20"/>
        </w:rPr>
      </w:pPr>
      <w:r w:rsidRPr="00A54989">
        <w:rPr>
          <w:szCs w:val="20"/>
        </w:rPr>
        <w:t xml:space="preserve">Clinicians must weigh up the risks and benefits of administrating OAT to NAVF patients with high risk of stroke, especially where there are few alternative therapies for prevention of thromboembolism. Thus, use of warfarin and NOACs remains high in NVAF patients with relative or absolute contraindications to OAT as has been reported in O’Brien et al., (2014), in which 30.3% of patients with OAT contraindications were taking warfarin or dabigatran and Steinberg et al., (2017), in which approximately 55% of AF patients with a high risk of bleeding used warfarin. </w:t>
      </w:r>
      <w:r w:rsidR="001D49DB">
        <w:rPr>
          <w:szCs w:val="20"/>
        </w:rPr>
        <w:t>I</w:t>
      </w:r>
      <w:r w:rsidRPr="00A54989">
        <w:rPr>
          <w:szCs w:val="20"/>
        </w:rPr>
        <w:t xml:space="preserve">t is expected that among NVAF patients with </w:t>
      </w:r>
      <w:r w:rsidR="003B5C70">
        <w:rPr>
          <w:szCs w:val="20"/>
        </w:rPr>
        <w:t xml:space="preserve">relative </w:t>
      </w:r>
      <w:r w:rsidRPr="00A54989">
        <w:rPr>
          <w:szCs w:val="20"/>
        </w:rPr>
        <w:t xml:space="preserve">OAT contraindications, there will be </w:t>
      </w:r>
      <w:r w:rsidR="001D49DB">
        <w:rPr>
          <w:szCs w:val="20"/>
        </w:rPr>
        <w:t>moderate</w:t>
      </w:r>
      <w:r w:rsidR="001D49DB" w:rsidRPr="00A54989">
        <w:rPr>
          <w:szCs w:val="20"/>
        </w:rPr>
        <w:t xml:space="preserve"> </w:t>
      </w:r>
      <w:r w:rsidRPr="00A54989">
        <w:rPr>
          <w:szCs w:val="20"/>
        </w:rPr>
        <w:t>substitution of OAT</w:t>
      </w:r>
      <w:r w:rsidR="00625434">
        <w:rPr>
          <w:szCs w:val="20"/>
        </w:rPr>
        <w:t xml:space="preserve"> </w:t>
      </w:r>
      <w:r w:rsidRPr="00A54989">
        <w:rPr>
          <w:szCs w:val="20"/>
        </w:rPr>
        <w:t>including warfarin and NOAC in the long term</w:t>
      </w:r>
      <w:r w:rsidR="001D49DB">
        <w:rPr>
          <w:szCs w:val="20"/>
        </w:rPr>
        <w:t xml:space="preserve"> (life-time treatment)</w:t>
      </w:r>
      <w:r w:rsidRPr="00A54989">
        <w:rPr>
          <w:szCs w:val="20"/>
        </w:rPr>
        <w:t xml:space="preserve">. </w:t>
      </w:r>
      <w:r>
        <w:rPr>
          <w:szCs w:val="20"/>
        </w:rPr>
        <w:t xml:space="preserve">The superior safety and effectiveness of LAAC versus OAT in </w:t>
      </w:r>
      <w:r>
        <w:rPr>
          <w:szCs w:val="20"/>
        </w:rPr>
        <w:lastRenderedPageBreak/>
        <w:t xml:space="preserve">these patients support </w:t>
      </w:r>
      <w:r w:rsidR="001D49DB">
        <w:rPr>
          <w:szCs w:val="20"/>
        </w:rPr>
        <w:t xml:space="preserve">moderate </w:t>
      </w:r>
      <w:r>
        <w:rPr>
          <w:szCs w:val="20"/>
        </w:rPr>
        <w:t>rates of substitution (Reddy et al 2017).</w:t>
      </w:r>
      <w:r w:rsidRPr="00A54989">
        <w:rPr>
          <w:szCs w:val="20"/>
        </w:rPr>
        <w:t xml:space="preserve"> </w:t>
      </w:r>
    </w:p>
    <w:p w14:paraId="33CBAA67" w14:textId="1AA32E4E" w:rsidR="00A54989" w:rsidRPr="00A54989" w:rsidRDefault="00A54989" w:rsidP="00A54989">
      <w:pPr>
        <w:ind w:left="360"/>
        <w:rPr>
          <w:szCs w:val="20"/>
        </w:rPr>
      </w:pPr>
      <w:r>
        <w:rPr>
          <w:szCs w:val="20"/>
        </w:rPr>
        <w:t>I</w:t>
      </w:r>
      <w:r w:rsidRPr="00A54989">
        <w:rPr>
          <w:szCs w:val="20"/>
        </w:rPr>
        <w:t>t should be noted that postoperatively a proportion of patients would be administered a form of OAT for a period of time up to 12 months post-implant.</w:t>
      </w:r>
    </w:p>
    <w:p w14:paraId="2521D5C4"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1E127A93" w14:textId="7B36706A" w:rsidR="0054594B" w:rsidRDefault="00D651C3" w:rsidP="00D10B47">
      <w:pPr>
        <w:pStyle w:val="ListParagraph"/>
        <w:ind w:left="360"/>
      </w:pPr>
      <w:r>
        <w:t xml:space="preserve">Listing LAAC for the proposed patients with relative contraindications to OAT provides patients and physicians with a ‘one procedure’ treatment alternative to NOACs and warfarin. The main differences in terms of health care resources from the point of service in using LAAC rather than NOACs and warfarin, as illustrated in </w:t>
      </w:r>
      <w:r>
        <w:fldChar w:fldCharType="begin"/>
      </w:r>
      <w:r>
        <w:instrText xml:space="preserve"> REF _Ref23164752 \h </w:instrText>
      </w:r>
      <w:r>
        <w:fldChar w:fldCharType="separate"/>
      </w:r>
      <w:r w:rsidR="004E2E17">
        <w:t xml:space="preserve">Figure </w:t>
      </w:r>
      <w:r w:rsidR="004E2E17">
        <w:rPr>
          <w:noProof/>
        </w:rPr>
        <w:t>7</w:t>
      </w:r>
      <w:r>
        <w:fldChar w:fldCharType="end"/>
      </w:r>
      <w:r>
        <w:t>, include:</w:t>
      </w:r>
    </w:p>
    <w:p w14:paraId="48203DDB" w14:textId="6DD40FC5" w:rsidR="00D651C3" w:rsidRPr="00D651C3" w:rsidRDefault="00D651C3" w:rsidP="00D651C3">
      <w:pPr>
        <w:pStyle w:val="ListParagraph"/>
        <w:numPr>
          <w:ilvl w:val="0"/>
          <w:numId w:val="43"/>
        </w:numPr>
        <w:rPr>
          <w:bCs/>
          <w:szCs w:val="20"/>
        </w:rPr>
      </w:pPr>
      <w:r w:rsidRPr="00D651C3">
        <w:rPr>
          <w:bCs/>
          <w:szCs w:val="20"/>
        </w:rPr>
        <w:t>Monitoring of adherence is not required</w:t>
      </w:r>
      <w:r w:rsidR="00380E93">
        <w:rPr>
          <w:bCs/>
          <w:szCs w:val="20"/>
        </w:rPr>
        <w:t xml:space="preserve">. NOACs and warfarin require long term treatment, with effectiveness dependent on adherence. In contrast, LAAC is a once off procedure, thus effectiveness is not dependent on compliance. </w:t>
      </w:r>
    </w:p>
    <w:p w14:paraId="7472057E" w14:textId="1AD003C4" w:rsidR="00D651C3" w:rsidRPr="00D651C3" w:rsidRDefault="00D651C3" w:rsidP="00D651C3">
      <w:pPr>
        <w:pStyle w:val="ListParagraph"/>
        <w:numPr>
          <w:ilvl w:val="0"/>
          <w:numId w:val="43"/>
        </w:numPr>
        <w:rPr>
          <w:bCs/>
          <w:szCs w:val="20"/>
        </w:rPr>
      </w:pPr>
      <w:r w:rsidRPr="00D651C3">
        <w:rPr>
          <w:bCs/>
          <w:szCs w:val="20"/>
        </w:rPr>
        <w:t>Monitoring of INR is not required</w:t>
      </w:r>
      <w:r w:rsidR="00380E93">
        <w:rPr>
          <w:bCs/>
          <w:szCs w:val="20"/>
        </w:rPr>
        <w:t xml:space="preserve">. Regular, ongoing INR monitoring is relevant to all patients prescribed warfarin to ensure adequate coagulation whilst balancing the risk of bleeding. Monitoring will continue for as long as the patient is treated with warfarin. </w:t>
      </w:r>
    </w:p>
    <w:p w14:paraId="192DF882" w14:textId="3EAC0D03" w:rsidR="00D651C3" w:rsidRDefault="00D651C3" w:rsidP="00D651C3">
      <w:pPr>
        <w:pStyle w:val="ListParagraph"/>
        <w:numPr>
          <w:ilvl w:val="0"/>
          <w:numId w:val="43"/>
        </w:numPr>
        <w:rPr>
          <w:bCs/>
          <w:szCs w:val="20"/>
        </w:rPr>
      </w:pPr>
      <w:r w:rsidRPr="00D651C3">
        <w:rPr>
          <w:bCs/>
          <w:szCs w:val="20"/>
        </w:rPr>
        <w:t>Reduction in major bleeding events and improved survival</w:t>
      </w:r>
      <w:r>
        <w:rPr>
          <w:bCs/>
          <w:szCs w:val="20"/>
        </w:rPr>
        <w:t xml:space="preserve"> </w:t>
      </w:r>
      <w:r w:rsidR="00380E93">
        <w:rPr>
          <w:bCs/>
          <w:szCs w:val="20"/>
        </w:rPr>
        <w:t xml:space="preserve">with LAAC relative to OAT </w:t>
      </w:r>
      <w:r w:rsidRPr="00D651C3">
        <w:rPr>
          <w:bCs/>
          <w:szCs w:val="20"/>
        </w:rPr>
        <w:t>(Reddy et al 2017</w:t>
      </w:r>
      <w:r w:rsidR="00380E93">
        <w:rPr>
          <w:bCs/>
          <w:szCs w:val="20"/>
        </w:rPr>
        <w:t>), thus providing superior outcomes to patients.</w:t>
      </w:r>
    </w:p>
    <w:p w14:paraId="697C06AD" w14:textId="14C52832" w:rsidR="003B5C70" w:rsidRPr="00D651C3" w:rsidRDefault="003B5C70" w:rsidP="00D651C3">
      <w:pPr>
        <w:pStyle w:val="ListParagraph"/>
        <w:numPr>
          <w:ilvl w:val="0"/>
          <w:numId w:val="43"/>
        </w:numPr>
        <w:rPr>
          <w:bCs/>
          <w:szCs w:val="20"/>
        </w:rPr>
      </w:pPr>
      <w:r>
        <w:rPr>
          <w:bCs/>
          <w:szCs w:val="20"/>
        </w:rPr>
        <w:t xml:space="preserve">Patients undergoing LAAC have the potential </w:t>
      </w:r>
      <w:r w:rsidR="00180162">
        <w:rPr>
          <w:bCs/>
          <w:szCs w:val="20"/>
        </w:rPr>
        <w:t>of experiencing</w:t>
      </w:r>
      <w:r>
        <w:rPr>
          <w:bCs/>
          <w:szCs w:val="20"/>
        </w:rPr>
        <w:t xml:space="preserve"> procedural</w:t>
      </w:r>
      <w:r w:rsidR="00180162">
        <w:rPr>
          <w:bCs/>
          <w:szCs w:val="20"/>
        </w:rPr>
        <w:t xml:space="preserve"> complications such as procedure related cardiac perforation or pericardial tamponade. However, based on the key clinical evidence, the rates of procedure related events are </w:t>
      </w:r>
      <w:r w:rsidR="002E2626">
        <w:rPr>
          <w:bCs/>
          <w:szCs w:val="20"/>
        </w:rPr>
        <w:t xml:space="preserve">relatively </w:t>
      </w:r>
      <w:r w:rsidR="00180162">
        <w:rPr>
          <w:bCs/>
          <w:szCs w:val="20"/>
        </w:rPr>
        <w:t>low</w:t>
      </w:r>
      <w:r w:rsidR="007815DB">
        <w:rPr>
          <w:bCs/>
          <w:szCs w:val="20"/>
        </w:rPr>
        <w:t>.</w:t>
      </w:r>
    </w:p>
    <w:p w14:paraId="45F51FFC" w14:textId="4E145711" w:rsidR="002053F2" w:rsidRDefault="002053F2" w:rsidP="00D10B47">
      <w:pPr>
        <w:pStyle w:val="ListParagraph"/>
        <w:ind w:left="360"/>
        <w:rPr>
          <w:bCs/>
          <w:szCs w:val="20"/>
        </w:rPr>
      </w:pPr>
    </w:p>
    <w:p w14:paraId="7D5CFBEB" w14:textId="7A252221" w:rsidR="00A51635" w:rsidRPr="00D651C3" w:rsidRDefault="00A51635" w:rsidP="00D10B47">
      <w:pPr>
        <w:pStyle w:val="ListParagraph"/>
        <w:ind w:left="360"/>
        <w:rPr>
          <w:bCs/>
          <w:szCs w:val="20"/>
        </w:rPr>
      </w:pPr>
      <w:r>
        <w:rPr>
          <w:bCs/>
          <w:szCs w:val="20"/>
        </w:rPr>
        <w:t xml:space="preserve">The resources required for the LAAC procedure itself are provided in Q51. </w:t>
      </w:r>
    </w:p>
    <w:p w14:paraId="7B496992" w14:textId="50B0DE3F" w:rsidR="00D551EB" w:rsidRDefault="00D651C3" w:rsidP="00D10B47">
      <w:pPr>
        <w:pStyle w:val="ListParagraph"/>
        <w:ind w:left="360"/>
        <w:rPr>
          <w:b/>
          <w:szCs w:val="20"/>
        </w:rPr>
      </w:pPr>
      <w:r>
        <w:rPr>
          <w:b/>
          <w:noProof/>
          <w:szCs w:val="20"/>
          <w:lang w:eastAsia="en-AU"/>
        </w:rPr>
        <w:lastRenderedPageBreak/>
        <w:drawing>
          <wp:inline distT="0" distB="0" distL="0" distR="0" wp14:anchorId="78D2FE14" wp14:editId="1E600F07">
            <wp:extent cx="3886200" cy="4171950"/>
            <wp:effectExtent l="0" t="0" r="0" b="0"/>
            <wp:docPr id="12" name="Picture 12" descr="Flow char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4171950"/>
                    </a:xfrm>
                    <a:prstGeom prst="rect">
                      <a:avLst/>
                    </a:prstGeom>
                    <a:noFill/>
                    <a:ln>
                      <a:noFill/>
                    </a:ln>
                  </pic:spPr>
                </pic:pic>
              </a:graphicData>
            </a:graphic>
          </wp:inline>
        </w:drawing>
      </w:r>
    </w:p>
    <w:p w14:paraId="788CFEA5" w14:textId="630E04C4" w:rsidR="00D551EB" w:rsidRDefault="00D651C3" w:rsidP="00D651C3">
      <w:pPr>
        <w:pStyle w:val="Caption"/>
        <w:rPr>
          <w:b/>
          <w:szCs w:val="20"/>
        </w:rPr>
      </w:pPr>
      <w:bookmarkStart w:id="27" w:name="_Ref23164752"/>
      <w:r>
        <w:t xml:space="preserve">Figure </w:t>
      </w:r>
      <w:fldSimple w:instr=" SEQ Figure \* ARABIC ">
        <w:r w:rsidR="004E2E17">
          <w:rPr>
            <w:noProof/>
          </w:rPr>
          <w:t>7</w:t>
        </w:r>
      </w:fldSimple>
      <w:bookmarkEnd w:id="27"/>
      <w:r>
        <w:tab/>
      </w:r>
      <w:r>
        <w:tab/>
        <w:t>Proposed management pathway from the point of receiving the comparators</w:t>
      </w:r>
      <w:r w:rsidR="00380E93">
        <w:t xml:space="preserve"> and proposed service</w:t>
      </w:r>
    </w:p>
    <w:p w14:paraId="52DB6EE8" w14:textId="04143F0E" w:rsidR="00D551EB" w:rsidRDefault="00380E93" w:rsidP="00380E93">
      <w:pPr>
        <w:pStyle w:val="TableNote"/>
      </w:pPr>
      <w:r>
        <w:t>INR=international normalised ratio; OAT=oral anticoagulant therapy; LAAC=left atrial appendage closure; MBS=Medicare Benefits Schedule; NOACs=</w:t>
      </w:r>
      <w:r w:rsidRPr="00E253AB">
        <w:t>non-vitamin K antagonist oral anticoagulants</w:t>
      </w:r>
      <w:r>
        <w:t xml:space="preserve">. </w:t>
      </w:r>
    </w:p>
    <w:p w14:paraId="17C3B363" w14:textId="216A116E" w:rsidR="00380E93" w:rsidRPr="00380E93" w:rsidRDefault="00380E93" w:rsidP="00380E93">
      <w:pPr>
        <w:pStyle w:val="TableNote"/>
      </w:pPr>
      <w:r>
        <w:t xml:space="preserve">Proposed service is marked in green n the algorithm. </w:t>
      </w:r>
    </w:p>
    <w:p w14:paraId="67D8E46E" w14:textId="77777777" w:rsidR="001B29A1" w:rsidRDefault="001B29A1" w:rsidP="00881F93">
      <w:pPr>
        <w:rPr>
          <w:b/>
          <w:i/>
          <w:szCs w:val="20"/>
          <w:u w:val="single"/>
        </w:rPr>
      </w:pPr>
      <w:r>
        <w:rPr>
          <w:b/>
          <w:i/>
          <w:szCs w:val="20"/>
          <w:u w:val="single"/>
        </w:rPr>
        <w:br w:type="page"/>
      </w:r>
    </w:p>
    <w:p w14:paraId="06C040A8"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187D27B4"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1468E07C" w14:textId="51A1002F" w:rsidR="004E3CC7" w:rsidRPr="00154B00" w:rsidRDefault="00380E93" w:rsidP="001B29A1">
      <w:pPr>
        <w:ind w:left="426"/>
        <w:rPr>
          <w:szCs w:val="20"/>
        </w:rPr>
      </w:pPr>
      <w:r>
        <w:t>Relative to the comparators, NOACs and warfarin, LAAC is associated with superior safety (in terms of bleeding) and superior effectiveness</w:t>
      </w:r>
      <w:r w:rsidR="007815DB">
        <w:t xml:space="preserve"> in terms of cardiovascular mortality</w:t>
      </w:r>
      <w:r>
        <w:t xml:space="preserve">. </w:t>
      </w:r>
    </w:p>
    <w:p w14:paraId="1678C273"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31C8819B" w14:textId="59F46899" w:rsidR="001B29A1" w:rsidRPr="001B29A1" w:rsidRDefault="00380E93"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0F19CE">
        <w:rPr>
          <w:szCs w:val="20"/>
        </w:rPr>
      </w:r>
      <w:r w:rsidR="000F19CE">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7420EA40"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0F19CE">
        <w:rPr>
          <w:szCs w:val="20"/>
        </w:rPr>
      </w:r>
      <w:r w:rsidR="000F19CE">
        <w:rPr>
          <w:szCs w:val="20"/>
        </w:rPr>
        <w:fldChar w:fldCharType="separate"/>
      </w:r>
      <w:r w:rsidRPr="001B29A1">
        <w:rPr>
          <w:szCs w:val="20"/>
        </w:rPr>
        <w:fldChar w:fldCharType="end"/>
      </w:r>
      <w:r w:rsidRPr="001B29A1">
        <w:rPr>
          <w:szCs w:val="20"/>
        </w:rPr>
        <w:t xml:space="preserve"> Non-inferiority</w:t>
      </w:r>
      <w:r w:rsidRPr="001B29A1">
        <w:rPr>
          <w:szCs w:val="20"/>
        </w:rPr>
        <w:tab/>
      </w:r>
    </w:p>
    <w:p w14:paraId="2DC79C60"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5DC6E3EB" w14:textId="66BBCB5A" w:rsidR="001B29A1"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32228E6E" w14:textId="7FB3E21E" w:rsidR="001B29A1" w:rsidRPr="003C291F" w:rsidRDefault="008B5667" w:rsidP="001B29A1">
      <w:pPr>
        <w:pBdr>
          <w:top w:val="single" w:sz="4" w:space="1" w:color="auto"/>
          <w:left w:val="single" w:sz="4" w:space="4" w:color="auto"/>
          <w:bottom w:val="single" w:sz="4" w:space="1" w:color="auto"/>
          <w:right w:val="single" w:sz="4" w:space="4" w:color="auto"/>
        </w:pBdr>
        <w:rPr>
          <w:szCs w:val="20"/>
        </w:rPr>
      </w:pPr>
      <w:r w:rsidRPr="003C291F">
        <w:rPr>
          <w:szCs w:val="20"/>
        </w:rPr>
        <w:t>Major bleeding events</w:t>
      </w:r>
      <w:r w:rsidR="003C291F">
        <w:rPr>
          <w:szCs w:val="20"/>
        </w:rPr>
        <w:t xml:space="preserve"> (procedural and post-procedural)</w:t>
      </w:r>
    </w:p>
    <w:p w14:paraId="6402BF59" w14:textId="0FEAB35E" w:rsidR="003C291F" w:rsidRDefault="003C291F" w:rsidP="001B29A1">
      <w:pPr>
        <w:pBdr>
          <w:top w:val="single" w:sz="4" w:space="1" w:color="auto"/>
          <w:left w:val="single" w:sz="4" w:space="4" w:color="auto"/>
          <w:bottom w:val="single" w:sz="4" w:space="1" w:color="auto"/>
          <w:right w:val="single" w:sz="4" w:space="4" w:color="auto"/>
        </w:pBdr>
        <w:rPr>
          <w:szCs w:val="20"/>
        </w:rPr>
      </w:pPr>
      <w:r>
        <w:rPr>
          <w:szCs w:val="20"/>
        </w:rPr>
        <w:t>Procedural a</w:t>
      </w:r>
      <w:r w:rsidR="008B5667" w:rsidRPr="003C291F">
        <w:rPr>
          <w:szCs w:val="20"/>
        </w:rPr>
        <w:t xml:space="preserve">dverse </w:t>
      </w:r>
      <w:r w:rsidRPr="003C291F">
        <w:rPr>
          <w:szCs w:val="20"/>
        </w:rPr>
        <w:t>events</w:t>
      </w:r>
      <w:r>
        <w:rPr>
          <w:szCs w:val="20"/>
        </w:rPr>
        <w:t xml:space="preserve"> with LAAC</w:t>
      </w:r>
    </w:p>
    <w:p w14:paraId="23E5048D" w14:textId="65E2F363" w:rsidR="008B5667" w:rsidRPr="003C291F" w:rsidRDefault="003C291F" w:rsidP="001B29A1">
      <w:pPr>
        <w:pBdr>
          <w:top w:val="single" w:sz="4" w:space="1" w:color="auto"/>
          <w:left w:val="single" w:sz="4" w:space="4" w:color="auto"/>
          <w:bottom w:val="single" w:sz="4" w:space="1" w:color="auto"/>
          <w:right w:val="single" w:sz="4" w:space="4" w:color="auto"/>
        </w:pBdr>
        <w:rPr>
          <w:szCs w:val="20"/>
        </w:rPr>
      </w:pPr>
      <w:r>
        <w:rPr>
          <w:szCs w:val="20"/>
        </w:rPr>
        <w:t xml:space="preserve">Post procedural adverse events with LAAC vs comparators </w:t>
      </w:r>
    </w:p>
    <w:p w14:paraId="19835EE7" w14:textId="77777777" w:rsidR="008B5667" w:rsidRPr="001B29A1" w:rsidRDefault="008B5667" w:rsidP="001B29A1">
      <w:pPr>
        <w:pBdr>
          <w:top w:val="single" w:sz="4" w:space="1" w:color="auto"/>
          <w:left w:val="single" w:sz="4" w:space="4" w:color="auto"/>
          <w:bottom w:val="single" w:sz="4" w:space="1" w:color="auto"/>
          <w:right w:val="single" w:sz="4" w:space="4" w:color="auto"/>
        </w:pBdr>
        <w:rPr>
          <w:b/>
          <w:szCs w:val="20"/>
        </w:rPr>
      </w:pPr>
    </w:p>
    <w:p w14:paraId="72BEE68D" w14:textId="321D9C25" w:rsidR="00B25D20" w:rsidRDefault="001B29A1" w:rsidP="001B29A1">
      <w:pPr>
        <w:pBdr>
          <w:top w:val="single" w:sz="4" w:space="1" w:color="auto"/>
          <w:left w:val="single" w:sz="4" w:space="4" w:color="auto"/>
          <w:bottom w:val="single" w:sz="4" w:space="1" w:color="auto"/>
          <w:right w:val="single" w:sz="4" w:space="4" w:color="auto"/>
        </w:pBdr>
      </w:pPr>
      <w:r w:rsidRPr="001B29A1">
        <w:rPr>
          <w:b/>
          <w:szCs w:val="20"/>
        </w:rPr>
        <w:t>Clinical Effectiveness Outcomes</w:t>
      </w:r>
      <w:r>
        <w:rPr>
          <w:b/>
          <w:szCs w:val="20"/>
        </w:rPr>
        <w:t xml:space="preserve">: </w:t>
      </w:r>
    </w:p>
    <w:p w14:paraId="6C6D79B6" w14:textId="77777777" w:rsidR="008B5667" w:rsidRPr="008B5667" w:rsidRDefault="008B5667" w:rsidP="008B5667">
      <w:pPr>
        <w:pBdr>
          <w:top w:val="single" w:sz="4" w:space="1" w:color="auto"/>
          <w:left w:val="single" w:sz="4" w:space="4" w:color="auto"/>
          <w:bottom w:val="single" w:sz="4" w:space="1" w:color="auto"/>
          <w:right w:val="single" w:sz="4" w:space="4" w:color="auto"/>
        </w:pBdr>
        <w:rPr>
          <w:szCs w:val="20"/>
        </w:rPr>
      </w:pPr>
      <w:r w:rsidRPr="008B5667">
        <w:rPr>
          <w:szCs w:val="20"/>
        </w:rPr>
        <w:t>Effectiveness outcomes to be measured include:</w:t>
      </w:r>
    </w:p>
    <w:p w14:paraId="3EE33A7F" w14:textId="77777777" w:rsidR="008B5667" w:rsidRPr="008B5667" w:rsidRDefault="008B5667" w:rsidP="008B5667">
      <w:pPr>
        <w:pBdr>
          <w:top w:val="single" w:sz="4" w:space="1" w:color="auto"/>
          <w:left w:val="single" w:sz="4" w:space="4" w:color="auto"/>
          <w:bottom w:val="single" w:sz="4" w:space="1" w:color="auto"/>
          <w:right w:val="single" w:sz="4" w:space="4" w:color="auto"/>
        </w:pBdr>
        <w:rPr>
          <w:szCs w:val="20"/>
          <w:u w:val="single"/>
        </w:rPr>
      </w:pPr>
      <w:r w:rsidRPr="008B5667">
        <w:rPr>
          <w:szCs w:val="20"/>
          <w:u w:val="single"/>
        </w:rPr>
        <w:t>Primary effectiveness</w:t>
      </w:r>
    </w:p>
    <w:p w14:paraId="2E47EBE3" w14:textId="1EAD92D9" w:rsidR="008B5667" w:rsidRPr="008B5667" w:rsidRDefault="008B5667" w:rsidP="008B5667">
      <w:pPr>
        <w:pBdr>
          <w:top w:val="single" w:sz="4" w:space="1" w:color="auto"/>
          <w:left w:val="single" w:sz="4" w:space="4" w:color="auto"/>
          <w:bottom w:val="single" w:sz="4" w:space="1" w:color="auto"/>
          <w:right w:val="single" w:sz="4" w:space="4" w:color="auto"/>
        </w:pBdr>
        <w:ind w:firstLine="284"/>
        <w:rPr>
          <w:szCs w:val="20"/>
        </w:rPr>
      </w:pPr>
      <w:r w:rsidRPr="008B5667">
        <w:rPr>
          <w:szCs w:val="20"/>
        </w:rPr>
        <w:t>Stroke rate (ischaemic stroke and haemorrhagic stroke)</w:t>
      </w:r>
    </w:p>
    <w:p w14:paraId="288AB901" w14:textId="5B5791D1" w:rsidR="008B5667" w:rsidRDefault="008B5667" w:rsidP="008B5667">
      <w:pPr>
        <w:pBdr>
          <w:top w:val="single" w:sz="4" w:space="1" w:color="auto"/>
          <w:left w:val="single" w:sz="4" w:space="4" w:color="auto"/>
          <w:bottom w:val="single" w:sz="4" w:space="1" w:color="auto"/>
          <w:right w:val="single" w:sz="4" w:space="4" w:color="auto"/>
        </w:pBdr>
        <w:ind w:firstLine="284"/>
        <w:rPr>
          <w:szCs w:val="20"/>
        </w:rPr>
      </w:pPr>
      <w:r w:rsidRPr="008B5667">
        <w:rPr>
          <w:szCs w:val="20"/>
        </w:rPr>
        <w:t xml:space="preserve">All-cause mortality </w:t>
      </w:r>
    </w:p>
    <w:p w14:paraId="3AC4CC73" w14:textId="3663AA58" w:rsidR="008B5667" w:rsidRPr="008B5667" w:rsidRDefault="008B5667" w:rsidP="008B5667">
      <w:pPr>
        <w:pBdr>
          <w:top w:val="single" w:sz="4" w:space="1" w:color="auto"/>
          <w:left w:val="single" w:sz="4" w:space="4" w:color="auto"/>
          <w:bottom w:val="single" w:sz="4" w:space="1" w:color="auto"/>
          <w:right w:val="single" w:sz="4" w:space="4" w:color="auto"/>
        </w:pBdr>
        <w:ind w:firstLine="284"/>
        <w:rPr>
          <w:szCs w:val="20"/>
        </w:rPr>
      </w:pPr>
      <w:r>
        <w:rPr>
          <w:szCs w:val="20"/>
        </w:rPr>
        <w:t>Cardiovascular mortality</w:t>
      </w:r>
    </w:p>
    <w:p w14:paraId="2F4401F9" w14:textId="16C4591A" w:rsidR="008B5667" w:rsidRPr="008B5667" w:rsidRDefault="008B5667" w:rsidP="008B5667">
      <w:pPr>
        <w:pBdr>
          <w:top w:val="single" w:sz="4" w:space="1" w:color="auto"/>
          <w:left w:val="single" w:sz="4" w:space="4" w:color="auto"/>
          <w:bottom w:val="single" w:sz="4" w:space="1" w:color="auto"/>
          <w:right w:val="single" w:sz="4" w:space="4" w:color="auto"/>
        </w:pBdr>
        <w:ind w:firstLine="284"/>
        <w:rPr>
          <w:szCs w:val="20"/>
        </w:rPr>
      </w:pPr>
      <w:r w:rsidRPr="008B5667">
        <w:rPr>
          <w:szCs w:val="20"/>
        </w:rPr>
        <w:t>Health-related quality of life (HRQoL)</w:t>
      </w:r>
    </w:p>
    <w:p w14:paraId="5F0C7995" w14:textId="77777777" w:rsidR="008B5667" w:rsidRPr="008B5667" w:rsidRDefault="008B5667" w:rsidP="008B5667">
      <w:pPr>
        <w:pBdr>
          <w:top w:val="single" w:sz="4" w:space="1" w:color="auto"/>
          <w:left w:val="single" w:sz="4" w:space="4" w:color="auto"/>
          <w:bottom w:val="single" w:sz="4" w:space="1" w:color="auto"/>
          <w:right w:val="single" w:sz="4" w:space="4" w:color="auto"/>
        </w:pBdr>
        <w:rPr>
          <w:szCs w:val="20"/>
          <w:u w:val="single"/>
        </w:rPr>
      </w:pPr>
      <w:r w:rsidRPr="008B5667">
        <w:rPr>
          <w:szCs w:val="20"/>
          <w:u w:val="single"/>
        </w:rPr>
        <w:t>Secondary effectiveness</w:t>
      </w:r>
    </w:p>
    <w:p w14:paraId="34FC1447" w14:textId="7552F45E" w:rsidR="008B5667" w:rsidRPr="001B29A1" w:rsidRDefault="008B5667" w:rsidP="008B5667">
      <w:pPr>
        <w:pBdr>
          <w:top w:val="single" w:sz="4" w:space="1" w:color="auto"/>
          <w:left w:val="single" w:sz="4" w:space="4" w:color="auto"/>
          <w:bottom w:val="single" w:sz="4" w:space="1" w:color="auto"/>
          <w:right w:val="single" w:sz="4" w:space="4" w:color="auto"/>
        </w:pBdr>
        <w:ind w:firstLine="284"/>
        <w:rPr>
          <w:szCs w:val="20"/>
        </w:rPr>
      </w:pPr>
      <w:r w:rsidRPr="008B5667">
        <w:rPr>
          <w:szCs w:val="20"/>
        </w:rPr>
        <w:t>Procedure success i.e. successful transcatheter occlusion of LAA</w:t>
      </w:r>
    </w:p>
    <w:p w14:paraId="209FB233" w14:textId="77777777" w:rsidR="001B29A1" w:rsidRPr="00154B00" w:rsidRDefault="001B29A1" w:rsidP="001B29A1">
      <w:pPr>
        <w:pBdr>
          <w:top w:val="single" w:sz="4" w:space="1" w:color="auto"/>
          <w:left w:val="single" w:sz="4" w:space="4" w:color="auto"/>
          <w:bottom w:val="single" w:sz="4" w:space="1" w:color="auto"/>
          <w:right w:val="single" w:sz="4" w:space="4" w:color="auto"/>
        </w:pBdr>
        <w:rPr>
          <w:b/>
          <w:szCs w:val="20"/>
        </w:rPr>
      </w:pPr>
    </w:p>
    <w:p w14:paraId="2984157C"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4B391069"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4F4970B7" w14:textId="50C1F7CC" w:rsidR="0005702C" w:rsidRDefault="0005702C" w:rsidP="0005702C">
      <w:pPr>
        <w:ind w:left="426"/>
      </w:pPr>
      <w:r>
        <w:t xml:space="preserve">The LAAC procedure (MBS item number: </w:t>
      </w:r>
      <w:r w:rsidRPr="00C43AC2">
        <w:t>38276</w:t>
      </w:r>
      <w:r>
        <w:t xml:space="preserve">) was listed on the MBS in </w:t>
      </w:r>
      <w:r w:rsidR="00AF407E">
        <w:t xml:space="preserve">November </w:t>
      </w:r>
      <w:r>
        <w:t xml:space="preserve">2017. The number of reimbursed MBS </w:t>
      </w:r>
      <w:r w:rsidR="00AF407E">
        <w:t xml:space="preserve">services </w:t>
      </w:r>
      <w:r>
        <w:t xml:space="preserve">for the LAAC procedure </w:t>
      </w:r>
      <w:r w:rsidR="00AF407E">
        <w:t xml:space="preserve">over time </w:t>
      </w:r>
      <w:r>
        <w:t xml:space="preserve">since its listing is </w:t>
      </w:r>
      <w:r w:rsidR="00AF407E">
        <w:t xml:space="preserve">provided </w:t>
      </w:r>
      <w:r>
        <w:t xml:space="preserve">in </w:t>
      </w:r>
      <w:r>
        <w:fldChar w:fldCharType="begin"/>
      </w:r>
      <w:r>
        <w:instrText xml:space="preserve"> REF _Ref23170685 \h </w:instrText>
      </w:r>
      <w:r>
        <w:fldChar w:fldCharType="separate"/>
      </w:r>
      <w:r w:rsidR="004E2E17">
        <w:t xml:space="preserve">Figure </w:t>
      </w:r>
      <w:r w:rsidR="004E2E17">
        <w:rPr>
          <w:noProof/>
        </w:rPr>
        <w:t>8</w:t>
      </w:r>
      <w:r>
        <w:fldChar w:fldCharType="end"/>
      </w:r>
      <w:r>
        <w:t xml:space="preserve">. There was rapid uptake of the LAAC procedure in the first 4 months of listing after which the LAAC market entered a period of stabilised growth. </w:t>
      </w:r>
      <w:r w:rsidR="00AF407E">
        <w:t>Four</w:t>
      </w:r>
      <w:r w:rsidR="00EE04CD">
        <w:t xml:space="preserve"> </w:t>
      </w:r>
      <w:r w:rsidR="00AF407E">
        <w:t xml:space="preserve">hundred and twenty-one </w:t>
      </w:r>
      <w:r>
        <w:t xml:space="preserve">LAAC procedures have been reimbursed by the MBS between September 2018 and August 2019. </w:t>
      </w:r>
      <w:r w:rsidRPr="002126C6">
        <w:t xml:space="preserve">It is estimated that in the second year of listing approximately </w:t>
      </w:r>
      <w:r>
        <w:t>500</w:t>
      </w:r>
      <w:r w:rsidRPr="002126C6">
        <w:t xml:space="preserve"> LAAC procedures</w:t>
      </w:r>
      <w:r>
        <w:t xml:space="preserve"> will be reimbursed by the MBS and remain relatively stable in subsequent years.</w:t>
      </w:r>
    </w:p>
    <w:p w14:paraId="4F75F1E6" w14:textId="77777777" w:rsidR="0005702C" w:rsidRDefault="0005702C" w:rsidP="0005702C">
      <w:pPr>
        <w:keepNext/>
        <w:ind w:left="426"/>
      </w:pPr>
      <w:r>
        <w:rPr>
          <w:noProof/>
          <w:lang w:eastAsia="en-AU"/>
        </w:rPr>
        <w:drawing>
          <wp:inline distT="0" distB="0" distL="0" distR="0" wp14:anchorId="3D306D77" wp14:editId="7D7A10B8">
            <wp:extent cx="5224007" cy="3061970"/>
            <wp:effectExtent l="0" t="0" r="0" b="5080"/>
            <wp:docPr id="3" name="Chart 3" descr="Chart" title="Figure 8">
              <a:extLst xmlns:a="http://schemas.openxmlformats.org/drawingml/2006/main">
                <a:ext uri="{FF2B5EF4-FFF2-40B4-BE49-F238E27FC236}">
                  <a16:creationId xmlns:a16="http://schemas.microsoft.com/office/drawing/2014/main" id="{5329AA79-190E-465A-A9DC-CB8D1DCBC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CDE116" w14:textId="1063905E" w:rsidR="0005702C" w:rsidRDefault="0005702C" w:rsidP="0005702C">
      <w:pPr>
        <w:pStyle w:val="Caption"/>
      </w:pPr>
      <w:bookmarkStart w:id="28" w:name="_Ref23170685"/>
      <w:r>
        <w:t xml:space="preserve">Figure </w:t>
      </w:r>
      <w:fldSimple w:instr=" SEQ Figure \* ARABIC ">
        <w:r w:rsidR="004E2E17">
          <w:rPr>
            <w:noProof/>
          </w:rPr>
          <w:t>8</w:t>
        </w:r>
      </w:fldSimple>
      <w:bookmarkEnd w:id="28"/>
      <w:r>
        <w:tab/>
        <w:t>MBS items for the LAAC procedure (MBS Item: 38276)</w:t>
      </w:r>
    </w:p>
    <w:p w14:paraId="474115B5" w14:textId="77777777" w:rsidR="0005702C" w:rsidRDefault="0005702C" w:rsidP="0005702C">
      <w:pPr>
        <w:pStyle w:val="TableNote"/>
      </w:pPr>
      <w:r>
        <w:t xml:space="preserve">Abbreviations: MBS, Medicare benefits schedule  </w:t>
      </w:r>
    </w:p>
    <w:p w14:paraId="26EA9F64" w14:textId="77777777" w:rsidR="0005702C" w:rsidRDefault="0005702C" w:rsidP="0005702C">
      <w:pPr>
        <w:pStyle w:val="TableNote"/>
      </w:pPr>
      <w:r>
        <w:t xml:space="preserve">Source: Medicare Statistics, link: </w:t>
      </w:r>
      <w:hyperlink r:id="rId26" w:history="1">
        <w:r w:rsidRPr="00562CB7">
          <w:rPr>
            <w:rStyle w:val="Hyperlink"/>
          </w:rPr>
          <w:t>http://medicarestatistics.humanservices.gov.au/statistics/do.jsp?_PROGRAM=%2Fstatistics%2Fmbs_item_standard_report&amp;DRILL=ag&amp;group=38276&amp;VAR=services&amp;STAT=count&amp;RPT_FMT=by+time+period+and+state&amp;PTYPE=month&amp;START_DT=201401&amp;END_DT=201908</w:t>
        </w:r>
      </w:hyperlink>
      <w:r>
        <w:t xml:space="preserve"> </w:t>
      </w:r>
    </w:p>
    <w:p w14:paraId="7868C6B8" w14:textId="77777777" w:rsidR="00AF407E" w:rsidRDefault="00AF407E" w:rsidP="0005702C">
      <w:pPr>
        <w:ind w:left="426"/>
      </w:pPr>
    </w:p>
    <w:p w14:paraId="11F1829E" w14:textId="7CF2C88F" w:rsidR="0005702C" w:rsidRDefault="0005702C" w:rsidP="0005702C">
      <w:pPr>
        <w:ind w:left="426"/>
      </w:pPr>
      <w:r>
        <w:t xml:space="preserve">The MSAC </w:t>
      </w:r>
      <w:r w:rsidR="00AF407E">
        <w:t>Application</w:t>
      </w:r>
      <w:r>
        <w:t xml:space="preserve"> 1347.1, in which LAAC received</w:t>
      </w:r>
      <w:r w:rsidR="00AF407E">
        <w:t xml:space="preserve"> a positive</w:t>
      </w:r>
      <w:r>
        <w:t xml:space="preserve"> recommendation by MSAC, used an epidemiological approach to estimate the eligible patient population in Australia based on the current restriction (i.e. CHA</w:t>
      </w:r>
      <w:r w:rsidR="00AF407E" w:rsidRPr="00EE04CD">
        <w:rPr>
          <w:vertAlign w:val="subscript"/>
        </w:rPr>
        <w:t>2</w:t>
      </w:r>
      <w:r>
        <w:t>DS</w:t>
      </w:r>
      <w:r w:rsidRPr="00EE04CD">
        <w:rPr>
          <w:vertAlign w:val="subscript"/>
        </w:rPr>
        <w:t>2</w:t>
      </w:r>
      <w:r>
        <w:t xml:space="preserve">-VA ≥2 AND lifelong </w:t>
      </w:r>
      <w:r w:rsidR="007815DB">
        <w:t xml:space="preserve">absolute </w:t>
      </w:r>
      <w:r>
        <w:t xml:space="preserve">contradiction to OAT). A revised epidemiological model is presented in this application based on updated epidemiological estimates presented in the </w:t>
      </w:r>
      <w:r w:rsidR="007815DB">
        <w:t>Drug Utilisation Sub-Committee (</w:t>
      </w:r>
      <w:r>
        <w:t>DUSC</w:t>
      </w:r>
      <w:r w:rsidR="007815DB">
        <w:t>)</w:t>
      </w:r>
      <w:r>
        <w:t xml:space="preserve"> review of actual vs. predicted </w:t>
      </w:r>
      <w:r>
        <w:lastRenderedPageBreak/>
        <w:t xml:space="preserve">use of NOACs (June 2016) and results from the Tasmanian Atrial Fibrillation </w:t>
      </w:r>
      <w:r w:rsidR="0008395F">
        <w:t xml:space="preserve">(TAF) </w:t>
      </w:r>
      <w:r>
        <w:t>study</w:t>
      </w:r>
      <w:r w:rsidR="007815DB">
        <w:t xml:space="preserve"> (Bista et al 2017; Alamneh et al 2017)</w:t>
      </w:r>
      <w:r>
        <w:t xml:space="preserve">. </w:t>
      </w:r>
    </w:p>
    <w:p w14:paraId="792C9F38" w14:textId="548B5B21" w:rsidR="0005702C" w:rsidRDefault="0005702C" w:rsidP="0005702C">
      <w:pPr>
        <w:ind w:left="426"/>
        <w:rPr>
          <w:szCs w:val="20"/>
        </w:rPr>
      </w:pPr>
      <w:r w:rsidRPr="00DC74E3">
        <w:rPr>
          <w:szCs w:val="20"/>
        </w:rPr>
        <w:t xml:space="preserve">The prevalence of </w:t>
      </w:r>
      <w:r>
        <w:rPr>
          <w:szCs w:val="20"/>
        </w:rPr>
        <w:t xml:space="preserve">NVAF and stroke risk distribution, </w:t>
      </w:r>
      <w:r w:rsidRPr="00DC74E3">
        <w:rPr>
          <w:szCs w:val="20"/>
        </w:rPr>
        <w:t xml:space="preserve">is substantiated by a relatively robust set of epidemiological inputs derived from </w:t>
      </w:r>
      <w:r>
        <w:rPr>
          <w:szCs w:val="20"/>
        </w:rPr>
        <w:t>Australian epidemiological studies</w:t>
      </w:r>
      <w:r w:rsidRPr="00DC74E3">
        <w:rPr>
          <w:szCs w:val="20"/>
        </w:rPr>
        <w:t xml:space="preserve">. </w:t>
      </w:r>
      <w:r w:rsidRPr="00C50E9F">
        <w:rPr>
          <w:szCs w:val="20"/>
        </w:rPr>
        <w:t xml:space="preserve">According to the report by the </w:t>
      </w:r>
      <w:r w:rsidR="00EE04CD">
        <w:rPr>
          <w:szCs w:val="20"/>
        </w:rPr>
        <w:t>Department</w:t>
      </w:r>
      <w:r w:rsidR="0008395F">
        <w:rPr>
          <w:szCs w:val="20"/>
        </w:rPr>
        <w:t xml:space="preserve"> of Health and Ageing (</w:t>
      </w:r>
      <w:r w:rsidRPr="00C50E9F">
        <w:rPr>
          <w:szCs w:val="20"/>
        </w:rPr>
        <w:t>DoHA</w:t>
      </w:r>
      <w:r w:rsidR="0008395F">
        <w:rPr>
          <w:szCs w:val="20"/>
        </w:rPr>
        <w:t>)</w:t>
      </w:r>
      <w:r w:rsidRPr="00C50E9F">
        <w:rPr>
          <w:szCs w:val="20"/>
        </w:rPr>
        <w:t xml:space="preserve"> in 2012, the prevalence of AF in Australia is 1–2% (DoHA: review of anticoagulation therapies in atrial fibrillation 2012, Section 5.2; Go et al 2001; Miyasaka et al 2006; Sturm et al 2002)</w:t>
      </w:r>
      <w:r>
        <w:rPr>
          <w:szCs w:val="20"/>
        </w:rPr>
        <w:t>, although prevalence estimates sharply increase with age and t</w:t>
      </w:r>
      <w:r>
        <w:t xml:space="preserve">he number of people with stroke is also expected to increase significantly as the population ages. </w:t>
      </w:r>
      <w:r w:rsidRPr="00C50E9F">
        <w:rPr>
          <w:szCs w:val="20"/>
        </w:rPr>
        <w:t xml:space="preserve">The DUSC review of NOAC </w:t>
      </w:r>
      <w:r w:rsidR="0008395F" w:rsidRPr="00C50E9F">
        <w:rPr>
          <w:szCs w:val="20"/>
        </w:rPr>
        <w:t>utili</w:t>
      </w:r>
      <w:r w:rsidR="0008395F">
        <w:rPr>
          <w:szCs w:val="20"/>
        </w:rPr>
        <w:t>s</w:t>
      </w:r>
      <w:r w:rsidR="0008395F" w:rsidRPr="00C50E9F">
        <w:rPr>
          <w:szCs w:val="20"/>
        </w:rPr>
        <w:t>ation</w:t>
      </w:r>
      <w:r w:rsidR="0008395F">
        <w:rPr>
          <w:szCs w:val="20"/>
        </w:rPr>
        <w:t xml:space="preserve"> </w:t>
      </w:r>
      <w:r>
        <w:rPr>
          <w:szCs w:val="20"/>
        </w:rPr>
        <w:t>(June 2016) and</w:t>
      </w:r>
      <w:r w:rsidRPr="00C50E9F">
        <w:rPr>
          <w:szCs w:val="20"/>
        </w:rPr>
        <w:t xml:space="preserve"> </w:t>
      </w:r>
      <w:r>
        <w:rPr>
          <w:szCs w:val="20"/>
        </w:rPr>
        <w:t xml:space="preserve">an Australian study by Ball et al., (2015) applied </w:t>
      </w:r>
      <w:r w:rsidRPr="00C50E9F">
        <w:rPr>
          <w:szCs w:val="20"/>
        </w:rPr>
        <w:t xml:space="preserve">age specific AF prevalence rates </w:t>
      </w:r>
      <w:r>
        <w:rPr>
          <w:szCs w:val="20"/>
        </w:rPr>
        <w:t>to project</w:t>
      </w:r>
      <w:r w:rsidRPr="00C50E9F">
        <w:rPr>
          <w:szCs w:val="20"/>
        </w:rPr>
        <w:t xml:space="preserve"> AF prevalence based on both population growth and the age distribution of the Australian population</w:t>
      </w:r>
      <w:r>
        <w:rPr>
          <w:szCs w:val="20"/>
        </w:rPr>
        <w:t>. This application applies age specific prevalence rates reported in Sturm et al., (2002), a m</w:t>
      </w:r>
      <w:r w:rsidRPr="00B95460">
        <w:rPr>
          <w:szCs w:val="20"/>
        </w:rPr>
        <w:t xml:space="preserve">ulticentre, observational study </w:t>
      </w:r>
      <w:r>
        <w:rPr>
          <w:szCs w:val="20"/>
        </w:rPr>
        <w:t>measuring prevalence of various conditions in</w:t>
      </w:r>
      <w:r w:rsidRPr="00B95460">
        <w:rPr>
          <w:szCs w:val="20"/>
        </w:rPr>
        <w:t xml:space="preserve"> </w:t>
      </w:r>
      <w:r w:rsidR="0008395F" w:rsidRPr="00B95460">
        <w:rPr>
          <w:szCs w:val="20"/>
        </w:rPr>
        <w:t>16</w:t>
      </w:r>
      <w:r w:rsidR="0008395F">
        <w:rPr>
          <w:szCs w:val="20"/>
        </w:rPr>
        <w:t>,</w:t>
      </w:r>
      <w:r w:rsidRPr="00B95460">
        <w:rPr>
          <w:szCs w:val="20"/>
        </w:rPr>
        <w:t>148 patients aged 30 years or older attending general</w:t>
      </w:r>
      <w:r>
        <w:rPr>
          <w:szCs w:val="20"/>
        </w:rPr>
        <w:t xml:space="preserve"> </w:t>
      </w:r>
      <w:r w:rsidRPr="00B95460">
        <w:rPr>
          <w:szCs w:val="20"/>
        </w:rPr>
        <w:t>practices across Australia during 2000.</w:t>
      </w:r>
      <w:r>
        <w:rPr>
          <w:szCs w:val="20"/>
        </w:rPr>
        <w:t xml:space="preserve"> Age specific prevalence rates from Strum et al., (2002) were also applied in the epidemiological model reported in the DUSC review of NOACS (June 2016). </w:t>
      </w:r>
    </w:p>
    <w:p w14:paraId="3FE50D8C" w14:textId="7428AF4A" w:rsidR="0005702C" w:rsidRDefault="0005702C" w:rsidP="0004091F">
      <w:pPr>
        <w:ind w:left="426"/>
        <w:rPr>
          <w:lang w:val="en-US"/>
        </w:rPr>
      </w:pPr>
      <w:r>
        <w:rPr>
          <w:szCs w:val="20"/>
        </w:rPr>
        <w:t xml:space="preserve">The proportion of AF patients with NVAF and the stroke risk distribution among NVAF patients is based on results of the </w:t>
      </w:r>
      <w:r w:rsidR="0008395F">
        <w:rPr>
          <w:szCs w:val="20"/>
        </w:rPr>
        <w:t xml:space="preserve">TAF </w:t>
      </w:r>
      <w:r>
        <w:rPr>
          <w:szCs w:val="20"/>
        </w:rPr>
        <w:t>Study reported in Bista et al., (2017)</w:t>
      </w:r>
      <w:r w:rsidR="00557B23">
        <w:rPr>
          <w:szCs w:val="20"/>
        </w:rPr>
        <w:t xml:space="preserve"> and Alamneh et al., (2017)</w:t>
      </w:r>
      <w:r>
        <w:rPr>
          <w:szCs w:val="20"/>
        </w:rPr>
        <w:t xml:space="preserve">. The TAF </w:t>
      </w:r>
      <w:r w:rsidR="0008395F">
        <w:rPr>
          <w:szCs w:val="20"/>
        </w:rPr>
        <w:t xml:space="preserve">study </w:t>
      </w:r>
      <w:r>
        <w:rPr>
          <w:szCs w:val="20"/>
        </w:rPr>
        <w:t>is</w:t>
      </w:r>
      <w:r>
        <w:rPr>
          <w:lang w:val="en-US"/>
        </w:rPr>
        <w:t xml:space="preserve"> a retrospective study that enrolls patients from 3 different hospitals in Tasmania: </w:t>
      </w:r>
      <w:r w:rsidR="00144D76">
        <w:rPr>
          <w:lang w:val="en-US"/>
        </w:rPr>
        <w:t>The</w:t>
      </w:r>
      <w:r>
        <w:rPr>
          <w:lang w:val="en-US"/>
        </w:rPr>
        <w:t xml:space="preserve"> Royal Hobart Hospital (RHH), Launceston General Hospital (LGH), and North West Regional Hospital (NWRH).</w:t>
      </w:r>
      <w:r w:rsidR="00DC215F">
        <w:rPr>
          <w:lang w:val="en-US"/>
        </w:rPr>
        <w:t xml:space="preserve"> Bista et al., 2017, reviewed the m</w:t>
      </w:r>
      <w:r>
        <w:rPr>
          <w:lang w:val="en-US"/>
        </w:rPr>
        <w:t>edical records of 2502 patients admitted between January 1, 2011, and June 30, 2012, and diagnosed with valvular or NVAF at discharge (AR-DRG code 148: atrial fibrillation or flutter). The study found that 88.6% of patients with AF had NVAF and 63.56% of patients had a CHADS</w:t>
      </w:r>
      <w:r w:rsidRPr="00A24185">
        <w:rPr>
          <w:vertAlign w:val="subscript"/>
          <w:lang w:val="en-US"/>
        </w:rPr>
        <w:t>2</w:t>
      </w:r>
      <w:r>
        <w:rPr>
          <w:lang w:val="en-US"/>
        </w:rPr>
        <w:t xml:space="preserve"> </w:t>
      </w:r>
      <w:r w:rsidR="00DA7215">
        <w:rPr>
          <w:lang w:val="en-US"/>
        </w:rPr>
        <w:t xml:space="preserve">≥2 </w:t>
      </w:r>
      <w:r>
        <w:rPr>
          <w:lang w:val="en-US"/>
        </w:rPr>
        <w:t xml:space="preserve">and </w:t>
      </w:r>
      <w:r w:rsidRPr="00AB2C8C">
        <w:rPr>
          <w:lang w:val="en-US"/>
        </w:rPr>
        <w:t>88.50%</w:t>
      </w:r>
      <w:r>
        <w:rPr>
          <w:lang w:val="en-US"/>
        </w:rPr>
        <w:t xml:space="preserve"> had a CHA</w:t>
      </w:r>
      <w:r w:rsidRPr="00DA7215">
        <w:rPr>
          <w:vertAlign w:val="subscript"/>
          <w:lang w:val="en-US"/>
        </w:rPr>
        <w:t>2</w:t>
      </w:r>
      <w:r>
        <w:rPr>
          <w:lang w:val="en-US"/>
        </w:rPr>
        <w:t>DS</w:t>
      </w:r>
      <w:r w:rsidRPr="00DA7215">
        <w:rPr>
          <w:vertAlign w:val="subscript"/>
          <w:lang w:val="en-US"/>
        </w:rPr>
        <w:t>2</w:t>
      </w:r>
      <w:r>
        <w:rPr>
          <w:lang w:val="en-US"/>
        </w:rPr>
        <w:t>-VAS ≥2.</w:t>
      </w:r>
      <w:r w:rsidR="00557B23">
        <w:rPr>
          <w:lang w:val="en-US"/>
        </w:rPr>
        <w:t xml:space="preserve"> </w:t>
      </w:r>
      <w:r w:rsidR="00DC215F">
        <w:rPr>
          <w:lang w:val="en-US"/>
        </w:rPr>
        <w:t xml:space="preserve">Alamneh et al., (2017) </w:t>
      </w:r>
      <w:r w:rsidR="00557B23">
        <w:rPr>
          <w:lang w:val="en-US"/>
        </w:rPr>
        <w:t xml:space="preserve">reviewed hospital records of </w:t>
      </w:r>
      <w:r w:rsidR="00557B23" w:rsidRPr="00557B23">
        <w:rPr>
          <w:lang w:val="en-US"/>
        </w:rPr>
        <w:t xml:space="preserve">2310 </w:t>
      </w:r>
      <w:r w:rsidR="0004091F">
        <w:rPr>
          <w:lang w:val="en-US"/>
        </w:rPr>
        <w:t xml:space="preserve">AF </w:t>
      </w:r>
      <w:r w:rsidR="00557B23" w:rsidRPr="00557B23">
        <w:rPr>
          <w:lang w:val="en-US"/>
        </w:rPr>
        <w:t>patients</w:t>
      </w:r>
      <w:r w:rsidR="00557B23">
        <w:rPr>
          <w:lang w:val="en-US"/>
        </w:rPr>
        <w:t xml:space="preserve"> admitted to RHH between</w:t>
      </w:r>
      <w:r w:rsidR="00557B23" w:rsidRPr="00557B23">
        <w:rPr>
          <w:lang w:val="en-US"/>
        </w:rPr>
        <w:t xml:space="preserve"> January 2011 </w:t>
      </w:r>
      <w:r w:rsidR="00557B23">
        <w:rPr>
          <w:lang w:val="en-US"/>
        </w:rPr>
        <w:t>and</w:t>
      </w:r>
      <w:r w:rsidR="00557B23" w:rsidRPr="00557B23">
        <w:rPr>
          <w:lang w:val="en-US"/>
        </w:rPr>
        <w:t xml:space="preserve"> July 2015.</w:t>
      </w:r>
      <w:r w:rsidR="0004091F">
        <w:rPr>
          <w:lang w:val="en-US"/>
        </w:rPr>
        <w:t xml:space="preserve"> The study found that </w:t>
      </w:r>
      <w:r w:rsidR="00E27C6D">
        <w:rPr>
          <w:lang w:val="en-US"/>
        </w:rPr>
        <w:t>56.5</w:t>
      </w:r>
      <w:r w:rsidR="0004091F">
        <w:rPr>
          <w:lang w:val="en-US"/>
        </w:rPr>
        <w:t>% of patients had a CHADS</w:t>
      </w:r>
      <w:r w:rsidR="0004091F" w:rsidRPr="00A24185">
        <w:rPr>
          <w:vertAlign w:val="subscript"/>
          <w:lang w:val="en-US"/>
        </w:rPr>
        <w:t>2</w:t>
      </w:r>
      <w:r w:rsidR="0004091F">
        <w:rPr>
          <w:lang w:val="en-US"/>
        </w:rPr>
        <w:t xml:space="preserve"> ≥2 and </w:t>
      </w:r>
      <w:r w:rsidR="0004091F" w:rsidRPr="00AB2C8C">
        <w:rPr>
          <w:lang w:val="en-US"/>
        </w:rPr>
        <w:t>8</w:t>
      </w:r>
      <w:r w:rsidR="00E27C6D">
        <w:rPr>
          <w:lang w:val="en-US"/>
        </w:rPr>
        <w:t>5.7</w:t>
      </w:r>
      <w:r w:rsidR="0004091F" w:rsidRPr="00AB2C8C">
        <w:rPr>
          <w:lang w:val="en-US"/>
        </w:rPr>
        <w:t>%</w:t>
      </w:r>
      <w:r w:rsidR="0004091F">
        <w:rPr>
          <w:lang w:val="en-US"/>
        </w:rPr>
        <w:t xml:space="preserve"> had a CHA</w:t>
      </w:r>
      <w:r w:rsidR="0004091F" w:rsidRPr="00DA7215">
        <w:rPr>
          <w:vertAlign w:val="subscript"/>
          <w:lang w:val="en-US"/>
        </w:rPr>
        <w:t>2</w:t>
      </w:r>
      <w:r w:rsidR="0004091F">
        <w:rPr>
          <w:lang w:val="en-US"/>
        </w:rPr>
        <w:t>DS</w:t>
      </w:r>
      <w:r w:rsidR="0004091F" w:rsidRPr="00DA7215">
        <w:rPr>
          <w:vertAlign w:val="subscript"/>
          <w:lang w:val="en-US"/>
        </w:rPr>
        <w:t>2</w:t>
      </w:r>
      <w:r w:rsidR="0004091F">
        <w:rPr>
          <w:lang w:val="en-US"/>
        </w:rPr>
        <w:t xml:space="preserve">-VAS ≥2. </w:t>
      </w:r>
      <w:r>
        <w:rPr>
          <w:lang w:val="en-US"/>
        </w:rPr>
        <w:t xml:space="preserve">The proposed </w:t>
      </w:r>
      <w:r w:rsidR="0008395F">
        <w:rPr>
          <w:lang w:val="en-US"/>
        </w:rPr>
        <w:t xml:space="preserve">population for MBS funding </w:t>
      </w:r>
      <w:r>
        <w:rPr>
          <w:lang w:val="en-US"/>
        </w:rPr>
        <w:t>specifies that a CHA</w:t>
      </w:r>
      <w:r w:rsidRPr="00A24185">
        <w:rPr>
          <w:lang w:val="en-US"/>
        </w:rPr>
        <w:t>2</w:t>
      </w:r>
      <w:r>
        <w:rPr>
          <w:lang w:val="en-US"/>
        </w:rPr>
        <w:t>DS</w:t>
      </w:r>
      <w:r w:rsidRPr="00A24185">
        <w:rPr>
          <w:vertAlign w:val="subscript"/>
          <w:lang w:val="en-US"/>
        </w:rPr>
        <w:t>2</w:t>
      </w:r>
      <w:r>
        <w:rPr>
          <w:lang w:val="en-US"/>
        </w:rPr>
        <w:t>-VA score ≥2 to be eligible for LAAC procedure</w:t>
      </w:r>
      <w:r w:rsidR="0008395F">
        <w:rPr>
          <w:lang w:val="en-US"/>
        </w:rPr>
        <w:t xml:space="preserve"> (that is, sexless CHA</w:t>
      </w:r>
      <w:r w:rsidR="0008395F" w:rsidRPr="00FD023C">
        <w:rPr>
          <w:vertAlign w:val="subscript"/>
          <w:lang w:val="en-US"/>
        </w:rPr>
        <w:t>2</w:t>
      </w:r>
      <w:r w:rsidR="0008395F">
        <w:rPr>
          <w:lang w:val="en-US"/>
        </w:rPr>
        <w:t>DS</w:t>
      </w:r>
      <w:r w:rsidR="0008395F" w:rsidRPr="00FD023C">
        <w:rPr>
          <w:vertAlign w:val="subscript"/>
          <w:lang w:val="en-US"/>
        </w:rPr>
        <w:t>2</w:t>
      </w:r>
      <w:r w:rsidR="0008395F">
        <w:rPr>
          <w:lang w:val="en-US"/>
        </w:rPr>
        <w:t>-VAS)</w:t>
      </w:r>
      <w:r w:rsidR="00E27C6D">
        <w:rPr>
          <w:lang w:val="en-US"/>
        </w:rPr>
        <w:t>, hence stroke risk based on CHA</w:t>
      </w:r>
      <w:r w:rsidR="00E27C6D" w:rsidRPr="00DA7215">
        <w:rPr>
          <w:vertAlign w:val="subscript"/>
          <w:lang w:val="en-US"/>
        </w:rPr>
        <w:t>2</w:t>
      </w:r>
      <w:r w:rsidR="00E27C6D">
        <w:rPr>
          <w:lang w:val="en-US"/>
        </w:rPr>
        <w:t>DS</w:t>
      </w:r>
      <w:r w:rsidR="00E27C6D" w:rsidRPr="00DA7215">
        <w:rPr>
          <w:vertAlign w:val="subscript"/>
          <w:lang w:val="en-US"/>
        </w:rPr>
        <w:t>2</w:t>
      </w:r>
      <w:r w:rsidR="00E27C6D">
        <w:rPr>
          <w:lang w:val="en-US"/>
        </w:rPr>
        <w:t>-VAS overestimate the eligible population</w:t>
      </w:r>
      <w:r>
        <w:rPr>
          <w:lang w:val="en-US"/>
        </w:rPr>
        <w:t xml:space="preserve">. </w:t>
      </w:r>
      <w:r w:rsidR="00A24185">
        <w:rPr>
          <w:lang w:val="en-US"/>
        </w:rPr>
        <w:t>The</w:t>
      </w:r>
      <w:r>
        <w:rPr>
          <w:lang w:val="en-US"/>
        </w:rPr>
        <w:t xml:space="preserve"> estimate from Bista et al., </w:t>
      </w:r>
      <w:r w:rsidR="00A24185">
        <w:rPr>
          <w:lang w:val="en-US"/>
        </w:rPr>
        <w:t>(</w:t>
      </w:r>
      <w:r>
        <w:rPr>
          <w:lang w:val="en-US"/>
        </w:rPr>
        <w:t>2017</w:t>
      </w:r>
      <w:r w:rsidR="00A24185">
        <w:rPr>
          <w:lang w:val="en-US"/>
        </w:rPr>
        <w:t>)</w:t>
      </w:r>
      <w:r>
        <w:rPr>
          <w:lang w:val="en-US"/>
        </w:rPr>
        <w:t xml:space="preserve"> </w:t>
      </w:r>
      <w:r w:rsidR="00A24185">
        <w:rPr>
          <w:lang w:val="en-US"/>
        </w:rPr>
        <w:t>based on</w:t>
      </w:r>
      <w:r w:rsidR="00A24185" w:rsidRPr="00A24185">
        <w:rPr>
          <w:lang w:val="en-US"/>
        </w:rPr>
        <w:t xml:space="preserve"> </w:t>
      </w:r>
      <w:r w:rsidR="00A24185">
        <w:rPr>
          <w:lang w:val="en-US"/>
        </w:rPr>
        <w:t>CHADS</w:t>
      </w:r>
      <w:r w:rsidR="00A24185" w:rsidRPr="00A24185">
        <w:rPr>
          <w:vertAlign w:val="subscript"/>
          <w:lang w:val="en-US"/>
        </w:rPr>
        <w:t>2</w:t>
      </w:r>
      <w:r w:rsidR="00A24185">
        <w:rPr>
          <w:lang w:val="en-US"/>
        </w:rPr>
        <w:t xml:space="preserve"> </w:t>
      </w:r>
      <w:r>
        <w:rPr>
          <w:lang w:val="en-US"/>
        </w:rPr>
        <w:t>is used in the model</w:t>
      </w:r>
      <w:r w:rsidR="00E27C6D">
        <w:rPr>
          <w:lang w:val="en-US"/>
        </w:rPr>
        <w:t xml:space="preserve"> as it resembles a reasonable midpoint within the range reported in the TAF Study (56.5% - 88.5%)</w:t>
      </w:r>
      <w:r>
        <w:rPr>
          <w:lang w:val="en-US"/>
        </w:rPr>
        <w:t xml:space="preserve">. </w:t>
      </w:r>
    </w:p>
    <w:p w14:paraId="51458468" w14:textId="47B71BF7" w:rsidR="0005702C" w:rsidRDefault="0005702C" w:rsidP="0005702C">
      <w:pPr>
        <w:ind w:left="426"/>
        <w:rPr>
          <w:szCs w:val="20"/>
        </w:rPr>
      </w:pPr>
      <w:r>
        <w:rPr>
          <w:szCs w:val="20"/>
        </w:rPr>
        <w:fldChar w:fldCharType="begin"/>
      </w:r>
      <w:r>
        <w:rPr>
          <w:szCs w:val="20"/>
        </w:rPr>
        <w:instrText xml:space="preserve"> REF _Ref22914088 \h </w:instrText>
      </w:r>
      <w:r>
        <w:rPr>
          <w:szCs w:val="20"/>
        </w:rPr>
      </w:r>
      <w:r>
        <w:rPr>
          <w:szCs w:val="20"/>
        </w:rPr>
        <w:fldChar w:fldCharType="separate"/>
      </w:r>
      <w:r w:rsidR="004E2E17">
        <w:t xml:space="preserve">Table </w:t>
      </w:r>
      <w:r w:rsidR="004E2E17">
        <w:rPr>
          <w:noProof/>
        </w:rPr>
        <w:t>4</w:t>
      </w:r>
      <w:r>
        <w:rPr>
          <w:szCs w:val="20"/>
        </w:rPr>
        <w:fldChar w:fldCharType="end"/>
      </w:r>
      <w:r>
        <w:rPr>
          <w:szCs w:val="20"/>
        </w:rPr>
        <w:t xml:space="preserve"> summarises </w:t>
      </w:r>
      <w:r w:rsidRPr="00DC74E3">
        <w:rPr>
          <w:szCs w:val="20"/>
        </w:rPr>
        <w:t xml:space="preserve">the most appropriate epidemiological inputs for estimating </w:t>
      </w:r>
      <w:r>
        <w:rPr>
          <w:szCs w:val="20"/>
        </w:rPr>
        <w:t>the prevalence of NVAF patients with high risk of stroke in the Australian population.</w:t>
      </w:r>
    </w:p>
    <w:p w14:paraId="72F56DBC" w14:textId="1F70B08B" w:rsidR="0005702C" w:rsidRDefault="0005702C" w:rsidP="0005702C">
      <w:pPr>
        <w:pStyle w:val="Caption"/>
        <w:keepNext/>
      </w:pPr>
      <w:bookmarkStart w:id="29" w:name="_Ref22914088"/>
      <w:r>
        <w:lastRenderedPageBreak/>
        <w:t xml:space="preserve">Table </w:t>
      </w:r>
      <w:fldSimple w:instr=" SEQ Table \* ARABIC ">
        <w:r w:rsidR="004E2E17">
          <w:rPr>
            <w:noProof/>
          </w:rPr>
          <w:t>4</w:t>
        </w:r>
      </w:fldSimple>
      <w:bookmarkEnd w:id="29"/>
      <w:r>
        <w:tab/>
        <w:t xml:space="preserve">Epidemiological inputs for </w:t>
      </w:r>
      <w:r w:rsidRPr="00F733B1">
        <w:t>estimating the prevalence of NVAF patients with high risk of stroke in the Australian population</w:t>
      </w:r>
    </w:p>
    <w:tbl>
      <w:tblPr>
        <w:tblStyle w:val="TableGrid"/>
        <w:tblW w:w="0" w:type="auto"/>
        <w:tblInd w:w="421" w:type="dxa"/>
        <w:tblLook w:val="04A0" w:firstRow="1" w:lastRow="0" w:firstColumn="1" w:lastColumn="0" w:noHBand="0" w:noVBand="1"/>
        <w:tblCaption w:val="Table 4"/>
        <w:tblDescription w:val="Table"/>
      </w:tblPr>
      <w:tblGrid>
        <w:gridCol w:w="2589"/>
        <w:gridCol w:w="3556"/>
        <w:gridCol w:w="2361"/>
      </w:tblGrid>
      <w:tr w:rsidR="0005702C" w:rsidRPr="005B388C" w14:paraId="4E379936" w14:textId="77777777" w:rsidTr="007E53B3">
        <w:trPr>
          <w:trHeight w:val="298"/>
          <w:tblHeader/>
        </w:trPr>
        <w:tc>
          <w:tcPr>
            <w:tcW w:w="2589" w:type="dxa"/>
            <w:tcBorders>
              <w:top w:val="single" w:sz="4" w:space="0" w:color="auto"/>
              <w:left w:val="single" w:sz="4" w:space="0" w:color="auto"/>
              <w:bottom w:val="single" w:sz="4" w:space="0" w:color="auto"/>
              <w:right w:val="single" w:sz="4" w:space="0" w:color="auto"/>
            </w:tcBorders>
          </w:tcPr>
          <w:p w14:paraId="4C7FAAF9" w14:textId="77777777" w:rsidR="0005702C" w:rsidRPr="005B388C" w:rsidRDefault="0005702C" w:rsidP="00AF407E">
            <w:pPr>
              <w:pStyle w:val="Tabletext"/>
              <w:rPr>
                <w:b/>
                <w:bCs w:val="0"/>
              </w:rPr>
            </w:pPr>
            <w:r w:rsidRPr="005B388C">
              <w:rPr>
                <w:b/>
                <w:bCs w:val="0"/>
              </w:rPr>
              <w:t>Parameter</w:t>
            </w:r>
          </w:p>
        </w:tc>
        <w:tc>
          <w:tcPr>
            <w:tcW w:w="3556" w:type="dxa"/>
            <w:tcBorders>
              <w:top w:val="single" w:sz="4" w:space="0" w:color="auto"/>
              <w:left w:val="single" w:sz="4" w:space="0" w:color="auto"/>
              <w:bottom w:val="single" w:sz="4" w:space="0" w:color="auto"/>
              <w:right w:val="single" w:sz="4" w:space="0" w:color="auto"/>
            </w:tcBorders>
            <w:noWrap/>
          </w:tcPr>
          <w:p w14:paraId="58CEFF07" w14:textId="77777777" w:rsidR="0005702C" w:rsidRPr="005B388C" w:rsidRDefault="0005702C" w:rsidP="00AF407E">
            <w:pPr>
              <w:pStyle w:val="Tabletext"/>
              <w:rPr>
                <w:b/>
                <w:bCs w:val="0"/>
              </w:rPr>
            </w:pPr>
            <w:r w:rsidRPr="005B388C">
              <w:rPr>
                <w:b/>
                <w:bCs w:val="0"/>
              </w:rPr>
              <w:t>Estimate</w:t>
            </w:r>
          </w:p>
        </w:tc>
        <w:tc>
          <w:tcPr>
            <w:tcW w:w="2361" w:type="dxa"/>
            <w:tcBorders>
              <w:top w:val="single" w:sz="4" w:space="0" w:color="auto"/>
              <w:left w:val="single" w:sz="4" w:space="0" w:color="auto"/>
              <w:bottom w:val="single" w:sz="4" w:space="0" w:color="auto"/>
              <w:right w:val="single" w:sz="4" w:space="0" w:color="auto"/>
            </w:tcBorders>
            <w:noWrap/>
          </w:tcPr>
          <w:p w14:paraId="181A90F4" w14:textId="77777777" w:rsidR="0005702C" w:rsidRPr="005B388C" w:rsidRDefault="0005702C" w:rsidP="00AF407E">
            <w:pPr>
              <w:pStyle w:val="Tabletext"/>
              <w:rPr>
                <w:b/>
                <w:bCs w:val="0"/>
              </w:rPr>
            </w:pPr>
            <w:r w:rsidRPr="005B388C">
              <w:rPr>
                <w:b/>
                <w:bCs w:val="0"/>
              </w:rPr>
              <w:t>Source</w:t>
            </w:r>
          </w:p>
        </w:tc>
      </w:tr>
      <w:tr w:rsidR="0005702C" w:rsidRPr="005B388C" w14:paraId="2AE81EFF" w14:textId="77777777" w:rsidTr="00AF407E">
        <w:trPr>
          <w:trHeight w:val="298"/>
        </w:trPr>
        <w:tc>
          <w:tcPr>
            <w:tcW w:w="8506" w:type="dxa"/>
            <w:gridSpan w:val="3"/>
            <w:tcBorders>
              <w:top w:val="single" w:sz="4" w:space="0" w:color="auto"/>
              <w:left w:val="single" w:sz="4" w:space="0" w:color="auto"/>
              <w:bottom w:val="single" w:sz="4" w:space="0" w:color="auto"/>
              <w:right w:val="single" w:sz="4" w:space="0" w:color="auto"/>
            </w:tcBorders>
          </w:tcPr>
          <w:p w14:paraId="45FD8BC7" w14:textId="77777777" w:rsidR="0005702C" w:rsidRPr="005B388C" w:rsidRDefault="0005702C" w:rsidP="00AF407E">
            <w:pPr>
              <w:pStyle w:val="Tabletext"/>
            </w:pPr>
            <w:r w:rsidRPr="005B388C">
              <w:t>AF prevalence- by age category</w:t>
            </w:r>
          </w:p>
        </w:tc>
      </w:tr>
      <w:tr w:rsidR="0005702C" w:rsidRPr="005B388C" w14:paraId="04B1E9D5"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25F9DDFA" w14:textId="77777777" w:rsidR="0005702C" w:rsidRPr="00F733B1" w:rsidRDefault="0005702C" w:rsidP="00AF407E">
            <w:pPr>
              <w:pStyle w:val="Tabletext"/>
            </w:pPr>
            <w:r w:rsidRPr="005B388C">
              <w:t xml:space="preserve">40-49 </w:t>
            </w:r>
          </w:p>
        </w:tc>
        <w:tc>
          <w:tcPr>
            <w:tcW w:w="3556" w:type="dxa"/>
            <w:tcBorders>
              <w:top w:val="single" w:sz="4" w:space="0" w:color="auto"/>
              <w:left w:val="single" w:sz="4" w:space="0" w:color="auto"/>
              <w:bottom w:val="single" w:sz="4" w:space="0" w:color="auto"/>
              <w:right w:val="single" w:sz="4" w:space="0" w:color="auto"/>
            </w:tcBorders>
            <w:noWrap/>
          </w:tcPr>
          <w:p w14:paraId="7DC58247" w14:textId="77777777" w:rsidR="0005702C" w:rsidRPr="005B388C" w:rsidRDefault="0005702C" w:rsidP="00AF407E">
            <w:pPr>
              <w:pStyle w:val="Tabletext"/>
            </w:pPr>
            <w:r w:rsidRPr="005B388C">
              <w:t>1%</w:t>
            </w:r>
          </w:p>
        </w:tc>
        <w:tc>
          <w:tcPr>
            <w:tcW w:w="2361" w:type="dxa"/>
            <w:vMerge w:val="restart"/>
            <w:tcBorders>
              <w:top w:val="single" w:sz="4" w:space="0" w:color="auto"/>
              <w:left w:val="single" w:sz="4" w:space="0" w:color="auto"/>
              <w:right w:val="single" w:sz="4" w:space="0" w:color="auto"/>
            </w:tcBorders>
            <w:noWrap/>
          </w:tcPr>
          <w:p w14:paraId="1D23E26B" w14:textId="77777777" w:rsidR="0005702C" w:rsidRPr="005B388C" w:rsidRDefault="0005702C" w:rsidP="00AF407E">
            <w:pPr>
              <w:pStyle w:val="Tabletext"/>
            </w:pPr>
            <w:r w:rsidRPr="005B388C">
              <w:t>Sturm et al. (2002), Figure 3 pg.314 (presented as cited in NOACS DUSC review (2015), Appendix B)</w:t>
            </w:r>
          </w:p>
        </w:tc>
      </w:tr>
      <w:tr w:rsidR="0005702C" w:rsidRPr="005B388C" w14:paraId="0DBCD84D"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38644461" w14:textId="77777777" w:rsidR="0005702C" w:rsidRPr="005B388C" w:rsidRDefault="0005702C" w:rsidP="00AF407E">
            <w:pPr>
              <w:pStyle w:val="Tabletext"/>
            </w:pPr>
            <w:r w:rsidRPr="005B388C">
              <w:t xml:space="preserve">50-59 </w:t>
            </w:r>
          </w:p>
        </w:tc>
        <w:tc>
          <w:tcPr>
            <w:tcW w:w="3556" w:type="dxa"/>
            <w:tcBorders>
              <w:top w:val="single" w:sz="4" w:space="0" w:color="auto"/>
              <w:left w:val="single" w:sz="4" w:space="0" w:color="auto"/>
              <w:bottom w:val="single" w:sz="4" w:space="0" w:color="auto"/>
              <w:right w:val="single" w:sz="4" w:space="0" w:color="auto"/>
            </w:tcBorders>
            <w:noWrap/>
          </w:tcPr>
          <w:p w14:paraId="79A01952" w14:textId="77777777" w:rsidR="0005702C" w:rsidRPr="005B388C" w:rsidRDefault="0005702C" w:rsidP="00AF407E">
            <w:pPr>
              <w:pStyle w:val="Tabletext"/>
            </w:pPr>
            <w:r w:rsidRPr="005B388C">
              <w:t>1.50%</w:t>
            </w:r>
          </w:p>
        </w:tc>
        <w:tc>
          <w:tcPr>
            <w:tcW w:w="2361" w:type="dxa"/>
            <w:vMerge/>
            <w:tcBorders>
              <w:left w:val="single" w:sz="4" w:space="0" w:color="auto"/>
              <w:right w:val="single" w:sz="4" w:space="0" w:color="auto"/>
            </w:tcBorders>
            <w:noWrap/>
          </w:tcPr>
          <w:p w14:paraId="0DF86810" w14:textId="77777777" w:rsidR="0005702C" w:rsidRPr="005B388C" w:rsidRDefault="0005702C" w:rsidP="00AF407E">
            <w:pPr>
              <w:pStyle w:val="Tabletext"/>
            </w:pPr>
          </w:p>
        </w:tc>
      </w:tr>
      <w:tr w:rsidR="0005702C" w:rsidRPr="005B388C" w14:paraId="79080DD4"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20C2B513" w14:textId="77777777" w:rsidR="0005702C" w:rsidRPr="005B388C" w:rsidRDefault="0005702C" w:rsidP="00AF407E">
            <w:pPr>
              <w:pStyle w:val="Tabletext"/>
            </w:pPr>
            <w:r w:rsidRPr="005B388C">
              <w:t xml:space="preserve">60-69 </w:t>
            </w:r>
          </w:p>
        </w:tc>
        <w:tc>
          <w:tcPr>
            <w:tcW w:w="3556" w:type="dxa"/>
            <w:tcBorders>
              <w:top w:val="single" w:sz="4" w:space="0" w:color="auto"/>
              <w:left w:val="single" w:sz="4" w:space="0" w:color="auto"/>
              <w:bottom w:val="single" w:sz="4" w:space="0" w:color="auto"/>
              <w:right w:val="single" w:sz="4" w:space="0" w:color="auto"/>
            </w:tcBorders>
            <w:noWrap/>
          </w:tcPr>
          <w:p w14:paraId="68A96F18" w14:textId="77777777" w:rsidR="0005702C" w:rsidRPr="005B388C" w:rsidRDefault="0005702C" w:rsidP="00AF407E">
            <w:pPr>
              <w:pStyle w:val="Tabletext"/>
            </w:pPr>
            <w:r w:rsidRPr="005B388C">
              <w:t>4.20%</w:t>
            </w:r>
          </w:p>
        </w:tc>
        <w:tc>
          <w:tcPr>
            <w:tcW w:w="2361" w:type="dxa"/>
            <w:vMerge/>
            <w:tcBorders>
              <w:left w:val="single" w:sz="4" w:space="0" w:color="auto"/>
              <w:right w:val="single" w:sz="4" w:space="0" w:color="auto"/>
            </w:tcBorders>
            <w:noWrap/>
          </w:tcPr>
          <w:p w14:paraId="4717D9B7" w14:textId="77777777" w:rsidR="0005702C" w:rsidRPr="005B388C" w:rsidRDefault="0005702C" w:rsidP="00AF407E">
            <w:pPr>
              <w:pStyle w:val="Tabletext"/>
            </w:pPr>
          </w:p>
        </w:tc>
      </w:tr>
      <w:tr w:rsidR="0005702C" w:rsidRPr="005B388C" w14:paraId="29A60002"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450781BD" w14:textId="77777777" w:rsidR="0005702C" w:rsidRPr="005B388C" w:rsidRDefault="0005702C" w:rsidP="00AF407E">
            <w:pPr>
              <w:pStyle w:val="Tabletext"/>
            </w:pPr>
            <w:r w:rsidRPr="005B388C">
              <w:t xml:space="preserve">70-79 </w:t>
            </w:r>
          </w:p>
        </w:tc>
        <w:tc>
          <w:tcPr>
            <w:tcW w:w="3556" w:type="dxa"/>
            <w:tcBorders>
              <w:top w:val="single" w:sz="4" w:space="0" w:color="auto"/>
              <w:left w:val="single" w:sz="4" w:space="0" w:color="auto"/>
              <w:bottom w:val="single" w:sz="4" w:space="0" w:color="auto"/>
              <w:right w:val="single" w:sz="4" w:space="0" w:color="auto"/>
            </w:tcBorders>
            <w:noWrap/>
          </w:tcPr>
          <w:p w14:paraId="4C091616" w14:textId="77777777" w:rsidR="0005702C" w:rsidRPr="005B388C" w:rsidRDefault="0005702C" w:rsidP="00AF407E">
            <w:pPr>
              <w:pStyle w:val="Tabletext"/>
            </w:pPr>
            <w:r w:rsidRPr="005B388C">
              <w:t>10.90%</w:t>
            </w:r>
          </w:p>
        </w:tc>
        <w:tc>
          <w:tcPr>
            <w:tcW w:w="2361" w:type="dxa"/>
            <w:vMerge/>
            <w:tcBorders>
              <w:left w:val="single" w:sz="4" w:space="0" w:color="auto"/>
              <w:right w:val="single" w:sz="4" w:space="0" w:color="auto"/>
            </w:tcBorders>
            <w:noWrap/>
          </w:tcPr>
          <w:p w14:paraId="13A12F73" w14:textId="77777777" w:rsidR="0005702C" w:rsidRPr="005B388C" w:rsidRDefault="0005702C" w:rsidP="00AF407E">
            <w:pPr>
              <w:pStyle w:val="Tabletext"/>
            </w:pPr>
          </w:p>
        </w:tc>
      </w:tr>
      <w:tr w:rsidR="0005702C" w:rsidRPr="005B388C" w14:paraId="258B0FB2"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605B0D2A" w14:textId="77777777" w:rsidR="0005702C" w:rsidRPr="005B388C" w:rsidRDefault="0005702C" w:rsidP="00AF407E">
            <w:pPr>
              <w:pStyle w:val="Tabletext"/>
            </w:pPr>
            <w:r w:rsidRPr="005B388C">
              <w:t xml:space="preserve">≥80 </w:t>
            </w:r>
          </w:p>
        </w:tc>
        <w:tc>
          <w:tcPr>
            <w:tcW w:w="3556" w:type="dxa"/>
            <w:tcBorders>
              <w:top w:val="single" w:sz="4" w:space="0" w:color="auto"/>
              <w:left w:val="single" w:sz="4" w:space="0" w:color="auto"/>
              <w:bottom w:val="single" w:sz="4" w:space="0" w:color="auto"/>
              <w:right w:val="single" w:sz="4" w:space="0" w:color="auto"/>
            </w:tcBorders>
            <w:noWrap/>
          </w:tcPr>
          <w:p w14:paraId="2014E631" w14:textId="77777777" w:rsidR="0005702C" w:rsidRPr="005B388C" w:rsidRDefault="0005702C" w:rsidP="00AF407E">
            <w:pPr>
              <w:pStyle w:val="Tabletext"/>
            </w:pPr>
            <w:r w:rsidRPr="005B388C">
              <w:t>14.80%</w:t>
            </w:r>
          </w:p>
        </w:tc>
        <w:tc>
          <w:tcPr>
            <w:tcW w:w="2361" w:type="dxa"/>
            <w:vMerge/>
            <w:tcBorders>
              <w:left w:val="single" w:sz="4" w:space="0" w:color="auto"/>
              <w:bottom w:val="single" w:sz="4" w:space="0" w:color="auto"/>
              <w:right w:val="single" w:sz="4" w:space="0" w:color="auto"/>
            </w:tcBorders>
            <w:noWrap/>
          </w:tcPr>
          <w:p w14:paraId="5CCFA8C9" w14:textId="77777777" w:rsidR="0005702C" w:rsidRPr="005B388C" w:rsidRDefault="0005702C" w:rsidP="00AF407E">
            <w:pPr>
              <w:pStyle w:val="Tabletext"/>
            </w:pPr>
          </w:p>
        </w:tc>
      </w:tr>
      <w:tr w:rsidR="0005702C" w:rsidRPr="005B388C" w14:paraId="3B717C50"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tcPr>
          <w:p w14:paraId="3CEA280C" w14:textId="647B29A1" w:rsidR="0005702C" w:rsidRPr="005B388C" w:rsidRDefault="00A24185" w:rsidP="00AF407E">
            <w:pPr>
              <w:pStyle w:val="Tabletext"/>
            </w:pPr>
            <w:r w:rsidRPr="005B388C">
              <w:t>Proportion of AF population with NVAF</w:t>
            </w:r>
          </w:p>
        </w:tc>
        <w:tc>
          <w:tcPr>
            <w:tcW w:w="3556" w:type="dxa"/>
            <w:tcBorders>
              <w:top w:val="single" w:sz="4" w:space="0" w:color="auto"/>
              <w:left w:val="single" w:sz="4" w:space="0" w:color="auto"/>
              <w:bottom w:val="single" w:sz="4" w:space="0" w:color="auto"/>
              <w:right w:val="single" w:sz="4" w:space="0" w:color="auto"/>
            </w:tcBorders>
            <w:noWrap/>
          </w:tcPr>
          <w:p w14:paraId="7E0F195D" w14:textId="77777777" w:rsidR="0005702C" w:rsidRPr="005B388C" w:rsidRDefault="0005702C" w:rsidP="00AF407E">
            <w:pPr>
              <w:pStyle w:val="Tabletext"/>
            </w:pPr>
            <w:r w:rsidRPr="005B388C">
              <w:t>88.58%</w:t>
            </w:r>
          </w:p>
        </w:tc>
        <w:tc>
          <w:tcPr>
            <w:tcW w:w="2361" w:type="dxa"/>
            <w:tcBorders>
              <w:top w:val="single" w:sz="4" w:space="0" w:color="auto"/>
              <w:left w:val="single" w:sz="4" w:space="0" w:color="auto"/>
              <w:bottom w:val="single" w:sz="4" w:space="0" w:color="auto"/>
              <w:right w:val="single" w:sz="4" w:space="0" w:color="auto"/>
            </w:tcBorders>
            <w:noWrap/>
          </w:tcPr>
          <w:p w14:paraId="244D1027" w14:textId="77777777" w:rsidR="0005702C" w:rsidRPr="005B388C" w:rsidRDefault="0005702C" w:rsidP="00AF407E">
            <w:pPr>
              <w:pStyle w:val="Tabletext"/>
            </w:pPr>
            <w:r w:rsidRPr="005B388C">
              <w:t>Bista 2017 pg. 2 (144/1261)</w:t>
            </w:r>
          </w:p>
        </w:tc>
      </w:tr>
      <w:tr w:rsidR="0005702C" w:rsidRPr="005B388C" w14:paraId="1B85AAC2" w14:textId="77777777" w:rsidTr="00AF407E">
        <w:trPr>
          <w:trHeight w:val="298"/>
        </w:trPr>
        <w:tc>
          <w:tcPr>
            <w:tcW w:w="8506" w:type="dxa"/>
            <w:gridSpan w:val="3"/>
            <w:tcBorders>
              <w:top w:val="single" w:sz="4" w:space="0" w:color="auto"/>
              <w:left w:val="single" w:sz="4" w:space="0" w:color="auto"/>
              <w:bottom w:val="single" w:sz="4" w:space="0" w:color="auto"/>
              <w:right w:val="single" w:sz="4" w:space="0" w:color="auto"/>
            </w:tcBorders>
            <w:hideMark/>
          </w:tcPr>
          <w:p w14:paraId="0BBAE23B" w14:textId="77777777" w:rsidR="0005702C" w:rsidRPr="005B388C" w:rsidRDefault="0005702C" w:rsidP="00AF407E">
            <w:pPr>
              <w:pStyle w:val="Tabletext"/>
            </w:pPr>
            <w:r w:rsidRPr="005B388C">
              <w:t>Stroke risk distribution in NVAF</w:t>
            </w:r>
          </w:p>
        </w:tc>
      </w:tr>
      <w:tr w:rsidR="0005702C" w:rsidRPr="005B388C" w14:paraId="610613CB" w14:textId="77777777" w:rsidTr="00AF407E">
        <w:trPr>
          <w:trHeight w:val="298"/>
        </w:trPr>
        <w:tc>
          <w:tcPr>
            <w:tcW w:w="2589" w:type="dxa"/>
            <w:tcBorders>
              <w:top w:val="single" w:sz="4" w:space="0" w:color="auto"/>
              <w:left w:val="single" w:sz="4" w:space="0" w:color="auto"/>
              <w:bottom w:val="single" w:sz="4" w:space="0" w:color="auto"/>
              <w:right w:val="single" w:sz="4" w:space="0" w:color="auto"/>
            </w:tcBorders>
            <w:hideMark/>
          </w:tcPr>
          <w:p w14:paraId="061A3FB0" w14:textId="77777777" w:rsidR="0005702C" w:rsidRPr="005B388C" w:rsidRDefault="0005702C" w:rsidP="00AF407E">
            <w:pPr>
              <w:pStyle w:val="Tabletext"/>
            </w:pPr>
            <w:r w:rsidRPr="005B388C">
              <w:t xml:space="preserve">CHADS2≥2 </w:t>
            </w:r>
          </w:p>
        </w:tc>
        <w:tc>
          <w:tcPr>
            <w:tcW w:w="3556" w:type="dxa"/>
            <w:tcBorders>
              <w:top w:val="single" w:sz="4" w:space="0" w:color="auto"/>
              <w:left w:val="single" w:sz="4" w:space="0" w:color="auto"/>
              <w:bottom w:val="single" w:sz="4" w:space="0" w:color="auto"/>
              <w:right w:val="single" w:sz="4" w:space="0" w:color="auto"/>
            </w:tcBorders>
            <w:hideMark/>
          </w:tcPr>
          <w:p w14:paraId="3809E4CE" w14:textId="77777777" w:rsidR="0005702C" w:rsidRPr="005B388C" w:rsidRDefault="0005702C" w:rsidP="00AF407E">
            <w:pPr>
              <w:pStyle w:val="Tabletext"/>
            </w:pPr>
            <w:r w:rsidRPr="005B388C">
              <w:t>63.56%</w:t>
            </w:r>
          </w:p>
        </w:tc>
        <w:tc>
          <w:tcPr>
            <w:tcW w:w="2361" w:type="dxa"/>
            <w:tcBorders>
              <w:left w:val="single" w:sz="4" w:space="0" w:color="auto"/>
              <w:right w:val="single" w:sz="4" w:space="0" w:color="auto"/>
            </w:tcBorders>
          </w:tcPr>
          <w:p w14:paraId="6E9B9092" w14:textId="7CCA3E89" w:rsidR="0005702C" w:rsidRPr="005B388C" w:rsidRDefault="00DC215F" w:rsidP="00AF407E">
            <w:pPr>
              <w:pStyle w:val="Tabletext"/>
            </w:pPr>
            <w:r w:rsidRPr="005B388C">
              <w:t>Bista 2017, Table 1</w:t>
            </w:r>
          </w:p>
        </w:tc>
      </w:tr>
    </w:tbl>
    <w:p w14:paraId="37685829" w14:textId="77777777" w:rsidR="0005702C" w:rsidRDefault="0005702C" w:rsidP="00FA465B">
      <w:pPr>
        <w:pStyle w:val="TableNote"/>
        <w:ind w:left="426"/>
        <w:rPr>
          <w:szCs w:val="20"/>
        </w:rPr>
      </w:pPr>
      <w:r>
        <w:t>Abbreviations: AF, atrial fibrillation; NOAC, novel oral anti-coagulants; NVAF, non-valvar atrial fibrillation; MBS, Medicare benefits schedule</w:t>
      </w:r>
    </w:p>
    <w:p w14:paraId="734AB907" w14:textId="77777777" w:rsidR="00FA465B" w:rsidRDefault="00FA465B" w:rsidP="0005702C">
      <w:pPr>
        <w:ind w:left="426"/>
        <w:rPr>
          <w:szCs w:val="20"/>
        </w:rPr>
      </w:pPr>
    </w:p>
    <w:p w14:paraId="390AEE0B" w14:textId="6A05716F" w:rsidR="0005702C" w:rsidRPr="00DC7C25" w:rsidRDefault="00DA7215" w:rsidP="0005702C">
      <w:pPr>
        <w:ind w:left="426"/>
        <w:rPr>
          <w:szCs w:val="20"/>
        </w:rPr>
      </w:pPr>
      <w:r w:rsidRPr="00DC7C25">
        <w:rPr>
          <w:szCs w:val="20"/>
        </w:rPr>
        <w:t>I</w:t>
      </w:r>
      <w:r>
        <w:rPr>
          <w:szCs w:val="20"/>
        </w:rPr>
        <w:t>t is</w:t>
      </w:r>
      <w:r w:rsidR="0005702C" w:rsidRPr="00DC7C25">
        <w:rPr>
          <w:szCs w:val="20"/>
        </w:rPr>
        <w:t xml:space="preserve"> </w:t>
      </w:r>
      <w:r w:rsidR="0005702C">
        <w:rPr>
          <w:szCs w:val="20"/>
        </w:rPr>
        <w:t xml:space="preserve">proposed </w:t>
      </w:r>
      <w:r w:rsidR="007815DB">
        <w:rPr>
          <w:szCs w:val="20"/>
        </w:rPr>
        <w:t xml:space="preserve">eligibility of LAAC is for patient with </w:t>
      </w:r>
      <w:r>
        <w:rPr>
          <w:szCs w:val="20"/>
        </w:rPr>
        <w:t>a ‘relative’ contraindication to life-long OAT</w:t>
      </w:r>
      <w:r w:rsidR="007815DB">
        <w:rPr>
          <w:szCs w:val="20"/>
        </w:rPr>
        <w:t>, as defined in Q.25</w:t>
      </w:r>
      <w:r>
        <w:rPr>
          <w:szCs w:val="20"/>
        </w:rPr>
        <w:t xml:space="preserve">. Patients considered eligible for LAAC must also meet certain anatomical </w:t>
      </w:r>
      <w:r w:rsidR="0005702C" w:rsidRPr="00DC7C25">
        <w:rPr>
          <w:szCs w:val="20"/>
        </w:rPr>
        <w:t>suitab</w:t>
      </w:r>
      <w:r w:rsidR="0005702C">
        <w:rPr>
          <w:szCs w:val="20"/>
        </w:rPr>
        <w:t>i</w:t>
      </w:r>
      <w:r w:rsidR="0005702C" w:rsidRPr="00DC7C25">
        <w:rPr>
          <w:szCs w:val="20"/>
        </w:rPr>
        <w:t>l</w:t>
      </w:r>
      <w:r w:rsidR="0005702C">
        <w:rPr>
          <w:szCs w:val="20"/>
        </w:rPr>
        <w:t>ity</w:t>
      </w:r>
      <w:r w:rsidR="0005702C" w:rsidRPr="00DC7C25">
        <w:rPr>
          <w:szCs w:val="20"/>
        </w:rPr>
        <w:t xml:space="preserve"> </w:t>
      </w:r>
      <w:r>
        <w:rPr>
          <w:szCs w:val="20"/>
        </w:rPr>
        <w:t xml:space="preserve">criteria </w:t>
      </w:r>
      <w:r w:rsidR="0005702C" w:rsidRPr="00DC7C25">
        <w:rPr>
          <w:szCs w:val="20"/>
        </w:rPr>
        <w:t>for</w:t>
      </w:r>
      <w:r w:rsidR="0005702C">
        <w:rPr>
          <w:szCs w:val="20"/>
        </w:rPr>
        <w:t xml:space="preserve"> the LAAC. </w:t>
      </w:r>
    </w:p>
    <w:p w14:paraId="01F5172C" w14:textId="19A563D4" w:rsidR="0005702C" w:rsidRDefault="0005702C" w:rsidP="0005702C">
      <w:pPr>
        <w:ind w:left="426"/>
        <w:rPr>
          <w:szCs w:val="20"/>
        </w:rPr>
      </w:pPr>
      <w:r>
        <w:rPr>
          <w:szCs w:val="20"/>
        </w:rPr>
        <w:t xml:space="preserve">The rate of relative </w:t>
      </w:r>
      <w:r w:rsidR="00DA7215">
        <w:rPr>
          <w:szCs w:val="20"/>
        </w:rPr>
        <w:t xml:space="preserve">contraindication </w:t>
      </w:r>
      <w:r>
        <w:rPr>
          <w:szCs w:val="20"/>
        </w:rPr>
        <w:t xml:space="preserve">in the patient population is derived from Steinberg et al., </w:t>
      </w:r>
      <w:r w:rsidR="00DA7215">
        <w:rPr>
          <w:szCs w:val="20"/>
        </w:rPr>
        <w:t>(</w:t>
      </w:r>
      <w:r w:rsidR="00BD5B1F">
        <w:rPr>
          <w:szCs w:val="20"/>
        </w:rPr>
        <w:t>2015</w:t>
      </w:r>
      <w:r w:rsidR="00DA7215">
        <w:rPr>
          <w:szCs w:val="20"/>
        </w:rPr>
        <w:t>),</w:t>
      </w:r>
      <w:r>
        <w:rPr>
          <w:szCs w:val="20"/>
        </w:rPr>
        <w:t xml:space="preserve"> a r</w:t>
      </w:r>
      <w:r w:rsidRPr="00544480">
        <w:rPr>
          <w:szCs w:val="20"/>
        </w:rPr>
        <w:t xml:space="preserve">etrospective cohort study using </w:t>
      </w:r>
      <w:r>
        <w:rPr>
          <w:szCs w:val="20"/>
        </w:rPr>
        <w:t xml:space="preserve">a </w:t>
      </w:r>
      <w:r w:rsidRPr="00544480">
        <w:rPr>
          <w:szCs w:val="20"/>
        </w:rPr>
        <w:t>5% sample of Medicare standard analytic files and corresponding denominator files from the US Centers for Medicare &amp; Medicaid Services for</w:t>
      </w:r>
      <w:r>
        <w:rPr>
          <w:szCs w:val="20"/>
        </w:rPr>
        <w:t xml:space="preserve"> 84,799 AF patients from</w:t>
      </w:r>
      <w:r w:rsidRPr="00544480">
        <w:rPr>
          <w:szCs w:val="20"/>
        </w:rPr>
        <w:t xml:space="preserve"> 2009 through 2010. </w:t>
      </w:r>
      <w:r w:rsidR="00BD5B1F" w:rsidRPr="00BD5B1F">
        <w:rPr>
          <w:szCs w:val="20"/>
        </w:rPr>
        <w:t xml:space="preserve">Steinberg et al (2015) define relative contraindications as advanced age (85 years or older), evidence of dementia, gastrointestinal haemorrhage, thrombocytopenia, anaemia, haematological malignancy and traumatic intracranial haemorrhage. </w:t>
      </w:r>
      <w:r w:rsidR="00BD5B1F">
        <w:rPr>
          <w:szCs w:val="20"/>
        </w:rPr>
        <w:t xml:space="preserve">Of the total cohort, </w:t>
      </w:r>
      <w:r>
        <w:rPr>
          <w:szCs w:val="20"/>
        </w:rPr>
        <w:t xml:space="preserve">47.0% of patients were found to have a relative </w:t>
      </w:r>
      <w:r w:rsidR="00DA7215">
        <w:rPr>
          <w:szCs w:val="20"/>
        </w:rPr>
        <w:t xml:space="preserve">contraindication </w:t>
      </w:r>
      <w:r>
        <w:rPr>
          <w:szCs w:val="20"/>
        </w:rPr>
        <w:t>to OAT</w:t>
      </w:r>
      <w:r w:rsidR="00DA7215">
        <w:rPr>
          <w:szCs w:val="20"/>
        </w:rPr>
        <w:t xml:space="preserve">, with </w:t>
      </w:r>
      <w:r>
        <w:rPr>
          <w:szCs w:val="20"/>
        </w:rPr>
        <w:t xml:space="preserve">the distribution of relative </w:t>
      </w:r>
      <w:r w:rsidR="00DA7215">
        <w:rPr>
          <w:szCs w:val="20"/>
        </w:rPr>
        <w:t xml:space="preserve">contraindications </w:t>
      </w:r>
      <w:r w:rsidR="00F02053">
        <w:rPr>
          <w:szCs w:val="20"/>
        </w:rPr>
        <w:t>provided</w:t>
      </w:r>
      <w:r>
        <w:rPr>
          <w:szCs w:val="20"/>
        </w:rPr>
        <w:t xml:space="preserve"> in </w:t>
      </w:r>
      <w:r>
        <w:rPr>
          <w:szCs w:val="20"/>
        </w:rPr>
        <w:fldChar w:fldCharType="begin"/>
      </w:r>
      <w:r>
        <w:rPr>
          <w:szCs w:val="20"/>
        </w:rPr>
        <w:instrText xml:space="preserve"> REF _Ref22917529 \h </w:instrText>
      </w:r>
      <w:r>
        <w:rPr>
          <w:szCs w:val="20"/>
        </w:rPr>
      </w:r>
      <w:r>
        <w:rPr>
          <w:szCs w:val="20"/>
        </w:rPr>
        <w:fldChar w:fldCharType="separate"/>
      </w:r>
      <w:r w:rsidR="004E2E17">
        <w:t xml:space="preserve">Table </w:t>
      </w:r>
      <w:r w:rsidR="004E2E17">
        <w:rPr>
          <w:noProof/>
        </w:rPr>
        <w:t>5</w:t>
      </w:r>
      <w:r>
        <w:rPr>
          <w:szCs w:val="20"/>
        </w:rPr>
        <w:fldChar w:fldCharType="end"/>
      </w:r>
      <w:r>
        <w:rPr>
          <w:szCs w:val="20"/>
        </w:rPr>
        <w:t>.</w:t>
      </w:r>
      <w:r w:rsidR="00BD5B1F">
        <w:rPr>
          <w:szCs w:val="20"/>
        </w:rPr>
        <w:t xml:space="preserve"> </w:t>
      </w:r>
      <w:r w:rsidR="000E3B7F">
        <w:rPr>
          <w:szCs w:val="20"/>
        </w:rPr>
        <w:t>The application excludes patients with relative contraindications not related to bleeding risk</w:t>
      </w:r>
      <w:r w:rsidR="001465B1">
        <w:rPr>
          <w:szCs w:val="20"/>
        </w:rPr>
        <w:t xml:space="preserve"> (dementia, age &gt; 85 years)</w:t>
      </w:r>
      <w:r w:rsidR="00F147A6">
        <w:rPr>
          <w:szCs w:val="20"/>
        </w:rPr>
        <w:t xml:space="preserve"> which results in approximately 31% of patients having relative contraindications related to bleeding risk.</w:t>
      </w:r>
      <w:r w:rsidR="008E7218">
        <w:rPr>
          <w:szCs w:val="20"/>
        </w:rPr>
        <w:t xml:space="preserve"> </w:t>
      </w:r>
      <w:r w:rsidR="00F147A6">
        <w:rPr>
          <w:szCs w:val="20"/>
        </w:rPr>
        <w:t xml:space="preserve">The application accepts that there is likely to be patient overlap among bleeding related contraindications and hence the estimate applied in the application model is considered an approximate value. </w:t>
      </w:r>
    </w:p>
    <w:p w14:paraId="702EAB40" w14:textId="643F01D5" w:rsidR="0005702C" w:rsidRDefault="0005702C" w:rsidP="0005702C">
      <w:pPr>
        <w:pStyle w:val="Caption"/>
        <w:keepNext/>
      </w:pPr>
      <w:bookmarkStart w:id="30" w:name="_Ref22917529"/>
      <w:r>
        <w:t xml:space="preserve">Table </w:t>
      </w:r>
      <w:fldSimple w:instr=" SEQ Table \* ARABIC ">
        <w:r w:rsidR="004E2E17">
          <w:rPr>
            <w:noProof/>
          </w:rPr>
          <w:t>5</w:t>
        </w:r>
      </w:fldSimple>
      <w:bookmarkEnd w:id="30"/>
      <w:r>
        <w:tab/>
        <w:t xml:space="preserve">Distribution of </w:t>
      </w:r>
      <w:r w:rsidR="00F02053">
        <w:t xml:space="preserve">relative </w:t>
      </w:r>
      <w:r w:rsidR="00DA7215">
        <w:t xml:space="preserve">contraindications </w:t>
      </w:r>
      <w:r>
        <w:t>in Steinberg et al.,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4158"/>
      </w:tblGrid>
      <w:tr w:rsidR="0005702C" w:rsidRPr="00202878" w14:paraId="25F7A74B" w14:textId="77777777" w:rsidTr="00AF407E">
        <w:trPr>
          <w:trHeight w:val="219"/>
          <w:jc w:val="center"/>
        </w:trPr>
        <w:tc>
          <w:tcPr>
            <w:tcW w:w="4158" w:type="dxa"/>
          </w:tcPr>
          <w:p w14:paraId="496CA0CC" w14:textId="77777777" w:rsidR="0005702C" w:rsidRPr="00202878" w:rsidRDefault="0005702C" w:rsidP="00AF407E">
            <w:pPr>
              <w:pStyle w:val="Tabletext"/>
              <w:rPr>
                <w:b/>
                <w:bCs w:val="0"/>
              </w:rPr>
            </w:pPr>
            <w:r w:rsidRPr="00202878">
              <w:rPr>
                <w:b/>
                <w:bCs w:val="0"/>
              </w:rPr>
              <w:t>Condition</w:t>
            </w:r>
          </w:p>
        </w:tc>
        <w:tc>
          <w:tcPr>
            <w:tcW w:w="4158" w:type="dxa"/>
          </w:tcPr>
          <w:p w14:paraId="67619756" w14:textId="2A633ACA" w:rsidR="0005702C" w:rsidRPr="00202878" w:rsidRDefault="0005702C" w:rsidP="00AF407E">
            <w:pPr>
              <w:pStyle w:val="Tabletext"/>
              <w:rPr>
                <w:b/>
                <w:bCs w:val="0"/>
              </w:rPr>
            </w:pPr>
            <w:r w:rsidRPr="00202878">
              <w:rPr>
                <w:b/>
                <w:bCs w:val="0"/>
              </w:rPr>
              <w:t xml:space="preserve">Patients, </w:t>
            </w:r>
            <w:r w:rsidR="00F02053">
              <w:rPr>
                <w:b/>
                <w:bCs w:val="0"/>
              </w:rPr>
              <w:t xml:space="preserve">n </w:t>
            </w:r>
            <w:r w:rsidRPr="00202878">
              <w:rPr>
                <w:b/>
                <w:bCs w:val="0"/>
              </w:rPr>
              <w:t>(%) (N = 84,799)</w:t>
            </w:r>
          </w:p>
        </w:tc>
      </w:tr>
      <w:tr w:rsidR="0005702C" w:rsidRPr="00202878" w14:paraId="75A6352B" w14:textId="77777777" w:rsidTr="00AF407E">
        <w:trPr>
          <w:trHeight w:val="141"/>
          <w:jc w:val="center"/>
        </w:trPr>
        <w:tc>
          <w:tcPr>
            <w:tcW w:w="4158" w:type="dxa"/>
          </w:tcPr>
          <w:p w14:paraId="28D9B50D" w14:textId="0CFC4006" w:rsidR="0005702C" w:rsidRPr="00202878" w:rsidRDefault="001A1E76" w:rsidP="00AF407E">
            <w:pPr>
              <w:pStyle w:val="Tabletext"/>
            </w:pPr>
            <w:r>
              <w:t>Relative contraindication to OAT</w:t>
            </w:r>
            <w:r w:rsidR="0005702C" w:rsidRPr="00202878">
              <w:t xml:space="preserve"> </w:t>
            </w:r>
          </w:p>
        </w:tc>
        <w:tc>
          <w:tcPr>
            <w:tcW w:w="4158" w:type="dxa"/>
          </w:tcPr>
          <w:p w14:paraId="43036E2B" w14:textId="77777777" w:rsidR="0005702C" w:rsidRPr="00202878" w:rsidRDefault="0005702C" w:rsidP="00AF407E">
            <w:pPr>
              <w:pStyle w:val="Tabletext"/>
            </w:pPr>
            <w:r w:rsidRPr="00202878">
              <w:t>39,592 (47.0)</w:t>
            </w:r>
          </w:p>
        </w:tc>
      </w:tr>
      <w:tr w:rsidR="0005702C" w:rsidRPr="00202878" w14:paraId="64F51164" w14:textId="77777777" w:rsidTr="00AF407E">
        <w:trPr>
          <w:trHeight w:val="141"/>
          <w:jc w:val="center"/>
        </w:trPr>
        <w:tc>
          <w:tcPr>
            <w:tcW w:w="4158" w:type="dxa"/>
          </w:tcPr>
          <w:p w14:paraId="0452B2C1" w14:textId="77777777" w:rsidR="0005702C" w:rsidRPr="00202878" w:rsidRDefault="0005702C" w:rsidP="001465B1">
            <w:pPr>
              <w:pStyle w:val="Tabletext"/>
              <w:ind w:left="171"/>
            </w:pPr>
            <w:r w:rsidRPr="00202878">
              <w:t>Age &gt; 85 years</w:t>
            </w:r>
          </w:p>
        </w:tc>
        <w:tc>
          <w:tcPr>
            <w:tcW w:w="4158" w:type="dxa"/>
          </w:tcPr>
          <w:p w14:paraId="73A03A9A" w14:textId="77777777" w:rsidR="0005702C" w:rsidRPr="00202878" w:rsidRDefault="0005702C" w:rsidP="00AF407E">
            <w:pPr>
              <w:pStyle w:val="Tabletext"/>
            </w:pPr>
            <w:r w:rsidRPr="00202878">
              <w:t>22,451 (26.5)</w:t>
            </w:r>
          </w:p>
        </w:tc>
      </w:tr>
      <w:tr w:rsidR="0005702C" w:rsidRPr="00202878" w14:paraId="5910B5F5" w14:textId="77777777" w:rsidTr="00AF407E">
        <w:trPr>
          <w:trHeight w:val="141"/>
          <w:jc w:val="center"/>
        </w:trPr>
        <w:tc>
          <w:tcPr>
            <w:tcW w:w="4158" w:type="dxa"/>
          </w:tcPr>
          <w:p w14:paraId="28A91574" w14:textId="1E86DFC8" w:rsidR="0005702C" w:rsidRPr="00202878" w:rsidRDefault="00643F41" w:rsidP="001465B1">
            <w:pPr>
              <w:pStyle w:val="Tabletext"/>
              <w:ind w:left="171"/>
            </w:pPr>
            <w:r w:rsidRPr="00202878">
              <w:t>Anaemia</w:t>
            </w:r>
          </w:p>
        </w:tc>
        <w:tc>
          <w:tcPr>
            <w:tcW w:w="4158" w:type="dxa"/>
          </w:tcPr>
          <w:p w14:paraId="79A8BABC" w14:textId="77777777" w:rsidR="0005702C" w:rsidRPr="00202878" w:rsidRDefault="0005702C" w:rsidP="00AF407E">
            <w:pPr>
              <w:pStyle w:val="Tabletext"/>
            </w:pPr>
            <w:r w:rsidRPr="00202878">
              <w:t>13,527 (16.0)</w:t>
            </w:r>
          </w:p>
        </w:tc>
      </w:tr>
      <w:tr w:rsidR="0005702C" w:rsidRPr="00202878" w14:paraId="221FA6E1" w14:textId="77777777" w:rsidTr="00AF407E">
        <w:trPr>
          <w:trHeight w:val="141"/>
          <w:jc w:val="center"/>
        </w:trPr>
        <w:tc>
          <w:tcPr>
            <w:tcW w:w="4158" w:type="dxa"/>
          </w:tcPr>
          <w:p w14:paraId="712154FD" w14:textId="77777777" w:rsidR="0005702C" w:rsidRPr="00202878" w:rsidRDefault="0005702C" w:rsidP="001465B1">
            <w:pPr>
              <w:pStyle w:val="Tabletext"/>
              <w:ind w:left="171"/>
            </w:pPr>
            <w:r w:rsidRPr="00202878">
              <w:t>Prior gastrointestinal bleed</w:t>
            </w:r>
          </w:p>
        </w:tc>
        <w:tc>
          <w:tcPr>
            <w:tcW w:w="4158" w:type="dxa"/>
          </w:tcPr>
          <w:p w14:paraId="26C657B6" w14:textId="77777777" w:rsidR="0005702C" w:rsidRPr="00202878" w:rsidRDefault="0005702C" w:rsidP="00AF407E">
            <w:pPr>
              <w:pStyle w:val="Tabletext"/>
            </w:pPr>
            <w:r w:rsidRPr="00202878">
              <w:t>7973 (9.4)</w:t>
            </w:r>
          </w:p>
        </w:tc>
      </w:tr>
      <w:tr w:rsidR="0005702C" w:rsidRPr="00202878" w14:paraId="6AE6540B" w14:textId="77777777" w:rsidTr="00AF407E">
        <w:trPr>
          <w:trHeight w:val="141"/>
          <w:jc w:val="center"/>
        </w:trPr>
        <w:tc>
          <w:tcPr>
            <w:tcW w:w="4158" w:type="dxa"/>
          </w:tcPr>
          <w:p w14:paraId="3351BD56" w14:textId="77777777" w:rsidR="0005702C" w:rsidRPr="00202878" w:rsidRDefault="0005702C" w:rsidP="001465B1">
            <w:pPr>
              <w:pStyle w:val="Tabletext"/>
              <w:ind w:left="171"/>
            </w:pPr>
            <w:r w:rsidRPr="00202878">
              <w:t>Dementia</w:t>
            </w:r>
          </w:p>
        </w:tc>
        <w:tc>
          <w:tcPr>
            <w:tcW w:w="4158" w:type="dxa"/>
          </w:tcPr>
          <w:p w14:paraId="61D95D8A" w14:textId="77777777" w:rsidR="0005702C" w:rsidRPr="00202878" w:rsidRDefault="0005702C" w:rsidP="00AF407E">
            <w:pPr>
              <w:pStyle w:val="Tabletext"/>
            </w:pPr>
            <w:r w:rsidRPr="00202878">
              <w:t>7102 (8.4)</w:t>
            </w:r>
          </w:p>
        </w:tc>
      </w:tr>
      <w:tr w:rsidR="0005702C" w:rsidRPr="00202878" w14:paraId="4C6610A6" w14:textId="77777777" w:rsidTr="00AF407E">
        <w:trPr>
          <w:trHeight w:val="141"/>
          <w:jc w:val="center"/>
        </w:trPr>
        <w:tc>
          <w:tcPr>
            <w:tcW w:w="4158" w:type="dxa"/>
          </w:tcPr>
          <w:p w14:paraId="21330CD4" w14:textId="77777777" w:rsidR="0005702C" w:rsidRPr="00202878" w:rsidRDefault="0005702C" w:rsidP="001465B1">
            <w:pPr>
              <w:pStyle w:val="Tabletext"/>
              <w:ind w:left="171"/>
            </w:pPr>
            <w:r w:rsidRPr="00202878">
              <w:t>Thrombocytopenia</w:t>
            </w:r>
          </w:p>
        </w:tc>
        <w:tc>
          <w:tcPr>
            <w:tcW w:w="4158" w:type="dxa"/>
          </w:tcPr>
          <w:p w14:paraId="3E7FEAF8" w14:textId="77777777" w:rsidR="0005702C" w:rsidRPr="00202878" w:rsidRDefault="0005702C" w:rsidP="00AF407E">
            <w:pPr>
              <w:pStyle w:val="Tabletext"/>
            </w:pPr>
            <w:r w:rsidRPr="00202878">
              <w:t>2568 (3.0)</w:t>
            </w:r>
          </w:p>
        </w:tc>
      </w:tr>
      <w:tr w:rsidR="0005702C" w:rsidRPr="00202878" w14:paraId="786BDE43" w14:textId="77777777" w:rsidTr="00AF407E">
        <w:trPr>
          <w:trHeight w:val="141"/>
          <w:jc w:val="center"/>
        </w:trPr>
        <w:tc>
          <w:tcPr>
            <w:tcW w:w="4158" w:type="dxa"/>
          </w:tcPr>
          <w:p w14:paraId="02998102" w14:textId="17C12D26" w:rsidR="0005702C" w:rsidRPr="00202878" w:rsidRDefault="00643F41" w:rsidP="001465B1">
            <w:pPr>
              <w:pStyle w:val="Tabletext"/>
              <w:ind w:left="171"/>
            </w:pPr>
            <w:r w:rsidRPr="00202878">
              <w:t>Haematological</w:t>
            </w:r>
            <w:r w:rsidR="0005702C" w:rsidRPr="00202878">
              <w:t xml:space="preserve"> malignancy</w:t>
            </w:r>
          </w:p>
        </w:tc>
        <w:tc>
          <w:tcPr>
            <w:tcW w:w="4158" w:type="dxa"/>
          </w:tcPr>
          <w:p w14:paraId="55F6CEE4" w14:textId="77777777" w:rsidR="0005702C" w:rsidRPr="00202878" w:rsidRDefault="0005702C" w:rsidP="00AF407E">
            <w:pPr>
              <w:pStyle w:val="Tabletext"/>
            </w:pPr>
            <w:r w:rsidRPr="00202878">
              <w:t>1791 (2.1)</w:t>
            </w:r>
          </w:p>
        </w:tc>
      </w:tr>
      <w:tr w:rsidR="0005702C" w:rsidRPr="00202878" w14:paraId="0ED1FEFB" w14:textId="77777777" w:rsidTr="00AF407E">
        <w:trPr>
          <w:trHeight w:val="141"/>
          <w:jc w:val="center"/>
        </w:trPr>
        <w:tc>
          <w:tcPr>
            <w:tcW w:w="4158" w:type="dxa"/>
          </w:tcPr>
          <w:p w14:paraId="5D3AB496" w14:textId="082ABD2C" w:rsidR="0005702C" w:rsidRPr="00202878" w:rsidRDefault="0005702C" w:rsidP="001465B1">
            <w:pPr>
              <w:pStyle w:val="Tabletext"/>
              <w:ind w:left="171"/>
            </w:pPr>
            <w:r w:rsidRPr="00202878">
              <w:t xml:space="preserve">Traumatic intracranial </w:t>
            </w:r>
            <w:r w:rsidR="00643F41" w:rsidRPr="00202878">
              <w:t>haemorrhage</w:t>
            </w:r>
          </w:p>
        </w:tc>
        <w:tc>
          <w:tcPr>
            <w:tcW w:w="4158" w:type="dxa"/>
          </w:tcPr>
          <w:p w14:paraId="302ECF43" w14:textId="77777777" w:rsidR="0005702C" w:rsidRPr="00202878" w:rsidRDefault="0005702C" w:rsidP="00AF407E">
            <w:pPr>
              <w:pStyle w:val="Tabletext"/>
            </w:pPr>
            <w:r w:rsidRPr="00202878">
              <w:t>170 (0.2)</w:t>
            </w:r>
          </w:p>
        </w:tc>
      </w:tr>
      <w:tr w:rsidR="000E3B7F" w:rsidRPr="00202878" w14:paraId="48964BBA" w14:textId="77777777" w:rsidTr="00AF407E">
        <w:trPr>
          <w:trHeight w:val="141"/>
          <w:jc w:val="center"/>
        </w:trPr>
        <w:tc>
          <w:tcPr>
            <w:tcW w:w="4158" w:type="dxa"/>
          </w:tcPr>
          <w:p w14:paraId="69FCF4F1" w14:textId="2CF66BF7" w:rsidR="000E3B7F" w:rsidRPr="00202878" w:rsidRDefault="00C931E7" w:rsidP="00AF407E">
            <w:pPr>
              <w:pStyle w:val="Tabletext"/>
            </w:pPr>
            <w:r>
              <w:t>Relative contraindication related to bleeding risk</w:t>
            </w:r>
          </w:p>
        </w:tc>
        <w:tc>
          <w:tcPr>
            <w:tcW w:w="4158" w:type="dxa"/>
          </w:tcPr>
          <w:p w14:paraId="284DB7F0" w14:textId="049EFFA3" w:rsidR="000E3B7F" w:rsidRPr="00202878" w:rsidRDefault="00C931E7" w:rsidP="00AF407E">
            <w:pPr>
              <w:pStyle w:val="Tabletext"/>
            </w:pPr>
            <w:r>
              <w:t>Approximately 31%</w:t>
            </w:r>
          </w:p>
        </w:tc>
      </w:tr>
    </w:tbl>
    <w:p w14:paraId="079EF1CD" w14:textId="77777777" w:rsidR="00FA465B" w:rsidRDefault="00FA465B" w:rsidP="00812ACA">
      <w:pPr>
        <w:ind w:left="426"/>
        <w:rPr>
          <w:szCs w:val="20"/>
        </w:rPr>
      </w:pPr>
    </w:p>
    <w:p w14:paraId="29C29F3D" w14:textId="0E8C4B0A" w:rsidR="008E7218" w:rsidRDefault="00812ACA" w:rsidP="008E7218">
      <w:pPr>
        <w:ind w:left="426"/>
        <w:rPr>
          <w:szCs w:val="20"/>
        </w:rPr>
      </w:pPr>
      <w:r>
        <w:rPr>
          <w:szCs w:val="20"/>
        </w:rPr>
        <w:t xml:space="preserve">O’Brien et al., (2014) also reported rates of event-related and patient-related contraindications (as an approximation of relative contraindications) in 10,130 patients from the Outcomes Registry for </w:t>
      </w:r>
      <w:r>
        <w:rPr>
          <w:szCs w:val="20"/>
        </w:rPr>
        <w:lastRenderedPageBreak/>
        <w:t>Better Informed Treatment of Atrial Fibrillation (ORBIT-AF) between June 2010 and August 2011.</w:t>
      </w:r>
      <w:r w:rsidR="008E7218">
        <w:rPr>
          <w:szCs w:val="20"/>
        </w:rPr>
        <w:t xml:space="preserve"> C</w:t>
      </w:r>
      <w:r w:rsidR="008E7218" w:rsidRPr="008E7218">
        <w:rPr>
          <w:szCs w:val="20"/>
        </w:rPr>
        <w:t>ontraindication</w:t>
      </w:r>
      <w:r w:rsidR="008E7218">
        <w:rPr>
          <w:szCs w:val="20"/>
        </w:rPr>
        <w:t xml:space="preserve">s </w:t>
      </w:r>
      <w:r w:rsidR="008E7218" w:rsidRPr="008E7218">
        <w:rPr>
          <w:szCs w:val="20"/>
        </w:rPr>
        <w:t>to</w:t>
      </w:r>
      <w:r w:rsidR="008E7218">
        <w:rPr>
          <w:szCs w:val="20"/>
        </w:rPr>
        <w:t xml:space="preserve"> </w:t>
      </w:r>
      <w:r w:rsidR="008E7218" w:rsidRPr="008E7218">
        <w:rPr>
          <w:szCs w:val="20"/>
        </w:rPr>
        <w:t>OAC therapy</w:t>
      </w:r>
      <w:r w:rsidR="008E7218">
        <w:rPr>
          <w:szCs w:val="20"/>
        </w:rPr>
        <w:t xml:space="preserve"> were</w:t>
      </w:r>
      <w:r w:rsidR="008E7218" w:rsidRPr="008E7218">
        <w:rPr>
          <w:szCs w:val="20"/>
        </w:rPr>
        <w:t xml:space="preserve"> documented by the provider at the baseline</w:t>
      </w:r>
      <w:r w:rsidR="008E7218">
        <w:rPr>
          <w:szCs w:val="20"/>
        </w:rPr>
        <w:t xml:space="preserve"> </w:t>
      </w:r>
      <w:r w:rsidR="008E7218" w:rsidRPr="008E7218">
        <w:rPr>
          <w:szCs w:val="20"/>
        </w:rPr>
        <w:t>enrolment visit and documented in the medical record</w:t>
      </w:r>
      <w:r w:rsidR="008E7218">
        <w:rPr>
          <w:szCs w:val="20"/>
        </w:rPr>
        <w:t>.</w:t>
      </w:r>
      <w:r w:rsidR="002E2626">
        <w:rPr>
          <w:szCs w:val="20"/>
        </w:rPr>
        <w:t xml:space="preserve"> </w:t>
      </w:r>
      <w:r>
        <w:rPr>
          <w:szCs w:val="20"/>
        </w:rPr>
        <w:t xml:space="preserve">This study </w:t>
      </w:r>
      <w:r w:rsidR="001A1E76">
        <w:rPr>
          <w:szCs w:val="20"/>
        </w:rPr>
        <w:t>reported</w:t>
      </w:r>
      <w:r>
        <w:rPr>
          <w:szCs w:val="20"/>
        </w:rPr>
        <w:t xml:space="preserve"> an overall contraindication rate of 13.1% (both event and patients related contraindications). The lower rate of contraindications reported in O’Brien et al., (2014) compared to Steinberg et al., (2015) reflects the wide range of contraindication rates reported in the literature</w:t>
      </w:r>
      <w:r w:rsidR="000D611F">
        <w:rPr>
          <w:szCs w:val="20"/>
        </w:rPr>
        <w:t xml:space="preserve"> which have been reported</w:t>
      </w:r>
      <w:r w:rsidR="000D611F" w:rsidRPr="000D611F">
        <w:rPr>
          <w:szCs w:val="20"/>
        </w:rPr>
        <w:t xml:space="preserve"> from less than 20% to more than 50%</w:t>
      </w:r>
      <w:r w:rsidR="000D611F">
        <w:rPr>
          <w:szCs w:val="20"/>
        </w:rPr>
        <w:t xml:space="preserve"> (Flaker et al., 1999; Smith et al., 1999; Bradley et al., 2000;Kalra et al., 2000; Kakkar et al., 2013)</w:t>
      </w:r>
      <w:r>
        <w:rPr>
          <w:szCs w:val="20"/>
        </w:rPr>
        <w:t xml:space="preserve">. </w:t>
      </w:r>
    </w:p>
    <w:p w14:paraId="4ACB69E7" w14:textId="6B7D61A0" w:rsidR="008E7218" w:rsidRDefault="002E2626" w:rsidP="008E7218">
      <w:pPr>
        <w:ind w:left="426"/>
        <w:rPr>
          <w:szCs w:val="20"/>
        </w:rPr>
      </w:pPr>
      <w:r>
        <w:rPr>
          <w:szCs w:val="20"/>
        </w:rPr>
        <w:t>Rates</w:t>
      </w:r>
      <w:r w:rsidR="008E7218">
        <w:rPr>
          <w:szCs w:val="20"/>
        </w:rPr>
        <w:t xml:space="preserve"> of relative contraindications reported in Steinberg are used in the model over those presented in O’Brien because Steinberg utilised data from an inpatient and outpatient setting while O’Brien was restricted to an outpatient setting. Also, </w:t>
      </w:r>
      <w:r w:rsidR="008E7218" w:rsidRPr="008E7218">
        <w:rPr>
          <w:szCs w:val="20"/>
        </w:rPr>
        <w:t>although documented contraindications</w:t>
      </w:r>
      <w:r w:rsidR="008E7218">
        <w:rPr>
          <w:szCs w:val="20"/>
        </w:rPr>
        <w:t xml:space="preserve"> </w:t>
      </w:r>
      <w:r w:rsidR="008E7218" w:rsidRPr="008E7218">
        <w:rPr>
          <w:szCs w:val="20"/>
        </w:rPr>
        <w:t>were collected separately</w:t>
      </w:r>
      <w:r w:rsidR="008E7218">
        <w:rPr>
          <w:szCs w:val="20"/>
        </w:rPr>
        <w:t xml:space="preserve"> in O’Brien</w:t>
      </w:r>
      <w:r w:rsidR="008E7218" w:rsidRPr="008E7218">
        <w:rPr>
          <w:szCs w:val="20"/>
        </w:rPr>
        <w:t xml:space="preserve"> from information on current</w:t>
      </w:r>
      <w:r w:rsidR="008E7218">
        <w:rPr>
          <w:szCs w:val="20"/>
        </w:rPr>
        <w:t xml:space="preserve"> </w:t>
      </w:r>
      <w:r w:rsidR="008E7218" w:rsidRPr="008E7218">
        <w:rPr>
          <w:szCs w:val="20"/>
        </w:rPr>
        <w:t>treatment regimens, it is possible that the decision to treat</w:t>
      </w:r>
      <w:r w:rsidR="008E7218">
        <w:rPr>
          <w:szCs w:val="20"/>
        </w:rPr>
        <w:t xml:space="preserve"> </w:t>
      </w:r>
      <w:r w:rsidR="008E7218" w:rsidRPr="008E7218">
        <w:rPr>
          <w:szCs w:val="20"/>
        </w:rPr>
        <w:t>influenced the reporting of a contraindication.</w:t>
      </w:r>
    </w:p>
    <w:p w14:paraId="7137F8CF" w14:textId="0CFC8777" w:rsidR="008E7218" w:rsidRPr="00544480" w:rsidRDefault="008E7218" w:rsidP="008E7218">
      <w:pPr>
        <w:ind w:left="426"/>
        <w:rPr>
          <w:szCs w:val="20"/>
        </w:rPr>
      </w:pPr>
      <w:r>
        <w:rPr>
          <w:szCs w:val="20"/>
        </w:rPr>
        <w:t>Finally,</w:t>
      </w:r>
      <w:r w:rsidR="00812ACA">
        <w:rPr>
          <w:szCs w:val="20"/>
        </w:rPr>
        <w:t xml:space="preserve"> it is anticipated that there will be a higher rate of contraindications in patients eligible for LAAC due to the higher disease severity</w:t>
      </w:r>
      <w:r w:rsidR="00FA465B">
        <w:rPr>
          <w:szCs w:val="20"/>
        </w:rPr>
        <w:t xml:space="preserve"> and more prevalent comorbidity</w:t>
      </w:r>
      <w:r w:rsidR="00812ACA">
        <w:rPr>
          <w:szCs w:val="20"/>
        </w:rPr>
        <w:t xml:space="preserve"> in this patient population. This is supported by findings from O’Brien et al., (2014) in which the o</w:t>
      </w:r>
      <w:r w:rsidR="00812ACA" w:rsidRPr="00812ACA">
        <w:rPr>
          <w:szCs w:val="20"/>
        </w:rPr>
        <w:t xml:space="preserve">dds ratio of having a contraindication was 1.22 (95%CI 1.02-1.48) times more likely </w:t>
      </w:r>
      <w:r w:rsidR="00812ACA">
        <w:rPr>
          <w:szCs w:val="20"/>
        </w:rPr>
        <w:t>in</w:t>
      </w:r>
      <w:r w:rsidR="00812ACA" w:rsidRPr="00812ACA">
        <w:rPr>
          <w:szCs w:val="20"/>
        </w:rPr>
        <w:t xml:space="preserve"> patient </w:t>
      </w:r>
      <w:r w:rsidR="00812ACA">
        <w:rPr>
          <w:szCs w:val="20"/>
        </w:rPr>
        <w:t>with</w:t>
      </w:r>
      <w:r w:rsidR="00812ACA" w:rsidRPr="00812ACA">
        <w:rPr>
          <w:szCs w:val="20"/>
        </w:rPr>
        <w:t xml:space="preserve"> prior stroke</w:t>
      </w:r>
      <w:r w:rsidR="00812ACA">
        <w:rPr>
          <w:szCs w:val="20"/>
        </w:rPr>
        <w:t xml:space="preserve"> and patients with</w:t>
      </w:r>
      <w:r w:rsidR="00812ACA" w:rsidRPr="00812ACA">
        <w:rPr>
          <w:szCs w:val="20"/>
        </w:rPr>
        <w:t xml:space="preserve"> contraindications had a higher mean CHADS</w:t>
      </w:r>
      <w:r w:rsidR="00812ACA" w:rsidRPr="00FA465B">
        <w:rPr>
          <w:szCs w:val="20"/>
          <w:vertAlign w:val="subscript"/>
        </w:rPr>
        <w:t>2</w:t>
      </w:r>
      <w:r w:rsidR="00812ACA" w:rsidRPr="00812ACA">
        <w:rPr>
          <w:szCs w:val="20"/>
        </w:rPr>
        <w:t xml:space="preserve"> score (2.5 vs 2.2) and were more likely to be classified as high stroke risk (CHADS</w:t>
      </w:r>
      <w:r w:rsidR="00812ACA" w:rsidRPr="00FA465B">
        <w:rPr>
          <w:szCs w:val="20"/>
          <w:vertAlign w:val="subscript"/>
        </w:rPr>
        <w:t>2</w:t>
      </w:r>
      <w:r w:rsidR="00812ACA" w:rsidRPr="00812ACA">
        <w:rPr>
          <w:szCs w:val="20"/>
        </w:rPr>
        <w:t xml:space="preserve"> ≥</w:t>
      </w:r>
      <w:r w:rsidR="00FA465B">
        <w:rPr>
          <w:szCs w:val="20"/>
        </w:rPr>
        <w:t xml:space="preserve"> </w:t>
      </w:r>
      <w:r w:rsidR="00812ACA" w:rsidRPr="00812ACA">
        <w:rPr>
          <w:szCs w:val="20"/>
        </w:rPr>
        <w:t>2; 76.5% vs 70.5%</w:t>
      </w:r>
      <w:r w:rsidR="00FA465B">
        <w:rPr>
          <w:szCs w:val="20"/>
        </w:rPr>
        <w:t xml:space="preserve"> respectively</w:t>
      </w:r>
      <w:r w:rsidR="00812ACA" w:rsidRPr="00812ACA">
        <w:rPr>
          <w:szCs w:val="20"/>
        </w:rPr>
        <w:t>).</w:t>
      </w:r>
      <w:r>
        <w:rPr>
          <w:szCs w:val="20"/>
        </w:rPr>
        <w:t xml:space="preserve"> </w:t>
      </w:r>
    </w:p>
    <w:p w14:paraId="12EECA21" w14:textId="579A6C51" w:rsidR="0005702C" w:rsidRDefault="00625434" w:rsidP="0005702C">
      <w:pPr>
        <w:ind w:left="426"/>
        <w:rPr>
          <w:szCs w:val="20"/>
        </w:rPr>
      </w:pPr>
      <w:r>
        <w:rPr>
          <w:szCs w:val="20"/>
        </w:rPr>
        <w:t>Not all patients with a relative contraindication to OAT will be refe</w:t>
      </w:r>
      <w:r w:rsidR="00915B5D">
        <w:rPr>
          <w:szCs w:val="20"/>
        </w:rPr>
        <w:t>rr</w:t>
      </w:r>
      <w:r>
        <w:rPr>
          <w:szCs w:val="20"/>
        </w:rPr>
        <w:t>ed to an interventional physician. This reflects</w:t>
      </w:r>
      <w:r w:rsidR="00915B5D">
        <w:rPr>
          <w:szCs w:val="20"/>
        </w:rPr>
        <w:t xml:space="preserve"> the preference of the referring</w:t>
      </w:r>
      <w:r>
        <w:rPr>
          <w:szCs w:val="20"/>
        </w:rPr>
        <w:t xml:space="preserve"> physician and</w:t>
      </w:r>
      <w:r w:rsidR="00915B5D">
        <w:rPr>
          <w:szCs w:val="20"/>
        </w:rPr>
        <w:t xml:space="preserve"> the</w:t>
      </w:r>
      <w:r>
        <w:rPr>
          <w:szCs w:val="20"/>
        </w:rPr>
        <w:t xml:space="preserve"> patient in terms of favouring intervention (ie LAAC</w:t>
      </w:r>
      <w:r w:rsidR="00915B5D">
        <w:rPr>
          <w:szCs w:val="20"/>
        </w:rPr>
        <w:t>, on</w:t>
      </w:r>
      <w:r w:rsidR="002E2626">
        <w:rPr>
          <w:szCs w:val="20"/>
        </w:rPr>
        <w:t>c</w:t>
      </w:r>
      <w:r w:rsidR="00915B5D">
        <w:rPr>
          <w:szCs w:val="20"/>
        </w:rPr>
        <w:t>e off</w:t>
      </w:r>
      <w:r>
        <w:rPr>
          <w:szCs w:val="20"/>
        </w:rPr>
        <w:t>) or ongoing management (NOACs or warfarin), particularly given th</w:t>
      </w:r>
      <w:r w:rsidR="00915B5D">
        <w:rPr>
          <w:szCs w:val="20"/>
        </w:rPr>
        <w:t xml:space="preserve">ese measures are preventative. </w:t>
      </w:r>
      <w:r w:rsidR="00507C70">
        <w:rPr>
          <w:szCs w:val="20"/>
        </w:rPr>
        <w:t>I</w:t>
      </w:r>
      <w:r w:rsidR="0005702C">
        <w:rPr>
          <w:szCs w:val="20"/>
        </w:rPr>
        <w:t>t is difficult to estimate</w:t>
      </w:r>
      <w:r w:rsidR="00507C70">
        <w:rPr>
          <w:szCs w:val="20"/>
        </w:rPr>
        <w:t xml:space="preserve"> the</w:t>
      </w:r>
      <w:r w:rsidR="0005702C">
        <w:rPr>
          <w:szCs w:val="20"/>
        </w:rPr>
        <w:t xml:space="preserve"> proportion of patients </w:t>
      </w:r>
      <w:r w:rsidR="00507C70">
        <w:rPr>
          <w:szCs w:val="20"/>
        </w:rPr>
        <w:t xml:space="preserve">that will </w:t>
      </w:r>
      <w:r w:rsidR="00667F6B">
        <w:t xml:space="preserve">referred </w:t>
      </w:r>
      <w:r w:rsidR="002E2626">
        <w:t xml:space="preserve">for </w:t>
      </w:r>
      <w:r w:rsidR="00713D42">
        <w:t>LAAC</w:t>
      </w:r>
      <w:r w:rsidR="0005702C">
        <w:rPr>
          <w:szCs w:val="20"/>
        </w:rPr>
        <w:t>.</w:t>
      </w:r>
      <w:r w:rsidR="00507C70">
        <w:rPr>
          <w:szCs w:val="20"/>
        </w:rPr>
        <w:t xml:space="preserve"> </w:t>
      </w:r>
      <w:r w:rsidR="00667F6B">
        <w:rPr>
          <w:szCs w:val="20"/>
        </w:rPr>
        <w:t>T</w:t>
      </w:r>
      <w:r w:rsidR="002E2626">
        <w:rPr>
          <w:szCs w:val="20"/>
        </w:rPr>
        <w:t>h</w:t>
      </w:r>
      <w:r w:rsidR="00667F6B">
        <w:rPr>
          <w:szCs w:val="20"/>
        </w:rPr>
        <w:t>is estimate</w:t>
      </w:r>
      <w:r w:rsidR="00AF6501">
        <w:rPr>
          <w:szCs w:val="20"/>
        </w:rPr>
        <w:t xml:space="preserve"> </w:t>
      </w:r>
      <w:r w:rsidR="00385484">
        <w:rPr>
          <w:szCs w:val="20"/>
        </w:rPr>
        <w:t>is partially informed by the DUSC review of NOACs utilisation (June 2016, pg. 22) which reported that i</w:t>
      </w:r>
      <w:r w:rsidR="00385484" w:rsidRPr="00385484">
        <w:rPr>
          <w:szCs w:val="20"/>
        </w:rPr>
        <w:t>n 2015, approximately</w:t>
      </w:r>
      <w:r w:rsidR="00385484">
        <w:rPr>
          <w:szCs w:val="20"/>
        </w:rPr>
        <w:t xml:space="preserve"> 5</w:t>
      </w:r>
      <w:r w:rsidR="00385484" w:rsidRPr="00385484">
        <w:rPr>
          <w:szCs w:val="20"/>
        </w:rPr>
        <w:t>% of prescriptions initiating anticoagulant therapy</w:t>
      </w:r>
      <w:r w:rsidR="00385484">
        <w:rPr>
          <w:szCs w:val="20"/>
        </w:rPr>
        <w:t xml:space="preserve"> were</w:t>
      </w:r>
      <w:r w:rsidR="00385484" w:rsidRPr="00385484">
        <w:rPr>
          <w:szCs w:val="20"/>
        </w:rPr>
        <w:t xml:space="preserve"> written by cardiologists</w:t>
      </w:r>
      <w:r w:rsidR="00385484">
        <w:rPr>
          <w:szCs w:val="20"/>
        </w:rPr>
        <w:t xml:space="preserve">, which suggests that referral </w:t>
      </w:r>
      <w:r w:rsidR="00713D42">
        <w:rPr>
          <w:szCs w:val="20"/>
        </w:rPr>
        <w:t>for consideration of LAAC</w:t>
      </w:r>
      <w:r w:rsidR="00385484">
        <w:rPr>
          <w:szCs w:val="20"/>
        </w:rPr>
        <w:t xml:space="preserve"> would be limited</w:t>
      </w:r>
      <w:r w:rsidR="00667F6B">
        <w:rPr>
          <w:szCs w:val="20"/>
        </w:rPr>
        <w:t xml:space="preserve"> by</w:t>
      </w:r>
      <w:r w:rsidR="00385484">
        <w:rPr>
          <w:szCs w:val="20"/>
        </w:rPr>
        <w:t xml:space="preserve"> </w:t>
      </w:r>
      <w:r>
        <w:rPr>
          <w:szCs w:val="20"/>
        </w:rPr>
        <w:t xml:space="preserve">physician </w:t>
      </w:r>
      <w:r w:rsidR="002E2626">
        <w:rPr>
          <w:szCs w:val="20"/>
        </w:rPr>
        <w:t>referral</w:t>
      </w:r>
      <w:r w:rsidR="00385484">
        <w:rPr>
          <w:szCs w:val="20"/>
        </w:rPr>
        <w:t>. It is estimated that access to</w:t>
      </w:r>
      <w:r w:rsidR="00AF6501">
        <w:rPr>
          <w:szCs w:val="20"/>
        </w:rPr>
        <w:t xml:space="preserve"> a referring </w:t>
      </w:r>
      <w:r w:rsidR="00385484">
        <w:rPr>
          <w:szCs w:val="20"/>
        </w:rPr>
        <w:t xml:space="preserve">specialist would be higher among a higher risk patient population and hence the application model assumes that </w:t>
      </w:r>
      <w:r w:rsidR="00AF6501">
        <w:rPr>
          <w:szCs w:val="20"/>
        </w:rPr>
        <w:t>30</w:t>
      </w:r>
      <w:r w:rsidR="00385484">
        <w:rPr>
          <w:szCs w:val="20"/>
        </w:rPr>
        <w:t xml:space="preserve">% of NVAF patients with high stroke risk and contradictions to OAT will be referred </w:t>
      </w:r>
      <w:r w:rsidR="00915B5D">
        <w:rPr>
          <w:szCs w:val="20"/>
        </w:rPr>
        <w:t>for</w:t>
      </w:r>
      <w:r w:rsidR="00385484">
        <w:rPr>
          <w:szCs w:val="20"/>
        </w:rPr>
        <w:t xml:space="preserve"> LAAC</w:t>
      </w:r>
      <w:r w:rsidR="00385484" w:rsidRPr="00385484">
        <w:rPr>
          <w:szCs w:val="20"/>
        </w:rPr>
        <w:t>.</w:t>
      </w:r>
      <w:r w:rsidR="00385484">
        <w:rPr>
          <w:szCs w:val="20"/>
        </w:rPr>
        <w:t xml:space="preserve"> </w:t>
      </w:r>
      <w:r w:rsidR="0005702C">
        <w:rPr>
          <w:szCs w:val="20"/>
        </w:rPr>
        <w:t>This estimate will be subject to further consideration and wider consultation with key opinion leaders in an SBA.</w:t>
      </w:r>
    </w:p>
    <w:p w14:paraId="7F8C2304" w14:textId="12373E2F" w:rsidR="00667F6B" w:rsidRDefault="00667F6B" w:rsidP="00667F6B">
      <w:pPr>
        <w:ind w:left="426"/>
        <w:rPr>
          <w:szCs w:val="20"/>
        </w:rPr>
      </w:pPr>
      <w:r w:rsidRPr="00544480">
        <w:rPr>
          <w:szCs w:val="20"/>
        </w:rPr>
        <w:t xml:space="preserve">As described in Fountain et al (2006), a number of patients contraindicated to OAT and </w:t>
      </w:r>
      <w:r>
        <w:rPr>
          <w:szCs w:val="20"/>
        </w:rPr>
        <w:t>dual antiplatelet therapy (</w:t>
      </w:r>
      <w:r w:rsidRPr="00544480">
        <w:rPr>
          <w:szCs w:val="20"/>
        </w:rPr>
        <w:t>DAPT</w:t>
      </w:r>
      <w:r>
        <w:rPr>
          <w:szCs w:val="20"/>
        </w:rPr>
        <w:t>)</w:t>
      </w:r>
      <w:r w:rsidRPr="00544480">
        <w:rPr>
          <w:szCs w:val="20"/>
        </w:rPr>
        <w:t xml:space="preserve"> would</w:t>
      </w:r>
      <w:r>
        <w:rPr>
          <w:szCs w:val="20"/>
        </w:rPr>
        <w:t xml:space="preserve"> likely be </w:t>
      </w:r>
      <w:r>
        <w:rPr>
          <w:szCs w:val="20"/>
        </w:rPr>
        <w:lastRenderedPageBreak/>
        <w:t>considered unsuitable for the LAAC procedure by the treating interventional cardiologist</w:t>
      </w:r>
      <w:r w:rsidRPr="00544480">
        <w:rPr>
          <w:szCs w:val="20"/>
        </w:rPr>
        <w:t xml:space="preserve">. Fountain et al (2006) reviewed the screening log for each patient screened for the PROTECT-AF trial and documented the reasons patients were deemed ineligible for LAAC. </w:t>
      </w:r>
      <w:r w:rsidR="003A65A8">
        <w:rPr>
          <w:szCs w:val="20"/>
        </w:rPr>
        <w:t>The</w:t>
      </w:r>
      <w:r w:rsidRPr="00544480">
        <w:rPr>
          <w:szCs w:val="20"/>
        </w:rPr>
        <w:t xml:space="preserve"> data relating to screening exclusion criteria were utilised to estimate the proportion of patients with NVAF that would</w:t>
      </w:r>
      <w:r>
        <w:rPr>
          <w:szCs w:val="20"/>
        </w:rPr>
        <w:t xml:space="preserve"> meet</w:t>
      </w:r>
      <w:r w:rsidRPr="00544480">
        <w:rPr>
          <w:szCs w:val="20"/>
        </w:rPr>
        <w:t xml:space="preserve"> </w:t>
      </w:r>
      <w:r>
        <w:rPr>
          <w:szCs w:val="20"/>
        </w:rPr>
        <w:t xml:space="preserve">anatomical suitability criteria </w:t>
      </w:r>
      <w:r w:rsidRPr="00544480">
        <w:rPr>
          <w:szCs w:val="20"/>
        </w:rPr>
        <w:t xml:space="preserve">for LAAC. Application of these exclusion criteria to the number of presenting patients resulted in </w:t>
      </w:r>
      <w:r w:rsidR="00AB6FA0">
        <w:rPr>
          <w:szCs w:val="20"/>
        </w:rPr>
        <w:t>84.6</w:t>
      </w:r>
      <w:r>
        <w:rPr>
          <w:szCs w:val="20"/>
        </w:rPr>
        <w:t>% of patients with NVAF being</w:t>
      </w:r>
      <w:r w:rsidRPr="00544480">
        <w:rPr>
          <w:szCs w:val="20"/>
        </w:rPr>
        <w:t xml:space="preserve"> </w:t>
      </w:r>
      <w:r>
        <w:rPr>
          <w:szCs w:val="20"/>
        </w:rPr>
        <w:t>anatomically suitable</w:t>
      </w:r>
      <w:r w:rsidRPr="00544480">
        <w:rPr>
          <w:szCs w:val="20"/>
        </w:rPr>
        <w:t xml:space="preserve"> for LAAC in Australia.</w:t>
      </w:r>
    </w:p>
    <w:p w14:paraId="6DCD0C42" w14:textId="174E802B" w:rsidR="0005702C" w:rsidRDefault="0005702C" w:rsidP="0005702C">
      <w:pPr>
        <w:ind w:left="426"/>
        <w:rPr>
          <w:szCs w:val="20"/>
        </w:rPr>
      </w:pPr>
      <w:r>
        <w:rPr>
          <w:szCs w:val="20"/>
        </w:rPr>
        <w:fldChar w:fldCharType="begin"/>
      </w:r>
      <w:r>
        <w:rPr>
          <w:szCs w:val="20"/>
        </w:rPr>
        <w:instrText xml:space="preserve"> REF _Ref22918717 \h </w:instrText>
      </w:r>
      <w:r>
        <w:rPr>
          <w:szCs w:val="20"/>
        </w:rPr>
      </w:r>
      <w:r>
        <w:rPr>
          <w:szCs w:val="20"/>
        </w:rPr>
        <w:fldChar w:fldCharType="separate"/>
      </w:r>
      <w:r w:rsidR="004E2E17">
        <w:t xml:space="preserve">Table </w:t>
      </w:r>
      <w:r w:rsidR="004E2E17">
        <w:rPr>
          <w:noProof/>
        </w:rPr>
        <w:t>6</w:t>
      </w:r>
      <w:r>
        <w:rPr>
          <w:szCs w:val="20"/>
        </w:rPr>
        <w:fldChar w:fldCharType="end"/>
      </w:r>
      <w:r>
        <w:rPr>
          <w:szCs w:val="20"/>
        </w:rPr>
        <w:t xml:space="preserve"> summarises </w:t>
      </w:r>
      <w:r w:rsidRPr="00DC74E3">
        <w:rPr>
          <w:szCs w:val="20"/>
        </w:rPr>
        <w:t xml:space="preserve">the most appropriate epidemiological inputs for estimating the proposed patient population eligible for </w:t>
      </w:r>
      <w:r>
        <w:rPr>
          <w:szCs w:val="20"/>
        </w:rPr>
        <w:t>LAAC based on the expanded restriction</w:t>
      </w:r>
      <w:r w:rsidRPr="00DC74E3">
        <w:rPr>
          <w:szCs w:val="20"/>
        </w:rPr>
        <w:t>.</w:t>
      </w:r>
    </w:p>
    <w:p w14:paraId="6E5C299F" w14:textId="7A66C30C" w:rsidR="0005702C" w:rsidRDefault="0005702C" w:rsidP="0005702C">
      <w:pPr>
        <w:pStyle w:val="Caption"/>
        <w:keepNext/>
      </w:pPr>
      <w:bookmarkStart w:id="31" w:name="_Ref22918717"/>
      <w:bookmarkStart w:id="32" w:name="_Hlk23261165"/>
      <w:r>
        <w:t xml:space="preserve">Table </w:t>
      </w:r>
      <w:fldSimple w:instr=" SEQ Table \* ARABIC ">
        <w:r w:rsidR="004E2E17">
          <w:rPr>
            <w:noProof/>
          </w:rPr>
          <w:t>6</w:t>
        </w:r>
      </w:fldSimple>
      <w:bookmarkEnd w:id="31"/>
      <w:r>
        <w:tab/>
        <w:t xml:space="preserve">Epidemiological inputs for </w:t>
      </w:r>
      <w:r w:rsidRPr="00F733B1">
        <w:t>estimating the prevalence of NVAF patients with high risk of stroke in the Australian population</w:t>
      </w:r>
    </w:p>
    <w:tbl>
      <w:tblPr>
        <w:tblStyle w:val="TableGrid"/>
        <w:tblW w:w="0" w:type="auto"/>
        <w:tblInd w:w="421" w:type="dxa"/>
        <w:tblLook w:val="04A0" w:firstRow="1" w:lastRow="0" w:firstColumn="1" w:lastColumn="0" w:noHBand="0" w:noVBand="1"/>
        <w:tblCaption w:val="Table 6"/>
        <w:tblDescription w:val="Table"/>
      </w:tblPr>
      <w:tblGrid>
        <w:gridCol w:w="3402"/>
        <w:gridCol w:w="1275"/>
        <w:gridCol w:w="3918"/>
      </w:tblGrid>
      <w:tr w:rsidR="0005702C" w:rsidRPr="005B388C" w14:paraId="6DF9067B" w14:textId="77777777" w:rsidTr="007E53B3">
        <w:trPr>
          <w:trHeight w:val="298"/>
          <w:tblHeader/>
        </w:trPr>
        <w:tc>
          <w:tcPr>
            <w:tcW w:w="3402" w:type="dxa"/>
            <w:tcBorders>
              <w:top w:val="single" w:sz="4" w:space="0" w:color="auto"/>
              <w:left w:val="single" w:sz="4" w:space="0" w:color="auto"/>
              <w:bottom w:val="single" w:sz="4" w:space="0" w:color="auto"/>
              <w:right w:val="single" w:sz="4" w:space="0" w:color="auto"/>
            </w:tcBorders>
          </w:tcPr>
          <w:p w14:paraId="60B5BD75" w14:textId="77777777" w:rsidR="0005702C" w:rsidRPr="005B388C" w:rsidRDefault="0005702C" w:rsidP="00AF407E">
            <w:pPr>
              <w:pStyle w:val="Tabletext"/>
              <w:rPr>
                <w:b/>
                <w:bCs w:val="0"/>
              </w:rPr>
            </w:pPr>
            <w:r w:rsidRPr="005B388C">
              <w:rPr>
                <w:b/>
                <w:bCs w:val="0"/>
              </w:rPr>
              <w:t>Parameter</w:t>
            </w:r>
          </w:p>
        </w:tc>
        <w:tc>
          <w:tcPr>
            <w:tcW w:w="1275" w:type="dxa"/>
            <w:tcBorders>
              <w:top w:val="single" w:sz="4" w:space="0" w:color="auto"/>
              <w:left w:val="single" w:sz="4" w:space="0" w:color="auto"/>
              <w:bottom w:val="single" w:sz="4" w:space="0" w:color="auto"/>
              <w:right w:val="single" w:sz="4" w:space="0" w:color="auto"/>
            </w:tcBorders>
            <w:noWrap/>
          </w:tcPr>
          <w:p w14:paraId="373225B8" w14:textId="77777777" w:rsidR="0005702C" w:rsidRPr="005B388C" w:rsidRDefault="0005702C" w:rsidP="00AF407E">
            <w:pPr>
              <w:pStyle w:val="Tabletext"/>
              <w:rPr>
                <w:b/>
                <w:bCs w:val="0"/>
              </w:rPr>
            </w:pPr>
            <w:r w:rsidRPr="005B388C">
              <w:rPr>
                <w:b/>
                <w:bCs w:val="0"/>
              </w:rPr>
              <w:t>Estimate</w:t>
            </w:r>
          </w:p>
        </w:tc>
        <w:tc>
          <w:tcPr>
            <w:tcW w:w="3918" w:type="dxa"/>
            <w:tcBorders>
              <w:top w:val="single" w:sz="4" w:space="0" w:color="auto"/>
              <w:left w:val="single" w:sz="4" w:space="0" w:color="auto"/>
              <w:bottom w:val="single" w:sz="4" w:space="0" w:color="auto"/>
              <w:right w:val="single" w:sz="4" w:space="0" w:color="auto"/>
            </w:tcBorders>
            <w:noWrap/>
          </w:tcPr>
          <w:p w14:paraId="19DDD31F" w14:textId="77777777" w:rsidR="0005702C" w:rsidRPr="005B388C" w:rsidRDefault="0005702C" w:rsidP="00AF407E">
            <w:pPr>
              <w:pStyle w:val="Tabletext"/>
              <w:rPr>
                <w:b/>
                <w:bCs w:val="0"/>
              </w:rPr>
            </w:pPr>
            <w:r w:rsidRPr="005B388C">
              <w:rPr>
                <w:b/>
                <w:bCs w:val="0"/>
              </w:rPr>
              <w:t>Source</w:t>
            </w:r>
          </w:p>
        </w:tc>
      </w:tr>
      <w:tr w:rsidR="00FA465B" w:rsidRPr="005B388C" w14:paraId="7A2DDA34" w14:textId="77777777" w:rsidTr="00AF407E">
        <w:trPr>
          <w:trHeight w:val="298"/>
        </w:trPr>
        <w:tc>
          <w:tcPr>
            <w:tcW w:w="3402" w:type="dxa"/>
            <w:tcBorders>
              <w:top w:val="single" w:sz="4" w:space="0" w:color="auto"/>
              <w:left w:val="single" w:sz="4" w:space="0" w:color="auto"/>
              <w:bottom w:val="single" w:sz="4" w:space="0" w:color="auto"/>
              <w:right w:val="single" w:sz="4" w:space="0" w:color="auto"/>
            </w:tcBorders>
          </w:tcPr>
          <w:p w14:paraId="057A7BB2" w14:textId="77777777" w:rsidR="00FA465B" w:rsidRPr="00F733B1" w:rsidRDefault="00FA465B" w:rsidP="00FA465B">
            <w:pPr>
              <w:pStyle w:val="Tabletext"/>
            </w:pPr>
            <w:r>
              <w:t xml:space="preserve">Rate of relative contraindications </w:t>
            </w:r>
          </w:p>
        </w:tc>
        <w:tc>
          <w:tcPr>
            <w:tcW w:w="1275" w:type="dxa"/>
            <w:tcBorders>
              <w:top w:val="single" w:sz="4" w:space="0" w:color="auto"/>
              <w:left w:val="single" w:sz="4" w:space="0" w:color="auto"/>
              <w:bottom w:val="single" w:sz="4" w:space="0" w:color="auto"/>
              <w:right w:val="single" w:sz="4" w:space="0" w:color="auto"/>
            </w:tcBorders>
            <w:noWrap/>
          </w:tcPr>
          <w:p w14:paraId="46E81B6E" w14:textId="0ABA1AA0" w:rsidR="00FA465B" w:rsidRPr="005B388C" w:rsidRDefault="000E3B7F" w:rsidP="00FA465B">
            <w:pPr>
              <w:pStyle w:val="Tabletext"/>
            </w:pPr>
            <w:r>
              <w:t>31</w:t>
            </w:r>
            <w:r w:rsidR="00FA465B">
              <w:t>.0</w:t>
            </w:r>
            <w:r w:rsidR="00FA465B" w:rsidRPr="005B388C">
              <w:t>%</w:t>
            </w:r>
          </w:p>
        </w:tc>
        <w:tc>
          <w:tcPr>
            <w:tcW w:w="3918" w:type="dxa"/>
            <w:tcBorders>
              <w:top w:val="single" w:sz="4" w:space="0" w:color="auto"/>
              <w:left w:val="single" w:sz="4" w:space="0" w:color="auto"/>
              <w:right w:val="single" w:sz="4" w:space="0" w:color="auto"/>
            </w:tcBorders>
            <w:noWrap/>
          </w:tcPr>
          <w:p w14:paraId="5171148A" w14:textId="046AC889" w:rsidR="00FA465B" w:rsidRPr="005B388C" w:rsidRDefault="00FA465B" w:rsidP="00FA465B">
            <w:pPr>
              <w:pStyle w:val="Tabletext"/>
            </w:pPr>
            <w:r>
              <w:t>Steinberg et al., (2015) Table 2</w:t>
            </w:r>
          </w:p>
        </w:tc>
      </w:tr>
      <w:tr w:rsidR="00B10A76" w:rsidRPr="005B388C" w14:paraId="18DA1B36" w14:textId="77777777" w:rsidTr="006857B4">
        <w:trPr>
          <w:trHeight w:val="298"/>
        </w:trPr>
        <w:tc>
          <w:tcPr>
            <w:tcW w:w="3402" w:type="dxa"/>
            <w:tcBorders>
              <w:top w:val="single" w:sz="4" w:space="0" w:color="auto"/>
              <w:left w:val="single" w:sz="4" w:space="0" w:color="auto"/>
              <w:bottom w:val="single" w:sz="4" w:space="0" w:color="auto"/>
              <w:right w:val="single" w:sz="4" w:space="0" w:color="auto"/>
            </w:tcBorders>
          </w:tcPr>
          <w:p w14:paraId="42B1E8DB" w14:textId="4A55770C" w:rsidR="00B10A76" w:rsidRPr="005B388C" w:rsidRDefault="00B10A76" w:rsidP="006857B4">
            <w:pPr>
              <w:pStyle w:val="Tabletext"/>
            </w:pPr>
            <w:r w:rsidRPr="00E43C67">
              <w:t>Proportion of patients</w:t>
            </w:r>
            <w:r>
              <w:t xml:space="preserve"> referred for LAAC</w:t>
            </w:r>
            <w:r w:rsidRPr="00E43C67">
              <w:t xml:space="preserve"> </w:t>
            </w:r>
            <w:r w:rsidR="00F66B5E">
              <w:t>to</w:t>
            </w:r>
            <w:r>
              <w:t xml:space="preserve"> interventional physician</w:t>
            </w:r>
          </w:p>
        </w:tc>
        <w:tc>
          <w:tcPr>
            <w:tcW w:w="1275" w:type="dxa"/>
            <w:tcBorders>
              <w:top w:val="single" w:sz="4" w:space="0" w:color="auto"/>
              <w:left w:val="single" w:sz="4" w:space="0" w:color="auto"/>
              <w:bottom w:val="single" w:sz="4" w:space="0" w:color="auto"/>
              <w:right w:val="single" w:sz="4" w:space="0" w:color="auto"/>
            </w:tcBorders>
            <w:noWrap/>
          </w:tcPr>
          <w:p w14:paraId="3E3EEFCD" w14:textId="77777777" w:rsidR="00B10A76" w:rsidRPr="00FA465B" w:rsidRDefault="00B10A76" w:rsidP="006857B4">
            <w:pPr>
              <w:pStyle w:val="Tabletext"/>
            </w:pPr>
            <w:r>
              <w:t>3</w:t>
            </w:r>
            <w:r w:rsidRPr="00FA465B">
              <w:t>0%</w:t>
            </w:r>
          </w:p>
        </w:tc>
        <w:tc>
          <w:tcPr>
            <w:tcW w:w="3918" w:type="dxa"/>
            <w:tcBorders>
              <w:top w:val="single" w:sz="4" w:space="0" w:color="auto"/>
              <w:left w:val="single" w:sz="4" w:space="0" w:color="auto"/>
              <w:bottom w:val="single" w:sz="4" w:space="0" w:color="auto"/>
              <w:right w:val="single" w:sz="4" w:space="0" w:color="auto"/>
            </w:tcBorders>
            <w:noWrap/>
          </w:tcPr>
          <w:p w14:paraId="0F8267F0" w14:textId="77777777" w:rsidR="00B10A76" w:rsidRPr="005B388C" w:rsidRDefault="00B10A76" w:rsidP="006857B4">
            <w:pPr>
              <w:pStyle w:val="Tabletext"/>
            </w:pPr>
            <w:r>
              <w:t>Assumption</w:t>
            </w:r>
          </w:p>
        </w:tc>
      </w:tr>
      <w:tr w:rsidR="00FA465B" w:rsidRPr="005B388C" w14:paraId="0BC8DC3F" w14:textId="77777777" w:rsidTr="00AF407E">
        <w:trPr>
          <w:trHeight w:val="298"/>
        </w:trPr>
        <w:tc>
          <w:tcPr>
            <w:tcW w:w="3402" w:type="dxa"/>
            <w:tcBorders>
              <w:top w:val="single" w:sz="4" w:space="0" w:color="auto"/>
              <w:left w:val="single" w:sz="4" w:space="0" w:color="auto"/>
              <w:bottom w:val="single" w:sz="4" w:space="0" w:color="auto"/>
              <w:right w:val="single" w:sz="4" w:space="0" w:color="auto"/>
            </w:tcBorders>
          </w:tcPr>
          <w:p w14:paraId="4C19088E" w14:textId="77777777" w:rsidR="00FA465B" w:rsidRPr="005B388C" w:rsidRDefault="00FA465B" w:rsidP="00FA465B">
            <w:pPr>
              <w:pStyle w:val="Tabletext"/>
            </w:pPr>
            <w:r w:rsidRPr="005B388C">
              <w:t xml:space="preserve">Proportion of </w:t>
            </w:r>
            <w:r>
              <w:t xml:space="preserve">patients suitable for LAAC surgery </w:t>
            </w:r>
          </w:p>
        </w:tc>
        <w:tc>
          <w:tcPr>
            <w:tcW w:w="1275" w:type="dxa"/>
            <w:tcBorders>
              <w:top w:val="single" w:sz="4" w:space="0" w:color="auto"/>
              <w:left w:val="single" w:sz="4" w:space="0" w:color="auto"/>
              <w:bottom w:val="single" w:sz="4" w:space="0" w:color="auto"/>
              <w:right w:val="single" w:sz="4" w:space="0" w:color="auto"/>
            </w:tcBorders>
            <w:noWrap/>
          </w:tcPr>
          <w:p w14:paraId="776A1F9A" w14:textId="6C5958DA" w:rsidR="00FA465B" w:rsidRPr="00FA465B" w:rsidRDefault="00AB6FA0" w:rsidP="00FA465B">
            <w:pPr>
              <w:pStyle w:val="Tabletext"/>
            </w:pPr>
            <w:r>
              <w:t>84.6</w:t>
            </w:r>
            <w:r w:rsidR="00FA465B" w:rsidRPr="00FA465B">
              <w:t>%</w:t>
            </w:r>
          </w:p>
        </w:tc>
        <w:tc>
          <w:tcPr>
            <w:tcW w:w="3918" w:type="dxa"/>
            <w:tcBorders>
              <w:top w:val="single" w:sz="4" w:space="0" w:color="auto"/>
              <w:left w:val="single" w:sz="4" w:space="0" w:color="auto"/>
              <w:bottom w:val="single" w:sz="4" w:space="0" w:color="auto"/>
              <w:right w:val="single" w:sz="4" w:space="0" w:color="auto"/>
            </w:tcBorders>
            <w:noWrap/>
          </w:tcPr>
          <w:p w14:paraId="3D4B45FD" w14:textId="53C24BED" w:rsidR="00FA465B" w:rsidRPr="003A65A8" w:rsidRDefault="00FA465B" w:rsidP="00FA465B">
            <w:pPr>
              <w:pStyle w:val="Tabletext"/>
              <w:rPr>
                <w:vertAlign w:val="superscript"/>
              </w:rPr>
            </w:pPr>
            <w:r>
              <w:t>Fountain et al., (2006), Table 2</w:t>
            </w:r>
            <w:r w:rsidR="00AB6FA0">
              <w:rPr>
                <w:vertAlign w:val="superscript"/>
              </w:rPr>
              <w:t>a</w:t>
            </w:r>
          </w:p>
        </w:tc>
      </w:tr>
    </w:tbl>
    <w:p w14:paraId="64F80D66" w14:textId="5FE7B417" w:rsidR="0005702C" w:rsidRDefault="0005702C" w:rsidP="00713D42">
      <w:pPr>
        <w:pStyle w:val="TableNote"/>
        <w:ind w:firstLine="426"/>
      </w:pPr>
      <w:r>
        <w:t>Abbreviations: DUSC, drug utilisation sub-committee; LAAC, left atrial appendage closure</w:t>
      </w:r>
      <w:r w:rsidR="00AD44DE">
        <w:t>.</w:t>
      </w:r>
    </w:p>
    <w:p w14:paraId="56F4ACE6" w14:textId="6F4804A6" w:rsidR="00AB6FA0" w:rsidRDefault="00AB6FA0" w:rsidP="003A65A8">
      <w:pPr>
        <w:pStyle w:val="TableNote"/>
        <w:numPr>
          <w:ilvl w:val="0"/>
          <w:numId w:val="49"/>
        </w:numPr>
        <w:rPr>
          <w:szCs w:val="20"/>
        </w:rPr>
      </w:pPr>
      <w:r>
        <w:t>Patients were considered anatomically unsuitable for LAAC if they had m</w:t>
      </w:r>
      <w:r w:rsidRPr="00AB6FA0">
        <w:t>echanical valve or long-term warfarin needed</w:t>
      </w:r>
      <w:r>
        <w:t>, p</w:t>
      </w:r>
      <w:r w:rsidRPr="00AB6FA0">
        <w:t>rior echocardiogram demonstrated unsuitable anatomy</w:t>
      </w:r>
      <w:r>
        <w:t>, atrial septal defect</w:t>
      </w:r>
      <w:r w:rsidRPr="00AB6FA0">
        <w:t>, atrial septal repair, or closure device</w:t>
      </w:r>
      <w:r>
        <w:t xml:space="preserve"> or if l</w:t>
      </w:r>
      <w:r w:rsidRPr="00AB6FA0">
        <w:t xml:space="preserve">eft atrial appendage </w:t>
      </w:r>
      <w:r>
        <w:t>was</w:t>
      </w:r>
      <w:r w:rsidRPr="00AB6FA0">
        <w:t xml:space="preserve"> obliterated</w:t>
      </w:r>
    </w:p>
    <w:bookmarkEnd w:id="32"/>
    <w:p w14:paraId="16A1784A" w14:textId="77777777" w:rsidR="003F1033" w:rsidRPr="00154B00" w:rsidRDefault="003F1033" w:rsidP="00AE1188">
      <w:pPr>
        <w:ind w:left="426"/>
        <w:rPr>
          <w:szCs w:val="20"/>
        </w:rPr>
      </w:pPr>
    </w:p>
    <w:p w14:paraId="53A68257"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0E321CE9" w14:textId="77777777" w:rsidR="001C1313" w:rsidRDefault="001C1313" w:rsidP="001C1313">
      <w:pPr>
        <w:ind w:left="426"/>
      </w:pPr>
      <w:r>
        <w:t xml:space="preserve">The proposed medical service is intended to be delivered once only. </w:t>
      </w:r>
      <w:r w:rsidRPr="00A02121">
        <w:t>Data from EWOLUTION informed the average number of devices required per implantation attempt (1.07). Use of more than one occluder may occur due to incorrect measurement of the LAA (i.e. initial occluder is the wrong size), or failure to correctly deploy the initial device</w:t>
      </w:r>
      <w:r>
        <w:t>.</w:t>
      </w:r>
    </w:p>
    <w:p w14:paraId="28CED9A5" w14:textId="081310B6" w:rsidR="00935C66" w:rsidRDefault="00935C66" w:rsidP="00935C66">
      <w:pPr>
        <w:ind w:left="426"/>
      </w:pPr>
    </w:p>
    <w:p w14:paraId="63947F9A"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05561364" w14:textId="77777777" w:rsidR="00935C66" w:rsidRPr="00154B00" w:rsidRDefault="00935C66" w:rsidP="00935C66">
      <w:pPr>
        <w:ind w:left="426"/>
        <w:rPr>
          <w:b/>
          <w:szCs w:val="20"/>
        </w:rPr>
      </w:pPr>
      <w:r>
        <w:t>As stated in Q.47, the proposed medical service is to be a once off service.</w:t>
      </w:r>
    </w:p>
    <w:p w14:paraId="63CE467E"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4FB182C1" w14:textId="35899286" w:rsidR="001C1313" w:rsidRDefault="001C1313" w:rsidP="001C1313">
      <w:pPr>
        <w:ind w:left="360"/>
      </w:pPr>
      <w:r>
        <w:fldChar w:fldCharType="begin"/>
      </w:r>
      <w:r>
        <w:instrText xml:space="preserve"> REF _Ref1137322 \h </w:instrText>
      </w:r>
      <w:r>
        <w:fldChar w:fldCharType="separate"/>
      </w:r>
      <w:r w:rsidR="004E2E17">
        <w:t xml:space="preserve">Table </w:t>
      </w:r>
      <w:r w:rsidR="004E2E17">
        <w:rPr>
          <w:noProof/>
        </w:rPr>
        <w:t>7</w:t>
      </w:r>
      <w:r>
        <w:fldChar w:fldCharType="end"/>
      </w:r>
      <w:r>
        <w:t xml:space="preserve"> presents estimates of the total patient population eligible for LAAC for the first year of listing. Based on these estimates there are approximately </w:t>
      </w:r>
      <w:r w:rsidRPr="00401EA7">
        <w:t>308,719</w:t>
      </w:r>
      <w:r>
        <w:t xml:space="preserve"> patients with NVAF and high stroke risk (CHA</w:t>
      </w:r>
      <w:r>
        <w:rPr>
          <w:vertAlign w:val="subscript"/>
        </w:rPr>
        <w:t>2</w:t>
      </w:r>
      <w:r>
        <w:t>DS</w:t>
      </w:r>
      <w:r>
        <w:rPr>
          <w:vertAlign w:val="subscript"/>
        </w:rPr>
        <w:t>2</w:t>
      </w:r>
      <w:r>
        <w:t>-VA ≥2) in Australia of which</w:t>
      </w:r>
      <w:r w:rsidR="002E2626">
        <w:t xml:space="preserve"> it is estimated that</w:t>
      </w:r>
      <w:r>
        <w:t xml:space="preserve"> approximately </w:t>
      </w:r>
      <w:r w:rsidR="0076026B">
        <w:t>18</w:t>
      </w:r>
      <w:r>
        <w:t xml:space="preserve">,000 (or approx. </w:t>
      </w:r>
      <w:r w:rsidR="0076026B">
        <w:t>6</w:t>
      </w:r>
      <w:r>
        <w:t xml:space="preserve">%) patients are eligible for LAAC. </w:t>
      </w:r>
    </w:p>
    <w:p w14:paraId="67F20499" w14:textId="77777777" w:rsidR="001C1313" w:rsidRPr="00901DF3" w:rsidRDefault="001C1313" w:rsidP="001C1313"/>
    <w:p w14:paraId="4AA73D4B" w14:textId="29038F8A" w:rsidR="001C1313" w:rsidRDefault="001C1313" w:rsidP="001C1313">
      <w:pPr>
        <w:pStyle w:val="Caption"/>
      </w:pPr>
      <w:bookmarkStart w:id="33" w:name="_Ref1137322"/>
      <w:r>
        <w:t xml:space="preserve">Table </w:t>
      </w:r>
      <w:r>
        <w:fldChar w:fldCharType="begin"/>
      </w:r>
      <w:r>
        <w:rPr>
          <w:noProof/>
        </w:rPr>
        <w:instrText xml:space="preserve"> SEQ Table \* ARABIC </w:instrText>
      </w:r>
      <w:r>
        <w:fldChar w:fldCharType="separate"/>
      </w:r>
      <w:r w:rsidR="004E2E17">
        <w:rPr>
          <w:noProof/>
        </w:rPr>
        <w:t>7</w:t>
      </w:r>
      <w:r>
        <w:fldChar w:fldCharType="end"/>
      </w:r>
      <w:bookmarkEnd w:id="33"/>
      <w:r>
        <w:rPr>
          <w:noProof/>
        </w:rPr>
        <w:tab/>
      </w:r>
      <w:r>
        <w:rPr>
          <w:noProof/>
        </w:rPr>
        <w:tab/>
        <w:t>Estimated number of patients eleigble for LAAC in the first years of listing</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1565"/>
        <w:gridCol w:w="1441"/>
      </w:tblGrid>
      <w:tr w:rsidR="001C1313" w14:paraId="2B35D0A7" w14:textId="77777777" w:rsidTr="00643F41">
        <w:trPr>
          <w:trHeight w:val="567"/>
          <w:tblHeader/>
          <w:jc w:val="center"/>
        </w:trPr>
        <w:tc>
          <w:tcPr>
            <w:tcW w:w="4979" w:type="dxa"/>
            <w:vAlign w:val="center"/>
            <w:hideMark/>
          </w:tcPr>
          <w:p w14:paraId="0CE74CAD" w14:textId="77777777" w:rsidR="001C1313" w:rsidRPr="00440790" w:rsidRDefault="001C1313" w:rsidP="00AF407E">
            <w:pPr>
              <w:pStyle w:val="Tabletext"/>
              <w:rPr>
                <w:b/>
                <w:bCs w:val="0"/>
              </w:rPr>
            </w:pPr>
            <w:r w:rsidRPr="00440790">
              <w:rPr>
                <w:b/>
                <w:bCs w:val="0"/>
              </w:rPr>
              <w:t>Parameter</w:t>
            </w:r>
            <w:r w:rsidRPr="00440790">
              <w:rPr>
                <w:rFonts w:ascii="Verdana" w:hAnsi="Verdana"/>
                <w:b/>
                <w:bCs w:val="0"/>
                <w:sz w:val="16"/>
                <w:szCs w:val="16"/>
              </w:rPr>
              <w:t> </w:t>
            </w:r>
          </w:p>
        </w:tc>
        <w:tc>
          <w:tcPr>
            <w:tcW w:w="1565" w:type="dxa"/>
            <w:vAlign w:val="center"/>
            <w:hideMark/>
          </w:tcPr>
          <w:p w14:paraId="207547F1" w14:textId="77777777" w:rsidR="001C1313" w:rsidRPr="00440790" w:rsidRDefault="001C1313" w:rsidP="00AF407E">
            <w:pPr>
              <w:pStyle w:val="Tabletext"/>
              <w:rPr>
                <w:rFonts w:ascii="Arial Narrow" w:hAnsi="Arial Narrow"/>
                <w:b/>
                <w:bCs w:val="0"/>
                <w:color w:val="000000"/>
                <w:szCs w:val="20"/>
              </w:rPr>
            </w:pPr>
            <w:r w:rsidRPr="00440790">
              <w:rPr>
                <w:rFonts w:ascii="Arial Narrow" w:hAnsi="Arial Narrow"/>
                <w:b/>
                <w:bCs w:val="0"/>
                <w:color w:val="000000"/>
                <w:szCs w:val="20"/>
              </w:rPr>
              <w:t xml:space="preserve">2020 </w:t>
            </w:r>
          </w:p>
          <w:p w14:paraId="4E5599C7" w14:textId="77777777" w:rsidR="001C1313" w:rsidRPr="00440790" w:rsidRDefault="001C1313" w:rsidP="00AF407E">
            <w:pPr>
              <w:pStyle w:val="Tabletext"/>
              <w:rPr>
                <w:rFonts w:ascii="Arial Narrow" w:hAnsi="Arial Narrow"/>
                <w:b/>
                <w:bCs w:val="0"/>
                <w:szCs w:val="20"/>
              </w:rPr>
            </w:pPr>
            <w:r w:rsidRPr="00440790">
              <w:rPr>
                <w:b/>
                <w:bCs w:val="0"/>
                <w:color w:val="000000"/>
              </w:rPr>
              <w:t>(1</w:t>
            </w:r>
            <w:r w:rsidRPr="00440790">
              <w:rPr>
                <w:b/>
                <w:bCs w:val="0"/>
                <w:color w:val="000000"/>
                <w:vertAlign w:val="superscript"/>
              </w:rPr>
              <w:t>ST</w:t>
            </w:r>
            <w:r w:rsidRPr="00440790">
              <w:rPr>
                <w:b/>
                <w:bCs w:val="0"/>
                <w:color w:val="000000"/>
              </w:rPr>
              <w:t xml:space="preserve"> year)</w:t>
            </w:r>
          </w:p>
        </w:tc>
        <w:tc>
          <w:tcPr>
            <w:tcW w:w="1441" w:type="dxa"/>
            <w:vAlign w:val="center"/>
            <w:hideMark/>
          </w:tcPr>
          <w:p w14:paraId="44F94E18" w14:textId="77777777" w:rsidR="001C1313" w:rsidRPr="00440790" w:rsidRDefault="001C1313" w:rsidP="00AF407E">
            <w:pPr>
              <w:pStyle w:val="Tabletext"/>
              <w:rPr>
                <w:b/>
                <w:bCs w:val="0"/>
              </w:rPr>
            </w:pPr>
            <w:r w:rsidRPr="00440790">
              <w:rPr>
                <w:b/>
                <w:bCs w:val="0"/>
              </w:rPr>
              <w:t>Source</w:t>
            </w:r>
          </w:p>
        </w:tc>
      </w:tr>
      <w:tr w:rsidR="00F147A6" w14:paraId="1829704C" w14:textId="77777777" w:rsidTr="00A96741">
        <w:trPr>
          <w:trHeight w:val="367"/>
          <w:jc w:val="center"/>
        </w:trPr>
        <w:tc>
          <w:tcPr>
            <w:tcW w:w="4979" w:type="dxa"/>
            <w:hideMark/>
          </w:tcPr>
          <w:p w14:paraId="4A9259A7" w14:textId="37C740E1" w:rsidR="00F147A6" w:rsidRDefault="00F147A6" w:rsidP="00F147A6">
            <w:pPr>
              <w:pStyle w:val="Tabletext"/>
              <w:spacing w:line="276" w:lineRule="auto"/>
            </w:pPr>
            <w:r w:rsidRPr="0088254E">
              <w:t>Australian Population Projections- by age</w:t>
            </w:r>
          </w:p>
        </w:tc>
        <w:tc>
          <w:tcPr>
            <w:tcW w:w="1565" w:type="dxa"/>
            <w:hideMark/>
          </w:tcPr>
          <w:p w14:paraId="6B864457" w14:textId="77777777" w:rsidR="00F147A6" w:rsidRDefault="00F147A6" w:rsidP="00F147A6">
            <w:pPr>
              <w:pStyle w:val="Tabletext"/>
              <w:spacing w:line="276" w:lineRule="auto"/>
            </w:pPr>
          </w:p>
        </w:tc>
        <w:tc>
          <w:tcPr>
            <w:tcW w:w="1441" w:type="dxa"/>
            <w:vAlign w:val="center"/>
          </w:tcPr>
          <w:p w14:paraId="18F8B44B" w14:textId="77777777" w:rsidR="00F147A6" w:rsidRDefault="00F147A6" w:rsidP="00F147A6">
            <w:pPr>
              <w:pStyle w:val="Tabletext"/>
              <w:spacing w:line="276" w:lineRule="auto"/>
            </w:pPr>
          </w:p>
        </w:tc>
      </w:tr>
      <w:tr w:rsidR="007F4F8A" w14:paraId="4DFE8086" w14:textId="77777777" w:rsidTr="00AF407E">
        <w:trPr>
          <w:trHeight w:val="313"/>
          <w:jc w:val="center"/>
        </w:trPr>
        <w:tc>
          <w:tcPr>
            <w:tcW w:w="4979" w:type="dxa"/>
            <w:hideMark/>
          </w:tcPr>
          <w:p w14:paraId="08C5DF4A" w14:textId="0BDFF9F3" w:rsidR="007F4F8A" w:rsidRDefault="007F4F8A" w:rsidP="007F4F8A">
            <w:pPr>
              <w:pStyle w:val="Tabletext"/>
              <w:spacing w:line="276" w:lineRule="auto"/>
              <w:ind w:left="180"/>
            </w:pPr>
            <w:r w:rsidRPr="0088254E">
              <w:t>40-49</w:t>
            </w:r>
          </w:p>
        </w:tc>
        <w:tc>
          <w:tcPr>
            <w:tcW w:w="1565" w:type="dxa"/>
            <w:hideMark/>
          </w:tcPr>
          <w:p w14:paraId="2A13DEE5" w14:textId="5CC5F376" w:rsidR="007F4F8A" w:rsidRDefault="007F4F8A" w:rsidP="007F4F8A">
            <w:pPr>
              <w:pStyle w:val="Tabletext"/>
              <w:spacing w:line="276" w:lineRule="auto"/>
            </w:pPr>
            <w:r w:rsidRPr="00117711">
              <w:t>3,298,867</w:t>
            </w:r>
          </w:p>
        </w:tc>
        <w:tc>
          <w:tcPr>
            <w:tcW w:w="1441" w:type="dxa"/>
            <w:vAlign w:val="center"/>
          </w:tcPr>
          <w:p w14:paraId="575AB5D5" w14:textId="77777777" w:rsidR="007F4F8A" w:rsidRDefault="007F4F8A" w:rsidP="007F4F8A">
            <w:pPr>
              <w:pStyle w:val="Tabletext"/>
              <w:spacing w:line="276" w:lineRule="auto"/>
            </w:pPr>
            <w:r>
              <w:t>ABS Series B</w:t>
            </w:r>
          </w:p>
        </w:tc>
      </w:tr>
      <w:tr w:rsidR="007F4F8A" w14:paraId="60607A5F" w14:textId="77777777" w:rsidTr="00AF407E">
        <w:trPr>
          <w:trHeight w:val="313"/>
          <w:jc w:val="center"/>
        </w:trPr>
        <w:tc>
          <w:tcPr>
            <w:tcW w:w="4979" w:type="dxa"/>
            <w:hideMark/>
          </w:tcPr>
          <w:p w14:paraId="37956DD8" w14:textId="4BDA5AD8" w:rsidR="007F4F8A" w:rsidRDefault="007F4F8A" w:rsidP="007F4F8A">
            <w:pPr>
              <w:pStyle w:val="Tabletext"/>
              <w:spacing w:line="276" w:lineRule="auto"/>
              <w:ind w:left="180"/>
            </w:pPr>
            <w:r w:rsidRPr="0088254E">
              <w:t>50-59</w:t>
            </w:r>
          </w:p>
        </w:tc>
        <w:tc>
          <w:tcPr>
            <w:tcW w:w="1565" w:type="dxa"/>
            <w:hideMark/>
          </w:tcPr>
          <w:p w14:paraId="7AA3D726" w14:textId="465EE322" w:rsidR="007F4F8A" w:rsidRDefault="007F4F8A" w:rsidP="007F4F8A">
            <w:pPr>
              <w:pStyle w:val="Tabletext"/>
              <w:spacing w:line="276" w:lineRule="auto"/>
            </w:pPr>
            <w:r w:rsidRPr="00117711">
              <w:t>3,102,387</w:t>
            </w:r>
          </w:p>
        </w:tc>
        <w:tc>
          <w:tcPr>
            <w:tcW w:w="1441" w:type="dxa"/>
            <w:vAlign w:val="center"/>
          </w:tcPr>
          <w:p w14:paraId="7A81CB48" w14:textId="77777777" w:rsidR="007F4F8A" w:rsidRDefault="007F4F8A" w:rsidP="007F4F8A">
            <w:pPr>
              <w:pStyle w:val="Tabletext"/>
              <w:spacing w:line="276" w:lineRule="auto"/>
            </w:pPr>
            <w:r>
              <w:t>ABS Series B</w:t>
            </w:r>
          </w:p>
        </w:tc>
      </w:tr>
      <w:tr w:rsidR="007F4F8A" w14:paraId="759244F3" w14:textId="77777777" w:rsidTr="00AF407E">
        <w:trPr>
          <w:trHeight w:val="313"/>
          <w:jc w:val="center"/>
        </w:trPr>
        <w:tc>
          <w:tcPr>
            <w:tcW w:w="4979" w:type="dxa"/>
            <w:hideMark/>
          </w:tcPr>
          <w:p w14:paraId="70437A08" w14:textId="12686B49" w:rsidR="007F4F8A" w:rsidRDefault="007F4F8A" w:rsidP="007F4F8A">
            <w:pPr>
              <w:pStyle w:val="Tabletext"/>
              <w:spacing w:line="276" w:lineRule="auto"/>
              <w:ind w:left="180"/>
            </w:pPr>
            <w:r w:rsidRPr="0088254E">
              <w:t>60-69</w:t>
            </w:r>
          </w:p>
        </w:tc>
        <w:tc>
          <w:tcPr>
            <w:tcW w:w="1565" w:type="dxa"/>
            <w:hideMark/>
          </w:tcPr>
          <w:p w14:paraId="67AD77D8" w14:textId="451DD42A" w:rsidR="007F4F8A" w:rsidRDefault="007F4F8A" w:rsidP="007F4F8A">
            <w:pPr>
              <w:pStyle w:val="Tabletext"/>
              <w:spacing w:line="276" w:lineRule="auto"/>
            </w:pPr>
            <w:r w:rsidRPr="00117711">
              <w:t>2,665,658</w:t>
            </w:r>
          </w:p>
        </w:tc>
        <w:tc>
          <w:tcPr>
            <w:tcW w:w="1441" w:type="dxa"/>
            <w:vAlign w:val="center"/>
          </w:tcPr>
          <w:p w14:paraId="04DB8BE3" w14:textId="77777777" w:rsidR="007F4F8A" w:rsidRDefault="007F4F8A" w:rsidP="007F4F8A">
            <w:pPr>
              <w:pStyle w:val="Tabletext"/>
              <w:spacing w:line="276" w:lineRule="auto"/>
            </w:pPr>
            <w:r>
              <w:t>ABS Series B</w:t>
            </w:r>
          </w:p>
        </w:tc>
      </w:tr>
      <w:tr w:rsidR="007F4F8A" w14:paraId="2531DC59" w14:textId="77777777" w:rsidTr="00AF407E">
        <w:trPr>
          <w:trHeight w:val="313"/>
          <w:jc w:val="center"/>
        </w:trPr>
        <w:tc>
          <w:tcPr>
            <w:tcW w:w="4979" w:type="dxa"/>
            <w:hideMark/>
          </w:tcPr>
          <w:p w14:paraId="076C150B" w14:textId="4FFEE162" w:rsidR="007F4F8A" w:rsidRDefault="007F4F8A" w:rsidP="007F4F8A">
            <w:pPr>
              <w:pStyle w:val="Tabletext"/>
              <w:spacing w:line="276" w:lineRule="auto"/>
              <w:ind w:left="180"/>
            </w:pPr>
            <w:r w:rsidRPr="0088254E">
              <w:t>70-79</w:t>
            </w:r>
          </w:p>
        </w:tc>
        <w:tc>
          <w:tcPr>
            <w:tcW w:w="1565" w:type="dxa"/>
            <w:hideMark/>
          </w:tcPr>
          <w:p w14:paraId="586FF6B9" w14:textId="3CCEC8A3" w:rsidR="007F4F8A" w:rsidRDefault="007F4F8A" w:rsidP="007F4F8A">
            <w:pPr>
              <w:pStyle w:val="Tabletext"/>
              <w:spacing w:line="276" w:lineRule="auto"/>
            </w:pPr>
            <w:r w:rsidRPr="00117711">
              <w:t>1,861,189</w:t>
            </w:r>
          </w:p>
        </w:tc>
        <w:tc>
          <w:tcPr>
            <w:tcW w:w="1441" w:type="dxa"/>
            <w:vAlign w:val="center"/>
          </w:tcPr>
          <w:p w14:paraId="5A590C18" w14:textId="77777777" w:rsidR="007F4F8A" w:rsidRDefault="007F4F8A" w:rsidP="007F4F8A">
            <w:pPr>
              <w:pStyle w:val="Tabletext"/>
              <w:spacing w:line="276" w:lineRule="auto"/>
            </w:pPr>
            <w:r>
              <w:t>ABS Series B</w:t>
            </w:r>
          </w:p>
        </w:tc>
      </w:tr>
      <w:tr w:rsidR="007F4F8A" w14:paraId="4D144657" w14:textId="77777777" w:rsidTr="00AF407E">
        <w:trPr>
          <w:trHeight w:val="313"/>
          <w:jc w:val="center"/>
        </w:trPr>
        <w:tc>
          <w:tcPr>
            <w:tcW w:w="4979" w:type="dxa"/>
            <w:hideMark/>
          </w:tcPr>
          <w:p w14:paraId="04DEFDD4" w14:textId="00B44A8E" w:rsidR="007F4F8A" w:rsidRDefault="007F4F8A" w:rsidP="007F4F8A">
            <w:pPr>
              <w:pStyle w:val="Tabletext"/>
              <w:spacing w:line="276" w:lineRule="auto"/>
              <w:ind w:left="180"/>
            </w:pPr>
            <w:r w:rsidRPr="0088254E">
              <w:t>≥80</w:t>
            </w:r>
          </w:p>
        </w:tc>
        <w:tc>
          <w:tcPr>
            <w:tcW w:w="1565" w:type="dxa"/>
            <w:hideMark/>
          </w:tcPr>
          <w:p w14:paraId="79BC6A08" w14:textId="1E43D37D" w:rsidR="007F4F8A" w:rsidRDefault="007F4F8A" w:rsidP="007F4F8A">
            <w:pPr>
              <w:pStyle w:val="Tabletext"/>
              <w:spacing w:line="276" w:lineRule="auto"/>
            </w:pPr>
            <w:r w:rsidRPr="00117711">
              <w:t>1,040,201</w:t>
            </w:r>
          </w:p>
        </w:tc>
        <w:tc>
          <w:tcPr>
            <w:tcW w:w="1441" w:type="dxa"/>
            <w:vAlign w:val="center"/>
          </w:tcPr>
          <w:p w14:paraId="4C3CA1B4" w14:textId="77777777" w:rsidR="007F4F8A" w:rsidRDefault="007F4F8A" w:rsidP="007F4F8A">
            <w:pPr>
              <w:pStyle w:val="Tabletext"/>
              <w:spacing w:line="276" w:lineRule="auto"/>
            </w:pPr>
            <w:r>
              <w:t>ABS Series B</w:t>
            </w:r>
          </w:p>
        </w:tc>
      </w:tr>
      <w:tr w:rsidR="007F4F8A" w14:paraId="7C227F28" w14:textId="77777777" w:rsidTr="00AF407E">
        <w:trPr>
          <w:trHeight w:val="313"/>
          <w:jc w:val="center"/>
        </w:trPr>
        <w:tc>
          <w:tcPr>
            <w:tcW w:w="4979" w:type="dxa"/>
          </w:tcPr>
          <w:p w14:paraId="1DDB4A2E" w14:textId="3A3D35A2" w:rsidR="007F4F8A" w:rsidRPr="00353A7E" w:rsidRDefault="007F4F8A" w:rsidP="007F4F8A">
            <w:pPr>
              <w:pStyle w:val="Tabletext"/>
              <w:spacing w:line="276" w:lineRule="auto"/>
            </w:pPr>
            <w:r w:rsidRPr="0088254E">
              <w:t>AF prevalence-by age</w:t>
            </w:r>
          </w:p>
        </w:tc>
        <w:tc>
          <w:tcPr>
            <w:tcW w:w="1565" w:type="dxa"/>
          </w:tcPr>
          <w:p w14:paraId="00B980A2" w14:textId="77777777" w:rsidR="007F4F8A" w:rsidRPr="00136623" w:rsidRDefault="007F4F8A" w:rsidP="007F4F8A">
            <w:pPr>
              <w:pStyle w:val="Tabletext"/>
              <w:spacing w:line="276" w:lineRule="auto"/>
            </w:pPr>
          </w:p>
        </w:tc>
        <w:tc>
          <w:tcPr>
            <w:tcW w:w="1441" w:type="dxa"/>
            <w:vAlign w:val="center"/>
          </w:tcPr>
          <w:p w14:paraId="678889FC" w14:textId="77777777" w:rsidR="007F4F8A" w:rsidRDefault="007F4F8A" w:rsidP="007F4F8A">
            <w:pPr>
              <w:pStyle w:val="Tabletext"/>
              <w:spacing w:line="276" w:lineRule="auto"/>
            </w:pPr>
          </w:p>
        </w:tc>
      </w:tr>
      <w:tr w:rsidR="007F4F8A" w14:paraId="6C01DD47" w14:textId="77777777" w:rsidTr="00A96741">
        <w:trPr>
          <w:trHeight w:val="313"/>
          <w:jc w:val="center"/>
        </w:trPr>
        <w:tc>
          <w:tcPr>
            <w:tcW w:w="4979" w:type="dxa"/>
          </w:tcPr>
          <w:p w14:paraId="52751B70" w14:textId="6FD891DE" w:rsidR="007F4F8A" w:rsidRPr="00401EA7" w:rsidRDefault="007F4F8A" w:rsidP="007F4F8A">
            <w:pPr>
              <w:pStyle w:val="Tabletext"/>
              <w:ind w:left="180"/>
            </w:pPr>
            <w:r w:rsidRPr="0088254E">
              <w:t>40-49 – 1.0%</w:t>
            </w:r>
          </w:p>
        </w:tc>
        <w:tc>
          <w:tcPr>
            <w:tcW w:w="1565" w:type="dxa"/>
          </w:tcPr>
          <w:p w14:paraId="71AA85E8" w14:textId="632934CF" w:rsidR="007F4F8A" w:rsidRPr="00136623" w:rsidRDefault="007F4F8A" w:rsidP="007F4F8A">
            <w:pPr>
              <w:pStyle w:val="Tabletext"/>
              <w:spacing w:line="276" w:lineRule="auto"/>
            </w:pPr>
            <w:r w:rsidRPr="00117711">
              <w:t>32,989</w:t>
            </w:r>
          </w:p>
        </w:tc>
        <w:tc>
          <w:tcPr>
            <w:tcW w:w="1441" w:type="dxa"/>
            <w:vAlign w:val="center"/>
          </w:tcPr>
          <w:p w14:paraId="35DFF68A" w14:textId="742ABB69"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00B37AF7" w14:textId="77777777" w:rsidTr="00A96741">
        <w:trPr>
          <w:trHeight w:val="313"/>
          <w:jc w:val="center"/>
        </w:trPr>
        <w:tc>
          <w:tcPr>
            <w:tcW w:w="4979" w:type="dxa"/>
          </w:tcPr>
          <w:p w14:paraId="1E92E222" w14:textId="17F21184" w:rsidR="007F4F8A" w:rsidRPr="00401EA7" w:rsidRDefault="007F4F8A" w:rsidP="007F4F8A">
            <w:pPr>
              <w:pStyle w:val="Tabletext"/>
              <w:ind w:left="180"/>
            </w:pPr>
            <w:r w:rsidRPr="0088254E">
              <w:t>50-59 – 1.5%</w:t>
            </w:r>
          </w:p>
        </w:tc>
        <w:tc>
          <w:tcPr>
            <w:tcW w:w="1565" w:type="dxa"/>
          </w:tcPr>
          <w:p w14:paraId="03F9F737" w14:textId="1026A4B0" w:rsidR="007F4F8A" w:rsidRPr="00136623" w:rsidRDefault="007F4F8A" w:rsidP="007F4F8A">
            <w:pPr>
              <w:pStyle w:val="Tabletext"/>
              <w:spacing w:line="276" w:lineRule="auto"/>
            </w:pPr>
            <w:r w:rsidRPr="00117711">
              <w:t>46,536</w:t>
            </w:r>
          </w:p>
        </w:tc>
        <w:tc>
          <w:tcPr>
            <w:tcW w:w="1441" w:type="dxa"/>
            <w:vAlign w:val="center"/>
          </w:tcPr>
          <w:p w14:paraId="278DA9B0" w14:textId="3DEB63A8"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7DA2030A" w14:textId="77777777" w:rsidTr="00A96741">
        <w:trPr>
          <w:trHeight w:val="313"/>
          <w:jc w:val="center"/>
        </w:trPr>
        <w:tc>
          <w:tcPr>
            <w:tcW w:w="4979" w:type="dxa"/>
          </w:tcPr>
          <w:p w14:paraId="008107C9" w14:textId="1C1D0BAB" w:rsidR="007F4F8A" w:rsidRPr="00401EA7" w:rsidRDefault="007F4F8A" w:rsidP="007F4F8A">
            <w:pPr>
              <w:pStyle w:val="Tabletext"/>
              <w:ind w:left="180"/>
            </w:pPr>
            <w:r w:rsidRPr="0088254E">
              <w:t>60-69 – 4.2%</w:t>
            </w:r>
          </w:p>
        </w:tc>
        <w:tc>
          <w:tcPr>
            <w:tcW w:w="1565" w:type="dxa"/>
          </w:tcPr>
          <w:p w14:paraId="71146A62" w14:textId="566EA079" w:rsidR="007F4F8A" w:rsidRPr="00136623" w:rsidRDefault="007F4F8A" w:rsidP="007F4F8A">
            <w:pPr>
              <w:pStyle w:val="Tabletext"/>
              <w:spacing w:line="276" w:lineRule="auto"/>
            </w:pPr>
            <w:r w:rsidRPr="00117711">
              <w:t>111,958</w:t>
            </w:r>
          </w:p>
        </w:tc>
        <w:tc>
          <w:tcPr>
            <w:tcW w:w="1441" w:type="dxa"/>
            <w:vAlign w:val="center"/>
          </w:tcPr>
          <w:p w14:paraId="37421811" w14:textId="7E62586B"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18A062E9" w14:textId="77777777" w:rsidTr="00A96741">
        <w:trPr>
          <w:trHeight w:val="313"/>
          <w:jc w:val="center"/>
        </w:trPr>
        <w:tc>
          <w:tcPr>
            <w:tcW w:w="4979" w:type="dxa"/>
          </w:tcPr>
          <w:p w14:paraId="4B5B7FAF" w14:textId="7D059140" w:rsidR="007F4F8A" w:rsidRPr="00401EA7" w:rsidRDefault="007F4F8A" w:rsidP="007F4F8A">
            <w:pPr>
              <w:pStyle w:val="Tabletext"/>
              <w:ind w:left="180"/>
            </w:pPr>
            <w:r w:rsidRPr="0088254E">
              <w:t>70-79 – 10.9%</w:t>
            </w:r>
          </w:p>
        </w:tc>
        <w:tc>
          <w:tcPr>
            <w:tcW w:w="1565" w:type="dxa"/>
          </w:tcPr>
          <w:p w14:paraId="103E2987" w14:textId="78062EA4" w:rsidR="007F4F8A" w:rsidRPr="00136623" w:rsidRDefault="007F4F8A" w:rsidP="007F4F8A">
            <w:pPr>
              <w:pStyle w:val="Tabletext"/>
              <w:spacing w:line="276" w:lineRule="auto"/>
            </w:pPr>
            <w:r w:rsidRPr="00117711">
              <w:t>202,870</w:t>
            </w:r>
          </w:p>
        </w:tc>
        <w:tc>
          <w:tcPr>
            <w:tcW w:w="1441" w:type="dxa"/>
            <w:vAlign w:val="center"/>
          </w:tcPr>
          <w:p w14:paraId="3BCBE86D" w14:textId="6F2E1C33"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593D5E07" w14:textId="77777777" w:rsidTr="00A96741">
        <w:trPr>
          <w:trHeight w:val="313"/>
          <w:jc w:val="center"/>
        </w:trPr>
        <w:tc>
          <w:tcPr>
            <w:tcW w:w="4979" w:type="dxa"/>
          </w:tcPr>
          <w:p w14:paraId="5BFF38CB" w14:textId="04E5B265" w:rsidR="007F4F8A" w:rsidRPr="00401EA7" w:rsidRDefault="007F4F8A" w:rsidP="007F4F8A">
            <w:pPr>
              <w:pStyle w:val="Tabletext"/>
              <w:ind w:left="180"/>
            </w:pPr>
            <w:r w:rsidRPr="0088254E">
              <w:t>≥80 – 14.8%</w:t>
            </w:r>
          </w:p>
        </w:tc>
        <w:tc>
          <w:tcPr>
            <w:tcW w:w="1565" w:type="dxa"/>
          </w:tcPr>
          <w:p w14:paraId="6932ADC4" w14:textId="27E3ECE4" w:rsidR="007F4F8A" w:rsidRPr="00136623" w:rsidRDefault="007F4F8A" w:rsidP="007F4F8A">
            <w:pPr>
              <w:pStyle w:val="Tabletext"/>
              <w:spacing w:line="276" w:lineRule="auto"/>
            </w:pPr>
            <w:r w:rsidRPr="00117711">
              <w:t>153,950</w:t>
            </w:r>
          </w:p>
        </w:tc>
        <w:tc>
          <w:tcPr>
            <w:tcW w:w="1441" w:type="dxa"/>
            <w:vAlign w:val="center"/>
          </w:tcPr>
          <w:p w14:paraId="5841393A" w14:textId="7DD9DD9C"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523E6D42" w14:textId="77777777" w:rsidTr="00A96741">
        <w:trPr>
          <w:trHeight w:val="313"/>
          <w:jc w:val="center"/>
        </w:trPr>
        <w:tc>
          <w:tcPr>
            <w:tcW w:w="4979" w:type="dxa"/>
          </w:tcPr>
          <w:p w14:paraId="224D2B54" w14:textId="4342DAF7" w:rsidR="007F4F8A" w:rsidRPr="00401EA7" w:rsidRDefault="007F4F8A" w:rsidP="007F4F8A">
            <w:pPr>
              <w:pStyle w:val="Tabletext"/>
            </w:pPr>
            <w:r w:rsidRPr="0088254E">
              <w:t>Proportion of AF patients with NVAF– 88.58%</w:t>
            </w:r>
          </w:p>
        </w:tc>
        <w:tc>
          <w:tcPr>
            <w:tcW w:w="1565" w:type="dxa"/>
          </w:tcPr>
          <w:p w14:paraId="058407DE" w14:textId="1F11E82B" w:rsidR="007F4F8A" w:rsidRPr="00136623" w:rsidRDefault="007F4F8A" w:rsidP="007F4F8A">
            <w:pPr>
              <w:pStyle w:val="Tabletext"/>
              <w:spacing w:line="276" w:lineRule="auto"/>
            </w:pPr>
            <w:r w:rsidRPr="00117711">
              <w:t>485,688</w:t>
            </w:r>
          </w:p>
        </w:tc>
        <w:tc>
          <w:tcPr>
            <w:tcW w:w="1441" w:type="dxa"/>
            <w:vAlign w:val="center"/>
          </w:tcPr>
          <w:p w14:paraId="352E74AA" w14:textId="6ADD3D29"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6C5E68AF" w14:textId="77777777" w:rsidTr="00A96741">
        <w:trPr>
          <w:trHeight w:val="313"/>
          <w:jc w:val="center"/>
        </w:trPr>
        <w:tc>
          <w:tcPr>
            <w:tcW w:w="4979" w:type="dxa"/>
          </w:tcPr>
          <w:p w14:paraId="3FF24C1A" w14:textId="1D174D53" w:rsidR="007F4F8A" w:rsidRPr="00353A7E" w:rsidRDefault="007F4F8A" w:rsidP="007F4F8A">
            <w:pPr>
              <w:pStyle w:val="Tabletext"/>
              <w:spacing w:line="276" w:lineRule="auto"/>
            </w:pPr>
            <w:r w:rsidRPr="0088254E">
              <w:t>Proportion of NVAF patients with CHA2DS2-VA≥2 – 63.56%</w:t>
            </w:r>
          </w:p>
        </w:tc>
        <w:tc>
          <w:tcPr>
            <w:tcW w:w="1565" w:type="dxa"/>
          </w:tcPr>
          <w:p w14:paraId="4D5E5417" w14:textId="012743BC" w:rsidR="007F4F8A" w:rsidRPr="00136623" w:rsidRDefault="007F4F8A" w:rsidP="007F4F8A">
            <w:pPr>
              <w:pStyle w:val="Tabletext"/>
              <w:spacing w:line="276" w:lineRule="auto"/>
            </w:pPr>
            <w:r w:rsidRPr="00117711">
              <w:t>308,719</w:t>
            </w:r>
          </w:p>
        </w:tc>
        <w:tc>
          <w:tcPr>
            <w:tcW w:w="1441" w:type="dxa"/>
            <w:vAlign w:val="center"/>
          </w:tcPr>
          <w:p w14:paraId="36CCDD9C" w14:textId="5ADD7EF0" w:rsidR="007F4F8A" w:rsidRDefault="007F4F8A" w:rsidP="007F4F8A">
            <w:pPr>
              <w:pStyle w:val="Tabletext"/>
              <w:spacing w:line="276" w:lineRule="auto"/>
            </w:pPr>
            <w:r>
              <w:fldChar w:fldCharType="begin"/>
            </w:r>
            <w:r>
              <w:instrText xml:space="preserve"> REF _Ref22914088 \h  \* MERGEFORMAT </w:instrText>
            </w:r>
            <w:r>
              <w:fldChar w:fldCharType="separate"/>
            </w:r>
            <w:r w:rsidR="004E2E17">
              <w:t xml:space="preserve">Table </w:t>
            </w:r>
            <w:r w:rsidR="004E2E17">
              <w:rPr>
                <w:noProof/>
              </w:rPr>
              <w:t>4</w:t>
            </w:r>
            <w:r>
              <w:fldChar w:fldCharType="end"/>
            </w:r>
          </w:p>
        </w:tc>
      </w:tr>
      <w:tr w:rsidR="007F4F8A" w14:paraId="555D136B" w14:textId="77777777" w:rsidTr="00A96741">
        <w:trPr>
          <w:trHeight w:val="313"/>
          <w:jc w:val="center"/>
        </w:trPr>
        <w:tc>
          <w:tcPr>
            <w:tcW w:w="4979" w:type="dxa"/>
          </w:tcPr>
          <w:p w14:paraId="7CE2F88F" w14:textId="5E62B4D8" w:rsidR="007F4F8A" w:rsidRDefault="007F4F8A" w:rsidP="007F4F8A">
            <w:pPr>
              <w:pStyle w:val="Tabletext"/>
              <w:spacing w:line="276" w:lineRule="auto"/>
            </w:pPr>
            <w:r w:rsidRPr="0088254E">
              <w:t>Proportion of patients with relative CI to OAT – 31.0%</w:t>
            </w:r>
          </w:p>
        </w:tc>
        <w:tc>
          <w:tcPr>
            <w:tcW w:w="1565" w:type="dxa"/>
          </w:tcPr>
          <w:p w14:paraId="2A6670E0" w14:textId="6DBE00B3" w:rsidR="007F4F8A" w:rsidRDefault="007F4F8A" w:rsidP="007F4F8A">
            <w:pPr>
              <w:pStyle w:val="Tabletext"/>
              <w:spacing w:line="276" w:lineRule="auto"/>
            </w:pPr>
            <w:r w:rsidRPr="00117711">
              <w:t>94,777</w:t>
            </w:r>
          </w:p>
        </w:tc>
        <w:tc>
          <w:tcPr>
            <w:tcW w:w="1441" w:type="dxa"/>
            <w:vAlign w:val="center"/>
          </w:tcPr>
          <w:p w14:paraId="3704FCA5" w14:textId="5D48B1DE" w:rsidR="007F4F8A" w:rsidRDefault="007F4F8A" w:rsidP="007F4F8A">
            <w:pPr>
              <w:pStyle w:val="Tabletext"/>
              <w:spacing w:line="276" w:lineRule="auto"/>
            </w:pPr>
            <w:r>
              <w:fldChar w:fldCharType="begin"/>
            </w:r>
            <w:r>
              <w:instrText xml:space="preserve"> REF _Ref22918717 \h  \* MERGEFORMAT </w:instrText>
            </w:r>
            <w:r>
              <w:fldChar w:fldCharType="separate"/>
            </w:r>
            <w:r w:rsidR="004E2E17">
              <w:t xml:space="preserve">Table </w:t>
            </w:r>
            <w:r w:rsidR="004E2E17">
              <w:rPr>
                <w:noProof/>
              </w:rPr>
              <w:t>6</w:t>
            </w:r>
            <w:r>
              <w:fldChar w:fldCharType="end"/>
            </w:r>
          </w:p>
        </w:tc>
      </w:tr>
      <w:tr w:rsidR="00613CFF" w14:paraId="511C2059" w14:textId="77777777" w:rsidTr="00ED00FA">
        <w:trPr>
          <w:trHeight w:val="313"/>
          <w:jc w:val="center"/>
        </w:trPr>
        <w:tc>
          <w:tcPr>
            <w:tcW w:w="4979" w:type="dxa"/>
          </w:tcPr>
          <w:p w14:paraId="11B02364" w14:textId="77777777" w:rsidR="00613CFF" w:rsidRPr="00401EA7" w:rsidRDefault="00613CFF" w:rsidP="00613CFF">
            <w:pPr>
              <w:pStyle w:val="Tabletext"/>
              <w:spacing w:line="276" w:lineRule="auto"/>
            </w:pPr>
            <w:r w:rsidRPr="0088254E">
              <w:t xml:space="preserve">Proportion of patients </w:t>
            </w:r>
            <w:r>
              <w:t>referred for</w:t>
            </w:r>
            <w:r w:rsidRPr="0088254E">
              <w:t xml:space="preserve"> LAAC - </w:t>
            </w:r>
            <w:r>
              <w:t>3</w:t>
            </w:r>
            <w:r w:rsidRPr="0088254E">
              <w:t>0%</w:t>
            </w:r>
          </w:p>
        </w:tc>
        <w:tc>
          <w:tcPr>
            <w:tcW w:w="1565" w:type="dxa"/>
            <w:vAlign w:val="center"/>
          </w:tcPr>
          <w:p w14:paraId="2D4A8108" w14:textId="7B70ACBE" w:rsidR="00613CFF" w:rsidRPr="00440790" w:rsidRDefault="00613CFF" w:rsidP="00613CFF">
            <w:pPr>
              <w:pStyle w:val="Tabletext"/>
              <w:spacing w:line="276" w:lineRule="auto"/>
            </w:pPr>
            <w:r>
              <w:rPr>
                <w:rFonts w:cs="Calibri"/>
                <w:color w:val="000000"/>
              </w:rPr>
              <w:t>28,433</w:t>
            </w:r>
          </w:p>
        </w:tc>
        <w:tc>
          <w:tcPr>
            <w:tcW w:w="1441" w:type="dxa"/>
            <w:vAlign w:val="center"/>
          </w:tcPr>
          <w:p w14:paraId="1E44D13F" w14:textId="1BD20BFC" w:rsidR="00613CFF" w:rsidRDefault="00613CFF" w:rsidP="00613CFF">
            <w:pPr>
              <w:pStyle w:val="Tabletext"/>
              <w:spacing w:line="276" w:lineRule="auto"/>
            </w:pPr>
            <w:r>
              <w:fldChar w:fldCharType="begin"/>
            </w:r>
            <w:r>
              <w:instrText xml:space="preserve"> REF _Ref22918717 \h  \* MERGEFORMAT </w:instrText>
            </w:r>
            <w:r>
              <w:fldChar w:fldCharType="separate"/>
            </w:r>
            <w:r w:rsidR="004E2E17">
              <w:t xml:space="preserve">Table </w:t>
            </w:r>
            <w:r w:rsidR="004E2E17">
              <w:rPr>
                <w:noProof/>
              </w:rPr>
              <w:t>6</w:t>
            </w:r>
            <w:r>
              <w:fldChar w:fldCharType="end"/>
            </w:r>
          </w:p>
        </w:tc>
      </w:tr>
      <w:tr w:rsidR="00AB6FA0" w14:paraId="2079E919" w14:textId="77777777" w:rsidTr="00ED00FA">
        <w:trPr>
          <w:trHeight w:val="313"/>
          <w:jc w:val="center"/>
        </w:trPr>
        <w:tc>
          <w:tcPr>
            <w:tcW w:w="4979" w:type="dxa"/>
          </w:tcPr>
          <w:p w14:paraId="6EBEC2AA" w14:textId="3AB2A3D9" w:rsidR="00AB6FA0" w:rsidRDefault="00AB6FA0" w:rsidP="00AB6FA0">
            <w:pPr>
              <w:pStyle w:val="Tabletext"/>
              <w:spacing w:line="276" w:lineRule="auto"/>
            </w:pPr>
            <w:r w:rsidRPr="0088254E">
              <w:t xml:space="preserve">Proportion of patients suitable for LAAC therapy – </w:t>
            </w:r>
            <w:r>
              <w:t>84.6</w:t>
            </w:r>
            <w:r w:rsidRPr="0088254E">
              <w:t>%</w:t>
            </w:r>
          </w:p>
        </w:tc>
        <w:tc>
          <w:tcPr>
            <w:tcW w:w="1565" w:type="dxa"/>
            <w:vAlign w:val="center"/>
          </w:tcPr>
          <w:p w14:paraId="273EE8F3" w14:textId="72449106" w:rsidR="00AB6FA0" w:rsidRDefault="00AB6FA0" w:rsidP="00AB6FA0">
            <w:pPr>
              <w:pStyle w:val="Tabletext"/>
              <w:spacing w:line="276" w:lineRule="auto"/>
            </w:pPr>
            <w:r>
              <w:rPr>
                <w:rFonts w:cs="Calibri"/>
                <w:color w:val="000000"/>
              </w:rPr>
              <w:t>24,054</w:t>
            </w:r>
          </w:p>
        </w:tc>
        <w:tc>
          <w:tcPr>
            <w:tcW w:w="1441" w:type="dxa"/>
            <w:vAlign w:val="center"/>
          </w:tcPr>
          <w:p w14:paraId="337B690D" w14:textId="166F6F36" w:rsidR="00AB6FA0" w:rsidRDefault="00AB6FA0" w:rsidP="00AB6FA0">
            <w:pPr>
              <w:pStyle w:val="Tabletext"/>
              <w:spacing w:line="276" w:lineRule="auto"/>
            </w:pPr>
            <w:r>
              <w:fldChar w:fldCharType="begin"/>
            </w:r>
            <w:r>
              <w:instrText xml:space="preserve"> REF _Ref22918717 \h  \* MERGEFORMAT </w:instrText>
            </w:r>
            <w:r>
              <w:fldChar w:fldCharType="separate"/>
            </w:r>
            <w:r>
              <w:t xml:space="preserve">Table </w:t>
            </w:r>
            <w:r>
              <w:rPr>
                <w:noProof/>
              </w:rPr>
              <w:t>6</w:t>
            </w:r>
            <w:r>
              <w:fldChar w:fldCharType="end"/>
            </w:r>
          </w:p>
        </w:tc>
      </w:tr>
      <w:tr w:rsidR="00AB6FA0" w14:paraId="689BC0D4" w14:textId="77777777" w:rsidTr="00ED00FA">
        <w:trPr>
          <w:trHeight w:val="313"/>
          <w:jc w:val="center"/>
        </w:trPr>
        <w:tc>
          <w:tcPr>
            <w:tcW w:w="4979" w:type="dxa"/>
            <w:vAlign w:val="center"/>
            <w:hideMark/>
          </w:tcPr>
          <w:p w14:paraId="4662CEE4" w14:textId="77777777" w:rsidR="00AB6FA0" w:rsidRPr="00440790" w:rsidRDefault="00AB6FA0" w:rsidP="00AB6FA0">
            <w:pPr>
              <w:pStyle w:val="Tabletext"/>
              <w:spacing w:line="276" w:lineRule="auto"/>
              <w:rPr>
                <w:b/>
              </w:rPr>
            </w:pPr>
            <w:r w:rsidRPr="00440790">
              <w:rPr>
                <w:b/>
              </w:rPr>
              <w:t>Total number of patients eligible for LAAC</w:t>
            </w:r>
          </w:p>
        </w:tc>
        <w:tc>
          <w:tcPr>
            <w:tcW w:w="1565" w:type="dxa"/>
            <w:vAlign w:val="center"/>
            <w:hideMark/>
          </w:tcPr>
          <w:p w14:paraId="57A7CDDA" w14:textId="4B7C812D" w:rsidR="00AB6FA0" w:rsidRPr="00440790" w:rsidRDefault="00AB6FA0" w:rsidP="00AB6FA0">
            <w:pPr>
              <w:pStyle w:val="Tabletext"/>
              <w:spacing w:line="276" w:lineRule="auto"/>
              <w:rPr>
                <w:b/>
              </w:rPr>
            </w:pPr>
            <w:r>
              <w:rPr>
                <w:rFonts w:cs="Calibri"/>
                <w:color w:val="000000"/>
              </w:rPr>
              <w:t>24,054</w:t>
            </w:r>
          </w:p>
        </w:tc>
        <w:tc>
          <w:tcPr>
            <w:tcW w:w="1441" w:type="dxa"/>
            <w:vAlign w:val="center"/>
          </w:tcPr>
          <w:p w14:paraId="5B9119E8" w14:textId="77777777" w:rsidR="00AB6FA0" w:rsidRPr="00440790" w:rsidRDefault="00AB6FA0" w:rsidP="00AB6FA0">
            <w:pPr>
              <w:pStyle w:val="Tabletext"/>
              <w:spacing w:line="276" w:lineRule="auto"/>
              <w:rPr>
                <w:b/>
              </w:rPr>
            </w:pPr>
          </w:p>
        </w:tc>
      </w:tr>
    </w:tbl>
    <w:p w14:paraId="7B73427C" w14:textId="2DC73B29" w:rsidR="00AE1188" w:rsidRPr="00154B00" w:rsidRDefault="001C1313" w:rsidP="007E53B3">
      <w:pPr>
        <w:pStyle w:val="TableNote"/>
        <w:spacing w:after="360"/>
        <w:ind w:firstLine="425"/>
        <w:rPr>
          <w:szCs w:val="20"/>
        </w:rPr>
      </w:pPr>
      <w:r>
        <w:t>Abbreviations: AF, atrial fibrillation; LAAC, left atrial appendage closure; NVAF</w:t>
      </w:r>
      <w:r w:rsidR="007E53B3">
        <w:t>, non-valvar atrial fibrillation</w:t>
      </w:r>
      <w:r w:rsidR="00AD44DE">
        <w:rPr>
          <w:szCs w:val="20"/>
        </w:rPr>
        <w:t xml:space="preserve"> </w:t>
      </w:r>
    </w:p>
    <w:p w14:paraId="0FCA92C6"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67577229" w14:textId="2047C262" w:rsidR="001C1313" w:rsidRDefault="001C1313" w:rsidP="001C1313">
      <w:pPr>
        <w:ind w:left="426"/>
      </w:pPr>
      <w:r>
        <w:t>Expected uptake among the eligible patient populations would be limited by the number of centres</w:t>
      </w:r>
      <w:r w:rsidR="00915B5D">
        <w:t xml:space="preserve"> and accredited operators</w:t>
      </w:r>
      <w:r>
        <w:t xml:space="preserve"> able to provide the</w:t>
      </w:r>
      <w:r w:rsidR="00915B5D">
        <w:t xml:space="preserve"> LAAC</w:t>
      </w:r>
      <w:r>
        <w:t xml:space="preserve"> </w:t>
      </w:r>
      <w:r w:rsidR="00915B5D">
        <w:t xml:space="preserve">procedure. The procedure requires access to a </w:t>
      </w:r>
      <w:r w:rsidR="00915B5D" w:rsidRPr="00DE2FE8">
        <w:rPr>
          <w:szCs w:val="20"/>
        </w:rPr>
        <w:t>catheterisation laboratory</w:t>
      </w:r>
      <w:r>
        <w:t xml:space="preserve">. </w:t>
      </w:r>
    </w:p>
    <w:p w14:paraId="20C38BF4" w14:textId="67A98D88" w:rsidR="001C1313" w:rsidRDefault="001C1313" w:rsidP="001C1313">
      <w:pPr>
        <w:ind w:left="426"/>
      </w:pPr>
      <w:r>
        <w:t xml:space="preserve">MSAC have previously highlighted how limited supply of complex cardiovascular procedures can regulate uptake. For example, in the case of TAVI “MSAC noted concerns that the size of the inoperable patient population may be underestimated ... However, MSAC anticipated that the uptake would be limited by the number of centres and operators accredited to perform the procedure.” (MSAC Application 1361.2 PSD, March 2016, p. 4). </w:t>
      </w:r>
      <w:r w:rsidR="00076937">
        <w:t>It is estimated that there are</w:t>
      </w:r>
      <w:r w:rsidR="00B8786A">
        <w:t xml:space="preserve"> currently</w:t>
      </w:r>
      <w:r w:rsidR="00076937">
        <w:t xml:space="preserve"> </w:t>
      </w:r>
      <w:r w:rsidR="00923CCF">
        <w:t xml:space="preserve">REDACTED </w:t>
      </w:r>
      <w:r w:rsidR="00B8786A">
        <w:t xml:space="preserve">centres that are performing LAAC in Australia. This indicates that the number of centres performing LAAC in Australia is likely to limit access to the procedure, while acknowledging there is potential to increase capacity within existing centres. </w:t>
      </w:r>
    </w:p>
    <w:p w14:paraId="08DCC930" w14:textId="621CDF85" w:rsidR="001C1313" w:rsidRDefault="001C1313" w:rsidP="001C1313">
      <w:pPr>
        <w:ind w:left="426"/>
      </w:pPr>
      <w:r>
        <w:t xml:space="preserve">Cumulative uptake of LAAC in the eligible population is estimated to start at </w:t>
      </w:r>
      <w:r w:rsidR="00923CCF">
        <w:t>REDACTED</w:t>
      </w:r>
      <w:r>
        <w:t>% in the first year of listing and increase to</w:t>
      </w:r>
      <w:r w:rsidR="00923CCF" w:rsidRPr="00923CCF">
        <w:t xml:space="preserve"> </w:t>
      </w:r>
      <w:r w:rsidR="00923CCF">
        <w:t>REDACTED</w:t>
      </w:r>
      <w:r>
        <w:t xml:space="preserve">% and </w:t>
      </w:r>
      <w:r w:rsidR="00923CCF">
        <w:t>REDACTED</w:t>
      </w:r>
      <w:r>
        <w:t xml:space="preserve">% in the second and third years respectively. </w:t>
      </w:r>
      <w:r>
        <w:fldChar w:fldCharType="begin"/>
      </w:r>
      <w:r>
        <w:instrText xml:space="preserve"> REF _Ref23170021 \h </w:instrText>
      </w:r>
      <w:r>
        <w:fldChar w:fldCharType="separate"/>
      </w:r>
      <w:r w:rsidR="004E2E17">
        <w:t xml:space="preserve">Table </w:t>
      </w:r>
      <w:r w:rsidR="004E2E17">
        <w:rPr>
          <w:noProof/>
        </w:rPr>
        <w:t>8</w:t>
      </w:r>
      <w:r>
        <w:fldChar w:fldCharType="end"/>
      </w:r>
      <w:r>
        <w:t xml:space="preserve"> outlines the number of patients expected to be treated with </w:t>
      </w:r>
      <w:r w:rsidR="00AD44DE">
        <w:t>LAAC</w:t>
      </w:r>
      <w:r>
        <w:t xml:space="preserve"> in the first three years of listing. The estimations </w:t>
      </w:r>
      <w:r>
        <w:lastRenderedPageBreak/>
        <w:t xml:space="preserve">will be confirmed in the </w:t>
      </w:r>
      <w:r w:rsidR="00923CCF">
        <w:t>Applicant Developed Assessment Report</w:t>
      </w:r>
      <w:r>
        <w:t xml:space="preserve"> (</w:t>
      </w:r>
      <w:r w:rsidR="00923CCF">
        <w:t>ADAR</w:t>
      </w:r>
      <w:r>
        <w:t>).</w:t>
      </w:r>
    </w:p>
    <w:p w14:paraId="191EFD19" w14:textId="7F4B5F10" w:rsidR="001C1313" w:rsidRDefault="001C1313" w:rsidP="001C1313">
      <w:pPr>
        <w:pStyle w:val="Caption"/>
        <w:keepNext/>
      </w:pPr>
      <w:bookmarkStart w:id="34" w:name="_Ref23170021"/>
      <w:r>
        <w:t xml:space="preserve">Table </w:t>
      </w:r>
      <w:fldSimple w:instr=" SEQ Table \* ARABIC ">
        <w:r w:rsidR="004E2E17">
          <w:rPr>
            <w:noProof/>
          </w:rPr>
          <w:t>8</w:t>
        </w:r>
      </w:fldSimple>
      <w:bookmarkEnd w:id="34"/>
      <w:r>
        <w:tab/>
        <w:t xml:space="preserve">Estimated number </w:t>
      </w:r>
      <w:r w:rsidRPr="009A66DC">
        <w:t xml:space="preserve">of </w:t>
      </w:r>
      <w:r>
        <w:t>patients treated with LAAC in the first three years of listing</w:t>
      </w:r>
    </w:p>
    <w:tbl>
      <w:tblPr>
        <w:tblW w:w="9081" w:type="dxa"/>
        <w:tblInd w:w="421" w:type="dxa"/>
        <w:tblLook w:val="04A0" w:firstRow="1" w:lastRow="0" w:firstColumn="1" w:lastColumn="0" w:noHBand="0" w:noVBand="1"/>
      </w:tblPr>
      <w:tblGrid>
        <w:gridCol w:w="4339"/>
        <w:gridCol w:w="1219"/>
        <w:gridCol w:w="1219"/>
        <w:gridCol w:w="1219"/>
        <w:gridCol w:w="1085"/>
      </w:tblGrid>
      <w:tr w:rsidR="001C1313" w:rsidRPr="00AD44DE" w14:paraId="24BC3F8F" w14:textId="77777777" w:rsidTr="004A2BD4">
        <w:trPr>
          <w:trHeight w:val="300"/>
          <w:tblHeader/>
        </w:trPr>
        <w:tc>
          <w:tcPr>
            <w:tcW w:w="43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91CD5" w14:textId="328C75ED" w:rsidR="001C1313" w:rsidRPr="00AD44DE" w:rsidRDefault="00AD44DE" w:rsidP="00AD44DE">
            <w:pPr>
              <w:pStyle w:val="Tabletext"/>
              <w:rPr>
                <w:b/>
                <w:bCs w:val="0"/>
                <w:lang w:eastAsia="en-AU"/>
              </w:rPr>
            </w:pPr>
            <w:r w:rsidRPr="00AD44DE">
              <w:rPr>
                <w:b/>
                <w:bCs w:val="0"/>
              </w:rPr>
              <w:t>Parameter</w:t>
            </w:r>
            <w:r w:rsidRPr="00AD44DE">
              <w:rPr>
                <w:rFonts w:ascii="Verdana" w:hAnsi="Verdana"/>
                <w:b/>
                <w:bCs w:val="0"/>
                <w:sz w:val="16"/>
                <w:szCs w:val="16"/>
              </w:rPr>
              <w:t> </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3F73F5B7" w14:textId="77777777" w:rsidR="001C1313" w:rsidRPr="00AD44DE" w:rsidRDefault="001C1313" w:rsidP="00AD44DE">
            <w:pPr>
              <w:pStyle w:val="Tabletext"/>
              <w:rPr>
                <w:b/>
                <w:bCs w:val="0"/>
                <w:lang w:eastAsia="en-AU"/>
              </w:rPr>
            </w:pPr>
            <w:r w:rsidRPr="00AD44DE">
              <w:rPr>
                <w:rFonts w:ascii="Arial Narrow" w:hAnsi="Arial Narrow"/>
                <w:b/>
                <w:bCs w:val="0"/>
                <w:szCs w:val="20"/>
              </w:rPr>
              <w:t>2020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5EA63B41" w14:textId="77777777" w:rsidR="001C1313" w:rsidRPr="00AD44DE" w:rsidRDefault="001C1313" w:rsidP="00AD44DE">
            <w:pPr>
              <w:pStyle w:val="Tabletext"/>
              <w:rPr>
                <w:b/>
                <w:bCs w:val="0"/>
                <w:lang w:eastAsia="en-AU"/>
              </w:rPr>
            </w:pPr>
            <w:r w:rsidRPr="00AD44DE">
              <w:rPr>
                <w:rFonts w:ascii="Arial Narrow" w:hAnsi="Arial Narrow"/>
                <w:b/>
                <w:bCs w:val="0"/>
              </w:rPr>
              <w:t>2021</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2A3C1B49" w14:textId="77777777" w:rsidR="001C1313" w:rsidRPr="00AD44DE" w:rsidRDefault="001C1313" w:rsidP="00AD44DE">
            <w:pPr>
              <w:pStyle w:val="Tabletext"/>
              <w:rPr>
                <w:b/>
                <w:bCs w:val="0"/>
                <w:lang w:eastAsia="en-AU"/>
              </w:rPr>
            </w:pPr>
            <w:r w:rsidRPr="00AD44DE">
              <w:rPr>
                <w:rFonts w:ascii="Arial Narrow" w:hAnsi="Arial Narrow"/>
                <w:b/>
                <w:bCs w:val="0"/>
              </w:rPr>
              <w:t>2022</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F7DDC" w14:textId="2A34ED57" w:rsidR="001C1313" w:rsidRPr="00AD44DE" w:rsidRDefault="00AD44DE" w:rsidP="00AD44DE">
            <w:pPr>
              <w:pStyle w:val="Tabletext"/>
              <w:rPr>
                <w:b/>
                <w:bCs w:val="0"/>
                <w:lang w:eastAsia="en-AU"/>
              </w:rPr>
            </w:pPr>
            <w:r w:rsidRPr="00AD44DE">
              <w:rPr>
                <w:b/>
                <w:bCs w:val="0"/>
              </w:rPr>
              <w:t>Source</w:t>
            </w:r>
          </w:p>
        </w:tc>
      </w:tr>
      <w:tr w:rsidR="001C1313" w:rsidRPr="0064483D" w14:paraId="62724AAB"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tcPr>
          <w:p w14:paraId="64DF143C" w14:textId="0495ED77" w:rsidR="001C1313" w:rsidRPr="0064483D" w:rsidRDefault="001C1313" w:rsidP="00AD44DE">
            <w:pPr>
              <w:pStyle w:val="Tabletext"/>
              <w:rPr>
                <w:lang w:eastAsia="en-AU"/>
              </w:rPr>
            </w:pPr>
          </w:p>
        </w:tc>
        <w:tc>
          <w:tcPr>
            <w:tcW w:w="1219" w:type="dxa"/>
            <w:tcBorders>
              <w:top w:val="nil"/>
              <w:left w:val="nil"/>
              <w:bottom w:val="single" w:sz="4" w:space="0" w:color="auto"/>
              <w:right w:val="single" w:sz="4" w:space="0" w:color="auto"/>
            </w:tcBorders>
            <w:shd w:val="clear" w:color="auto" w:fill="auto"/>
            <w:vAlign w:val="center"/>
            <w:hideMark/>
          </w:tcPr>
          <w:p w14:paraId="5D181FFB" w14:textId="77777777" w:rsidR="001C1313" w:rsidRPr="0064483D" w:rsidRDefault="001C1313" w:rsidP="00AD44DE">
            <w:pPr>
              <w:pStyle w:val="Tabletext"/>
              <w:rPr>
                <w:sz w:val="22"/>
                <w:lang w:eastAsia="en-AU"/>
              </w:rPr>
            </w:pPr>
            <w:r>
              <w:t>(1</w:t>
            </w:r>
            <w:r w:rsidRPr="00AD44DE">
              <w:rPr>
                <w:vertAlign w:val="superscript"/>
              </w:rPr>
              <w:t>st</w:t>
            </w:r>
            <w:r>
              <w:t xml:space="preserve"> year)</w:t>
            </w:r>
          </w:p>
        </w:tc>
        <w:tc>
          <w:tcPr>
            <w:tcW w:w="1219" w:type="dxa"/>
            <w:tcBorders>
              <w:top w:val="nil"/>
              <w:left w:val="nil"/>
              <w:bottom w:val="single" w:sz="4" w:space="0" w:color="auto"/>
              <w:right w:val="single" w:sz="4" w:space="0" w:color="auto"/>
            </w:tcBorders>
            <w:shd w:val="clear" w:color="auto" w:fill="auto"/>
            <w:vAlign w:val="center"/>
            <w:hideMark/>
          </w:tcPr>
          <w:p w14:paraId="018FC664" w14:textId="77777777" w:rsidR="001C1313" w:rsidRPr="0064483D" w:rsidRDefault="001C1313" w:rsidP="00AD44DE">
            <w:pPr>
              <w:pStyle w:val="Tabletext"/>
              <w:rPr>
                <w:sz w:val="22"/>
                <w:lang w:eastAsia="en-AU"/>
              </w:rPr>
            </w:pPr>
            <w:r>
              <w:t>(2</w:t>
            </w:r>
            <w:r w:rsidRPr="00AD44DE">
              <w:rPr>
                <w:vertAlign w:val="superscript"/>
              </w:rPr>
              <w:t>nd</w:t>
            </w:r>
            <w:r>
              <w:t xml:space="preserve"> year)</w:t>
            </w:r>
          </w:p>
        </w:tc>
        <w:tc>
          <w:tcPr>
            <w:tcW w:w="1219" w:type="dxa"/>
            <w:tcBorders>
              <w:top w:val="nil"/>
              <w:left w:val="nil"/>
              <w:bottom w:val="single" w:sz="4" w:space="0" w:color="auto"/>
              <w:right w:val="single" w:sz="4" w:space="0" w:color="auto"/>
            </w:tcBorders>
            <w:shd w:val="clear" w:color="auto" w:fill="auto"/>
            <w:vAlign w:val="center"/>
            <w:hideMark/>
          </w:tcPr>
          <w:p w14:paraId="03BA9484" w14:textId="357B99C4" w:rsidR="001C1313" w:rsidRPr="0064483D" w:rsidRDefault="001C1313" w:rsidP="00AD44DE">
            <w:pPr>
              <w:pStyle w:val="Tabletext"/>
              <w:rPr>
                <w:sz w:val="22"/>
                <w:lang w:eastAsia="en-AU"/>
              </w:rPr>
            </w:pPr>
            <w:r>
              <w:t>(1</w:t>
            </w:r>
            <w:r w:rsidR="00AD44DE">
              <w:rPr>
                <w:vertAlign w:val="superscript"/>
              </w:rPr>
              <w:t>st</w:t>
            </w:r>
            <w:r>
              <w:t xml:space="preserve"> year)</w:t>
            </w:r>
          </w:p>
        </w:tc>
        <w:tc>
          <w:tcPr>
            <w:tcW w:w="1085" w:type="dxa"/>
            <w:tcBorders>
              <w:top w:val="nil"/>
              <w:left w:val="nil"/>
              <w:bottom w:val="single" w:sz="4" w:space="0" w:color="auto"/>
              <w:right w:val="single" w:sz="4" w:space="0" w:color="auto"/>
            </w:tcBorders>
            <w:shd w:val="clear" w:color="auto" w:fill="auto"/>
            <w:vAlign w:val="center"/>
            <w:hideMark/>
          </w:tcPr>
          <w:p w14:paraId="27E0498C" w14:textId="77777777" w:rsidR="001C1313" w:rsidRPr="0064483D" w:rsidRDefault="001C1313" w:rsidP="00AD44DE">
            <w:pPr>
              <w:pStyle w:val="Tabletext"/>
              <w:rPr>
                <w:lang w:eastAsia="en-AU"/>
              </w:rPr>
            </w:pPr>
            <w:r w:rsidRPr="0064483D">
              <w:rPr>
                <w:lang w:eastAsia="en-AU"/>
              </w:rPr>
              <w:t> </w:t>
            </w:r>
          </w:p>
        </w:tc>
      </w:tr>
      <w:tr w:rsidR="00F147A6" w:rsidRPr="0064483D" w14:paraId="6188D784" w14:textId="77777777" w:rsidTr="004A2BD4">
        <w:trPr>
          <w:trHeight w:val="345"/>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55A7759F" w14:textId="4DA83F1E" w:rsidR="00F147A6" w:rsidRPr="0064483D" w:rsidRDefault="00F147A6" w:rsidP="00F147A6">
            <w:pPr>
              <w:pStyle w:val="Tabletext"/>
              <w:rPr>
                <w:lang w:eastAsia="en-AU"/>
              </w:rPr>
            </w:pPr>
            <w:r>
              <w:rPr>
                <w:rFonts w:cs="Calibri"/>
                <w:color w:val="000000"/>
              </w:rPr>
              <w:t>Australian Population Projections- by age</w:t>
            </w:r>
          </w:p>
        </w:tc>
        <w:tc>
          <w:tcPr>
            <w:tcW w:w="1219" w:type="dxa"/>
            <w:tcBorders>
              <w:top w:val="nil"/>
              <w:left w:val="nil"/>
              <w:bottom w:val="single" w:sz="4" w:space="0" w:color="auto"/>
              <w:right w:val="single" w:sz="4" w:space="0" w:color="auto"/>
            </w:tcBorders>
            <w:shd w:val="clear" w:color="auto" w:fill="auto"/>
            <w:vAlign w:val="center"/>
            <w:hideMark/>
          </w:tcPr>
          <w:p w14:paraId="145841B6" w14:textId="35420666" w:rsidR="00F147A6" w:rsidRPr="0064483D" w:rsidRDefault="00F147A6" w:rsidP="00F147A6">
            <w:pPr>
              <w:pStyle w:val="Tabletext"/>
              <w:rPr>
                <w:lang w:eastAsia="en-AU"/>
              </w:rPr>
            </w:pPr>
            <w:r>
              <w:rPr>
                <w:rFonts w:cs="Calibri"/>
                <w:color w:val="000000"/>
                <w:sz w:val="22"/>
                <w:szCs w:val="22"/>
              </w:rPr>
              <w:t> </w:t>
            </w:r>
          </w:p>
        </w:tc>
        <w:tc>
          <w:tcPr>
            <w:tcW w:w="1219" w:type="dxa"/>
            <w:tcBorders>
              <w:top w:val="nil"/>
              <w:left w:val="nil"/>
              <w:bottom w:val="single" w:sz="4" w:space="0" w:color="auto"/>
              <w:right w:val="single" w:sz="4" w:space="0" w:color="auto"/>
            </w:tcBorders>
            <w:shd w:val="clear" w:color="auto" w:fill="auto"/>
            <w:vAlign w:val="center"/>
            <w:hideMark/>
          </w:tcPr>
          <w:p w14:paraId="18DD9AA4" w14:textId="2C226292" w:rsidR="00F147A6" w:rsidRPr="0064483D" w:rsidRDefault="00F147A6" w:rsidP="00F147A6">
            <w:pPr>
              <w:pStyle w:val="Tabletext"/>
              <w:rPr>
                <w:lang w:eastAsia="en-AU"/>
              </w:rPr>
            </w:pPr>
            <w:r>
              <w:rPr>
                <w:rFonts w:cs="Calibri"/>
                <w:color w:val="000000"/>
                <w:sz w:val="22"/>
                <w:szCs w:val="22"/>
              </w:rPr>
              <w:t> </w:t>
            </w:r>
          </w:p>
        </w:tc>
        <w:tc>
          <w:tcPr>
            <w:tcW w:w="1219" w:type="dxa"/>
            <w:tcBorders>
              <w:top w:val="nil"/>
              <w:left w:val="nil"/>
              <w:bottom w:val="single" w:sz="4" w:space="0" w:color="auto"/>
              <w:right w:val="single" w:sz="4" w:space="0" w:color="auto"/>
            </w:tcBorders>
            <w:shd w:val="clear" w:color="auto" w:fill="auto"/>
            <w:vAlign w:val="center"/>
            <w:hideMark/>
          </w:tcPr>
          <w:p w14:paraId="08824FE9" w14:textId="429C319F" w:rsidR="00F147A6" w:rsidRPr="0064483D" w:rsidRDefault="00F147A6" w:rsidP="00F147A6">
            <w:pPr>
              <w:pStyle w:val="Tabletext"/>
              <w:rPr>
                <w:lang w:eastAsia="en-AU"/>
              </w:rPr>
            </w:pPr>
            <w:r>
              <w:rPr>
                <w:rFonts w:cs="Calibri"/>
                <w:color w:val="000000"/>
                <w:sz w:val="22"/>
                <w:szCs w:val="22"/>
              </w:rPr>
              <w:t> </w:t>
            </w:r>
          </w:p>
        </w:tc>
        <w:tc>
          <w:tcPr>
            <w:tcW w:w="1085" w:type="dxa"/>
            <w:tcBorders>
              <w:top w:val="nil"/>
              <w:left w:val="nil"/>
              <w:bottom w:val="single" w:sz="4" w:space="0" w:color="auto"/>
              <w:right w:val="single" w:sz="4" w:space="0" w:color="auto"/>
            </w:tcBorders>
            <w:shd w:val="clear" w:color="auto" w:fill="auto"/>
            <w:vAlign w:val="center"/>
            <w:hideMark/>
          </w:tcPr>
          <w:p w14:paraId="0A405851" w14:textId="77777777" w:rsidR="00F147A6" w:rsidRPr="0064483D" w:rsidRDefault="00F147A6" w:rsidP="00F147A6">
            <w:pPr>
              <w:pStyle w:val="Tabletext"/>
              <w:rPr>
                <w:lang w:eastAsia="en-AU"/>
              </w:rPr>
            </w:pPr>
            <w:r>
              <w:t> </w:t>
            </w:r>
          </w:p>
        </w:tc>
      </w:tr>
      <w:tr w:rsidR="007F4F8A" w:rsidRPr="0064483D" w14:paraId="36A5FE4F" w14:textId="77777777" w:rsidTr="004A2BD4">
        <w:trPr>
          <w:trHeight w:val="278"/>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59C0D6B7" w14:textId="1555F339" w:rsidR="007F4F8A" w:rsidRPr="0064483D" w:rsidRDefault="007F4F8A" w:rsidP="007F4F8A">
            <w:pPr>
              <w:pStyle w:val="Tabletext"/>
              <w:ind w:left="170"/>
              <w:rPr>
                <w:lang w:eastAsia="en-AU"/>
              </w:rPr>
            </w:pPr>
            <w:r>
              <w:rPr>
                <w:rFonts w:cs="Calibri"/>
                <w:color w:val="000000"/>
              </w:rPr>
              <w:t>40-49</w:t>
            </w:r>
          </w:p>
        </w:tc>
        <w:tc>
          <w:tcPr>
            <w:tcW w:w="1219" w:type="dxa"/>
            <w:tcBorders>
              <w:top w:val="nil"/>
              <w:left w:val="nil"/>
              <w:bottom w:val="single" w:sz="4" w:space="0" w:color="auto"/>
              <w:right w:val="single" w:sz="4" w:space="0" w:color="auto"/>
            </w:tcBorders>
            <w:shd w:val="clear" w:color="auto" w:fill="auto"/>
            <w:vAlign w:val="center"/>
            <w:hideMark/>
          </w:tcPr>
          <w:p w14:paraId="55FA1CAC" w14:textId="51300433" w:rsidR="007F4F8A" w:rsidRPr="0064483D" w:rsidRDefault="007F4F8A" w:rsidP="007F4F8A">
            <w:pPr>
              <w:pStyle w:val="Tabletext"/>
              <w:rPr>
                <w:lang w:eastAsia="en-AU"/>
              </w:rPr>
            </w:pPr>
            <w:r>
              <w:rPr>
                <w:rFonts w:cs="Calibri"/>
                <w:color w:val="000000"/>
              </w:rPr>
              <w:t>3,298,867</w:t>
            </w:r>
          </w:p>
        </w:tc>
        <w:tc>
          <w:tcPr>
            <w:tcW w:w="1219" w:type="dxa"/>
            <w:tcBorders>
              <w:top w:val="nil"/>
              <w:left w:val="nil"/>
              <w:bottom w:val="single" w:sz="4" w:space="0" w:color="auto"/>
              <w:right w:val="single" w:sz="4" w:space="0" w:color="auto"/>
            </w:tcBorders>
            <w:shd w:val="clear" w:color="auto" w:fill="auto"/>
            <w:vAlign w:val="center"/>
            <w:hideMark/>
          </w:tcPr>
          <w:p w14:paraId="772AC56D" w14:textId="2C745477" w:rsidR="007F4F8A" w:rsidRPr="0064483D" w:rsidRDefault="007F4F8A" w:rsidP="007F4F8A">
            <w:pPr>
              <w:pStyle w:val="Tabletext"/>
              <w:rPr>
                <w:lang w:eastAsia="en-AU"/>
              </w:rPr>
            </w:pPr>
            <w:r>
              <w:rPr>
                <w:rFonts w:cs="Calibri"/>
                <w:color w:val="000000"/>
              </w:rPr>
              <w:t>3,312,913</w:t>
            </w:r>
          </w:p>
        </w:tc>
        <w:tc>
          <w:tcPr>
            <w:tcW w:w="1219" w:type="dxa"/>
            <w:tcBorders>
              <w:top w:val="nil"/>
              <w:left w:val="nil"/>
              <w:bottom w:val="single" w:sz="4" w:space="0" w:color="auto"/>
              <w:right w:val="single" w:sz="4" w:space="0" w:color="auto"/>
            </w:tcBorders>
            <w:shd w:val="clear" w:color="auto" w:fill="auto"/>
            <w:vAlign w:val="center"/>
            <w:hideMark/>
          </w:tcPr>
          <w:p w14:paraId="3EE4E9B9" w14:textId="76418576" w:rsidR="007F4F8A" w:rsidRPr="0064483D" w:rsidRDefault="007F4F8A" w:rsidP="007F4F8A">
            <w:pPr>
              <w:pStyle w:val="Tabletext"/>
              <w:rPr>
                <w:lang w:eastAsia="en-AU"/>
              </w:rPr>
            </w:pPr>
            <w:r>
              <w:rPr>
                <w:rFonts w:cs="Calibri"/>
                <w:color w:val="000000"/>
              </w:rPr>
              <w:t>3,341,850</w:t>
            </w:r>
          </w:p>
        </w:tc>
        <w:tc>
          <w:tcPr>
            <w:tcW w:w="1085" w:type="dxa"/>
            <w:tcBorders>
              <w:top w:val="nil"/>
              <w:left w:val="nil"/>
              <w:bottom w:val="single" w:sz="4" w:space="0" w:color="auto"/>
              <w:right w:val="single" w:sz="4" w:space="0" w:color="auto"/>
            </w:tcBorders>
            <w:shd w:val="clear" w:color="auto" w:fill="auto"/>
            <w:vAlign w:val="center"/>
            <w:hideMark/>
          </w:tcPr>
          <w:p w14:paraId="6EE73340" w14:textId="77777777" w:rsidR="007F4F8A" w:rsidRPr="0064483D" w:rsidRDefault="007F4F8A" w:rsidP="007F4F8A">
            <w:pPr>
              <w:pStyle w:val="Tabletext"/>
              <w:rPr>
                <w:lang w:eastAsia="en-AU"/>
              </w:rPr>
            </w:pPr>
            <w:r>
              <w:t>ABS Series B</w:t>
            </w:r>
          </w:p>
        </w:tc>
      </w:tr>
      <w:tr w:rsidR="007F4F8A" w:rsidRPr="0064483D" w14:paraId="0C14C521" w14:textId="77777777" w:rsidTr="004A2BD4">
        <w:trPr>
          <w:trHeight w:val="25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1919F172" w14:textId="1C6EE65A" w:rsidR="007F4F8A" w:rsidRPr="0064483D" w:rsidRDefault="007F4F8A" w:rsidP="007F4F8A">
            <w:pPr>
              <w:pStyle w:val="Tabletext"/>
              <w:ind w:left="170"/>
              <w:rPr>
                <w:lang w:eastAsia="en-AU"/>
              </w:rPr>
            </w:pPr>
            <w:r>
              <w:rPr>
                <w:rFonts w:cs="Calibri"/>
                <w:color w:val="000000"/>
              </w:rPr>
              <w:t>50-59</w:t>
            </w:r>
          </w:p>
        </w:tc>
        <w:tc>
          <w:tcPr>
            <w:tcW w:w="1219" w:type="dxa"/>
            <w:tcBorders>
              <w:top w:val="nil"/>
              <w:left w:val="nil"/>
              <w:bottom w:val="single" w:sz="4" w:space="0" w:color="auto"/>
              <w:right w:val="single" w:sz="4" w:space="0" w:color="auto"/>
            </w:tcBorders>
            <w:shd w:val="clear" w:color="auto" w:fill="auto"/>
            <w:vAlign w:val="center"/>
            <w:hideMark/>
          </w:tcPr>
          <w:p w14:paraId="1350669A" w14:textId="75A3B1F0" w:rsidR="007F4F8A" w:rsidRPr="0064483D" w:rsidRDefault="007F4F8A" w:rsidP="007F4F8A">
            <w:pPr>
              <w:pStyle w:val="Tabletext"/>
              <w:rPr>
                <w:lang w:eastAsia="en-AU"/>
              </w:rPr>
            </w:pPr>
            <w:r>
              <w:rPr>
                <w:rFonts w:cs="Calibri"/>
                <w:color w:val="000000"/>
              </w:rPr>
              <w:t>3,102,387</w:t>
            </w:r>
          </w:p>
        </w:tc>
        <w:tc>
          <w:tcPr>
            <w:tcW w:w="1219" w:type="dxa"/>
            <w:tcBorders>
              <w:top w:val="nil"/>
              <w:left w:val="nil"/>
              <w:bottom w:val="single" w:sz="4" w:space="0" w:color="auto"/>
              <w:right w:val="single" w:sz="4" w:space="0" w:color="auto"/>
            </w:tcBorders>
            <w:shd w:val="clear" w:color="auto" w:fill="auto"/>
            <w:vAlign w:val="center"/>
            <w:hideMark/>
          </w:tcPr>
          <w:p w14:paraId="0E7CE0AA" w14:textId="04A33A99" w:rsidR="007F4F8A" w:rsidRPr="0064483D" w:rsidRDefault="007F4F8A" w:rsidP="007F4F8A">
            <w:pPr>
              <w:pStyle w:val="Tabletext"/>
              <w:rPr>
                <w:lang w:eastAsia="en-AU"/>
              </w:rPr>
            </w:pPr>
            <w:r>
              <w:rPr>
                <w:rFonts w:cs="Calibri"/>
                <w:color w:val="000000"/>
              </w:rPr>
              <w:t>3,135,246</w:t>
            </w:r>
          </w:p>
        </w:tc>
        <w:tc>
          <w:tcPr>
            <w:tcW w:w="1219" w:type="dxa"/>
            <w:tcBorders>
              <w:top w:val="nil"/>
              <w:left w:val="nil"/>
              <w:bottom w:val="single" w:sz="4" w:space="0" w:color="auto"/>
              <w:right w:val="single" w:sz="4" w:space="0" w:color="auto"/>
            </w:tcBorders>
            <w:shd w:val="clear" w:color="auto" w:fill="auto"/>
            <w:vAlign w:val="center"/>
            <w:hideMark/>
          </w:tcPr>
          <w:p w14:paraId="67C38E81" w14:textId="2AE44F03" w:rsidR="007F4F8A" w:rsidRPr="0064483D" w:rsidRDefault="007F4F8A" w:rsidP="007F4F8A">
            <w:pPr>
              <w:pStyle w:val="Tabletext"/>
              <w:rPr>
                <w:lang w:eastAsia="en-AU"/>
              </w:rPr>
            </w:pPr>
            <w:r>
              <w:rPr>
                <w:rFonts w:cs="Calibri"/>
                <w:color w:val="000000"/>
              </w:rPr>
              <w:t>3,163,674</w:t>
            </w:r>
          </w:p>
        </w:tc>
        <w:tc>
          <w:tcPr>
            <w:tcW w:w="1085" w:type="dxa"/>
            <w:tcBorders>
              <w:top w:val="nil"/>
              <w:left w:val="nil"/>
              <w:bottom w:val="single" w:sz="4" w:space="0" w:color="auto"/>
              <w:right w:val="single" w:sz="4" w:space="0" w:color="auto"/>
            </w:tcBorders>
            <w:shd w:val="clear" w:color="auto" w:fill="auto"/>
            <w:vAlign w:val="center"/>
            <w:hideMark/>
          </w:tcPr>
          <w:p w14:paraId="543EE645" w14:textId="77777777" w:rsidR="007F4F8A" w:rsidRPr="0064483D" w:rsidRDefault="007F4F8A" w:rsidP="007F4F8A">
            <w:pPr>
              <w:pStyle w:val="Tabletext"/>
              <w:rPr>
                <w:lang w:eastAsia="en-AU"/>
              </w:rPr>
            </w:pPr>
            <w:r>
              <w:t>ABS Series B</w:t>
            </w:r>
          </w:p>
        </w:tc>
      </w:tr>
      <w:tr w:rsidR="007F4F8A" w:rsidRPr="0064483D" w14:paraId="2B3879B9" w14:textId="77777777" w:rsidTr="004A2BD4">
        <w:trPr>
          <w:trHeight w:val="25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13DB3139" w14:textId="3A0BA3A2" w:rsidR="007F4F8A" w:rsidRPr="0064483D" w:rsidRDefault="007F4F8A" w:rsidP="007F4F8A">
            <w:pPr>
              <w:pStyle w:val="Tabletext"/>
              <w:ind w:left="170"/>
              <w:rPr>
                <w:lang w:eastAsia="en-AU"/>
              </w:rPr>
            </w:pPr>
            <w:r>
              <w:rPr>
                <w:rFonts w:cs="Calibri"/>
                <w:color w:val="000000"/>
              </w:rPr>
              <w:t>60-69</w:t>
            </w:r>
          </w:p>
        </w:tc>
        <w:tc>
          <w:tcPr>
            <w:tcW w:w="1219" w:type="dxa"/>
            <w:tcBorders>
              <w:top w:val="nil"/>
              <w:left w:val="nil"/>
              <w:bottom w:val="single" w:sz="4" w:space="0" w:color="auto"/>
              <w:right w:val="single" w:sz="4" w:space="0" w:color="auto"/>
            </w:tcBorders>
            <w:shd w:val="clear" w:color="auto" w:fill="auto"/>
            <w:vAlign w:val="center"/>
            <w:hideMark/>
          </w:tcPr>
          <w:p w14:paraId="5AFC0DF4" w14:textId="14E4FF02" w:rsidR="007F4F8A" w:rsidRPr="0064483D" w:rsidRDefault="007F4F8A" w:rsidP="007F4F8A">
            <w:pPr>
              <w:pStyle w:val="Tabletext"/>
              <w:rPr>
                <w:lang w:eastAsia="en-AU"/>
              </w:rPr>
            </w:pPr>
            <w:r>
              <w:rPr>
                <w:rFonts w:cs="Calibri"/>
                <w:color w:val="000000"/>
              </w:rPr>
              <w:t>2,665,658</w:t>
            </w:r>
          </w:p>
        </w:tc>
        <w:tc>
          <w:tcPr>
            <w:tcW w:w="1219" w:type="dxa"/>
            <w:tcBorders>
              <w:top w:val="nil"/>
              <w:left w:val="nil"/>
              <w:bottom w:val="single" w:sz="4" w:space="0" w:color="auto"/>
              <w:right w:val="single" w:sz="4" w:space="0" w:color="auto"/>
            </w:tcBorders>
            <w:shd w:val="clear" w:color="auto" w:fill="auto"/>
            <w:vAlign w:val="center"/>
            <w:hideMark/>
          </w:tcPr>
          <w:p w14:paraId="12B036F7" w14:textId="152D7B74" w:rsidR="007F4F8A" w:rsidRPr="0064483D" w:rsidRDefault="007F4F8A" w:rsidP="007F4F8A">
            <w:pPr>
              <w:pStyle w:val="Tabletext"/>
              <w:rPr>
                <w:lang w:eastAsia="en-AU"/>
              </w:rPr>
            </w:pPr>
            <w:r>
              <w:rPr>
                <w:rFonts w:cs="Calibri"/>
                <w:color w:val="000000"/>
              </w:rPr>
              <w:t>2,720,714</w:t>
            </w:r>
          </w:p>
        </w:tc>
        <w:tc>
          <w:tcPr>
            <w:tcW w:w="1219" w:type="dxa"/>
            <w:tcBorders>
              <w:top w:val="nil"/>
              <w:left w:val="nil"/>
              <w:bottom w:val="single" w:sz="4" w:space="0" w:color="auto"/>
              <w:right w:val="single" w:sz="4" w:space="0" w:color="auto"/>
            </w:tcBorders>
            <w:shd w:val="clear" w:color="auto" w:fill="auto"/>
            <w:vAlign w:val="center"/>
            <w:hideMark/>
          </w:tcPr>
          <w:p w14:paraId="0D3955BC" w14:textId="68D0EF3F" w:rsidR="007F4F8A" w:rsidRPr="0064483D" w:rsidRDefault="007F4F8A" w:rsidP="007F4F8A">
            <w:pPr>
              <w:pStyle w:val="Tabletext"/>
              <w:rPr>
                <w:lang w:eastAsia="en-AU"/>
              </w:rPr>
            </w:pPr>
            <w:r>
              <w:rPr>
                <w:rFonts w:cs="Calibri"/>
                <w:color w:val="000000"/>
              </w:rPr>
              <w:t>2,775,799</w:t>
            </w:r>
          </w:p>
        </w:tc>
        <w:tc>
          <w:tcPr>
            <w:tcW w:w="1085" w:type="dxa"/>
            <w:tcBorders>
              <w:top w:val="nil"/>
              <w:left w:val="nil"/>
              <w:bottom w:val="single" w:sz="4" w:space="0" w:color="auto"/>
              <w:right w:val="single" w:sz="4" w:space="0" w:color="auto"/>
            </w:tcBorders>
            <w:shd w:val="clear" w:color="auto" w:fill="auto"/>
            <w:vAlign w:val="center"/>
            <w:hideMark/>
          </w:tcPr>
          <w:p w14:paraId="6B9AC305" w14:textId="77777777" w:rsidR="007F4F8A" w:rsidRPr="0064483D" w:rsidRDefault="007F4F8A" w:rsidP="007F4F8A">
            <w:pPr>
              <w:pStyle w:val="Tabletext"/>
              <w:rPr>
                <w:lang w:eastAsia="en-AU"/>
              </w:rPr>
            </w:pPr>
            <w:r>
              <w:t>ABS Series B</w:t>
            </w:r>
          </w:p>
        </w:tc>
      </w:tr>
      <w:tr w:rsidR="007F4F8A" w:rsidRPr="0064483D" w14:paraId="53F55B57" w14:textId="77777777" w:rsidTr="004A2BD4">
        <w:trPr>
          <w:trHeight w:val="254"/>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30A27F0E" w14:textId="15F4D82E" w:rsidR="007F4F8A" w:rsidRPr="0064483D" w:rsidRDefault="007F4F8A" w:rsidP="007F4F8A">
            <w:pPr>
              <w:pStyle w:val="Tabletext"/>
              <w:ind w:left="170"/>
              <w:rPr>
                <w:lang w:eastAsia="en-AU"/>
              </w:rPr>
            </w:pPr>
            <w:r>
              <w:rPr>
                <w:rFonts w:cs="Calibri"/>
                <w:color w:val="000000"/>
              </w:rPr>
              <w:t>70-79</w:t>
            </w:r>
          </w:p>
        </w:tc>
        <w:tc>
          <w:tcPr>
            <w:tcW w:w="1219" w:type="dxa"/>
            <w:tcBorders>
              <w:top w:val="nil"/>
              <w:left w:val="nil"/>
              <w:bottom w:val="single" w:sz="4" w:space="0" w:color="auto"/>
              <w:right w:val="single" w:sz="4" w:space="0" w:color="auto"/>
            </w:tcBorders>
            <w:shd w:val="clear" w:color="auto" w:fill="auto"/>
            <w:vAlign w:val="center"/>
            <w:hideMark/>
          </w:tcPr>
          <w:p w14:paraId="64F1158C" w14:textId="20124ADB" w:rsidR="007F4F8A" w:rsidRPr="0064483D" w:rsidRDefault="007F4F8A" w:rsidP="007F4F8A">
            <w:pPr>
              <w:pStyle w:val="Tabletext"/>
              <w:rPr>
                <w:lang w:eastAsia="en-AU"/>
              </w:rPr>
            </w:pPr>
            <w:r>
              <w:rPr>
                <w:rFonts w:cs="Calibri"/>
                <w:color w:val="000000"/>
              </w:rPr>
              <w:t>1,861,189</w:t>
            </w:r>
          </w:p>
        </w:tc>
        <w:tc>
          <w:tcPr>
            <w:tcW w:w="1219" w:type="dxa"/>
            <w:tcBorders>
              <w:top w:val="nil"/>
              <w:left w:val="nil"/>
              <w:bottom w:val="single" w:sz="4" w:space="0" w:color="auto"/>
              <w:right w:val="single" w:sz="4" w:space="0" w:color="auto"/>
            </w:tcBorders>
            <w:shd w:val="clear" w:color="auto" w:fill="auto"/>
            <w:vAlign w:val="center"/>
            <w:hideMark/>
          </w:tcPr>
          <w:p w14:paraId="0FD4976B" w14:textId="2281685D" w:rsidR="007F4F8A" w:rsidRPr="0064483D" w:rsidRDefault="007F4F8A" w:rsidP="007F4F8A">
            <w:pPr>
              <w:pStyle w:val="Tabletext"/>
              <w:rPr>
                <w:lang w:eastAsia="en-AU"/>
              </w:rPr>
            </w:pPr>
            <w:r>
              <w:rPr>
                <w:rFonts w:cs="Calibri"/>
                <w:color w:val="000000"/>
              </w:rPr>
              <w:t>1,933,106</w:t>
            </w:r>
          </w:p>
        </w:tc>
        <w:tc>
          <w:tcPr>
            <w:tcW w:w="1219" w:type="dxa"/>
            <w:tcBorders>
              <w:top w:val="nil"/>
              <w:left w:val="nil"/>
              <w:bottom w:val="single" w:sz="4" w:space="0" w:color="auto"/>
              <w:right w:val="single" w:sz="4" w:space="0" w:color="auto"/>
            </w:tcBorders>
            <w:shd w:val="clear" w:color="auto" w:fill="auto"/>
            <w:vAlign w:val="center"/>
            <w:hideMark/>
          </w:tcPr>
          <w:p w14:paraId="69C1AB80" w14:textId="256F0BF0" w:rsidR="007F4F8A" w:rsidRPr="0064483D" w:rsidRDefault="007F4F8A" w:rsidP="007F4F8A">
            <w:pPr>
              <w:pStyle w:val="Tabletext"/>
              <w:rPr>
                <w:lang w:eastAsia="en-AU"/>
              </w:rPr>
            </w:pPr>
            <w:r>
              <w:rPr>
                <w:rFonts w:cs="Calibri"/>
                <w:color w:val="000000"/>
              </w:rPr>
              <w:t>1,996,750</w:t>
            </w:r>
          </w:p>
        </w:tc>
        <w:tc>
          <w:tcPr>
            <w:tcW w:w="1085" w:type="dxa"/>
            <w:tcBorders>
              <w:top w:val="nil"/>
              <w:left w:val="nil"/>
              <w:bottom w:val="single" w:sz="4" w:space="0" w:color="auto"/>
              <w:right w:val="single" w:sz="4" w:space="0" w:color="auto"/>
            </w:tcBorders>
            <w:shd w:val="clear" w:color="auto" w:fill="auto"/>
            <w:vAlign w:val="center"/>
            <w:hideMark/>
          </w:tcPr>
          <w:p w14:paraId="45DD4037" w14:textId="77777777" w:rsidR="007F4F8A" w:rsidRPr="0064483D" w:rsidRDefault="007F4F8A" w:rsidP="007F4F8A">
            <w:pPr>
              <w:pStyle w:val="Tabletext"/>
              <w:rPr>
                <w:lang w:eastAsia="en-AU"/>
              </w:rPr>
            </w:pPr>
            <w:r>
              <w:t>ABS Series B</w:t>
            </w:r>
          </w:p>
        </w:tc>
      </w:tr>
      <w:tr w:rsidR="007F4F8A" w:rsidRPr="0064483D" w14:paraId="471242C1" w14:textId="77777777" w:rsidTr="004A2BD4">
        <w:trPr>
          <w:trHeight w:val="272"/>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06BDFEE3" w14:textId="10919E06" w:rsidR="007F4F8A" w:rsidRPr="0064483D" w:rsidRDefault="007F4F8A" w:rsidP="007F4F8A">
            <w:pPr>
              <w:pStyle w:val="Tabletext"/>
              <w:ind w:left="170"/>
              <w:rPr>
                <w:lang w:eastAsia="en-AU"/>
              </w:rPr>
            </w:pPr>
            <w:r>
              <w:rPr>
                <w:rFonts w:cs="Calibri"/>
                <w:color w:val="000000"/>
              </w:rPr>
              <w:t>≥80</w:t>
            </w:r>
          </w:p>
        </w:tc>
        <w:tc>
          <w:tcPr>
            <w:tcW w:w="1219" w:type="dxa"/>
            <w:tcBorders>
              <w:top w:val="nil"/>
              <w:left w:val="nil"/>
              <w:bottom w:val="single" w:sz="4" w:space="0" w:color="auto"/>
              <w:right w:val="single" w:sz="4" w:space="0" w:color="auto"/>
            </w:tcBorders>
            <w:shd w:val="clear" w:color="auto" w:fill="auto"/>
            <w:vAlign w:val="center"/>
            <w:hideMark/>
          </w:tcPr>
          <w:p w14:paraId="41E7FB9E" w14:textId="4E77B5B7" w:rsidR="007F4F8A" w:rsidRPr="0064483D" w:rsidRDefault="007F4F8A" w:rsidP="007F4F8A">
            <w:pPr>
              <w:pStyle w:val="Tabletext"/>
              <w:rPr>
                <w:lang w:eastAsia="en-AU"/>
              </w:rPr>
            </w:pPr>
            <w:r>
              <w:rPr>
                <w:rFonts w:cs="Calibri"/>
                <w:color w:val="000000"/>
              </w:rPr>
              <w:t>1,040,201</w:t>
            </w:r>
          </w:p>
        </w:tc>
        <w:tc>
          <w:tcPr>
            <w:tcW w:w="1219" w:type="dxa"/>
            <w:tcBorders>
              <w:top w:val="nil"/>
              <w:left w:val="nil"/>
              <w:bottom w:val="single" w:sz="4" w:space="0" w:color="auto"/>
              <w:right w:val="single" w:sz="4" w:space="0" w:color="auto"/>
            </w:tcBorders>
            <w:shd w:val="clear" w:color="auto" w:fill="auto"/>
            <w:vAlign w:val="center"/>
            <w:hideMark/>
          </w:tcPr>
          <w:p w14:paraId="7BACBC3A" w14:textId="7BFE97F9" w:rsidR="007F4F8A" w:rsidRPr="0064483D" w:rsidRDefault="007F4F8A" w:rsidP="007F4F8A">
            <w:pPr>
              <w:pStyle w:val="Tabletext"/>
              <w:rPr>
                <w:lang w:eastAsia="en-AU"/>
              </w:rPr>
            </w:pPr>
            <w:r>
              <w:rPr>
                <w:rFonts w:cs="Calibri"/>
                <w:color w:val="000000"/>
              </w:rPr>
              <w:t>1,070,732</w:t>
            </w:r>
          </w:p>
        </w:tc>
        <w:tc>
          <w:tcPr>
            <w:tcW w:w="1219" w:type="dxa"/>
            <w:tcBorders>
              <w:top w:val="nil"/>
              <w:left w:val="nil"/>
              <w:bottom w:val="single" w:sz="4" w:space="0" w:color="auto"/>
              <w:right w:val="single" w:sz="4" w:space="0" w:color="auto"/>
            </w:tcBorders>
            <w:shd w:val="clear" w:color="auto" w:fill="auto"/>
            <w:vAlign w:val="center"/>
            <w:hideMark/>
          </w:tcPr>
          <w:p w14:paraId="2CBE097D" w14:textId="6D6D86FC" w:rsidR="007F4F8A" w:rsidRPr="0064483D" w:rsidRDefault="007F4F8A" w:rsidP="007F4F8A">
            <w:pPr>
              <w:pStyle w:val="Tabletext"/>
              <w:rPr>
                <w:lang w:eastAsia="en-AU"/>
              </w:rPr>
            </w:pPr>
            <w:r>
              <w:rPr>
                <w:rFonts w:cs="Calibri"/>
                <w:color w:val="000000"/>
              </w:rPr>
              <w:t>1,106,955</w:t>
            </w:r>
          </w:p>
        </w:tc>
        <w:tc>
          <w:tcPr>
            <w:tcW w:w="1085" w:type="dxa"/>
            <w:tcBorders>
              <w:top w:val="nil"/>
              <w:left w:val="nil"/>
              <w:bottom w:val="single" w:sz="4" w:space="0" w:color="auto"/>
              <w:right w:val="single" w:sz="4" w:space="0" w:color="auto"/>
            </w:tcBorders>
            <w:shd w:val="clear" w:color="auto" w:fill="auto"/>
            <w:vAlign w:val="center"/>
            <w:hideMark/>
          </w:tcPr>
          <w:p w14:paraId="117EC32D" w14:textId="77777777" w:rsidR="007F4F8A" w:rsidRPr="0064483D" w:rsidRDefault="007F4F8A" w:rsidP="007F4F8A">
            <w:pPr>
              <w:pStyle w:val="Tabletext"/>
              <w:rPr>
                <w:lang w:eastAsia="en-AU"/>
              </w:rPr>
            </w:pPr>
            <w:r>
              <w:t>ABS Series B</w:t>
            </w:r>
          </w:p>
        </w:tc>
      </w:tr>
      <w:tr w:rsidR="007F4F8A" w:rsidRPr="0064483D" w14:paraId="7FD5C856"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2297C2CD" w14:textId="677F8399" w:rsidR="007F4F8A" w:rsidRPr="0064483D" w:rsidRDefault="007F4F8A" w:rsidP="007F4F8A">
            <w:pPr>
              <w:pStyle w:val="Tabletext"/>
              <w:rPr>
                <w:lang w:eastAsia="en-AU"/>
              </w:rPr>
            </w:pPr>
            <w:r>
              <w:rPr>
                <w:rFonts w:cs="Calibri"/>
                <w:color w:val="000000"/>
              </w:rPr>
              <w:t>AF prevalence-by age</w:t>
            </w:r>
          </w:p>
        </w:tc>
        <w:tc>
          <w:tcPr>
            <w:tcW w:w="1219" w:type="dxa"/>
            <w:tcBorders>
              <w:top w:val="nil"/>
              <w:left w:val="nil"/>
              <w:bottom w:val="single" w:sz="4" w:space="0" w:color="auto"/>
              <w:right w:val="single" w:sz="4" w:space="0" w:color="auto"/>
            </w:tcBorders>
            <w:shd w:val="clear" w:color="auto" w:fill="auto"/>
            <w:vAlign w:val="center"/>
            <w:hideMark/>
          </w:tcPr>
          <w:p w14:paraId="33190066" w14:textId="43CC8347" w:rsidR="007F4F8A" w:rsidRPr="0064483D" w:rsidRDefault="007F4F8A" w:rsidP="007F4F8A">
            <w:pPr>
              <w:pStyle w:val="Tabletext"/>
              <w:rPr>
                <w:lang w:eastAsia="en-AU"/>
              </w:rPr>
            </w:pPr>
            <w:r>
              <w:rPr>
                <w:rFonts w:cs="Calibr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1311F4C" w14:textId="63014DFB" w:rsidR="007F4F8A" w:rsidRPr="0064483D" w:rsidRDefault="007F4F8A" w:rsidP="007F4F8A">
            <w:pPr>
              <w:pStyle w:val="Tabletext"/>
              <w:rPr>
                <w:lang w:eastAsia="en-AU"/>
              </w:rPr>
            </w:pPr>
            <w:r>
              <w:rPr>
                <w:rFonts w:cs="Calibr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348A8312" w14:textId="21BCE765" w:rsidR="007F4F8A" w:rsidRPr="0064483D" w:rsidRDefault="007F4F8A" w:rsidP="007F4F8A">
            <w:pPr>
              <w:pStyle w:val="Tabletext"/>
              <w:rPr>
                <w:lang w:eastAsia="en-AU"/>
              </w:rPr>
            </w:pPr>
            <w:r>
              <w:rPr>
                <w:rFonts w:cs="Calibri"/>
                <w:color w:val="000000"/>
              </w:rPr>
              <w:t> </w:t>
            </w:r>
          </w:p>
        </w:tc>
        <w:tc>
          <w:tcPr>
            <w:tcW w:w="1085" w:type="dxa"/>
            <w:tcBorders>
              <w:top w:val="nil"/>
              <w:left w:val="nil"/>
              <w:bottom w:val="single" w:sz="4" w:space="0" w:color="auto"/>
              <w:right w:val="single" w:sz="4" w:space="0" w:color="auto"/>
            </w:tcBorders>
            <w:shd w:val="clear" w:color="auto" w:fill="auto"/>
            <w:vAlign w:val="center"/>
            <w:hideMark/>
          </w:tcPr>
          <w:p w14:paraId="40D328EC" w14:textId="77777777" w:rsidR="007F4F8A" w:rsidRPr="0064483D" w:rsidRDefault="007F4F8A" w:rsidP="007F4F8A">
            <w:pPr>
              <w:pStyle w:val="Tabletext"/>
              <w:rPr>
                <w:lang w:eastAsia="en-AU"/>
              </w:rPr>
            </w:pPr>
            <w:r>
              <w:t> </w:t>
            </w:r>
          </w:p>
        </w:tc>
      </w:tr>
      <w:tr w:rsidR="007F4F8A" w:rsidRPr="0064483D" w14:paraId="45D5D70B"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47738CF1" w14:textId="0ECFE63D" w:rsidR="007F4F8A" w:rsidRPr="0064483D" w:rsidRDefault="007F4F8A" w:rsidP="007F4F8A">
            <w:pPr>
              <w:pStyle w:val="Tabletext"/>
              <w:ind w:left="170"/>
              <w:rPr>
                <w:lang w:eastAsia="en-AU"/>
              </w:rPr>
            </w:pPr>
            <w:r>
              <w:rPr>
                <w:rFonts w:cs="Calibri"/>
                <w:color w:val="000000"/>
              </w:rPr>
              <w:t>40-49 – 1.0%</w:t>
            </w:r>
          </w:p>
        </w:tc>
        <w:tc>
          <w:tcPr>
            <w:tcW w:w="1219" w:type="dxa"/>
            <w:tcBorders>
              <w:top w:val="nil"/>
              <w:left w:val="nil"/>
              <w:bottom w:val="single" w:sz="4" w:space="0" w:color="auto"/>
              <w:right w:val="single" w:sz="4" w:space="0" w:color="auto"/>
            </w:tcBorders>
            <w:shd w:val="clear" w:color="auto" w:fill="auto"/>
            <w:vAlign w:val="center"/>
            <w:hideMark/>
          </w:tcPr>
          <w:p w14:paraId="36F2E393" w14:textId="62F5BE9C" w:rsidR="007F4F8A" w:rsidRPr="0064483D" w:rsidRDefault="007F4F8A" w:rsidP="007F4F8A">
            <w:pPr>
              <w:pStyle w:val="Tabletext"/>
              <w:rPr>
                <w:lang w:eastAsia="en-AU"/>
              </w:rPr>
            </w:pPr>
            <w:r>
              <w:rPr>
                <w:rFonts w:cs="Calibri"/>
                <w:color w:val="000000"/>
              </w:rPr>
              <w:t>32,989</w:t>
            </w:r>
          </w:p>
        </w:tc>
        <w:tc>
          <w:tcPr>
            <w:tcW w:w="1219" w:type="dxa"/>
            <w:tcBorders>
              <w:top w:val="nil"/>
              <w:left w:val="nil"/>
              <w:bottom w:val="single" w:sz="4" w:space="0" w:color="auto"/>
              <w:right w:val="single" w:sz="4" w:space="0" w:color="auto"/>
            </w:tcBorders>
            <w:shd w:val="clear" w:color="auto" w:fill="auto"/>
            <w:vAlign w:val="center"/>
            <w:hideMark/>
          </w:tcPr>
          <w:p w14:paraId="1F115911" w14:textId="3D84AC14" w:rsidR="007F4F8A" w:rsidRPr="0064483D" w:rsidRDefault="007F4F8A" w:rsidP="007F4F8A">
            <w:pPr>
              <w:pStyle w:val="Tabletext"/>
              <w:rPr>
                <w:lang w:eastAsia="en-AU"/>
              </w:rPr>
            </w:pPr>
            <w:r>
              <w:rPr>
                <w:rFonts w:cs="Calibri"/>
                <w:color w:val="000000"/>
              </w:rPr>
              <w:t>33,129</w:t>
            </w:r>
          </w:p>
        </w:tc>
        <w:tc>
          <w:tcPr>
            <w:tcW w:w="1219" w:type="dxa"/>
            <w:tcBorders>
              <w:top w:val="nil"/>
              <w:left w:val="nil"/>
              <w:bottom w:val="single" w:sz="4" w:space="0" w:color="auto"/>
              <w:right w:val="single" w:sz="4" w:space="0" w:color="auto"/>
            </w:tcBorders>
            <w:shd w:val="clear" w:color="auto" w:fill="auto"/>
            <w:vAlign w:val="center"/>
            <w:hideMark/>
          </w:tcPr>
          <w:p w14:paraId="7792B2C5" w14:textId="5AF6C398" w:rsidR="007F4F8A" w:rsidRPr="0064483D" w:rsidRDefault="007F4F8A" w:rsidP="007F4F8A">
            <w:pPr>
              <w:pStyle w:val="Tabletext"/>
              <w:rPr>
                <w:lang w:eastAsia="en-AU"/>
              </w:rPr>
            </w:pPr>
            <w:r>
              <w:rPr>
                <w:rFonts w:cs="Calibri"/>
                <w:color w:val="000000"/>
              </w:rPr>
              <w:t>33,419</w:t>
            </w:r>
          </w:p>
        </w:tc>
        <w:tc>
          <w:tcPr>
            <w:tcW w:w="1085" w:type="dxa"/>
            <w:tcBorders>
              <w:top w:val="nil"/>
              <w:left w:val="nil"/>
              <w:bottom w:val="single" w:sz="4" w:space="0" w:color="auto"/>
              <w:right w:val="single" w:sz="4" w:space="0" w:color="auto"/>
            </w:tcBorders>
            <w:shd w:val="clear" w:color="auto" w:fill="auto"/>
            <w:vAlign w:val="center"/>
            <w:hideMark/>
          </w:tcPr>
          <w:p w14:paraId="51E1285A" w14:textId="29D8C143"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7797042D"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37A78C60" w14:textId="51DF32A0" w:rsidR="007F4F8A" w:rsidRPr="0064483D" w:rsidRDefault="007F4F8A" w:rsidP="007F4F8A">
            <w:pPr>
              <w:pStyle w:val="Tabletext"/>
              <w:ind w:left="170"/>
              <w:rPr>
                <w:lang w:eastAsia="en-AU"/>
              </w:rPr>
            </w:pPr>
            <w:r>
              <w:rPr>
                <w:rFonts w:cs="Calibri"/>
                <w:color w:val="000000"/>
              </w:rPr>
              <w:t>50-59 – 1.5%</w:t>
            </w:r>
          </w:p>
        </w:tc>
        <w:tc>
          <w:tcPr>
            <w:tcW w:w="1219" w:type="dxa"/>
            <w:tcBorders>
              <w:top w:val="nil"/>
              <w:left w:val="nil"/>
              <w:bottom w:val="single" w:sz="4" w:space="0" w:color="auto"/>
              <w:right w:val="single" w:sz="4" w:space="0" w:color="auto"/>
            </w:tcBorders>
            <w:shd w:val="clear" w:color="auto" w:fill="auto"/>
            <w:vAlign w:val="center"/>
            <w:hideMark/>
          </w:tcPr>
          <w:p w14:paraId="31C10E60" w14:textId="5C5112EF" w:rsidR="007F4F8A" w:rsidRPr="0064483D" w:rsidRDefault="007F4F8A" w:rsidP="007F4F8A">
            <w:pPr>
              <w:pStyle w:val="Tabletext"/>
              <w:rPr>
                <w:lang w:eastAsia="en-AU"/>
              </w:rPr>
            </w:pPr>
            <w:r>
              <w:rPr>
                <w:rFonts w:cs="Calibri"/>
                <w:color w:val="000000"/>
              </w:rPr>
              <w:t>46,536</w:t>
            </w:r>
          </w:p>
        </w:tc>
        <w:tc>
          <w:tcPr>
            <w:tcW w:w="1219" w:type="dxa"/>
            <w:tcBorders>
              <w:top w:val="nil"/>
              <w:left w:val="nil"/>
              <w:bottom w:val="single" w:sz="4" w:space="0" w:color="auto"/>
              <w:right w:val="single" w:sz="4" w:space="0" w:color="auto"/>
            </w:tcBorders>
            <w:shd w:val="clear" w:color="auto" w:fill="auto"/>
            <w:vAlign w:val="center"/>
            <w:hideMark/>
          </w:tcPr>
          <w:p w14:paraId="56514800" w14:textId="78E190D9" w:rsidR="007F4F8A" w:rsidRPr="0064483D" w:rsidRDefault="007F4F8A" w:rsidP="007F4F8A">
            <w:pPr>
              <w:pStyle w:val="Tabletext"/>
              <w:rPr>
                <w:lang w:eastAsia="en-AU"/>
              </w:rPr>
            </w:pPr>
            <w:r>
              <w:rPr>
                <w:rFonts w:cs="Calibri"/>
                <w:color w:val="000000"/>
              </w:rPr>
              <w:t>47,029</w:t>
            </w:r>
          </w:p>
        </w:tc>
        <w:tc>
          <w:tcPr>
            <w:tcW w:w="1219" w:type="dxa"/>
            <w:tcBorders>
              <w:top w:val="nil"/>
              <w:left w:val="nil"/>
              <w:bottom w:val="single" w:sz="4" w:space="0" w:color="auto"/>
              <w:right w:val="single" w:sz="4" w:space="0" w:color="auto"/>
            </w:tcBorders>
            <w:shd w:val="clear" w:color="auto" w:fill="auto"/>
            <w:vAlign w:val="center"/>
            <w:hideMark/>
          </w:tcPr>
          <w:p w14:paraId="0743FAA6" w14:textId="1DB9A0D8" w:rsidR="007F4F8A" w:rsidRPr="0064483D" w:rsidRDefault="007F4F8A" w:rsidP="007F4F8A">
            <w:pPr>
              <w:pStyle w:val="Tabletext"/>
              <w:rPr>
                <w:lang w:eastAsia="en-AU"/>
              </w:rPr>
            </w:pPr>
            <w:r>
              <w:rPr>
                <w:rFonts w:cs="Calibri"/>
                <w:color w:val="000000"/>
              </w:rPr>
              <w:t>47,455</w:t>
            </w:r>
          </w:p>
        </w:tc>
        <w:tc>
          <w:tcPr>
            <w:tcW w:w="1085" w:type="dxa"/>
            <w:tcBorders>
              <w:top w:val="nil"/>
              <w:left w:val="nil"/>
              <w:bottom w:val="single" w:sz="4" w:space="0" w:color="auto"/>
              <w:right w:val="single" w:sz="4" w:space="0" w:color="auto"/>
            </w:tcBorders>
            <w:shd w:val="clear" w:color="auto" w:fill="auto"/>
            <w:vAlign w:val="center"/>
            <w:hideMark/>
          </w:tcPr>
          <w:p w14:paraId="55F37331" w14:textId="75122FB4"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6E92783F"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77882955" w14:textId="1495A517" w:rsidR="007F4F8A" w:rsidRPr="0064483D" w:rsidRDefault="007F4F8A" w:rsidP="007F4F8A">
            <w:pPr>
              <w:pStyle w:val="Tabletext"/>
              <w:ind w:left="170"/>
              <w:rPr>
                <w:lang w:eastAsia="en-AU"/>
              </w:rPr>
            </w:pPr>
            <w:r>
              <w:rPr>
                <w:rFonts w:cs="Calibri"/>
                <w:color w:val="000000"/>
              </w:rPr>
              <w:t>60-69 – 4.2%</w:t>
            </w:r>
          </w:p>
        </w:tc>
        <w:tc>
          <w:tcPr>
            <w:tcW w:w="1219" w:type="dxa"/>
            <w:tcBorders>
              <w:top w:val="nil"/>
              <w:left w:val="nil"/>
              <w:bottom w:val="single" w:sz="4" w:space="0" w:color="auto"/>
              <w:right w:val="single" w:sz="4" w:space="0" w:color="auto"/>
            </w:tcBorders>
            <w:shd w:val="clear" w:color="auto" w:fill="auto"/>
            <w:vAlign w:val="center"/>
            <w:hideMark/>
          </w:tcPr>
          <w:p w14:paraId="3DA68CCD" w14:textId="6CFD8DB2" w:rsidR="007F4F8A" w:rsidRPr="0064483D" w:rsidRDefault="007F4F8A" w:rsidP="007F4F8A">
            <w:pPr>
              <w:pStyle w:val="Tabletext"/>
              <w:rPr>
                <w:lang w:eastAsia="en-AU"/>
              </w:rPr>
            </w:pPr>
            <w:r>
              <w:rPr>
                <w:rFonts w:cs="Calibri"/>
                <w:color w:val="000000"/>
              </w:rPr>
              <w:t>111,958</w:t>
            </w:r>
          </w:p>
        </w:tc>
        <w:tc>
          <w:tcPr>
            <w:tcW w:w="1219" w:type="dxa"/>
            <w:tcBorders>
              <w:top w:val="nil"/>
              <w:left w:val="nil"/>
              <w:bottom w:val="single" w:sz="4" w:space="0" w:color="auto"/>
              <w:right w:val="single" w:sz="4" w:space="0" w:color="auto"/>
            </w:tcBorders>
            <w:shd w:val="clear" w:color="auto" w:fill="auto"/>
            <w:vAlign w:val="center"/>
            <w:hideMark/>
          </w:tcPr>
          <w:p w14:paraId="3974761B" w14:textId="53970408" w:rsidR="007F4F8A" w:rsidRPr="0064483D" w:rsidRDefault="007F4F8A" w:rsidP="007F4F8A">
            <w:pPr>
              <w:pStyle w:val="Tabletext"/>
              <w:rPr>
                <w:lang w:eastAsia="en-AU"/>
              </w:rPr>
            </w:pPr>
            <w:r>
              <w:rPr>
                <w:rFonts w:cs="Calibri"/>
                <w:color w:val="000000"/>
              </w:rPr>
              <w:t>114,270</w:t>
            </w:r>
          </w:p>
        </w:tc>
        <w:tc>
          <w:tcPr>
            <w:tcW w:w="1219" w:type="dxa"/>
            <w:tcBorders>
              <w:top w:val="nil"/>
              <w:left w:val="nil"/>
              <w:bottom w:val="single" w:sz="4" w:space="0" w:color="auto"/>
              <w:right w:val="single" w:sz="4" w:space="0" w:color="auto"/>
            </w:tcBorders>
            <w:shd w:val="clear" w:color="auto" w:fill="auto"/>
            <w:vAlign w:val="center"/>
            <w:hideMark/>
          </w:tcPr>
          <w:p w14:paraId="43E3B749" w14:textId="22BCB81A" w:rsidR="007F4F8A" w:rsidRPr="0064483D" w:rsidRDefault="007F4F8A" w:rsidP="007F4F8A">
            <w:pPr>
              <w:pStyle w:val="Tabletext"/>
              <w:rPr>
                <w:lang w:eastAsia="en-AU"/>
              </w:rPr>
            </w:pPr>
            <w:r>
              <w:rPr>
                <w:rFonts w:cs="Calibri"/>
                <w:color w:val="000000"/>
              </w:rPr>
              <w:t>116,584</w:t>
            </w:r>
          </w:p>
        </w:tc>
        <w:tc>
          <w:tcPr>
            <w:tcW w:w="1085" w:type="dxa"/>
            <w:tcBorders>
              <w:top w:val="nil"/>
              <w:left w:val="nil"/>
              <w:bottom w:val="single" w:sz="4" w:space="0" w:color="auto"/>
              <w:right w:val="single" w:sz="4" w:space="0" w:color="auto"/>
            </w:tcBorders>
            <w:shd w:val="clear" w:color="auto" w:fill="auto"/>
            <w:vAlign w:val="center"/>
            <w:hideMark/>
          </w:tcPr>
          <w:p w14:paraId="11FB3E52" w14:textId="308071DE"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3ED67A6C"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041C0C64" w14:textId="246CCC6C" w:rsidR="007F4F8A" w:rsidRPr="0064483D" w:rsidRDefault="007F4F8A" w:rsidP="007F4F8A">
            <w:pPr>
              <w:pStyle w:val="Tabletext"/>
              <w:ind w:left="170"/>
              <w:rPr>
                <w:lang w:eastAsia="en-AU"/>
              </w:rPr>
            </w:pPr>
            <w:r>
              <w:rPr>
                <w:rFonts w:cs="Calibri"/>
                <w:color w:val="000000"/>
              </w:rPr>
              <w:t>70-79 – 10.9%</w:t>
            </w:r>
          </w:p>
        </w:tc>
        <w:tc>
          <w:tcPr>
            <w:tcW w:w="1219" w:type="dxa"/>
            <w:tcBorders>
              <w:top w:val="nil"/>
              <w:left w:val="nil"/>
              <w:bottom w:val="single" w:sz="4" w:space="0" w:color="auto"/>
              <w:right w:val="single" w:sz="4" w:space="0" w:color="auto"/>
            </w:tcBorders>
            <w:shd w:val="clear" w:color="auto" w:fill="auto"/>
            <w:vAlign w:val="center"/>
            <w:hideMark/>
          </w:tcPr>
          <w:p w14:paraId="43140369" w14:textId="4A446E77" w:rsidR="007F4F8A" w:rsidRPr="0064483D" w:rsidRDefault="007F4F8A" w:rsidP="007F4F8A">
            <w:pPr>
              <w:pStyle w:val="Tabletext"/>
              <w:rPr>
                <w:lang w:eastAsia="en-AU"/>
              </w:rPr>
            </w:pPr>
            <w:r>
              <w:rPr>
                <w:rFonts w:cs="Calibri"/>
                <w:color w:val="000000"/>
              </w:rPr>
              <w:t>202,870</w:t>
            </w:r>
          </w:p>
        </w:tc>
        <w:tc>
          <w:tcPr>
            <w:tcW w:w="1219" w:type="dxa"/>
            <w:tcBorders>
              <w:top w:val="nil"/>
              <w:left w:val="nil"/>
              <w:bottom w:val="single" w:sz="4" w:space="0" w:color="auto"/>
              <w:right w:val="single" w:sz="4" w:space="0" w:color="auto"/>
            </w:tcBorders>
            <w:shd w:val="clear" w:color="auto" w:fill="auto"/>
            <w:vAlign w:val="center"/>
            <w:hideMark/>
          </w:tcPr>
          <w:p w14:paraId="71D3BDFD" w14:textId="69A3DAC5" w:rsidR="007F4F8A" w:rsidRPr="0064483D" w:rsidRDefault="007F4F8A" w:rsidP="007F4F8A">
            <w:pPr>
              <w:pStyle w:val="Tabletext"/>
              <w:rPr>
                <w:lang w:eastAsia="en-AU"/>
              </w:rPr>
            </w:pPr>
            <w:r>
              <w:rPr>
                <w:rFonts w:cs="Calibri"/>
                <w:color w:val="000000"/>
              </w:rPr>
              <w:t>210,709</w:t>
            </w:r>
          </w:p>
        </w:tc>
        <w:tc>
          <w:tcPr>
            <w:tcW w:w="1219" w:type="dxa"/>
            <w:tcBorders>
              <w:top w:val="nil"/>
              <w:left w:val="nil"/>
              <w:bottom w:val="single" w:sz="4" w:space="0" w:color="auto"/>
              <w:right w:val="single" w:sz="4" w:space="0" w:color="auto"/>
            </w:tcBorders>
            <w:shd w:val="clear" w:color="auto" w:fill="auto"/>
            <w:vAlign w:val="center"/>
            <w:hideMark/>
          </w:tcPr>
          <w:p w14:paraId="632C93DC" w14:textId="56B10C3B" w:rsidR="007F4F8A" w:rsidRPr="0064483D" w:rsidRDefault="007F4F8A" w:rsidP="007F4F8A">
            <w:pPr>
              <w:pStyle w:val="Tabletext"/>
              <w:rPr>
                <w:lang w:eastAsia="en-AU"/>
              </w:rPr>
            </w:pPr>
            <w:r>
              <w:rPr>
                <w:rFonts w:cs="Calibri"/>
                <w:color w:val="000000"/>
              </w:rPr>
              <w:t>217,646</w:t>
            </w:r>
          </w:p>
        </w:tc>
        <w:tc>
          <w:tcPr>
            <w:tcW w:w="1085" w:type="dxa"/>
            <w:tcBorders>
              <w:top w:val="nil"/>
              <w:left w:val="nil"/>
              <w:bottom w:val="single" w:sz="4" w:space="0" w:color="auto"/>
              <w:right w:val="single" w:sz="4" w:space="0" w:color="auto"/>
            </w:tcBorders>
            <w:shd w:val="clear" w:color="auto" w:fill="auto"/>
            <w:vAlign w:val="center"/>
            <w:hideMark/>
          </w:tcPr>
          <w:p w14:paraId="40314FFD" w14:textId="6419274D"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3E3FD274"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45234F16" w14:textId="4277ED7D" w:rsidR="007F4F8A" w:rsidRPr="0064483D" w:rsidRDefault="007F4F8A" w:rsidP="007F4F8A">
            <w:pPr>
              <w:pStyle w:val="Tabletext"/>
              <w:ind w:left="170"/>
              <w:rPr>
                <w:lang w:eastAsia="en-AU"/>
              </w:rPr>
            </w:pPr>
            <w:r>
              <w:rPr>
                <w:rFonts w:cs="Calibri"/>
                <w:color w:val="000000"/>
              </w:rPr>
              <w:t>≥80 – 14.8%</w:t>
            </w:r>
          </w:p>
        </w:tc>
        <w:tc>
          <w:tcPr>
            <w:tcW w:w="1219" w:type="dxa"/>
            <w:tcBorders>
              <w:top w:val="nil"/>
              <w:left w:val="nil"/>
              <w:bottom w:val="single" w:sz="4" w:space="0" w:color="auto"/>
              <w:right w:val="single" w:sz="4" w:space="0" w:color="auto"/>
            </w:tcBorders>
            <w:shd w:val="clear" w:color="auto" w:fill="auto"/>
            <w:vAlign w:val="center"/>
            <w:hideMark/>
          </w:tcPr>
          <w:p w14:paraId="769DCE43" w14:textId="6872C1B1" w:rsidR="007F4F8A" w:rsidRPr="0064483D" w:rsidRDefault="007F4F8A" w:rsidP="007F4F8A">
            <w:pPr>
              <w:pStyle w:val="Tabletext"/>
              <w:rPr>
                <w:lang w:eastAsia="en-AU"/>
              </w:rPr>
            </w:pPr>
            <w:r>
              <w:rPr>
                <w:rFonts w:cs="Calibri"/>
                <w:color w:val="000000"/>
              </w:rPr>
              <w:t>153,950</w:t>
            </w:r>
          </w:p>
        </w:tc>
        <w:tc>
          <w:tcPr>
            <w:tcW w:w="1219" w:type="dxa"/>
            <w:tcBorders>
              <w:top w:val="nil"/>
              <w:left w:val="nil"/>
              <w:bottom w:val="single" w:sz="4" w:space="0" w:color="auto"/>
              <w:right w:val="single" w:sz="4" w:space="0" w:color="auto"/>
            </w:tcBorders>
            <w:shd w:val="clear" w:color="auto" w:fill="auto"/>
            <w:vAlign w:val="center"/>
            <w:hideMark/>
          </w:tcPr>
          <w:p w14:paraId="1EFEE74A" w14:textId="0AB23A31" w:rsidR="007F4F8A" w:rsidRPr="0064483D" w:rsidRDefault="007F4F8A" w:rsidP="007F4F8A">
            <w:pPr>
              <w:pStyle w:val="Tabletext"/>
              <w:rPr>
                <w:lang w:eastAsia="en-AU"/>
              </w:rPr>
            </w:pPr>
            <w:r>
              <w:rPr>
                <w:rFonts w:cs="Calibri"/>
                <w:color w:val="000000"/>
              </w:rPr>
              <w:t>158,468</w:t>
            </w:r>
          </w:p>
        </w:tc>
        <w:tc>
          <w:tcPr>
            <w:tcW w:w="1219" w:type="dxa"/>
            <w:tcBorders>
              <w:top w:val="nil"/>
              <w:left w:val="nil"/>
              <w:bottom w:val="single" w:sz="4" w:space="0" w:color="auto"/>
              <w:right w:val="single" w:sz="4" w:space="0" w:color="auto"/>
            </w:tcBorders>
            <w:shd w:val="clear" w:color="auto" w:fill="auto"/>
            <w:vAlign w:val="center"/>
            <w:hideMark/>
          </w:tcPr>
          <w:p w14:paraId="33FBBA9B" w14:textId="2DE24606" w:rsidR="007F4F8A" w:rsidRPr="0064483D" w:rsidRDefault="007F4F8A" w:rsidP="007F4F8A">
            <w:pPr>
              <w:pStyle w:val="Tabletext"/>
              <w:rPr>
                <w:lang w:eastAsia="en-AU"/>
              </w:rPr>
            </w:pPr>
            <w:r>
              <w:rPr>
                <w:rFonts w:cs="Calibri"/>
                <w:color w:val="000000"/>
              </w:rPr>
              <w:t>163,829</w:t>
            </w:r>
          </w:p>
        </w:tc>
        <w:tc>
          <w:tcPr>
            <w:tcW w:w="1085" w:type="dxa"/>
            <w:tcBorders>
              <w:top w:val="nil"/>
              <w:left w:val="nil"/>
              <w:bottom w:val="single" w:sz="4" w:space="0" w:color="auto"/>
              <w:right w:val="single" w:sz="4" w:space="0" w:color="auto"/>
            </w:tcBorders>
            <w:shd w:val="clear" w:color="auto" w:fill="auto"/>
            <w:vAlign w:val="center"/>
            <w:hideMark/>
          </w:tcPr>
          <w:p w14:paraId="5B32930A" w14:textId="4083878A"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5AC04948"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31799498" w14:textId="7091FB31" w:rsidR="007F4F8A" w:rsidRPr="0064483D" w:rsidRDefault="007F4F8A" w:rsidP="007F4F8A">
            <w:pPr>
              <w:pStyle w:val="Tabletext"/>
              <w:rPr>
                <w:lang w:eastAsia="en-AU"/>
              </w:rPr>
            </w:pPr>
            <w:r>
              <w:rPr>
                <w:rFonts w:cs="Calibri"/>
                <w:color w:val="000000"/>
              </w:rPr>
              <w:t>Proportion of AF patients with NVAF– 88.58%</w:t>
            </w:r>
          </w:p>
        </w:tc>
        <w:tc>
          <w:tcPr>
            <w:tcW w:w="1219" w:type="dxa"/>
            <w:tcBorders>
              <w:top w:val="nil"/>
              <w:left w:val="nil"/>
              <w:bottom w:val="single" w:sz="4" w:space="0" w:color="auto"/>
              <w:right w:val="single" w:sz="4" w:space="0" w:color="auto"/>
            </w:tcBorders>
            <w:shd w:val="clear" w:color="auto" w:fill="auto"/>
            <w:vAlign w:val="center"/>
            <w:hideMark/>
          </w:tcPr>
          <w:p w14:paraId="204646A4" w14:textId="46175C2E" w:rsidR="007F4F8A" w:rsidRPr="0064483D" w:rsidRDefault="007F4F8A" w:rsidP="007F4F8A">
            <w:pPr>
              <w:pStyle w:val="Tabletext"/>
              <w:rPr>
                <w:lang w:eastAsia="en-AU"/>
              </w:rPr>
            </w:pPr>
            <w:r>
              <w:rPr>
                <w:rFonts w:cs="Calibri"/>
                <w:color w:val="000000"/>
              </w:rPr>
              <w:t>485,688</w:t>
            </w:r>
          </w:p>
        </w:tc>
        <w:tc>
          <w:tcPr>
            <w:tcW w:w="1219" w:type="dxa"/>
            <w:tcBorders>
              <w:top w:val="nil"/>
              <w:left w:val="nil"/>
              <w:bottom w:val="single" w:sz="4" w:space="0" w:color="auto"/>
              <w:right w:val="single" w:sz="4" w:space="0" w:color="auto"/>
            </w:tcBorders>
            <w:shd w:val="clear" w:color="auto" w:fill="auto"/>
            <w:vAlign w:val="center"/>
            <w:hideMark/>
          </w:tcPr>
          <w:p w14:paraId="4310B6A1" w14:textId="4BC7E941" w:rsidR="007F4F8A" w:rsidRPr="0064483D" w:rsidRDefault="007F4F8A" w:rsidP="007F4F8A">
            <w:pPr>
              <w:pStyle w:val="Tabletext"/>
              <w:rPr>
                <w:lang w:eastAsia="en-AU"/>
              </w:rPr>
            </w:pPr>
            <w:r>
              <w:rPr>
                <w:rFonts w:cs="Calibri"/>
                <w:color w:val="000000"/>
              </w:rPr>
              <w:t>499,244</w:t>
            </w:r>
          </w:p>
        </w:tc>
        <w:tc>
          <w:tcPr>
            <w:tcW w:w="1219" w:type="dxa"/>
            <w:tcBorders>
              <w:top w:val="nil"/>
              <w:left w:val="nil"/>
              <w:bottom w:val="single" w:sz="4" w:space="0" w:color="auto"/>
              <w:right w:val="single" w:sz="4" w:space="0" w:color="auto"/>
            </w:tcBorders>
            <w:shd w:val="clear" w:color="auto" w:fill="auto"/>
            <w:vAlign w:val="center"/>
            <w:hideMark/>
          </w:tcPr>
          <w:p w14:paraId="733B090A" w14:textId="3C8F6A9B" w:rsidR="007F4F8A" w:rsidRPr="0064483D" w:rsidRDefault="007F4F8A" w:rsidP="007F4F8A">
            <w:pPr>
              <w:pStyle w:val="Tabletext"/>
              <w:rPr>
                <w:lang w:eastAsia="en-AU"/>
              </w:rPr>
            </w:pPr>
            <w:r>
              <w:rPr>
                <w:rFonts w:cs="Calibri"/>
                <w:color w:val="000000"/>
              </w:rPr>
              <w:t>512,821</w:t>
            </w:r>
          </w:p>
        </w:tc>
        <w:tc>
          <w:tcPr>
            <w:tcW w:w="1085" w:type="dxa"/>
            <w:tcBorders>
              <w:top w:val="nil"/>
              <w:left w:val="nil"/>
              <w:bottom w:val="single" w:sz="4" w:space="0" w:color="auto"/>
              <w:right w:val="single" w:sz="4" w:space="0" w:color="auto"/>
            </w:tcBorders>
            <w:shd w:val="clear" w:color="auto" w:fill="auto"/>
            <w:vAlign w:val="center"/>
            <w:hideMark/>
          </w:tcPr>
          <w:p w14:paraId="3AD6BA92" w14:textId="56B00332"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701252F4"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1DC82B9F" w14:textId="6ADFD9F3" w:rsidR="007F4F8A" w:rsidRPr="0064483D" w:rsidRDefault="007F4F8A" w:rsidP="007F4F8A">
            <w:pPr>
              <w:pStyle w:val="Tabletext"/>
              <w:rPr>
                <w:lang w:eastAsia="en-AU"/>
              </w:rPr>
            </w:pPr>
            <w:r>
              <w:rPr>
                <w:rFonts w:cs="Calibri"/>
                <w:color w:val="000000"/>
              </w:rPr>
              <w:t>Proportion of NVAF patients with CHA</w:t>
            </w:r>
            <w:r>
              <w:rPr>
                <w:rFonts w:cs="Calibri"/>
                <w:color w:val="000000"/>
                <w:vertAlign w:val="subscript"/>
              </w:rPr>
              <w:t>2</w:t>
            </w:r>
            <w:r>
              <w:rPr>
                <w:rFonts w:cs="Calibri"/>
                <w:color w:val="000000"/>
              </w:rPr>
              <w:t>DS</w:t>
            </w:r>
            <w:r>
              <w:rPr>
                <w:rFonts w:cs="Calibri"/>
                <w:color w:val="000000"/>
                <w:vertAlign w:val="subscript"/>
              </w:rPr>
              <w:t>2</w:t>
            </w:r>
            <w:r>
              <w:rPr>
                <w:rFonts w:cs="Calibri"/>
                <w:color w:val="000000"/>
              </w:rPr>
              <w:t>-VA≥2 – 63.56%</w:t>
            </w:r>
          </w:p>
        </w:tc>
        <w:tc>
          <w:tcPr>
            <w:tcW w:w="1219" w:type="dxa"/>
            <w:tcBorders>
              <w:top w:val="nil"/>
              <w:left w:val="nil"/>
              <w:bottom w:val="single" w:sz="4" w:space="0" w:color="auto"/>
              <w:right w:val="single" w:sz="4" w:space="0" w:color="auto"/>
            </w:tcBorders>
            <w:shd w:val="clear" w:color="auto" w:fill="auto"/>
            <w:vAlign w:val="center"/>
            <w:hideMark/>
          </w:tcPr>
          <w:p w14:paraId="233E2BC9" w14:textId="52646B1E" w:rsidR="007F4F8A" w:rsidRPr="0064483D" w:rsidRDefault="007F4F8A" w:rsidP="007F4F8A">
            <w:pPr>
              <w:pStyle w:val="Tabletext"/>
              <w:rPr>
                <w:lang w:eastAsia="en-AU"/>
              </w:rPr>
            </w:pPr>
            <w:r>
              <w:rPr>
                <w:rFonts w:cs="Calibri"/>
                <w:color w:val="000000"/>
              </w:rPr>
              <w:t>308,719</w:t>
            </w:r>
          </w:p>
        </w:tc>
        <w:tc>
          <w:tcPr>
            <w:tcW w:w="1219" w:type="dxa"/>
            <w:tcBorders>
              <w:top w:val="nil"/>
              <w:left w:val="nil"/>
              <w:bottom w:val="single" w:sz="4" w:space="0" w:color="auto"/>
              <w:right w:val="single" w:sz="4" w:space="0" w:color="auto"/>
            </w:tcBorders>
            <w:shd w:val="clear" w:color="auto" w:fill="auto"/>
            <w:vAlign w:val="center"/>
            <w:hideMark/>
          </w:tcPr>
          <w:p w14:paraId="23227A44" w14:textId="2FAFF90E" w:rsidR="007F4F8A" w:rsidRPr="0064483D" w:rsidRDefault="007F4F8A" w:rsidP="007F4F8A">
            <w:pPr>
              <w:pStyle w:val="Tabletext"/>
              <w:rPr>
                <w:lang w:eastAsia="en-AU"/>
              </w:rPr>
            </w:pPr>
            <w:r>
              <w:rPr>
                <w:rFonts w:cs="Calibri"/>
                <w:color w:val="000000"/>
              </w:rPr>
              <w:t>317,335</w:t>
            </w:r>
          </w:p>
        </w:tc>
        <w:tc>
          <w:tcPr>
            <w:tcW w:w="1219" w:type="dxa"/>
            <w:tcBorders>
              <w:top w:val="nil"/>
              <w:left w:val="nil"/>
              <w:bottom w:val="single" w:sz="4" w:space="0" w:color="auto"/>
              <w:right w:val="single" w:sz="4" w:space="0" w:color="auto"/>
            </w:tcBorders>
            <w:shd w:val="clear" w:color="auto" w:fill="auto"/>
            <w:vAlign w:val="center"/>
            <w:hideMark/>
          </w:tcPr>
          <w:p w14:paraId="7CB937AD" w14:textId="45E9760D" w:rsidR="007F4F8A" w:rsidRPr="0064483D" w:rsidRDefault="007F4F8A" w:rsidP="007F4F8A">
            <w:pPr>
              <w:pStyle w:val="Tabletext"/>
              <w:rPr>
                <w:lang w:eastAsia="en-AU"/>
              </w:rPr>
            </w:pPr>
            <w:r>
              <w:rPr>
                <w:rFonts w:cs="Calibri"/>
                <w:color w:val="000000"/>
              </w:rPr>
              <w:t>325,965</w:t>
            </w:r>
          </w:p>
        </w:tc>
        <w:tc>
          <w:tcPr>
            <w:tcW w:w="1085" w:type="dxa"/>
            <w:tcBorders>
              <w:top w:val="nil"/>
              <w:left w:val="nil"/>
              <w:bottom w:val="single" w:sz="4" w:space="0" w:color="auto"/>
              <w:right w:val="single" w:sz="4" w:space="0" w:color="auto"/>
            </w:tcBorders>
            <w:shd w:val="clear" w:color="auto" w:fill="auto"/>
            <w:vAlign w:val="center"/>
            <w:hideMark/>
          </w:tcPr>
          <w:p w14:paraId="6899D1CB" w14:textId="3BF62B65" w:rsidR="007F4F8A" w:rsidRPr="0064483D" w:rsidRDefault="007F4F8A" w:rsidP="007F4F8A">
            <w:pPr>
              <w:pStyle w:val="Tabletext"/>
              <w:rPr>
                <w:lang w:eastAsia="en-AU"/>
              </w:rPr>
            </w:pPr>
            <w:r>
              <w:fldChar w:fldCharType="begin"/>
            </w:r>
            <w:r>
              <w:rPr>
                <w:lang w:eastAsia="en-AU"/>
              </w:rPr>
              <w:instrText xml:space="preserve"> REF _Ref22914088 \h </w:instrText>
            </w:r>
            <w:r>
              <w:instrText xml:space="preserve"> \* MERGEFORMAT </w:instrText>
            </w:r>
            <w:r>
              <w:fldChar w:fldCharType="separate"/>
            </w:r>
            <w:r w:rsidR="004E2E17">
              <w:t xml:space="preserve">Table </w:t>
            </w:r>
            <w:r w:rsidR="004E2E17">
              <w:rPr>
                <w:noProof/>
              </w:rPr>
              <w:t>4</w:t>
            </w:r>
            <w:r>
              <w:fldChar w:fldCharType="end"/>
            </w:r>
          </w:p>
        </w:tc>
      </w:tr>
      <w:tr w:rsidR="007F4F8A" w:rsidRPr="0064483D" w14:paraId="76E7CA5B"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0A053E4D" w14:textId="6D3A38E7" w:rsidR="007F4F8A" w:rsidRPr="0064483D" w:rsidRDefault="007F4F8A" w:rsidP="007F4F8A">
            <w:pPr>
              <w:pStyle w:val="Tabletext"/>
              <w:rPr>
                <w:lang w:eastAsia="en-AU"/>
              </w:rPr>
            </w:pPr>
            <w:r>
              <w:rPr>
                <w:rFonts w:cs="Calibri"/>
                <w:color w:val="000000"/>
              </w:rPr>
              <w:t>Proportion of patients with relative CI to OAT – 31.0%</w:t>
            </w:r>
          </w:p>
        </w:tc>
        <w:tc>
          <w:tcPr>
            <w:tcW w:w="1219" w:type="dxa"/>
            <w:tcBorders>
              <w:top w:val="nil"/>
              <w:left w:val="nil"/>
              <w:bottom w:val="single" w:sz="4" w:space="0" w:color="auto"/>
              <w:right w:val="single" w:sz="4" w:space="0" w:color="auto"/>
            </w:tcBorders>
            <w:shd w:val="clear" w:color="auto" w:fill="auto"/>
            <w:vAlign w:val="center"/>
            <w:hideMark/>
          </w:tcPr>
          <w:p w14:paraId="0633B391" w14:textId="6DA057B0" w:rsidR="007F4F8A" w:rsidRPr="0064483D" w:rsidRDefault="007F4F8A" w:rsidP="007F4F8A">
            <w:pPr>
              <w:pStyle w:val="Tabletext"/>
              <w:rPr>
                <w:lang w:eastAsia="en-AU"/>
              </w:rPr>
            </w:pPr>
            <w:r>
              <w:rPr>
                <w:rFonts w:cs="Calibri"/>
                <w:color w:val="000000"/>
              </w:rPr>
              <w:t>94,777</w:t>
            </w:r>
          </w:p>
        </w:tc>
        <w:tc>
          <w:tcPr>
            <w:tcW w:w="1219" w:type="dxa"/>
            <w:tcBorders>
              <w:top w:val="nil"/>
              <w:left w:val="nil"/>
              <w:bottom w:val="single" w:sz="4" w:space="0" w:color="auto"/>
              <w:right w:val="single" w:sz="4" w:space="0" w:color="auto"/>
            </w:tcBorders>
            <w:shd w:val="clear" w:color="auto" w:fill="auto"/>
            <w:vAlign w:val="center"/>
            <w:hideMark/>
          </w:tcPr>
          <w:p w14:paraId="087C7FDF" w14:textId="299A8A0A" w:rsidR="007F4F8A" w:rsidRPr="0064483D" w:rsidRDefault="007F4F8A" w:rsidP="007F4F8A">
            <w:pPr>
              <w:pStyle w:val="Tabletext"/>
              <w:rPr>
                <w:lang w:eastAsia="en-AU"/>
              </w:rPr>
            </w:pPr>
            <w:r>
              <w:rPr>
                <w:rFonts w:cs="Calibri"/>
                <w:color w:val="000000"/>
              </w:rPr>
              <w:t>97,422</w:t>
            </w:r>
          </w:p>
        </w:tc>
        <w:tc>
          <w:tcPr>
            <w:tcW w:w="1219" w:type="dxa"/>
            <w:tcBorders>
              <w:top w:val="nil"/>
              <w:left w:val="nil"/>
              <w:bottom w:val="single" w:sz="4" w:space="0" w:color="auto"/>
              <w:right w:val="single" w:sz="4" w:space="0" w:color="auto"/>
            </w:tcBorders>
            <w:shd w:val="clear" w:color="auto" w:fill="auto"/>
            <w:vAlign w:val="center"/>
            <w:hideMark/>
          </w:tcPr>
          <w:p w14:paraId="2B423859" w14:textId="4470F46B" w:rsidR="007F4F8A" w:rsidRPr="0064483D" w:rsidRDefault="007F4F8A" w:rsidP="007F4F8A">
            <w:pPr>
              <w:pStyle w:val="Tabletext"/>
              <w:rPr>
                <w:lang w:eastAsia="en-AU"/>
              </w:rPr>
            </w:pPr>
            <w:r>
              <w:rPr>
                <w:rFonts w:cs="Calibri"/>
                <w:color w:val="000000"/>
              </w:rPr>
              <w:t>100,071</w:t>
            </w:r>
          </w:p>
        </w:tc>
        <w:tc>
          <w:tcPr>
            <w:tcW w:w="1085" w:type="dxa"/>
            <w:tcBorders>
              <w:top w:val="nil"/>
              <w:left w:val="nil"/>
              <w:bottom w:val="single" w:sz="4" w:space="0" w:color="auto"/>
              <w:right w:val="single" w:sz="4" w:space="0" w:color="auto"/>
            </w:tcBorders>
            <w:shd w:val="clear" w:color="auto" w:fill="auto"/>
            <w:vAlign w:val="center"/>
            <w:hideMark/>
          </w:tcPr>
          <w:p w14:paraId="267879DD" w14:textId="3F2830DE" w:rsidR="007F4F8A" w:rsidRPr="0064483D" w:rsidRDefault="007F4F8A" w:rsidP="007F4F8A">
            <w:pPr>
              <w:pStyle w:val="Tabletext"/>
              <w:rPr>
                <w:lang w:eastAsia="en-AU"/>
              </w:rPr>
            </w:pPr>
            <w:r>
              <w:fldChar w:fldCharType="begin"/>
            </w:r>
            <w:r>
              <w:rPr>
                <w:lang w:eastAsia="en-AU"/>
              </w:rPr>
              <w:instrText xml:space="preserve"> REF _Ref22918717 \h </w:instrText>
            </w:r>
            <w:r>
              <w:instrText xml:space="preserve"> \* MERGEFORMAT </w:instrText>
            </w:r>
            <w:r>
              <w:fldChar w:fldCharType="separate"/>
            </w:r>
            <w:r w:rsidR="004E2E17">
              <w:t xml:space="preserve">Table </w:t>
            </w:r>
            <w:r w:rsidR="004E2E17">
              <w:rPr>
                <w:noProof/>
              </w:rPr>
              <w:t>6</w:t>
            </w:r>
            <w:r>
              <w:fldChar w:fldCharType="end"/>
            </w:r>
          </w:p>
        </w:tc>
      </w:tr>
      <w:tr w:rsidR="00613CFF" w:rsidRPr="0064483D" w14:paraId="47B5FDF7" w14:textId="77777777" w:rsidTr="004A2BD4">
        <w:trPr>
          <w:trHeight w:val="48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5595D1A3" w14:textId="77D0A144" w:rsidR="00613CFF" w:rsidRPr="0064483D" w:rsidRDefault="00613CFF" w:rsidP="00613CFF">
            <w:pPr>
              <w:pStyle w:val="Tabletext"/>
              <w:rPr>
                <w:lang w:eastAsia="en-AU"/>
              </w:rPr>
            </w:pPr>
            <w:r>
              <w:rPr>
                <w:rFonts w:cs="Calibri"/>
                <w:color w:val="000000"/>
              </w:rPr>
              <w:t>Proportion of patients referred for LAAC - 30%</w:t>
            </w:r>
          </w:p>
        </w:tc>
        <w:tc>
          <w:tcPr>
            <w:tcW w:w="1219" w:type="dxa"/>
            <w:tcBorders>
              <w:top w:val="nil"/>
              <w:left w:val="nil"/>
              <w:bottom w:val="single" w:sz="4" w:space="0" w:color="auto"/>
              <w:right w:val="single" w:sz="4" w:space="0" w:color="auto"/>
            </w:tcBorders>
            <w:shd w:val="clear" w:color="auto" w:fill="auto"/>
            <w:vAlign w:val="center"/>
            <w:hideMark/>
          </w:tcPr>
          <w:p w14:paraId="6F982CB5" w14:textId="1629504F" w:rsidR="00613CFF" w:rsidRPr="0064483D" w:rsidRDefault="00613CFF" w:rsidP="00613CFF">
            <w:pPr>
              <w:pStyle w:val="Tabletext"/>
              <w:rPr>
                <w:lang w:eastAsia="en-AU"/>
              </w:rPr>
            </w:pPr>
            <w:r>
              <w:rPr>
                <w:rFonts w:cs="Calibri"/>
                <w:color w:val="000000"/>
              </w:rPr>
              <w:t>28,433</w:t>
            </w:r>
          </w:p>
        </w:tc>
        <w:tc>
          <w:tcPr>
            <w:tcW w:w="1219" w:type="dxa"/>
            <w:tcBorders>
              <w:top w:val="nil"/>
              <w:left w:val="nil"/>
              <w:bottom w:val="single" w:sz="4" w:space="0" w:color="auto"/>
              <w:right w:val="single" w:sz="4" w:space="0" w:color="auto"/>
            </w:tcBorders>
            <w:shd w:val="clear" w:color="auto" w:fill="auto"/>
            <w:vAlign w:val="center"/>
            <w:hideMark/>
          </w:tcPr>
          <w:p w14:paraId="3BF81B6F" w14:textId="309743E3" w:rsidR="00613CFF" w:rsidRPr="0064483D" w:rsidRDefault="00613CFF" w:rsidP="00613CFF">
            <w:pPr>
              <w:pStyle w:val="Tabletext"/>
              <w:rPr>
                <w:lang w:eastAsia="en-AU"/>
              </w:rPr>
            </w:pPr>
            <w:r>
              <w:rPr>
                <w:rFonts w:cs="Calibri"/>
                <w:color w:val="000000"/>
              </w:rPr>
              <w:t>29,227</w:t>
            </w:r>
          </w:p>
        </w:tc>
        <w:tc>
          <w:tcPr>
            <w:tcW w:w="1219" w:type="dxa"/>
            <w:tcBorders>
              <w:top w:val="nil"/>
              <w:left w:val="nil"/>
              <w:bottom w:val="single" w:sz="4" w:space="0" w:color="auto"/>
              <w:right w:val="single" w:sz="4" w:space="0" w:color="auto"/>
            </w:tcBorders>
            <w:shd w:val="clear" w:color="auto" w:fill="auto"/>
            <w:vAlign w:val="center"/>
            <w:hideMark/>
          </w:tcPr>
          <w:p w14:paraId="38413895" w14:textId="401165B9" w:rsidR="00613CFF" w:rsidRPr="0064483D" w:rsidRDefault="00613CFF" w:rsidP="00613CFF">
            <w:pPr>
              <w:pStyle w:val="Tabletext"/>
              <w:rPr>
                <w:lang w:eastAsia="en-AU"/>
              </w:rPr>
            </w:pPr>
            <w:r>
              <w:rPr>
                <w:rFonts w:cs="Calibri"/>
                <w:color w:val="000000"/>
              </w:rPr>
              <w:t>30,021</w:t>
            </w:r>
          </w:p>
        </w:tc>
        <w:tc>
          <w:tcPr>
            <w:tcW w:w="1085" w:type="dxa"/>
            <w:tcBorders>
              <w:top w:val="nil"/>
              <w:left w:val="nil"/>
              <w:bottom w:val="single" w:sz="4" w:space="0" w:color="auto"/>
              <w:right w:val="single" w:sz="4" w:space="0" w:color="auto"/>
            </w:tcBorders>
            <w:shd w:val="clear" w:color="auto" w:fill="auto"/>
            <w:vAlign w:val="center"/>
            <w:hideMark/>
          </w:tcPr>
          <w:p w14:paraId="39247C01" w14:textId="1448B435" w:rsidR="00613CFF" w:rsidRPr="0064483D" w:rsidRDefault="00613CFF" w:rsidP="00613CFF">
            <w:pPr>
              <w:pStyle w:val="Tabletext"/>
              <w:rPr>
                <w:lang w:eastAsia="en-AU"/>
              </w:rPr>
            </w:pPr>
            <w:r>
              <w:fldChar w:fldCharType="begin"/>
            </w:r>
            <w:r>
              <w:rPr>
                <w:lang w:eastAsia="en-AU"/>
              </w:rPr>
              <w:instrText xml:space="preserve"> REF _Ref22918717 \h </w:instrText>
            </w:r>
            <w:r>
              <w:instrText xml:space="preserve"> \* MERGEFORMAT </w:instrText>
            </w:r>
            <w:r>
              <w:fldChar w:fldCharType="separate"/>
            </w:r>
            <w:r w:rsidR="004E2E17">
              <w:t xml:space="preserve">Table </w:t>
            </w:r>
            <w:r w:rsidR="004E2E17">
              <w:rPr>
                <w:noProof/>
              </w:rPr>
              <w:t>6</w:t>
            </w:r>
            <w:r>
              <w:fldChar w:fldCharType="end"/>
            </w:r>
          </w:p>
        </w:tc>
      </w:tr>
      <w:tr w:rsidR="004A2BD4" w:rsidRPr="0064483D" w14:paraId="62689770"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354AF24E" w14:textId="1B3C6DC5" w:rsidR="004A2BD4" w:rsidRPr="0064483D" w:rsidRDefault="004A2BD4" w:rsidP="004A2BD4">
            <w:pPr>
              <w:pStyle w:val="Tabletext"/>
              <w:rPr>
                <w:lang w:eastAsia="en-AU"/>
              </w:rPr>
            </w:pPr>
            <w:r>
              <w:rPr>
                <w:rFonts w:cs="Calibri"/>
                <w:color w:val="000000"/>
              </w:rPr>
              <w:t>Proportion of patients suitable for LAAC therapy – 84.6%</w:t>
            </w:r>
          </w:p>
        </w:tc>
        <w:tc>
          <w:tcPr>
            <w:tcW w:w="1219" w:type="dxa"/>
            <w:tcBorders>
              <w:top w:val="nil"/>
              <w:left w:val="nil"/>
              <w:bottom w:val="single" w:sz="4" w:space="0" w:color="auto"/>
              <w:right w:val="single" w:sz="4" w:space="0" w:color="auto"/>
            </w:tcBorders>
            <w:shd w:val="clear" w:color="auto" w:fill="auto"/>
            <w:vAlign w:val="center"/>
            <w:hideMark/>
          </w:tcPr>
          <w:p w14:paraId="173E6DE2" w14:textId="784BCE98" w:rsidR="004A2BD4" w:rsidRPr="0064483D" w:rsidRDefault="004A2BD4" w:rsidP="004A2BD4">
            <w:pPr>
              <w:pStyle w:val="Tabletext"/>
              <w:rPr>
                <w:lang w:eastAsia="en-AU"/>
              </w:rPr>
            </w:pPr>
            <w:r>
              <w:rPr>
                <w:rFonts w:cs="Calibri"/>
                <w:color w:val="000000"/>
              </w:rPr>
              <w:t>24,054</w:t>
            </w:r>
          </w:p>
        </w:tc>
        <w:tc>
          <w:tcPr>
            <w:tcW w:w="1219" w:type="dxa"/>
            <w:tcBorders>
              <w:top w:val="nil"/>
              <w:left w:val="nil"/>
              <w:bottom w:val="single" w:sz="4" w:space="0" w:color="auto"/>
              <w:right w:val="single" w:sz="4" w:space="0" w:color="auto"/>
            </w:tcBorders>
            <w:shd w:val="clear" w:color="auto" w:fill="auto"/>
            <w:vAlign w:val="center"/>
            <w:hideMark/>
          </w:tcPr>
          <w:p w14:paraId="510A3EE2" w14:textId="0F41879F" w:rsidR="004A2BD4" w:rsidRPr="0064483D" w:rsidRDefault="004A2BD4" w:rsidP="004A2BD4">
            <w:pPr>
              <w:pStyle w:val="Tabletext"/>
              <w:rPr>
                <w:lang w:eastAsia="en-AU"/>
              </w:rPr>
            </w:pPr>
            <w:r>
              <w:rPr>
                <w:rFonts w:cs="Calibri"/>
                <w:color w:val="000000"/>
              </w:rPr>
              <w:t>24,726</w:t>
            </w:r>
          </w:p>
        </w:tc>
        <w:tc>
          <w:tcPr>
            <w:tcW w:w="1219" w:type="dxa"/>
            <w:tcBorders>
              <w:top w:val="nil"/>
              <w:left w:val="nil"/>
              <w:bottom w:val="single" w:sz="4" w:space="0" w:color="auto"/>
              <w:right w:val="single" w:sz="4" w:space="0" w:color="auto"/>
            </w:tcBorders>
            <w:shd w:val="clear" w:color="auto" w:fill="auto"/>
            <w:vAlign w:val="center"/>
            <w:hideMark/>
          </w:tcPr>
          <w:p w14:paraId="111B3E65" w14:textId="5FFC8F8A" w:rsidR="004A2BD4" w:rsidRPr="0064483D" w:rsidRDefault="004A2BD4" w:rsidP="004A2BD4">
            <w:pPr>
              <w:pStyle w:val="Tabletext"/>
              <w:rPr>
                <w:lang w:eastAsia="en-AU"/>
              </w:rPr>
            </w:pPr>
            <w:r>
              <w:rPr>
                <w:rFonts w:cs="Calibri"/>
                <w:color w:val="000000"/>
              </w:rPr>
              <w:t>25,398</w:t>
            </w:r>
          </w:p>
        </w:tc>
        <w:tc>
          <w:tcPr>
            <w:tcW w:w="1085" w:type="dxa"/>
            <w:tcBorders>
              <w:top w:val="nil"/>
              <w:left w:val="nil"/>
              <w:bottom w:val="single" w:sz="4" w:space="0" w:color="auto"/>
              <w:right w:val="single" w:sz="4" w:space="0" w:color="auto"/>
            </w:tcBorders>
            <w:shd w:val="clear" w:color="auto" w:fill="auto"/>
            <w:vAlign w:val="center"/>
            <w:hideMark/>
          </w:tcPr>
          <w:p w14:paraId="5D355772" w14:textId="46FE8089" w:rsidR="004A2BD4" w:rsidRPr="0064483D" w:rsidRDefault="004A2BD4" w:rsidP="004A2BD4">
            <w:pPr>
              <w:pStyle w:val="Tabletext"/>
              <w:rPr>
                <w:lang w:eastAsia="en-AU"/>
              </w:rPr>
            </w:pPr>
            <w:r>
              <w:fldChar w:fldCharType="begin"/>
            </w:r>
            <w:r>
              <w:rPr>
                <w:lang w:eastAsia="en-AU"/>
              </w:rPr>
              <w:instrText xml:space="preserve"> REF _Ref22918717 \h </w:instrText>
            </w:r>
            <w:r>
              <w:instrText xml:space="preserve"> \* MERGEFORMAT </w:instrText>
            </w:r>
            <w:r>
              <w:fldChar w:fldCharType="separate"/>
            </w:r>
            <w:r>
              <w:t xml:space="preserve">Table </w:t>
            </w:r>
            <w:r>
              <w:rPr>
                <w:noProof/>
              </w:rPr>
              <w:t>6</w:t>
            </w:r>
            <w:r>
              <w:fldChar w:fldCharType="end"/>
            </w:r>
          </w:p>
        </w:tc>
      </w:tr>
      <w:tr w:rsidR="004A2BD4" w:rsidRPr="0064483D" w14:paraId="6F3E34CA" w14:textId="77777777" w:rsidTr="004A2BD4">
        <w:trPr>
          <w:trHeight w:val="300"/>
        </w:trPr>
        <w:tc>
          <w:tcPr>
            <w:tcW w:w="4339" w:type="dxa"/>
            <w:tcBorders>
              <w:top w:val="nil"/>
              <w:left w:val="single" w:sz="4" w:space="0" w:color="auto"/>
              <w:bottom w:val="single" w:sz="4" w:space="0" w:color="auto"/>
              <w:right w:val="single" w:sz="4" w:space="0" w:color="auto"/>
            </w:tcBorders>
            <w:shd w:val="clear" w:color="auto" w:fill="auto"/>
            <w:noWrap/>
            <w:vAlign w:val="center"/>
            <w:hideMark/>
          </w:tcPr>
          <w:p w14:paraId="53747647" w14:textId="0EB7DB50" w:rsidR="004A2BD4" w:rsidRPr="0064483D" w:rsidRDefault="004A2BD4" w:rsidP="004A2BD4">
            <w:pPr>
              <w:pStyle w:val="Tabletext"/>
              <w:rPr>
                <w:lang w:eastAsia="en-AU"/>
              </w:rPr>
            </w:pPr>
            <w:r>
              <w:rPr>
                <w:rFonts w:cs="Calibri"/>
                <w:color w:val="000000"/>
              </w:rPr>
              <w:t>Total number of patients eligible for LAAC</w:t>
            </w:r>
          </w:p>
        </w:tc>
        <w:tc>
          <w:tcPr>
            <w:tcW w:w="1219" w:type="dxa"/>
            <w:tcBorders>
              <w:top w:val="nil"/>
              <w:left w:val="nil"/>
              <w:bottom w:val="single" w:sz="4" w:space="0" w:color="auto"/>
              <w:right w:val="single" w:sz="4" w:space="0" w:color="auto"/>
            </w:tcBorders>
            <w:shd w:val="clear" w:color="auto" w:fill="auto"/>
            <w:vAlign w:val="center"/>
            <w:hideMark/>
          </w:tcPr>
          <w:p w14:paraId="35EA6BAB" w14:textId="771B847C" w:rsidR="004A2BD4" w:rsidRPr="0064483D" w:rsidRDefault="004A2BD4" w:rsidP="004A2BD4">
            <w:pPr>
              <w:pStyle w:val="Tabletext"/>
              <w:rPr>
                <w:lang w:eastAsia="en-AU"/>
              </w:rPr>
            </w:pPr>
            <w:r>
              <w:rPr>
                <w:rFonts w:cs="Calibri"/>
                <w:color w:val="000000"/>
              </w:rPr>
              <w:t>24,054</w:t>
            </w:r>
          </w:p>
        </w:tc>
        <w:tc>
          <w:tcPr>
            <w:tcW w:w="1219" w:type="dxa"/>
            <w:tcBorders>
              <w:top w:val="nil"/>
              <w:left w:val="nil"/>
              <w:bottom w:val="single" w:sz="4" w:space="0" w:color="auto"/>
              <w:right w:val="single" w:sz="4" w:space="0" w:color="auto"/>
            </w:tcBorders>
            <w:shd w:val="clear" w:color="auto" w:fill="auto"/>
            <w:vAlign w:val="center"/>
            <w:hideMark/>
          </w:tcPr>
          <w:p w14:paraId="7D314BD8" w14:textId="75B683B4" w:rsidR="004A2BD4" w:rsidRPr="0064483D" w:rsidRDefault="004A2BD4" w:rsidP="004A2BD4">
            <w:pPr>
              <w:pStyle w:val="Tabletext"/>
              <w:rPr>
                <w:lang w:eastAsia="en-AU"/>
              </w:rPr>
            </w:pPr>
            <w:r>
              <w:rPr>
                <w:rFonts w:cs="Calibri"/>
                <w:color w:val="000000"/>
              </w:rPr>
              <w:t>24,726</w:t>
            </w:r>
          </w:p>
        </w:tc>
        <w:tc>
          <w:tcPr>
            <w:tcW w:w="1219" w:type="dxa"/>
            <w:tcBorders>
              <w:top w:val="nil"/>
              <w:left w:val="nil"/>
              <w:bottom w:val="single" w:sz="4" w:space="0" w:color="auto"/>
              <w:right w:val="single" w:sz="4" w:space="0" w:color="auto"/>
            </w:tcBorders>
            <w:shd w:val="clear" w:color="auto" w:fill="auto"/>
            <w:vAlign w:val="center"/>
            <w:hideMark/>
          </w:tcPr>
          <w:p w14:paraId="67379DAB" w14:textId="75E77790" w:rsidR="004A2BD4" w:rsidRPr="0064483D" w:rsidRDefault="004A2BD4" w:rsidP="004A2BD4">
            <w:pPr>
              <w:pStyle w:val="Tabletext"/>
              <w:rPr>
                <w:lang w:eastAsia="en-AU"/>
              </w:rPr>
            </w:pPr>
            <w:r>
              <w:rPr>
                <w:rFonts w:cs="Calibri"/>
                <w:color w:val="000000"/>
              </w:rPr>
              <w:t>25,398</w:t>
            </w:r>
          </w:p>
        </w:tc>
        <w:tc>
          <w:tcPr>
            <w:tcW w:w="1085" w:type="dxa"/>
            <w:tcBorders>
              <w:top w:val="nil"/>
              <w:left w:val="nil"/>
              <w:bottom w:val="single" w:sz="4" w:space="0" w:color="auto"/>
              <w:right w:val="single" w:sz="4" w:space="0" w:color="auto"/>
            </w:tcBorders>
            <w:shd w:val="clear" w:color="auto" w:fill="auto"/>
            <w:vAlign w:val="center"/>
            <w:hideMark/>
          </w:tcPr>
          <w:p w14:paraId="5BA8A13B" w14:textId="77777777" w:rsidR="004A2BD4" w:rsidRPr="0064483D" w:rsidRDefault="004A2BD4" w:rsidP="004A2BD4">
            <w:pPr>
              <w:pStyle w:val="Tabletext"/>
              <w:rPr>
                <w:lang w:eastAsia="en-AU"/>
              </w:rPr>
            </w:pPr>
            <w:r>
              <w:t> </w:t>
            </w:r>
          </w:p>
        </w:tc>
      </w:tr>
      <w:tr w:rsidR="004A2BD4" w:rsidRPr="0064483D" w14:paraId="3B8A91E4" w14:textId="77777777" w:rsidTr="004A2BD4">
        <w:trPr>
          <w:trHeight w:val="300"/>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C19DA" w14:textId="415216A6" w:rsidR="004A2BD4" w:rsidRDefault="004A2BD4" w:rsidP="004A2BD4">
            <w:pPr>
              <w:pStyle w:val="Tabletext"/>
            </w:pPr>
            <w:r>
              <w:rPr>
                <w:rFonts w:cs="Calibri"/>
                <w:color w:val="000000"/>
              </w:rPr>
              <w:t xml:space="preserve">Cumulative uptake rates </w:t>
            </w:r>
          </w:p>
        </w:tc>
        <w:tc>
          <w:tcPr>
            <w:tcW w:w="1219" w:type="dxa"/>
            <w:tcBorders>
              <w:top w:val="single" w:sz="4" w:space="0" w:color="auto"/>
              <w:left w:val="nil"/>
              <w:bottom w:val="single" w:sz="4" w:space="0" w:color="auto"/>
              <w:right w:val="single" w:sz="4" w:space="0" w:color="auto"/>
            </w:tcBorders>
            <w:shd w:val="clear" w:color="auto" w:fill="auto"/>
            <w:vAlign w:val="center"/>
          </w:tcPr>
          <w:p w14:paraId="73F88C65" w14:textId="77511559" w:rsidR="004A2BD4" w:rsidRDefault="00923CCF" w:rsidP="004A2BD4">
            <w:pPr>
              <w:pStyle w:val="Tabletext"/>
            </w:pPr>
            <w:r>
              <w:t>REDACTED</w:t>
            </w:r>
          </w:p>
        </w:tc>
        <w:tc>
          <w:tcPr>
            <w:tcW w:w="1219" w:type="dxa"/>
            <w:tcBorders>
              <w:top w:val="single" w:sz="4" w:space="0" w:color="auto"/>
              <w:left w:val="nil"/>
              <w:bottom w:val="single" w:sz="4" w:space="0" w:color="auto"/>
              <w:right w:val="single" w:sz="4" w:space="0" w:color="auto"/>
            </w:tcBorders>
            <w:shd w:val="clear" w:color="auto" w:fill="auto"/>
            <w:vAlign w:val="center"/>
          </w:tcPr>
          <w:p w14:paraId="212EF47B" w14:textId="4DBE0371" w:rsidR="004A2BD4" w:rsidRPr="00923CCF" w:rsidRDefault="00923CCF" w:rsidP="004A2BD4">
            <w:pPr>
              <w:pStyle w:val="Tabletext"/>
              <w:rPr>
                <w:b/>
                <w:bCs w:val="0"/>
              </w:rPr>
            </w:pPr>
            <w:r>
              <w:t>REDACTED</w:t>
            </w:r>
          </w:p>
        </w:tc>
        <w:tc>
          <w:tcPr>
            <w:tcW w:w="1219" w:type="dxa"/>
            <w:tcBorders>
              <w:top w:val="single" w:sz="4" w:space="0" w:color="auto"/>
              <w:left w:val="nil"/>
              <w:bottom w:val="single" w:sz="4" w:space="0" w:color="auto"/>
              <w:right w:val="single" w:sz="4" w:space="0" w:color="auto"/>
            </w:tcBorders>
            <w:shd w:val="clear" w:color="auto" w:fill="auto"/>
            <w:vAlign w:val="center"/>
          </w:tcPr>
          <w:p w14:paraId="2165DAD7" w14:textId="721D6838" w:rsidR="004A2BD4" w:rsidRDefault="00923CCF" w:rsidP="004A2BD4">
            <w:pPr>
              <w:pStyle w:val="Tabletext"/>
            </w:pPr>
            <w:r>
              <w:t>REDACTED</w:t>
            </w:r>
          </w:p>
        </w:tc>
        <w:tc>
          <w:tcPr>
            <w:tcW w:w="1085" w:type="dxa"/>
            <w:tcBorders>
              <w:top w:val="single" w:sz="4" w:space="0" w:color="auto"/>
              <w:left w:val="nil"/>
              <w:bottom w:val="single" w:sz="4" w:space="0" w:color="auto"/>
              <w:right w:val="single" w:sz="4" w:space="0" w:color="auto"/>
            </w:tcBorders>
            <w:shd w:val="clear" w:color="auto" w:fill="auto"/>
            <w:vAlign w:val="center"/>
          </w:tcPr>
          <w:p w14:paraId="5B8940DF" w14:textId="77777777" w:rsidR="004A2BD4" w:rsidRDefault="004A2BD4" w:rsidP="004A2BD4">
            <w:pPr>
              <w:pStyle w:val="Tabletext"/>
            </w:pPr>
            <w:r>
              <w:t>Assumption</w:t>
            </w:r>
          </w:p>
        </w:tc>
      </w:tr>
      <w:tr w:rsidR="004A2BD4" w:rsidRPr="0064483D" w14:paraId="6DA7BC68" w14:textId="77777777" w:rsidTr="004A2BD4">
        <w:trPr>
          <w:trHeight w:val="300"/>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B9A5D" w14:textId="66248235" w:rsidR="004A2BD4" w:rsidRDefault="004A2BD4" w:rsidP="004A2BD4">
            <w:pPr>
              <w:pStyle w:val="Tabletext"/>
            </w:pPr>
            <w:r>
              <w:rPr>
                <w:rFonts w:cs="Calibri"/>
                <w:color w:val="000000"/>
              </w:rPr>
              <w:t xml:space="preserve">Total number of patients treated with LAAC </w:t>
            </w:r>
          </w:p>
        </w:tc>
        <w:tc>
          <w:tcPr>
            <w:tcW w:w="1219" w:type="dxa"/>
            <w:tcBorders>
              <w:top w:val="single" w:sz="4" w:space="0" w:color="auto"/>
              <w:left w:val="nil"/>
              <w:bottom w:val="single" w:sz="4" w:space="0" w:color="auto"/>
              <w:right w:val="single" w:sz="4" w:space="0" w:color="auto"/>
            </w:tcBorders>
            <w:shd w:val="clear" w:color="auto" w:fill="auto"/>
            <w:vAlign w:val="center"/>
          </w:tcPr>
          <w:p w14:paraId="2E2DC704" w14:textId="039E1FA1" w:rsidR="004A2BD4" w:rsidRDefault="00923CCF" w:rsidP="004A2BD4">
            <w:pPr>
              <w:pStyle w:val="Tabletext"/>
            </w:pPr>
            <w:r>
              <w:t>REDACTED</w:t>
            </w:r>
          </w:p>
        </w:tc>
        <w:tc>
          <w:tcPr>
            <w:tcW w:w="1219" w:type="dxa"/>
            <w:tcBorders>
              <w:top w:val="single" w:sz="4" w:space="0" w:color="auto"/>
              <w:left w:val="nil"/>
              <w:bottom w:val="single" w:sz="4" w:space="0" w:color="auto"/>
              <w:right w:val="single" w:sz="4" w:space="0" w:color="auto"/>
            </w:tcBorders>
            <w:shd w:val="clear" w:color="auto" w:fill="auto"/>
            <w:vAlign w:val="center"/>
          </w:tcPr>
          <w:p w14:paraId="2D38A724" w14:textId="259D0001" w:rsidR="004A2BD4" w:rsidRDefault="00923CCF" w:rsidP="004A2BD4">
            <w:pPr>
              <w:pStyle w:val="Tabletext"/>
            </w:pPr>
            <w:r>
              <w:t>REDACTED</w:t>
            </w:r>
          </w:p>
        </w:tc>
        <w:tc>
          <w:tcPr>
            <w:tcW w:w="1219" w:type="dxa"/>
            <w:tcBorders>
              <w:top w:val="single" w:sz="4" w:space="0" w:color="auto"/>
              <w:left w:val="nil"/>
              <w:bottom w:val="single" w:sz="4" w:space="0" w:color="auto"/>
              <w:right w:val="single" w:sz="4" w:space="0" w:color="auto"/>
            </w:tcBorders>
            <w:shd w:val="clear" w:color="auto" w:fill="auto"/>
            <w:vAlign w:val="center"/>
          </w:tcPr>
          <w:p w14:paraId="7170DCE0" w14:textId="4D5AA4D7" w:rsidR="004A2BD4" w:rsidRDefault="00923CCF" w:rsidP="004A2BD4">
            <w:pPr>
              <w:pStyle w:val="Tabletext"/>
            </w:pPr>
            <w:r>
              <w:t>REDACTED</w:t>
            </w:r>
          </w:p>
        </w:tc>
        <w:tc>
          <w:tcPr>
            <w:tcW w:w="1085" w:type="dxa"/>
            <w:tcBorders>
              <w:top w:val="single" w:sz="4" w:space="0" w:color="auto"/>
              <w:left w:val="nil"/>
              <w:bottom w:val="single" w:sz="4" w:space="0" w:color="auto"/>
              <w:right w:val="single" w:sz="4" w:space="0" w:color="auto"/>
            </w:tcBorders>
            <w:shd w:val="clear" w:color="auto" w:fill="auto"/>
            <w:vAlign w:val="center"/>
          </w:tcPr>
          <w:p w14:paraId="11D6848C" w14:textId="77777777" w:rsidR="004A2BD4" w:rsidRDefault="004A2BD4" w:rsidP="004A2BD4">
            <w:pPr>
              <w:pStyle w:val="Tabletext"/>
            </w:pPr>
            <w:r>
              <w:t> </w:t>
            </w:r>
          </w:p>
        </w:tc>
      </w:tr>
    </w:tbl>
    <w:p w14:paraId="110B3083" w14:textId="74496A23" w:rsidR="00AD44DE" w:rsidRPr="00154B00" w:rsidRDefault="00AD44DE" w:rsidP="00713D42">
      <w:pPr>
        <w:pStyle w:val="TableNote"/>
        <w:ind w:firstLine="426"/>
        <w:rPr>
          <w:szCs w:val="20"/>
        </w:rPr>
      </w:pPr>
    </w:p>
    <w:p w14:paraId="56F3E1E8" w14:textId="77777777" w:rsidR="001C1313" w:rsidRPr="00F733B1" w:rsidRDefault="001C1313" w:rsidP="001C1313">
      <w:pPr>
        <w:ind w:left="426"/>
      </w:pPr>
    </w:p>
    <w:p w14:paraId="696D75FE" w14:textId="66D07CFA" w:rsidR="001B171D" w:rsidRPr="00154B00" w:rsidRDefault="001B171D" w:rsidP="00AE1188">
      <w:pPr>
        <w:ind w:left="426"/>
        <w:rPr>
          <w:szCs w:val="20"/>
        </w:rPr>
      </w:pPr>
    </w:p>
    <w:p w14:paraId="275476BA" w14:textId="77777777" w:rsidR="003433D1" w:rsidRDefault="003433D1">
      <w:pPr>
        <w:rPr>
          <w:b/>
          <w:sz w:val="32"/>
          <w:szCs w:val="32"/>
        </w:rPr>
      </w:pPr>
      <w:r>
        <w:rPr>
          <w:b/>
          <w:sz w:val="32"/>
          <w:szCs w:val="32"/>
        </w:rPr>
        <w:br w:type="page"/>
      </w:r>
    </w:p>
    <w:p w14:paraId="6E5B9529"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4A762CB2" w14:textId="493F8086" w:rsidR="006A649A"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24327FFB" w14:textId="39160B75" w:rsidR="001C1313" w:rsidRDefault="006B036C" w:rsidP="001C1313">
      <w:r>
        <w:t xml:space="preserve">The total cost of providing the LAAC procedure is estimated at </w:t>
      </w:r>
      <w:r w:rsidR="004E2E17">
        <w:t>$</w:t>
      </w:r>
      <w:r w:rsidR="004E2E17" w:rsidRPr="004E2E17">
        <w:t>19,973.80</w:t>
      </w:r>
      <w:r w:rsidR="004E2E17">
        <w:t xml:space="preserve"> as detailed in </w:t>
      </w:r>
      <w:r w:rsidR="004E2E17">
        <w:fldChar w:fldCharType="begin"/>
      </w:r>
      <w:r w:rsidR="004E2E17">
        <w:instrText xml:space="preserve"> REF _Ref24460708 \h </w:instrText>
      </w:r>
      <w:r w:rsidR="004E2E17">
        <w:fldChar w:fldCharType="separate"/>
      </w:r>
      <w:r w:rsidR="004E2E17">
        <w:t xml:space="preserve">Table </w:t>
      </w:r>
      <w:r w:rsidR="004E2E17">
        <w:rPr>
          <w:noProof/>
        </w:rPr>
        <w:t>9</w:t>
      </w:r>
      <w:r w:rsidR="004E2E17">
        <w:fldChar w:fldCharType="end"/>
      </w:r>
      <w:r w:rsidR="004E2E17">
        <w:t>.</w:t>
      </w:r>
    </w:p>
    <w:p w14:paraId="091113AD" w14:textId="7662C95C" w:rsidR="001C1313" w:rsidRDefault="001C1313" w:rsidP="001C1313">
      <w:pPr>
        <w:pStyle w:val="Caption"/>
        <w:keepNext/>
      </w:pPr>
      <w:bookmarkStart w:id="35" w:name="_Ref24460708"/>
      <w:r>
        <w:t xml:space="preserve">Table </w:t>
      </w:r>
      <w:fldSimple w:instr=" SEQ Table \* ARABIC ">
        <w:r w:rsidR="004E2E17">
          <w:rPr>
            <w:noProof/>
          </w:rPr>
          <w:t>9</w:t>
        </w:r>
      </w:fldSimple>
      <w:bookmarkEnd w:id="35"/>
      <w:r>
        <w:tab/>
      </w:r>
      <w:r w:rsidRPr="000D0F9A">
        <w:t xml:space="preserve">Total cost of providing </w:t>
      </w:r>
      <w:r>
        <w:t>LAAC</w:t>
      </w:r>
      <w:r w:rsidRPr="000D0F9A">
        <w:t xml:space="preserve"> procedure</w:t>
      </w:r>
    </w:p>
    <w:tbl>
      <w:tblPr>
        <w:tblW w:w="9459" w:type="dxa"/>
        <w:tblLook w:val="04A0" w:firstRow="1" w:lastRow="0" w:firstColumn="1" w:lastColumn="0" w:noHBand="0" w:noVBand="1"/>
      </w:tblPr>
      <w:tblGrid>
        <w:gridCol w:w="3172"/>
        <w:gridCol w:w="923"/>
        <w:gridCol w:w="1108"/>
        <w:gridCol w:w="604"/>
        <w:gridCol w:w="454"/>
        <w:gridCol w:w="876"/>
        <w:gridCol w:w="2322"/>
      </w:tblGrid>
      <w:tr w:rsidR="001C1313" w:rsidRPr="00F23B61" w14:paraId="39F5A662" w14:textId="77777777" w:rsidTr="004E2E17">
        <w:trPr>
          <w:trHeight w:val="727"/>
          <w:tblHeader/>
        </w:trPr>
        <w:tc>
          <w:tcPr>
            <w:tcW w:w="3172" w:type="dxa"/>
            <w:tcBorders>
              <w:top w:val="single" w:sz="4" w:space="0" w:color="auto"/>
              <w:left w:val="single" w:sz="4" w:space="0" w:color="auto"/>
              <w:bottom w:val="nil"/>
              <w:right w:val="single" w:sz="4" w:space="0" w:color="auto"/>
            </w:tcBorders>
            <w:shd w:val="clear" w:color="auto" w:fill="auto"/>
            <w:vAlign w:val="center"/>
            <w:hideMark/>
          </w:tcPr>
          <w:p w14:paraId="6F2C9721" w14:textId="77777777" w:rsidR="001C1313" w:rsidRPr="00F23B61" w:rsidRDefault="001C1313" w:rsidP="00AF407E">
            <w:pPr>
              <w:pStyle w:val="Tabletext"/>
              <w:rPr>
                <w:b/>
                <w:bCs w:val="0"/>
                <w:lang w:eastAsia="en-AU"/>
              </w:rPr>
            </w:pPr>
            <w:r w:rsidRPr="00F23B61">
              <w:rPr>
                <w:b/>
                <w:bCs w:val="0"/>
                <w:lang w:eastAsia="en-AU"/>
              </w:rPr>
              <w:t>Resource</w:t>
            </w:r>
          </w:p>
        </w:tc>
        <w:tc>
          <w:tcPr>
            <w:tcW w:w="2031" w:type="dxa"/>
            <w:gridSpan w:val="2"/>
            <w:tcBorders>
              <w:top w:val="single" w:sz="4" w:space="0" w:color="auto"/>
              <w:left w:val="nil"/>
              <w:bottom w:val="nil"/>
              <w:right w:val="single" w:sz="4" w:space="0" w:color="auto"/>
            </w:tcBorders>
            <w:shd w:val="clear" w:color="auto" w:fill="auto"/>
            <w:vAlign w:val="center"/>
            <w:hideMark/>
          </w:tcPr>
          <w:p w14:paraId="1CAED18A" w14:textId="77777777" w:rsidR="001C1313" w:rsidRPr="00F23B61" w:rsidRDefault="001C1313" w:rsidP="00AF407E">
            <w:pPr>
              <w:pStyle w:val="Tabletext"/>
              <w:rPr>
                <w:b/>
                <w:bCs w:val="0"/>
                <w:lang w:eastAsia="en-AU"/>
              </w:rPr>
            </w:pPr>
            <w:r w:rsidRPr="00F23B61">
              <w:rPr>
                <w:b/>
                <w:bCs w:val="0"/>
                <w:lang w:eastAsia="en-AU"/>
              </w:rPr>
              <w:t>Provider of resource</w:t>
            </w:r>
          </w:p>
        </w:tc>
        <w:tc>
          <w:tcPr>
            <w:tcW w:w="1058" w:type="dxa"/>
            <w:gridSpan w:val="2"/>
            <w:tcBorders>
              <w:top w:val="single" w:sz="4" w:space="0" w:color="auto"/>
              <w:left w:val="nil"/>
              <w:bottom w:val="nil"/>
              <w:right w:val="single" w:sz="4" w:space="0" w:color="auto"/>
            </w:tcBorders>
            <w:shd w:val="clear" w:color="auto" w:fill="auto"/>
            <w:vAlign w:val="center"/>
            <w:hideMark/>
          </w:tcPr>
          <w:p w14:paraId="79A95B0B" w14:textId="331D551B" w:rsidR="001C1313" w:rsidRPr="00F23B61" w:rsidRDefault="001C1313" w:rsidP="00AF407E">
            <w:pPr>
              <w:pStyle w:val="Tabletext"/>
              <w:rPr>
                <w:b/>
                <w:bCs w:val="0"/>
                <w:lang w:eastAsia="en-AU"/>
              </w:rPr>
            </w:pPr>
            <w:r w:rsidRPr="00F23B61">
              <w:rPr>
                <w:b/>
                <w:bCs w:val="0"/>
                <w:lang w:eastAsia="en-AU"/>
              </w:rPr>
              <w:t>Price per unit of resource</w:t>
            </w:r>
          </w:p>
        </w:tc>
        <w:tc>
          <w:tcPr>
            <w:tcW w:w="876" w:type="dxa"/>
            <w:tcBorders>
              <w:top w:val="single" w:sz="4" w:space="0" w:color="auto"/>
              <w:left w:val="nil"/>
              <w:bottom w:val="nil"/>
              <w:right w:val="single" w:sz="4" w:space="0" w:color="auto"/>
            </w:tcBorders>
            <w:shd w:val="clear" w:color="auto" w:fill="auto"/>
            <w:vAlign w:val="center"/>
            <w:hideMark/>
          </w:tcPr>
          <w:p w14:paraId="7116B2DF" w14:textId="77777777" w:rsidR="001C1313" w:rsidRPr="00F23B61" w:rsidRDefault="001C1313" w:rsidP="00AF407E">
            <w:pPr>
              <w:pStyle w:val="Tabletext"/>
              <w:rPr>
                <w:b/>
                <w:bCs w:val="0"/>
                <w:lang w:eastAsia="en-AU"/>
              </w:rPr>
            </w:pPr>
            <w:r w:rsidRPr="00F23B61">
              <w:rPr>
                <w:b/>
                <w:bCs w:val="0"/>
                <w:lang w:eastAsia="en-AU"/>
              </w:rPr>
              <w:t>Quantity</w:t>
            </w:r>
          </w:p>
        </w:tc>
        <w:tc>
          <w:tcPr>
            <w:tcW w:w="2322" w:type="dxa"/>
            <w:tcBorders>
              <w:top w:val="single" w:sz="4" w:space="0" w:color="auto"/>
              <w:left w:val="nil"/>
              <w:bottom w:val="nil"/>
              <w:right w:val="single" w:sz="4" w:space="0" w:color="auto"/>
            </w:tcBorders>
            <w:shd w:val="clear" w:color="auto" w:fill="auto"/>
            <w:vAlign w:val="center"/>
            <w:hideMark/>
          </w:tcPr>
          <w:p w14:paraId="0ED91B36" w14:textId="77777777" w:rsidR="001C1313" w:rsidRPr="00F23B61" w:rsidRDefault="001C1313" w:rsidP="00AF407E">
            <w:pPr>
              <w:pStyle w:val="Tabletext"/>
              <w:rPr>
                <w:b/>
                <w:bCs w:val="0"/>
                <w:lang w:eastAsia="en-AU"/>
              </w:rPr>
            </w:pPr>
            <w:r w:rsidRPr="00F23B61">
              <w:rPr>
                <w:b/>
                <w:bCs w:val="0"/>
                <w:lang w:eastAsia="en-AU"/>
              </w:rPr>
              <w:t xml:space="preserve">Source </w:t>
            </w:r>
          </w:p>
        </w:tc>
      </w:tr>
      <w:tr w:rsidR="001C1313" w:rsidRPr="002E01E6" w14:paraId="69C5ADEB" w14:textId="77777777" w:rsidTr="004E2E17">
        <w:trPr>
          <w:trHeight w:val="285"/>
        </w:trPr>
        <w:tc>
          <w:tcPr>
            <w:tcW w:w="4095"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1FFCC72F" w14:textId="77777777" w:rsidR="001C1313" w:rsidRPr="002E01E6" w:rsidRDefault="001C1313" w:rsidP="00AF407E">
            <w:pPr>
              <w:pStyle w:val="Tabletext"/>
              <w:rPr>
                <w:b/>
                <w:bCs w:val="0"/>
                <w:lang w:eastAsia="en-AU"/>
              </w:rPr>
            </w:pPr>
            <w:r w:rsidRPr="002E01E6">
              <w:rPr>
                <w:b/>
                <w:bCs w:val="0"/>
                <w:lang w:eastAsia="en-AU"/>
              </w:rPr>
              <w:t>Medical Services – screening prior to intervention</w:t>
            </w:r>
          </w:p>
        </w:tc>
        <w:tc>
          <w:tcPr>
            <w:tcW w:w="1108" w:type="dxa"/>
            <w:tcBorders>
              <w:top w:val="single" w:sz="4" w:space="0" w:color="auto"/>
              <w:left w:val="nil"/>
              <w:bottom w:val="single" w:sz="4" w:space="0" w:color="auto"/>
              <w:right w:val="nil"/>
            </w:tcBorders>
            <w:shd w:val="clear" w:color="auto" w:fill="F2F2F2" w:themeFill="background1" w:themeFillShade="F2"/>
            <w:vAlign w:val="center"/>
            <w:hideMark/>
          </w:tcPr>
          <w:p w14:paraId="3F7217C9" w14:textId="77777777" w:rsidR="001C1313" w:rsidRPr="002E01E6" w:rsidRDefault="001C1313" w:rsidP="00AF407E">
            <w:pPr>
              <w:pStyle w:val="Tabletext"/>
              <w:rPr>
                <w:b/>
                <w:bCs w:val="0"/>
                <w:lang w:eastAsia="en-AU"/>
              </w:rPr>
            </w:pPr>
            <w:r w:rsidRPr="002E01E6">
              <w:rPr>
                <w:b/>
                <w:bCs w:val="0"/>
                <w:lang w:eastAsia="en-AU"/>
              </w:rPr>
              <w:t> </w:t>
            </w:r>
          </w:p>
        </w:tc>
        <w:tc>
          <w:tcPr>
            <w:tcW w:w="1058"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17075F53" w14:textId="77777777" w:rsidR="001C1313" w:rsidRPr="002E01E6" w:rsidRDefault="001C1313" w:rsidP="00AF407E">
            <w:pPr>
              <w:pStyle w:val="Tabletext"/>
              <w:rPr>
                <w:b/>
                <w:bCs w:val="0"/>
                <w:lang w:eastAsia="en-AU"/>
              </w:rPr>
            </w:pPr>
            <w:r w:rsidRPr="002E01E6">
              <w:rPr>
                <w:b/>
                <w:bCs w:val="0"/>
                <w:lang w:eastAsia="en-AU"/>
              </w:rPr>
              <w:t> </w:t>
            </w:r>
          </w:p>
        </w:tc>
        <w:tc>
          <w:tcPr>
            <w:tcW w:w="876" w:type="dxa"/>
            <w:tcBorders>
              <w:top w:val="single" w:sz="4" w:space="0" w:color="auto"/>
              <w:left w:val="nil"/>
              <w:bottom w:val="single" w:sz="4" w:space="0" w:color="auto"/>
              <w:right w:val="nil"/>
            </w:tcBorders>
            <w:shd w:val="clear" w:color="auto" w:fill="F2F2F2" w:themeFill="background1" w:themeFillShade="F2"/>
            <w:vAlign w:val="center"/>
            <w:hideMark/>
          </w:tcPr>
          <w:p w14:paraId="10E0BCCF" w14:textId="77777777" w:rsidR="001C1313" w:rsidRPr="002E01E6" w:rsidRDefault="001C1313" w:rsidP="00AF407E">
            <w:pPr>
              <w:pStyle w:val="Tabletext"/>
              <w:rPr>
                <w:b/>
                <w:bCs w:val="0"/>
                <w:lang w:eastAsia="en-AU"/>
              </w:rPr>
            </w:pPr>
            <w:r w:rsidRPr="002E01E6">
              <w:rPr>
                <w:b/>
                <w:bCs w:val="0"/>
                <w:lang w:eastAsia="en-AU"/>
              </w:rPr>
              <w:t> </w:t>
            </w:r>
          </w:p>
        </w:tc>
        <w:tc>
          <w:tcPr>
            <w:tcW w:w="23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B819E2" w14:textId="77777777" w:rsidR="001C1313" w:rsidRPr="002E01E6" w:rsidRDefault="001C1313" w:rsidP="00AF407E">
            <w:pPr>
              <w:pStyle w:val="Tabletext"/>
              <w:rPr>
                <w:b/>
                <w:bCs w:val="0"/>
                <w:lang w:eastAsia="en-AU"/>
              </w:rPr>
            </w:pPr>
            <w:r w:rsidRPr="002E01E6">
              <w:rPr>
                <w:b/>
                <w:bCs w:val="0"/>
                <w:lang w:eastAsia="en-AU"/>
              </w:rPr>
              <w:t> </w:t>
            </w:r>
          </w:p>
        </w:tc>
      </w:tr>
      <w:tr w:rsidR="001C1313" w:rsidRPr="00F23B61" w14:paraId="41C400AA"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tcPr>
          <w:p w14:paraId="2AE847AE" w14:textId="77777777" w:rsidR="001C1313" w:rsidRPr="00F23B61" w:rsidRDefault="001C1313" w:rsidP="00AF407E">
            <w:pPr>
              <w:pStyle w:val="Tabletext"/>
              <w:rPr>
                <w:lang w:eastAsia="en-AU"/>
              </w:rPr>
            </w:pPr>
            <w:r w:rsidRPr="00F23B61">
              <w:rPr>
                <w:lang w:eastAsia="en-AU"/>
              </w:rPr>
              <w:t>Non-intra-operative transesophageal echocardiography</w:t>
            </w:r>
          </w:p>
        </w:tc>
        <w:tc>
          <w:tcPr>
            <w:tcW w:w="2031" w:type="dxa"/>
            <w:gridSpan w:val="2"/>
            <w:tcBorders>
              <w:top w:val="nil"/>
              <w:left w:val="nil"/>
              <w:bottom w:val="single" w:sz="4" w:space="0" w:color="auto"/>
              <w:right w:val="single" w:sz="4" w:space="0" w:color="auto"/>
            </w:tcBorders>
            <w:shd w:val="clear" w:color="auto" w:fill="auto"/>
            <w:vAlign w:val="center"/>
          </w:tcPr>
          <w:p w14:paraId="2C12AEFC" w14:textId="77777777" w:rsidR="001C1313" w:rsidRPr="00F23B61" w:rsidRDefault="001C1313" w:rsidP="00AF407E">
            <w:pPr>
              <w:pStyle w:val="Tabletext"/>
              <w:rPr>
                <w:lang w:eastAsia="en-AU"/>
              </w:rPr>
            </w:pPr>
            <w:r w:rsidRPr="00F23B61">
              <w:rPr>
                <w:lang w:eastAsia="en-AU"/>
              </w:rPr>
              <w:t>Cardiologist</w:t>
            </w:r>
          </w:p>
        </w:tc>
        <w:tc>
          <w:tcPr>
            <w:tcW w:w="1058" w:type="dxa"/>
            <w:gridSpan w:val="2"/>
            <w:tcBorders>
              <w:top w:val="nil"/>
              <w:left w:val="nil"/>
              <w:bottom w:val="single" w:sz="4" w:space="0" w:color="auto"/>
              <w:right w:val="single" w:sz="4" w:space="0" w:color="auto"/>
            </w:tcBorders>
            <w:shd w:val="clear" w:color="auto" w:fill="auto"/>
            <w:vAlign w:val="center"/>
          </w:tcPr>
          <w:p w14:paraId="63CFCC0B" w14:textId="77777777" w:rsidR="001C1313" w:rsidRPr="00F23B61" w:rsidRDefault="001C1313" w:rsidP="00AF407E">
            <w:pPr>
              <w:pStyle w:val="Tabletext"/>
              <w:rPr>
                <w:lang w:eastAsia="en-AU"/>
              </w:rPr>
            </w:pPr>
            <w:r w:rsidRPr="00F23B61">
              <w:rPr>
                <w:lang w:eastAsia="en-AU"/>
              </w:rPr>
              <w:t>$275.50</w:t>
            </w:r>
          </w:p>
        </w:tc>
        <w:tc>
          <w:tcPr>
            <w:tcW w:w="876" w:type="dxa"/>
            <w:tcBorders>
              <w:top w:val="nil"/>
              <w:left w:val="nil"/>
              <w:bottom w:val="single" w:sz="4" w:space="0" w:color="auto"/>
              <w:right w:val="single" w:sz="4" w:space="0" w:color="auto"/>
            </w:tcBorders>
            <w:shd w:val="clear" w:color="auto" w:fill="auto"/>
            <w:vAlign w:val="center"/>
          </w:tcPr>
          <w:p w14:paraId="35D39B50"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tcPr>
          <w:p w14:paraId="11FA1353" w14:textId="77777777" w:rsidR="001C1313" w:rsidRPr="00F23B61" w:rsidRDefault="001C1313" w:rsidP="00AF407E">
            <w:pPr>
              <w:pStyle w:val="Tabletext"/>
              <w:rPr>
                <w:lang w:eastAsia="en-AU"/>
              </w:rPr>
            </w:pPr>
            <w:r w:rsidRPr="00F23B61">
              <w:rPr>
                <w:lang w:eastAsia="en-AU"/>
              </w:rPr>
              <w:t>MBS Item 55118</w:t>
            </w:r>
          </w:p>
        </w:tc>
      </w:tr>
      <w:tr w:rsidR="001C1313" w:rsidRPr="00F23B61" w14:paraId="2EBE7778" w14:textId="77777777" w:rsidTr="004E2E17">
        <w:trPr>
          <w:trHeight w:val="285"/>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175A455D" w14:textId="77777777" w:rsidR="001C1313" w:rsidRPr="00F23B61" w:rsidRDefault="001C1313" w:rsidP="00AF407E">
            <w:pPr>
              <w:pStyle w:val="Tabletext"/>
              <w:rPr>
                <w:lang w:eastAsia="en-AU"/>
              </w:rPr>
            </w:pPr>
            <w:r w:rsidRPr="00F23B61">
              <w:rPr>
                <w:lang w:eastAsia="en-AU"/>
              </w:rPr>
              <w:t>Cardiology consultation</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7D23BED3" w14:textId="77777777" w:rsidR="001C1313" w:rsidRPr="00F23B61" w:rsidRDefault="001C1313" w:rsidP="00AF407E">
            <w:pPr>
              <w:pStyle w:val="Tabletext"/>
              <w:rPr>
                <w:lang w:eastAsia="en-AU"/>
              </w:rPr>
            </w:pPr>
            <w:r w:rsidRPr="00F23B61">
              <w:rPr>
                <w:lang w:eastAsia="en-AU"/>
              </w:rPr>
              <w:t>Cardiologist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5F5C8DC6" w14:textId="77777777" w:rsidR="001C1313" w:rsidRPr="00F23B61" w:rsidRDefault="001C1313" w:rsidP="00AF407E">
            <w:pPr>
              <w:pStyle w:val="Tabletext"/>
              <w:rPr>
                <w:lang w:eastAsia="en-AU"/>
              </w:rPr>
            </w:pPr>
            <w:r w:rsidRPr="00F23B61">
              <w:rPr>
                <w:lang w:eastAsia="en-AU"/>
              </w:rPr>
              <w:t>$77.90</w:t>
            </w:r>
          </w:p>
        </w:tc>
        <w:tc>
          <w:tcPr>
            <w:tcW w:w="876" w:type="dxa"/>
            <w:tcBorders>
              <w:top w:val="nil"/>
              <w:left w:val="nil"/>
              <w:bottom w:val="single" w:sz="4" w:space="0" w:color="auto"/>
              <w:right w:val="single" w:sz="4" w:space="0" w:color="auto"/>
            </w:tcBorders>
            <w:shd w:val="clear" w:color="auto" w:fill="auto"/>
            <w:noWrap/>
            <w:vAlign w:val="center"/>
            <w:hideMark/>
          </w:tcPr>
          <w:p w14:paraId="7CB7DF22"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34F8255F" w14:textId="77777777" w:rsidR="001C1313" w:rsidRPr="00F23B61" w:rsidRDefault="001C1313" w:rsidP="00AF407E">
            <w:pPr>
              <w:pStyle w:val="Tabletext"/>
              <w:rPr>
                <w:lang w:eastAsia="en-AU"/>
              </w:rPr>
            </w:pPr>
            <w:r w:rsidRPr="00F23B61">
              <w:rPr>
                <w:lang w:eastAsia="en-AU"/>
              </w:rPr>
              <w:t>MBS Item 116</w:t>
            </w:r>
          </w:p>
        </w:tc>
      </w:tr>
      <w:tr w:rsidR="001C1313" w:rsidRPr="00F23B61" w14:paraId="26FA3F71" w14:textId="77777777" w:rsidTr="004E2E17">
        <w:trPr>
          <w:trHeight w:val="299"/>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5BF9F4C8" w14:textId="77777777" w:rsidR="001C1313" w:rsidRPr="00F23B61" w:rsidRDefault="001C1313" w:rsidP="00AF407E">
            <w:pPr>
              <w:pStyle w:val="Tabletext"/>
              <w:rPr>
                <w:lang w:eastAsia="en-AU"/>
              </w:rPr>
            </w:pPr>
            <w:r w:rsidRPr="00F23B61">
              <w:rPr>
                <w:lang w:eastAsia="en-AU"/>
              </w:rPr>
              <w:t>Anaesthesiology for transoesophageal echocardiography</w:t>
            </w:r>
          </w:p>
        </w:tc>
        <w:tc>
          <w:tcPr>
            <w:tcW w:w="2031" w:type="dxa"/>
            <w:gridSpan w:val="2"/>
            <w:tcBorders>
              <w:top w:val="nil"/>
              <w:left w:val="nil"/>
              <w:bottom w:val="single" w:sz="4" w:space="0" w:color="auto"/>
              <w:right w:val="single" w:sz="4" w:space="0" w:color="auto"/>
            </w:tcBorders>
            <w:shd w:val="clear" w:color="auto" w:fill="auto"/>
            <w:vAlign w:val="center"/>
            <w:hideMark/>
          </w:tcPr>
          <w:p w14:paraId="1F3093B8"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vAlign w:val="center"/>
            <w:hideMark/>
          </w:tcPr>
          <w:p w14:paraId="259FC560" w14:textId="77777777" w:rsidR="001C1313" w:rsidRPr="00F23B61" w:rsidRDefault="001C1313" w:rsidP="00AF407E">
            <w:pPr>
              <w:pStyle w:val="Tabletext"/>
              <w:rPr>
                <w:lang w:eastAsia="en-AU"/>
              </w:rPr>
            </w:pPr>
            <w:r w:rsidRPr="00F23B61">
              <w:rPr>
                <w:lang w:eastAsia="en-AU"/>
              </w:rPr>
              <w:t>$120.60</w:t>
            </w:r>
          </w:p>
        </w:tc>
        <w:tc>
          <w:tcPr>
            <w:tcW w:w="876" w:type="dxa"/>
            <w:tcBorders>
              <w:top w:val="nil"/>
              <w:left w:val="nil"/>
              <w:bottom w:val="single" w:sz="4" w:space="0" w:color="auto"/>
              <w:right w:val="single" w:sz="4" w:space="0" w:color="auto"/>
            </w:tcBorders>
            <w:shd w:val="clear" w:color="auto" w:fill="auto"/>
            <w:vAlign w:val="center"/>
            <w:hideMark/>
          </w:tcPr>
          <w:p w14:paraId="7D63AAF2"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73A1F328" w14:textId="77777777" w:rsidR="001C1313" w:rsidRPr="00F23B61" w:rsidRDefault="001C1313" w:rsidP="00AF407E">
            <w:pPr>
              <w:pStyle w:val="Tabletext"/>
              <w:rPr>
                <w:lang w:eastAsia="en-AU"/>
              </w:rPr>
            </w:pPr>
            <w:r w:rsidRPr="00F23B61">
              <w:rPr>
                <w:lang w:eastAsia="en-AU"/>
              </w:rPr>
              <w:t>MBS Item 21936</w:t>
            </w:r>
          </w:p>
        </w:tc>
      </w:tr>
      <w:tr w:rsidR="001C1313" w:rsidRPr="00F23B61" w14:paraId="432FCD8A" w14:textId="77777777" w:rsidTr="004E2E17">
        <w:trPr>
          <w:trHeight w:val="285"/>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696099E8" w14:textId="77777777" w:rsidR="001C1313" w:rsidRPr="00F23B61" w:rsidRDefault="001C1313" w:rsidP="00AF407E">
            <w:pPr>
              <w:pStyle w:val="Tabletext"/>
              <w:rPr>
                <w:lang w:eastAsia="en-AU"/>
              </w:rPr>
            </w:pPr>
            <w:r w:rsidRPr="00F23B61">
              <w:rPr>
                <w:lang w:eastAsia="en-AU"/>
              </w:rPr>
              <w:t>Administration of anaesthesia for 15 mins or less</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39FD3A8A"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42BB9121" w14:textId="77777777" w:rsidR="001C1313" w:rsidRPr="00F23B61" w:rsidRDefault="001C1313" w:rsidP="00AF407E">
            <w:pPr>
              <w:pStyle w:val="Tabletext"/>
              <w:rPr>
                <w:lang w:eastAsia="en-AU"/>
              </w:rPr>
            </w:pPr>
            <w:r w:rsidRPr="00F23B61">
              <w:rPr>
                <w:lang w:eastAsia="en-AU"/>
              </w:rPr>
              <w:t>$20.10</w:t>
            </w:r>
          </w:p>
        </w:tc>
        <w:tc>
          <w:tcPr>
            <w:tcW w:w="876" w:type="dxa"/>
            <w:tcBorders>
              <w:top w:val="nil"/>
              <w:left w:val="nil"/>
              <w:bottom w:val="single" w:sz="4" w:space="0" w:color="auto"/>
              <w:right w:val="single" w:sz="4" w:space="0" w:color="auto"/>
            </w:tcBorders>
            <w:shd w:val="clear" w:color="auto" w:fill="auto"/>
            <w:noWrap/>
            <w:vAlign w:val="center"/>
            <w:hideMark/>
          </w:tcPr>
          <w:p w14:paraId="30BB8664"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251F7748" w14:textId="77777777" w:rsidR="001C1313" w:rsidRPr="00F23B61" w:rsidRDefault="001C1313" w:rsidP="00AF407E">
            <w:pPr>
              <w:pStyle w:val="Tabletext"/>
              <w:rPr>
                <w:lang w:eastAsia="en-AU"/>
              </w:rPr>
            </w:pPr>
            <w:r w:rsidRPr="00F23B61">
              <w:rPr>
                <w:lang w:eastAsia="en-AU"/>
              </w:rPr>
              <w:t>MBS Item 23010</w:t>
            </w:r>
          </w:p>
        </w:tc>
      </w:tr>
      <w:tr w:rsidR="001C1313" w:rsidRPr="002E01E6" w14:paraId="5C41BF83" w14:textId="77777777" w:rsidTr="004E2E17">
        <w:trPr>
          <w:trHeight w:val="285"/>
        </w:trPr>
        <w:tc>
          <w:tcPr>
            <w:tcW w:w="3172" w:type="dxa"/>
            <w:tcBorders>
              <w:top w:val="nil"/>
              <w:left w:val="single" w:sz="4" w:space="0" w:color="auto"/>
              <w:bottom w:val="single" w:sz="4" w:space="0" w:color="auto"/>
              <w:right w:val="nil"/>
            </w:tcBorders>
            <w:shd w:val="clear" w:color="auto" w:fill="F2F2F2" w:themeFill="background1" w:themeFillShade="F2"/>
            <w:vAlign w:val="center"/>
            <w:hideMark/>
          </w:tcPr>
          <w:p w14:paraId="2B3BD630" w14:textId="77777777" w:rsidR="001C1313" w:rsidRPr="002E01E6" w:rsidRDefault="001C1313" w:rsidP="00AF407E">
            <w:pPr>
              <w:pStyle w:val="Tabletext"/>
              <w:rPr>
                <w:b/>
                <w:bCs w:val="0"/>
                <w:lang w:eastAsia="en-AU"/>
              </w:rPr>
            </w:pPr>
            <w:r w:rsidRPr="002E01E6">
              <w:rPr>
                <w:b/>
                <w:bCs w:val="0"/>
                <w:lang w:eastAsia="en-AU"/>
              </w:rPr>
              <w:t>Medical Services – intervention</w:t>
            </w:r>
          </w:p>
        </w:tc>
        <w:tc>
          <w:tcPr>
            <w:tcW w:w="2031" w:type="dxa"/>
            <w:gridSpan w:val="2"/>
            <w:tcBorders>
              <w:top w:val="nil"/>
              <w:left w:val="nil"/>
              <w:bottom w:val="single" w:sz="4" w:space="0" w:color="auto"/>
              <w:right w:val="nil"/>
            </w:tcBorders>
            <w:shd w:val="clear" w:color="auto" w:fill="F2F2F2" w:themeFill="background1" w:themeFillShade="F2"/>
            <w:vAlign w:val="center"/>
            <w:hideMark/>
          </w:tcPr>
          <w:p w14:paraId="3194AF0E" w14:textId="77777777" w:rsidR="001C1313" w:rsidRPr="002E01E6" w:rsidRDefault="001C1313" w:rsidP="00AF407E">
            <w:pPr>
              <w:pStyle w:val="Tabletext"/>
              <w:rPr>
                <w:b/>
                <w:bCs w:val="0"/>
                <w:lang w:eastAsia="en-AU"/>
              </w:rPr>
            </w:pPr>
            <w:r w:rsidRPr="002E01E6">
              <w:rPr>
                <w:b/>
                <w:bCs w:val="0"/>
                <w:lang w:eastAsia="en-AU"/>
              </w:rPr>
              <w:t> </w:t>
            </w:r>
          </w:p>
        </w:tc>
        <w:tc>
          <w:tcPr>
            <w:tcW w:w="1058" w:type="dxa"/>
            <w:gridSpan w:val="2"/>
            <w:tcBorders>
              <w:top w:val="nil"/>
              <w:left w:val="nil"/>
              <w:bottom w:val="single" w:sz="4" w:space="0" w:color="auto"/>
              <w:right w:val="nil"/>
            </w:tcBorders>
            <w:shd w:val="clear" w:color="auto" w:fill="F2F2F2" w:themeFill="background1" w:themeFillShade="F2"/>
            <w:vAlign w:val="center"/>
            <w:hideMark/>
          </w:tcPr>
          <w:p w14:paraId="300C67BB" w14:textId="77777777" w:rsidR="001C1313" w:rsidRPr="002E01E6" w:rsidRDefault="001C1313" w:rsidP="00AF407E">
            <w:pPr>
              <w:pStyle w:val="Tabletext"/>
              <w:rPr>
                <w:b/>
                <w:bCs w:val="0"/>
                <w:lang w:eastAsia="en-AU"/>
              </w:rPr>
            </w:pPr>
            <w:r w:rsidRPr="002E01E6">
              <w:rPr>
                <w:b/>
                <w:bCs w:val="0"/>
                <w:lang w:eastAsia="en-AU"/>
              </w:rPr>
              <w:t> </w:t>
            </w:r>
          </w:p>
        </w:tc>
        <w:tc>
          <w:tcPr>
            <w:tcW w:w="876" w:type="dxa"/>
            <w:tcBorders>
              <w:top w:val="nil"/>
              <w:left w:val="nil"/>
              <w:bottom w:val="single" w:sz="4" w:space="0" w:color="auto"/>
              <w:right w:val="nil"/>
            </w:tcBorders>
            <w:shd w:val="clear" w:color="auto" w:fill="F2F2F2" w:themeFill="background1" w:themeFillShade="F2"/>
            <w:vAlign w:val="center"/>
            <w:hideMark/>
          </w:tcPr>
          <w:p w14:paraId="66F43AE3" w14:textId="77777777" w:rsidR="001C1313" w:rsidRPr="002E01E6" w:rsidRDefault="001C1313" w:rsidP="00AF407E">
            <w:pPr>
              <w:pStyle w:val="Tabletext"/>
              <w:rPr>
                <w:b/>
                <w:bCs w:val="0"/>
                <w:lang w:eastAsia="en-AU"/>
              </w:rPr>
            </w:pPr>
            <w:r w:rsidRPr="002E01E6">
              <w:rPr>
                <w:b/>
                <w:bCs w:val="0"/>
                <w:lang w:eastAsia="en-AU"/>
              </w:rPr>
              <w:t> </w:t>
            </w:r>
          </w:p>
        </w:tc>
        <w:tc>
          <w:tcPr>
            <w:tcW w:w="2322" w:type="dxa"/>
            <w:tcBorders>
              <w:top w:val="nil"/>
              <w:left w:val="nil"/>
              <w:bottom w:val="single" w:sz="4" w:space="0" w:color="auto"/>
              <w:right w:val="single" w:sz="4" w:space="0" w:color="auto"/>
            </w:tcBorders>
            <w:shd w:val="clear" w:color="auto" w:fill="F2F2F2" w:themeFill="background1" w:themeFillShade="F2"/>
            <w:vAlign w:val="center"/>
            <w:hideMark/>
          </w:tcPr>
          <w:p w14:paraId="4283FB05" w14:textId="77777777" w:rsidR="001C1313" w:rsidRPr="002E01E6" w:rsidRDefault="001C1313" w:rsidP="00AF407E">
            <w:pPr>
              <w:pStyle w:val="Tabletext"/>
              <w:rPr>
                <w:b/>
                <w:bCs w:val="0"/>
                <w:lang w:eastAsia="en-AU"/>
              </w:rPr>
            </w:pPr>
            <w:r w:rsidRPr="002E01E6">
              <w:rPr>
                <w:b/>
                <w:bCs w:val="0"/>
                <w:lang w:eastAsia="en-AU"/>
              </w:rPr>
              <w:t> </w:t>
            </w:r>
          </w:p>
        </w:tc>
      </w:tr>
      <w:tr w:rsidR="001C1313" w:rsidRPr="00F23B61" w14:paraId="18AC8DD0" w14:textId="77777777" w:rsidTr="004E2E17">
        <w:trPr>
          <w:trHeight w:val="91"/>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615CF67B" w14:textId="77777777" w:rsidR="001C1313" w:rsidRPr="00F23B61" w:rsidRDefault="001C1313" w:rsidP="00AF407E">
            <w:pPr>
              <w:pStyle w:val="Tabletext"/>
              <w:rPr>
                <w:lang w:eastAsia="en-AU"/>
              </w:rPr>
            </w:pPr>
            <w:r w:rsidRPr="00F23B61">
              <w:rPr>
                <w:lang w:eastAsia="en-AU"/>
              </w:rPr>
              <w:t>Transcatheter occlusion of LAA</w:t>
            </w:r>
          </w:p>
        </w:tc>
        <w:tc>
          <w:tcPr>
            <w:tcW w:w="2031" w:type="dxa"/>
            <w:gridSpan w:val="2"/>
            <w:tcBorders>
              <w:top w:val="nil"/>
              <w:left w:val="nil"/>
              <w:bottom w:val="single" w:sz="4" w:space="0" w:color="auto"/>
              <w:right w:val="single" w:sz="4" w:space="0" w:color="auto"/>
            </w:tcBorders>
            <w:shd w:val="clear" w:color="auto" w:fill="auto"/>
            <w:vAlign w:val="center"/>
            <w:hideMark/>
          </w:tcPr>
          <w:p w14:paraId="4668AA1E" w14:textId="77777777" w:rsidR="001C1313" w:rsidRPr="00F23B61" w:rsidRDefault="001C1313" w:rsidP="00AF407E">
            <w:pPr>
              <w:pStyle w:val="Tabletext"/>
              <w:rPr>
                <w:lang w:eastAsia="en-AU"/>
              </w:rPr>
            </w:pPr>
            <w:r w:rsidRPr="00F23B61">
              <w:rPr>
                <w:lang w:eastAsia="en-AU"/>
              </w:rPr>
              <w:t>Cardiologist</w:t>
            </w:r>
          </w:p>
        </w:tc>
        <w:tc>
          <w:tcPr>
            <w:tcW w:w="1058" w:type="dxa"/>
            <w:gridSpan w:val="2"/>
            <w:tcBorders>
              <w:top w:val="nil"/>
              <w:left w:val="nil"/>
              <w:bottom w:val="single" w:sz="4" w:space="0" w:color="auto"/>
              <w:right w:val="single" w:sz="4" w:space="0" w:color="auto"/>
            </w:tcBorders>
            <w:shd w:val="clear" w:color="auto" w:fill="auto"/>
            <w:vAlign w:val="center"/>
            <w:hideMark/>
          </w:tcPr>
          <w:p w14:paraId="38532E25" w14:textId="77777777" w:rsidR="001C1313" w:rsidRPr="00F23B61" w:rsidRDefault="001C1313" w:rsidP="00AF407E">
            <w:pPr>
              <w:pStyle w:val="Tabletext"/>
              <w:rPr>
                <w:lang w:eastAsia="en-AU"/>
              </w:rPr>
            </w:pPr>
            <w:r w:rsidRPr="00F23B61">
              <w:rPr>
                <w:lang w:eastAsia="en-AU"/>
              </w:rPr>
              <w:t>$926.90</w:t>
            </w:r>
          </w:p>
        </w:tc>
        <w:tc>
          <w:tcPr>
            <w:tcW w:w="876" w:type="dxa"/>
            <w:tcBorders>
              <w:top w:val="nil"/>
              <w:left w:val="nil"/>
              <w:bottom w:val="single" w:sz="4" w:space="0" w:color="auto"/>
              <w:right w:val="single" w:sz="4" w:space="0" w:color="auto"/>
            </w:tcBorders>
            <w:shd w:val="clear" w:color="auto" w:fill="auto"/>
            <w:vAlign w:val="center"/>
            <w:hideMark/>
          </w:tcPr>
          <w:p w14:paraId="6A1E14D6"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1F1235F4" w14:textId="77777777" w:rsidR="001C1313" w:rsidRPr="00F23B61" w:rsidRDefault="001C1313" w:rsidP="00AF407E">
            <w:pPr>
              <w:pStyle w:val="Tabletext"/>
              <w:rPr>
                <w:lang w:eastAsia="en-AU"/>
              </w:rPr>
            </w:pPr>
            <w:r w:rsidRPr="00F23B61">
              <w:rPr>
                <w:lang w:eastAsia="en-AU"/>
              </w:rPr>
              <w:t>MBS Item 38276</w:t>
            </w:r>
          </w:p>
        </w:tc>
      </w:tr>
      <w:tr w:rsidR="001C1313" w:rsidRPr="00F23B61" w14:paraId="16D17A18"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2EC91292" w14:textId="77777777" w:rsidR="001C1313" w:rsidRPr="00F23B61" w:rsidRDefault="001C1313" w:rsidP="00AF407E">
            <w:pPr>
              <w:pStyle w:val="Tabletext"/>
              <w:rPr>
                <w:lang w:eastAsia="en-AU"/>
              </w:rPr>
            </w:pPr>
            <w:r w:rsidRPr="00F23B61">
              <w:rPr>
                <w:lang w:eastAsia="en-AU"/>
              </w:rPr>
              <w:t>Intra-operative transesophageal echocardiography</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72DA32BE"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37D99CB5" w14:textId="77777777" w:rsidR="001C1313" w:rsidRPr="00F23B61" w:rsidRDefault="001C1313" w:rsidP="00AF407E">
            <w:pPr>
              <w:pStyle w:val="Tabletext"/>
              <w:rPr>
                <w:lang w:eastAsia="en-AU"/>
              </w:rPr>
            </w:pPr>
            <w:r w:rsidRPr="00F23B61">
              <w:rPr>
                <w:lang w:eastAsia="en-AU"/>
              </w:rPr>
              <w:t>$180.90</w:t>
            </w:r>
          </w:p>
        </w:tc>
        <w:tc>
          <w:tcPr>
            <w:tcW w:w="876" w:type="dxa"/>
            <w:tcBorders>
              <w:top w:val="nil"/>
              <w:left w:val="nil"/>
              <w:bottom w:val="single" w:sz="4" w:space="0" w:color="auto"/>
              <w:right w:val="single" w:sz="4" w:space="0" w:color="auto"/>
            </w:tcBorders>
            <w:shd w:val="clear" w:color="auto" w:fill="auto"/>
            <w:noWrap/>
            <w:vAlign w:val="center"/>
            <w:hideMark/>
          </w:tcPr>
          <w:p w14:paraId="325DA4FF"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4D8F8AED" w14:textId="77777777" w:rsidR="001C1313" w:rsidRPr="00F23B61" w:rsidRDefault="001C1313" w:rsidP="00AF407E">
            <w:pPr>
              <w:pStyle w:val="Tabletext"/>
              <w:rPr>
                <w:lang w:eastAsia="en-AU"/>
              </w:rPr>
            </w:pPr>
            <w:r w:rsidRPr="00F23B61">
              <w:rPr>
                <w:lang w:eastAsia="en-AU"/>
              </w:rPr>
              <w:t>MBS Item 22051</w:t>
            </w:r>
          </w:p>
        </w:tc>
      </w:tr>
      <w:tr w:rsidR="001C1313" w:rsidRPr="00F23B61" w14:paraId="472BB4E1" w14:textId="77777777" w:rsidTr="004E2E17">
        <w:trPr>
          <w:trHeight w:val="299"/>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7D45B5F1" w14:textId="77777777" w:rsidR="001C1313" w:rsidRPr="00F23B61" w:rsidRDefault="001C1313" w:rsidP="00AF407E">
            <w:pPr>
              <w:pStyle w:val="Tabletext"/>
              <w:rPr>
                <w:lang w:eastAsia="en-AU"/>
              </w:rPr>
            </w:pPr>
            <w:r w:rsidRPr="00F23B61">
              <w:rPr>
                <w:lang w:eastAsia="en-AU"/>
              </w:rPr>
              <w:t>Initiation of management of anaesthesia for cardiac catheterisation</w:t>
            </w:r>
          </w:p>
        </w:tc>
        <w:tc>
          <w:tcPr>
            <w:tcW w:w="2031" w:type="dxa"/>
            <w:gridSpan w:val="2"/>
            <w:tcBorders>
              <w:top w:val="nil"/>
              <w:left w:val="nil"/>
              <w:bottom w:val="single" w:sz="4" w:space="0" w:color="auto"/>
              <w:right w:val="single" w:sz="4" w:space="0" w:color="auto"/>
            </w:tcBorders>
            <w:shd w:val="clear" w:color="auto" w:fill="auto"/>
            <w:vAlign w:val="center"/>
            <w:hideMark/>
          </w:tcPr>
          <w:p w14:paraId="7661ECD6"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vAlign w:val="center"/>
            <w:hideMark/>
          </w:tcPr>
          <w:p w14:paraId="25C7CB8C" w14:textId="77777777" w:rsidR="001C1313" w:rsidRPr="00F23B61" w:rsidRDefault="001C1313" w:rsidP="00AF407E">
            <w:pPr>
              <w:pStyle w:val="Tabletext"/>
              <w:rPr>
                <w:lang w:eastAsia="en-AU"/>
              </w:rPr>
            </w:pPr>
            <w:r w:rsidRPr="00F23B61">
              <w:rPr>
                <w:lang w:eastAsia="en-AU"/>
              </w:rPr>
              <w:t>$140.70</w:t>
            </w:r>
          </w:p>
        </w:tc>
        <w:tc>
          <w:tcPr>
            <w:tcW w:w="876" w:type="dxa"/>
            <w:tcBorders>
              <w:top w:val="nil"/>
              <w:left w:val="nil"/>
              <w:bottom w:val="single" w:sz="4" w:space="0" w:color="auto"/>
              <w:right w:val="single" w:sz="4" w:space="0" w:color="auto"/>
            </w:tcBorders>
            <w:shd w:val="clear" w:color="auto" w:fill="auto"/>
            <w:vAlign w:val="center"/>
            <w:hideMark/>
          </w:tcPr>
          <w:p w14:paraId="7CD892CC"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1B848D41" w14:textId="77777777" w:rsidR="001C1313" w:rsidRPr="00F23B61" w:rsidRDefault="001C1313" w:rsidP="00AF407E">
            <w:pPr>
              <w:pStyle w:val="Tabletext"/>
              <w:rPr>
                <w:lang w:eastAsia="en-AU"/>
              </w:rPr>
            </w:pPr>
            <w:r w:rsidRPr="00F23B61">
              <w:rPr>
                <w:lang w:eastAsia="en-AU"/>
              </w:rPr>
              <w:t>MBS Item 21941</w:t>
            </w:r>
          </w:p>
        </w:tc>
      </w:tr>
      <w:tr w:rsidR="001C1313" w:rsidRPr="00F23B61" w14:paraId="0A34BB04" w14:textId="77777777" w:rsidTr="004E2E17">
        <w:trPr>
          <w:trHeight w:val="5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72C6F367" w14:textId="77777777" w:rsidR="001C1313" w:rsidRPr="00F23B61" w:rsidRDefault="001C1313" w:rsidP="00AF407E">
            <w:pPr>
              <w:pStyle w:val="Tabletext"/>
              <w:rPr>
                <w:lang w:eastAsia="en-AU"/>
              </w:rPr>
            </w:pPr>
            <w:r w:rsidRPr="00F23B61">
              <w:rPr>
                <w:lang w:eastAsia="en-AU"/>
              </w:rPr>
              <w:t>Intra-arterial cannulation when performed in association with the administration of anaesthesia</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5574A430"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76CBA352" w14:textId="77777777" w:rsidR="001C1313" w:rsidRPr="00F23B61" w:rsidRDefault="001C1313" w:rsidP="00AF407E">
            <w:pPr>
              <w:pStyle w:val="Tabletext"/>
              <w:rPr>
                <w:lang w:eastAsia="en-AU"/>
              </w:rPr>
            </w:pPr>
            <w:r w:rsidRPr="00F23B61">
              <w:rPr>
                <w:lang w:eastAsia="en-AU"/>
              </w:rPr>
              <w:t>$80.40</w:t>
            </w:r>
          </w:p>
        </w:tc>
        <w:tc>
          <w:tcPr>
            <w:tcW w:w="876" w:type="dxa"/>
            <w:tcBorders>
              <w:top w:val="nil"/>
              <w:left w:val="nil"/>
              <w:bottom w:val="single" w:sz="4" w:space="0" w:color="auto"/>
              <w:right w:val="single" w:sz="4" w:space="0" w:color="auto"/>
            </w:tcBorders>
            <w:shd w:val="clear" w:color="auto" w:fill="auto"/>
            <w:noWrap/>
            <w:vAlign w:val="center"/>
            <w:hideMark/>
          </w:tcPr>
          <w:p w14:paraId="7D45717A"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6C1F5CB7" w14:textId="77777777" w:rsidR="001C1313" w:rsidRPr="00F23B61" w:rsidRDefault="001C1313" w:rsidP="00AF407E">
            <w:pPr>
              <w:pStyle w:val="Tabletext"/>
              <w:rPr>
                <w:lang w:eastAsia="en-AU"/>
              </w:rPr>
            </w:pPr>
            <w:r w:rsidRPr="00F23B61">
              <w:rPr>
                <w:lang w:eastAsia="en-AU"/>
              </w:rPr>
              <w:t>MBS Item 23043</w:t>
            </w:r>
          </w:p>
        </w:tc>
      </w:tr>
      <w:tr w:rsidR="001C1313" w:rsidRPr="00F23B61" w14:paraId="791B27B8"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3C79375E" w14:textId="77777777" w:rsidR="001C1313" w:rsidRPr="00F23B61" w:rsidRDefault="001C1313" w:rsidP="00AF407E">
            <w:pPr>
              <w:pStyle w:val="Tabletext"/>
              <w:rPr>
                <w:lang w:eastAsia="en-AU"/>
              </w:rPr>
            </w:pPr>
            <w:r w:rsidRPr="00F23B61">
              <w:rPr>
                <w:lang w:eastAsia="en-AU"/>
              </w:rPr>
              <w:t>Intra-arterial cannulation when performed in association with the administration of anaesthesia</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114DE778"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74B5A3A8" w14:textId="77777777" w:rsidR="001C1313" w:rsidRPr="00F23B61" w:rsidRDefault="001C1313" w:rsidP="00AF407E">
            <w:pPr>
              <w:pStyle w:val="Tabletext"/>
              <w:rPr>
                <w:lang w:eastAsia="en-AU"/>
              </w:rPr>
            </w:pPr>
            <w:r w:rsidRPr="00F23B61">
              <w:rPr>
                <w:lang w:eastAsia="en-AU"/>
              </w:rPr>
              <w:t>$80.40</w:t>
            </w:r>
          </w:p>
        </w:tc>
        <w:tc>
          <w:tcPr>
            <w:tcW w:w="876" w:type="dxa"/>
            <w:tcBorders>
              <w:top w:val="nil"/>
              <w:left w:val="nil"/>
              <w:bottom w:val="single" w:sz="4" w:space="0" w:color="auto"/>
              <w:right w:val="single" w:sz="4" w:space="0" w:color="auto"/>
            </w:tcBorders>
            <w:shd w:val="clear" w:color="auto" w:fill="auto"/>
            <w:noWrap/>
            <w:vAlign w:val="center"/>
            <w:hideMark/>
          </w:tcPr>
          <w:p w14:paraId="775465A7"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single" w:sz="4" w:space="0" w:color="auto"/>
              <w:right w:val="single" w:sz="4" w:space="0" w:color="auto"/>
            </w:tcBorders>
            <w:shd w:val="clear" w:color="auto" w:fill="auto"/>
            <w:vAlign w:val="center"/>
            <w:hideMark/>
          </w:tcPr>
          <w:p w14:paraId="7BCCC128" w14:textId="77777777" w:rsidR="001C1313" w:rsidRPr="00F23B61" w:rsidRDefault="001C1313" w:rsidP="00AF407E">
            <w:pPr>
              <w:pStyle w:val="Tabletext"/>
              <w:rPr>
                <w:lang w:eastAsia="en-AU"/>
              </w:rPr>
            </w:pPr>
            <w:r w:rsidRPr="00F23B61">
              <w:rPr>
                <w:lang w:eastAsia="en-AU"/>
              </w:rPr>
              <w:t>MBS Item 22025</w:t>
            </w:r>
          </w:p>
        </w:tc>
      </w:tr>
      <w:tr w:rsidR="001C1313" w:rsidRPr="00F23B61" w14:paraId="7AACB097" w14:textId="77777777" w:rsidTr="004E2E17">
        <w:trPr>
          <w:trHeight w:val="484"/>
        </w:trPr>
        <w:tc>
          <w:tcPr>
            <w:tcW w:w="3172" w:type="dxa"/>
            <w:tcBorders>
              <w:top w:val="nil"/>
              <w:left w:val="single" w:sz="4" w:space="0" w:color="auto"/>
              <w:bottom w:val="nil"/>
              <w:right w:val="single" w:sz="4" w:space="0" w:color="auto"/>
            </w:tcBorders>
            <w:shd w:val="clear" w:color="auto" w:fill="auto"/>
            <w:vAlign w:val="center"/>
            <w:hideMark/>
          </w:tcPr>
          <w:p w14:paraId="21CFB85B" w14:textId="77777777" w:rsidR="001C1313" w:rsidRPr="00F23B61" w:rsidRDefault="001C1313" w:rsidP="00AF407E">
            <w:pPr>
              <w:pStyle w:val="Tabletext"/>
              <w:rPr>
                <w:lang w:eastAsia="en-AU"/>
              </w:rPr>
            </w:pPr>
            <w:r w:rsidRPr="00F23B61">
              <w:rPr>
                <w:lang w:eastAsia="en-AU"/>
              </w:rPr>
              <w:t>Blood pressure monitoring</w:t>
            </w:r>
          </w:p>
        </w:tc>
        <w:tc>
          <w:tcPr>
            <w:tcW w:w="2031" w:type="dxa"/>
            <w:gridSpan w:val="2"/>
            <w:tcBorders>
              <w:top w:val="nil"/>
              <w:left w:val="nil"/>
              <w:bottom w:val="nil"/>
              <w:right w:val="single" w:sz="4" w:space="0" w:color="auto"/>
            </w:tcBorders>
            <w:shd w:val="clear" w:color="auto" w:fill="auto"/>
            <w:vAlign w:val="center"/>
            <w:hideMark/>
          </w:tcPr>
          <w:p w14:paraId="38E02DF0"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nil"/>
              <w:right w:val="single" w:sz="4" w:space="0" w:color="auto"/>
            </w:tcBorders>
            <w:shd w:val="clear" w:color="auto" w:fill="auto"/>
            <w:vAlign w:val="center"/>
            <w:hideMark/>
          </w:tcPr>
          <w:p w14:paraId="0B4F107B" w14:textId="77777777" w:rsidR="001C1313" w:rsidRPr="00F23B61" w:rsidRDefault="001C1313" w:rsidP="00AF407E">
            <w:pPr>
              <w:pStyle w:val="Tabletext"/>
              <w:rPr>
                <w:lang w:eastAsia="en-AU"/>
              </w:rPr>
            </w:pPr>
            <w:r w:rsidRPr="00F23B61">
              <w:rPr>
                <w:lang w:eastAsia="en-AU"/>
              </w:rPr>
              <w:t>$60.30</w:t>
            </w:r>
          </w:p>
        </w:tc>
        <w:tc>
          <w:tcPr>
            <w:tcW w:w="876" w:type="dxa"/>
            <w:tcBorders>
              <w:top w:val="nil"/>
              <w:left w:val="nil"/>
              <w:bottom w:val="nil"/>
              <w:right w:val="single" w:sz="4" w:space="0" w:color="auto"/>
            </w:tcBorders>
            <w:shd w:val="clear" w:color="auto" w:fill="auto"/>
            <w:vAlign w:val="center"/>
            <w:hideMark/>
          </w:tcPr>
          <w:p w14:paraId="7337EC50" w14:textId="77777777" w:rsidR="001C1313" w:rsidRPr="00F23B61" w:rsidRDefault="001C1313" w:rsidP="00AF407E">
            <w:pPr>
              <w:pStyle w:val="Tabletext"/>
              <w:rPr>
                <w:lang w:eastAsia="en-AU"/>
              </w:rPr>
            </w:pPr>
            <w:r w:rsidRPr="00F23B61">
              <w:rPr>
                <w:lang w:eastAsia="en-AU"/>
              </w:rPr>
              <w:t>1</w:t>
            </w:r>
          </w:p>
        </w:tc>
        <w:tc>
          <w:tcPr>
            <w:tcW w:w="2322" w:type="dxa"/>
            <w:tcBorders>
              <w:top w:val="nil"/>
              <w:left w:val="nil"/>
              <w:bottom w:val="nil"/>
              <w:right w:val="single" w:sz="4" w:space="0" w:color="auto"/>
            </w:tcBorders>
            <w:shd w:val="clear" w:color="auto" w:fill="auto"/>
            <w:vAlign w:val="center"/>
            <w:hideMark/>
          </w:tcPr>
          <w:p w14:paraId="4371AAA7" w14:textId="77777777" w:rsidR="001C1313" w:rsidRPr="00F23B61" w:rsidRDefault="001C1313" w:rsidP="00AF407E">
            <w:pPr>
              <w:pStyle w:val="Tabletext"/>
              <w:rPr>
                <w:lang w:eastAsia="en-AU"/>
              </w:rPr>
            </w:pPr>
            <w:r w:rsidRPr="00F23B61">
              <w:rPr>
                <w:lang w:eastAsia="en-AU"/>
              </w:rPr>
              <w:t>MBS Item 22012</w:t>
            </w:r>
          </w:p>
        </w:tc>
      </w:tr>
      <w:tr w:rsidR="001C1313" w:rsidRPr="002E01E6" w14:paraId="60C152B7" w14:textId="77777777" w:rsidTr="004E2E17">
        <w:trPr>
          <w:trHeight w:val="285"/>
        </w:trPr>
        <w:tc>
          <w:tcPr>
            <w:tcW w:w="5203"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4DFF8E96" w14:textId="77777777" w:rsidR="001C1313" w:rsidRPr="002E01E6" w:rsidRDefault="001C1313" w:rsidP="00AF407E">
            <w:pPr>
              <w:pStyle w:val="Tabletext"/>
              <w:rPr>
                <w:b/>
                <w:bCs w:val="0"/>
                <w:lang w:eastAsia="en-AU"/>
              </w:rPr>
            </w:pPr>
            <w:r w:rsidRPr="002E01E6">
              <w:rPr>
                <w:b/>
                <w:bCs w:val="0"/>
                <w:lang w:eastAsia="en-AU"/>
              </w:rPr>
              <w:t>Medical Services – post intervention follow-up within six months</w:t>
            </w:r>
          </w:p>
        </w:tc>
        <w:tc>
          <w:tcPr>
            <w:tcW w:w="604" w:type="dxa"/>
            <w:tcBorders>
              <w:top w:val="single" w:sz="4" w:space="0" w:color="auto"/>
              <w:left w:val="nil"/>
              <w:bottom w:val="single" w:sz="4" w:space="0" w:color="auto"/>
              <w:right w:val="nil"/>
            </w:tcBorders>
            <w:shd w:val="clear" w:color="auto" w:fill="F2F2F2" w:themeFill="background1" w:themeFillShade="F2"/>
            <w:vAlign w:val="center"/>
            <w:hideMark/>
          </w:tcPr>
          <w:p w14:paraId="600DE289" w14:textId="77777777" w:rsidR="001C1313" w:rsidRPr="002E01E6" w:rsidRDefault="001C1313" w:rsidP="00AF407E">
            <w:pPr>
              <w:pStyle w:val="Tabletext"/>
              <w:rPr>
                <w:b/>
                <w:bCs w:val="0"/>
                <w:lang w:eastAsia="en-AU"/>
              </w:rPr>
            </w:pPr>
            <w:r w:rsidRPr="002E01E6">
              <w:rPr>
                <w:b/>
                <w:bCs w:val="0"/>
                <w:lang w:eastAsia="en-AU"/>
              </w:rPr>
              <w:t> </w:t>
            </w:r>
          </w:p>
        </w:tc>
        <w:tc>
          <w:tcPr>
            <w:tcW w:w="454" w:type="dxa"/>
            <w:tcBorders>
              <w:top w:val="single" w:sz="4" w:space="0" w:color="auto"/>
              <w:left w:val="nil"/>
              <w:bottom w:val="single" w:sz="4" w:space="0" w:color="auto"/>
              <w:right w:val="nil"/>
            </w:tcBorders>
            <w:shd w:val="clear" w:color="auto" w:fill="F2F2F2" w:themeFill="background1" w:themeFillShade="F2"/>
            <w:vAlign w:val="center"/>
            <w:hideMark/>
          </w:tcPr>
          <w:p w14:paraId="0FB89E01" w14:textId="77777777" w:rsidR="001C1313" w:rsidRPr="002E01E6" w:rsidRDefault="001C1313" w:rsidP="00AF407E">
            <w:pPr>
              <w:pStyle w:val="Tabletext"/>
              <w:rPr>
                <w:b/>
                <w:bCs w:val="0"/>
                <w:lang w:eastAsia="en-AU"/>
              </w:rPr>
            </w:pPr>
            <w:r w:rsidRPr="002E01E6">
              <w:rPr>
                <w:b/>
                <w:bCs w:val="0"/>
                <w:lang w:eastAsia="en-AU"/>
              </w:rPr>
              <w:t> </w:t>
            </w:r>
          </w:p>
        </w:tc>
        <w:tc>
          <w:tcPr>
            <w:tcW w:w="876" w:type="dxa"/>
            <w:tcBorders>
              <w:top w:val="single" w:sz="4" w:space="0" w:color="auto"/>
              <w:left w:val="nil"/>
              <w:bottom w:val="single" w:sz="4" w:space="0" w:color="auto"/>
              <w:right w:val="nil"/>
            </w:tcBorders>
            <w:shd w:val="clear" w:color="auto" w:fill="F2F2F2" w:themeFill="background1" w:themeFillShade="F2"/>
            <w:vAlign w:val="center"/>
            <w:hideMark/>
          </w:tcPr>
          <w:p w14:paraId="389245FC" w14:textId="77777777" w:rsidR="001C1313" w:rsidRPr="002E01E6" w:rsidRDefault="001C1313" w:rsidP="00AF407E">
            <w:pPr>
              <w:pStyle w:val="Tabletext"/>
              <w:rPr>
                <w:b/>
                <w:bCs w:val="0"/>
                <w:lang w:eastAsia="en-AU"/>
              </w:rPr>
            </w:pPr>
            <w:r w:rsidRPr="002E01E6">
              <w:rPr>
                <w:b/>
                <w:bCs w:val="0"/>
                <w:lang w:eastAsia="en-AU"/>
              </w:rPr>
              <w:t> </w:t>
            </w:r>
          </w:p>
        </w:tc>
        <w:tc>
          <w:tcPr>
            <w:tcW w:w="23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93A22C" w14:textId="77777777" w:rsidR="001C1313" w:rsidRPr="002E01E6" w:rsidRDefault="001C1313" w:rsidP="00AF407E">
            <w:pPr>
              <w:pStyle w:val="Tabletext"/>
              <w:rPr>
                <w:b/>
                <w:bCs w:val="0"/>
                <w:lang w:eastAsia="en-AU"/>
              </w:rPr>
            </w:pPr>
            <w:r w:rsidRPr="002E01E6">
              <w:rPr>
                <w:b/>
                <w:bCs w:val="0"/>
                <w:lang w:eastAsia="en-AU"/>
              </w:rPr>
              <w:t> </w:t>
            </w:r>
          </w:p>
        </w:tc>
      </w:tr>
      <w:tr w:rsidR="001C1313" w:rsidRPr="00F23B61" w14:paraId="73AF3E56"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738F236C" w14:textId="77777777" w:rsidR="001C1313" w:rsidRPr="00F23B61" w:rsidRDefault="001C1313" w:rsidP="00AF407E">
            <w:pPr>
              <w:pStyle w:val="Tabletext"/>
              <w:rPr>
                <w:lang w:eastAsia="en-AU"/>
              </w:rPr>
            </w:pPr>
            <w:r w:rsidRPr="00F23B61">
              <w:rPr>
                <w:lang w:eastAsia="en-AU"/>
              </w:rPr>
              <w:t>Cardiology consultation</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554EEA7B" w14:textId="77777777" w:rsidR="001C1313" w:rsidRPr="00F23B61" w:rsidRDefault="001C1313" w:rsidP="00AF407E">
            <w:pPr>
              <w:pStyle w:val="Tabletext"/>
              <w:rPr>
                <w:lang w:eastAsia="en-AU"/>
              </w:rPr>
            </w:pPr>
            <w:r w:rsidRPr="00F23B61">
              <w:rPr>
                <w:lang w:eastAsia="en-AU"/>
              </w:rPr>
              <w:t>Cardiologist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4F866173" w14:textId="77777777" w:rsidR="001C1313" w:rsidRPr="00F23B61" w:rsidRDefault="001C1313" w:rsidP="00AF407E">
            <w:pPr>
              <w:pStyle w:val="Tabletext"/>
              <w:rPr>
                <w:lang w:eastAsia="en-AU"/>
              </w:rPr>
            </w:pPr>
            <w:r w:rsidRPr="00F23B61">
              <w:rPr>
                <w:lang w:eastAsia="en-AU"/>
              </w:rPr>
              <w:t>$77.90</w:t>
            </w:r>
          </w:p>
        </w:tc>
        <w:tc>
          <w:tcPr>
            <w:tcW w:w="876" w:type="dxa"/>
            <w:tcBorders>
              <w:top w:val="nil"/>
              <w:left w:val="nil"/>
              <w:bottom w:val="single" w:sz="4" w:space="0" w:color="auto"/>
              <w:right w:val="single" w:sz="4" w:space="0" w:color="auto"/>
            </w:tcBorders>
            <w:shd w:val="clear" w:color="auto" w:fill="auto"/>
            <w:noWrap/>
            <w:vAlign w:val="center"/>
            <w:hideMark/>
          </w:tcPr>
          <w:p w14:paraId="715560C6" w14:textId="77777777" w:rsidR="001C1313" w:rsidRPr="00F23B61" w:rsidRDefault="001C1313" w:rsidP="00AF407E">
            <w:pPr>
              <w:pStyle w:val="Tabletext"/>
              <w:rPr>
                <w:lang w:eastAsia="en-AU"/>
              </w:rPr>
            </w:pPr>
            <w:r w:rsidRPr="00F23B61">
              <w:rPr>
                <w:lang w:eastAsia="en-AU"/>
              </w:rPr>
              <w:t>3</w:t>
            </w:r>
          </w:p>
        </w:tc>
        <w:tc>
          <w:tcPr>
            <w:tcW w:w="2322" w:type="dxa"/>
            <w:tcBorders>
              <w:top w:val="nil"/>
              <w:left w:val="nil"/>
              <w:bottom w:val="single" w:sz="4" w:space="0" w:color="auto"/>
              <w:right w:val="single" w:sz="4" w:space="0" w:color="auto"/>
            </w:tcBorders>
            <w:shd w:val="clear" w:color="auto" w:fill="auto"/>
            <w:vAlign w:val="center"/>
            <w:hideMark/>
          </w:tcPr>
          <w:p w14:paraId="736E90A0" w14:textId="77777777" w:rsidR="001C1313" w:rsidRPr="00F23B61" w:rsidRDefault="001C1313" w:rsidP="00AF407E">
            <w:pPr>
              <w:pStyle w:val="Tabletext"/>
              <w:rPr>
                <w:lang w:eastAsia="en-AU"/>
              </w:rPr>
            </w:pPr>
            <w:r w:rsidRPr="00F23B61">
              <w:rPr>
                <w:lang w:eastAsia="en-AU"/>
              </w:rPr>
              <w:t>MBS Item 116</w:t>
            </w:r>
          </w:p>
        </w:tc>
      </w:tr>
      <w:tr w:rsidR="001C1313" w:rsidRPr="00F23B61" w14:paraId="54088C03"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24F75EF5" w14:textId="77777777" w:rsidR="001C1313" w:rsidRPr="00F23B61" w:rsidRDefault="001C1313" w:rsidP="00AF407E">
            <w:pPr>
              <w:pStyle w:val="Tabletext"/>
              <w:rPr>
                <w:lang w:eastAsia="en-AU"/>
              </w:rPr>
            </w:pPr>
            <w:r w:rsidRPr="00F23B61">
              <w:rPr>
                <w:lang w:eastAsia="en-AU"/>
              </w:rPr>
              <w:t>Non-intra-operative transesophageal echocardiography</w:t>
            </w:r>
          </w:p>
        </w:tc>
        <w:tc>
          <w:tcPr>
            <w:tcW w:w="2031" w:type="dxa"/>
            <w:gridSpan w:val="2"/>
            <w:tcBorders>
              <w:top w:val="nil"/>
              <w:left w:val="nil"/>
              <w:bottom w:val="single" w:sz="4" w:space="0" w:color="auto"/>
              <w:right w:val="single" w:sz="4" w:space="0" w:color="auto"/>
            </w:tcBorders>
            <w:shd w:val="clear" w:color="auto" w:fill="auto"/>
            <w:vAlign w:val="center"/>
            <w:hideMark/>
          </w:tcPr>
          <w:p w14:paraId="41029E44" w14:textId="77777777" w:rsidR="001C1313" w:rsidRPr="00F23B61" w:rsidRDefault="001C1313" w:rsidP="00AF407E">
            <w:pPr>
              <w:pStyle w:val="Tabletext"/>
              <w:rPr>
                <w:lang w:eastAsia="en-AU"/>
              </w:rPr>
            </w:pPr>
            <w:r w:rsidRPr="00F23B61">
              <w:rPr>
                <w:lang w:eastAsia="en-AU"/>
              </w:rPr>
              <w:t>Cardiologist</w:t>
            </w:r>
          </w:p>
        </w:tc>
        <w:tc>
          <w:tcPr>
            <w:tcW w:w="1058" w:type="dxa"/>
            <w:gridSpan w:val="2"/>
            <w:tcBorders>
              <w:top w:val="nil"/>
              <w:left w:val="nil"/>
              <w:bottom w:val="single" w:sz="4" w:space="0" w:color="auto"/>
              <w:right w:val="single" w:sz="4" w:space="0" w:color="auto"/>
            </w:tcBorders>
            <w:shd w:val="clear" w:color="auto" w:fill="auto"/>
            <w:vAlign w:val="center"/>
            <w:hideMark/>
          </w:tcPr>
          <w:p w14:paraId="1C7E7890" w14:textId="77777777" w:rsidR="001C1313" w:rsidRPr="00F23B61" w:rsidRDefault="001C1313" w:rsidP="00AF407E">
            <w:pPr>
              <w:pStyle w:val="Tabletext"/>
              <w:rPr>
                <w:lang w:eastAsia="en-AU"/>
              </w:rPr>
            </w:pPr>
            <w:r w:rsidRPr="00F23B61">
              <w:rPr>
                <w:lang w:eastAsia="en-AU"/>
              </w:rPr>
              <w:t>$275.50</w:t>
            </w:r>
          </w:p>
        </w:tc>
        <w:tc>
          <w:tcPr>
            <w:tcW w:w="876" w:type="dxa"/>
            <w:tcBorders>
              <w:top w:val="nil"/>
              <w:left w:val="nil"/>
              <w:bottom w:val="single" w:sz="4" w:space="0" w:color="auto"/>
              <w:right w:val="single" w:sz="4" w:space="0" w:color="auto"/>
            </w:tcBorders>
            <w:shd w:val="clear" w:color="auto" w:fill="auto"/>
            <w:vAlign w:val="center"/>
            <w:hideMark/>
          </w:tcPr>
          <w:p w14:paraId="3AE3E855" w14:textId="77777777" w:rsidR="001C1313" w:rsidRPr="00F23B61" w:rsidRDefault="001C1313" w:rsidP="00AF407E">
            <w:pPr>
              <w:pStyle w:val="Tabletext"/>
              <w:rPr>
                <w:lang w:eastAsia="en-AU"/>
              </w:rPr>
            </w:pPr>
            <w:r w:rsidRPr="00F23B61">
              <w:rPr>
                <w:lang w:eastAsia="en-AU"/>
              </w:rPr>
              <w:t>3</w:t>
            </w:r>
          </w:p>
        </w:tc>
        <w:tc>
          <w:tcPr>
            <w:tcW w:w="2322" w:type="dxa"/>
            <w:tcBorders>
              <w:top w:val="nil"/>
              <w:left w:val="nil"/>
              <w:bottom w:val="single" w:sz="4" w:space="0" w:color="auto"/>
              <w:right w:val="single" w:sz="4" w:space="0" w:color="auto"/>
            </w:tcBorders>
            <w:shd w:val="clear" w:color="auto" w:fill="auto"/>
            <w:vAlign w:val="center"/>
            <w:hideMark/>
          </w:tcPr>
          <w:p w14:paraId="5454CB50" w14:textId="77777777" w:rsidR="001C1313" w:rsidRPr="00F23B61" w:rsidRDefault="001C1313" w:rsidP="00AF407E">
            <w:pPr>
              <w:pStyle w:val="Tabletext"/>
              <w:rPr>
                <w:lang w:eastAsia="en-AU"/>
              </w:rPr>
            </w:pPr>
            <w:r w:rsidRPr="00F23B61">
              <w:rPr>
                <w:lang w:eastAsia="en-AU"/>
              </w:rPr>
              <w:t>MBS Item 55118</w:t>
            </w:r>
          </w:p>
        </w:tc>
      </w:tr>
      <w:tr w:rsidR="001C1313" w:rsidRPr="00F23B61" w14:paraId="58C5476A" w14:textId="77777777" w:rsidTr="004E2E17">
        <w:trPr>
          <w:trHeight w:val="370"/>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66F021A9" w14:textId="77777777" w:rsidR="001C1313" w:rsidRPr="00F23B61" w:rsidRDefault="001C1313" w:rsidP="00AF407E">
            <w:pPr>
              <w:pStyle w:val="Tabletext"/>
              <w:rPr>
                <w:lang w:eastAsia="en-AU"/>
              </w:rPr>
            </w:pPr>
            <w:r w:rsidRPr="00F23B61">
              <w:rPr>
                <w:lang w:eastAsia="en-AU"/>
              </w:rPr>
              <w:t>Anaesthesiology for transesophageal echocardiography</w:t>
            </w:r>
          </w:p>
        </w:tc>
        <w:tc>
          <w:tcPr>
            <w:tcW w:w="2031" w:type="dxa"/>
            <w:gridSpan w:val="2"/>
            <w:tcBorders>
              <w:top w:val="nil"/>
              <w:left w:val="nil"/>
              <w:bottom w:val="single" w:sz="4" w:space="0" w:color="auto"/>
              <w:right w:val="single" w:sz="4" w:space="0" w:color="auto"/>
            </w:tcBorders>
            <w:shd w:val="clear" w:color="auto" w:fill="auto"/>
            <w:noWrap/>
            <w:vAlign w:val="center"/>
            <w:hideMark/>
          </w:tcPr>
          <w:p w14:paraId="254830AE"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vAlign w:val="center"/>
            <w:hideMark/>
          </w:tcPr>
          <w:p w14:paraId="5D804658" w14:textId="77777777" w:rsidR="001C1313" w:rsidRPr="00F23B61" w:rsidRDefault="001C1313" w:rsidP="00AF407E">
            <w:pPr>
              <w:pStyle w:val="Tabletext"/>
              <w:rPr>
                <w:lang w:eastAsia="en-AU"/>
              </w:rPr>
            </w:pPr>
            <w:r w:rsidRPr="00F23B61">
              <w:rPr>
                <w:lang w:eastAsia="en-AU"/>
              </w:rPr>
              <w:t>$120.60</w:t>
            </w:r>
          </w:p>
        </w:tc>
        <w:tc>
          <w:tcPr>
            <w:tcW w:w="876" w:type="dxa"/>
            <w:tcBorders>
              <w:top w:val="nil"/>
              <w:left w:val="nil"/>
              <w:bottom w:val="single" w:sz="4" w:space="0" w:color="auto"/>
              <w:right w:val="single" w:sz="4" w:space="0" w:color="auto"/>
            </w:tcBorders>
            <w:shd w:val="clear" w:color="auto" w:fill="auto"/>
            <w:noWrap/>
            <w:vAlign w:val="center"/>
            <w:hideMark/>
          </w:tcPr>
          <w:p w14:paraId="1D179495" w14:textId="77777777" w:rsidR="001C1313" w:rsidRPr="00F23B61" w:rsidRDefault="001C1313" w:rsidP="00AF407E">
            <w:pPr>
              <w:pStyle w:val="Tabletext"/>
              <w:rPr>
                <w:lang w:eastAsia="en-AU"/>
              </w:rPr>
            </w:pPr>
            <w:r w:rsidRPr="00F23B61">
              <w:rPr>
                <w:lang w:eastAsia="en-AU"/>
              </w:rPr>
              <w:t>3</w:t>
            </w:r>
          </w:p>
        </w:tc>
        <w:tc>
          <w:tcPr>
            <w:tcW w:w="2322" w:type="dxa"/>
            <w:tcBorders>
              <w:top w:val="nil"/>
              <w:left w:val="nil"/>
              <w:bottom w:val="single" w:sz="4" w:space="0" w:color="auto"/>
              <w:right w:val="single" w:sz="4" w:space="0" w:color="auto"/>
            </w:tcBorders>
            <w:shd w:val="clear" w:color="auto" w:fill="auto"/>
            <w:vAlign w:val="center"/>
            <w:hideMark/>
          </w:tcPr>
          <w:p w14:paraId="2CABE036" w14:textId="77777777" w:rsidR="001C1313" w:rsidRPr="00F23B61" w:rsidRDefault="001C1313" w:rsidP="00AF407E">
            <w:pPr>
              <w:pStyle w:val="Tabletext"/>
              <w:rPr>
                <w:lang w:eastAsia="en-AU"/>
              </w:rPr>
            </w:pPr>
            <w:r w:rsidRPr="00F23B61">
              <w:rPr>
                <w:lang w:eastAsia="en-AU"/>
              </w:rPr>
              <w:t>MBS Item 21936</w:t>
            </w:r>
          </w:p>
        </w:tc>
      </w:tr>
      <w:tr w:rsidR="001C1313" w:rsidRPr="00F23B61" w14:paraId="4A3377F9" w14:textId="77777777" w:rsidTr="004E2E17">
        <w:trPr>
          <w:trHeight w:val="484"/>
        </w:trPr>
        <w:tc>
          <w:tcPr>
            <w:tcW w:w="3172" w:type="dxa"/>
            <w:tcBorders>
              <w:top w:val="nil"/>
              <w:left w:val="single" w:sz="4" w:space="0" w:color="auto"/>
              <w:bottom w:val="single" w:sz="4" w:space="0" w:color="auto"/>
              <w:right w:val="single" w:sz="4" w:space="0" w:color="auto"/>
            </w:tcBorders>
            <w:shd w:val="clear" w:color="auto" w:fill="auto"/>
            <w:vAlign w:val="center"/>
            <w:hideMark/>
          </w:tcPr>
          <w:p w14:paraId="23519882" w14:textId="77777777" w:rsidR="001C1313" w:rsidRPr="00F23B61" w:rsidRDefault="001C1313" w:rsidP="00AF407E">
            <w:pPr>
              <w:pStyle w:val="Tabletext"/>
              <w:rPr>
                <w:lang w:eastAsia="en-AU"/>
              </w:rPr>
            </w:pPr>
            <w:r w:rsidRPr="00F23B61">
              <w:rPr>
                <w:lang w:eastAsia="en-AU"/>
              </w:rPr>
              <w:t>Administration of anaesthesia for 15 mins</w:t>
            </w:r>
          </w:p>
        </w:tc>
        <w:tc>
          <w:tcPr>
            <w:tcW w:w="2031" w:type="dxa"/>
            <w:gridSpan w:val="2"/>
            <w:tcBorders>
              <w:top w:val="nil"/>
              <w:left w:val="nil"/>
              <w:bottom w:val="single" w:sz="4" w:space="0" w:color="auto"/>
              <w:right w:val="single" w:sz="4" w:space="0" w:color="auto"/>
            </w:tcBorders>
            <w:shd w:val="clear" w:color="auto" w:fill="auto"/>
            <w:vAlign w:val="center"/>
            <w:hideMark/>
          </w:tcPr>
          <w:p w14:paraId="0C547564" w14:textId="77777777" w:rsidR="001C1313" w:rsidRPr="00F23B61" w:rsidRDefault="001C1313" w:rsidP="00AF407E">
            <w:pPr>
              <w:pStyle w:val="Tabletext"/>
              <w:rPr>
                <w:lang w:eastAsia="en-AU"/>
              </w:rPr>
            </w:pPr>
            <w:r w:rsidRPr="00F23B61">
              <w:rPr>
                <w:lang w:eastAsia="en-AU"/>
              </w:rPr>
              <w:t>Anaesthesiologist</w:t>
            </w:r>
          </w:p>
        </w:tc>
        <w:tc>
          <w:tcPr>
            <w:tcW w:w="1058" w:type="dxa"/>
            <w:gridSpan w:val="2"/>
            <w:tcBorders>
              <w:top w:val="nil"/>
              <w:left w:val="nil"/>
              <w:bottom w:val="single" w:sz="4" w:space="0" w:color="auto"/>
              <w:right w:val="single" w:sz="4" w:space="0" w:color="auto"/>
            </w:tcBorders>
            <w:shd w:val="clear" w:color="auto" w:fill="auto"/>
            <w:noWrap/>
            <w:vAlign w:val="center"/>
            <w:hideMark/>
          </w:tcPr>
          <w:p w14:paraId="1F283FB8" w14:textId="77777777" w:rsidR="001C1313" w:rsidRPr="00F23B61" w:rsidRDefault="001C1313" w:rsidP="00AF407E">
            <w:pPr>
              <w:pStyle w:val="Tabletext"/>
              <w:rPr>
                <w:lang w:eastAsia="en-AU"/>
              </w:rPr>
            </w:pPr>
            <w:r w:rsidRPr="00F23B61">
              <w:rPr>
                <w:lang w:eastAsia="en-AU"/>
              </w:rPr>
              <w:t>$20.10</w:t>
            </w:r>
          </w:p>
        </w:tc>
        <w:tc>
          <w:tcPr>
            <w:tcW w:w="876" w:type="dxa"/>
            <w:tcBorders>
              <w:top w:val="nil"/>
              <w:left w:val="nil"/>
              <w:bottom w:val="single" w:sz="4" w:space="0" w:color="auto"/>
              <w:right w:val="single" w:sz="4" w:space="0" w:color="auto"/>
            </w:tcBorders>
            <w:shd w:val="clear" w:color="auto" w:fill="auto"/>
            <w:vAlign w:val="center"/>
            <w:hideMark/>
          </w:tcPr>
          <w:p w14:paraId="662126C5" w14:textId="77777777" w:rsidR="001C1313" w:rsidRPr="00F23B61" w:rsidRDefault="001C1313" w:rsidP="00AF407E">
            <w:pPr>
              <w:pStyle w:val="Tabletext"/>
              <w:rPr>
                <w:lang w:eastAsia="en-AU"/>
              </w:rPr>
            </w:pPr>
            <w:r w:rsidRPr="00F23B61">
              <w:rPr>
                <w:lang w:eastAsia="en-AU"/>
              </w:rPr>
              <w:t>3</w:t>
            </w:r>
          </w:p>
        </w:tc>
        <w:tc>
          <w:tcPr>
            <w:tcW w:w="2322" w:type="dxa"/>
            <w:tcBorders>
              <w:top w:val="nil"/>
              <w:left w:val="nil"/>
              <w:bottom w:val="single" w:sz="4" w:space="0" w:color="auto"/>
              <w:right w:val="single" w:sz="4" w:space="0" w:color="auto"/>
            </w:tcBorders>
            <w:shd w:val="clear" w:color="auto" w:fill="auto"/>
            <w:vAlign w:val="center"/>
            <w:hideMark/>
          </w:tcPr>
          <w:p w14:paraId="20D944DC" w14:textId="77777777" w:rsidR="001C1313" w:rsidRPr="00F23B61" w:rsidRDefault="001C1313" w:rsidP="00AF407E">
            <w:pPr>
              <w:pStyle w:val="Tabletext"/>
              <w:rPr>
                <w:lang w:eastAsia="en-AU"/>
              </w:rPr>
            </w:pPr>
            <w:r w:rsidRPr="00F23B61">
              <w:rPr>
                <w:lang w:eastAsia="en-AU"/>
              </w:rPr>
              <w:t>MBS Item 23010</w:t>
            </w:r>
          </w:p>
        </w:tc>
      </w:tr>
      <w:tr w:rsidR="001C1313" w:rsidRPr="002E01E6" w14:paraId="2E3CD1DE" w14:textId="77777777" w:rsidTr="004E2E17">
        <w:trPr>
          <w:trHeight w:val="285"/>
        </w:trPr>
        <w:tc>
          <w:tcPr>
            <w:tcW w:w="3172"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7FAD098C" w14:textId="77777777" w:rsidR="001C1313" w:rsidRPr="002E01E6" w:rsidRDefault="001C1313" w:rsidP="00AF407E">
            <w:pPr>
              <w:pStyle w:val="Tabletext"/>
              <w:rPr>
                <w:b/>
                <w:bCs w:val="0"/>
                <w:lang w:eastAsia="en-AU"/>
              </w:rPr>
            </w:pPr>
            <w:r w:rsidRPr="002E01E6">
              <w:rPr>
                <w:b/>
                <w:bCs w:val="0"/>
                <w:lang w:eastAsia="en-AU"/>
              </w:rPr>
              <w:t>Prostheses Costs</w:t>
            </w:r>
          </w:p>
        </w:tc>
        <w:tc>
          <w:tcPr>
            <w:tcW w:w="2031"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2C544143" w14:textId="77777777" w:rsidR="001C1313" w:rsidRPr="002E01E6" w:rsidRDefault="001C1313" w:rsidP="00AF407E">
            <w:pPr>
              <w:pStyle w:val="Tabletext"/>
              <w:rPr>
                <w:b/>
                <w:bCs w:val="0"/>
                <w:lang w:eastAsia="en-AU"/>
              </w:rPr>
            </w:pPr>
            <w:r w:rsidRPr="002E01E6">
              <w:rPr>
                <w:b/>
                <w:bCs w:val="0"/>
                <w:lang w:eastAsia="en-AU"/>
              </w:rPr>
              <w:t> </w:t>
            </w:r>
          </w:p>
        </w:tc>
        <w:tc>
          <w:tcPr>
            <w:tcW w:w="1058"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3758757E" w14:textId="77777777" w:rsidR="001C1313" w:rsidRPr="002E01E6" w:rsidRDefault="001C1313" w:rsidP="00AF407E">
            <w:pPr>
              <w:pStyle w:val="Tabletext"/>
              <w:rPr>
                <w:b/>
                <w:bCs w:val="0"/>
                <w:lang w:eastAsia="en-AU"/>
              </w:rPr>
            </w:pPr>
            <w:r w:rsidRPr="002E01E6">
              <w:rPr>
                <w:b/>
                <w:bCs w:val="0"/>
                <w:lang w:eastAsia="en-AU"/>
              </w:rPr>
              <w:t> </w:t>
            </w:r>
          </w:p>
        </w:tc>
        <w:tc>
          <w:tcPr>
            <w:tcW w:w="876" w:type="dxa"/>
            <w:tcBorders>
              <w:top w:val="single" w:sz="4" w:space="0" w:color="auto"/>
              <w:left w:val="nil"/>
              <w:bottom w:val="single" w:sz="4" w:space="0" w:color="auto"/>
              <w:right w:val="nil"/>
            </w:tcBorders>
            <w:shd w:val="clear" w:color="auto" w:fill="F2F2F2" w:themeFill="background1" w:themeFillShade="F2"/>
            <w:vAlign w:val="center"/>
            <w:hideMark/>
          </w:tcPr>
          <w:p w14:paraId="57A0278E" w14:textId="77777777" w:rsidR="001C1313" w:rsidRPr="002E01E6" w:rsidRDefault="001C1313" w:rsidP="00AF407E">
            <w:pPr>
              <w:pStyle w:val="Tabletext"/>
              <w:rPr>
                <w:b/>
                <w:bCs w:val="0"/>
                <w:lang w:eastAsia="en-AU"/>
              </w:rPr>
            </w:pPr>
            <w:r w:rsidRPr="002E01E6">
              <w:rPr>
                <w:b/>
                <w:bCs w:val="0"/>
                <w:lang w:eastAsia="en-AU"/>
              </w:rPr>
              <w:t> </w:t>
            </w:r>
          </w:p>
        </w:tc>
        <w:tc>
          <w:tcPr>
            <w:tcW w:w="23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1A690C" w14:textId="77777777" w:rsidR="001C1313" w:rsidRPr="002E01E6" w:rsidRDefault="001C1313" w:rsidP="00AF407E">
            <w:pPr>
              <w:pStyle w:val="Tabletext"/>
              <w:rPr>
                <w:b/>
                <w:bCs w:val="0"/>
                <w:lang w:eastAsia="en-AU"/>
              </w:rPr>
            </w:pPr>
            <w:r w:rsidRPr="002E01E6">
              <w:rPr>
                <w:b/>
                <w:bCs w:val="0"/>
                <w:lang w:eastAsia="en-AU"/>
              </w:rPr>
              <w:t> </w:t>
            </w:r>
          </w:p>
        </w:tc>
      </w:tr>
      <w:tr w:rsidR="001C1313" w:rsidRPr="00F23B61" w14:paraId="5528726D" w14:textId="77777777" w:rsidTr="004E2E17">
        <w:trPr>
          <w:trHeight w:val="299"/>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C09B0" w14:textId="77777777" w:rsidR="001C1313" w:rsidRPr="00F23B61" w:rsidRDefault="001C1313" w:rsidP="00AF407E">
            <w:pPr>
              <w:pStyle w:val="Tabletext"/>
              <w:rPr>
                <w:lang w:eastAsia="en-AU"/>
              </w:rPr>
            </w:pPr>
            <w:r w:rsidRPr="00F23B61">
              <w:rPr>
                <w:lang w:eastAsia="en-AU"/>
              </w:rPr>
              <w:t xml:space="preserve">LAA </w:t>
            </w:r>
            <w:r>
              <w:rPr>
                <w:lang w:eastAsia="en-AU"/>
              </w:rPr>
              <w:t>occluder</w:t>
            </w:r>
          </w:p>
        </w:tc>
        <w:tc>
          <w:tcPr>
            <w:tcW w:w="20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C8F2F" w14:textId="77777777" w:rsidR="001C1313" w:rsidRPr="00F23B61" w:rsidRDefault="001C1313" w:rsidP="00AF407E">
            <w:pPr>
              <w:pStyle w:val="Tabletext"/>
              <w:rPr>
                <w:lang w:eastAsia="en-AU"/>
              </w:rPr>
            </w:pPr>
            <w:r w:rsidRPr="00F23B61">
              <w:rPr>
                <w:lang w:eastAsia="en-AU"/>
              </w:rPr>
              <w:t>Prostheses</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DEDCB" w14:textId="77777777" w:rsidR="001C1313" w:rsidRPr="00F23B61" w:rsidRDefault="001C1313" w:rsidP="00AF407E">
            <w:pPr>
              <w:pStyle w:val="Tabletext"/>
              <w:rPr>
                <w:lang w:eastAsia="en-AU"/>
              </w:rPr>
            </w:pPr>
            <w:r w:rsidRPr="00F23B61">
              <w:rPr>
                <w:lang w:eastAsia="en-AU"/>
              </w:rPr>
              <w:t>$</w:t>
            </w:r>
            <w:r>
              <w:rPr>
                <w:lang w:eastAsia="en-AU"/>
              </w:rPr>
              <w:t>11,400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857FD" w14:textId="77777777" w:rsidR="001C1313" w:rsidRPr="00F23B61" w:rsidRDefault="001C1313" w:rsidP="00AF407E">
            <w:pPr>
              <w:pStyle w:val="Tabletext"/>
              <w:rPr>
                <w:lang w:eastAsia="en-AU"/>
              </w:rPr>
            </w:pPr>
            <w:r w:rsidRPr="00F23B61">
              <w:rPr>
                <w:lang w:eastAsia="en-AU"/>
              </w:rPr>
              <w:t>1.07</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1286C" w14:textId="3548D285" w:rsidR="001C1313" w:rsidRPr="00F23B61" w:rsidRDefault="001C1313" w:rsidP="00AF407E">
            <w:pPr>
              <w:pStyle w:val="Tabletext"/>
              <w:rPr>
                <w:lang w:eastAsia="en-AU"/>
              </w:rPr>
            </w:pPr>
            <w:r>
              <w:rPr>
                <w:lang w:eastAsia="en-AU"/>
              </w:rPr>
              <w:t xml:space="preserve">Occluder </w:t>
            </w:r>
            <w:r w:rsidRPr="00F23B61">
              <w:rPr>
                <w:lang w:eastAsia="en-AU"/>
              </w:rPr>
              <w:t>Device and Delivery System </w:t>
            </w:r>
            <w:r>
              <w:rPr>
                <w:lang w:eastAsia="en-AU"/>
              </w:rPr>
              <w:t>– SOURCE PROSTHESIS LIST</w:t>
            </w:r>
          </w:p>
        </w:tc>
      </w:tr>
      <w:tr w:rsidR="001C1313" w:rsidRPr="002E01E6" w14:paraId="5160A3ED" w14:textId="77777777" w:rsidTr="004E2E17">
        <w:trPr>
          <w:trHeight w:val="355"/>
        </w:trPr>
        <w:tc>
          <w:tcPr>
            <w:tcW w:w="3172"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BBAAC79" w14:textId="77777777" w:rsidR="001C1313" w:rsidRPr="002E01E6" w:rsidRDefault="001C1313" w:rsidP="00AF407E">
            <w:pPr>
              <w:pStyle w:val="Tabletext"/>
              <w:rPr>
                <w:b/>
                <w:bCs w:val="0"/>
                <w:lang w:eastAsia="en-AU"/>
              </w:rPr>
            </w:pPr>
            <w:r w:rsidRPr="002E01E6">
              <w:rPr>
                <w:b/>
                <w:bCs w:val="0"/>
                <w:lang w:eastAsia="en-AU"/>
              </w:rPr>
              <w:t>Hospital Services</w:t>
            </w:r>
          </w:p>
        </w:tc>
        <w:tc>
          <w:tcPr>
            <w:tcW w:w="2031"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13774E83" w14:textId="77777777" w:rsidR="001C1313" w:rsidRPr="002E01E6" w:rsidRDefault="001C1313" w:rsidP="00AF407E">
            <w:pPr>
              <w:pStyle w:val="Tabletext"/>
              <w:rPr>
                <w:b/>
                <w:bCs w:val="0"/>
                <w:lang w:eastAsia="en-AU"/>
              </w:rPr>
            </w:pPr>
            <w:r w:rsidRPr="002E01E6">
              <w:rPr>
                <w:b/>
                <w:bCs w:val="0"/>
                <w:lang w:eastAsia="en-AU"/>
              </w:rPr>
              <w:t> </w:t>
            </w:r>
          </w:p>
        </w:tc>
        <w:tc>
          <w:tcPr>
            <w:tcW w:w="1058"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630BC60A" w14:textId="77777777" w:rsidR="001C1313" w:rsidRPr="002E01E6" w:rsidRDefault="001C1313" w:rsidP="00AF407E">
            <w:pPr>
              <w:pStyle w:val="Tabletext"/>
              <w:rPr>
                <w:b/>
                <w:bCs w:val="0"/>
                <w:lang w:eastAsia="en-AU"/>
              </w:rPr>
            </w:pPr>
            <w:r w:rsidRPr="002E01E6">
              <w:rPr>
                <w:b/>
                <w:bCs w:val="0"/>
                <w:lang w:eastAsia="en-AU"/>
              </w:rPr>
              <w:t> </w:t>
            </w:r>
          </w:p>
        </w:tc>
        <w:tc>
          <w:tcPr>
            <w:tcW w:w="876" w:type="dxa"/>
            <w:tcBorders>
              <w:top w:val="single" w:sz="4" w:space="0" w:color="auto"/>
              <w:left w:val="nil"/>
              <w:bottom w:val="single" w:sz="4" w:space="0" w:color="auto"/>
              <w:right w:val="nil"/>
            </w:tcBorders>
            <w:shd w:val="clear" w:color="auto" w:fill="F2F2F2" w:themeFill="background1" w:themeFillShade="F2"/>
            <w:vAlign w:val="center"/>
            <w:hideMark/>
          </w:tcPr>
          <w:p w14:paraId="55B94E4A" w14:textId="77777777" w:rsidR="001C1313" w:rsidRPr="002E01E6" w:rsidRDefault="001C1313" w:rsidP="00AF407E">
            <w:pPr>
              <w:pStyle w:val="Tabletext"/>
              <w:rPr>
                <w:b/>
                <w:bCs w:val="0"/>
                <w:lang w:eastAsia="en-AU"/>
              </w:rPr>
            </w:pPr>
            <w:r w:rsidRPr="002E01E6">
              <w:rPr>
                <w:b/>
                <w:bCs w:val="0"/>
                <w:lang w:eastAsia="en-AU"/>
              </w:rPr>
              <w:t> </w:t>
            </w:r>
          </w:p>
        </w:tc>
        <w:tc>
          <w:tcPr>
            <w:tcW w:w="23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FD52DC" w14:textId="77777777" w:rsidR="001C1313" w:rsidRPr="002E01E6" w:rsidRDefault="001C1313" w:rsidP="00AF407E">
            <w:pPr>
              <w:pStyle w:val="Tabletext"/>
              <w:rPr>
                <w:b/>
                <w:bCs w:val="0"/>
                <w:lang w:eastAsia="en-AU"/>
              </w:rPr>
            </w:pPr>
            <w:r w:rsidRPr="002E01E6">
              <w:rPr>
                <w:b/>
                <w:bCs w:val="0"/>
                <w:lang w:eastAsia="en-AU"/>
              </w:rPr>
              <w:t> </w:t>
            </w:r>
          </w:p>
        </w:tc>
      </w:tr>
      <w:tr w:rsidR="001C1313" w:rsidRPr="00F23B61" w14:paraId="54F57F20" w14:textId="77777777" w:rsidTr="004E2E17">
        <w:trPr>
          <w:trHeight w:val="484"/>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DAB6B" w14:textId="77777777" w:rsidR="001C1313" w:rsidRPr="00F23B61" w:rsidRDefault="001C1313" w:rsidP="00AF407E">
            <w:pPr>
              <w:pStyle w:val="Tabletext"/>
              <w:rPr>
                <w:lang w:eastAsia="en-AU"/>
              </w:rPr>
            </w:pPr>
            <w:r w:rsidRPr="00F23B61">
              <w:rPr>
                <w:lang w:eastAsia="en-AU"/>
              </w:rPr>
              <w:t>Hospital procedure and admission costs e.g. OR, accommodation, nursing, allied health etc.</w:t>
            </w:r>
          </w:p>
        </w:tc>
        <w:tc>
          <w:tcPr>
            <w:tcW w:w="2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25E611" w14:textId="77777777" w:rsidR="001C1313" w:rsidRPr="00F23B61" w:rsidRDefault="001C1313" w:rsidP="00AF407E">
            <w:pPr>
              <w:pStyle w:val="Tabletext"/>
              <w:rPr>
                <w:lang w:eastAsia="en-AU"/>
              </w:rPr>
            </w:pPr>
            <w:r w:rsidRPr="00F23B61">
              <w:rPr>
                <w:lang w:eastAsia="en-AU"/>
              </w:rPr>
              <w:t>Hospital</w:t>
            </w:r>
          </w:p>
        </w:tc>
        <w:tc>
          <w:tcPr>
            <w:tcW w:w="10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F7C482" w14:textId="77777777" w:rsidR="001C1313" w:rsidRPr="00F23B61" w:rsidRDefault="001C1313" w:rsidP="00AF407E">
            <w:pPr>
              <w:pStyle w:val="Tabletext"/>
              <w:rPr>
                <w:lang w:eastAsia="en-AU"/>
              </w:rPr>
            </w:pPr>
            <w:r w:rsidRPr="00F23B61">
              <w:rPr>
                <w:lang w:eastAsia="en-AU"/>
              </w:rPr>
              <w:t>$6,116.00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633AA11E" w14:textId="77777777" w:rsidR="001C1313" w:rsidRPr="00F23B61" w:rsidRDefault="001C1313" w:rsidP="00AF407E">
            <w:pPr>
              <w:pStyle w:val="Tabletext"/>
              <w:rPr>
                <w:lang w:eastAsia="en-AU"/>
              </w:rPr>
            </w:pPr>
            <w:r w:rsidRPr="00F23B61">
              <w:rPr>
                <w:lang w:eastAsia="en-AU"/>
              </w:rPr>
              <w:t> </w:t>
            </w: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5B43D955" w14:textId="77777777" w:rsidR="001C1313" w:rsidRPr="00F23B61" w:rsidRDefault="001C1313" w:rsidP="00AF407E">
            <w:pPr>
              <w:pStyle w:val="Tabletext"/>
              <w:rPr>
                <w:lang w:eastAsia="en-AU"/>
              </w:rPr>
            </w:pPr>
            <w:r w:rsidRPr="00F23B61">
              <w:rPr>
                <w:lang w:eastAsia="en-AU"/>
              </w:rPr>
              <w:t>AR-DRG: F42B - prosthesis cost</w:t>
            </w:r>
          </w:p>
        </w:tc>
      </w:tr>
      <w:tr w:rsidR="001C1313" w:rsidRPr="00F23B61" w14:paraId="7BEC34F6" w14:textId="77777777" w:rsidTr="004E2E17">
        <w:trPr>
          <w:trHeight w:val="285"/>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AC205" w14:textId="77777777" w:rsidR="001C1313" w:rsidRPr="00F23B61" w:rsidRDefault="001C1313" w:rsidP="00AF407E">
            <w:pPr>
              <w:pStyle w:val="Tabletext"/>
              <w:rPr>
                <w:lang w:eastAsia="en-AU"/>
              </w:rPr>
            </w:pPr>
            <w:r w:rsidRPr="00F23B61">
              <w:rPr>
                <w:lang w:eastAsia="en-AU"/>
              </w:rPr>
              <w:t>Total Cost Per Patient (excluding occluder and Hospital Stay)</w:t>
            </w:r>
          </w:p>
        </w:tc>
        <w:tc>
          <w:tcPr>
            <w:tcW w:w="2031" w:type="dxa"/>
            <w:gridSpan w:val="2"/>
            <w:tcBorders>
              <w:top w:val="single" w:sz="4" w:space="0" w:color="auto"/>
              <w:left w:val="nil"/>
              <w:bottom w:val="single" w:sz="4" w:space="0" w:color="auto"/>
              <w:right w:val="single" w:sz="4" w:space="0" w:color="auto"/>
            </w:tcBorders>
            <w:shd w:val="clear" w:color="auto" w:fill="auto"/>
            <w:vAlign w:val="center"/>
            <w:hideMark/>
          </w:tcPr>
          <w:p w14:paraId="42921A06" w14:textId="77777777" w:rsidR="001C1313" w:rsidRPr="00F23B61" w:rsidRDefault="001C1313" w:rsidP="00AF407E">
            <w:pPr>
              <w:pStyle w:val="Tabletext"/>
              <w:rPr>
                <w:lang w:eastAsia="en-AU"/>
              </w:rPr>
            </w:pPr>
            <w:r w:rsidRPr="00F23B61">
              <w:rPr>
                <w:lang w:eastAsia="en-AU"/>
              </w:rPr>
              <w:t> </w:t>
            </w:r>
          </w:p>
        </w:tc>
        <w:tc>
          <w:tcPr>
            <w:tcW w:w="1058" w:type="dxa"/>
            <w:gridSpan w:val="2"/>
            <w:tcBorders>
              <w:top w:val="single" w:sz="4" w:space="0" w:color="auto"/>
              <w:left w:val="nil"/>
              <w:bottom w:val="single" w:sz="4" w:space="0" w:color="auto"/>
              <w:right w:val="single" w:sz="4" w:space="0" w:color="auto"/>
            </w:tcBorders>
            <w:shd w:val="clear" w:color="auto" w:fill="auto"/>
            <w:vAlign w:val="center"/>
            <w:hideMark/>
          </w:tcPr>
          <w:p w14:paraId="79FD3AB5" w14:textId="7C3F56CC" w:rsidR="001C1313" w:rsidRPr="00F23B61" w:rsidRDefault="00613CFF" w:rsidP="00AF407E">
            <w:pPr>
              <w:pStyle w:val="Tabletext"/>
              <w:rPr>
                <w:lang w:eastAsia="en-AU"/>
              </w:rPr>
            </w:pPr>
            <w:r w:rsidRPr="00613CFF">
              <w:rPr>
                <w:lang w:eastAsia="en-AU"/>
              </w:rPr>
              <w:t>$2,457.80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2C22C7E" w14:textId="77777777" w:rsidR="001C1313" w:rsidRPr="00F23B61" w:rsidRDefault="001C1313" w:rsidP="00AF407E">
            <w:pPr>
              <w:pStyle w:val="Tabletext"/>
              <w:rPr>
                <w:lang w:eastAsia="en-AU"/>
              </w:rPr>
            </w:pPr>
            <w:r w:rsidRPr="00F23B61">
              <w:rPr>
                <w:lang w:eastAsia="en-AU"/>
              </w:rPr>
              <w:t> </w:t>
            </w: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E317F44" w14:textId="77777777" w:rsidR="001C1313" w:rsidRPr="00F23B61" w:rsidRDefault="001C1313" w:rsidP="00AF407E">
            <w:pPr>
              <w:pStyle w:val="Tabletext"/>
              <w:rPr>
                <w:lang w:eastAsia="en-AU"/>
              </w:rPr>
            </w:pPr>
          </w:p>
        </w:tc>
      </w:tr>
      <w:tr w:rsidR="004E2E17" w:rsidRPr="004E2E17" w14:paraId="504A1259" w14:textId="77777777" w:rsidTr="004E2E17">
        <w:trPr>
          <w:trHeight w:val="285"/>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380A81F8" w14:textId="21BF34E9" w:rsidR="004E2E17" w:rsidRPr="004E2E17" w:rsidRDefault="004E2E17" w:rsidP="00AF407E">
            <w:pPr>
              <w:pStyle w:val="Tabletext"/>
              <w:rPr>
                <w:b/>
                <w:bCs w:val="0"/>
                <w:lang w:eastAsia="en-AU"/>
              </w:rPr>
            </w:pPr>
            <w:r w:rsidRPr="004E2E17">
              <w:rPr>
                <w:b/>
                <w:bCs w:val="0"/>
                <w:lang w:eastAsia="en-AU"/>
              </w:rPr>
              <w:t>Total cost of LAAC procedure/patient-</w:t>
            </w:r>
          </w:p>
        </w:tc>
        <w:tc>
          <w:tcPr>
            <w:tcW w:w="2031" w:type="dxa"/>
            <w:gridSpan w:val="2"/>
            <w:tcBorders>
              <w:top w:val="single" w:sz="4" w:space="0" w:color="auto"/>
              <w:left w:val="nil"/>
              <w:bottom w:val="single" w:sz="4" w:space="0" w:color="auto"/>
              <w:right w:val="single" w:sz="4" w:space="0" w:color="auto"/>
            </w:tcBorders>
            <w:shd w:val="clear" w:color="auto" w:fill="auto"/>
            <w:vAlign w:val="center"/>
          </w:tcPr>
          <w:p w14:paraId="0628DA58" w14:textId="77777777" w:rsidR="004E2E17" w:rsidRPr="004E2E17" w:rsidRDefault="004E2E17" w:rsidP="00AF407E">
            <w:pPr>
              <w:pStyle w:val="Tabletext"/>
              <w:rPr>
                <w:b/>
                <w:bCs w:val="0"/>
                <w:lang w:eastAsia="en-AU"/>
              </w:rPr>
            </w:pPr>
          </w:p>
        </w:tc>
        <w:tc>
          <w:tcPr>
            <w:tcW w:w="1058" w:type="dxa"/>
            <w:gridSpan w:val="2"/>
            <w:tcBorders>
              <w:top w:val="single" w:sz="4" w:space="0" w:color="auto"/>
              <w:left w:val="nil"/>
              <w:bottom w:val="single" w:sz="4" w:space="0" w:color="auto"/>
              <w:right w:val="single" w:sz="4" w:space="0" w:color="auto"/>
            </w:tcBorders>
            <w:shd w:val="clear" w:color="auto" w:fill="auto"/>
            <w:vAlign w:val="center"/>
          </w:tcPr>
          <w:p w14:paraId="684D0DE0" w14:textId="68C1626F" w:rsidR="004E2E17" w:rsidRPr="004E2E17" w:rsidRDefault="004E2E17" w:rsidP="00AF407E">
            <w:pPr>
              <w:pStyle w:val="Tabletext"/>
              <w:rPr>
                <w:b/>
                <w:bCs w:val="0"/>
                <w:lang w:eastAsia="en-AU"/>
              </w:rPr>
            </w:pPr>
            <w:r w:rsidRPr="004E2E17">
              <w:rPr>
                <w:b/>
                <w:bCs w:val="0"/>
                <w:lang w:eastAsia="en-AU"/>
              </w:rPr>
              <w:t>$19,973.80</w:t>
            </w:r>
          </w:p>
        </w:tc>
        <w:tc>
          <w:tcPr>
            <w:tcW w:w="876" w:type="dxa"/>
            <w:tcBorders>
              <w:top w:val="single" w:sz="4" w:space="0" w:color="auto"/>
              <w:left w:val="nil"/>
              <w:bottom w:val="single" w:sz="4" w:space="0" w:color="auto"/>
              <w:right w:val="single" w:sz="4" w:space="0" w:color="auto"/>
            </w:tcBorders>
            <w:shd w:val="clear" w:color="auto" w:fill="auto"/>
            <w:vAlign w:val="center"/>
          </w:tcPr>
          <w:p w14:paraId="6F1A3525" w14:textId="77777777" w:rsidR="004E2E17" w:rsidRPr="004E2E17" w:rsidRDefault="004E2E17" w:rsidP="00AF407E">
            <w:pPr>
              <w:pStyle w:val="Tabletext"/>
              <w:rPr>
                <w:b/>
                <w:bCs w:val="0"/>
                <w:lang w:eastAsia="en-AU"/>
              </w:rPr>
            </w:pPr>
          </w:p>
        </w:tc>
        <w:tc>
          <w:tcPr>
            <w:tcW w:w="2322" w:type="dxa"/>
            <w:tcBorders>
              <w:top w:val="single" w:sz="4" w:space="0" w:color="auto"/>
              <w:left w:val="nil"/>
              <w:bottom w:val="single" w:sz="4" w:space="0" w:color="auto"/>
              <w:right w:val="single" w:sz="4" w:space="0" w:color="auto"/>
            </w:tcBorders>
            <w:shd w:val="clear" w:color="auto" w:fill="auto"/>
            <w:vAlign w:val="center"/>
          </w:tcPr>
          <w:p w14:paraId="5B75C66C" w14:textId="77777777" w:rsidR="004E2E17" w:rsidRPr="004E2E17" w:rsidRDefault="004E2E17" w:rsidP="00AF407E">
            <w:pPr>
              <w:pStyle w:val="Tabletext"/>
              <w:rPr>
                <w:b/>
                <w:bCs w:val="0"/>
                <w:lang w:eastAsia="en-AU"/>
              </w:rPr>
            </w:pPr>
          </w:p>
        </w:tc>
      </w:tr>
    </w:tbl>
    <w:p w14:paraId="78F64DB4" w14:textId="77777777" w:rsidR="00F23B61" w:rsidRPr="00154B00" w:rsidRDefault="00F23B61" w:rsidP="00AE1188">
      <w:pPr>
        <w:ind w:left="426"/>
        <w:rPr>
          <w:szCs w:val="20"/>
        </w:rPr>
      </w:pPr>
    </w:p>
    <w:p w14:paraId="60DAD291"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6308E3ED" w14:textId="24F1D94E" w:rsidR="00F23B61" w:rsidRPr="00F23B61" w:rsidRDefault="00F23B61" w:rsidP="00F23B61">
      <w:pPr>
        <w:ind w:left="426"/>
        <w:rPr>
          <w:bCs/>
          <w:szCs w:val="20"/>
        </w:rPr>
      </w:pPr>
      <w:r w:rsidRPr="00F23B61">
        <w:rPr>
          <w:bCs/>
          <w:szCs w:val="20"/>
        </w:rPr>
        <w:t xml:space="preserve">The </w:t>
      </w:r>
      <w:r>
        <w:rPr>
          <w:bCs/>
          <w:szCs w:val="20"/>
        </w:rPr>
        <w:t xml:space="preserve">procedure </w:t>
      </w:r>
      <w:r w:rsidRPr="00F23B61">
        <w:rPr>
          <w:bCs/>
          <w:szCs w:val="20"/>
        </w:rPr>
        <w:t>is performed under local or general anaesthesia by an interventional cardiologist or cardiac electrophysiologist in a catheterisation laboratory under guidance of fluoroscopy and TOE. The procedure takes approximately 60 minutes, which includes pre-, intra- and post-service components (see below).</w:t>
      </w:r>
    </w:p>
    <w:p w14:paraId="671CE711" w14:textId="77777777" w:rsidR="00F23B61" w:rsidRPr="00F23B61" w:rsidRDefault="00F23B61" w:rsidP="00F23B61">
      <w:pPr>
        <w:ind w:left="426"/>
        <w:rPr>
          <w:bCs/>
          <w:szCs w:val="20"/>
        </w:rPr>
      </w:pPr>
      <w:r w:rsidRPr="00F23B61">
        <w:rPr>
          <w:bCs/>
          <w:szCs w:val="20"/>
        </w:rPr>
        <w:t>•</w:t>
      </w:r>
      <w:r w:rsidRPr="00F23B61">
        <w:rPr>
          <w:bCs/>
          <w:szCs w:val="20"/>
        </w:rPr>
        <w:tab/>
        <w:t>Pre-service component: 5—10 min. The physician will review patient notes and acquire patient consent for the procedure.</w:t>
      </w:r>
    </w:p>
    <w:p w14:paraId="5AD96D90" w14:textId="77777777" w:rsidR="00F23B61" w:rsidRPr="00F23B61" w:rsidRDefault="00F23B61" w:rsidP="00F23B61">
      <w:pPr>
        <w:ind w:left="426"/>
        <w:rPr>
          <w:bCs/>
          <w:szCs w:val="20"/>
        </w:rPr>
      </w:pPr>
      <w:r w:rsidRPr="00F23B61">
        <w:rPr>
          <w:bCs/>
          <w:szCs w:val="20"/>
        </w:rPr>
        <w:t>•</w:t>
      </w:r>
      <w:r w:rsidRPr="00F23B61">
        <w:rPr>
          <w:bCs/>
          <w:szCs w:val="20"/>
        </w:rPr>
        <w:tab/>
        <w:t>Intra-service component: mean LAA occlusion procedure time is 51.5 ± 27.7 minutes (Reddy et al 2013).</w:t>
      </w:r>
    </w:p>
    <w:p w14:paraId="127DFAA8" w14:textId="77C9DF39" w:rsidR="00F23B61" w:rsidRDefault="00F23B61" w:rsidP="00F23B61">
      <w:pPr>
        <w:ind w:left="426"/>
        <w:rPr>
          <w:bCs/>
          <w:szCs w:val="20"/>
        </w:rPr>
      </w:pPr>
      <w:r w:rsidRPr="00F23B61">
        <w:rPr>
          <w:bCs/>
          <w:szCs w:val="20"/>
        </w:rPr>
        <w:t>•</w:t>
      </w:r>
      <w:r w:rsidRPr="00F23B61">
        <w:rPr>
          <w:bCs/>
          <w:szCs w:val="20"/>
        </w:rPr>
        <w:tab/>
        <w:t>Post-service component: 5 minutes. This may include procedures notes.</w:t>
      </w:r>
    </w:p>
    <w:p w14:paraId="168586CB" w14:textId="77777777" w:rsidR="002E01E6" w:rsidRPr="00F23B61" w:rsidRDefault="002E01E6" w:rsidP="00F23B61">
      <w:pPr>
        <w:ind w:left="426"/>
        <w:rPr>
          <w:bCs/>
          <w:szCs w:val="20"/>
        </w:rPr>
      </w:pPr>
    </w:p>
    <w:p w14:paraId="61BA6604" w14:textId="7D9B5268"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202BB234" w14:textId="0E46C5F8" w:rsidR="002E01E6" w:rsidRDefault="0082754C" w:rsidP="0082754C">
      <w:pPr>
        <w:ind w:left="360"/>
      </w:pPr>
      <w:r>
        <w:t xml:space="preserve">The </w:t>
      </w:r>
      <w:r w:rsidR="00B105C7">
        <w:t>MB</w:t>
      </w:r>
      <w:r w:rsidR="003F3D7E">
        <w:t>S</w:t>
      </w:r>
      <w:r w:rsidR="00B105C7">
        <w:t xml:space="preserve"> </w:t>
      </w:r>
      <w:r>
        <w:t xml:space="preserve">item descriptor </w:t>
      </w:r>
      <w:r w:rsidR="003C7D66">
        <w:t>and</w:t>
      </w:r>
      <w:r w:rsidR="004E2E17">
        <w:t xml:space="preserve"> proposed</w:t>
      </w:r>
      <w:r w:rsidR="003C7D66">
        <w:t xml:space="preserve"> associated explanatory notes </w:t>
      </w:r>
      <w:r>
        <w:t>for the LAAC</w:t>
      </w:r>
      <w:r w:rsidR="00B105C7">
        <w:t xml:space="preserve"> procedure</w:t>
      </w:r>
      <w:r>
        <w:t xml:space="preserve"> is provided in</w:t>
      </w:r>
      <w:r w:rsidR="00B105C7">
        <w:t xml:space="preserve"> </w:t>
      </w:r>
      <w:r w:rsidR="00B105C7">
        <w:fldChar w:fldCharType="begin"/>
      </w:r>
      <w:r w:rsidR="00B105C7">
        <w:instrText xml:space="preserve"> REF _Ref23167042 \h </w:instrText>
      </w:r>
      <w:r w:rsidR="00B105C7">
        <w:fldChar w:fldCharType="separate"/>
      </w:r>
      <w:r w:rsidR="004E2E17">
        <w:t xml:space="preserve">Table </w:t>
      </w:r>
      <w:r w:rsidR="004E2E17">
        <w:rPr>
          <w:noProof/>
        </w:rPr>
        <w:t>10</w:t>
      </w:r>
      <w:r w:rsidR="00B105C7">
        <w:fldChar w:fldCharType="end"/>
      </w:r>
      <w:r>
        <w:t>. The proposed item fee and descriptor is identical to the current MBS item for LAAC</w:t>
      </w:r>
      <w:r w:rsidR="002E01E6">
        <w:t xml:space="preserve">. The proposed changes refer to the definition of contraindication in the explanatory notes. </w:t>
      </w:r>
    </w:p>
    <w:p w14:paraId="5BE32A37" w14:textId="2A476812" w:rsidR="0082754C" w:rsidRDefault="0082754C" w:rsidP="0082754C">
      <w:pPr>
        <w:ind w:left="360"/>
      </w:pPr>
      <w:r>
        <w:t xml:space="preserve">The notes to the current MBS item descriptor </w:t>
      </w:r>
      <w:r w:rsidR="00B105C7">
        <w:t>stipulate</w:t>
      </w:r>
      <w:r>
        <w:t xml:space="preserve"> patients must have </w:t>
      </w:r>
      <w:r w:rsidR="004E2E17">
        <w:t>(</w:t>
      </w:r>
      <w:r>
        <w:t>absolute</w:t>
      </w:r>
      <w:r w:rsidR="004E2E17">
        <w:t>)</w:t>
      </w:r>
      <w:r>
        <w:t xml:space="preserve"> contraindications </w:t>
      </w:r>
      <w:r w:rsidR="004E2E17">
        <w:t xml:space="preserve">to life-long OAT, </w:t>
      </w:r>
      <w:r>
        <w:t xml:space="preserve">defined as: i) a previous major bleeding complication experienced whilst undergoing treatment with oral anticoagulation therapy, ii) a blood dyscrasia, or iii) a vascular abnormality predisposing to potentially life threatening haemorrhage. </w:t>
      </w:r>
    </w:p>
    <w:p w14:paraId="4AB55AE3" w14:textId="7C61B236" w:rsidR="00A51635" w:rsidRDefault="0082754C" w:rsidP="0082754C">
      <w:pPr>
        <w:ind w:left="360"/>
      </w:pPr>
      <w:r>
        <w:t xml:space="preserve">The proposed </w:t>
      </w:r>
      <w:r w:rsidR="002E01E6">
        <w:t xml:space="preserve">notes </w:t>
      </w:r>
      <w:r>
        <w:t xml:space="preserve">stipulate </w:t>
      </w:r>
      <w:r w:rsidR="004E2E17">
        <w:t xml:space="preserve">that </w:t>
      </w:r>
      <w:r>
        <w:t xml:space="preserve">patients </w:t>
      </w:r>
      <w:r w:rsidR="002E01E6">
        <w:t xml:space="preserve">must have </w:t>
      </w:r>
      <w:r>
        <w:t xml:space="preserve">a relative contraindication to life-long OAT </w:t>
      </w:r>
      <w:r w:rsidR="002E01E6">
        <w:t xml:space="preserve">as defined in </w:t>
      </w:r>
      <w:r w:rsidR="002E01E6">
        <w:fldChar w:fldCharType="begin"/>
      </w:r>
      <w:r w:rsidR="002E01E6">
        <w:instrText xml:space="preserve"> REF _Ref23167042 \h </w:instrText>
      </w:r>
      <w:r w:rsidR="002E01E6">
        <w:fldChar w:fldCharType="separate"/>
      </w:r>
      <w:r w:rsidR="004E2E17">
        <w:t xml:space="preserve">Table </w:t>
      </w:r>
      <w:r w:rsidR="004E2E17">
        <w:rPr>
          <w:noProof/>
        </w:rPr>
        <w:t>10</w:t>
      </w:r>
      <w:r w:rsidR="002E01E6">
        <w:fldChar w:fldCharType="end"/>
      </w:r>
      <w:r>
        <w:t xml:space="preserve">. </w:t>
      </w:r>
    </w:p>
    <w:p w14:paraId="303EA4AF" w14:textId="7861AA93" w:rsidR="00AE1188" w:rsidRPr="00B105C7" w:rsidRDefault="00B105C7" w:rsidP="00B105C7">
      <w:pPr>
        <w:pStyle w:val="Caption"/>
      </w:pPr>
      <w:bookmarkStart w:id="36" w:name="_Ref23167042"/>
      <w:r>
        <w:t xml:space="preserve">Table </w:t>
      </w:r>
      <w:fldSimple w:instr=" SEQ Table \* ARABIC ">
        <w:r w:rsidR="004E2E17">
          <w:rPr>
            <w:noProof/>
          </w:rPr>
          <w:t>10</w:t>
        </w:r>
      </w:fldSimple>
      <w:bookmarkEnd w:id="36"/>
      <w:r>
        <w:tab/>
      </w:r>
      <w:r w:rsidRPr="00B105C7">
        <w:t>MBS item descriptor</w:t>
      </w:r>
      <w:r w:rsidR="00796082">
        <w:t xml:space="preserve"> and </w:t>
      </w:r>
      <w:r w:rsidR="004E2E17">
        <w:t xml:space="preserve">proposed </w:t>
      </w:r>
      <w:r w:rsidR="00796082">
        <w:t>explanatory notes</w:t>
      </w:r>
      <w:r w:rsidRPr="00B105C7">
        <w:t xml:space="preserve"> for </w:t>
      </w:r>
      <w:r>
        <w:t>LAAC</w:t>
      </w:r>
      <w:r w:rsidRPr="00B105C7">
        <w:t xml:space="preserve"> </w:t>
      </w:r>
    </w:p>
    <w:tbl>
      <w:tblPr>
        <w:tblW w:w="92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283"/>
      </w:tblGrid>
      <w:tr w:rsidR="00B105C7" w14:paraId="62EC6381" w14:textId="77777777" w:rsidTr="00B105C7">
        <w:tc>
          <w:tcPr>
            <w:tcW w:w="9283" w:type="dxa"/>
            <w:tcBorders>
              <w:top w:val="single" w:sz="4" w:space="0" w:color="000000"/>
              <w:left w:val="single" w:sz="4" w:space="0" w:color="000000"/>
              <w:bottom w:val="single" w:sz="4" w:space="0" w:color="000000"/>
              <w:right w:val="single" w:sz="4" w:space="0" w:color="000000"/>
            </w:tcBorders>
          </w:tcPr>
          <w:p w14:paraId="4E1A52EE" w14:textId="6F766D86" w:rsidR="00B105C7" w:rsidRPr="003F3EB3" w:rsidRDefault="00B105C7" w:rsidP="0082754C">
            <w:pPr>
              <w:pStyle w:val="Tabletext"/>
            </w:pPr>
            <w:r>
              <w:rPr>
                <w:szCs w:val="20"/>
              </w:rPr>
              <w:t xml:space="preserve">Category </w:t>
            </w:r>
            <w:r>
              <w:t>3</w:t>
            </w:r>
            <w:r w:rsidRPr="00AE1188">
              <w:rPr>
                <w:szCs w:val="20"/>
              </w:rPr>
              <w:t xml:space="preserve"> –</w:t>
            </w:r>
            <w:r>
              <w:t xml:space="preserve"> THERAPEUTIC PROCEDURE</w:t>
            </w:r>
          </w:p>
        </w:tc>
      </w:tr>
      <w:tr w:rsidR="00B105C7" w14:paraId="654F8CE9" w14:textId="77777777" w:rsidTr="00B105C7">
        <w:tc>
          <w:tcPr>
            <w:tcW w:w="9283" w:type="dxa"/>
            <w:tcBorders>
              <w:top w:val="single" w:sz="4" w:space="0" w:color="000000"/>
              <w:left w:val="single" w:sz="4" w:space="0" w:color="000000"/>
              <w:bottom w:val="single" w:sz="4" w:space="0" w:color="000000"/>
              <w:right w:val="single" w:sz="4" w:space="0" w:color="000000"/>
            </w:tcBorders>
          </w:tcPr>
          <w:p w14:paraId="226A8668" w14:textId="77777777" w:rsidR="00B105C7" w:rsidRDefault="00B105C7" w:rsidP="00B105C7">
            <w:pPr>
              <w:pStyle w:val="Tabletext"/>
            </w:pPr>
            <w:r>
              <w:t>38276</w:t>
            </w:r>
          </w:p>
          <w:p w14:paraId="6BB302DE" w14:textId="77777777" w:rsidR="00B105C7" w:rsidRDefault="00B105C7" w:rsidP="00B105C7">
            <w:pPr>
              <w:pStyle w:val="Tabletext"/>
            </w:pPr>
            <w:r>
              <w:t xml:space="preserve">Proposed item descriptor: </w:t>
            </w:r>
          </w:p>
          <w:p w14:paraId="4D81FC9A" w14:textId="161B7F73" w:rsidR="00B105C7" w:rsidRDefault="00B105C7" w:rsidP="00B105C7">
            <w:pPr>
              <w:pStyle w:val="Tabletext"/>
            </w:pPr>
            <w:r>
              <w:t>Transcatheter occlusion of left atrial appendage, and cardiac catheterisation performed by the same practitioner, for stroke prevention in a patient who has non</w:t>
            </w:r>
            <w:r>
              <w:rPr>
                <w:rFonts w:ascii="Cambria Math" w:hAnsi="Cambria Math" w:cs="Cambria Math"/>
              </w:rPr>
              <w:t>‑</w:t>
            </w:r>
            <w:r>
              <w:t>valvular atrial fibrillation and a contraindication to life</w:t>
            </w:r>
            <w:r>
              <w:rPr>
                <w:rFonts w:ascii="Cambria Math" w:hAnsi="Cambria Math" w:cs="Cambria Math"/>
              </w:rPr>
              <w:t>‑</w:t>
            </w:r>
            <w:r>
              <w:t>long oral anticoagulation therapy, and is at increased risk of thromboembolism demonstrated by:</w:t>
            </w:r>
          </w:p>
          <w:p w14:paraId="0EC486D3" w14:textId="77777777" w:rsidR="00B105C7" w:rsidRDefault="00B105C7" w:rsidP="00B105C7">
            <w:pPr>
              <w:pStyle w:val="Tabletext"/>
            </w:pPr>
            <w:r>
              <w:t>(a) a prior stroke (whether of an ischaemic or unknown type), transient ischaemic attack or non</w:t>
            </w:r>
            <w:r>
              <w:rPr>
                <w:rFonts w:ascii="Cambria Math" w:hAnsi="Cambria Math" w:cs="Cambria Math"/>
              </w:rPr>
              <w:t>‑</w:t>
            </w:r>
            <w:r>
              <w:t>central nervous system systemic embolism; or</w:t>
            </w:r>
          </w:p>
          <w:p w14:paraId="24750F31" w14:textId="77777777" w:rsidR="00B105C7" w:rsidRDefault="00B105C7" w:rsidP="00B105C7">
            <w:pPr>
              <w:pStyle w:val="Tabletext"/>
            </w:pPr>
            <w:r>
              <w:t>(b) at least 2 of the following risk factors:</w:t>
            </w:r>
          </w:p>
          <w:p w14:paraId="39D489AB" w14:textId="77777777" w:rsidR="00B105C7" w:rsidRDefault="00B105C7" w:rsidP="00B105C7">
            <w:pPr>
              <w:pStyle w:val="Tabletext"/>
            </w:pPr>
            <w:r>
              <w:t>(i) an age of 65 years or more;</w:t>
            </w:r>
          </w:p>
          <w:p w14:paraId="29B227CF" w14:textId="77777777" w:rsidR="00B105C7" w:rsidRDefault="00B105C7" w:rsidP="00B105C7">
            <w:pPr>
              <w:pStyle w:val="Tabletext"/>
            </w:pPr>
            <w:r>
              <w:t>(ii) hypertension;</w:t>
            </w:r>
          </w:p>
          <w:p w14:paraId="32ADFD00" w14:textId="77777777" w:rsidR="00B105C7" w:rsidRDefault="00B105C7" w:rsidP="00B105C7">
            <w:pPr>
              <w:pStyle w:val="Tabletext"/>
            </w:pPr>
            <w:r>
              <w:t>(iii) diabetes mellitus;</w:t>
            </w:r>
          </w:p>
          <w:p w14:paraId="57CFC9CE" w14:textId="77777777" w:rsidR="00B105C7" w:rsidRDefault="00B105C7" w:rsidP="00B105C7">
            <w:pPr>
              <w:pStyle w:val="Tabletext"/>
            </w:pPr>
            <w:r>
              <w:t>(iv) heart failure or left ventricular ejection fraction of 35% or less (or both);</w:t>
            </w:r>
          </w:p>
          <w:p w14:paraId="597DD7C0" w14:textId="77777777" w:rsidR="00B105C7" w:rsidRDefault="00B105C7" w:rsidP="00B105C7">
            <w:pPr>
              <w:pStyle w:val="Tabletext"/>
            </w:pPr>
            <w:r>
              <w:t>(v) vascular disease (prior myocardial infarction, peripheral artery disease or aortic plaque)</w:t>
            </w:r>
          </w:p>
          <w:p w14:paraId="3B6224A8" w14:textId="77777777" w:rsidR="00B105C7" w:rsidRDefault="00B105C7" w:rsidP="00B105C7">
            <w:pPr>
              <w:pStyle w:val="Tabletext"/>
            </w:pPr>
          </w:p>
          <w:p w14:paraId="5C2A7ECE" w14:textId="0E11885A" w:rsidR="00B105C7" w:rsidRPr="003F3EB3" w:rsidRDefault="00B105C7" w:rsidP="00B105C7">
            <w:pPr>
              <w:pStyle w:val="Tabletext"/>
            </w:pPr>
            <w:r>
              <w:t>Fee:  $926.90 Benefit: 75% = $695.20</w:t>
            </w:r>
          </w:p>
        </w:tc>
      </w:tr>
      <w:tr w:rsidR="002E01E6" w14:paraId="5414A887" w14:textId="77777777" w:rsidTr="00B105C7">
        <w:tc>
          <w:tcPr>
            <w:tcW w:w="9283" w:type="dxa"/>
            <w:tcBorders>
              <w:top w:val="single" w:sz="4" w:space="0" w:color="000000"/>
              <w:left w:val="single" w:sz="4" w:space="0" w:color="000000"/>
              <w:bottom w:val="single" w:sz="4" w:space="0" w:color="000000"/>
              <w:right w:val="single" w:sz="4" w:space="0" w:color="000000"/>
            </w:tcBorders>
          </w:tcPr>
          <w:p w14:paraId="4F9EE12B" w14:textId="77777777" w:rsidR="002E01E6" w:rsidRDefault="002E01E6" w:rsidP="002E01E6">
            <w:pPr>
              <w:pStyle w:val="Tabletext"/>
            </w:pPr>
            <w:r>
              <w:t>TN.8.132</w:t>
            </w:r>
          </w:p>
          <w:p w14:paraId="7B2D1EE9" w14:textId="77777777" w:rsidR="002E01E6" w:rsidRDefault="002E01E6" w:rsidP="002E01E6">
            <w:pPr>
              <w:pStyle w:val="Tabletext"/>
            </w:pPr>
            <w:r>
              <w:t>Transcatheter occlusion of left atrial appendage for stroke prevention (item 38276)</w:t>
            </w:r>
          </w:p>
          <w:p w14:paraId="0D07C071" w14:textId="77777777" w:rsidR="002E01E6" w:rsidRDefault="002E01E6" w:rsidP="002E01E6">
            <w:pPr>
              <w:pStyle w:val="Tabletext"/>
            </w:pPr>
          </w:p>
          <w:p w14:paraId="7D6E62D3" w14:textId="77777777" w:rsidR="002E01E6" w:rsidRDefault="002E01E6" w:rsidP="002E01E6">
            <w:pPr>
              <w:pStyle w:val="Tabletext"/>
            </w:pPr>
            <w:r>
              <w:t>Explanatory Note</w:t>
            </w:r>
          </w:p>
          <w:p w14:paraId="6BBAC5DC" w14:textId="77777777" w:rsidR="003C7D66" w:rsidRDefault="003C7D66" w:rsidP="003C7D66">
            <w:pPr>
              <w:pStyle w:val="Tabletext"/>
            </w:pPr>
            <w:r>
              <w:t>A contraindication to lifelong anticoagulation is defined as:</w:t>
            </w:r>
          </w:p>
          <w:p w14:paraId="77458048" w14:textId="77777777" w:rsidR="003C7D66" w:rsidRDefault="003C7D66" w:rsidP="003C7D66">
            <w:pPr>
              <w:pStyle w:val="Tabletext"/>
            </w:pPr>
            <w:r>
              <w:t>i) a previous major bleeding complication, or</w:t>
            </w:r>
          </w:p>
          <w:p w14:paraId="40574890" w14:textId="77777777" w:rsidR="003C7D66" w:rsidRDefault="003C7D66" w:rsidP="003C7D66">
            <w:pPr>
              <w:pStyle w:val="Tabletext"/>
            </w:pPr>
            <w:r>
              <w:t>ii) a blood dyscrasia, or</w:t>
            </w:r>
          </w:p>
          <w:p w14:paraId="6F878045" w14:textId="77777777" w:rsidR="003C7D66" w:rsidRDefault="003C7D66" w:rsidP="003C7D66">
            <w:pPr>
              <w:pStyle w:val="Tabletext"/>
            </w:pPr>
            <w:r>
              <w:t>iii) a vascular abnormality predisposing to potentially life-threatening haemorrhage, or</w:t>
            </w:r>
          </w:p>
          <w:p w14:paraId="3C50CD9B" w14:textId="77777777" w:rsidR="003C7D66" w:rsidRDefault="003C7D66" w:rsidP="003C7D66">
            <w:pPr>
              <w:pStyle w:val="Tabletext"/>
            </w:pPr>
            <w:r>
              <w:t>iv) anaemia, or</w:t>
            </w:r>
          </w:p>
          <w:p w14:paraId="02EC7493" w14:textId="77777777" w:rsidR="003C7D66" w:rsidRDefault="003C7D66" w:rsidP="003C7D66">
            <w:pPr>
              <w:pStyle w:val="Tabletext"/>
            </w:pPr>
            <w:r>
              <w:t>v) prior gastrointestinal bleed, or</w:t>
            </w:r>
          </w:p>
          <w:p w14:paraId="4440E6E5" w14:textId="77777777" w:rsidR="003C7D66" w:rsidRDefault="003C7D66" w:rsidP="003C7D66">
            <w:pPr>
              <w:pStyle w:val="Tabletext"/>
            </w:pPr>
            <w:r>
              <w:t>vi) thrombocytopenia, or</w:t>
            </w:r>
          </w:p>
          <w:p w14:paraId="08E6C194" w14:textId="77777777" w:rsidR="003C7D66" w:rsidRDefault="003C7D66" w:rsidP="003C7D66">
            <w:pPr>
              <w:pStyle w:val="Tabletext"/>
            </w:pPr>
            <w:r>
              <w:t>vii) haematological malignancy, or</w:t>
            </w:r>
          </w:p>
          <w:p w14:paraId="4183B8ED" w14:textId="179D01D7" w:rsidR="002E01E6" w:rsidRDefault="003C7D66" w:rsidP="003C7D66">
            <w:pPr>
              <w:pStyle w:val="Tabletext"/>
            </w:pPr>
            <w:r>
              <w:t>viii) traumatic intracranial haemorrhage</w:t>
            </w:r>
          </w:p>
          <w:p w14:paraId="319F4F23" w14:textId="77777777" w:rsidR="002E01E6" w:rsidRDefault="002E01E6" w:rsidP="002E01E6">
            <w:pPr>
              <w:pStyle w:val="Tabletext"/>
            </w:pPr>
          </w:p>
          <w:p w14:paraId="063FAE76" w14:textId="686B5907" w:rsidR="002E01E6" w:rsidRDefault="002E01E6" w:rsidP="002E01E6">
            <w:pPr>
              <w:pStyle w:val="Tabletext"/>
            </w:pPr>
            <w:r>
              <w:t>The procedure is performed as a hospital service.</w:t>
            </w:r>
          </w:p>
        </w:tc>
      </w:tr>
    </w:tbl>
    <w:p w14:paraId="6E40A1B7" w14:textId="1960473F" w:rsidR="00AE1188" w:rsidRDefault="00AE1188" w:rsidP="004A0BF4">
      <w:pPr>
        <w:pStyle w:val="Heading2"/>
        <w:numPr>
          <w:ilvl w:val="0"/>
          <w:numId w:val="0"/>
        </w:numPr>
        <w:ind w:left="360"/>
      </w:pPr>
      <w:r>
        <w:br w:type="page"/>
      </w:r>
    </w:p>
    <w:p w14:paraId="1D9A0A30" w14:textId="6A235A66" w:rsidR="00CE6D4C" w:rsidRDefault="00CE6D4C" w:rsidP="00CE6D4C">
      <w:pPr>
        <w:pStyle w:val="Heading1"/>
      </w:pPr>
      <w:r>
        <w:t>REFERENCES</w:t>
      </w:r>
    </w:p>
    <w:p w14:paraId="78C0AEE8" w14:textId="5FBB051E" w:rsidR="00A87CE2" w:rsidRDefault="00A87CE2" w:rsidP="00A87CE2">
      <w:pPr>
        <w:ind w:left="360"/>
      </w:pPr>
      <w:r w:rsidRPr="00A87CE2">
        <w:t xml:space="preserve">Alamneh </w:t>
      </w:r>
      <w:r>
        <w:t xml:space="preserve">EA, Chalmers L, Bereznicki LR. </w:t>
      </w:r>
      <w:r w:rsidRPr="00A87CE2">
        <w:t>2017</w:t>
      </w:r>
      <w:r>
        <w:t xml:space="preserve">. The Tasmanian atrial fibrillation study: Transition to direct oral anticoagulants 2011-2015. </w:t>
      </w:r>
      <w:r w:rsidRPr="00A87CE2">
        <w:t>Cardiovasc Ther</w:t>
      </w:r>
      <w:r>
        <w:t xml:space="preserve"> </w:t>
      </w:r>
      <w:r w:rsidRPr="00A87CE2">
        <w:t>35:e12254</w:t>
      </w:r>
      <w:r>
        <w:t>:1–8.</w:t>
      </w:r>
    </w:p>
    <w:p w14:paraId="168AF695" w14:textId="2598FA22" w:rsidR="00CE6D4C" w:rsidRPr="00CE6D4C" w:rsidRDefault="00CE6D4C" w:rsidP="00CE6D4C">
      <w:pPr>
        <w:ind w:left="360"/>
      </w:pPr>
      <w:r w:rsidRPr="00CE6D4C">
        <w:t>Ang SY, Peterson GM, Friesen WT, and Vial JH. (1998) Review of antithrombotic drug usage in atrial fibrillation. J Clin Pharm Ther 23(2):97—106.</w:t>
      </w:r>
    </w:p>
    <w:p w14:paraId="6C2280CD" w14:textId="77777777" w:rsidR="00CE6D4C" w:rsidRPr="00CE6D4C" w:rsidRDefault="00CE6D4C" w:rsidP="00CE6D4C">
      <w:pPr>
        <w:ind w:left="360"/>
      </w:pPr>
      <w:r w:rsidRPr="00CE6D4C">
        <w:t>Australian Bureau of Statistics [ABS]. Causes of Death 2018, ABS cat. no. 3303.0, September. 2019 https://www.abs.gov.au/AUSSTATS/abs@.nsf/Lookup/3303.0Main+Features12018?OpenDocument (accessed 23 October 2019)</w:t>
      </w:r>
    </w:p>
    <w:p w14:paraId="207A8847" w14:textId="286A5E18" w:rsidR="000D611F" w:rsidRDefault="00CE6D4C" w:rsidP="000D611F">
      <w:pPr>
        <w:ind w:left="360"/>
      </w:pPr>
      <w:r>
        <w:t xml:space="preserve">Australian Institute of Health and Welfare 2019. Cardiovascular disease. Cat. no. CVD 83. Canberra: AIHW. Viewed 17 October 2019, </w:t>
      </w:r>
      <w:hyperlink r:id="rId27" w:history="1">
        <w:r w:rsidRPr="00CE6D4C">
          <w:t>https://www.aihw.gov.au/reports/heart-stroke-vascular-diseases/cardiovascular-health-compendium</w:t>
        </w:r>
      </w:hyperlink>
      <w:r>
        <w:t xml:space="preserve"> (Accessed 23 October 2019)</w:t>
      </w:r>
      <w:r w:rsidR="00932614">
        <w:t>.</w:t>
      </w:r>
    </w:p>
    <w:p w14:paraId="13A88A06" w14:textId="2CB97763" w:rsidR="00932614" w:rsidRDefault="00932614" w:rsidP="00932614">
      <w:pPr>
        <w:ind w:left="360"/>
      </w:pPr>
      <w:r>
        <w:t xml:space="preserve">Ball J, Thompson DR, Ski CF, Carrington MJ, Gerber T, Stewart S. 2015. Estimating the current and future prevalence of atrial fibrillation in the Australian adult population. </w:t>
      </w:r>
      <w:r w:rsidRPr="00932614">
        <w:t>MJA 202 (1)</w:t>
      </w:r>
      <w:r>
        <w:t xml:space="preserve">: 32–35 </w:t>
      </w:r>
    </w:p>
    <w:p w14:paraId="3CA5B10D" w14:textId="26CE8572" w:rsidR="00A87CE2" w:rsidRDefault="00A87CE2" w:rsidP="00A87CE2">
      <w:pPr>
        <w:ind w:left="360"/>
      </w:pPr>
      <w:r w:rsidRPr="00A87CE2">
        <w:t xml:space="preserve">Bista </w:t>
      </w:r>
      <w:r>
        <w:t xml:space="preserve">D, Chalmers L, Peterson GM, Bereznicki LRE. </w:t>
      </w:r>
      <w:r w:rsidRPr="00A87CE2">
        <w:t>2017</w:t>
      </w:r>
      <w:r>
        <w:t>.</w:t>
      </w:r>
      <w:r w:rsidRPr="00A87CE2">
        <w:t xml:space="preserve"> </w:t>
      </w:r>
      <w:r>
        <w:t xml:space="preserve">Anticoagulant Use in Patients </w:t>
      </w:r>
      <w:r w:rsidR="00BE3710">
        <w:t>with</w:t>
      </w:r>
      <w:r>
        <w:t xml:space="preserve"> Nonvalvular Atrial Fibrillation: Has Prescribing Improved?</w:t>
      </w:r>
      <w:r w:rsidRPr="00A87CE2">
        <w:t xml:space="preserve"> </w:t>
      </w:r>
      <w:r>
        <w:t>Clinical and Applied Thrombosis/Hemostasis 2017, Vol. 23(6) 573-578.</w:t>
      </w:r>
    </w:p>
    <w:p w14:paraId="5556E8F5" w14:textId="38EECFC6" w:rsidR="00CE6D4C" w:rsidRDefault="00CE6D4C" w:rsidP="00CE6D4C">
      <w:pPr>
        <w:ind w:left="360"/>
      </w:pPr>
      <w:r w:rsidRPr="00CE6D4C">
        <w:t>Boersma LV, Schmidt B, Betts TR, Sievert H. Implant success and safety of left atrial appendage closure with the WATCHMAN device: peri-procedural outcomes from the EWOLUTION registry. Eur Heart J. 2016 Jan 27. pii: ehv730.</w:t>
      </w:r>
    </w:p>
    <w:p w14:paraId="06E154D9" w14:textId="788FA2BD" w:rsidR="000D611F" w:rsidRPr="00CE6D4C" w:rsidRDefault="000D611F" w:rsidP="000D611F">
      <w:pPr>
        <w:ind w:left="360"/>
      </w:pPr>
      <w:r>
        <w:t>Bradley BC, Perdue KS, Tisdel KA, Gilligan DM. Frequency of anticoagulation for atrial fibrillation and reasons for its non-use at a Veterans Affairs medical center. Am J Cardiol. 2000 Mar 1;85(5):568-72</w:t>
      </w:r>
    </w:p>
    <w:p w14:paraId="0233E91C" w14:textId="77777777" w:rsidR="00CE6D4C" w:rsidRPr="00CE6D4C" w:rsidRDefault="00CE6D4C" w:rsidP="00CE6D4C">
      <w:pPr>
        <w:ind w:left="360"/>
      </w:pPr>
      <w:bookmarkStart w:id="37" w:name="_Hlk23169131"/>
      <w:r w:rsidRPr="00CE6D4C">
        <w:t>de Andres-Nogales F, Oyaguez I, Betegon-Nicolas L, Canal-Fontcuberta C, Soto-Alvarez J. Status of oral anticoagulant treatment in patients with nonvalvular atrial fibrillation in Spain. REACT-AF Study. Rev Clin Esp 2015;215(2):73–82.</w:t>
      </w:r>
    </w:p>
    <w:bookmarkEnd w:id="37"/>
    <w:p w14:paraId="1C828315" w14:textId="77777777" w:rsidR="00CE6D4C" w:rsidRPr="00CE6D4C" w:rsidRDefault="00CE6D4C" w:rsidP="00CE6D4C">
      <w:pPr>
        <w:ind w:left="360"/>
      </w:pPr>
      <w:r w:rsidRPr="00CE6D4C">
        <w:t>De Caterina R, Husted S, Wallentin L, Agnelli G, Bachmann F, Baigent C, et al. Anticoagulants in heart disease: current status and perspectives. Eur Heart J 2007;28(7):880–913.</w:t>
      </w:r>
    </w:p>
    <w:p w14:paraId="55EB810A" w14:textId="77777777" w:rsidR="00CE6D4C" w:rsidRPr="00643F41" w:rsidRDefault="00CE6D4C" w:rsidP="00CE6D4C">
      <w:pPr>
        <w:ind w:left="360"/>
      </w:pPr>
      <w:r w:rsidRPr="00CE6D4C">
        <w:t xml:space="preserve">Deloitte Access Economics. Atrial fibrillation and the cost of preventable strokes. In: Deloitte (ed.) </w:t>
      </w:r>
      <w:r w:rsidRPr="00643F41">
        <w:t>Kingston ACT2011, pp. 1–45.</w:t>
      </w:r>
    </w:p>
    <w:p w14:paraId="46C24741" w14:textId="1A0BAC20" w:rsidR="00CE6D4C" w:rsidRDefault="00CE6D4C" w:rsidP="00CE6D4C">
      <w:pPr>
        <w:ind w:left="360"/>
      </w:pPr>
      <w:r w:rsidRPr="00643F41">
        <w:t xml:space="preserve">Department of Health and Ageing (DoHA): review of anticoagulation therapies in atrial fibrillation Canberra: Commonwealth of Australia 2012. Available at </w:t>
      </w:r>
      <w:hyperlink r:id="rId28" w:history="1">
        <w:r w:rsidRPr="00643F41">
          <w:t>http://www.pbs.gov.au/reviews/atrial-fibrillation-files/report-anticoagulation.pdf</w:t>
        </w:r>
      </w:hyperlink>
    </w:p>
    <w:p w14:paraId="4CD7121A" w14:textId="3AA11A55" w:rsidR="000D611F" w:rsidRDefault="000D611F" w:rsidP="000D611F">
      <w:pPr>
        <w:ind w:left="360"/>
      </w:pPr>
      <w:r>
        <w:t>Flaker GC, McGowan DJ, Boechler M, Fortune G, Gage B. Underutilization of antithrombotic therapy in elderly rural patients with atrial fibrillation. Am Heart J. 1999 Feb;137(2):307-12.</w:t>
      </w:r>
    </w:p>
    <w:p w14:paraId="517BFF80" w14:textId="2B8F1E21" w:rsidR="00151869" w:rsidRDefault="00151869" w:rsidP="00151869">
      <w:pPr>
        <w:ind w:left="360"/>
      </w:pPr>
      <w:r>
        <w:t xml:space="preserve">Fountain R, Holmes DR, Hodgson PK, Chandrasekaran K, Van Tassel R, Sick P. 2006. Potential applicability and utilization of left atrial appendage occlusion devices in patients with atrial fibrillation. </w:t>
      </w:r>
      <w:r w:rsidRPr="00151869">
        <w:t>Am Heart J 2006;152:7202 3.</w:t>
      </w:r>
    </w:p>
    <w:p w14:paraId="51015184" w14:textId="115A9434" w:rsidR="00151869" w:rsidRDefault="00151869" w:rsidP="000D611F">
      <w:pPr>
        <w:ind w:left="360"/>
      </w:pPr>
      <w:r w:rsidRPr="00151869">
        <w:t xml:space="preserve">Go AS, Hylek EM, Phillips KA, Chang Y, Henault LE, Selby JY, and Singer DE. (2001) Prevalence of diagnosed atrial fibrillation in adults: national implications for rhythm management and stroke prevention: </w:t>
      </w:r>
      <w:r w:rsidR="00BE3710" w:rsidRPr="00151869">
        <w:t>The</w:t>
      </w:r>
      <w:r w:rsidRPr="00151869">
        <w:t xml:space="preserve"> AnTicoagulation and Risk Factors in Atrial Fibrillation (ATRIA) Study. JAMA 285(18):2370-5.</w:t>
      </w:r>
    </w:p>
    <w:p w14:paraId="0CD9F29E" w14:textId="146A6715" w:rsidR="000D611F" w:rsidRDefault="000D611F" w:rsidP="000D611F">
      <w:pPr>
        <w:ind w:left="360"/>
      </w:pPr>
      <w:r w:rsidRPr="000D611F">
        <w:t>Kakkar AK, Mueller I, Bassand JP, et al. Risk profiles and antithrombotic treatment of patients newly diagnosed with atrial fibrillation at risk of stroke: perspectives from the international, observational, prospective GARFIELD registry. PLoS One. 2013; 8:e63479</w:t>
      </w:r>
    </w:p>
    <w:p w14:paraId="2DC28057" w14:textId="1FEBCE11" w:rsidR="000D611F" w:rsidRPr="00CE6D4C" w:rsidRDefault="000D611F" w:rsidP="000D611F">
      <w:pPr>
        <w:ind w:left="360"/>
      </w:pPr>
      <w:r w:rsidRPr="000D611F">
        <w:t>Kalra L, Yu G, Perez I, et al. Prospective cohort study to determine if trial efficacy of anticoagulation for stroke prevention in atrial fibrillation translates into clinical effectiveness. BMJ. 2000; 320:1236–1239</w:t>
      </w:r>
    </w:p>
    <w:p w14:paraId="263474A9" w14:textId="532CF988" w:rsidR="00CE6D4C" w:rsidRDefault="00CE6D4C" w:rsidP="00CE6D4C">
      <w:pPr>
        <w:ind w:left="360"/>
      </w:pPr>
      <w:r w:rsidRPr="00CE6D4C">
        <w:t>Lip G. (2003). Cardiac Arrhythmias: a Clinical Approach. Edinburgh: Mosby: 3—24 [Book]</w:t>
      </w:r>
    </w:p>
    <w:p w14:paraId="7F6DC78B" w14:textId="7F5C8C2E" w:rsidR="00932614" w:rsidRPr="00CE6D4C" w:rsidRDefault="00932614" w:rsidP="00CE6D4C">
      <w:pPr>
        <w:ind w:left="360"/>
      </w:pPr>
      <w:r w:rsidRPr="00932614">
        <w:t>Miyasaka Y, Barnes ME, Gersh BJ, ChaSS, Bailey KR, Abhayaratna WP, Seward JB, and Tsang TS. (2006) Secular trends in incidence of atrial fibrillation in Olmsted County, Minnesota, 1980 to 2000, and implications on the projections for future prevalence. Circulation 114(2):119-25.</w:t>
      </w:r>
    </w:p>
    <w:p w14:paraId="456C4E63" w14:textId="77777777" w:rsidR="00CE6D4C" w:rsidRPr="00CE6D4C" w:rsidRDefault="00CE6D4C" w:rsidP="00CE6D4C">
      <w:pPr>
        <w:ind w:left="360"/>
      </w:pPr>
      <w:r w:rsidRPr="00CE6D4C">
        <w:t>MSAC Application 1071. The use of INR point of care testing in general practice. May 2005. Commonwealth of Australia</w:t>
      </w:r>
    </w:p>
    <w:p w14:paraId="67080162" w14:textId="77777777" w:rsidR="00CE6D4C" w:rsidRPr="00CE6D4C" w:rsidRDefault="00CE6D4C" w:rsidP="00CE6D4C">
      <w:pPr>
        <w:ind w:left="360"/>
      </w:pPr>
      <w:r w:rsidRPr="00CE6D4C">
        <w:t>MSAC stakeholder meeting minutes: transcatheter occlusion of the left atrial appendage (LAA) June 2015.</w:t>
      </w:r>
    </w:p>
    <w:p w14:paraId="3929E924" w14:textId="062DE2FA" w:rsidR="00CE6D4C" w:rsidRDefault="00CE6D4C" w:rsidP="00CE6D4C">
      <w:pPr>
        <w:ind w:left="360"/>
      </w:pPr>
      <w:r w:rsidRPr="00CE6D4C">
        <w:t xml:space="preserve">National Heart Foundation (NHF) of Australia and the Cardiac Society of Australia and New Zealand: Australian clinical guidelines for the diagnosis and management of atrial fibrillation. 2018. Heart, Lung and Circulation 27, 1209–1266. </w:t>
      </w:r>
      <w:hyperlink r:id="rId29" w:history="1">
        <w:r w:rsidR="00A87CE2" w:rsidRPr="00DF4AFC">
          <w:rPr>
            <w:rStyle w:val="Hyperlink"/>
          </w:rPr>
          <w:t>https://doi.org/10.1016/j.hlc.2018.06.1043</w:t>
        </w:r>
      </w:hyperlink>
    </w:p>
    <w:p w14:paraId="6CA6DD1E" w14:textId="2403B389" w:rsidR="00A87CE2" w:rsidRPr="00CE6D4C" w:rsidRDefault="00A87CE2" w:rsidP="00A87CE2">
      <w:pPr>
        <w:ind w:left="360"/>
      </w:pPr>
      <w:r>
        <w:t xml:space="preserve">O’brien E, Holmes DN, Ansell JE, Allen LA, et al. 2014. Physician practices regarding contraindications to oral anticoagulation in atrial fibrillation: Findings from the Outcomes Registry for Better Informed Treatment of Atrial Fibrillation (ORBIT-AF) registry. </w:t>
      </w:r>
      <w:r w:rsidRPr="00A87CE2">
        <w:t>Am Heart J 2014;167:601-609.e1.</w:t>
      </w:r>
    </w:p>
    <w:p w14:paraId="17E1CA12" w14:textId="77777777" w:rsidR="00CE6D4C" w:rsidRPr="00CE6D4C" w:rsidRDefault="00CE6D4C" w:rsidP="00CE6D4C">
      <w:pPr>
        <w:ind w:left="360"/>
      </w:pPr>
      <w:r w:rsidRPr="00CE6D4C">
        <w:t xml:space="preserve">Public Summary Document [PSD] Application 1347 – Transcatheter occlusion of the left atrial appendage for patients with non-valvular atrial fibrillation, November 2014. </w:t>
      </w:r>
    </w:p>
    <w:p w14:paraId="4C11CCA9" w14:textId="77777777" w:rsidR="00CE6D4C" w:rsidRPr="00CE6D4C" w:rsidRDefault="00CE6D4C" w:rsidP="00CE6D4C">
      <w:pPr>
        <w:ind w:left="360"/>
      </w:pPr>
      <w:r w:rsidRPr="00CE6D4C">
        <w:t xml:space="preserve">Public Summary Document [PSD] Application 1347.1 – Transcatheter occlusion of the left atrial appendage for patients with non-valvular atrial fibrillation, July 2016. </w:t>
      </w:r>
    </w:p>
    <w:p w14:paraId="61E54B1B" w14:textId="5EF2ED8E" w:rsidR="00CE6D4C" w:rsidRPr="00CE6D4C" w:rsidRDefault="00CE6D4C" w:rsidP="00CE6D4C">
      <w:pPr>
        <w:ind w:left="360"/>
      </w:pPr>
      <w:r w:rsidRPr="00CE6D4C">
        <w:t>Price</w:t>
      </w:r>
      <w:r w:rsidR="00643F41">
        <w:t xml:space="preserve"> </w:t>
      </w:r>
      <w:r w:rsidRPr="00CE6D4C">
        <w:t>Waterhouse</w:t>
      </w:r>
      <w:r w:rsidR="00643F41">
        <w:t xml:space="preserve"> </w:t>
      </w:r>
      <w:r w:rsidRPr="00CE6D4C">
        <w:t>Coopers. (2010). The economic costs of atrial fibrillation in Australia: National Stroke Foundation 2010: https://www.hps.com.au/wp-content/uploads/2016/10/Economic-costs-of-atrial-fibrillation-in-Australia.pdf (accessed 23 October 2019)</w:t>
      </w:r>
    </w:p>
    <w:p w14:paraId="347F313D" w14:textId="42320158" w:rsidR="00CE6D4C" w:rsidRPr="00CE6D4C" w:rsidRDefault="00CE6D4C" w:rsidP="00CE6D4C">
      <w:pPr>
        <w:ind w:left="360"/>
      </w:pPr>
      <w:r w:rsidRPr="00CE6D4C">
        <w:t xml:space="preserve">Reddy VY, Doshi SK, Kar S, Gibson DN, Gibson DN, Price M, Huber K, Horton RP, Buchbinder M, Neuzil P, Gordon NT, Holmes DR on behalf of the PREVAIL and PROTECT AF investigators. 2017. 5-year outcomes after left </w:t>
      </w:r>
      <w:r w:rsidR="00643F41" w:rsidRPr="00CE6D4C">
        <w:t>atrial</w:t>
      </w:r>
      <w:r w:rsidRPr="00CE6D4C">
        <w:t xml:space="preserve"> appendage closure </w:t>
      </w:r>
      <w:r w:rsidRPr="00CE6D4C">
        <w:softHyphen/>
        <w:t xml:space="preserve"> from the PREVAIL and PROTECT AF trials. Journal of the American College of Cardiology 70(24):2964–2975</w:t>
      </w:r>
    </w:p>
    <w:p w14:paraId="0E90B041" w14:textId="77777777" w:rsidR="00CE6D4C" w:rsidRPr="00CE6D4C" w:rsidRDefault="00CE6D4C" w:rsidP="00CE6D4C">
      <w:pPr>
        <w:ind w:left="360"/>
      </w:pPr>
      <w:r w:rsidRPr="00CE6D4C">
        <w:t xml:space="preserve">Savelieva I, Paquette M, Dorian P, Luderitz B, and Camm AJ. (2011) Quality of life in patients with silent atrial fibrillation. Heart 85(2):216-7. </w:t>
      </w:r>
    </w:p>
    <w:p w14:paraId="5FC65ED7" w14:textId="5602B9A4" w:rsidR="00CE6D4C" w:rsidRDefault="00CE6D4C" w:rsidP="00CE6D4C">
      <w:pPr>
        <w:ind w:left="360"/>
      </w:pPr>
      <w:r w:rsidRPr="00CE6D4C">
        <w:t>Shehab A, Bhagavathula AS, Abebe TB2 Abegaz TM, Elnour AA, Sabbour HM, Uzzafer M, Hersi A, Hamad AK. 2019. Patient Adherence to Novel Oral Anticoagulants (NOACs) for the Treatment of Atrial Fibrillation and Occurrence of Associated Bleeding Events: A Systematic Review and Meta-analysis. Curr Vasc Pharmacol. 2019;17(4):341-349. doi: 10.2174/1570161116666180123111949. https://www.ncbi.nlm.nih.gov/pubmed/29359674 (accessed 28 Oct 2019)</w:t>
      </w:r>
    </w:p>
    <w:p w14:paraId="4198A5A4" w14:textId="28F3CE14" w:rsidR="000D611F" w:rsidRPr="00CE6D4C" w:rsidRDefault="000D611F" w:rsidP="000D611F">
      <w:pPr>
        <w:ind w:left="360"/>
      </w:pPr>
      <w:r>
        <w:t>Smith NL, Psaty BM, Furberg CD, White R, Lima JA, Newman AB, Manolio TA. Temporal trends in the use of anticoagulants among older adults with atrial fibrillation. Arch Intern Med. 1999 Jul 26;159(14):1574-8.</w:t>
      </w:r>
    </w:p>
    <w:p w14:paraId="583144E8" w14:textId="3D0B4CA9" w:rsidR="00CE6D4C" w:rsidRDefault="00CE6D4C" w:rsidP="00CE6D4C">
      <w:pPr>
        <w:ind w:left="360"/>
      </w:pPr>
      <w:r w:rsidRPr="00CE6D4C">
        <w:t>Steinberg B, Greiner M, Hammill G, Curtis LH, Benjamin EJ, Heckbert SR, Piccini JP. 2015. Contraindications to Anticoagulation Therapy and Eligibility for Novel Anticoagulants in Older Patients With Atrial Fibrillation. Cardiovasc Ther. 2015 August ; 33(4): 177–183. doi:10.1111/1755-5922.12129.</w:t>
      </w:r>
    </w:p>
    <w:p w14:paraId="7588CA94" w14:textId="6A3A24E1" w:rsidR="00A87CE2" w:rsidRPr="00CE6D4C" w:rsidRDefault="00A87CE2" w:rsidP="00A87CE2">
      <w:pPr>
        <w:ind w:left="360"/>
      </w:pPr>
      <w:r>
        <w:t xml:space="preserve">Sturm JW, Davis SM, O’Sullivan JG, Vedadhaghi ME, Donnan GA. 2002. The Avoid Stroke as Soon as Possible (ASAP) general practice stroke audit. </w:t>
      </w:r>
      <w:r w:rsidRPr="00A87CE2">
        <w:t>MJA 2002; 176: 312–316</w:t>
      </w:r>
      <w:r>
        <w:t>.</w:t>
      </w:r>
    </w:p>
    <w:p w14:paraId="752D5A36" w14:textId="77777777" w:rsidR="00CE6D4C" w:rsidRPr="00CE6D4C" w:rsidRDefault="00CE6D4C" w:rsidP="00CE6D4C">
      <w:pPr>
        <w:ind w:left="360"/>
      </w:pPr>
      <w:r w:rsidRPr="00CE6D4C">
        <w:t>Yao X, Abraham NS, Alexander GC, Crown W, Montori VM, Sangaralingham LR, et al. Effect of adherence to oral anticoagulants on risk of stroke and major bleeding among patients with atrial fibrillation. J Am Heart Assoc 2016;5(2). http://dx.doi.org/10.1161/JAHA.115.003074 (accessed 28 Oct 2019)</w:t>
      </w:r>
    </w:p>
    <w:p w14:paraId="26A779FC" w14:textId="0CF4F730" w:rsidR="00CE6D4C" w:rsidRDefault="00CE6D4C" w:rsidP="007E53B3">
      <w:pPr>
        <w:ind w:left="360"/>
      </w:pPr>
      <w:r w:rsidRPr="00CE6D4C">
        <w:t>Zhao S, Zhao H, Wang X, Gao C, Qin Y, Cai H, et al. Factors influencing medication knowledge and beliefs on warfarin adherence among patients with atrial fibrillation in China. Patient Prefer Adherence 2017;11:213–20. (accessed 28 October 2019).</w:t>
      </w:r>
      <w:r w:rsidR="007E53B3">
        <w:t xml:space="preserve"> </w:t>
      </w:r>
    </w:p>
    <w:p w14:paraId="41A5F3E9" w14:textId="77777777" w:rsidR="00CE6D4C" w:rsidRPr="00CE6D4C" w:rsidRDefault="00CE6D4C" w:rsidP="00CE6D4C"/>
    <w:sectPr w:rsidR="00CE6D4C" w:rsidRPr="00CE6D4C"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90EA5" w14:textId="77777777" w:rsidR="0039246B" w:rsidRDefault="0039246B" w:rsidP="00CF2DFA">
      <w:pPr>
        <w:spacing w:after="0"/>
      </w:pPr>
      <w:r>
        <w:separator/>
      </w:r>
    </w:p>
  </w:endnote>
  <w:endnote w:type="continuationSeparator" w:id="0">
    <w:p w14:paraId="677B4616" w14:textId="77777777" w:rsidR="0039246B" w:rsidRDefault="0039246B"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EA352" w14:textId="77777777" w:rsidR="000F19CE" w:rsidRDefault="000F1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352456419"/>
      <w:docPartObj>
        <w:docPartGallery w:val="Page Numbers (Bottom of Page)"/>
        <w:docPartUnique/>
      </w:docPartObj>
    </w:sdtPr>
    <w:sdtEndPr>
      <w:rPr>
        <w:color w:val="808080" w:themeColor="background1" w:themeShade="80"/>
        <w:spacing w:val="60"/>
      </w:rPr>
    </w:sdtEndPr>
    <w:sdtContent>
      <w:p w14:paraId="70802BDF" w14:textId="710B6EEB" w:rsidR="0039246B" w:rsidRDefault="0039246B">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0F19CE" w:rsidRPr="000F19CE">
          <w:rPr>
            <w:b/>
            <w:bCs/>
            <w:noProof/>
            <w:sz w:val="18"/>
            <w:szCs w:val="18"/>
          </w:rPr>
          <w:t>7</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001FFD55" w14:textId="77777777" w:rsidR="0039246B" w:rsidRPr="003F7CB9" w:rsidRDefault="0039246B"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8CD7" w14:textId="77777777" w:rsidR="000F19CE" w:rsidRDefault="000F19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12613ADF" w14:textId="4F1813F8" w:rsidR="0039246B" w:rsidRDefault="0039246B">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0F19CE" w:rsidRPr="000F19CE">
          <w:rPr>
            <w:b/>
            <w:bCs/>
            <w:noProof/>
            <w:sz w:val="18"/>
            <w:szCs w:val="18"/>
          </w:rPr>
          <w:t>20</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371C3A61" w14:textId="77777777" w:rsidR="0039246B" w:rsidRPr="003F7CB9" w:rsidRDefault="0039246B"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E5C97" w14:textId="77777777" w:rsidR="0039246B" w:rsidRDefault="0039246B" w:rsidP="00CF2DFA">
      <w:pPr>
        <w:spacing w:after="0"/>
      </w:pPr>
      <w:r>
        <w:separator/>
      </w:r>
    </w:p>
  </w:footnote>
  <w:footnote w:type="continuationSeparator" w:id="0">
    <w:p w14:paraId="2A46C9F4" w14:textId="77777777" w:rsidR="0039246B" w:rsidRDefault="0039246B" w:rsidP="00CF2DFA">
      <w:pPr>
        <w:spacing w:after="0"/>
      </w:pPr>
      <w:r>
        <w:continuationSeparator/>
      </w:r>
    </w:p>
  </w:footnote>
  <w:footnote w:id="1">
    <w:p w14:paraId="2D62D40F" w14:textId="17D2C474" w:rsidR="0039246B" w:rsidRPr="00D66ED0" w:rsidRDefault="0039246B">
      <w:pPr>
        <w:pStyle w:val="FootnoteText"/>
        <w:rPr>
          <w:lang w:val="en-US"/>
        </w:rPr>
      </w:pPr>
      <w:r>
        <w:rPr>
          <w:rStyle w:val="FootnoteReference"/>
        </w:rPr>
        <w:footnoteRef/>
      </w:r>
      <w:r>
        <w:t xml:space="preserve"> </w:t>
      </w:r>
      <w:hyperlink r:id="rId1" w:history="1">
        <w:r w:rsidRPr="00D166F3">
          <w:rPr>
            <w:rStyle w:val="Hyperlink"/>
          </w:rPr>
          <w:t>http://www.bucksformulary.nhs.uk/docs/ContraindicationsOralAnticoag%26Anti-plateletsAFPrimaryCare.pdf</w:t>
        </w:r>
      </w:hyperlink>
      <w:r>
        <w:t xml:space="preserve"> (accessed 28 October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4D9D6" w14:textId="77777777" w:rsidR="000F19CE" w:rsidRDefault="000F1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2939" w14:textId="77777777" w:rsidR="000F19CE" w:rsidRDefault="000F19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4D24" w14:textId="77777777" w:rsidR="000F19CE" w:rsidRDefault="000F1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4114C6"/>
    <w:multiLevelType w:val="hybridMultilevel"/>
    <w:tmpl w:val="594ACAF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EF765C"/>
    <w:multiLevelType w:val="hybridMultilevel"/>
    <w:tmpl w:val="15BAF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019A5"/>
    <w:multiLevelType w:val="hybridMultilevel"/>
    <w:tmpl w:val="1A4AF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6156180"/>
    <w:multiLevelType w:val="hybridMultilevel"/>
    <w:tmpl w:val="765AEE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17F133E3"/>
    <w:multiLevelType w:val="hybridMultilevel"/>
    <w:tmpl w:val="97C636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854FA0"/>
    <w:multiLevelType w:val="hybridMultilevel"/>
    <w:tmpl w:val="C7A23210"/>
    <w:lvl w:ilvl="0" w:tplc="F5EAA4CC">
      <w:numFmt w:val="bullet"/>
      <w:lvlText w:val="•"/>
      <w:lvlJc w:val="left"/>
      <w:pPr>
        <w:ind w:left="72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C626A1"/>
    <w:multiLevelType w:val="hybridMultilevel"/>
    <w:tmpl w:val="5A18DC2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214636D6"/>
    <w:multiLevelType w:val="hybridMultilevel"/>
    <w:tmpl w:val="D4C66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 w15:restartNumberingAfterBreak="0">
    <w:nsid w:val="32011C14"/>
    <w:multiLevelType w:val="hybridMultilevel"/>
    <w:tmpl w:val="82A229D2"/>
    <w:lvl w:ilvl="0" w:tplc="92ECF1A2">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3C733C3A"/>
    <w:multiLevelType w:val="hybridMultilevel"/>
    <w:tmpl w:val="9B3E4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1596A"/>
    <w:multiLevelType w:val="hybridMultilevel"/>
    <w:tmpl w:val="018A806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0"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7C49B1"/>
    <w:multiLevelType w:val="hybridMultilevel"/>
    <w:tmpl w:val="86583E6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D71191"/>
    <w:multiLevelType w:val="hybridMultilevel"/>
    <w:tmpl w:val="C91E3CE6"/>
    <w:lvl w:ilvl="0" w:tplc="78B2D9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7"/>
    <w:lvlOverride w:ilvl="0"/>
    <w:lvlOverride w:ilvl="1">
      <w:startOverride w:val="1"/>
    </w:lvlOverride>
    <w:lvlOverride w:ilvl="2"/>
    <w:lvlOverride w:ilvl="3"/>
    <w:lvlOverride w:ilvl="4"/>
    <w:lvlOverride w:ilvl="5"/>
    <w:lvlOverride w:ilvl="6"/>
    <w:lvlOverride w:ilvl="7"/>
    <w:lvlOverride w:ilvl="8"/>
  </w:num>
  <w:num w:numId="3">
    <w:abstractNumId w:val="17"/>
  </w:num>
  <w:num w:numId="4">
    <w:abstractNumId w:val="7"/>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
  </w:num>
  <w:num w:numId="25">
    <w:abstractNumId w:val="28"/>
  </w:num>
  <w:num w:numId="26">
    <w:abstractNumId w:val="5"/>
  </w:num>
  <w:num w:numId="27">
    <w:abstractNumId w:val="25"/>
  </w:num>
  <w:num w:numId="28">
    <w:abstractNumId w:val="20"/>
  </w:num>
  <w:num w:numId="29">
    <w:abstractNumId w:val="30"/>
  </w:num>
  <w:num w:numId="30">
    <w:abstractNumId w:val="3"/>
  </w:num>
  <w:num w:numId="31">
    <w:abstractNumId w:val="27"/>
  </w:num>
  <w:num w:numId="32">
    <w:abstractNumId w:val="11"/>
  </w:num>
  <w:num w:numId="33">
    <w:abstractNumId w:val="26"/>
  </w:num>
  <w:num w:numId="34">
    <w:abstractNumId w:val="9"/>
  </w:num>
  <w:num w:numId="35">
    <w:abstractNumId w:val="21"/>
  </w:num>
  <w:num w:numId="36">
    <w:abstractNumId w:val="0"/>
  </w:num>
  <w:num w:numId="37">
    <w:abstractNumId w:val="18"/>
  </w:num>
  <w:num w:numId="38">
    <w:abstractNumId w:val="4"/>
  </w:num>
  <w:num w:numId="39">
    <w:abstractNumId w:val="6"/>
  </w:num>
  <w:num w:numId="40">
    <w:abstractNumId w:val="13"/>
  </w:num>
  <w:num w:numId="41">
    <w:abstractNumId w:val="2"/>
  </w:num>
  <w:num w:numId="42">
    <w:abstractNumId w:val="24"/>
  </w:num>
  <w:num w:numId="43">
    <w:abstractNumId w:val="10"/>
  </w:num>
  <w:num w:numId="44">
    <w:abstractNumId w:val="14"/>
  </w:num>
  <w:num w:numId="45">
    <w:abstractNumId w:val="19"/>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29"/>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10381"/>
    <w:rsid w:val="000110DC"/>
    <w:rsid w:val="000149FD"/>
    <w:rsid w:val="000158AA"/>
    <w:rsid w:val="000159B9"/>
    <w:rsid w:val="00016B6E"/>
    <w:rsid w:val="00023E21"/>
    <w:rsid w:val="00025ABC"/>
    <w:rsid w:val="00026412"/>
    <w:rsid w:val="00031F6F"/>
    <w:rsid w:val="00032DD1"/>
    <w:rsid w:val="00034D6E"/>
    <w:rsid w:val="0004091F"/>
    <w:rsid w:val="000465F1"/>
    <w:rsid w:val="0005089D"/>
    <w:rsid w:val="000525BC"/>
    <w:rsid w:val="0005702C"/>
    <w:rsid w:val="00070E2F"/>
    <w:rsid w:val="00073222"/>
    <w:rsid w:val="0007411F"/>
    <w:rsid w:val="00076937"/>
    <w:rsid w:val="000770BA"/>
    <w:rsid w:val="0008395F"/>
    <w:rsid w:val="00092580"/>
    <w:rsid w:val="00093E26"/>
    <w:rsid w:val="00094CF6"/>
    <w:rsid w:val="000955E7"/>
    <w:rsid w:val="000A06AB"/>
    <w:rsid w:val="000A110D"/>
    <w:rsid w:val="000A478F"/>
    <w:rsid w:val="000A5B32"/>
    <w:rsid w:val="000B3CD0"/>
    <w:rsid w:val="000B6808"/>
    <w:rsid w:val="000C3241"/>
    <w:rsid w:val="000D066E"/>
    <w:rsid w:val="000D0831"/>
    <w:rsid w:val="000D2DB4"/>
    <w:rsid w:val="000D611F"/>
    <w:rsid w:val="000E1CB8"/>
    <w:rsid w:val="000E1D96"/>
    <w:rsid w:val="000E3B7F"/>
    <w:rsid w:val="000E47E7"/>
    <w:rsid w:val="000E5439"/>
    <w:rsid w:val="000E7F7B"/>
    <w:rsid w:val="000F19CE"/>
    <w:rsid w:val="000F2ED8"/>
    <w:rsid w:val="00101A35"/>
    <w:rsid w:val="00102686"/>
    <w:rsid w:val="0011036E"/>
    <w:rsid w:val="001130B0"/>
    <w:rsid w:val="0011369B"/>
    <w:rsid w:val="00113F86"/>
    <w:rsid w:val="0011742E"/>
    <w:rsid w:val="00123D10"/>
    <w:rsid w:val="00126B33"/>
    <w:rsid w:val="00144D76"/>
    <w:rsid w:val="001465B1"/>
    <w:rsid w:val="00151869"/>
    <w:rsid w:val="00154B00"/>
    <w:rsid w:val="001644E9"/>
    <w:rsid w:val="00180162"/>
    <w:rsid w:val="001845D9"/>
    <w:rsid w:val="0018630F"/>
    <w:rsid w:val="00186421"/>
    <w:rsid w:val="001906CD"/>
    <w:rsid w:val="00191B99"/>
    <w:rsid w:val="001921AB"/>
    <w:rsid w:val="0019694B"/>
    <w:rsid w:val="00197D29"/>
    <w:rsid w:val="001A02E3"/>
    <w:rsid w:val="001A1ADF"/>
    <w:rsid w:val="001A1E76"/>
    <w:rsid w:val="001A365C"/>
    <w:rsid w:val="001B171D"/>
    <w:rsid w:val="001B2241"/>
    <w:rsid w:val="001B29A1"/>
    <w:rsid w:val="001B5169"/>
    <w:rsid w:val="001B6164"/>
    <w:rsid w:val="001C1313"/>
    <w:rsid w:val="001C14CA"/>
    <w:rsid w:val="001D49DB"/>
    <w:rsid w:val="001D77ED"/>
    <w:rsid w:val="001E1180"/>
    <w:rsid w:val="001E23EA"/>
    <w:rsid w:val="001E6919"/>
    <w:rsid w:val="001E6958"/>
    <w:rsid w:val="001E6A32"/>
    <w:rsid w:val="00201924"/>
    <w:rsid w:val="00202473"/>
    <w:rsid w:val="00205032"/>
    <w:rsid w:val="002053F2"/>
    <w:rsid w:val="00206D63"/>
    <w:rsid w:val="0021185D"/>
    <w:rsid w:val="00216561"/>
    <w:rsid w:val="00221930"/>
    <w:rsid w:val="00226777"/>
    <w:rsid w:val="00230B00"/>
    <w:rsid w:val="002330D1"/>
    <w:rsid w:val="00235BD1"/>
    <w:rsid w:val="00242B0E"/>
    <w:rsid w:val="00242EED"/>
    <w:rsid w:val="00247DF0"/>
    <w:rsid w:val="00253C03"/>
    <w:rsid w:val="00254813"/>
    <w:rsid w:val="00257FF2"/>
    <w:rsid w:val="00265822"/>
    <w:rsid w:val="00270FF3"/>
    <w:rsid w:val="0027105F"/>
    <w:rsid w:val="002711FB"/>
    <w:rsid w:val="00274E77"/>
    <w:rsid w:val="00275BEC"/>
    <w:rsid w:val="00282BE8"/>
    <w:rsid w:val="00283318"/>
    <w:rsid w:val="00285525"/>
    <w:rsid w:val="00287B1D"/>
    <w:rsid w:val="0029305C"/>
    <w:rsid w:val="00294CD8"/>
    <w:rsid w:val="002A270B"/>
    <w:rsid w:val="002A50FD"/>
    <w:rsid w:val="002A6753"/>
    <w:rsid w:val="002B1ACC"/>
    <w:rsid w:val="002B28D7"/>
    <w:rsid w:val="002B7EB6"/>
    <w:rsid w:val="002C0B61"/>
    <w:rsid w:val="002C0CE0"/>
    <w:rsid w:val="002C15E6"/>
    <w:rsid w:val="002C247D"/>
    <w:rsid w:val="002C3345"/>
    <w:rsid w:val="002D409A"/>
    <w:rsid w:val="002E01E6"/>
    <w:rsid w:val="002E2626"/>
    <w:rsid w:val="002F30E7"/>
    <w:rsid w:val="00300EEB"/>
    <w:rsid w:val="003013A9"/>
    <w:rsid w:val="00301958"/>
    <w:rsid w:val="003020B5"/>
    <w:rsid w:val="003027BB"/>
    <w:rsid w:val="0030568D"/>
    <w:rsid w:val="00310A10"/>
    <w:rsid w:val="00327D25"/>
    <w:rsid w:val="003319A7"/>
    <w:rsid w:val="00334FE3"/>
    <w:rsid w:val="003421AE"/>
    <w:rsid w:val="003433D1"/>
    <w:rsid w:val="00344B24"/>
    <w:rsid w:val="00344DA8"/>
    <w:rsid w:val="003456B9"/>
    <w:rsid w:val="0035067D"/>
    <w:rsid w:val="003509EC"/>
    <w:rsid w:val="00350DD1"/>
    <w:rsid w:val="00353A16"/>
    <w:rsid w:val="0035776D"/>
    <w:rsid w:val="00363814"/>
    <w:rsid w:val="00364FD9"/>
    <w:rsid w:val="00367C1B"/>
    <w:rsid w:val="00376B61"/>
    <w:rsid w:val="0038021F"/>
    <w:rsid w:val="00380E93"/>
    <w:rsid w:val="00382407"/>
    <w:rsid w:val="00385484"/>
    <w:rsid w:val="00386A64"/>
    <w:rsid w:val="00386FA1"/>
    <w:rsid w:val="00387C65"/>
    <w:rsid w:val="00390142"/>
    <w:rsid w:val="003904AC"/>
    <w:rsid w:val="0039246B"/>
    <w:rsid w:val="00392F00"/>
    <w:rsid w:val="00397377"/>
    <w:rsid w:val="003A22DE"/>
    <w:rsid w:val="003A2757"/>
    <w:rsid w:val="003A2860"/>
    <w:rsid w:val="003A3C35"/>
    <w:rsid w:val="003A65A8"/>
    <w:rsid w:val="003A7D30"/>
    <w:rsid w:val="003B3C5C"/>
    <w:rsid w:val="003B5C70"/>
    <w:rsid w:val="003C291F"/>
    <w:rsid w:val="003C47CA"/>
    <w:rsid w:val="003C5B52"/>
    <w:rsid w:val="003C7D66"/>
    <w:rsid w:val="003D6DE1"/>
    <w:rsid w:val="003D795C"/>
    <w:rsid w:val="003E30FB"/>
    <w:rsid w:val="003F1033"/>
    <w:rsid w:val="003F2711"/>
    <w:rsid w:val="003F3D7E"/>
    <w:rsid w:val="003F6C70"/>
    <w:rsid w:val="003F7CB9"/>
    <w:rsid w:val="00403333"/>
    <w:rsid w:val="00411735"/>
    <w:rsid w:val="00413FA2"/>
    <w:rsid w:val="00414906"/>
    <w:rsid w:val="00415C74"/>
    <w:rsid w:val="0043654D"/>
    <w:rsid w:val="00437057"/>
    <w:rsid w:val="00437F60"/>
    <w:rsid w:val="0044462D"/>
    <w:rsid w:val="00451840"/>
    <w:rsid w:val="00452BFF"/>
    <w:rsid w:val="00460C9A"/>
    <w:rsid w:val="00464924"/>
    <w:rsid w:val="0047581D"/>
    <w:rsid w:val="00480289"/>
    <w:rsid w:val="00481279"/>
    <w:rsid w:val="00483368"/>
    <w:rsid w:val="00485249"/>
    <w:rsid w:val="00494011"/>
    <w:rsid w:val="00494F60"/>
    <w:rsid w:val="004970AA"/>
    <w:rsid w:val="004A0BF4"/>
    <w:rsid w:val="004A263B"/>
    <w:rsid w:val="004A2BD4"/>
    <w:rsid w:val="004A5A87"/>
    <w:rsid w:val="004B68AE"/>
    <w:rsid w:val="004C35B0"/>
    <w:rsid w:val="004C49EF"/>
    <w:rsid w:val="004C4A19"/>
    <w:rsid w:val="004C5570"/>
    <w:rsid w:val="004D00C9"/>
    <w:rsid w:val="004E16F5"/>
    <w:rsid w:val="004E2E17"/>
    <w:rsid w:val="004E3CC7"/>
    <w:rsid w:val="004E5B69"/>
    <w:rsid w:val="004F2A87"/>
    <w:rsid w:val="005015FA"/>
    <w:rsid w:val="00503DE1"/>
    <w:rsid w:val="00507C56"/>
    <w:rsid w:val="00507C70"/>
    <w:rsid w:val="00512E22"/>
    <w:rsid w:val="005227DA"/>
    <w:rsid w:val="0052344E"/>
    <w:rsid w:val="00526478"/>
    <w:rsid w:val="00530204"/>
    <w:rsid w:val="00534C5F"/>
    <w:rsid w:val="00535316"/>
    <w:rsid w:val="00540257"/>
    <w:rsid w:val="0054192F"/>
    <w:rsid w:val="00544EB3"/>
    <w:rsid w:val="0054594B"/>
    <w:rsid w:val="0054749B"/>
    <w:rsid w:val="00551CC6"/>
    <w:rsid w:val="00554E7A"/>
    <w:rsid w:val="00557B23"/>
    <w:rsid w:val="0056015F"/>
    <w:rsid w:val="00560541"/>
    <w:rsid w:val="005672D0"/>
    <w:rsid w:val="00572CEB"/>
    <w:rsid w:val="00577068"/>
    <w:rsid w:val="00580ACC"/>
    <w:rsid w:val="005834C9"/>
    <w:rsid w:val="005A58BA"/>
    <w:rsid w:val="005A5D30"/>
    <w:rsid w:val="005A6AB9"/>
    <w:rsid w:val="005C333E"/>
    <w:rsid w:val="005C3430"/>
    <w:rsid w:val="005C3AE7"/>
    <w:rsid w:val="005D0677"/>
    <w:rsid w:val="005D5661"/>
    <w:rsid w:val="005E294C"/>
    <w:rsid w:val="005E2CE3"/>
    <w:rsid w:val="005F3F07"/>
    <w:rsid w:val="00603D04"/>
    <w:rsid w:val="00606857"/>
    <w:rsid w:val="00613CFF"/>
    <w:rsid w:val="00615F42"/>
    <w:rsid w:val="00617FE1"/>
    <w:rsid w:val="00621D7D"/>
    <w:rsid w:val="00625434"/>
    <w:rsid w:val="006258C2"/>
    <w:rsid w:val="00626365"/>
    <w:rsid w:val="00627A67"/>
    <w:rsid w:val="00630E22"/>
    <w:rsid w:val="0064168C"/>
    <w:rsid w:val="00643F41"/>
    <w:rsid w:val="00651758"/>
    <w:rsid w:val="00657B46"/>
    <w:rsid w:val="00657C78"/>
    <w:rsid w:val="00667F6B"/>
    <w:rsid w:val="006755C8"/>
    <w:rsid w:val="006764EC"/>
    <w:rsid w:val="00680070"/>
    <w:rsid w:val="006835FE"/>
    <w:rsid w:val="006857B4"/>
    <w:rsid w:val="00693BFD"/>
    <w:rsid w:val="00694CC7"/>
    <w:rsid w:val="00695065"/>
    <w:rsid w:val="006A1038"/>
    <w:rsid w:val="006A12D8"/>
    <w:rsid w:val="006A649A"/>
    <w:rsid w:val="006B036C"/>
    <w:rsid w:val="006B1B49"/>
    <w:rsid w:val="006B6390"/>
    <w:rsid w:val="006C0356"/>
    <w:rsid w:val="006C0843"/>
    <w:rsid w:val="006C74B1"/>
    <w:rsid w:val="006E57AA"/>
    <w:rsid w:val="006F20CF"/>
    <w:rsid w:val="006F38ED"/>
    <w:rsid w:val="006F6850"/>
    <w:rsid w:val="00707D4D"/>
    <w:rsid w:val="00713D42"/>
    <w:rsid w:val="00723446"/>
    <w:rsid w:val="00723503"/>
    <w:rsid w:val="0073076F"/>
    <w:rsid w:val="00730C04"/>
    <w:rsid w:val="0073597B"/>
    <w:rsid w:val="007378F6"/>
    <w:rsid w:val="0074545D"/>
    <w:rsid w:val="007522E3"/>
    <w:rsid w:val="0075335B"/>
    <w:rsid w:val="00753C44"/>
    <w:rsid w:val="00754383"/>
    <w:rsid w:val="007564D1"/>
    <w:rsid w:val="00757232"/>
    <w:rsid w:val="0076026B"/>
    <w:rsid w:val="00760679"/>
    <w:rsid w:val="007622DE"/>
    <w:rsid w:val="00763628"/>
    <w:rsid w:val="00767E99"/>
    <w:rsid w:val="00772E62"/>
    <w:rsid w:val="007755AB"/>
    <w:rsid w:val="00775A6A"/>
    <w:rsid w:val="0077789B"/>
    <w:rsid w:val="00780D29"/>
    <w:rsid w:val="007815DB"/>
    <w:rsid w:val="00791C8D"/>
    <w:rsid w:val="007926C1"/>
    <w:rsid w:val="0079354C"/>
    <w:rsid w:val="00794181"/>
    <w:rsid w:val="00796082"/>
    <w:rsid w:val="0079641A"/>
    <w:rsid w:val="007A7F6F"/>
    <w:rsid w:val="007B4C76"/>
    <w:rsid w:val="007C2260"/>
    <w:rsid w:val="007D08EE"/>
    <w:rsid w:val="007D1E52"/>
    <w:rsid w:val="007D2358"/>
    <w:rsid w:val="007D3F52"/>
    <w:rsid w:val="007D7A93"/>
    <w:rsid w:val="007E1FBC"/>
    <w:rsid w:val="007E2227"/>
    <w:rsid w:val="007E39E4"/>
    <w:rsid w:val="007E4023"/>
    <w:rsid w:val="007E5393"/>
    <w:rsid w:val="007E53B3"/>
    <w:rsid w:val="007E6838"/>
    <w:rsid w:val="007E6FB3"/>
    <w:rsid w:val="007F125F"/>
    <w:rsid w:val="007F21B4"/>
    <w:rsid w:val="007F4F8A"/>
    <w:rsid w:val="007F7701"/>
    <w:rsid w:val="00800B4E"/>
    <w:rsid w:val="00802553"/>
    <w:rsid w:val="0080382C"/>
    <w:rsid w:val="00803EAB"/>
    <w:rsid w:val="008046B5"/>
    <w:rsid w:val="00810224"/>
    <w:rsid w:val="008121AB"/>
    <w:rsid w:val="008127C0"/>
    <w:rsid w:val="00812ACA"/>
    <w:rsid w:val="00812EDD"/>
    <w:rsid w:val="008139C5"/>
    <w:rsid w:val="00813F74"/>
    <w:rsid w:val="0081650F"/>
    <w:rsid w:val="0082754C"/>
    <w:rsid w:val="00832B31"/>
    <w:rsid w:val="008403E0"/>
    <w:rsid w:val="0084657B"/>
    <w:rsid w:val="00855944"/>
    <w:rsid w:val="00863696"/>
    <w:rsid w:val="00864A18"/>
    <w:rsid w:val="00870833"/>
    <w:rsid w:val="00874571"/>
    <w:rsid w:val="00881F93"/>
    <w:rsid w:val="00882CB5"/>
    <w:rsid w:val="00883641"/>
    <w:rsid w:val="00884E69"/>
    <w:rsid w:val="00890082"/>
    <w:rsid w:val="00896A37"/>
    <w:rsid w:val="008A48D2"/>
    <w:rsid w:val="008A7423"/>
    <w:rsid w:val="008B0CF2"/>
    <w:rsid w:val="008B2610"/>
    <w:rsid w:val="008B471D"/>
    <w:rsid w:val="008B49E4"/>
    <w:rsid w:val="008B5667"/>
    <w:rsid w:val="008B729C"/>
    <w:rsid w:val="008C4A93"/>
    <w:rsid w:val="008E0E49"/>
    <w:rsid w:val="008E1ADC"/>
    <w:rsid w:val="008E35FD"/>
    <w:rsid w:val="008E3931"/>
    <w:rsid w:val="008E6227"/>
    <w:rsid w:val="008E7218"/>
    <w:rsid w:val="008E78B9"/>
    <w:rsid w:val="008F2C53"/>
    <w:rsid w:val="00901F1C"/>
    <w:rsid w:val="0090543D"/>
    <w:rsid w:val="009056C5"/>
    <w:rsid w:val="00915B5D"/>
    <w:rsid w:val="00922836"/>
    <w:rsid w:val="00923CCF"/>
    <w:rsid w:val="009262F2"/>
    <w:rsid w:val="00932614"/>
    <w:rsid w:val="00935C66"/>
    <w:rsid w:val="00937791"/>
    <w:rsid w:val="00951933"/>
    <w:rsid w:val="00952887"/>
    <w:rsid w:val="00954343"/>
    <w:rsid w:val="00955271"/>
    <w:rsid w:val="00961F3A"/>
    <w:rsid w:val="00963C9C"/>
    <w:rsid w:val="00965B6B"/>
    <w:rsid w:val="00971EDB"/>
    <w:rsid w:val="00974D50"/>
    <w:rsid w:val="00987ABE"/>
    <w:rsid w:val="00991EE4"/>
    <w:rsid w:val="009939DC"/>
    <w:rsid w:val="00993B9C"/>
    <w:rsid w:val="009A7079"/>
    <w:rsid w:val="009A7B1C"/>
    <w:rsid w:val="009B2CAE"/>
    <w:rsid w:val="009B4E1E"/>
    <w:rsid w:val="009C03FB"/>
    <w:rsid w:val="009C2087"/>
    <w:rsid w:val="009C4B4F"/>
    <w:rsid w:val="009D1BF1"/>
    <w:rsid w:val="009D35C0"/>
    <w:rsid w:val="009F0C02"/>
    <w:rsid w:val="009F42CB"/>
    <w:rsid w:val="009F5758"/>
    <w:rsid w:val="00A02121"/>
    <w:rsid w:val="00A0283F"/>
    <w:rsid w:val="00A04F4A"/>
    <w:rsid w:val="00A24185"/>
    <w:rsid w:val="00A26343"/>
    <w:rsid w:val="00A40531"/>
    <w:rsid w:val="00A408B5"/>
    <w:rsid w:val="00A51635"/>
    <w:rsid w:val="00A529E2"/>
    <w:rsid w:val="00A539F8"/>
    <w:rsid w:val="00A54989"/>
    <w:rsid w:val="00A6491A"/>
    <w:rsid w:val="00A6594E"/>
    <w:rsid w:val="00A727B6"/>
    <w:rsid w:val="00A76045"/>
    <w:rsid w:val="00A81CC6"/>
    <w:rsid w:val="00A83EC6"/>
    <w:rsid w:val="00A8732C"/>
    <w:rsid w:val="00A87CE2"/>
    <w:rsid w:val="00A9062D"/>
    <w:rsid w:val="00A93F58"/>
    <w:rsid w:val="00A96329"/>
    <w:rsid w:val="00A96741"/>
    <w:rsid w:val="00AA134B"/>
    <w:rsid w:val="00AA2CFE"/>
    <w:rsid w:val="00AA5FDA"/>
    <w:rsid w:val="00AA6291"/>
    <w:rsid w:val="00AB4D75"/>
    <w:rsid w:val="00AB6FA0"/>
    <w:rsid w:val="00AC0C91"/>
    <w:rsid w:val="00AD37D4"/>
    <w:rsid w:val="00AD44DE"/>
    <w:rsid w:val="00AD7986"/>
    <w:rsid w:val="00AE1188"/>
    <w:rsid w:val="00AE738C"/>
    <w:rsid w:val="00AF1046"/>
    <w:rsid w:val="00AF407E"/>
    <w:rsid w:val="00AF4466"/>
    <w:rsid w:val="00AF5D1E"/>
    <w:rsid w:val="00AF6501"/>
    <w:rsid w:val="00B040A9"/>
    <w:rsid w:val="00B105C7"/>
    <w:rsid w:val="00B10A76"/>
    <w:rsid w:val="00B1711E"/>
    <w:rsid w:val="00B17CBE"/>
    <w:rsid w:val="00B17E26"/>
    <w:rsid w:val="00B203F3"/>
    <w:rsid w:val="00B231A4"/>
    <w:rsid w:val="00B25D20"/>
    <w:rsid w:val="00B30C2A"/>
    <w:rsid w:val="00B31C99"/>
    <w:rsid w:val="00B46C16"/>
    <w:rsid w:val="00B53BA6"/>
    <w:rsid w:val="00B5731D"/>
    <w:rsid w:val="00B6378B"/>
    <w:rsid w:val="00B63E3A"/>
    <w:rsid w:val="00B75965"/>
    <w:rsid w:val="00B768C9"/>
    <w:rsid w:val="00B771AD"/>
    <w:rsid w:val="00B814CB"/>
    <w:rsid w:val="00B8786A"/>
    <w:rsid w:val="00B920D2"/>
    <w:rsid w:val="00BA0CF8"/>
    <w:rsid w:val="00BA1ADF"/>
    <w:rsid w:val="00BA4384"/>
    <w:rsid w:val="00BA51FC"/>
    <w:rsid w:val="00BB003A"/>
    <w:rsid w:val="00BB3358"/>
    <w:rsid w:val="00BB3382"/>
    <w:rsid w:val="00BB3643"/>
    <w:rsid w:val="00BB4E95"/>
    <w:rsid w:val="00BC39AF"/>
    <w:rsid w:val="00BC3DA0"/>
    <w:rsid w:val="00BC424B"/>
    <w:rsid w:val="00BD18FF"/>
    <w:rsid w:val="00BD5B1F"/>
    <w:rsid w:val="00BE0FDE"/>
    <w:rsid w:val="00BE2E82"/>
    <w:rsid w:val="00BE3710"/>
    <w:rsid w:val="00BF6AC5"/>
    <w:rsid w:val="00C01121"/>
    <w:rsid w:val="00C030A5"/>
    <w:rsid w:val="00C05A45"/>
    <w:rsid w:val="00C0796F"/>
    <w:rsid w:val="00C11B34"/>
    <w:rsid w:val="00C12C5C"/>
    <w:rsid w:val="00C171FB"/>
    <w:rsid w:val="00C209C2"/>
    <w:rsid w:val="00C20ACC"/>
    <w:rsid w:val="00C2267F"/>
    <w:rsid w:val="00C22AD8"/>
    <w:rsid w:val="00C3557E"/>
    <w:rsid w:val="00C3594B"/>
    <w:rsid w:val="00C4064B"/>
    <w:rsid w:val="00C43102"/>
    <w:rsid w:val="00C4696B"/>
    <w:rsid w:val="00C47645"/>
    <w:rsid w:val="00C4796E"/>
    <w:rsid w:val="00C50513"/>
    <w:rsid w:val="00C54503"/>
    <w:rsid w:val="00C62BEA"/>
    <w:rsid w:val="00C63055"/>
    <w:rsid w:val="00C73B62"/>
    <w:rsid w:val="00C75F9C"/>
    <w:rsid w:val="00C776B1"/>
    <w:rsid w:val="00C815FE"/>
    <w:rsid w:val="00C81FA0"/>
    <w:rsid w:val="00C847AE"/>
    <w:rsid w:val="00C931E7"/>
    <w:rsid w:val="00CA04C6"/>
    <w:rsid w:val="00CA26DD"/>
    <w:rsid w:val="00CB12EC"/>
    <w:rsid w:val="00CC09D7"/>
    <w:rsid w:val="00CC12B8"/>
    <w:rsid w:val="00CC2376"/>
    <w:rsid w:val="00CC5AB1"/>
    <w:rsid w:val="00CD22E3"/>
    <w:rsid w:val="00CD4E44"/>
    <w:rsid w:val="00CD5AE4"/>
    <w:rsid w:val="00CD7A7D"/>
    <w:rsid w:val="00CE633F"/>
    <w:rsid w:val="00CE6D4C"/>
    <w:rsid w:val="00CF2D8E"/>
    <w:rsid w:val="00CF2DFA"/>
    <w:rsid w:val="00CF5AD8"/>
    <w:rsid w:val="00D00122"/>
    <w:rsid w:val="00D01D2A"/>
    <w:rsid w:val="00D0571B"/>
    <w:rsid w:val="00D10B47"/>
    <w:rsid w:val="00D11EB1"/>
    <w:rsid w:val="00D17F17"/>
    <w:rsid w:val="00D215E8"/>
    <w:rsid w:val="00D23597"/>
    <w:rsid w:val="00D30BDC"/>
    <w:rsid w:val="00D30F4A"/>
    <w:rsid w:val="00D541B8"/>
    <w:rsid w:val="00D551EB"/>
    <w:rsid w:val="00D57F88"/>
    <w:rsid w:val="00D651C3"/>
    <w:rsid w:val="00D66ED0"/>
    <w:rsid w:val="00D7105C"/>
    <w:rsid w:val="00D73646"/>
    <w:rsid w:val="00D777B4"/>
    <w:rsid w:val="00D77A90"/>
    <w:rsid w:val="00D8360B"/>
    <w:rsid w:val="00D85676"/>
    <w:rsid w:val="00D96ADA"/>
    <w:rsid w:val="00DA2886"/>
    <w:rsid w:val="00DA5E50"/>
    <w:rsid w:val="00DA7215"/>
    <w:rsid w:val="00DA7323"/>
    <w:rsid w:val="00DA7D0C"/>
    <w:rsid w:val="00DB311C"/>
    <w:rsid w:val="00DB432D"/>
    <w:rsid w:val="00DB519B"/>
    <w:rsid w:val="00DC215F"/>
    <w:rsid w:val="00DC7694"/>
    <w:rsid w:val="00DC7FBE"/>
    <w:rsid w:val="00DD130E"/>
    <w:rsid w:val="00DD308E"/>
    <w:rsid w:val="00DE2FE8"/>
    <w:rsid w:val="00DF0C51"/>
    <w:rsid w:val="00DF0D47"/>
    <w:rsid w:val="00DF1652"/>
    <w:rsid w:val="00DF6D37"/>
    <w:rsid w:val="00E048ED"/>
    <w:rsid w:val="00E04FB3"/>
    <w:rsid w:val="00E058F2"/>
    <w:rsid w:val="00E05D9C"/>
    <w:rsid w:val="00E06102"/>
    <w:rsid w:val="00E23E71"/>
    <w:rsid w:val="00E253AB"/>
    <w:rsid w:val="00E27C6D"/>
    <w:rsid w:val="00E30F19"/>
    <w:rsid w:val="00E33C4A"/>
    <w:rsid w:val="00E357B9"/>
    <w:rsid w:val="00E4321E"/>
    <w:rsid w:val="00E44B80"/>
    <w:rsid w:val="00E456BA"/>
    <w:rsid w:val="00E47623"/>
    <w:rsid w:val="00E60529"/>
    <w:rsid w:val="00E641EF"/>
    <w:rsid w:val="00E70D86"/>
    <w:rsid w:val="00E712C3"/>
    <w:rsid w:val="00E7628E"/>
    <w:rsid w:val="00E82F54"/>
    <w:rsid w:val="00E8649B"/>
    <w:rsid w:val="00E871CD"/>
    <w:rsid w:val="00E90990"/>
    <w:rsid w:val="00E95D3D"/>
    <w:rsid w:val="00EA0E25"/>
    <w:rsid w:val="00EA173C"/>
    <w:rsid w:val="00EC127A"/>
    <w:rsid w:val="00EC1FF9"/>
    <w:rsid w:val="00EC2737"/>
    <w:rsid w:val="00ED00FA"/>
    <w:rsid w:val="00EE04CD"/>
    <w:rsid w:val="00EE2716"/>
    <w:rsid w:val="00EE494E"/>
    <w:rsid w:val="00EE6450"/>
    <w:rsid w:val="00EF10B3"/>
    <w:rsid w:val="00EF4A4E"/>
    <w:rsid w:val="00F01C2C"/>
    <w:rsid w:val="00F02053"/>
    <w:rsid w:val="00F10ED8"/>
    <w:rsid w:val="00F147A6"/>
    <w:rsid w:val="00F222BE"/>
    <w:rsid w:val="00F23010"/>
    <w:rsid w:val="00F23B61"/>
    <w:rsid w:val="00F24179"/>
    <w:rsid w:val="00F301F1"/>
    <w:rsid w:val="00F30C22"/>
    <w:rsid w:val="00F33F1A"/>
    <w:rsid w:val="00F42B6D"/>
    <w:rsid w:val="00F547F7"/>
    <w:rsid w:val="00F54CCF"/>
    <w:rsid w:val="00F61D7A"/>
    <w:rsid w:val="00F637B3"/>
    <w:rsid w:val="00F66B5E"/>
    <w:rsid w:val="00F66CF7"/>
    <w:rsid w:val="00F67BCB"/>
    <w:rsid w:val="00F702C5"/>
    <w:rsid w:val="00F77C57"/>
    <w:rsid w:val="00F813C7"/>
    <w:rsid w:val="00F83566"/>
    <w:rsid w:val="00F83A9D"/>
    <w:rsid w:val="00F906B5"/>
    <w:rsid w:val="00F93784"/>
    <w:rsid w:val="00F971CC"/>
    <w:rsid w:val="00FA2CAA"/>
    <w:rsid w:val="00FA3DA1"/>
    <w:rsid w:val="00FA465B"/>
    <w:rsid w:val="00FA6554"/>
    <w:rsid w:val="00FC22BD"/>
    <w:rsid w:val="00FE16C1"/>
    <w:rsid w:val="00FE19FF"/>
    <w:rsid w:val="00FE33A6"/>
    <w:rsid w:val="00FE5452"/>
    <w:rsid w:val="00FE630F"/>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E9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unhideWhenUsed/>
    <w:qFormat/>
    <w:rsid w:val="00A51635"/>
    <w:pPr>
      <w:keepNext/>
      <w:keepLines/>
      <w:spacing w:before="40" w:after="240"/>
      <w:ind w:left="357"/>
      <w:outlineLvl w:val="2"/>
    </w:pPr>
    <w:rPr>
      <w:rFonts w:eastAsiaTheme="majorEastAsia" w:cstheme="minorHAnsi"/>
      <w:b/>
      <w:bCs/>
      <w:sz w:val="24"/>
      <w:szCs w:val="24"/>
    </w:rPr>
  </w:style>
  <w:style w:type="paragraph" w:styleId="Heading4">
    <w:name w:val="heading 4"/>
    <w:basedOn w:val="Normal"/>
    <w:next w:val="Normal"/>
    <w:link w:val="Heading4Char"/>
    <w:uiPriority w:val="9"/>
    <w:unhideWhenUsed/>
    <w:qFormat/>
    <w:rsid w:val="00B46C16"/>
    <w:pPr>
      <w:keepNext/>
      <w:keepLines/>
      <w:spacing w:before="40" w:after="0"/>
      <w:ind w:firstLine="426"/>
      <w:outlineLvl w:val="3"/>
    </w:pPr>
    <w:rPr>
      <w:rFonts w:eastAsiaTheme="majorEastAsia" w:cstheme="minorHAns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Summary box"/>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99"/>
    <w:unhideWhenUsed/>
    <w:qFormat/>
    <w:rsid w:val="000E7F7B"/>
    <w:pPr>
      <w:spacing w:before="0" w:after="200"/>
    </w:pPr>
    <w:rPr>
      <w:i/>
      <w:iCs/>
      <w:color w:val="1F497D" w:themeColor="text2"/>
      <w:sz w:val="18"/>
      <w:szCs w:val="18"/>
    </w:rPr>
  </w:style>
  <w:style w:type="paragraph" w:customStyle="1" w:styleId="Tabletext">
    <w:name w:val="Table text"/>
    <w:basedOn w:val="BodyText"/>
    <w:link w:val="TabletextChar"/>
    <w:qFormat/>
    <w:rsid w:val="00657C78"/>
    <w:pPr>
      <w:tabs>
        <w:tab w:val="left" w:pos="416"/>
        <w:tab w:val="left" w:pos="582"/>
      </w:tabs>
      <w:spacing w:before="20" w:after="20"/>
    </w:pPr>
    <w:rPr>
      <w:rFonts w:ascii="Calibri" w:eastAsia="Times New Roman" w:hAnsi="Calibri" w:cs="Times New Roman"/>
      <w:bCs/>
      <w:sz w:val="18"/>
      <w:szCs w:val="18"/>
    </w:rPr>
  </w:style>
  <w:style w:type="character" w:customStyle="1" w:styleId="TabletextChar">
    <w:name w:val="Table text Char"/>
    <w:basedOn w:val="DefaultParagraphFont"/>
    <w:link w:val="Tabletext"/>
    <w:rsid w:val="00657C78"/>
    <w:rPr>
      <w:rFonts w:ascii="Calibri" w:eastAsia="Times New Roman" w:hAnsi="Calibri" w:cs="Times New Roman"/>
      <w:bCs/>
      <w:sz w:val="18"/>
      <w:szCs w:val="18"/>
    </w:rPr>
  </w:style>
  <w:style w:type="paragraph" w:styleId="BodyText">
    <w:name w:val="Body Text"/>
    <w:basedOn w:val="Normal"/>
    <w:link w:val="BodyTextChar"/>
    <w:uiPriority w:val="99"/>
    <w:semiHidden/>
    <w:unhideWhenUsed/>
    <w:rsid w:val="00657C78"/>
  </w:style>
  <w:style w:type="character" w:customStyle="1" w:styleId="BodyTextChar">
    <w:name w:val="Body Text Char"/>
    <w:basedOn w:val="DefaultParagraphFont"/>
    <w:link w:val="BodyText"/>
    <w:uiPriority w:val="99"/>
    <w:semiHidden/>
    <w:rsid w:val="00657C78"/>
    <w:rPr>
      <w:sz w:val="20"/>
    </w:rPr>
  </w:style>
  <w:style w:type="character" w:customStyle="1" w:styleId="Heading4Char">
    <w:name w:val="Heading 4 Char"/>
    <w:basedOn w:val="DefaultParagraphFont"/>
    <w:link w:val="Heading4"/>
    <w:uiPriority w:val="9"/>
    <w:rsid w:val="00B46C16"/>
    <w:rPr>
      <w:rFonts w:eastAsiaTheme="majorEastAsia" w:cstheme="minorHAnsi"/>
      <w:b/>
      <w:bCs/>
      <w:i/>
      <w:iCs/>
      <w:sz w:val="20"/>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99"/>
    <w:locked/>
    <w:rsid w:val="000E1CB8"/>
    <w:rPr>
      <w:i/>
      <w:iCs/>
      <w:color w:val="1F497D" w:themeColor="text2"/>
      <w:sz w:val="18"/>
      <w:szCs w:val="18"/>
    </w:rPr>
  </w:style>
  <w:style w:type="character" w:customStyle="1" w:styleId="Heading3Char">
    <w:name w:val="Heading 3 Char"/>
    <w:basedOn w:val="DefaultParagraphFont"/>
    <w:link w:val="Heading3"/>
    <w:uiPriority w:val="9"/>
    <w:rsid w:val="00A51635"/>
    <w:rPr>
      <w:rFonts w:eastAsiaTheme="majorEastAsia" w:cstheme="minorHAnsi"/>
      <w:b/>
      <w:bCs/>
      <w:sz w:val="24"/>
      <w:szCs w:val="24"/>
    </w:rPr>
  </w:style>
  <w:style w:type="paragraph" w:customStyle="1" w:styleId="TablesTHEMA">
    <w:name w:val="Tables_THEMA"/>
    <w:basedOn w:val="Normal"/>
    <w:qFormat/>
    <w:rsid w:val="00B920D2"/>
    <w:pPr>
      <w:keepNext/>
      <w:keepLines/>
      <w:spacing w:before="0"/>
      <w:jc w:val="both"/>
    </w:pPr>
    <w:rPr>
      <w:rFonts w:ascii="Arial" w:eastAsia="Calibri" w:hAnsi="Arial" w:cs="Arial"/>
    </w:rPr>
  </w:style>
  <w:style w:type="paragraph" w:customStyle="1" w:styleId="TableNote">
    <w:name w:val="Table Note"/>
    <w:basedOn w:val="Normal"/>
    <w:qFormat/>
    <w:rsid w:val="00B920D2"/>
    <w:pPr>
      <w:keepNext/>
      <w:keepLines/>
      <w:spacing w:before="0" w:after="0"/>
    </w:pPr>
    <w:rPr>
      <w:rFonts w:ascii="Arial" w:eastAsia="Calibri" w:hAnsi="Arial" w:cs="Arial"/>
      <w:sz w:val="16"/>
      <w:szCs w:val="16"/>
    </w:rPr>
  </w:style>
  <w:style w:type="character" w:customStyle="1" w:styleId="UnresolvedMention">
    <w:name w:val="Unresolved Mention"/>
    <w:basedOn w:val="DefaultParagraphFont"/>
    <w:uiPriority w:val="99"/>
    <w:semiHidden/>
    <w:unhideWhenUsed/>
    <w:rsid w:val="00230B00"/>
    <w:rPr>
      <w:color w:val="605E5C"/>
      <w:shd w:val="clear" w:color="auto" w:fill="E1DFDD"/>
    </w:rPr>
  </w:style>
  <w:style w:type="character" w:styleId="FollowedHyperlink">
    <w:name w:val="FollowedHyperlink"/>
    <w:basedOn w:val="DefaultParagraphFont"/>
    <w:uiPriority w:val="99"/>
    <w:semiHidden/>
    <w:unhideWhenUsed/>
    <w:rsid w:val="00FC22BD"/>
    <w:rPr>
      <w:color w:val="800080" w:themeColor="followedHyperlink"/>
      <w:u w:val="single"/>
    </w:rPr>
  </w:style>
  <w:style w:type="paragraph" w:styleId="FootnoteText">
    <w:name w:val="footnote text"/>
    <w:basedOn w:val="Normal"/>
    <w:link w:val="FootnoteTextChar"/>
    <w:uiPriority w:val="99"/>
    <w:semiHidden/>
    <w:unhideWhenUsed/>
    <w:rsid w:val="00D66ED0"/>
    <w:pPr>
      <w:spacing w:before="0" w:after="0"/>
    </w:pPr>
    <w:rPr>
      <w:szCs w:val="20"/>
    </w:rPr>
  </w:style>
  <w:style w:type="character" w:customStyle="1" w:styleId="FootnoteTextChar">
    <w:name w:val="Footnote Text Char"/>
    <w:basedOn w:val="DefaultParagraphFont"/>
    <w:link w:val="FootnoteText"/>
    <w:uiPriority w:val="99"/>
    <w:semiHidden/>
    <w:rsid w:val="00D66ED0"/>
    <w:rPr>
      <w:sz w:val="20"/>
      <w:szCs w:val="20"/>
    </w:rPr>
  </w:style>
  <w:style w:type="character" w:styleId="FootnoteReference">
    <w:name w:val="footnote reference"/>
    <w:basedOn w:val="DefaultParagraphFont"/>
    <w:uiPriority w:val="99"/>
    <w:semiHidden/>
    <w:unhideWhenUsed/>
    <w:rsid w:val="00D66E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69860">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430471692">
      <w:bodyDiv w:val="1"/>
      <w:marLeft w:val="0"/>
      <w:marRight w:val="0"/>
      <w:marTop w:val="0"/>
      <w:marBottom w:val="0"/>
      <w:divBdr>
        <w:top w:val="none" w:sz="0" w:space="0" w:color="auto"/>
        <w:left w:val="none" w:sz="0" w:space="0" w:color="auto"/>
        <w:bottom w:val="none" w:sz="0" w:space="0" w:color="auto"/>
        <w:right w:val="none" w:sz="0" w:space="0" w:color="auto"/>
      </w:divBdr>
    </w:div>
    <w:div w:id="449740701">
      <w:bodyDiv w:val="1"/>
      <w:marLeft w:val="0"/>
      <w:marRight w:val="0"/>
      <w:marTop w:val="0"/>
      <w:marBottom w:val="0"/>
      <w:divBdr>
        <w:top w:val="none" w:sz="0" w:space="0" w:color="auto"/>
        <w:left w:val="none" w:sz="0" w:space="0" w:color="auto"/>
        <w:bottom w:val="none" w:sz="0" w:space="0" w:color="auto"/>
        <w:right w:val="none" w:sz="0" w:space="0" w:color="auto"/>
      </w:divBdr>
    </w:div>
    <w:div w:id="490681201">
      <w:bodyDiv w:val="1"/>
      <w:marLeft w:val="0"/>
      <w:marRight w:val="0"/>
      <w:marTop w:val="0"/>
      <w:marBottom w:val="0"/>
      <w:divBdr>
        <w:top w:val="none" w:sz="0" w:space="0" w:color="auto"/>
        <w:left w:val="none" w:sz="0" w:space="0" w:color="auto"/>
        <w:bottom w:val="none" w:sz="0" w:space="0" w:color="auto"/>
        <w:right w:val="none" w:sz="0" w:space="0" w:color="auto"/>
      </w:divBdr>
    </w:div>
    <w:div w:id="710110161">
      <w:bodyDiv w:val="1"/>
      <w:marLeft w:val="0"/>
      <w:marRight w:val="0"/>
      <w:marTop w:val="0"/>
      <w:marBottom w:val="0"/>
      <w:divBdr>
        <w:top w:val="none" w:sz="0" w:space="0" w:color="auto"/>
        <w:left w:val="none" w:sz="0" w:space="0" w:color="auto"/>
        <w:bottom w:val="none" w:sz="0" w:space="0" w:color="auto"/>
        <w:right w:val="none" w:sz="0" w:space="0" w:color="auto"/>
      </w:divBdr>
    </w:div>
    <w:div w:id="895317838">
      <w:bodyDiv w:val="1"/>
      <w:marLeft w:val="0"/>
      <w:marRight w:val="0"/>
      <w:marTop w:val="0"/>
      <w:marBottom w:val="0"/>
      <w:divBdr>
        <w:top w:val="none" w:sz="0" w:space="0" w:color="auto"/>
        <w:left w:val="none" w:sz="0" w:space="0" w:color="auto"/>
        <w:bottom w:val="none" w:sz="0" w:space="0" w:color="auto"/>
        <w:right w:val="none" w:sz="0" w:space="0" w:color="auto"/>
      </w:divBdr>
    </w:div>
    <w:div w:id="926185570">
      <w:bodyDiv w:val="1"/>
      <w:marLeft w:val="0"/>
      <w:marRight w:val="0"/>
      <w:marTop w:val="0"/>
      <w:marBottom w:val="0"/>
      <w:divBdr>
        <w:top w:val="none" w:sz="0" w:space="0" w:color="auto"/>
        <w:left w:val="none" w:sz="0" w:space="0" w:color="auto"/>
        <w:bottom w:val="none" w:sz="0" w:space="0" w:color="auto"/>
        <w:right w:val="none" w:sz="0" w:space="0" w:color="auto"/>
      </w:divBdr>
    </w:div>
    <w:div w:id="977031380">
      <w:bodyDiv w:val="1"/>
      <w:marLeft w:val="0"/>
      <w:marRight w:val="0"/>
      <w:marTop w:val="0"/>
      <w:marBottom w:val="0"/>
      <w:divBdr>
        <w:top w:val="none" w:sz="0" w:space="0" w:color="auto"/>
        <w:left w:val="none" w:sz="0" w:space="0" w:color="auto"/>
        <w:bottom w:val="none" w:sz="0" w:space="0" w:color="auto"/>
        <w:right w:val="none" w:sz="0" w:space="0" w:color="auto"/>
      </w:divBdr>
    </w:div>
    <w:div w:id="1019427640">
      <w:bodyDiv w:val="1"/>
      <w:marLeft w:val="0"/>
      <w:marRight w:val="0"/>
      <w:marTop w:val="0"/>
      <w:marBottom w:val="0"/>
      <w:divBdr>
        <w:top w:val="none" w:sz="0" w:space="0" w:color="auto"/>
        <w:left w:val="none" w:sz="0" w:space="0" w:color="auto"/>
        <w:bottom w:val="none" w:sz="0" w:space="0" w:color="auto"/>
        <w:right w:val="none" w:sz="0" w:space="0" w:color="auto"/>
      </w:divBdr>
    </w:div>
    <w:div w:id="1292713774">
      <w:bodyDiv w:val="1"/>
      <w:marLeft w:val="0"/>
      <w:marRight w:val="0"/>
      <w:marTop w:val="0"/>
      <w:marBottom w:val="0"/>
      <w:divBdr>
        <w:top w:val="none" w:sz="0" w:space="0" w:color="auto"/>
        <w:left w:val="none" w:sz="0" w:space="0" w:color="auto"/>
        <w:bottom w:val="none" w:sz="0" w:space="0" w:color="auto"/>
        <w:right w:val="none" w:sz="0" w:space="0" w:color="auto"/>
      </w:divBdr>
    </w:div>
    <w:div w:id="1589923777">
      <w:bodyDiv w:val="1"/>
      <w:marLeft w:val="0"/>
      <w:marRight w:val="0"/>
      <w:marTop w:val="0"/>
      <w:marBottom w:val="0"/>
      <w:divBdr>
        <w:top w:val="none" w:sz="0" w:space="0" w:color="auto"/>
        <w:left w:val="none" w:sz="0" w:space="0" w:color="auto"/>
        <w:bottom w:val="none" w:sz="0" w:space="0" w:color="auto"/>
        <w:right w:val="none" w:sz="0" w:space="0" w:color="auto"/>
      </w:divBdr>
    </w:div>
    <w:div w:id="1642268238">
      <w:bodyDiv w:val="1"/>
      <w:marLeft w:val="0"/>
      <w:marRight w:val="0"/>
      <w:marTop w:val="0"/>
      <w:marBottom w:val="0"/>
      <w:divBdr>
        <w:top w:val="none" w:sz="0" w:space="0" w:color="auto"/>
        <w:left w:val="none" w:sz="0" w:space="0" w:color="auto"/>
        <w:bottom w:val="none" w:sz="0" w:space="0" w:color="auto"/>
        <w:right w:val="none" w:sz="0" w:space="0" w:color="auto"/>
      </w:divBdr>
    </w:div>
    <w:div w:id="1836920321">
      <w:bodyDiv w:val="1"/>
      <w:marLeft w:val="0"/>
      <w:marRight w:val="0"/>
      <w:marTop w:val="0"/>
      <w:marBottom w:val="0"/>
      <w:divBdr>
        <w:top w:val="none" w:sz="0" w:space="0" w:color="auto"/>
        <w:left w:val="none" w:sz="0" w:space="0" w:color="auto"/>
        <w:bottom w:val="none" w:sz="0" w:space="0" w:color="auto"/>
        <w:right w:val="none" w:sz="0" w:space="0" w:color="auto"/>
      </w:divBdr>
    </w:div>
    <w:div w:id="2023434795">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 w:id="21330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medicarestatistics.humanservices.gov.au/statistics/do.jsp?_PROGRAM=%2Fstatistics%2Fmbs_item_standard_report&amp;DRILL=ag&amp;group=38276&amp;VAR=services&amp;STAT=count&amp;RPT_FMT=by+time+period+and+state&amp;PTYPE=month&amp;START_DT=201401&amp;END_DT=201908" TargetMode="External"/><Relationship Id="rId3" Type="http://schemas.openxmlformats.org/officeDocument/2006/relationships/styles" Target="styles.xml"/><Relationship Id="rId21" Type="http://schemas.openxmlformats.org/officeDocument/2006/relationships/hyperlink" Target="http://www.cardiacrhythmnew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hyperlink" Target="https://doi.org/10.1016/j.hlc.2018.06.10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www.pbs.gov.au/reviews/atrial-fibrillation-files/report-anticoagulation.pdf" TargetMode="External"/><Relationship Id="rId10" Type="http://schemas.openxmlformats.org/officeDocument/2006/relationships/header" Target="header2.xml"/><Relationship Id="rId19" Type="http://schemas.openxmlformats.org/officeDocument/2006/relationships/hyperlink" Target="http://www.cardiacrhythmnew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aihw.gov.au/reports/heart-stroke-vascular-diseases/cardiovascular-health-compendiu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ucksformulary.nhs.uk/docs/ContraindicationsOralAnticoag%26Anti-plateletsAFPrimaryCar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cdc01\themaprojects\Boston%20Scientific\ZZZ%20LAAC%20expansion%20MSAC%20sub\Budget%20Impact%20Models\Budget%20Impact%20LAAC%2010.1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3977804196794"/>
          <c:y val="4.14765657403567E-2"/>
          <c:w val="0.81313312312984942"/>
          <c:h val="0.77020610913888776"/>
        </c:manualLayout>
      </c:layout>
      <c:scatterChart>
        <c:scatterStyle val="lineMarker"/>
        <c:varyColors val="0"/>
        <c:ser>
          <c:idx val="0"/>
          <c:order val="0"/>
          <c:tx>
            <c:v>Medicare Statistics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'Current utilisation'!$B$10:$B$31</c:f>
              <c:numCache>
                <c:formatCode>mmm\-yy</c:formatCode>
                <c:ptCount val="22"/>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numCache>
            </c:numRef>
          </c:xVal>
          <c:yVal>
            <c:numRef>
              <c:f>'Current utilisation'!$C$10:$C$31</c:f>
              <c:numCache>
                <c:formatCode>General</c:formatCode>
                <c:ptCount val="22"/>
                <c:pt idx="0">
                  <c:v>7</c:v>
                </c:pt>
                <c:pt idx="1">
                  <c:v>12</c:v>
                </c:pt>
                <c:pt idx="2">
                  <c:v>10</c:v>
                </c:pt>
                <c:pt idx="3">
                  <c:v>28</c:v>
                </c:pt>
                <c:pt idx="4">
                  <c:v>19</c:v>
                </c:pt>
                <c:pt idx="5">
                  <c:v>27</c:v>
                </c:pt>
                <c:pt idx="6">
                  <c:v>29</c:v>
                </c:pt>
                <c:pt idx="7">
                  <c:v>28</c:v>
                </c:pt>
                <c:pt idx="8">
                  <c:v>31</c:v>
                </c:pt>
                <c:pt idx="9">
                  <c:v>39</c:v>
                </c:pt>
                <c:pt idx="10">
                  <c:v>26</c:v>
                </c:pt>
                <c:pt idx="11">
                  <c:v>30</c:v>
                </c:pt>
                <c:pt idx="12">
                  <c:v>41</c:v>
                </c:pt>
                <c:pt idx="13">
                  <c:v>28</c:v>
                </c:pt>
                <c:pt idx="14">
                  <c:v>35</c:v>
                </c:pt>
                <c:pt idx="15">
                  <c:v>42</c:v>
                </c:pt>
                <c:pt idx="16">
                  <c:v>28</c:v>
                </c:pt>
                <c:pt idx="17">
                  <c:v>44</c:v>
                </c:pt>
                <c:pt idx="18">
                  <c:v>43</c:v>
                </c:pt>
                <c:pt idx="19">
                  <c:v>35</c:v>
                </c:pt>
                <c:pt idx="20">
                  <c:v>32</c:v>
                </c:pt>
                <c:pt idx="21">
                  <c:v>37</c:v>
                </c:pt>
              </c:numCache>
            </c:numRef>
          </c:yVal>
          <c:smooth val="0"/>
          <c:extLst>
            <c:ext xmlns:c16="http://schemas.microsoft.com/office/drawing/2014/chart" uri="{C3380CC4-5D6E-409C-BE32-E72D297353CC}">
              <c16:uniqueId val="{00000000-577F-452E-B657-A1500D54B0FD}"/>
            </c:ext>
          </c:extLst>
        </c:ser>
        <c:dLbls>
          <c:showLegendKey val="0"/>
          <c:showVal val="0"/>
          <c:showCatName val="0"/>
          <c:showSerName val="0"/>
          <c:showPercent val="0"/>
          <c:showBubbleSize val="0"/>
        </c:dLbls>
        <c:axId val="882037800"/>
        <c:axId val="882038128"/>
        <c:extLst>
          <c:ext xmlns:c15="http://schemas.microsoft.com/office/drawing/2012/chart" uri="{02D57815-91ED-43cb-92C2-25804820EDAC}">
            <c15:filteredScatterSeries>
              <c15:ser>
                <c:idx val="1"/>
                <c:order val="1"/>
                <c:tx>
                  <c:v>Projected Items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'Current utilisation'!$B$32:$B$56</c15:sqref>
                        </c15:formulaRef>
                      </c:ext>
                    </c:extLst>
                    <c:numCache>
                      <c:formatCode>mmm\-yy</c:formatCode>
                      <c:ptCount val="25"/>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pt idx="12">
                        <c:v>44075</c:v>
                      </c:pt>
                      <c:pt idx="13">
                        <c:v>44105</c:v>
                      </c:pt>
                      <c:pt idx="14">
                        <c:v>44136</c:v>
                      </c:pt>
                      <c:pt idx="15">
                        <c:v>44166</c:v>
                      </c:pt>
                      <c:pt idx="16">
                        <c:v>44197</c:v>
                      </c:pt>
                      <c:pt idx="17">
                        <c:v>44562</c:v>
                      </c:pt>
                      <c:pt idx="18">
                        <c:v>44927</c:v>
                      </c:pt>
                      <c:pt idx="19">
                        <c:v>45292</c:v>
                      </c:pt>
                      <c:pt idx="20">
                        <c:v>45658</c:v>
                      </c:pt>
                      <c:pt idx="21">
                        <c:v>46023</c:v>
                      </c:pt>
                      <c:pt idx="22">
                        <c:v>46388</c:v>
                      </c:pt>
                    </c:numCache>
                  </c:numRef>
                </c:xVal>
                <c:yVal>
                  <c:numRef>
                    <c:extLst>
                      <c:ext uri="{02D57815-91ED-43cb-92C2-25804820EDAC}">
                        <c15:formulaRef>
                          <c15:sqref>'Current utilisation'!$C$32:$C$56</c15:sqref>
                        </c15:formulaRef>
                      </c:ext>
                    </c:extLst>
                    <c:numCache>
                      <c:formatCode>0</c:formatCode>
                      <c:ptCount val="25"/>
                      <c:pt idx="0">
                        <c:v>37.7363</c:v>
                      </c:pt>
                      <c:pt idx="1">
                        <c:v>38.48725237</c:v>
                      </c:pt>
                      <c:pt idx="2">
                        <c:v>39.253148692163002</c:v>
                      </c:pt>
                      <c:pt idx="3">
                        <c:v>40.034286351137048</c:v>
                      </c:pt>
                      <c:pt idx="4">
                        <c:v>40.830968649524678</c:v>
                      </c:pt>
                      <c:pt idx="5">
                        <c:v>41.64350492565022</c:v>
                      </c:pt>
                      <c:pt idx="6">
                        <c:v>42.472210673670659</c:v>
                      </c:pt>
                      <c:pt idx="7">
                        <c:v>43.317407666076704</c:v>
                      </c:pt>
                      <c:pt idx="8">
                        <c:v>44.179424078631634</c:v>
                      </c:pt>
                      <c:pt idx="9">
                        <c:v>45.058594617796402</c:v>
                      </c:pt>
                      <c:pt idx="10">
                        <c:v>45.955260650690555</c:v>
                      </c:pt>
                      <c:pt idx="11">
                        <c:v>46.869770337639295</c:v>
                      </c:pt>
                      <c:pt idx="12">
                        <c:v>47.802478767358316</c:v>
                      </c:pt>
                      <c:pt idx="13">
                        <c:v>48.753748094828751</c:v>
                      </c:pt>
                      <c:pt idx="14">
                        <c:v>49.723947681915845</c:v>
                      </c:pt>
                      <c:pt idx="15">
                        <c:v>50.713454240785971</c:v>
                      </c:pt>
                      <c:pt idx="16">
                        <c:v>51.722651980177616</c:v>
                      </c:pt>
                      <c:pt idx="17">
                        <c:v>64.074021273044025</c:v>
                      </c:pt>
                      <c:pt idx="18">
                        <c:v>79.374897553046935</c:v>
                      </c:pt>
                      <c:pt idx="19">
                        <c:v>98.329623088714541</c:v>
                      </c:pt>
                      <c:pt idx="20">
                        <c:v>121.81073708229957</c:v>
                      </c:pt>
                      <c:pt idx="21">
                        <c:v>150.8991410975527</c:v>
                      </c:pt>
                      <c:pt idx="22">
                        <c:v>186.93385599164827</c:v>
                      </c:pt>
                    </c:numCache>
                  </c:numRef>
                </c:yVal>
                <c:smooth val="0"/>
                <c:extLst>
                  <c:ext xmlns:c16="http://schemas.microsoft.com/office/drawing/2014/chart" uri="{C3380CC4-5D6E-409C-BE32-E72D297353CC}">
                    <c16:uniqueId val="{00000001-577F-452E-B657-A1500D54B0FD}"/>
                  </c:ext>
                </c:extLst>
              </c15:ser>
            </c15:filteredScatterSeries>
            <c15:filteredScatterSeries>
              <c15:ser>
                <c:idx val="2"/>
                <c:order val="2"/>
                <c:tx>
                  <c:v>Projected growth</c:v>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forward val="1000"/>
                  <c:dispRSqr val="0"/>
                  <c:dispEq val="0"/>
                </c:trendline>
                <c:xVal>
                  <c:numRef>
                    <c:extLst xmlns:c15="http://schemas.microsoft.com/office/drawing/2012/chart">
                      <c:ext xmlns:c15="http://schemas.microsoft.com/office/drawing/2012/chart" uri="{02D57815-91ED-43cb-92C2-25804820EDAC}">
                        <c15:formulaRef>
                          <c15:sqref>'Current utilisation'!$B$15:$B$31</c15:sqref>
                        </c15:formulaRef>
                      </c:ext>
                    </c:extLst>
                    <c:numCache>
                      <c:formatCode>mmm\-yy</c:formatCode>
                      <c:ptCount val="17"/>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numCache>
                  </c:numRef>
                </c:xVal>
                <c:yVal>
                  <c:numRef>
                    <c:extLst xmlns:c15="http://schemas.microsoft.com/office/drawing/2012/chart">
                      <c:ext xmlns:c15="http://schemas.microsoft.com/office/drawing/2012/chart" uri="{02D57815-91ED-43cb-92C2-25804820EDAC}">
                        <c15:formulaRef>
                          <c15:sqref>'Current utilisation'!$C$15:$C$31</c15:sqref>
                        </c15:formulaRef>
                      </c:ext>
                    </c:extLst>
                    <c:numCache>
                      <c:formatCode>General</c:formatCode>
                      <c:ptCount val="17"/>
                      <c:pt idx="0">
                        <c:v>27</c:v>
                      </c:pt>
                      <c:pt idx="1">
                        <c:v>29</c:v>
                      </c:pt>
                      <c:pt idx="2">
                        <c:v>28</c:v>
                      </c:pt>
                      <c:pt idx="3">
                        <c:v>31</c:v>
                      </c:pt>
                      <c:pt idx="4">
                        <c:v>39</c:v>
                      </c:pt>
                      <c:pt idx="5">
                        <c:v>26</c:v>
                      </c:pt>
                      <c:pt idx="6">
                        <c:v>30</c:v>
                      </c:pt>
                      <c:pt idx="7">
                        <c:v>41</c:v>
                      </c:pt>
                      <c:pt idx="8">
                        <c:v>28</c:v>
                      </c:pt>
                      <c:pt idx="9">
                        <c:v>35</c:v>
                      </c:pt>
                      <c:pt idx="10">
                        <c:v>42</c:v>
                      </c:pt>
                      <c:pt idx="11">
                        <c:v>28</c:v>
                      </c:pt>
                      <c:pt idx="12">
                        <c:v>44</c:v>
                      </c:pt>
                      <c:pt idx="13">
                        <c:v>43</c:v>
                      </c:pt>
                      <c:pt idx="14">
                        <c:v>35</c:v>
                      </c:pt>
                      <c:pt idx="15">
                        <c:v>32</c:v>
                      </c:pt>
                      <c:pt idx="16">
                        <c:v>37</c:v>
                      </c:pt>
                    </c:numCache>
                  </c:numRef>
                </c:yVal>
                <c:smooth val="0"/>
                <c:extLst xmlns:c15="http://schemas.microsoft.com/office/drawing/2012/chart">
                  <c:ext xmlns:c16="http://schemas.microsoft.com/office/drawing/2014/chart" uri="{C3380CC4-5D6E-409C-BE32-E72D297353CC}">
                    <c16:uniqueId val="{00000004-577F-452E-B657-A1500D54B0FD}"/>
                  </c:ext>
                </c:extLst>
              </c15:ser>
            </c15:filteredScatterSeries>
          </c:ext>
        </c:extLst>
      </c:scatterChart>
      <c:valAx>
        <c:axId val="882037800"/>
        <c:scaling>
          <c:orientation val="minMax"/>
          <c:max val="43700"/>
          <c:min val="430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Month-Year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038128"/>
        <c:crosses val="autoZero"/>
        <c:crossBetween val="midCat"/>
      </c:valAx>
      <c:valAx>
        <c:axId val="8820381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MBS Items</a:t>
                </a:r>
              </a:p>
            </c:rich>
          </c:tx>
          <c:layout>
            <c:manualLayout>
              <c:xMode val="edge"/>
              <c:yMode val="edge"/>
              <c:x val="1.969748311001608E-3"/>
              <c:y val="0.323738312263020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0378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D06F4-01E4-4741-AC6F-D44C63A2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14581</Words>
  <Characters>83118</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2020-02-12T02:16:00Z</dcterms:created>
  <dcterms:modified xsi:type="dcterms:W3CDTF">2020-02-12T02:17:00Z</dcterms:modified>
</cp:coreProperties>
</file>