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EFFC" w14:textId="77777777" w:rsidR="00C46E06" w:rsidRPr="00E937EE" w:rsidRDefault="00C46E06" w:rsidP="00C46E06">
      <w:pPr>
        <w:pStyle w:val="Subtitle"/>
        <w:spacing w:before="240" w:after="0"/>
        <w:rPr>
          <w:i w:val="0"/>
          <w:sz w:val="36"/>
          <w:szCs w:val="36"/>
        </w:rPr>
      </w:pPr>
      <w:bookmarkStart w:id="0" w:name="_Hlk68005436"/>
      <w:bookmarkStart w:id="1" w:name="_Toc72335271"/>
      <w:bookmarkStart w:id="2" w:name="_Toc112076472"/>
      <w:r>
        <w:rPr>
          <w:i w:val="0"/>
          <w:sz w:val="36"/>
          <w:szCs w:val="36"/>
        </w:rPr>
        <w:t>Medical Services Advisory Committee (MSAC)</w:t>
      </w:r>
    </w:p>
    <w:bookmarkEnd w:id="0"/>
    <w:bookmarkEnd w:id="1"/>
    <w:bookmarkEnd w:id="2"/>
    <w:p w14:paraId="66A88820" w14:textId="77777777" w:rsidR="00FA4672" w:rsidRDefault="00FA4672" w:rsidP="00C46E06">
      <w:pPr>
        <w:pStyle w:val="Subtitle"/>
        <w:spacing w:before="0"/>
        <w:rPr>
          <w:i w:val="0"/>
          <w:sz w:val="36"/>
          <w:szCs w:val="36"/>
        </w:rPr>
      </w:pPr>
      <w:r w:rsidRPr="00AF3A51">
        <w:rPr>
          <w:i w:val="0"/>
          <w:sz w:val="36"/>
          <w:szCs w:val="36"/>
        </w:rPr>
        <w:t xml:space="preserve">Public Summary Document </w:t>
      </w:r>
    </w:p>
    <w:p w14:paraId="7A128FDE" w14:textId="11C886E8" w:rsidR="00772829" w:rsidRPr="00087A44" w:rsidRDefault="00772829" w:rsidP="00772829">
      <w:pPr>
        <w:pStyle w:val="Subtitle"/>
      </w:pPr>
      <w:r w:rsidRPr="00CE28E3">
        <w:t xml:space="preserve">Application </w:t>
      </w:r>
      <w:r w:rsidRPr="00087A44">
        <w:t xml:space="preserve">No. </w:t>
      </w:r>
      <w:r w:rsidR="00087A44" w:rsidRPr="00087A44">
        <w:t>1684</w:t>
      </w:r>
      <w:r w:rsidRPr="00087A44">
        <w:t xml:space="preserve"> – </w:t>
      </w:r>
      <w:r w:rsidR="00087A44" w:rsidRPr="00087A44">
        <w:t>Genetic testing for variants associated with haematological malignancies</w:t>
      </w:r>
    </w:p>
    <w:p w14:paraId="35263561" w14:textId="0B65564E" w:rsidR="00772829" w:rsidRPr="00087A44" w:rsidRDefault="00772829" w:rsidP="00772829">
      <w:pPr>
        <w:tabs>
          <w:tab w:val="left" w:pos="3686"/>
        </w:tabs>
        <w:spacing w:after="240"/>
        <w:rPr>
          <w:rFonts w:ascii="Arial" w:hAnsi="Arial" w:cs="Arial"/>
          <w:b/>
        </w:rPr>
      </w:pPr>
      <w:r w:rsidRPr="00087A44">
        <w:rPr>
          <w:rFonts w:ascii="Arial" w:hAnsi="Arial" w:cs="Arial"/>
          <w:b/>
        </w:rPr>
        <w:t>Applicant:</w:t>
      </w:r>
      <w:r w:rsidRPr="00087A44">
        <w:rPr>
          <w:rFonts w:ascii="Arial" w:hAnsi="Arial" w:cs="Arial"/>
          <w:b/>
        </w:rPr>
        <w:tab/>
      </w:r>
      <w:r w:rsidR="00087A44" w:rsidRPr="00087A44">
        <w:rPr>
          <w:rFonts w:ascii="Arial" w:hAnsi="Arial" w:cs="Arial"/>
          <w:b/>
        </w:rPr>
        <w:t>Royal Australasian College of Pathologists</w:t>
      </w:r>
    </w:p>
    <w:p w14:paraId="1F996433" w14:textId="49333450" w:rsidR="0038753E" w:rsidRDefault="0038753E" w:rsidP="0038753E">
      <w:pPr>
        <w:spacing w:before="320" w:line="259" w:lineRule="auto"/>
        <w:rPr>
          <w:rFonts w:ascii="Arial" w:hAnsi="Arial" w:cs="Arial"/>
          <w:b/>
          <w:bCs/>
        </w:rPr>
      </w:pPr>
      <w:r w:rsidRPr="00624E42">
        <w:rPr>
          <w:rFonts w:ascii="Arial" w:hAnsi="Arial" w:cs="Arial"/>
          <w:b/>
          <w:bCs/>
        </w:rPr>
        <w:t xml:space="preserve">Date of </w:t>
      </w:r>
      <w:r w:rsidR="00FA4672">
        <w:rPr>
          <w:rFonts w:ascii="Arial" w:hAnsi="Arial" w:cs="Arial"/>
          <w:b/>
          <w:bCs/>
        </w:rPr>
        <w:t>MSAC</w:t>
      </w:r>
      <w:r w:rsidRPr="00624E42">
        <w:rPr>
          <w:rFonts w:ascii="Arial" w:hAnsi="Arial" w:cs="Arial"/>
          <w:b/>
          <w:bCs/>
        </w:rPr>
        <w:t xml:space="preserve"> consideration:</w:t>
      </w:r>
      <w:r w:rsidRPr="00624E42">
        <w:rPr>
          <w:rFonts w:ascii="Arial" w:hAnsi="Arial" w:cs="Arial"/>
          <w:b/>
          <w:bCs/>
        </w:rPr>
        <w:tab/>
      </w:r>
      <w:r w:rsidR="00FA4672">
        <w:rPr>
          <w:rFonts w:ascii="Arial" w:hAnsi="Arial" w:cs="Arial"/>
          <w:b/>
          <w:bCs/>
        </w:rPr>
        <w:t>24-25 November</w:t>
      </w:r>
      <w:r w:rsidR="00FA4672" w:rsidRPr="00624E42">
        <w:rPr>
          <w:rFonts w:ascii="Arial" w:hAnsi="Arial" w:cs="Arial"/>
          <w:b/>
          <w:bCs/>
        </w:rPr>
        <w:t xml:space="preserve"> </w:t>
      </w:r>
      <w:r w:rsidRPr="00624E42">
        <w:rPr>
          <w:rFonts w:ascii="Arial" w:hAnsi="Arial" w:cs="Arial"/>
          <w:b/>
          <w:bCs/>
        </w:rPr>
        <w:t>2022</w:t>
      </w:r>
    </w:p>
    <w:p w14:paraId="4C6AC34B" w14:textId="31FBCE36" w:rsidR="00FA4672" w:rsidRPr="00FA4672" w:rsidRDefault="00FA4672" w:rsidP="00FA4672">
      <w:pPr>
        <w:spacing w:before="240" w:after="360"/>
        <w:rPr>
          <w:color w:val="0000FF"/>
          <w:u w:val="single"/>
        </w:rPr>
      </w:pPr>
      <w:r w:rsidRPr="00F715D1">
        <w:t>Context for decision: MSAC makes its advice in accordance wit</w:t>
      </w:r>
      <w:r>
        <w:t>h its Terms of Reference,</w:t>
      </w:r>
      <w:r w:rsidRPr="00F715D1">
        <w:t xml:space="preserve"> </w:t>
      </w:r>
      <w:hyperlink r:id="rId8" w:tooltip="Link to Medical Services Advisory Committee website" w:history="1">
        <w:r w:rsidRPr="00F715D1">
          <w:rPr>
            <w:rStyle w:val="Hyperlink"/>
          </w:rPr>
          <w:t>visit the MSAC website</w:t>
        </w:r>
      </w:hyperlink>
    </w:p>
    <w:p w14:paraId="7EAA7262" w14:textId="77335A16" w:rsidR="00772829" w:rsidRPr="00CE28E3" w:rsidRDefault="00C36633" w:rsidP="00C36633">
      <w:pPr>
        <w:pStyle w:val="Heading2"/>
        <w:numPr>
          <w:ilvl w:val="0"/>
          <w:numId w:val="0"/>
        </w:numPr>
      </w:pPr>
      <w:bookmarkStart w:id="3" w:name="_Toc111754786"/>
      <w:r>
        <w:t>1.</w:t>
      </w:r>
      <w:r>
        <w:tab/>
      </w:r>
      <w:r w:rsidR="00772829" w:rsidRPr="00CE28E3">
        <w:t xml:space="preserve">Purpose </w:t>
      </w:r>
      <w:r w:rsidR="00772829" w:rsidRPr="00CE28E3">
        <w:rPr>
          <w:szCs w:val="32"/>
        </w:rPr>
        <w:t>of</w:t>
      </w:r>
      <w:r w:rsidR="00772829" w:rsidRPr="00CE28E3">
        <w:t xml:space="preserve"> application</w:t>
      </w:r>
      <w:bookmarkEnd w:id="3"/>
    </w:p>
    <w:p w14:paraId="6BF31FF2" w14:textId="0F43DBA2" w:rsidR="00772829" w:rsidRDefault="00772829" w:rsidP="00772829">
      <w:pPr>
        <w:spacing w:after="240"/>
        <w:rPr>
          <w:iCs/>
        </w:rPr>
      </w:pPr>
      <w:bookmarkStart w:id="4" w:name="_Hlk69734469"/>
      <w:r w:rsidRPr="00771DA4">
        <w:rPr>
          <w:iCs/>
        </w:rPr>
        <w:t xml:space="preserve">An </w:t>
      </w:r>
      <w:r w:rsidRPr="00254143">
        <w:rPr>
          <w:iCs/>
        </w:rPr>
        <w:t>application requesting Medicare Benefits Schedule (MBS) listing of</w:t>
      </w:r>
      <w:r w:rsidR="00771DA4" w:rsidRPr="00254143">
        <w:rPr>
          <w:iCs/>
        </w:rPr>
        <w:t xml:space="preserve"> genetic testing for variants associated with </w:t>
      </w:r>
      <w:r w:rsidR="00087A44" w:rsidRPr="00254143">
        <w:rPr>
          <w:iCs/>
        </w:rPr>
        <w:t>haematological malignancies</w:t>
      </w:r>
      <w:r w:rsidR="00771DA4" w:rsidRPr="00254143">
        <w:rPr>
          <w:iCs/>
        </w:rPr>
        <w:t xml:space="preserve"> </w:t>
      </w:r>
      <w:r w:rsidRPr="00254143">
        <w:rPr>
          <w:iCs/>
        </w:rPr>
        <w:t xml:space="preserve">was received from the </w:t>
      </w:r>
      <w:r w:rsidR="00087A44" w:rsidRPr="00254143">
        <w:rPr>
          <w:iCs/>
        </w:rPr>
        <w:t>Royal College of Pathologists</w:t>
      </w:r>
      <w:r w:rsidRPr="00254143">
        <w:rPr>
          <w:iCs/>
        </w:rPr>
        <w:t xml:space="preserve"> </w:t>
      </w:r>
      <w:r w:rsidR="007C0112">
        <w:rPr>
          <w:iCs/>
        </w:rPr>
        <w:t>of Australasia</w:t>
      </w:r>
      <w:r w:rsidR="00BC1C9D">
        <w:rPr>
          <w:iCs/>
        </w:rPr>
        <w:t xml:space="preserve"> (RCPA)</w:t>
      </w:r>
      <w:r w:rsidR="007C0112">
        <w:rPr>
          <w:iCs/>
        </w:rPr>
        <w:t xml:space="preserve"> </w:t>
      </w:r>
      <w:r w:rsidRPr="00254143">
        <w:rPr>
          <w:iCs/>
        </w:rPr>
        <w:t>by the Department of Health</w:t>
      </w:r>
      <w:r w:rsidR="007C0112">
        <w:rPr>
          <w:iCs/>
        </w:rPr>
        <w:t xml:space="preserve"> and Aged Care</w:t>
      </w:r>
      <w:r w:rsidRPr="00254143">
        <w:rPr>
          <w:iCs/>
        </w:rPr>
        <w:t>.</w:t>
      </w:r>
    </w:p>
    <w:p w14:paraId="77947021" w14:textId="77777777" w:rsidR="00FA4672" w:rsidRDefault="00FA4672" w:rsidP="00FA4672">
      <w:pPr>
        <w:pStyle w:val="Heading2"/>
        <w:numPr>
          <w:ilvl w:val="0"/>
          <w:numId w:val="0"/>
        </w:numPr>
      </w:pPr>
      <w:r>
        <w:t>2.</w:t>
      </w:r>
      <w:r>
        <w:tab/>
        <w:t>MSAC’s advice to the Minister</w:t>
      </w:r>
    </w:p>
    <w:p w14:paraId="494C7F0B" w14:textId="484EF4FE" w:rsidR="00B264AB" w:rsidRDefault="00B264AB" w:rsidP="00B264AB">
      <w:pPr>
        <w:rPr>
          <w:rFonts w:asciiTheme="minorHAnsi" w:hAnsiTheme="minorHAnsi" w:cstheme="minorHAnsi"/>
          <w:sz w:val="20"/>
          <w:szCs w:val="20"/>
          <w:lang w:eastAsia="en-US"/>
        </w:rPr>
      </w:pPr>
      <w:r>
        <w:t xml:space="preserve">After considering the strength of the available evidence in relation to comparative safety, clinical effectiveness, </w:t>
      </w:r>
      <w:proofErr w:type="gramStart"/>
      <w:r>
        <w:t>cost-effectiveness</w:t>
      </w:r>
      <w:proofErr w:type="gramEnd"/>
      <w:r>
        <w:t xml:space="preserve"> and total cost, MSAC supported the creation of new Medicare Benefits Schedule (MBS) items for next-generation sequencing (NGS) gene panel testing for genetic variants associated with haematological malignancies</w:t>
      </w:r>
      <w:r>
        <w:rPr>
          <w:rFonts w:asciiTheme="minorHAnsi" w:hAnsiTheme="minorHAnsi" w:cstheme="minorHAnsi"/>
          <w:sz w:val="20"/>
          <w:szCs w:val="20"/>
        </w:rPr>
        <w:t xml:space="preserve">. </w:t>
      </w:r>
      <w:r>
        <w:rPr>
          <w:rFonts w:cstheme="minorHAnsi"/>
        </w:rPr>
        <w:t xml:space="preserve">These items should specify testing methodology using </w:t>
      </w:r>
      <w:r w:rsidR="00A165AD">
        <w:rPr>
          <w:rFonts w:cstheme="minorHAnsi"/>
        </w:rPr>
        <w:t>1</w:t>
      </w:r>
      <w:r w:rsidR="00B57733">
        <w:rPr>
          <w:rFonts w:cstheme="minorHAnsi"/>
        </w:rPr>
        <w:t xml:space="preserve">) </w:t>
      </w:r>
      <w:r>
        <w:rPr>
          <w:rFonts w:cstheme="minorHAnsi"/>
        </w:rPr>
        <w:t>DNA and RNA</w:t>
      </w:r>
      <w:r w:rsidR="00A165AD">
        <w:rPr>
          <w:rFonts w:cstheme="minorHAnsi"/>
        </w:rPr>
        <w:t>, and 2) DNA</w:t>
      </w:r>
      <w:r w:rsidR="00840123">
        <w:rPr>
          <w:rFonts w:cstheme="minorHAnsi"/>
        </w:rPr>
        <w:t xml:space="preserve"> only,</w:t>
      </w:r>
      <w:r w:rsidR="00A165AD">
        <w:rPr>
          <w:rFonts w:cstheme="minorHAnsi"/>
        </w:rPr>
        <w:t xml:space="preserve"> to reflect laboratories different testing capabilities</w:t>
      </w:r>
      <w:r w:rsidR="00B57733">
        <w:rPr>
          <w:rFonts w:cstheme="minorHAnsi"/>
        </w:rPr>
        <w:t>;</w:t>
      </w:r>
      <w:r>
        <w:rPr>
          <w:rFonts w:cstheme="minorHAnsi"/>
        </w:rPr>
        <w:t xml:space="preserve"> and a practice note be included referring to “appropriate international guidelines” rather than specifying </w:t>
      </w:r>
      <w:proofErr w:type="gramStart"/>
      <w:r>
        <w:rPr>
          <w:rFonts w:cstheme="minorHAnsi"/>
        </w:rPr>
        <w:t>particular gene</w:t>
      </w:r>
      <w:proofErr w:type="gramEnd"/>
      <w:r>
        <w:rPr>
          <w:rFonts w:cstheme="minorHAnsi"/>
        </w:rPr>
        <w:t xml:space="preserve"> variants.</w:t>
      </w:r>
    </w:p>
    <w:p w14:paraId="4C564BC7" w14:textId="0E5CDCC8" w:rsidR="00B264AB" w:rsidRDefault="00B264AB" w:rsidP="00B264AB">
      <w:pPr>
        <w:spacing w:before="240" w:after="240"/>
      </w:pPr>
      <w:r>
        <w:t xml:space="preserve">MSAC noted limitations in the clinical evidence but considered that NGS panel testing had superior effectiveness and non-inferior safety compared with no NGS panel testing. </w:t>
      </w:r>
      <w:r>
        <w:br/>
        <w:t>MSAC accepted that NGS panel testing had been demonstrated to have diagnostic and/or prognostic and/or predictive utility, with acceptable cost-effectiveness. MSAC considered there was uncertainty in the estimated financial impact as utilisation may be underestimated but noted that there could be likely significant cost offsets due to this testing replacing other types of tests currently reimbursed on the MBS.</w:t>
      </w:r>
    </w:p>
    <w:p w14:paraId="1B8E9AC2" w14:textId="4D1DFB4A" w:rsidR="00DC1A9F" w:rsidRPr="00B264AB" w:rsidRDefault="00DC1A9F" w:rsidP="00B264AB">
      <w:pPr>
        <w:spacing w:before="240" w:after="240"/>
      </w:pPr>
      <w:r>
        <w:t>The MSAC supported item descriptors</w:t>
      </w:r>
      <w:r w:rsidR="00262662">
        <w:t xml:space="preserve"> and draft explanatory note</w:t>
      </w:r>
      <w:r>
        <w:t xml:space="preserve"> are provided below.</w:t>
      </w:r>
    </w:p>
    <w:tbl>
      <w:tblPr>
        <w:tblStyle w:val="TableGrid1"/>
        <w:tblpPr w:leftFromText="180" w:rightFromText="180" w:bottomFromText="160" w:vertAnchor="text" w:horzAnchor="margin" w:tblpY="160"/>
        <w:tblW w:w="9209"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09"/>
      </w:tblGrid>
      <w:tr w:rsidR="00AD7D28" w:rsidRPr="002B0E6D" w14:paraId="6A511C7A" w14:textId="77777777" w:rsidTr="00B264AB">
        <w:trPr>
          <w:cnfStyle w:val="100000000000" w:firstRow="1" w:lastRow="0" w:firstColumn="0" w:lastColumn="0" w:oddVBand="0" w:evenVBand="0" w:oddHBand="0" w:evenHBand="0" w:firstRowFirstColumn="0" w:firstRowLastColumn="0" w:lastRowFirstColumn="0" w:lastRowLastColumn="0"/>
          <w:cantSplit/>
          <w:tblHeader/>
        </w:trPr>
        <w:tc>
          <w:tcPr>
            <w:tcW w:w="9209" w:type="dxa"/>
            <w:tcBorders>
              <w:top w:val="single" w:sz="4" w:space="0" w:color="auto"/>
              <w:left w:val="single" w:sz="4" w:space="0" w:color="auto"/>
              <w:bottom w:val="single" w:sz="4" w:space="0" w:color="auto"/>
              <w:right w:val="single" w:sz="4" w:space="0" w:color="auto"/>
            </w:tcBorders>
            <w:hideMark/>
          </w:tcPr>
          <w:p w14:paraId="25A5F267" w14:textId="77777777" w:rsidR="00B264AB" w:rsidRPr="00687EAB" w:rsidRDefault="00B264AB">
            <w:pPr>
              <w:spacing w:before="40" w:after="40"/>
              <w:rPr>
                <w:rFonts w:ascii="Arial Narrow" w:hAnsi="Arial Narrow" w:cstheme="minorHAnsi"/>
                <w:b/>
                <w:bCs/>
                <w:szCs w:val="22"/>
              </w:rPr>
            </w:pPr>
            <w:r w:rsidRPr="00687EAB">
              <w:rPr>
                <w:rFonts w:ascii="Arial Narrow" w:hAnsi="Arial Narrow"/>
              </w:rPr>
              <w:lastRenderedPageBreak/>
              <w:t>Category (6) – Pathology services – Group P7 Genetics</w:t>
            </w:r>
          </w:p>
        </w:tc>
      </w:tr>
      <w:tr w:rsidR="00AD7D28" w:rsidRPr="002B0E6D" w14:paraId="727EF567" w14:textId="77777777" w:rsidTr="00B264AB">
        <w:trPr>
          <w:cnfStyle w:val="100000000000" w:firstRow="1" w:lastRow="0" w:firstColumn="0" w:lastColumn="0" w:oddVBand="0" w:evenVBand="0" w:oddHBand="0" w:evenHBand="0" w:firstRowFirstColumn="0" w:firstRowLastColumn="0" w:lastRowFirstColumn="0" w:lastRowLastColumn="0"/>
          <w:cantSplit/>
          <w:tblHeader/>
        </w:trPr>
        <w:tc>
          <w:tcPr>
            <w:tcW w:w="9209" w:type="dxa"/>
            <w:tcBorders>
              <w:top w:val="single" w:sz="4" w:space="0" w:color="auto"/>
              <w:left w:val="single" w:sz="4" w:space="0" w:color="auto"/>
              <w:bottom w:val="single" w:sz="4" w:space="0" w:color="auto"/>
              <w:right w:val="single" w:sz="4" w:space="0" w:color="auto"/>
            </w:tcBorders>
            <w:hideMark/>
          </w:tcPr>
          <w:p w14:paraId="44BE63F7" w14:textId="77777777" w:rsidR="00B264AB" w:rsidRPr="00687EAB" w:rsidRDefault="00B264AB">
            <w:pPr>
              <w:rPr>
                <w:rFonts w:ascii="Arial Narrow" w:hAnsi="Arial Narrow" w:cstheme="minorHAnsi"/>
              </w:rPr>
            </w:pPr>
            <w:r w:rsidRPr="00687EAB">
              <w:rPr>
                <w:rFonts w:ascii="Arial Narrow" w:hAnsi="Arial Narrow" w:cstheme="minorHAnsi"/>
              </w:rPr>
              <w:t>MBS item AAAA</w:t>
            </w:r>
          </w:p>
          <w:p w14:paraId="570DC6EE" w14:textId="377249C5" w:rsidR="00B264AB" w:rsidRPr="00BD5DF2" w:rsidRDefault="00B264AB" w:rsidP="00BD5DF2">
            <w:pPr>
              <w:pStyle w:val="Quote"/>
              <w:spacing w:line="256" w:lineRule="auto"/>
              <w:ind w:left="0"/>
              <w:rPr>
                <w:rFonts w:ascii="Arial Narrow" w:hAnsi="Arial Narrow"/>
                <w:color w:val="auto"/>
                <w:lang w:eastAsia="en-US"/>
              </w:rPr>
            </w:pPr>
            <w:r w:rsidRPr="00BD5DF2">
              <w:rPr>
                <w:rFonts w:ascii="Arial Narrow" w:hAnsi="Arial Narrow"/>
                <w:color w:val="auto"/>
                <w:lang w:eastAsia="en-US"/>
              </w:rPr>
              <w:t>Characterisation of variant(s) in a panel of at least 25 genes</w:t>
            </w:r>
            <w:r w:rsidR="00FD7F1D">
              <w:rPr>
                <w:rFonts w:ascii="Arial Narrow" w:hAnsi="Arial Narrow"/>
                <w:color w:val="auto"/>
                <w:lang w:eastAsia="en-US"/>
              </w:rPr>
              <w:t xml:space="preserve"> using DNA </w:t>
            </w:r>
            <w:r w:rsidR="001B3D31">
              <w:rPr>
                <w:rFonts w:ascii="Arial Narrow" w:hAnsi="Arial Narrow"/>
                <w:color w:val="auto"/>
                <w:lang w:eastAsia="en-US"/>
              </w:rPr>
              <w:t>and</w:t>
            </w:r>
            <w:r w:rsidR="00FD7F1D">
              <w:rPr>
                <w:rFonts w:ascii="Arial Narrow" w:hAnsi="Arial Narrow"/>
                <w:color w:val="auto"/>
                <w:lang w:eastAsia="en-US"/>
              </w:rPr>
              <w:t xml:space="preserve"> RNA</w:t>
            </w:r>
            <w:r w:rsidRPr="00BD5DF2">
              <w:rPr>
                <w:rFonts w:ascii="Arial Narrow" w:hAnsi="Arial Narrow"/>
                <w:color w:val="auto"/>
                <w:lang w:eastAsia="en-US"/>
              </w:rPr>
              <w:t>, requested by a specialist or consultant physician, to determine the diagnosis, prognosis and/or management of a patient presenting with a clinically suspected haematological malignancy of myeloid origin</w:t>
            </w:r>
          </w:p>
          <w:p w14:paraId="46958E40" w14:textId="77777777" w:rsidR="00B264AB" w:rsidRPr="00BD5DF2" w:rsidRDefault="00B264AB" w:rsidP="00BD5DF2">
            <w:pPr>
              <w:pStyle w:val="Quote"/>
              <w:spacing w:line="256" w:lineRule="auto"/>
              <w:ind w:left="0"/>
              <w:rPr>
                <w:rFonts w:ascii="Arial Narrow" w:hAnsi="Arial Narrow" w:cstheme="minorHAnsi"/>
                <w:color w:val="auto"/>
                <w:lang w:eastAsia="en-US"/>
              </w:rPr>
            </w:pPr>
            <w:r w:rsidRPr="00BD5DF2">
              <w:rPr>
                <w:rFonts w:ascii="Arial Narrow" w:hAnsi="Arial Narrow"/>
                <w:color w:val="auto"/>
                <w:lang w:eastAsia="en-US"/>
              </w:rPr>
              <w:t>Applicable once per diagnostic episode at diagnosis, disease progression or relapse</w:t>
            </w:r>
          </w:p>
        </w:tc>
      </w:tr>
      <w:tr w:rsidR="00AD7D28" w:rsidRPr="002B0E6D" w14:paraId="180C7AE3" w14:textId="77777777" w:rsidTr="00B264AB">
        <w:trPr>
          <w:cnfStyle w:val="100000000000" w:firstRow="1" w:lastRow="0" w:firstColumn="0" w:lastColumn="0" w:oddVBand="0" w:evenVBand="0" w:oddHBand="0" w:evenHBand="0" w:firstRowFirstColumn="0" w:firstRowLastColumn="0" w:lastRowFirstColumn="0" w:lastRowLastColumn="0"/>
          <w:cantSplit/>
          <w:trHeight w:val="322"/>
          <w:tblHeader/>
        </w:trPr>
        <w:tc>
          <w:tcPr>
            <w:tcW w:w="9209" w:type="dxa"/>
            <w:tcBorders>
              <w:top w:val="single" w:sz="4" w:space="0" w:color="auto"/>
              <w:left w:val="single" w:sz="4" w:space="0" w:color="auto"/>
              <w:bottom w:val="single" w:sz="4" w:space="0" w:color="auto"/>
              <w:right w:val="single" w:sz="4" w:space="0" w:color="auto"/>
            </w:tcBorders>
            <w:vAlign w:val="center"/>
            <w:hideMark/>
          </w:tcPr>
          <w:p w14:paraId="0B996D8D" w14:textId="4292829E" w:rsidR="00B264AB" w:rsidRPr="00BC1C9D" w:rsidRDefault="00B264AB">
            <w:pPr>
              <w:spacing w:before="40" w:after="40"/>
              <w:rPr>
                <w:rFonts w:ascii="Arial Narrow" w:hAnsi="Arial Narrow" w:cstheme="minorHAnsi"/>
                <w:lang w:eastAsia="en-US"/>
              </w:rPr>
            </w:pPr>
            <w:r w:rsidRPr="00BC1C9D">
              <w:rPr>
                <w:rFonts w:ascii="Arial Narrow" w:hAnsi="Arial Narrow"/>
              </w:rPr>
              <w:t xml:space="preserve">Fee: </w:t>
            </w:r>
            <w:r w:rsidRPr="00BD5DF2">
              <w:rPr>
                <w:rFonts w:ascii="Arial Narrow" w:hAnsi="Arial Narrow"/>
              </w:rPr>
              <w:t>$1,</w:t>
            </w:r>
            <w:r w:rsidR="00262213">
              <w:rPr>
                <w:rFonts w:ascii="Arial Narrow" w:hAnsi="Arial Narrow"/>
              </w:rPr>
              <w:t>100</w:t>
            </w:r>
            <w:r w:rsidRPr="00BD5DF2">
              <w:rPr>
                <w:rFonts w:ascii="Arial Narrow" w:hAnsi="Arial Narrow"/>
              </w:rPr>
              <w:t xml:space="preserve"> </w:t>
            </w:r>
            <w:r w:rsidRPr="00BC1C9D">
              <w:rPr>
                <w:rFonts w:ascii="Arial Narrow" w:hAnsi="Arial Narrow"/>
              </w:rPr>
              <w:t xml:space="preserve">Benefit: 75% = </w:t>
            </w:r>
            <w:r w:rsidRPr="00BD5DF2">
              <w:rPr>
                <w:rFonts w:ascii="Arial Narrow" w:hAnsi="Arial Narrow"/>
              </w:rPr>
              <w:t>$</w:t>
            </w:r>
            <w:r w:rsidR="00E57AB7">
              <w:rPr>
                <w:rFonts w:ascii="Arial Narrow" w:hAnsi="Arial Narrow"/>
              </w:rPr>
              <w:t>8</w:t>
            </w:r>
            <w:r w:rsidR="00262213">
              <w:rPr>
                <w:rFonts w:ascii="Arial Narrow" w:hAnsi="Arial Narrow"/>
              </w:rPr>
              <w:t>25</w:t>
            </w:r>
            <w:r w:rsidRPr="00BD5DF2">
              <w:rPr>
                <w:rFonts w:ascii="Arial Narrow" w:hAnsi="Arial Narrow"/>
              </w:rPr>
              <w:t xml:space="preserve"> </w:t>
            </w:r>
            <w:r w:rsidR="00262213">
              <w:rPr>
                <w:rFonts w:ascii="Arial Narrow" w:hAnsi="Arial Narrow"/>
              </w:rPr>
              <w:t xml:space="preserve">  </w:t>
            </w:r>
            <w:r w:rsidRPr="00BC1C9D">
              <w:rPr>
                <w:rFonts w:ascii="Arial Narrow" w:hAnsi="Arial Narrow"/>
              </w:rPr>
              <w:t xml:space="preserve">85% = </w:t>
            </w:r>
            <w:r w:rsidRPr="00BD5DF2">
              <w:rPr>
                <w:rFonts w:ascii="Arial Narrow" w:hAnsi="Arial Narrow"/>
              </w:rPr>
              <w:t>$1,0</w:t>
            </w:r>
            <w:r w:rsidR="00BC1C9D">
              <w:rPr>
                <w:rFonts w:ascii="Arial Narrow" w:hAnsi="Arial Narrow"/>
              </w:rPr>
              <w:t>0</w:t>
            </w:r>
            <w:r w:rsidR="00262213">
              <w:rPr>
                <w:rFonts w:ascii="Arial Narrow" w:hAnsi="Arial Narrow"/>
              </w:rPr>
              <w:t>6.80</w:t>
            </w:r>
          </w:p>
        </w:tc>
      </w:tr>
      <w:tr w:rsidR="00AD7D28" w:rsidRPr="002B0E6D" w14:paraId="171F5BC9" w14:textId="77777777" w:rsidTr="00B264AB">
        <w:trPr>
          <w:cnfStyle w:val="100000000000" w:firstRow="1" w:lastRow="0" w:firstColumn="0" w:lastColumn="0" w:oddVBand="0" w:evenVBand="0" w:oddHBand="0" w:evenHBand="0" w:firstRowFirstColumn="0" w:firstRowLastColumn="0" w:lastRowFirstColumn="0" w:lastRowLastColumn="0"/>
          <w:cantSplit/>
          <w:tblHeader/>
        </w:trPr>
        <w:tc>
          <w:tcPr>
            <w:tcW w:w="9209" w:type="dxa"/>
            <w:tcBorders>
              <w:top w:val="single" w:sz="4" w:space="0" w:color="auto"/>
              <w:left w:val="single" w:sz="4" w:space="0" w:color="auto"/>
              <w:bottom w:val="single" w:sz="4" w:space="0" w:color="auto"/>
              <w:right w:val="single" w:sz="4" w:space="0" w:color="auto"/>
            </w:tcBorders>
            <w:hideMark/>
          </w:tcPr>
          <w:p w14:paraId="0C89A22D" w14:textId="77777777" w:rsidR="00B264AB" w:rsidRPr="00BC1C9D" w:rsidRDefault="00B264AB">
            <w:pPr>
              <w:spacing w:before="40" w:after="40"/>
              <w:rPr>
                <w:rFonts w:ascii="Arial Narrow" w:hAnsi="Arial Narrow" w:cstheme="minorHAnsi"/>
                <w:b/>
                <w:bCs/>
              </w:rPr>
            </w:pPr>
            <w:r w:rsidRPr="00BC1C9D">
              <w:rPr>
                <w:rFonts w:ascii="Arial Narrow" w:hAnsi="Arial Narrow"/>
              </w:rPr>
              <w:t>Category (6) – Pathology services – Group P7 Genetics</w:t>
            </w:r>
          </w:p>
        </w:tc>
      </w:tr>
      <w:tr w:rsidR="00AD7D28" w:rsidRPr="002B0E6D" w14:paraId="48164C8E" w14:textId="77777777" w:rsidTr="00B264AB">
        <w:trPr>
          <w:cnfStyle w:val="100000000000" w:firstRow="1" w:lastRow="0" w:firstColumn="0" w:lastColumn="0" w:oddVBand="0" w:evenVBand="0" w:oddHBand="0" w:evenHBand="0" w:firstRowFirstColumn="0" w:firstRowLastColumn="0" w:lastRowFirstColumn="0" w:lastRowLastColumn="0"/>
          <w:cantSplit/>
          <w:tblHeader/>
        </w:trPr>
        <w:tc>
          <w:tcPr>
            <w:tcW w:w="9209" w:type="dxa"/>
            <w:tcBorders>
              <w:top w:val="single" w:sz="4" w:space="0" w:color="auto"/>
              <w:left w:val="single" w:sz="4" w:space="0" w:color="auto"/>
              <w:bottom w:val="single" w:sz="4" w:space="0" w:color="auto"/>
              <w:right w:val="single" w:sz="4" w:space="0" w:color="auto"/>
            </w:tcBorders>
            <w:hideMark/>
          </w:tcPr>
          <w:p w14:paraId="2910F3C8" w14:textId="77777777" w:rsidR="00B264AB" w:rsidRPr="00BC1C9D" w:rsidRDefault="00B264AB">
            <w:pPr>
              <w:rPr>
                <w:rFonts w:ascii="Arial Narrow" w:hAnsi="Arial Narrow" w:cstheme="minorHAnsi"/>
              </w:rPr>
            </w:pPr>
            <w:r w:rsidRPr="00BC1C9D">
              <w:rPr>
                <w:rFonts w:ascii="Arial Narrow" w:hAnsi="Arial Narrow" w:cstheme="minorHAnsi"/>
              </w:rPr>
              <w:t>MBS item BBBB</w:t>
            </w:r>
          </w:p>
          <w:p w14:paraId="0A64F742" w14:textId="3684E89A" w:rsidR="00B264AB" w:rsidRPr="00BD5DF2" w:rsidRDefault="00B264AB" w:rsidP="00BD5DF2">
            <w:pPr>
              <w:pStyle w:val="Quote"/>
              <w:spacing w:line="256" w:lineRule="auto"/>
              <w:ind w:left="0"/>
              <w:rPr>
                <w:rFonts w:ascii="Arial Narrow" w:hAnsi="Arial Narrow"/>
                <w:color w:val="auto"/>
                <w:lang w:eastAsia="en-US"/>
              </w:rPr>
            </w:pPr>
            <w:r w:rsidRPr="00BD5DF2">
              <w:rPr>
                <w:rFonts w:ascii="Arial Narrow" w:hAnsi="Arial Narrow"/>
                <w:color w:val="auto"/>
                <w:lang w:eastAsia="en-US"/>
              </w:rPr>
              <w:t>Characterisation of variant(s) in a panel of at least 25 genes</w:t>
            </w:r>
            <w:r w:rsidR="00FD7F1D">
              <w:rPr>
                <w:rFonts w:ascii="Arial Narrow" w:hAnsi="Arial Narrow"/>
                <w:color w:val="auto"/>
                <w:lang w:eastAsia="en-US"/>
              </w:rPr>
              <w:t xml:space="preserve"> using DNA </w:t>
            </w:r>
            <w:r w:rsidR="001B3D31">
              <w:rPr>
                <w:rFonts w:ascii="Arial Narrow" w:hAnsi="Arial Narrow"/>
                <w:color w:val="auto"/>
                <w:lang w:eastAsia="en-US"/>
              </w:rPr>
              <w:t>and</w:t>
            </w:r>
            <w:r w:rsidR="00745CF1">
              <w:rPr>
                <w:rFonts w:ascii="Arial Narrow" w:hAnsi="Arial Narrow"/>
                <w:color w:val="auto"/>
                <w:lang w:eastAsia="en-US"/>
              </w:rPr>
              <w:t xml:space="preserve"> </w:t>
            </w:r>
            <w:r w:rsidR="00FD7F1D">
              <w:rPr>
                <w:rFonts w:ascii="Arial Narrow" w:hAnsi="Arial Narrow"/>
                <w:color w:val="auto"/>
                <w:lang w:eastAsia="en-US"/>
              </w:rPr>
              <w:t>RNA</w:t>
            </w:r>
            <w:r w:rsidRPr="00BD5DF2">
              <w:rPr>
                <w:rFonts w:ascii="Arial Narrow" w:hAnsi="Arial Narrow"/>
                <w:color w:val="auto"/>
                <w:lang w:eastAsia="en-US"/>
              </w:rPr>
              <w:t>, requested by a specialist or consultant physician, to determine the diagnosis, prognosis and/or management of a patient presenting with a clinically suspected haematological malignancy of lymphoid origin</w:t>
            </w:r>
          </w:p>
          <w:p w14:paraId="5E6E49E9" w14:textId="77777777" w:rsidR="00B264AB" w:rsidRPr="00BD5DF2" w:rsidRDefault="00B264AB" w:rsidP="00BD5DF2">
            <w:pPr>
              <w:pStyle w:val="Quote"/>
              <w:spacing w:line="256" w:lineRule="auto"/>
              <w:ind w:left="0"/>
              <w:rPr>
                <w:rFonts w:ascii="Arial Narrow" w:hAnsi="Arial Narrow" w:cstheme="minorHAnsi"/>
                <w:color w:val="auto"/>
                <w:lang w:eastAsia="en-US"/>
              </w:rPr>
            </w:pPr>
            <w:r w:rsidRPr="00BD5DF2">
              <w:rPr>
                <w:rFonts w:ascii="Arial Narrow" w:hAnsi="Arial Narrow"/>
                <w:color w:val="auto"/>
                <w:lang w:eastAsia="en-US"/>
              </w:rPr>
              <w:t>Applicable once per diagnostic episode at diagnosis, disease progression or relapse</w:t>
            </w:r>
          </w:p>
        </w:tc>
      </w:tr>
      <w:tr w:rsidR="00AD7D28" w:rsidRPr="002B0E6D" w14:paraId="4C5FC0C0" w14:textId="77777777" w:rsidTr="00B264AB">
        <w:trPr>
          <w:cnfStyle w:val="100000000000" w:firstRow="1" w:lastRow="0" w:firstColumn="0" w:lastColumn="0" w:oddVBand="0" w:evenVBand="0" w:oddHBand="0" w:evenHBand="0" w:firstRowFirstColumn="0" w:firstRowLastColumn="0" w:lastRowFirstColumn="0" w:lastRowLastColumn="0"/>
          <w:cantSplit/>
          <w:trHeight w:val="322"/>
          <w:tblHeader/>
        </w:trPr>
        <w:tc>
          <w:tcPr>
            <w:tcW w:w="9209" w:type="dxa"/>
            <w:tcBorders>
              <w:top w:val="single" w:sz="4" w:space="0" w:color="auto"/>
              <w:left w:val="single" w:sz="4" w:space="0" w:color="auto"/>
              <w:bottom w:val="single" w:sz="4" w:space="0" w:color="auto"/>
              <w:right w:val="single" w:sz="4" w:space="0" w:color="auto"/>
            </w:tcBorders>
            <w:vAlign w:val="center"/>
            <w:hideMark/>
          </w:tcPr>
          <w:p w14:paraId="1A83C66B" w14:textId="09A9C5E3" w:rsidR="00B264AB" w:rsidRPr="00BC1C9D" w:rsidRDefault="00B264AB">
            <w:pPr>
              <w:spacing w:before="40" w:after="40"/>
              <w:rPr>
                <w:rFonts w:ascii="Arial Narrow" w:hAnsi="Arial Narrow" w:cstheme="minorHAnsi"/>
                <w:lang w:eastAsia="en-US"/>
              </w:rPr>
            </w:pPr>
            <w:r w:rsidRPr="00BC1C9D">
              <w:rPr>
                <w:rFonts w:ascii="Arial Narrow" w:hAnsi="Arial Narrow"/>
              </w:rPr>
              <w:t xml:space="preserve">Fee: </w:t>
            </w:r>
            <w:r w:rsidRPr="00BD5DF2">
              <w:rPr>
                <w:rFonts w:ascii="Arial Narrow" w:hAnsi="Arial Narrow"/>
              </w:rPr>
              <w:t>$1,</w:t>
            </w:r>
            <w:r w:rsidR="00262213">
              <w:rPr>
                <w:rFonts w:ascii="Arial Narrow" w:hAnsi="Arial Narrow"/>
              </w:rPr>
              <w:t>100</w:t>
            </w:r>
            <w:r w:rsidRPr="00BD5DF2">
              <w:rPr>
                <w:rFonts w:ascii="Arial Narrow" w:hAnsi="Arial Narrow"/>
              </w:rPr>
              <w:t xml:space="preserve"> </w:t>
            </w:r>
            <w:r w:rsidRPr="00BC1C9D">
              <w:rPr>
                <w:rFonts w:ascii="Arial Narrow" w:hAnsi="Arial Narrow"/>
              </w:rPr>
              <w:t xml:space="preserve">Benefit: 75% = </w:t>
            </w:r>
            <w:r w:rsidRPr="00BD5DF2">
              <w:rPr>
                <w:rFonts w:ascii="Arial Narrow" w:hAnsi="Arial Narrow"/>
              </w:rPr>
              <w:t>$</w:t>
            </w:r>
            <w:r w:rsidR="00E57AB7">
              <w:rPr>
                <w:rFonts w:ascii="Arial Narrow" w:hAnsi="Arial Narrow"/>
              </w:rPr>
              <w:t>8</w:t>
            </w:r>
            <w:r w:rsidR="00262213">
              <w:rPr>
                <w:rFonts w:ascii="Arial Narrow" w:hAnsi="Arial Narrow"/>
              </w:rPr>
              <w:t xml:space="preserve">25 </w:t>
            </w:r>
            <w:r w:rsidRPr="00BC1C9D">
              <w:rPr>
                <w:rFonts w:ascii="Arial Narrow" w:hAnsi="Arial Narrow"/>
              </w:rPr>
              <w:t xml:space="preserve">85% = </w:t>
            </w:r>
            <w:r w:rsidRPr="00BD5DF2">
              <w:rPr>
                <w:rFonts w:ascii="Arial Narrow" w:hAnsi="Arial Narrow"/>
              </w:rPr>
              <w:t>$1,0</w:t>
            </w:r>
            <w:r w:rsidR="00BC1C9D">
              <w:rPr>
                <w:rFonts w:ascii="Arial Narrow" w:hAnsi="Arial Narrow"/>
              </w:rPr>
              <w:t>0</w:t>
            </w:r>
            <w:r w:rsidR="00262213">
              <w:rPr>
                <w:rFonts w:ascii="Arial Narrow" w:hAnsi="Arial Narrow"/>
              </w:rPr>
              <w:t>6.80</w:t>
            </w:r>
          </w:p>
        </w:tc>
      </w:tr>
      <w:tr w:rsidR="00B57733" w:rsidRPr="002B0E6D" w14:paraId="35EC253F" w14:textId="77777777" w:rsidTr="00B57733">
        <w:trPr>
          <w:cnfStyle w:val="100000000000" w:firstRow="1" w:lastRow="0" w:firstColumn="0" w:lastColumn="0" w:oddVBand="0" w:evenVBand="0" w:oddHBand="0" w:evenHBand="0" w:firstRowFirstColumn="0" w:firstRowLastColumn="0" w:lastRowFirstColumn="0" w:lastRowLastColumn="0"/>
          <w:cantSplit/>
          <w:trHeight w:val="322"/>
          <w:tblHeader/>
        </w:trPr>
        <w:tc>
          <w:tcPr>
            <w:tcW w:w="9209" w:type="dxa"/>
            <w:tcBorders>
              <w:top w:val="single" w:sz="4" w:space="0" w:color="auto"/>
              <w:left w:val="single" w:sz="4" w:space="0" w:color="auto"/>
              <w:bottom w:val="single" w:sz="4" w:space="0" w:color="auto"/>
              <w:right w:val="single" w:sz="4" w:space="0" w:color="auto"/>
            </w:tcBorders>
          </w:tcPr>
          <w:p w14:paraId="22F89801" w14:textId="5EE6714E" w:rsidR="00B57733" w:rsidRPr="00BC1C9D" w:rsidRDefault="00B57733" w:rsidP="00B57733">
            <w:pPr>
              <w:spacing w:before="40" w:after="40"/>
              <w:rPr>
                <w:rFonts w:ascii="Arial Narrow" w:hAnsi="Arial Narrow"/>
              </w:rPr>
            </w:pPr>
            <w:r w:rsidRPr="00687EAB">
              <w:rPr>
                <w:rFonts w:ascii="Arial Narrow" w:hAnsi="Arial Narrow"/>
              </w:rPr>
              <w:t>Category (6) – Pathology services – Group P7 Genetics</w:t>
            </w:r>
          </w:p>
        </w:tc>
      </w:tr>
      <w:tr w:rsidR="00B57733" w:rsidRPr="002B0E6D" w14:paraId="2C1536F8" w14:textId="77777777" w:rsidTr="009E1F5B">
        <w:trPr>
          <w:cnfStyle w:val="100000000000" w:firstRow="1" w:lastRow="0" w:firstColumn="0" w:lastColumn="0" w:oddVBand="0" w:evenVBand="0" w:oddHBand="0" w:evenHBand="0" w:firstRowFirstColumn="0" w:firstRowLastColumn="0" w:lastRowFirstColumn="0" w:lastRowLastColumn="0"/>
          <w:cantSplit/>
          <w:trHeight w:val="322"/>
          <w:tblHeader/>
        </w:trPr>
        <w:tc>
          <w:tcPr>
            <w:tcW w:w="9209" w:type="dxa"/>
            <w:tcBorders>
              <w:top w:val="single" w:sz="4" w:space="0" w:color="auto"/>
              <w:left w:val="single" w:sz="4" w:space="0" w:color="auto"/>
              <w:bottom w:val="single" w:sz="4" w:space="0" w:color="auto"/>
              <w:right w:val="single" w:sz="4" w:space="0" w:color="auto"/>
            </w:tcBorders>
          </w:tcPr>
          <w:p w14:paraId="7667959C" w14:textId="5532B9A1" w:rsidR="00B57733" w:rsidRPr="00687EAB" w:rsidRDefault="00B57733" w:rsidP="00B57733">
            <w:pPr>
              <w:rPr>
                <w:rFonts w:ascii="Arial Narrow" w:hAnsi="Arial Narrow" w:cstheme="minorHAnsi"/>
              </w:rPr>
            </w:pPr>
            <w:r w:rsidRPr="00687EAB">
              <w:rPr>
                <w:rFonts w:ascii="Arial Narrow" w:hAnsi="Arial Narrow" w:cstheme="minorHAnsi"/>
              </w:rPr>
              <w:t xml:space="preserve">MBS item </w:t>
            </w:r>
            <w:r>
              <w:rPr>
                <w:rFonts w:ascii="Arial Narrow" w:hAnsi="Arial Narrow" w:cstheme="minorHAnsi"/>
              </w:rPr>
              <w:t>CCCC</w:t>
            </w:r>
          </w:p>
          <w:p w14:paraId="7EE36938" w14:textId="54B252D7" w:rsidR="00B57733" w:rsidRPr="00BD5DF2" w:rsidRDefault="00B57733" w:rsidP="00B57733">
            <w:pPr>
              <w:pStyle w:val="Quote"/>
              <w:spacing w:line="256" w:lineRule="auto"/>
              <w:ind w:left="0"/>
              <w:rPr>
                <w:rFonts w:ascii="Arial Narrow" w:hAnsi="Arial Narrow"/>
                <w:color w:val="auto"/>
                <w:lang w:eastAsia="en-US"/>
              </w:rPr>
            </w:pPr>
            <w:r w:rsidRPr="00BD5DF2">
              <w:rPr>
                <w:rFonts w:ascii="Arial Narrow" w:hAnsi="Arial Narrow"/>
                <w:color w:val="auto"/>
                <w:lang w:eastAsia="en-US"/>
              </w:rPr>
              <w:t>Characterisation of variant(s) in a panel of at least 25 genes</w:t>
            </w:r>
            <w:r>
              <w:rPr>
                <w:rFonts w:ascii="Arial Narrow" w:hAnsi="Arial Narrow"/>
                <w:color w:val="auto"/>
                <w:lang w:eastAsia="en-US"/>
              </w:rPr>
              <w:t xml:space="preserve"> using DNA</w:t>
            </w:r>
            <w:r w:rsidRPr="00BD5DF2">
              <w:rPr>
                <w:rFonts w:ascii="Arial Narrow" w:hAnsi="Arial Narrow"/>
                <w:color w:val="auto"/>
                <w:lang w:eastAsia="en-US"/>
              </w:rPr>
              <w:t>, requested by a specialist or consultant physician, to determine the diagnosis, prognosis and/or management of a patient presenting with a clinically suspected haematological malignancy of myeloid origin</w:t>
            </w:r>
          </w:p>
          <w:p w14:paraId="0E3F43B5" w14:textId="75488ABE" w:rsidR="00B57733" w:rsidRPr="00687EAB" w:rsidRDefault="00B57733" w:rsidP="00B57733">
            <w:pPr>
              <w:spacing w:before="40" w:after="40"/>
              <w:rPr>
                <w:rFonts w:ascii="Arial Narrow" w:hAnsi="Arial Narrow"/>
              </w:rPr>
            </w:pPr>
            <w:r w:rsidRPr="00B57733">
              <w:rPr>
                <w:rFonts w:ascii="Arial Narrow" w:hAnsi="Arial Narrow"/>
                <w:szCs w:val="22"/>
                <w:lang w:eastAsia="en-US"/>
              </w:rPr>
              <w:t>Applicable once per diagnostic episode at diagnosis, disease progression or relapse</w:t>
            </w:r>
          </w:p>
        </w:tc>
      </w:tr>
      <w:tr w:rsidR="00B57733" w:rsidRPr="002B0E6D" w14:paraId="185ECE5A" w14:textId="77777777" w:rsidTr="00B57733">
        <w:trPr>
          <w:cnfStyle w:val="100000000000" w:firstRow="1" w:lastRow="0" w:firstColumn="0" w:lastColumn="0" w:oddVBand="0" w:evenVBand="0" w:oddHBand="0" w:evenHBand="0" w:firstRowFirstColumn="0" w:firstRowLastColumn="0" w:lastRowFirstColumn="0" w:lastRowLastColumn="0"/>
          <w:cantSplit/>
          <w:trHeight w:val="279"/>
          <w:tblHeader/>
        </w:trPr>
        <w:tc>
          <w:tcPr>
            <w:tcW w:w="9209" w:type="dxa"/>
            <w:tcBorders>
              <w:top w:val="single" w:sz="4" w:space="0" w:color="auto"/>
              <w:left w:val="single" w:sz="4" w:space="0" w:color="auto"/>
              <w:bottom w:val="single" w:sz="4" w:space="0" w:color="auto"/>
              <w:right w:val="single" w:sz="4" w:space="0" w:color="auto"/>
            </w:tcBorders>
            <w:vAlign w:val="center"/>
          </w:tcPr>
          <w:p w14:paraId="0756649F" w14:textId="0CA78CD6" w:rsidR="00B57733" w:rsidRPr="00687EAB" w:rsidRDefault="00B57733" w:rsidP="00B57733">
            <w:pPr>
              <w:rPr>
                <w:rFonts w:ascii="Arial Narrow" w:hAnsi="Arial Narrow" w:cstheme="minorHAnsi"/>
              </w:rPr>
            </w:pPr>
            <w:r w:rsidRPr="00BC1C9D">
              <w:rPr>
                <w:rFonts w:ascii="Arial Narrow" w:hAnsi="Arial Narrow"/>
              </w:rPr>
              <w:t xml:space="preserve">Fee: </w:t>
            </w:r>
            <w:r w:rsidRPr="00BD5DF2">
              <w:rPr>
                <w:rFonts w:ascii="Arial Narrow" w:hAnsi="Arial Narrow"/>
              </w:rPr>
              <w:t>$</w:t>
            </w:r>
            <w:r>
              <w:rPr>
                <w:rFonts w:ascii="Arial Narrow" w:hAnsi="Arial Narrow"/>
              </w:rPr>
              <w:t>927.90</w:t>
            </w:r>
            <w:r w:rsidRPr="00BD5DF2">
              <w:rPr>
                <w:rFonts w:ascii="Arial Narrow" w:hAnsi="Arial Narrow"/>
              </w:rPr>
              <w:t xml:space="preserve"> </w:t>
            </w:r>
            <w:r w:rsidRPr="00BC1C9D">
              <w:rPr>
                <w:rFonts w:ascii="Arial Narrow" w:hAnsi="Arial Narrow"/>
              </w:rPr>
              <w:t xml:space="preserve">Benefit: 75% = </w:t>
            </w:r>
            <w:r w:rsidRPr="00BD5DF2">
              <w:rPr>
                <w:rFonts w:ascii="Arial Narrow" w:hAnsi="Arial Narrow"/>
              </w:rPr>
              <w:t>$</w:t>
            </w:r>
            <w:r>
              <w:rPr>
                <w:rFonts w:ascii="Arial Narrow" w:hAnsi="Arial Narrow"/>
              </w:rPr>
              <w:t>725</w:t>
            </w:r>
            <w:r w:rsidRPr="00BD5DF2">
              <w:rPr>
                <w:rFonts w:ascii="Arial Narrow" w:hAnsi="Arial Narrow"/>
              </w:rPr>
              <w:t xml:space="preserve"> </w:t>
            </w:r>
            <w:r>
              <w:rPr>
                <w:rFonts w:ascii="Arial Narrow" w:hAnsi="Arial Narrow"/>
              </w:rPr>
              <w:t xml:space="preserve">  </w:t>
            </w:r>
            <w:r w:rsidRPr="00BC1C9D">
              <w:rPr>
                <w:rFonts w:ascii="Arial Narrow" w:hAnsi="Arial Narrow"/>
              </w:rPr>
              <w:t xml:space="preserve">85% = </w:t>
            </w:r>
            <w:r w:rsidRPr="00BD5DF2">
              <w:rPr>
                <w:rFonts w:ascii="Arial Narrow" w:hAnsi="Arial Narrow"/>
              </w:rPr>
              <w:t>$</w:t>
            </w:r>
            <w:r>
              <w:rPr>
                <w:rFonts w:ascii="Arial Narrow" w:hAnsi="Arial Narrow"/>
              </w:rPr>
              <w:t>840</w:t>
            </w:r>
          </w:p>
        </w:tc>
      </w:tr>
      <w:tr w:rsidR="00B57733" w:rsidRPr="002B0E6D" w14:paraId="1A401CEF" w14:textId="77777777" w:rsidTr="00B57733">
        <w:trPr>
          <w:cnfStyle w:val="100000000000" w:firstRow="1" w:lastRow="0" w:firstColumn="0" w:lastColumn="0" w:oddVBand="0" w:evenVBand="0" w:oddHBand="0" w:evenHBand="0" w:firstRowFirstColumn="0" w:firstRowLastColumn="0" w:lastRowFirstColumn="0" w:lastRowLastColumn="0"/>
          <w:cantSplit/>
          <w:trHeight w:val="279"/>
          <w:tblHeader/>
        </w:trPr>
        <w:tc>
          <w:tcPr>
            <w:tcW w:w="9209" w:type="dxa"/>
            <w:tcBorders>
              <w:top w:val="single" w:sz="4" w:space="0" w:color="auto"/>
              <w:left w:val="single" w:sz="4" w:space="0" w:color="auto"/>
              <w:bottom w:val="single" w:sz="4" w:space="0" w:color="auto"/>
              <w:right w:val="single" w:sz="4" w:space="0" w:color="auto"/>
            </w:tcBorders>
          </w:tcPr>
          <w:p w14:paraId="08AE4034" w14:textId="03812473" w:rsidR="00B57733" w:rsidRPr="00BC1C9D" w:rsidRDefault="00B57733" w:rsidP="00B57733">
            <w:pPr>
              <w:rPr>
                <w:rFonts w:ascii="Arial Narrow" w:hAnsi="Arial Narrow" w:cstheme="minorHAnsi"/>
              </w:rPr>
            </w:pPr>
            <w:r w:rsidRPr="00BC1C9D">
              <w:rPr>
                <w:rFonts w:ascii="Arial Narrow" w:hAnsi="Arial Narrow" w:cstheme="minorHAnsi"/>
              </w:rPr>
              <w:t xml:space="preserve">MBS item </w:t>
            </w:r>
            <w:r>
              <w:rPr>
                <w:rFonts w:ascii="Arial Narrow" w:hAnsi="Arial Narrow" w:cstheme="minorHAnsi"/>
              </w:rPr>
              <w:t>DDDD</w:t>
            </w:r>
          </w:p>
          <w:p w14:paraId="1FE1B993" w14:textId="759BE162" w:rsidR="00B57733" w:rsidRPr="00BD5DF2" w:rsidRDefault="00B57733" w:rsidP="00B57733">
            <w:pPr>
              <w:pStyle w:val="Quote"/>
              <w:spacing w:line="256" w:lineRule="auto"/>
              <w:ind w:left="0"/>
              <w:rPr>
                <w:rFonts w:ascii="Arial Narrow" w:hAnsi="Arial Narrow"/>
                <w:color w:val="auto"/>
                <w:lang w:eastAsia="en-US"/>
              </w:rPr>
            </w:pPr>
            <w:r w:rsidRPr="00BD5DF2">
              <w:rPr>
                <w:rFonts w:ascii="Arial Narrow" w:hAnsi="Arial Narrow"/>
                <w:color w:val="auto"/>
                <w:lang w:eastAsia="en-US"/>
              </w:rPr>
              <w:t>Characterisation of variant(s) in a panel of at least 25 genes</w:t>
            </w:r>
            <w:r>
              <w:rPr>
                <w:rFonts w:ascii="Arial Narrow" w:hAnsi="Arial Narrow"/>
                <w:color w:val="auto"/>
                <w:lang w:eastAsia="en-US"/>
              </w:rPr>
              <w:t xml:space="preserve"> using DNA</w:t>
            </w:r>
            <w:r w:rsidRPr="00BD5DF2">
              <w:rPr>
                <w:rFonts w:ascii="Arial Narrow" w:hAnsi="Arial Narrow"/>
                <w:color w:val="auto"/>
                <w:lang w:eastAsia="en-US"/>
              </w:rPr>
              <w:t>, requested by a specialist or consultant physician, to determine the diagnosis, prognosis and/or management of a patient presenting with a clinically suspected haematological malignancy of lymphoid origin</w:t>
            </w:r>
          </w:p>
          <w:p w14:paraId="4A00C2DB" w14:textId="3198F619" w:rsidR="00B57733" w:rsidRPr="00BC1C9D" w:rsidRDefault="00B57733" w:rsidP="00B57733">
            <w:pPr>
              <w:rPr>
                <w:rFonts w:ascii="Arial Narrow" w:hAnsi="Arial Narrow"/>
              </w:rPr>
            </w:pPr>
            <w:r w:rsidRPr="00B57733">
              <w:rPr>
                <w:rFonts w:ascii="Arial Narrow" w:hAnsi="Arial Narrow"/>
                <w:szCs w:val="22"/>
                <w:lang w:eastAsia="en-US"/>
              </w:rPr>
              <w:t>Applicable once per diagnostic episode at diagnosis, disease progression or relapse</w:t>
            </w:r>
          </w:p>
        </w:tc>
      </w:tr>
      <w:tr w:rsidR="00B57733" w:rsidRPr="002B0E6D" w14:paraId="1DC2B3D4" w14:textId="77777777" w:rsidTr="00B57733">
        <w:trPr>
          <w:cnfStyle w:val="100000000000" w:firstRow="1" w:lastRow="0" w:firstColumn="0" w:lastColumn="0" w:oddVBand="0" w:evenVBand="0" w:oddHBand="0" w:evenHBand="0" w:firstRowFirstColumn="0" w:firstRowLastColumn="0" w:lastRowFirstColumn="0" w:lastRowLastColumn="0"/>
          <w:cantSplit/>
          <w:trHeight w:val="279"/>
          <w:tblHeader/>
        </w:trPr>
        <w:tc>
          <w:tcPr>
            <w:tcW w:w="9209" w:type="dxa"/>
            <w:tcBorders>
              <w:top w:val="single" w:sz="4" w:space="0" w:color="auto"/>
              <w:left w:val="single" w:sz="4" w:space="0" w:color="auto"/>
              <w:bottom w:val="single" w:sz="4" w:space="0" w:color="auto"/>
              <w:right w:val="single" w:sz="4" w:space="0" w:color="auto"/>
            </w:tcBorders>
            <w:vAlign w:val="center"/>
          </w:tcPr>
          <w:p w14:paraId="4EB55675" w14:textId="1200D3D0" w:rsidR="00B57733" w:rsidRPr="00BC1C9D" w:rsidRDefault="00B57733" w:rsidP="00B57733">
            <w:pPr>
              <w:rPr>
                <w:rFonts w:ascii="Arial Narrow" w:hAnsi="Arial Narrow" w:cstheme="minorHAnsi"/>
              </w:rPr>
            </w:pPr>
            <w:r w:rsidRPr="00BC1C9D">
              <w:rPr>
                <w:rFonts w:ascii="Arial Narrow" w:hAnsi="Arial Narrow"/>
              </w:rPr>
              <w:t xml:space="preserve">Fee: </w:t>
            </w:r>
            <w:r w:rsidRPr="00BD5DF2">
              <w:rPr>
                <w:rFonts w:ascii="Arial Narrow" w:hAnsi="Arial Narrow"/>
              </w:rPr>
              <w:t>$</w:t>
            </w:r>
            <w:r>
              <w:rPr>
                <w:rFonts w:ascii="Arial Narrow" w:hAnsi="Arial Narrow"/>
              </w:rPr>
              <w:t>927.90</w:t>
            </w:r>
            <w:r w:rsidRPr="00BD5DF2">
              <w:rPr>
                <w:rFonts w:ascii="Arial Narrow" w:hAnsi="Arial Narrow"/>
              </w:rPr>
              <w:t xml:space="preserve"> </w:t>
            </w:r>
            <w:r w:rsidRPr="00BC1C9D">
              <w:rPr>
                <w:rFonts w:ascii="Arial Narrow" w:hAnsi="Arial Narrow"/>
              </w:rPr>
              <w:t xml:space="preserve">Benefit: 75% = </w:t>
            </w:r>
            <w:r w:rsidRPr="00BD5DF2">
              <w:rPr>
                <w:rFonts w:ascii="Arial Narrow" w:hAnsi="Arial Narrow"/>
              </w:rPr>
              <w:t>$</w:t>
            </w:r>
            <w:r>
              <w:rPr>
                <w:rFonts w:ascii="Arial Narrow" w:hAnsi="Arial Narrow"/>
              </w:rPr>
              <w:t>725</w:t>
            </w:r>
            <w:r w:rsidRPr="00BD5DF2">
              <w:rPr>
                <w:rFonts w:ascii="Arial Narrow" w:hAnsi="Arial Narrow"/>
              </w:rPr>
              <w:t xml:space="preserve"> </w:t>
            </w:r>
            <w:r>
              <w:rPr>
                <w:rFonts w:ascii="Arial Narrow" w:hAnsi="Arial Narrow"/>
              </w:rPr>
              <w:t xml:space="preserve">  </w:t>
            </w:r>
            <w:r w:rsidRPr="00BC1C9D">
              <w:rPr>
                <w:rFonts w:ascii="Arial Narrow" w:hAnsi="Arial Narrow"/>
              </w:rPr>
              <w:t xml:space="preserve">85% = </w:t>
            </w:r>
            <w:r w:rsidRPr="00BD5DF2">
              <w:rPr>
                <w:rFonts w:ascii="Arial Narrow" w:hAnsi="Arial Narrow"/>
              </w:rPr>
              <w:t>$</w:t>
            </w:r>
            <w:r>
              <w:rPr>
                <w:rFonts w:ascii="Arial Narrow" w:hAnsi="Arial Narrow"/>
              </w:rPr>
              <w:t>840</w:t>
            </w:r>
          </w:p>
        </w:tc>
      </w:tr>
    </w:tbl>
    <w:p w14:paraId="10726357" w14:textId="692E50BC" w:rsidR="00B264AB" w:rsidRPr="00DB4F44" w:rsidRDefault="00C94497" w:rsidP="00B264AB">
      <w:pPr>
        <w:rPr>
          <w:rFonts w:ascii="Arial Narrow" w:hAnsi="Arial Narrow"/>
          <w:sz w:val="18"/>
        </w:rPr>
      </w:pPr>
      <w:r>
        <w:rPr>
          <w:rFonts w:ascii="Arial Narrow" w:hAnsi="Arial Narrow" w:cs="Calibri"/>
          <w:sz w:val="18"/>
          <w:szCs w:val="18"/>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tbl>
      <w:tblPr>
        <w:tblStyle w:val="TableGrid"/>
        <w:tblW w:w="0" w:type="auto"/>
        <w:tblLook w:val="04A0" w:firstRow="1" w:lastRow="0" w:firstColumn="1" w:lastColumn="0" w:noHBand="0" w:noVBand="1"/>
      </w:tblPr>
      <w:tblGrid>
        <w:gridCol w:w="9016"/>
      </w:tblGrid>
      <w:tr w:rsidR="00262662" w:rsidRPr="002B0E6D" w14:paraId="1D3F4F4C" w14:textId="77777777" w:rsidTr="009E1F5B">
        <w:tc>
          <w:tcPr>
            <w:tcW w:w="9016" w:type="dxa"/>
          </w:tcPr>
          <w:p w14:paraId="35E13F1F" w14:textId="51CBD468" w:rsidR="00262662" w:rsidRPr="001876B0" w:rsidRDefault="00262662" w:rsidP="001876B0">
            <w:pPr>
              <w:pStyle w:val="Tabletext0"/>
              <w:jc w:val="right"/>
              <w:rPr>
                <w:b/>
              </w:rPr>
            </w:pPr>
            <w:proofErr w:type="gramStart"/>
            <w:r w:rsidRPr="001876B0">
              <w:rPr>
                <w:b/>
              </w:rPr>
              <w:t>TN.</w:t>
            </w:r>
            <w:r w:rsidR="00D42E69">
              <w:rPr>
                <w:b/>
                <w:bCs/>
              </w:rPr>
              <w:t>P</w:t>
            </w:r>
            <w:r w:rsidRPr="006E0DEB">
              <w:rPr>
                <w:b/>
                <w:bCs/>
              </w:rPr>
              <w:t>N.</w:t>
            </w:r>
            <w:r w:rsidR="00D42E69">
              <w:rPr>
                <w:b/>
                <w:bCs/>
              </w:rPr>
              <w:t>X</w:t>
            </w:r>
            <w:r w:rsidRPr="006E0DEB">
              <w:rPr>
                <w:b/>
                <w:bCs/>
              </w:rPr>
              <w:t>.XX</w:t>
            </w:r>
            <w:proofErr w:type="gramEnd"/>
          </w:p>
        </w:tc>
      </w:tr>
      <w:tr w:rsidR="00262662" w14:paraId="2C61F2BC" w14:textId="77777777" w:rsidTr="009E1F5B">
        <w:tc>
          <w:tcPr>
            <w:tcW w:w="9016" w:type="dxa"/>
          </w:tcPr>
          <w:p w14:paraId="20D1D195" w14:textId="6B510C6F" w:rsidR="00262662" w:rsidRDefault="00D42E69" w:rsidP="001876B0">
            <w:pPr>
              <w:pStyle w:val="Tabletext0"/>
            </w:pPr>
            <w:r>
              <w:rPr>
                <w:i/>
                <w:iCs/>
              </w:rPr>
              <w:t>Testing should include, but not be restricted to, genes described in the current World Health Organization Classification of Haematolymphoid Tumours: Lymphoid Neoplasms or other appropriate international guidelines.</w:t>
            </w:r>
          </w:p>
        </w:tc>
      </w:tr>
    </w:tbl>
    <w:p w14:paraId="34D88FC1" w14:textId="77777777" w:rsidR="00C46E06" w:rsidRDefault="00C46E06">
      <w:pPr>
        <w:spacing w:before="0" w:after="160" w:line="259" w:lineRule="auto"/>
        <w:jc w:val="left"/>
        <w:rPr>
          <w:rFonts w:cstheme="minorBidi"/>
          <w:lang w:eastAsia="en-US"/>
        </w:rPr>
      </w:pPr>
      <w:r>
        <w:rPr>
          <w:rFonts w:cstheme="minorBidi"/>
          <w:lang w:eastAsia="en-US"/>
        </w:rPr>
        <w:br w:type="page"/>
      </w:r>
    </w:p>
    <w:tbl>
      <w:tblPr>
        <w:tblStyle w:val="TableGrid"/>
        <w:tblW w:w="0" w:type="auto"/>
        <w:tblLook w:val="04A0" w:firstRow="1" w:lastRow="0" w:firstColumn="1" w:lastColumn="0" w:noHBand="0" w:noVBand="1"/>
        <w:tblDescription w:val="Consumer summary of MSAC consideration"/>
      </w:tblPr>
      <w:tblGrid>
        <w:gridCol w:w="9016"/>
      </w:tblGrid>
      <w:tr w:rsidR="00FA4672" w14:paraId="33FA0044" w14:textId="77777777" w:rsidTr="009E1F5B">
        <w:trPr>
          <w:tblHeader/>
        </w:trPr>
        <w:tc>
          <w:tcPr>
            <w:tcW w:w="9016" w:type="dxa"/>
            <w:tcBorders>
              <w:top w:val="single" w:sz="4" w:space="0" w:color="auto"/>
              <w:left w:val="single" w:sz="4" w:space="0" w:color="auto"/>
              <w:bottom w:val="single" w:sz="4" w:space="0" w:color="auto"/>
              <w:right w:val="single" w:sz="4" w:space="0" w:color="auto"/>
            </w:tcBorders>
            <w:hideMark/>
          </w:tcPr>
          <w:p w14:paraId="20D8B08E" w14:textId="77777777" w:rsidR="00FA4672" w:rsidRPr="00E96E47" w:rsidRDefault="00FA4672" w:rsidP="009E1F5B">
            <w:pPr>
              <w:pStyle w:val="Default"/>
              <w:spacing w:before="120" w:after="120"/>
              <w:rPr>
                <w:rFonts w:ascii="Franklin Gothic Book" w:hAnsi="Franklin Gothic Book"/>
                <w:b/>
                <w:bCs/>
                <w:color w:val="auto"/>
                <w:sz w:val="22"/>
                <w:szCs w:val="22"/>
              </w:rPr>
            </w:pPr>
            <w:r w:rsidRPr="00E96E47">
              <w:rPr>
                <w:rFonts w:ascii="Franklin Gothic Book" w:hAnsi="Franklin Gothic Book"/>
                <w:b/>
                <w:bCs/>
                <w:color w:val="auto"/>
                <w:sz w:val="22"/>
                <w:szCs w:val="22"/>
              </w:rPr>
              <w:lastRenderedPageBreak/>
              <w:t>Consumer summary</w:t>
            </w:r>
          </w:p>
        </w:tc>
      </w:tr>
      <w:tr w:rsidR="00FA4672" w14:paraId="5ABEBC2F" w14:textId="77777777" w:rsidTr="009E1F5B">
        <w:tc>
          <w:tcPr>
            <w:tcW w:w="9016" w:type="dxa"/>
            <w:tcBorders>
              <w:top w:val="single" w:sz="4" w:space="0" w:color="auto"/>
              <w:left w:val="single" w:sz="4" w:space="0" w:color="auto"/>
              <w:bottom w:val="single" w:sz="4" w:space="0" w:color="auto"/>
              <w:right w:val="single" w:sz="4" w:space="0" w:color="auto"/>
            </w:tcBorders>
            <w:hideMark/>
          </w:tcPr>
          <w:p w14:paraId="3DEECBDB" w14:textId="69BEC560" w:rsidR="00B264AB" w:rsidRDefault="00B264AB" w:rsidP="00B264AB">
            <w:pPr>
              <w:rPr>
                <w:szCs w:val="22"/>
                <w:lang w:eastAsia="en-US"/>
              </w:rPr>
            </w:pPr>
            <w:r>
              <w:t xml:space="preserve">This application from the Royal College of Pathologists of Australasia (RCPA) was for Medicare Benefits Schedule (MBS) listing of genetic testing for variants associated with haematological malignancies (blood cancers) using gene panels. This application was for two </w:t>
            </w:r>
            <w:r w:rsidR="006808FB">
              <w:t xml:space="preserve">gene </w:t>
            </w:r>
            <w:r>
              <w:t>panels</w:t>
            </w:r>
            <w:r w:rsidR="007E4DE7">
              <w:t>, to look for the genetic causes of two different types of blood cancers</w:t>
            </w:r>
            <w:r w:rsidR="00640D07">
              <w:t>. O</w:t>
            </w:r>
            <w:r>
              <w:t>ne</w:t>
            </w:r>
            <w:r w:rsidR="00640D07">
              <w:t xml:space="preserve"> gene panel was proposed</w:t>
            </w:r>
            <w:r>
              <w:t xml:space="preserve"> for myeloid </w:t>
            </w:r>
            <w:r w:rsidR="00D835D3">
              <w:t xml:space="preserve">cancers </w:t>
            </w:r>
            <w:r>
              <w:t xml:space="preserve">and one for lymphoid </w:t>
            </w:r>
            <w:r w:rsidR="00D835D3">
              <w:t>cancers</w:t>
            </w:r>
            <w:r>
              <w:t xml:space="preserve">. </w:t>
            </w:r>
            <w:r w:rsidR="00640D07">
              <w:t>A gene panel is when many genes are tested at the same time.</w:t>
            </w:r>
          </w:p>
          <w:p w14:paraId="06BCCB53" w14:textId="707F4E38" w:rsidR="002B5525" w:rsidRDefault="006808FB" w:rsidP="00B264AB">
            <w:r>
              <w:t xml:space="preserve">Blood cancers </w:t>
            </w:r>
            <w:r w:rsidR="00B264AB">
              <w:t xml:space="preserve">are a diverse group of diseases, and include cancers such as lymphoma, </w:t>
            </w:r>
            <w:proofErr w:type="gramStart"/>
            <w:r w:rsidR="00B264AB">
              <w:t>myeloma</w:t>
            </w:r>
            <w:proofErr w:type="gramEnd"/>
            <w:r w:rsidR="00B264AB">
              <w:t xml:space="preserve"> and leukaemia</w:t>
            </w:r>
            <w:r>
              <w:t>.</w:t>
            </w:r>
            <w:r w:rsidR="009059C9">
              <w:t xml:space="preserve"> Blood cancers can be </w:t>
            </w:r>
            <w:r w:rsidR="001F2E5E">
              <w:t xml:space="preserve">broadly </w:t>
            </w:r>
            <w:r w:rsidR="009059C9">
              <w:t xml:space="preserve">categorised based on their </w:t>
            </w:r>
            <w:r w:rsidR="00391C43">
              <w:t xml:space="preserve">cell of </w:t>
            </w:r>
            <w:r w:rsidR="009059C9">
              <w:t>origin (lineage) into myeloid or lymphoid cancers.</w:t>
            </w:r>
            <w:r w:rsidR="00512D20">
              <w:t xml:space="preserve"> </w:t>
            </w:r>
            <w:r w:rsidR="00512D20" w:rsidRPr="00512D20">
              <w:t xml:space="preserve">The cancer </w:t>
            </w:r>
            <w:proofErr w:type="gramStart"/>
            <w:r w:rsidR="00512D20" w:rsidRPr="00512D20">
              <w:t>actually involves</w:t>
            </w:r>
            <w:proofErr w:type="gramEnd"/>
            <w:r w:rsidR="00512D20" w:rsidRPr="00512D20">
              <w:t xml:space="preserve"> a special cell, called a “progenitor cell”. This is an ancestor cell that has the potential to become several different types of cells in the one lineage. Myeloid cancers are due to cancers in cells that come from the bone marrow. These cells eventually turn into red blood cells, </w:t>
            </w:r>
            <w:proofErr w:type="gramStart"/>
            <w:r w:rsidR="00512D20" w:rsidRPr="00512D20">
              <w:t>platelets</w:t>
            </w:r>
            <w:proofErr w:type="gramEnd"/>
            <w:r w:rsidR="00512D20" w:rsidRPr="00512D20">
              <w:t xml:space="preserve"> and some white blood cells. Lymphoid cancers are due to cancers in cells that come from the lymphatic system. These cells eventually turn into white blood cells that fight infections</w:t>
            </w:r>
            <w:r w:rsidR="00C546C7">
              <w:t>.</w:t>
            </w:r>
            <w:r w:rsidR="009059C9">
              <w:t xml:space="preserve"> </w:t>
            </w:r>
          </w:p>
          <w:p w14:paraId="0D0F5D70" w14:textId="41759FD7" w:rsidR="00B264AB" w:rsidRDefault="006808FB" w:rsidP="00B264AB">
            <w:r>
              <w:t xml:space="preserve">The proposed genetic tests can help </w:t>
            </w:r>
            <w:r w:rsidR="008350AF">
              <w:t xml:space="preserve">haematologists </w:t>
            </w:r>
            <w:r w:rsidR="00D835D3">
              <w:t>(</w:t>
            </w:r>
            <w:r w:rsidR="008350AF">
              <w:t xml:space="preserve">blood </w:t>
            </w:r>
            <w:r w:rsidR="00D835D3">
              <w:t>cancer doctors)</w:t>
            </w:r>
            <w:r>
              <w:t xml:space="preserve"> work out what </w:t>
            </w:r>
            <w:r w:rsidR="001F2E5E">
              <w:t xml:space="preserve">specific </w:t>
            </w:r>
            <w:r>
              <w:t>type of blood cancer a patient has. This information</w:t>
            </w:r>
            <w:r w:rsidR="007E4DE7">
              <w:t xml:space="preserve"> can help a </w:t>
            </w:r>
            <w:r w:rsidR="008350AF">
              <w:t>haematologist</w:t>
            </w:r>
            <w:r w:rsidR="007E4DE7">
              <w:t xml:space="preserve"> work out what is the right treatment for that patien</w:t>
            </w:r>
            <w:r w:rsidR="00D835D3">
              <w:t>t. The information would also help doctors understand what the patient’s chances of recovery might be and whether the cancer might come back again</w:t>
            </w:r>
            <w:r w:rsidR="00020E89">
              <w:t>.</w:t>
            </w:r>
          </w:p>
          <w:p w14:paraId="2180531A" w14:textId="5881E3EE" w:rsidR="00B264AB" w:rsidRDefault="00B137AA" w:rsidP="00B264AB">
            <w:r>
              <w:t>T</w:t>
            </w:r>
            <w:r w:rsidR="00B264AB">
              <w:t>here are currently gene tests</w:t>
            </w:r>
            <w:r w:rsidR="007E4DE7">
              <w:t xml:space="preserve"> that look for </w:t>
            </w:r>
            <w:r w:rsidR="00C94497">
              <w:t xml:space="preserve">variants in only </w:t>
            </w:r>
            <w:r w:rsidR="007E4DE7">
              <w:t>a single gene</w:t>
            </w:r>
            <w:r w:rsidR="00B264AB">
              <w:t xml:space="preserve"> for some </w:t>
            </w:r>
            <w:r w:rsidR="006808FB">
              <w:t>blood cancers</w:t>
            </w:r>
            <w:r>
              <w:t>, available on the MBS. T</w:t>
            </w:r>
            <w:r w:rsidR="00B264AB">
              <w:t xml:space="preserve">he proposed gene panels will include more genes </w:t>
            </w:r>
            <w:r w:rsidR="00676A5A">
              <w:t xml:space="preserve">than </w:t>
            </w:r>
            <w:r w:rsidR="00B264AB">
              <w:t xml:space="preserve">what is currently available. Using gene panels therefore increases the chance of </w:t>
            </w:r>
            <w:r w:rsidR="00C94497">
              <w:t xml:space="preserve">finding relevant genetic variants and being able to make </w:t>
            </w:r>
            <w:r w:rsidR="00B264AB">
              <w:t>an accurate diagnosis. The World Health Organization recommends using genetic testing to accurately diagnose haematological malignancies.</w:t>
            </w:r>
          </w:p>
          <w:p w14:paraId="5300D5E0" w14:textId="4973BE9C" w:rsidR="00B264AB" w:rsidRDefault="00B264AB" w:rsidP="00B264AB">
            <w:r>
              <w:t>MSAC considered this type of genetic testing to be important for patients to receive</w:t>
            </w:r>
            <w:r w:rsidR="00856A3A">
              <w:t>; MSAC considered i</w:t>
            </w:r>
            <w:r>
              <w:t xml:space="preserve">t </w:t>
            </w:r>
            <w:r w:rsidR="00856A3A">
              <w:t>to be</w:t>
            </w:r>
            <w:r>
              <w:t xml:space="preserve"> safe, </w:t>
            </w:r>
            <w:proofErr w:type="gramStart"/>
            <w:r>
              <w:t>effective</w:t>
            </w:r>
            <w:proofErr w:type="gramEnd"/>
            <w:r>
              <w:t xml:space="preserve"> and good value for money. MSAC noted that this genetic testing may </w:t>
            </w:r>
            <w:r w:rsidR="002D456D">
              <w:t>find</w:t>
            </w:r>
            <w:r w:rsidR="00DB4F44">
              <w:t xml:space="preserve"> </w:t>
            </w:r>
            <w:r w:rsidR="00630DFA">
              <w:t>an acquired</w:t>
            </w:r>
            <w:r w:rsidR="00DB4F44">
              <w:t xml:space="preserve"> variant</w:t>
            </w:r>
            <w:r w:rsidR="00630DFA">
              <w:t xml:space="preserve"> in tumour tissue</w:t>
            </w:r>
            <w:r w:rsidR="00DB4F44">
              <w:t xml:space="preserve"> </w:t>
            </w:r>
            <w:r w:rsidR="00630DFA">
              <w:t>(called somatic variant)</w:t>
            </w:r>
            <w:r w:rsidR="00DB4F44">
              <w:t xml:space="preserve"> </w:t>
            </w:r>
            <w:r w:rsidR="00630DFA">
              <w:t>or</w:t>
            </w:r>
            <w:r w:rsidR="002D456D">
              <w:t xml:space="preserve"> </w:t>
            </w:r>
            <w:r w:rsidR="00D835D3">
              <w:t xml:space="preserve">blood cancer </w:t>
            </w:r>
            <w:r w:rsidR="00C94497">
              <w:t xml:space="preserve">variants </w:t>
            </w:r>
            <w:r w:rsidR="002D456D">
              <w:t xml:space="preserve">that </w:t>
            </w:r>
            <w:r w:rsidR="00D835D3">
              <w:t>can be</w:t>
            </w:r>
            <w:r w:rsidR="002D456D">
              <w:t xml:space="preserve"> passed down through families</w:t>
            </w:r>
            <w:r w:rsidR="00C94497">
              <w:t xml:space="preserve"> (called germline variants)</w:t>
            </w:r>
            <w:r w:rsidR="002D456D">
              <w:t xml:space="preserve">. </w:t>
            </w:r>
            <w:r w:rsidR="00630DFA">
              <w:t>The application only covered testing for somatic variants, s</w:t>
            </w:r>
            <w:r w:rsidR="002D456D">
              <w:t xml:space="preserve">o </w:t>
            </w:r>
            <w:r>
              <w:t xml:space="preserve">MSAC encouraged the applicant to submit a future application for </w:t>
            </w:r>
            <w:r w:rsidR="006E3C1E">
              <w:t xml:space="preserve">genetic </w:t>
            </w:r>
            <w:r>
              <w:t>testing for relatives</w:t>
            </w:r>
            <w:r w:rsidR="006E3C1E">
              <w:t xml:space="preserve"> of people who have been found to have a </w:t>
            </w:r>
            <w:r w:rsidR="00C94497">
              <w:t xml:space="preserve">germline </w:t>
            </w:r>
            <w:r w:rsidR="006E3C1E">
              <w:t>genetic cause of their blood cancer</w:t>
            </w:r>
            <w:r>
              <w:t xml:space="preserve">. </w:t>
            </w:r>
          </w:p>
          <w:p w14:paraId="405FFB7F" w14:textId="77777777" w:rsidR="00FA4672" w:rsidRPr="000B5E96" w:rsidRDefault="00FA4672" w:rsidP="00B264AB">
            <w:pPr>
              <w:pStyle w:val="Default"/>
              <w:spacing w:before="240" w:after="120"/>
              <w:rPr>
                <w:rFonts w:ascii="Franklin Gothic Book" w:hAnsi="Franklin Gothic Book"/>
                <w:b/>
                <w:bCs/>
                <w:iCs/>
                <w:color w:val="auto"/>
                <w:sz w:val="22"/>
                <w:szCs w:val="22"/>
              </w:rPr>
            </w:pPr>
            <w:r w:rsidRPr="000B5E96">
              <w:rPr>
                <w:rFonts w:ascii="Franklin Gothic Book" w:hAnsi="Franklin Gothic Book"/>
                <w:b/>
                <w:bCs/>
                <w:iCs/>
                <w:color w:val="auto"/>
                <w:sz w:val="22"/>
                <w:szCs w:val="22"/>
              </w:rPr>
              <w:t xml:space="preserve">MSAC’s advice to the </w:t>
            </w:r>
            <w:proofErr w:type="gramStart"/>
            <w:r w:rsidRPr="000B5E96">
              <w:rPr>
                <w:rFonts w:ascii="Franklin Gothic Book" w:hAnsi="Franklin Gothic Book"/>
                <w:b/>
                <w:bCs/>
                <w:iCs/>
                <w:color w:val="auto"/>
                <w:sz w:val="22"/>
                <w:szCs w:val="22"/>
              </w:rPr>
              <w:t>Commonwealth Minister</w:t>
            </w:r>
            <w:proofErr w:type="gramEnd"/>
            <w:r w:rsidRPr="000B5E96">
              <w:rPr>
                <w:rFonts w:ascii="Franklin Gothic Book" w:hAnsi="Franklin Gothic Book"/>
                <w:b/>
                <w:bCs/>
                <w:iCs/>
                <w:color w:val="auto"/>
                <w:sz w:val="22"/>
                <w:szCs w:val="22"/>
              </w:rPr>
              <w:t xml:space="preserve"> for Health</w:t>
            </w:r>
            <w:r>
              <w:rPr>
                <w:rFonts w:ascii="Franklin Gothic Book" w:hAnsi="Franklin Gothic Book"/>
                <w:b/>
                <w:bCs/>
                <w:iCs/>
                <w:color w:val="auto"/>
                <w:sz w:val="22"/>
                <w:szCs w:val="22"/>
              </w:rPr>
              <w:t xml:space="preserve"> and Aged Care</w:t>
            </w:r>
          </w:p>
          <w:p w14:paraId="3D3FFC4C" w14:textId="055FB878" w:rsidR="00FA4672" w:rsidRDefault="00B264AB" w:rsidP="009E1F5B">
            <w:pPr>
              <w:pStyle w:val="Default"/>
              <w:spacing w:after="240"/>
              <w:rPr>
                <w:rFonts w:ascii="Times New Roman" w:hAnsi="Times New Roman"/>
                <w:i/>
                <w:color w:val="auto"/>
              </w:rPr>
            </w:pPr>
            <w:r w:rsidRPr="00B264AB">
              <w:rPr>
                <w:rFonts w:ascii="Franklin Gothic Book" w:hAnsi="Franklin Gothic Book"/>
                <w:iCs/>
                <w:color w:val="auto"/>
                <w:sz w:val="22"/>
                <w:szCs w:val="22"/>
              </w:rPr>
              <w:t>MSAC supported listing gene</w:t>
            </w:r>
            <w:r w:rsidR="00C94497">
              <w:rPr>
                <w:rFonts w:ascii="Franklin Gothic Book" w:hAnsi="Franklin Gothic Book"/>
                <w:iCs/>
                <w:color w:val="auto"/>
                <w:sz w:val="22"/>
                <w:szCs w:val="22"/>
              </w:rPr>
              <w:t xml:space="preserve"> panel</w:t>
            </w:r>
            <w:r w:rsidRPr="00B264AB">
              <w:rPr>
                <w:rFonts w:ascii="Franklin Gothic Book" w:hAnsi="Franklin Gothic Book"/>
                <w:iCs/>
                <w:color w:val="auto"/>
                <w:sz w:val="22"/>
                <w:szCs w:val="22"/>
              </w:rPr>
              <w:t xml:space="preserve"> testing for variants associated with haematological malignancies (blood cancers) on the MBS. MSAC considered the testing to be safe, effective</w:t>
            </w:r>
            <w:r w:rsidR="00C94497">
              <w:rPr>
                <w:rFonts w:ascii="Franklin Gothic Book" w:hAnsi="Franklin Gothic Book"/>
                <w:iCs/>
                <w:color w:val="auto"/>
                <w:sz w:val="22"/>
                <w:szCs w:val="22"/>
              </w:rPr>
              <w:t>,</w:t>
            </w:r>
            <w:r w:rsidRPr="00B264AB">
              <w:rPr>
                <w:rFonts w:ascii="Franklin Gothic Book" w:hAnsi="Franklin Gothic Book"/>
                <w:iCs/>
                <w:color w:val="auto"/>
                <w:sz w:val="22"/>
                <w:szCs w:val="22"/>
              </w:rPr>
              <w:t xml:space="preserve"> good value for money</w:t>
            </w:r>
            <w:r w:rsidR="00C94497">
              <w:rPr>
                <w:rFonts w:ascii="Franklin Gothic Book" w:hAnsi="Franklin Gothic Book"/>
                <w:iCs/>
                <w:color w:val="auto"/>
                <w:sz w:val="22"/>
                <w:szCs w:val="22"/>
              </w:rPr>
              <w:t>, and to have an acceptable cost to the MBS</w:t>
            </w:r>
            <w:r w:rsidRPr="00B264AB">
              <w:rPr>
                <w:rFonts w:ascii="Franklin Gothic Book" w:hAnsi="Franklin Gothic Book"/>
                <w:iCs/>
                <w:color w:val="auto"/>
                <w:sz w:val="22"/>
                <w:szCs w:val="22"/>
              </w:rPr>
              <w:t>.</w:t>
            </w:r>
          </w:p>
        </w:tc>
      </w:tr>
    </w:tbl>
    <w:p w14:paraId="62464957" w14:textId="77777777" w:rsidR="00FA4672" w:rsidRDefault="00FA4672" w:rsidP="00FA4672">
      <w:pPr>
        <w:pStyle w:val="Heading2"/>
        <w:numPr>
          <w:ilvl w:val="0"/>
          <w:numId w:val="0"/>
        </w:numPr>
      </w:pPr>
      <w:r>
        <w:t>3.</w:t>
      </w:r>
      <w:r>
        <w:tab/>
        <w:t>Summary of consideration and rationale for MSAC’s advice</w:t>
      </w:r>
    </w:p>
    <w:p w14:paraId="725EE920" w14:textId="4F9D5EB1" w:rsidR="00B264AB" w:rsidRDefault="00B264AB" w:rsidP="00B264AB">
      <w:pPr>
        <w:rPr>
          <w:szCs w:val="22"/>
          <w:lang w:eastAsia="en-US"/>
        </w:rPr>
      </w:pPr>
      <w:r>
        <w:t xml:space="preserve">MSAC noted that this application from the RCPA was for MBS listing of </w:t>
      </w:r>
      <w:r w:rsidR="00D71180">
        <w:t xml:space="preserve">two </w:t>
      </w:r>
      <w:r w:rsidR="00391C43">
        <w:t xml:space="preserve">large </w:t>
      </w:r>
      <w:r w:rsidR="00D03A0C">
        <w:t>multi</w:t>
      </w:r>
      <w:r w:rsidR="00D71180">
        <w:t xml:space="preserve">gene panels </w:t>
      </w:r>
      <w:r w:rsidR="00D03A0C">
        <w:t xml:space="preserve">for </w:t>
      </w:r>
      <w:r>
        <w:t>genetic testing for variants associated with haematological malignancies. MSAC noted that it has not previously considered th</w:t>
      </w:r>
      <w:r w:rsidR="00D71180">
        <w:t>ese</w:t>
      </w:r>
      <w:r>
        <w:t xml:space="preserve"> specific panel</w:t>
      </w:r>
      <w:r w:rsidR="00D71180">
        <w:t>s</w:t>
      </w:r>
      <w:r>
        <w:t>, but has considered applications for single somatic genetic tests for a small number of specific haematological malignancies</w:t>
      </w:r>
      <w:r w:rsidR="00BC1C9D">
        <w:t>, for example</w:t>
      </w:r>
      <w:r>
        <w:t xml:space="preserve">: </w:t>
      </w:r>
    </w:p>
    <w:p w14:paraId="3E226656" w14:textId="77777777" w:rsidR="00B264AB" w:rsidRDefault="00B264AB" w:rsidP="00B56755">
      <w:pPr>
        <w:pStyle w:val="ListParagraph"/>
        <w:numPr>
          <w:ilvl w:val="0"/>
          <w:numId w:val="30"/>
        </w:numPr>
        <w:spacing w:before="0" w:after="0"/>
        <w:jc w:val="left"/>
      </w:pPr>
      <w:r>
        <w:t>Application 1526 – diffuse large B cell leukaemia, high-grade B cell lymphoma, mantle cell lymphoma, hepatosplenic T cell lymphoma, T cell prolymphocytic leukaemia, myeloma</w:t>
      </w:r>
    </w:p>
    <w:p w14:paraId="48BCD8DE" w14:textId="77777777" w:rsidR="00B264AB" w:rsidRDefault="00B264AB" w:rsidP="00B56755">
      <w:pPr>
        <w:pStyle w:val="ListParagraph"/>
        <w:numPr>
          <w:ilvl w:val="0"/>
          <w:numId w:val="30"/>
        </w:numPr>
        <w:spacing w:before="0" w:after="0"/>
        <w:jc w:val="left"/>
      </w:pPr>
      <w:r>
        <w:t>Application 1532 – myeloproliferative neoplasms.</w:t>
      </w:r>
    </w:p>
    <w:p w14:paraId="0FD89E82" w14:textId="77777777" w:rsidR="00B264AB" w:rsidRDefault="00B264AB" w:rsidP="00B264AB">
      <w:r>
        <w:lastRenderedPageBreak/>
        <w:t>MSAC also recalled that it has previously considered applications for large multigene panels for the characterisation of variants in inherited conditions (</w:t>
      </w:r>
      <w:proofErr w:type="gramStart"/>
      <w:r>
        <w:t>i.e.</w:t>
      </w:r>
      <w:proofErr w:type="gramEnd"/>
      <w:r>
        <w:t xml:space="preserve"> germline testing; Applications 1585, 1598 and 1600), as well as multigene somatic testing for the diagnosis of glioma, including glioblastoma (Application 1709).</w:t>
      </w:r>
    </w:p>
    <w:p w14:paraId="04459D40" w14:textId="78644AFF" w:rsidR="00B264AB" w:rsidRDefault="00B264AB" w:rsidP="00B264AB">
      <w:r>
        <w:t>MSAC noted that haematological malignancies account for 9% of all cancers in Australia (18,485 cases in 2021)</w:t>
      </w:r>
      <w:r w:rsidR="00652306">
        <w:t xml:space="preserve"> and are a </w:t>
      </w:r>
      <w:r>
        <w:t>heterogeneous group</w:t>
      </w:r>
      <w:r w:rsidR="00652306">
        <w:t xml:space="preserve"> of disorders. Some malignancies</w:t>
      </w:r>
      <w:r w:rsidR="00F122DF">
        <w:t xml:space="preserve"> have a long natural history, </w:t>
      </w:r>
      <w:r>
        <w:t xml:space="preserve">others </w:t>
      </w:r>
      <w:r w:rsidR="00F809BC">
        <w:t xml:space="preserve">behave aggressively from the point of </w:t>
      </w:r>
      <w:r>
        <w:t xml:space="preserve">diagnosis. The 5-year survival in both males and females is approximately 66%. MSAC noted that the loss or gain of genetic aberrations, including during treatment, can </w:t>
      </w:r>
      <w:r w:rsidR="00455124">
        <w:t>change</w:t>
      </w:r>
      <w:r>
        <w:t xml:space="preserve"> </w:t>
      </w:r>
      <w:r w:rsidR="00455124">
        <w:t xml:space="preserve">the </w:t>
      </w:r>
      <w:r>
        <w:t xml:space="preserve">phenotype </w:t>
      </w:r>
      <w:r w:rsidR="00455124">
        <w:t xml:space="preserve">of the malignancy </w:t>
      </w:r>
      <w:r>
        <w:t xml:space="preserve">over </w:t>
      </w:r>
      <w:r w:rsidR="00455124">
        <w:t xml:space="preserve">the </w:t>
      </w:r>
      <w:r w:rsidR="00F613D9">
        <w:t>course of disease. These genetic aber</w:t>
      </w:r>
      <w:r w:rsidR="008264D3">
        <w:t xml:space="preserve">rations </w:t>
      </w:r>
      <w:r>
        <w:t xml:space="preserve">influence the clinical course of the condition (including changing the </w:t>
      </w:r>
      <w:r w:rsidR="008264D3">
        <w:t xml:space="preserve">diagnostic </w:t>
      </w:r>
      <w:r w:rsidR="00856A3A">
        <w:t>classification</w:t>
      </w:r>
      <w:r>
        <w:t>) and management decisions (</w:t>
      </w:r>
      <w:r w:rsidR="0053479B">
        <w:t>due to</w:t>
      </w:r>
      <w:r w:rsidR="00D55AEA">
        <w:t xml:space="preserve"> the development of </w:t>
      </w:r>
      <w:r>
        <w:t>treatment resistance).</w:t>
      </w:r>
    </w:p>
    <w:p w14:paraId="7DAE4051" w14:textId="5F6AD392" w:rsidR="00B264AB" w:rsidRDefault="00B264AB" w:rsidP="00B264AB">
      <w:r>
        <w:t xml:space="preserve">MSAC acknowledged the clinical need for </w:t>
      </w:r>
      <w:r w:rsidR="00DA2BF7">
        <w:t>the proposed molecular</w:t>
      </w:r>
      <w:r>
        <w:t xml:space="preserve"> testing. For patients with clinical or laboratory evidence of a suspected haematological malignancy, a NGS gene panel test during the initial work-up or at suspected disease progression/relapse would assist diagnosis </w:t>
      </w:r>
      <w:r w:rsidR="00C94497">
        <w:t>and/</w:t>
      </w:r>
      <w:r>
        <w:t xml:space="preserve">or management. MSAC noted that genetic testing is now standard of care for </w:t>
      </w:r>
      <w:r w:rsidR="00C94497">
        <w:t xml:space="preserve">patients with </w:t>
      </w:r>
      <w:r>
        <w:t>these types of malignancies, and that the</w:t>
      </w:r>
      <w:r>
        <w:rPr>
          <w:i/>
          <w:iCs/>
        </w:rPr>
        <w:t xml:space="preserve"> </w:t>
      </w:r>
      <w:hyperlink r:id="rId9" w:history="1">
        <w:r>
          <w:rPr>
            <w:rStyle w:val="Hyperlink"/>
            <w:i/>
            <w:iCs/>
          </w:rPr>
          <w:t>5th edition of the World Health Organization (WHO) Classification of Haematolymphoid Tumours: Lymphoid Neoplasms</w:t>
        </w:r>
      </w:hyperlink>
      <w:r>
        <w:rPr>
          <w:i/>
          <w:iCs/>
        </w:rPr>
        <w:t xml:space="preserve"> </w:t>
      </w:r>
      <w:r>
        <w:t xml:space="preserve">(2022) recommends molecular testing for establishing a comprehensive diagnosis. MSAC noted that without genetic testing, patients may be incorrectly diagnosed and </w:t>
      </w:r>
      <w:r w:rsidR="001B3D52">
        <w:t xml:space="preserve">potentially </w:t>
      </w:r>
      <w:r>
        <w:t xml:space="preserve">receive ineffective or incorrect treatment. MSAC also considered </w:t>
      </w:r>
      <w:r w:rsidR="007616F6">
        <w:t xml:space="preserve">subsidy of molecular </w:t>
      </w:r>
      <w:r>
        <w:t xml:space="preserve">testing </w:t>
      </w:r>
      <w:r w:rsidR="007616F6">
        <w:t xml:space="preserve">would </w:t>
      </w:r>
      <w:r w:rsidR="00C94497">
        <w:t>address</w:t>
      </w:r>
      <w:r>
        <w:t xml:space="preserve"> an area of unmet need</w:t>
      </w:r>
      <w:r w:rsidR="007616F6">
        <w:t xml:space="preserve"> since</w:t>
      </w:r>
      <w:r w:rsidR="00856A3A">
        <w:t xml:space="preserve"> </w:t>
      </w:r>
      <w:r>
        <w:t xml:space="preserve">only one laboratory in Australia (the Peter MacCallum Cancer Centre) </w:t>
      </w:r>
      <w:r w:rsidR="005132F4">
        <w:t xml:space="preserve">currently </w:t>
      </w:r>
      <w:r>
        <w:t xml:space="preserve">offers an NGS panel </w:t>
      </w:r>
      <w:r w:rsidR="00C602A0">
        <w:t>for patients</w:t>
      </w:r>
      <w:r w:rsidR="005132F4">
        <w:t xml:space="preserve"> (but at</w:t>
      </w:r>
      <w:r w:rsidR="009E4640">
        <w:t xml:space="preserve"> </w:t>
      </w:r>
      <w:r>
        <w:t>high out-of-pocket costs</w:t>
      </w:r>
      <w:r w:rsidR="005132F4">
        <w:t>).</w:t>
      </w:r>
    </w:p>
    <w:p w14:paraId="20E659BD" w14:textId="515807C2" w:rsidR="00B264AB" w:rsidRDefault="00B264AB" w:rsidP="00B264AB">
      <w:r>
        <w:t xml:space="preserve">MSAC noted that this application builds on existing MBS items by creating two new MBS items for multigene NGS panels (one myeloid panel, one lymphoid panel) with broader </w:t>
      </w:r>
      <w:r w:rsidR="00D55AEA">
        <w:t xml:space="preserve">gene </w:t>
      </w:r>
      <w:r>
        <w:t>coverage than what is currently provided</w:t>
      </w:r>
      <w:r w:rsidR="00D55AEA">
        <w:t xml:space="preserve"> by </w:t>
      </w:r>
      <w:r w:rsidR="00391C43">
        <w:t xml:space="preserve">the </w:t>
      </w:r>
      <w:r w:rsidR="00D55AEA">
        <w:t>existing MBS items</w:t>
      </w:r>
      <w:r>
        <w:t xml:space="preserve">. </w:t>
      </w:r>
      <w:r w:rsidR="00140806">
        <w:t xml:space="preserve">Gene panel testing </w:t>
      </w:r>
      <w:r>
        <w:t>is not publicly funded in this setting.</w:t>
      </w:r>
    </w:p>
    <w:p w14:paraId="2B0B4F48" w14:textId="59C345B9" w:rsidR="00C11334" w:rsidRDefault="00B264AB" w:rsidP="00B264AB">
      <w:r>
        <w:t xml:space="preserve">MSAC noted that the application addressed DNA testing </w:t>
      </w:r>
      <w:proofErr w:type="gramStart"/>
      <w:r>
        <w:t>only, and</w:t>
      </w:r>
      <w:proofErr w:type="gramEnd"/>
      <w:r>
        <w:t xml:space="preserve"> </w:t>
      </w:r>
      <w:r w:rsidR="00140806">
        <w:t xml:space="preserve">considered </w:t>
      </w:r>
      <w:r>
        <w:t xml:space="preserve">that </w:t>
      </w:r>
      <w:r w:rsidR="00140806">
        <w:t>there will be an increasing need for</w:t>
      </w:r>
      <w:r>
        <w:t xml:space="preserve"> RNA-based detection of fusions in the very near future. MSAC </w:t>
      </w:r>
      <w:r w:rsidR="00E73D8F">
        <w:t xml:space="preserve">also </w:t>
      </w:r>
      <w:r>
        <w:t>noted</w:t>
      </w:r>
      <w:r w:rsidR="002B0E6D">
        <w:t xml:space="preserve"> that many </w:t>
      </w:r>
      <w:r w:rsidR="005132F4">
        <w:t xml:space="preserve">diagnoses </w:t>
      </w:r>
      <w:r w:rsidR="002B0E6D">
        <w:t xml:space="preserve">cannot be </w:t>
      </w:r>
      <w:r w:rsidR="005132F4">
        <w:t xml:space="preserve">made </w:t>
      </w:r>
      <w:r w:rsidR="00D36F1B">
        <w:t xml:space="preserve">without analysis for </w:t>
      </w:r>
      <w:r w:rsidR="002B0E6D">
        <w:t>RNA-fusion variants</w:t>
      </w:r>
      <w:r w:rsidR="00D36F1B">
        <w:t>. MSAC referenced</w:t>
      </w:r>
      <w:r>
        <w:t xml:space="preserve"> the WHO guidelines </w:t>
      </w:r>
      <w:r w:rsidR="00D36F1B">
        <w:t xml:space="preserve">which </w:t>
      </w:r>
      <w:r>
        <w:t xml:space="preserve">specify RNA-fusion variants </w:t>
      </w:r>
      <w:r w:rsidR="00140806">
        <w:t xml:space="preserve">as diagnostic biomarkers in </w:t>
      </w:r>
      <w:r>
        <w:t xml:space="preserve">haematological malignancy testing. </w:t>
      </w:r>
      <w:r w:rsidR="002B0E6D">
        <w:t xml:space="preserve">Thus, </w:t>
      </w:r>
      <w:r>
        <w:t xml:space="preserve">MSAC </w:t>
      </w:r>
      <w:r w:rsidR="00BC1C9D">
        <w:t>advised that testing methodology using</w:t>
      </w:r>
      <w:r w:rsidR="00C11334">
        <w:t>:</w:t>
      </w:r>
    </w:p>
    <w:p w14:paraId="2EBB69E9" w14:textId="4931354F" w:rsidR="006E7076" w:rsidRPr="006E7076" w:rsidRDefault="00B264AB" w:rsidP="00C11334">
      <w:pPr>
        <w:pStyle w:val="ListParagraph"/>
        <w:numPr>
          <w:ilvl w:val="0"/>
          <w:numId w:val="32"/>
        </w:numPr>
      </w:pPr>
      <w:r>
        <w:t xml:space="preserve">DNA </w:t>
      </w:r>
      <w:r w:rsidR="001B3D31">
        <w:t>and</w:t>
      </w:r>
      <w:r>
        <w:t xml:space="preserve"> RNA </w:t>
      </w:r>
      <w:r w:rsidR="00140806">
        <w:t xml:space="preserve">should </w:t>
      </w:r>
      <w:r w:rsidR="00BC1C9D">
        <w:t>be specified</w:t>
      </w:r>
      <w:r>
        <w:t xml:space="preserve"> in the MBS item descriptor</w:t>
      </w:r>
      <w:r w:rsidR="006E7076">
        <w:t>s for NGS panel testing (myeloid: AAAA; and lymphoid: BBBB)</w:t>
      </w:r>
      <w:r w:rsidR="00D55AEA">
        <w:t>,</w:t>
      </w:r>
      <w:r>
        <w:t xml:space="preserve"> </w:t>
      </w:r>
      <w:r w:rsidR="002B0E6D">
        <w:t xml:space="preserve">and </w:t>
      </w:r>
      <w:r w:rsidR="002B0E6D" w:rsidRPr="00C11334">
        <w:rPr>
          <w:szCs w:val="22"/>
        </w:rPr>
        <w:t>agreed to increase the 85% benefit from the proposed $840 to $1</w:t>
      </w:r>
      <w:r w:rsidR="00713099" w:rsidRPr="00C11334">
        <w:rPr>
          <w:szCs w:val="22"/>
        </w:rPr>
        <w:t>,</w:t>
      </w:r>
      <w:r w:rsidR="002B0E6D" w:rsidRPr="00C11334">
        <w:rPr>
          <w:szCs w:val="22"/>
        </w:rPr>
        <w:t>00</w:t>
      </w:r>
      <w:r w:rsidR="00E94300" w:rsidRPr="00C11334">
        <w:rPr>
          <w:szCs w:val="22"/>
        </w:rPr>
        <w:t>6.80</w:t>
      </w:r>
      <w:r w:rsidR="00713099" w:rsidRPr="00C11334">
        <w:rPr>
          <w:szCs w:val="22"/>
        </w:rPr>
        <w:t xml:space="preserve"> (</w:t>
      </w:r>
      <w:r w:rsidR="00C11334">
        <w:rPr>
          <w:szCs w:val="22"/>
        </w:rPr>
        <w:t>Fee=</w:t>
      </w:r>
      <w:r w:rsidR="00713099" w:rsidRPr="00C11334">
        <w:rPr>
          <w:szCs w:val="22"/>
        </w:rPr>
        <w:t>$1,</w:t>
      </w:r>
      <w:r w:rsidR="002060CE" w:rsidRPr="00C11334">
        <w:rPr>
          <w:szCs w:val="22"/>
        </w:rPr>
        <w:t>100</w:t>
      </w:r>
      <w:r w:rsidR="00713099" w:rsidRPr="00C11334">
        <w:rPr>
          <w:szCs w:val="22"/>
        </w:rPr>
        <w:t>)</w:t>
      </w:r>
      <w:r w:rsidR="006E7076">
        <w:rPr>
          <w:szCs w:val="22"/>
        </w:rPr>
        <w:t xml:space="preserve"> to reflect the increased </w:t>
      </w:r>
      <w:r w:rsidR="00FD12C0">
        <w:rPr>
          <w:szCs w:val="22"/>
        </w:rPr>
        <w:t xml:space="preserve">scope </w:t>
      </w:r>
      <w:r w:rsidR="006E7076">
        <w:rPr>
          <w:szCs w:val="22"/>
        </w:rPr>
        <w:t>of testing</w:t>
      </w:r>
      <w:r w:rsidR="002B0E6D" w:rsidRPr="00C11334">
        <w:rPr>
          <w:szCs w:val="22"/>
        </w:rPr>
        <w:t xml:space="preserve"> </w:t>
      </w:r>
    </w:p>
    <w:p w14:paraId="770B2DEA" w14:textId="3AB1AE92" w:rsidR="006E7076" w:rsidRPr="006E7076" w:rsidRDefault="006E7076" w:rsidP="00C11334">
      <w:pPr>
        <w:pStyle w:val="ListParagraph"/>
        <w:numPr>
          <w:ilvl w:val="0"/>
          <w:numId w:val="32"/>
        </w:numPr>
      </w:pPr>
      <w:r>
        <w:t xml:space="preserve">DNA should be specified in the MBS item </w:t>
      </w:r>
      <w:r w:rsidRPr="00AB118A">
        <w:t>descriptor</w:t>
      </w:r>
      <w:r>
        <w:t>s</w:t>
      </w:r>
      <w:r w:rsidRPr="00AB118A">
        <w:t xml:space="preserve"> for NGS panel testing</w:t>
      </w:r>
      <w:r>
        <w:t xml:space="preserve"> (myeloid: CCCC; and lymphoid: DDDD)</w:t>
      </w:r>
      <w:r w:rsidRPr="00AB118A">
        <w:t xml:space="preserve"> at the agreed</w:t>
      </w:r>
      <w:r>
        <w:t xml:space="preserve"> revised</w:t>
      </w:r>
      <w:r w:rsidRPr="00AB118A">
        <w:t xml:space="preserve"> fee of </w:t>
      </w:r>
      <w:r w:rsidRPr="00AB118A">
        <w:rPr>
          <w:szCs w:val="20"/>
        </w:rPr>
        <w:t>$927.90 (85%</w:t>
      </w:r>
      <w:r>
        <w:rPr>
          <w:szCs w:val="20"/>
        </w:rPr>
        <w:t xml:space="preserve"> Benefit</w:t>
      </w:r>
      <w:r w:rsidRPr="00AB118A">
        <w:rPr>
          <w:szCs w:val="20"/>
        </w:rPr>
        <w:t>=$840)</w:t>
      </w:r>
      <w:r>
        <w:rPr>
          <w:szCs w:val="20"/>
        </w:rPr>
        <w:t>.</w:t>
      </w:r>
    </w:p>
    <w:p w14:paraId="4D82F500" w14:textId="2F3EA287" w:rsidR="006E7076" w:rsidRPr="006E7076" w:rsidRDefault="006E7076" w:rsidP="008B177F">
      <w:r w:rsidRPr="006E7076">
        <w:t xml:space="preserve">MSAC considered </w:t>
      </w:r>
      <w:r w:rsidR="009613F3">
        <w:t xml:space="preserve">that by </w:t>
      </w:r>
      <w:r w:rsidR="005D49CC">
        <w:t>providing a subsidy for two options</w:t>
      </w:r>
      <w:r w:rsidR="00237413">
        <w:t xml:space="preserve"> (DNA and RNA OR DNA only)</w:t>
      </w:r>
      <w:r w:rsidR="005D49CC">
        <w:t xml:space="preserve"> it would allow laboratories time to </w:t>
      </w:r>
      <w:r w:rsidR="00237413">
        <w:t>develop testing capability for both</w:t>
      </w:r>
      <w:r w:rsidRPr="006E7076">
        <w:t xml:space="preserve"> DNA and RNA</w:t>
      </w:r>
      <w:r w:rsidR="00237413">
        <w:t xml:space="preserve">. </w:t>
      </w:r>
      <w:r w:rsidRPr="006E7076">
        <w:t>MSAC also considered that</w:t>
      </w:r>
      <w:r w:rsidR="00FD12C0">
        <w:t xml:space="preserve"> </w:t>
      </w:r>
      <w:r w:rsidR="00237413">
        <w:t>access to</w:t>
      </w:r>
      <w:r w:rsidRPr="006E7076">
        <w:t xml:space="preserve"> DNA-only </w:t>
      </w:r>
      <w:r w:rsidR="00237413">
        <w:t xml:space="preserve">testing </w:t>
      </w:r>
      <w:r w:rsidRPr="006E7076">
        <w:t>items could be time-limited to permit</w:t>
      </w:r>
      <w:r w:rsidR="009D1DA6">
        <w:t xml:space="preserve"> </w:t>
      </w:r>
      <w:r w:rsidR="00237413">
        <w:t>laboratories</w:t>
      </w:r>
      <w:r w:rsidRPr="006E7076">
        <w:t xml:space="preserve"> to upscale</w:t>
      </w:r>
      <w:r w:rsidR="009D1DA6">
        <w:t xml:space="preserve"> capability. </w:t>
      </w:r>
      <w:r w:rsidR="001B6EFB">
        <w:t>The greater</w:t>
      </w:r>
      <w:r w:rsidR="009D1DA6">
        <w:t xml:space="preserve"> complexity of DNA and RNA testing</w:t>
      </w:r>
      <w:r w:rsidR="001B6EFB">
        <w:t xml:space="preserve"> justified the higher benefit than</w:t>
      </w:r>
      <w:r w:rsidR="009D1DA6">
        <w:t xml:space="preserve"> DNA </w:t>
      </w:r>
      <w:r w:rsidR="001B6EFB">
        <w:t xml:space="preserve">only </w:t>
      </w:r>
      <w:r w:rsidR="009D1DA6">
        <w:t>testing</w:t>
      </w:r>
      <w:r w:rsidR="001B6EFB">
        <w:t xml:space="preserve">. </w:t>
      </w:r>
    </w:p>
    <w:p w14:paraId="400D7A4E" w14:textId="7A468F6D" w:rsidR="00B264AB" w:rsidRDefault="00B264AB" w:rsidP="006E7076">
      <w:r>
        <w:t>MSAC acknowledged that many laboratories would not yet have the capacity to perform RNA-fusion testing, but noted the technology is improving rapidly and considered it would not take long for laboratories to ad</w:t>
      </w:r>
      <w:r w:rsidR="00D55AEA">
        <w:t>o</w:t>
      </w:r>
      <w:r>
        <w:t>pt</w:t>
      </w:r>
      <w:r w:rsidR="00EE4733">
        <w:t xml:space="preserve"> this technique</w:t>
      </w:r>
      <w:r>
        <w:t xml:space="preserve">. MSAC also acknowledged that RNA can be more difficult to isolate from sources such as solid tissue and paraffin-embedded </w:t>
      </w:r>
      <w:proofErr w:type="gramStart"/>
      <w:r>
        <w:t>tissue, but</w:t>
      </w:r>
      <w:proofErr w:type="gramEnd"/>
      <w:r>
        <w:t xml:space="preserve"> did not consider this to be a valid reason to exclude the option of RNA testing</w:t>
      </w:r>
      <w:r w:rsidR="00EE4733">
        <w:t xml:space="preserve"> from the MBS items</w:t>
      </w:r>
      <w:r>
        <w:t>.</w:t>
      </w:r>
    </w:p>
    <w:p w14:paraId="6019E996" w14:textId="435C3DD6" w:rsidR="00B264AB" w:rsidRDefault="00B264AB" w:rsidP="00B264AB">
      <w:r>
        <w:t xml:space="preserve">MSAC considered that a pathology laboratory would follow a standardised test directory </w:t>
      </w:r>
      <w:r w:rsidR="00E73D8F">
        <w:t>and</w:t>
      </w:r>
      <w:r w:rsidR="00E73D8F" w:rsidRPr="00356445">
        <w:rPr>
          <w:szCs w:val="22"/>
        </w:rPr>
        <w:t xml:space="preserve"> proposed the inclusion of a practice note referring to ‘appropriate international guidelines’</w:t>
      </w:r>
      <w:r w:rsidR="00E73D8F">
        <w:rPr>
          <w:szCs w:val="22"/>
        </w:rPr>
        <w:t xml:space="preserve"> (</w:t>
      </w:r>
      <w:r w:rsidR="00A56BE7">
        <w:rPr>
          <w:szCs w:val="22"/>
        </w:rPr>
        <w:t>such as the</w:t>
      </w:r>
      <w:r w:rsidR="00E73D8F">
        <w:rPr>
          <w:szCs w:val="22"/>
        </w:rPr>
        <w:t xml:space="preserve"> WHO 5</w:t>
      </w:r>
      <w:r w:rsidR="00E73D8F" w:rsidRPr="00020E89">
        <w:rPr>
          <w:szCs w:val="22"/>
          <w:vertAlign w:val="superscript"/>
        </w:rPr>
        <w:t>th</w:t>
      </w:r>
      <w:r w:rsidR="00E73D8F">
        <w:rPr>
          <w:szCs w:val="22"/>
        </w:rPr>
        <w:t xml:space="preserve"> edition) to determine which genes to include on </w:t>
      </w:r>
      <w:r w:rsidR="00EE4733">
        <w:rPr>
          <w:szCs w:val="22"/>
        </w:rPr>
        <w:t xml:space="preserve">each </w:t>
      </w:r>
      <w:r w:rsidR="00E73D8F">
        <w:rPr>
          <w:szCs w:val="22"/>
        </w:rPr>
        <w:t>panel</w:t>
      </w:r>
      <w:r w:rsidR="00A56BE7">
        <w:rPr>
          <w:szCs w:val="22"/>
        </w:rPr>
        <w:t xml:space="preserve">. MSAC did not consider it appropriate to specify </w:t>
      </w:r>
      <w:proofErr w:type="gramStart"/>
      <w:r w:rsidR="00E73D8F" w:rsidRPr="00356445">
        <w:rPr>
          <w:szCs w:val="22"/>
        </w:rPr>
        <w:t>particular gene</w:t>
      </w:r>
      <w:r w:rsidR="00140806">
        <w:rPr>
          <w:szCs w:val="22"/>
        </w:rPr>
        <w:t>s</w:t>
      </w:r>
      <w:proofErr w:type="gramEnd"/>
      <w:r w:rsidR="00A56BE7">
        <w:rPr>
          <w:szCs w:val="22"/>
        </w:rPr>
        <w:t xml:space="preserve"> given the </w:t>
      </w:r>
      <w:r w:rsidR="002D3E5C">
        <w:rPr>
          <w:szCs w:val="22"/>
        </w:rPr>
        <w:t>rapid evolution of knowledge in this field.</w:t>
      </w:r>
      <w:r w:rsidR="00E73D8F" w:rsidRPr="00356445">
        <w:rPr>
          <w:szCs w:val="22"/>
        </w:rPr>
        <w:t xml:space="preserve"> </w:t>
      </w:r>
      <w:r w:rsidR="00EE4733">
        <w:t xml:space="preserve">It was </w:t>
      </w:r>
      <w:r w:rsidR="00EE4733">
        <w:lastRenderedPageBreak/>
        <w:t>assumed that c</w:t>
      </w:r>
      <w:r>
        <w:t xml:space="preserve">linicians will send samples to </w:t>
      </w:r>
      <w:r w:rsidR="00B714FF">
        <w:t xml:space="preserve">a </w:t>
      </w:r>
      <w:r>
        <w:t xml:space="preserve">laboratory that </w:t>
      </w:r>
      <w:r w:rsidR="00B714FF">
        <w:t xml:space="preserve">offers </w:t>
      </w:r>
      <w:r w:rsidR="000910CE">
        <w:t>a</w:t>
      </w:r>
      <w:r>
        <w:t xml:space="preserve"> gene panel best suit</w:t>
      </w:r>
      <w:r w:rsidR="0059006E">
        <w:t>ed to a</w:t>
      </w:r>
      <w:r>
        <w:t xml:space="preserve"> patient’s clinical situation.</w:t>
      </w:r>
    </w:p>
    <w:p w14:paraId="5D2304DE" w14:textId="301B60A1" w:rsidR="00B264AB" w:rsidRDefault="00B264AB" w:rsidP="00B264AB">
      <w:r>
        <w:t>MSAC considered that the MBS item</w:t>
      </w:r>
      <w:r w:rsidR="00AF355E">
        <w:t>s</w:t>
      </w:r>
      <w:r>
        <w:t xml:space="preserve"> should not be pathologist</w:t>
      </w:r>
      <w:r w:rsidR="00140806">
        <w:t>-</w:t>
      </w:r>
      <w:r>
        <w:t xml:space="preserve">determinable, as the genetic testing should be </w:t>
      </w:r>
      <w:r w:rsidR="002D3E5C">
        <w:t xml:space="preserve">determined </w:t>
      </w:r>
      <w:r>
        <w:t xml:space="preserve">by the </w:t>
      </w:r>
      <w:r w:rsidR="00E73D8F">
        <w:t xml:space="preserve">treating </w:t>
      </w:r>
      <w:r>
        <w:t>clinician</w:t>
      </w:r>
      <w:r w:rsidR="00140806">
        <w:t xml:space="preserve"> in discussion with the patient</w:t>
      </w:r>
      <w:r>
        <w:t xml:space="preserve">. MSAC </w:t>
      </w:r>
      <w:r w:rsidR="00D132DF">
        <w:t xml:space="preserve">also </w:t>
      </w:r>
      <w:r>
        <w:t xml:space="preserve">considered that utilisation would </w:t>
      </w:r>
      <w:r w:rsidR="00140806">
        <w:t xml:space="preserve">be higher </w:t>
      </w:r>
      <w:r>
        <w:t xml:space="preserve">if the MBS item was </w:t>
      </w:r>
      <w:proofErr w:type="gramStart"/>
      <w:r>
        <w:t>pathologist</w:t>
      </w:r>
      <w:r w:rsidR="00140806">
        <w:t>-</w:t>
      </w:r>
      <w:r>
        <w:t>determinable</w:t>
      </w:r>
      <w:proofErr w:type="gramEnd"/>
      <w:r>
        <w:t xml:space="preserve">. MSAC </w:t>
      </w:r>
      <w:r w:rsidR="001B3D52">
        <w:t xml:space="preserve">advised </w:t>
      </w:r>
      <w:r>
        <w:t xml:space="preserve">reviewing </w:t>
      </w:r>
      <w:r w:rsidR="002D3E5C">
        <w:t xml:space="preserve">the utilisation of these items </w:t>
      </w:r>
      <w:r>
        <w:t xml:space="preserve">in two years to ensure </w:t>
      </w:r>
      <w:r w:rsidR="00140806">
        <w:t xml:space="preserve">that </w:t>
      </w:r>
      <w:r w:rsidR="009B4927">
        <w:t xml:space="preserve">testing was being adopted at the expected rate. </w:t>
      </w:r>
    </w:p>
    <w:p w14:paraId="237EAFA3" w14:textId="468BEF7D" w:rsidR="00B264AB" w:rsidRDefault="00B264AB" w:rsidP="00B264AB">
      <w:r>
        <w:t xml:space="preserve">MSAC </w:t>
      </w:r>
      <w:r w:rsidR="00BC67EE">
        <w:t xml:space="preserve">accepted </w:t>
      </w:r>
      <w:r>
        <w:t>the clinical management algorithm</w:t>
      </w:r>
      <w:r w:rsidR="00140806">
        <w:t>,</w:t>
      </w:r>
      <w:r w:rsidR="00BC67EE">
        <w:t xml:space="preserve"> noting that NGS </w:t>
      </w:r>
      <w:r w:rsidR="00140806">
        <w:t xml:space="preserve">panel </w:t>
      </w:r>
      <w:r w:rsidR="00BC67EE">
        <w:t xml:space="preserve">testing may be performed </w:t>
      </w:r>
      <w:r w:rsidR="001B3D52">
        <w:t>earlier</w:t>
      </w:r>
      <w:r w:rsidR="005A007C">
        <w:t xml:space="preserve"> </w:t>
      </w:r>
      <w:r w:rsidR="00BC67EE">
        <w:t>(given it provides more diagnostic certainty</w:t>
      </w:r>
      <w:r w:rsidR="005A007C">
        <w:t xml:space="preserve">) </w:t>
      </w:r>
      <w:r w:rsidR="00BC67EE">
        <w:t>or later</w:t>
      </w:r>
      <w:r w:rsidR="00535D4B">
        <w:t xml:space="preserve"> in the treatment algorithm</w:t>
      </w:r>
      <w:r w:rsidR="0059006E">
        <w:t>,</w:t>
      </w:r>
      <w:r w:rsidR="005A007C">
        <w:t xml:space="preserve"> but this would</w:t>
      </w:r>
      <w:r w:rsidR="00BC67EE">
        <w:t xml:space="preserve"> depend on the clinical context</w:t>
      </w:r>
      <w:r w:rsidR="005A007C">
        <w:t>.</w:t>
      </w:r>
    </w:p>
    <w:p w14:paraId="4E24C4C6" w14:textId="5EE8AB7C" w:rsidR="00B264AB" w:rsidRDefault="00B264AB" w:rsidP="00B264AB">
      <w:r>
        <w:t>MSAC noted that the comparator was</w:t>
      </w:r>
      <w:r w:rsidRPr="00C546C7">
        <w:t xml:space="preserve"> no</w:t>
      </w:r>
      <w:r w:rsidR="00C546C7" w:rsidRPr="00C546C7">
        <w:t>t</w:t>
      </w:r>
      <w:r>
        <w:t xml:space="preserve"> NGS </w:t>
      </w:r>
      <w:r w:rsidR="00140806">
        <w:t xml:space="preserve">panel </w:t>
      </w:r>
      <w:r>
        <w:t xml:space="preserve">testing. MSAC noted that there are existing MBS items for genetic </w:t>
      </w:r>
      <w:r w:rsidR="004C6BA8">
        <w:t xml:space="preserve">testing </w:t>
      </w:r>
      <w:r w:rsidR="00E222F0">
        <w:t xml:space="preserve">including cytogenetic testing including fluorescent in situ hybridisation [FISH] </w:t>
      </w:r>
      <w:r w:rsidR="004C6BA8">
        <w:t xml:space="preserve">in </w:t>
      </w:r>
      <w:r w:rsidR="00484513">
        <w:t xml:space="preserve">the setting of </w:t>
      </w:r>
      <w:r>
        <w:t>haematological malignancy</w:t>
      </w:r>
      <w:r w:rsidR="004C6BA8">
        <w:t>.</w:t>
      </w:r>
      <w:r>
        <w:t xml:space="preserve"> MSAC noted the lack of direct comparative evidence for cumulative yield from other existing genetic tests </w:t>
      </w:r>
      <w:r w:rsidR="00CC498F">
        <w:t xml:space="preserve">that are MBS reimbursed </w:t>
      </w:r>
      <w:r>
        <w:t>and that the cost of the comparator would depend on the clinical context, which is complicated due to the heterogenous patient population. MSAC considered it pragmatic to assume that the costs of any comparative profiling would be considerable.</w:t>
      </w:r>
    </w:p>
    <w:p w14:paraId="739DC17C" w14:textId="29B24976" w:rsidR="00B264AB" w:rsidRDefault="00B264AB" w:rsidP="00B264AB">
      <w:r>
        <w:t xml:space="preserve">MSAC noted that the Department-contracted assessment report’s (DCAR’s) data came from three studies comprising prospective and retrospective case series for the myeloid panel, and three studies comprising retrospective case series for the lymphoid panel. MSAC noted that the studies </w:t>
      </w:r>
      <w:r w:rsidR="00640D07">
        <w:t>were</w:t>
      </w:r>
      <w:r w:rsidR="002A127E">
        <w:t xml:space="preserve"> </w:t>
      </w:r>
      <w:r>
        <w:t>at moderate risk of bias but demonstrated that NGS panel testing has superior effectiveness and non-inferior safety compared with no NGS panel testing.</w:t>
      </w:r>
    </w:p>
    <w:p w14:paraId="06149EEC" w14:textId="1F07AF9B" w:rsidR="00B264AB" w:rsidRDefault="00B264AB" w:rsidP="00B264AB">
      <w:r>
        <w:t xml:space="preserve">MSAC noted that ‘clinically informative’ outcomes tended to be reported independently in </w:t>
      </w:r>
      <w:proofErr w:type="gramStart"/>
      <w:r>
        <w:t>studies, but</w:t>
      </w:r>
      <w:proofErr w:type="gramEnd"/>
      <w:r>
        <w:t xml:space="preserve"> considered it highly likely that many study subjects would have experienced one </w:t>
      </w:r>
      <w:r w:rsidR="0059006E">
        <w:t xml:space="preserve">or more </w:t>
      </w:r>
      <w:r>
        <w:t>clinically informative outcome</w:t>
      </w:r>
      <w:r w:rsidR="0059006E">
        <w:t>s</w:t>
      </w:r>
      <w:r>
        <w:t xml:space="preserve"> (even for one gene variant). MSAC also considered that not all changes in management are equal</w:t>
      </w:r>
      <w:r w:rsidR="00FA66E1">
        <w:t>:</w:t>
      </w:r>
      <w:r>
        <w:t xml:space="preserve"> for example, </w:t>
      </w:r>
      <w:r w:rsidR="0059006E">
        <w:t>in lymphoid NGS panel studies</w:t>
      </w:r>
      <w:r w:rsidR="00C546C7">
        <w:t>,</w:t>
      </w:r>
      <w:r w:rsidR="0059006E">
        <w:t xml:space="preserve"> </w:t>
      </w:r>
      <w:r>
        <w:t xml:space="preserve">malignant diagnoses were often overturned, and for myeloid malignancies the </w:t>
      </w:r>
      <w:r w:rsidR="0059006E">
        <w:t>use of an</w:t>
      </w:r>
      <w:r>
        <w:t xml:space="preserve"> NGS panel was associated with substantial changes in prognosis and treatment options.</w:t>
      </w:r>
    </w:p>
    <w:p w14:paraId="6021745C" w14:textId="10EDF448" w:rsidR="00B264AB" w:rsidRDefault="00B264AB" w:rsidP="00B264AB">
      <w:r>
        <w:t xml:space="preserve">MSAC considered that the main safety issue is the unintended identification of germline variants. Without NGS panel testing, clinically significant variants will not be </w:t>
      </w:r>
      <w:proofErr w:type="gramStart"/>
      <w:r>
        <w:t>detected</w:t>
      </w:r>
      <w:proofErr w:type="gramEnd"/>
      <w:r>
        <w:t xml:space="preserve"> and patients may be treated with therapies that are considered inferior. </w:t>
      </w:r>
      <w:r w:rsidR="00C602A0">
        <w:t xml:space="preserve">In addition, </w:t>
      </w:r>
      <w:r>
        <w:t>MSAC considered that panel</w:t>
      </w:r>
      <w:r w:rsidR="00640D07">
        <w:t xml:space="preserve"> testing a small number of</w:t>
      </w:r>
      <w:r w:rsidR="00C602A0">
        <w:t xml:space="preserve"> </w:t>
      </w:r>
      <w:r w:rsidR="00640D07">
        <w:t>genes</w:t>
      </w:r>
      <w:r>
        <w:t xml:space="preserve"> </w:t>
      </w:r>
      <w:r w:rsidR="00640D07">
        <w:t xml:space="preserve">could </w:t>
      </w:r>
      <w:r>
        <w:t xml:space="preserve">miss some very rare diagnoses </w:t>
      </w:r>
      <w:r w:rsidR="00640D07">
        <w:t xml:space="preserve">and </w:t>
      </w:r>
      <w:r>
        <w:t>may also be a safety issue. However, MSAC considered that the benefits of NGS testing likely outweigh any safety issues.</w:t>
      </w:r>
    </w:p>
    <w:p w14:paraId="7E79E933" w14:textId="4F080AD1" w:rsidR="00B264AB" w:rsidRDefault="00B264AB" w:rsidP="00B264AB">
      <w:r>
        <w:t>MSAC noted that the economic evaluation was a cost-effectiveness analysis. MSAC noted that the DCAR did not attempt to model test-to-health outcomes; rather, the DCAR summarised “clinically informative” results. The reported incremental cost-effectiveness ratios (ICERs) were $</w:t>
      </w:r>
      <w:r w:rsidR="00113262">
        <w:t xml:space="preserve">1,300 per </w:t>
      </w:r>
      <w:r w:rsidR="00D01192" w:rsidRPr="00D01192">
        <w:t>result that altered diagnosis including subclassification, prognosis and/or treatment</w:t>
      </w:r>
      <w:r w:rsidR="00113262">
        <w:t xml:space="preserve"> </w:t>
      </w:r>
      <w:r>
        <w:t>to $</w:t>
      </w:r>
      <w:r w:rsidR="005A0FB8">
        <w:t>63</w:t>
      </w:r>
      <w:r>
        <w:t>,000 per change in diagnosis</w:t>
      </w:r>
      <w:r w:rsidR="00D01192">
        <w:t xml:space="preserve"> alone</w:t>
      </w:r>
      <w:r w:rsidR="005A007C">
        <w:t xml:space="preserve"> (based on an MBS fee </w:t>
      </w:r>
      <w:r w:rsidR="005A0FB8">
        <w:t>f</w:t>
      </w:r>
      <w:r w:rsidR="00113262">
        <w:t>or</w:t>
      </w:r>
      <w:r w:rsidR="005A0FB8">
        <w:t xml:space="preserve"> DNA and RNA testing </w:t>
      </w:r>
      <w:r w:rsidR="005A007C">
        <w:t>of $</w:t>
      </w:r>
      <w:r w:rsidR="005A0FB8">
        <w:t>1,100</w:t>
      </w:r>
      <w:r w:rsidR="005A007C">
        <w:t>)</w:t>
      </w:r>
      <w:r>
        <w:t xml:space="preserve">. MSAC noted that the ICERs were </w:t>
      </w:r>
      <w:r w:rsidR="00606080">
        <w:t xml:space="preserve">most </w:t>
      </w:r>
      <w:r>
        <w:t>favourable when diagnosis</w:t>
      </w:r>
      <w:r w:rsidR="000D299A">
        <w:t xml:space="preserve"> and</w:t>
      </w:r>
      <w:r>
        <w:t xml:space="preserve"> prognosis</w:t>
      </w:r>
      <w:r w:rsidR="000D299A">
        <w:t xml:space="preserve"> and </w:t>
      </w:r>
      <w:r>
        <w:t>treatment</w:t>
      </w:r>
      <w:r w:rsidR="000D299A">
        <w:t>/</w:t>
      </w:r>
      <w:r>
        <w:t xml:space="preserve">management were considered, </w:t>
      </w:r>
      <w:r w:rsidR="003242AB">
        <w:t xml:space="preserve">but advised that </w:t>
      </w:r>
      <w:r w:rsidR="000D299A">
        <w:t xml:space="preserve">the </w:t>
      </w:r>
      <w:r w:rsidR="003242AB">
        <w:t xml:space="preserve">ICERS </w:t>
      </w:r>
      <w:r w:rsidR="000D299A">
        <w:t>based on th</w:t>
      </w:r>
      <w:r w:rsidR="009A7A06">
        <w:t xml:space="preserve">ese </w:t>
      </w:r>
      <w:r w:rsidR="009A7A06" w:rsidRPr="00F60AC2">
        <w:rPr>
          <w:i/>
          <w:iCs/>
        </w:rPr>
        <w:t>post hoc</w:t>
      </w:r>
      <w:r w:rsidR="009A7A06">
        <w:t xml:space="preserve"> combined outcomes were not reliable for decision-making </w:t>
      </w:r>
      <w:r w:rsidR="00950F19">
        <w:t>as the</w:t>
      </w:r>
      <w:r w:rsidR="00C43783">
        <w:t xml:space="preserve"> </w:t>
      </w:r>
      <w:r w:rsidR="00950F19">
        <w:t xml:space="preserve">numerator </w:t>
      </w:r>
      <w:r w:rsidR="00C43783">
        <w:t xml:space="preserve">was </w:t>
      </w:r>
      <w:r w:rsidR="00E14197">
        <w:t xml:space="preserve">not reported in any study but was </w:t>
      </w:r>
      <w:r w:rsidR="008F001D">
        <w:t>derived</w:t>
      </w:r>
      <w:r w:rsidR="00E14197">
        <w:t xml:space="preserve"> by the DCAR</w:t>
      </w:r>
      <w:r w:rsidR="008F001D">
        <w:t xml:space="preserve"> as the</w:t>
      </w:r>
      <w:r w:rsidR="003548BF">
        <w:t xml:space="preserve"> sum of </w:t>
      </w:r>
      <w:r w:rsidR="008F001D">
        <w:t>all the</w:t>
      </w:r>
      <w:r w:rsidR="00C43783">
        <w:t xml:space="preserve"> </w:t>
      </w:r>
      <w:r w:rsidR="003548BF">
        <w:t>individually reported</w:t>
      </w:r>
      <w:r w:rsidR="00C43783">
        <w:t xml:space="preserve"> test results rather than the </w:t>
      </w:r>
      <w:r w:rsidR="003548BF">
        <w:t xml:space="preserve">number </w:t>
      </w:r>
      <w:r w:rsidR="00C43783">
        <w:t xml:space="preserve">of patients with </w:t>
      </w:r>
      <w:r w:rsidR="003548BF">
        <w:t>at least one clinically informative result</w:t>
      </w:r>
      <w:r w:rsidR="008F001D">
        <w:t xml:space="preserve"> (i.e. the </w:t>
      </w:r>
      <w:r w:rsidR="000934E0">
        <w:t xml:space="preserve">ICERs based on the ‘combined outcome’ did not account for </w:t>
      </w:r>
      <w:r w:rsidR="00E14197">
        <w:t>multiple clinically informative results at a patient level).</w:t>
      </w:r>
      <w:r w:rsidR="003548BF">
        <w:t xml:space="preserve"> </w:t>
      </w:r>
      <w:r w:rsidR="00C43783">
        <w:t xml:space="preserve"> </w:t>
      </w:r>
      <w:r>
        <w:t>If the ICERs were based on “diagnostic yield” only</w:t>
      </w:r>
      <w:r w:rsidR="0014254A">
        <w:t xml:space="preserve"> and reporting the proportion of patients who experienced the relevant value</w:t>
      </w:r>
      <w:r w:rsidR="00C43783">
        <w:t>,</w:t>
      </w:r>
      <w:r>
        <w:t xml:space="preserve"> then they may be between $</w:t>
      </w:r>
      <w:r w:rsidR="00113262" w:rsidRPr="00F60AC2">
        <w:t>3,019</w:t>
      </w:r>
      <w:r>
        <w:t xml:space="preserve"> and $</w:t>
      </w:r>
      <w:r w:rsidR="00113262">
        <w:t>19,014</w:t>
      </w:r>
      <w:r w:rsidR="00414AD7">
        <w:t xml:space="preserve"> for myeloid neoplasms</w:t>
      </w:r>
      <w:r>
        <w:t xml:space="preserve"> </w:t>
      </w:r>
      <w:r w:rsidR="00414AD7">
        <w:t>and $</w:t>
      </w:r>
      <w:r w:rsidR="00113262" w:rsidRPr="00F60AC2">
        <w:t>1,758</w:t>
      </w:r>
      <w:r w:rsidR="00414AD7">
        <w:t xml:space="preserve"> to $</w:t>
      </w:r>
      <w:r w:rsidR="00113262" w:rsidRPr="00F60AC2">
        <w:t>10,496</w:t>
      </w:r>
      <w:r w:rsidR="00414AD7">
        <w:t xml:space="preserve"> for lymphoid neoplasms</w:t>
      </w:r>
      <w:r w:rsidR="00D132DF">
        <w:t xml:space="preserve"> (based on an MBS fee of $</w:t>
      </w:r>
      <w:r w:rsidR="00D132DF" w:rsidRPr="00F60AC2">
        <w:t>1,100</w:t>
      </w:r>
      <w:r w:rsidR="00D132DF">
        <w:t>)</w:t>
      </w:r>
      <w:r w:rsidR="00414AD7">
        <w:t xml:space="preserve">. </w:t>
      </w:r>
      <w:r>
        <w:t>If the ICERs were based on “impact on diagnosis, prognosis and/or treatment planning”,</w:t>
      </w:r>
      <w:r w:rsidR="00C43783" w:rsidRPr="00C43783">
        <w:t xml:space="preserve"> </w:t>
      </w:r>
      <w:r>
        <w:t xml:space="preserve">then they </w:t>
      </w:r>
      <w:r w:rsidR="00A01014">
        <w:t>are</w:t>
      </w:r>
      <w:r>
        <w:t xml:space="preserve"> </w:t>
      </w:r>
      <w:r w:rsidR="0004534F">
        <w:t xml:space="preserve">more favourable and </w:t>
      </w:r>
      <w:r w:rsidR="00A01014">
        <w:t>may be</w:t>
      </w:r>
      <w:r w:rsidR="00982F22">
        <w:t xml:space="preserve"> </w:t>
      </w:r>
      <w:r>
        <w:t>between $</w:t>
      </w:r>
      <w:r w:rsidR="00113262" w:rsidRPr="00F60AC2">
        <w:t>1,546</w:t>
      </w:r>
      <w:r>
        <w:t xml:space="preserve"> </w:t>
      </w:r>
      <w:r w:rsidR="00414AD7">
        <w:t xml:space="preserve">to </w:t>
      </w:r>
      <w:r>
        <w:t>$</w:t>
      </w:r>
      <w:r w:rsidR="00113262">
        <w:t>2,126</w:t>
      </w:r>
      <w:r w:rsidR="00414AD7">
        <w:t xml:space="preserve"> for myeloid neoplasms and $</w:t>
      </w:r>
      <w:r w:rsidR="00113262" w:rsidRPr="00F60AC2">
        <w:t>2,128</w:t>
      </w:r>
      <w:r w:rsidR="00414AD7">
        <w:t xml:space="preserve"> for lymphoid neoplasms</w:t>
      </w:r>
      <w:r w:rsidR="00D132DF">
        <w:t xml:space="preserve"> (based on an MBS fee of $1,100)</w:t>
      </w:r>
      <w:r>
        <w:t xml:space="preserve">. However, MSAC considered the ICERs to be of limited value for decision making due to the heterogenous and overlapping populations, </w:t>
      </w:r>
      <w:r>
        <w:lastRenderedPageBreak/>
        <w:t xml:space="preserve">and the lack of synthesised evidence, but noted the ICERs were consistent with the approach taken in other somatic gene panel applications, reflecting </w:t>
      </w:r>
      <w:r w:rsidR="008350AF">
        <w:t xml:space="preserve">the </w:t>
      </w:r>
      <w:r>
        <w:t>multiplicity of test purpose</w:t>
      </w:r>
      <w:r w:rsidR="008350AF">
        <w:t>s</w:t>
      </w:r>
      <w:r>
        <w:t>.</w:t>
      </w:r>
    </w:p>
    <w:p w14:paraId="25F44C6E" w14:textId="5BE7951E" w:rsidR="00B264AB" w:rsidRDefault="00B264AB" w:rsidP="00B264AB">
      <w:pPr>
        <w:rPr>
          <w:szCs w:val="22"/>
        </w:rPr>
      </w:pPr>
      <w:r>
        <w:t xml:space="preserve">MSAC noted that the net total cost of NGS-based gene panel testing for approximately 10,000 individuals in </w:t>
      </w:r>
      <w:r w:rsidR="00144D9E">
        <w:t>Y</w:t>
      </w:r>
      <w:r>
        <w:t>ear 1 is estimated to be $</w:t>
      </w:r>
      <w:r w:rsidR="00065A3C">
        <w:t>6.8</w:t>
      </w:r>
      <w:r>
        <w:t> million</w:t>
      </w:r>
      <w:r w:rsidR="00DD41E6">
        <w:t xml:space="preserve"> (based on </w:t>
      </w:r>
      <w:r w:rsidR="00065A3C">
        <w:t>the MSAC supported</w:t>
      </w:r>
      <w:r w:rsidR="00DD41E6">
        <w:t xml:space="preserve"> 85% MBS rebate of $</w:t>
      </w:r>
      <w:r w:rsidR="00065A3C">
        <w:t>1,00</w:t>
      </w:r>
      <w:r w:rsidR="00FA66E1">
        <w:t>6.8</w:t>
      </w:r>
      <w:r w:rsidR="00065A3C">
        <w:t>0</w:t>
      </w:r>
      <w:r w:rsidR="00DD41E6">
        <w:t>)</w:t>
      </w:r>
      <w:r>
        <w:t>. This reduces to $</w:t>
      </w:r>
      <w:r w:rsidR="00065A3C">
        <w:t>5.</w:t>
      </w:r>
      <w:r w:rsidR="00383299">
        <w:t>3</w:t>
      </w:r>
      <w:r>
        <w:t xml:space="preserve"> million in </w:t>
      </w:r>
      <w:r w:rsidR="00DD41E6">
        <w:t>Y</w:t>
      </w:r>
      <w:r>
        <w:t xml:space="preserve">ear 6 (estimate of 12,000 patients) due to the reduction in the prevalent pool of patients who may require testing, and the assumption </w:t>
      </w:r>
      <w:r w:rsidR="0018230E">
        <w:t xml:space="preserve">that </w:t>
      </w:r>
      <w:r>
        <w:t xml:space="preserve">the extent of cost offsets </w:t>
      </w:r>
      <w:r w:rsidR="0018230E">
        <w:t xml:space="preserve">at a national level </w:t>
      </w:r>
      <w:r w:rsidR="00726DF4">
        <w:t xml:space="preserve">can be inferred from the cost-offsets observed in </w:t>
      </w:r>
      <w:r>
        <w:t>Victoria (</w:t>
      </w:r>
      <w:r w:rsidR="00726DF4">
        <w:t xml:space="preserve">where </w:t>
      </w:r>
      <w:r w:rsidR="00FA66E1">
        <w:t xml:space="preserve">gene </w:t>
      </w:r>
      <w:r w:rsidR="00726DF4">
        <w:t xml:space="preserve">NGS-panel testing for </w:t>
      </w:r>
      <w:r w:rsidR="00FA66E1">
        <w:t xml:space="preserve">patients with </w:t>
      </w:r>
      <w:r w:rsidR="00726DF4">
        <w:t>haematological malignancies</w:t>
      </w:r>
      <w:r>
        <w:t xml:space="preserve"> is currently philanthropically funded). MSAC noted that the key source of uncertainty in the estimation of the budgetary impact was the assumption that 50% of people with haematological malignancies would be eligible for and </w:t>
      </w:r>
      <w:r w:rsidR="000C43EB">
        <w:t xml:space="preserve">would </w:t>
      </w:r>
      <w:r>
        <w:t xml:space="preserve">access NGS panel testing; MSAC considered this </w:t>
      </w:r>
      <w:r w:rsidR="00FA66E1">
        <w:t xml:space="preserve">uptake rate </w:t>
      </w:r>
      <w:r>
        <w:t xml:space="preserve">may </w:t>
      </w:r>
      <w:r w:rsidR="00FA66E1">
        <w:t xml:space="preserve">have </w:t>
      </w:r>
      <w:r>
        <w:t>be</w:t>
      </w:r>
      <w:r w:rsidR="00FA66E1">
        <w:t>en</w:t>
      </w:r>
      <w:r>
        <w:t xml:space="preserve"> underestimated. MSAC noted that there may be cost offsets due to </w:t>
      </w:r>
      <w:r w:rsidR="00FA66E1">
        <w:t xml:space="preserve">gene panel </w:t>
      </w:r>
      <w:r>
        <w:t>testing replacing other types of tests and more appropriate use of therapeutics; however, MSAC agreed with ESC that these are highly uncertain.</w:t>
      </w:r>
      <w:r w:rsidR="00BC67EE">
        <w:t xml:space="preserve"> </w:t>
      </w:r>
      <w:r w:rsidR="00BC67EE" w:rsidRPr="005E3103">
        <w:rPr>
          <w:szCs w:val="22"/>
        </w:rPr>
        <w:t>MSAC advised that a review of utilisation should be conducted in 2</w:t>
      </w:r>
      <w:r w:rsidR="00BC67EE">
        <w:rPr>
          <w:szCs w:val="22"/>
        </w:rPr>
        <w:t> </w:t>
      </w:r>
      <w:r w:rsidR="00BC67EE" w:rsidRPr="005E3103">
        <w:rPr>
          <w:szCs w:val="22"/>
        </w:rPr>
        <w:t>years.</w:t>
      </w:r>
    </w:p>
    <w:p w14:paraId="07DB1BE1" w14:textId="726DBE72" w:rsidR="009732A2" w:rsidRPr="00B264AB" w:rsidRDefault="009732A2" w:rsidP="009732A2">
      <w:r>
        <w:t>MSAC noted that the utilisation of current MBS items for genetic testing for haematological malignancies is relatively high in Queensland</w:t>
      </w:r>
      <w:r w:rsidR="00F63817">
        <w:t xml:space="preserve"> in comparison </w:t>
      </w:r>
      <w:r>
        <w:t xml:space="preserve">with other states and territories. MSAC considered that this may require further investigation by the Department to </w:t>
      </w:r>
      <w:r w:rsidR="00F63817">
        <w:t xml:space="preserve">understand the cause of </w:t>
      </w:r>
      <w:r w:rsidR="00397A9A">
        <w:t>such a high utilisation</w:t>
      </w:r>
      <w:r w:rsidR="00F934A0">
        <w:t>. Of particular interest is</w:t>
      </w:r>
      <w:r w:rsidR="009632FA">
        <w:t xml:space="preserve"> whether </w:t>
      </w:r>
      <w:r w:rsidR="00F934A0">
        <w:t xml:space="preserve">high utilisation of testing </w:t>
      </w:r>
      <w:r w:rsidR="009632FA">
        <w:t xml:space="preserve">reflects the fact that pathology services are </w:t>
      </w:r>
      <w:r w:rsidR="00D568AE">
        <w:t>reflex</w:t>
      </w:r>
      <w:r w:rsidR="00F55345">
        <w:t>ivel</w:t>
      </w:r>
      <w:r w:rsidR="00D568AE">
        <w:t xml:space="preserve">y </w:t>
      </w:r>
      <w:r w:rsidR="009632FA">
        <w:t xml:space="preserve">testing all </w:t>
      </w:r>
      <w:r w:rsidR="00D568AE">
        <w:t xml:space="preserve">suspected haematological </w:t>
      </w:r>
      <w:r w:rsidR="00F934A0">
        <w:t>malignancies without requester input.</w:t>
      </w:r>
      <w:r w:rsidR="00397A9A">
        <w:t xml:space="preserve"> </w:t>
      </w:r>
    </w:p>
    <w:p w14:paraId="2824D807" w14:textId="4DC2BCD2" w:rsidR="00B264AB" w:rsidRDefault="00B264AB" w:rsidP="00B264AB">
      <w:r>
        <w:t xml:space="preserve">MSAC noted the pre-MSAC response that stated that NGS </w:t>
      </w:r>
      <w:r w:rsidR="00FA66E1">
        <w:t xml:space="preserve">panel </w:t>
      </w:r>
      <w:r>
        <w:t>testing may also discover inherit</w:t>
      </w:r>
      <w:r w:rsidR="00FA66E1">
        <w:t>able germline</w:t>
      </w:r>
      <w:r>
        <w:t xml:space="preserve"> variants associated with blood cancer predisposition</w:t>
      </w:r>
      <w:r w:rsidR="003C16A4">
        <w:t>. MSAC considered</w:t>
      </w:r>
      <w:r w:rsidR="008653AA">
        <w:t xml:space="preserve"> that it can be inferred from an allele frequency of </w:t>
      </w:r>
      <w:r w:rsidR="006917B5">
        <w:t>≥ </w:t>
      </w:r>
      <w:r w:rsidR="008653AA">
        <w:t xml:space="preserve">50% that </w:t>
      </w:r>
      <w:r w:rsidR="006917B5">
        <w:t xml:space="preserve">a </w:t>
      </w:r>
      <w:r w:rsidR="008653AA">
        <w:t xml:space="preserve">variant </w:t>
      </w:r>
      <w:r w:rsidR="006917B5">
        <w:t xml:space="preserve">may be </w:t>
      </w:r>
      <w:r w:rsidR="008653AA">
        <w:t xml:space="preserve">a germline variant, </w:t>
      </w:r>
      <w:r>
        <w:t xml:space="preserve">but MSAC </w:t>
      </w:r>
      <w:r w:rsidR="008653AA">
        <w:t xml:space="preserve">considered </w:t>
      </w:r>
      <w:r>
        <w:t>that the value of identifying germline variants and cascade testing was not captured in the application. MSAC agreed with the applica</w:t>
      </w:r>
      <w:r w:rsidR="00FA66E1">
        <w:t>n</w:t>
      </w:r>
      <w:r>
        <w:t xml:space="preserve">t that appropriate policy, systems, genetic </w:t>
      </w:r>
      <w:proofErr w:type="gramStart"/>
      <w:r>
        <w:t>counselling</w:t>
      </w:r>
      <w:proofErr w:type="gramEnd"/>
      <w:r>
        <w:t xml:space="preserve"> and consumer support must be in place when delivering such testing to ensure the patient is aware of the possibility of identifying </w:t>
      </w:r>
      <w:r w:rsidR="00FA66E1">
        <w:t xml:space="preserve">germline </w:t>
      </w:r>
      <w:r>
        <w:t xml:space="preserve">variants. There is currently no MBS item for testing to confirm </w:t>
      </w:r>
      <w:r w:rsidR="008653AA">
        <w:t xml:space="preserve">whether a variant detected in somatic testing is in fact a </w:t>
      </w:r>
      <w:r>
        <w:t xml:space="preserve">germline variant, nor for cascade testing </w:t>
      </w:r>
      <w:r w:rsidR="008653AA">
        <w:t xml:space="preserve">of relatives </w:t>
      </w:r>
      <w:r>
        <w:t xml:space="preserve">for </w:t>
      </w:r>
      <w:proofErr w:type="gramStart"/>
      <w:r>
        <w:t>the vast majority of</w:t>
      </w:r>
      <w:proofErr w:type="gramEnd"/>
      <w:r>
        <w:t xml:space="preserve"> genes likely to be identified in haematological malignancies (only cascade testing for </w:t>
      </w:r>
      <w:r w:rsidR="008653AA">
        <w:t xml:space="preserve">variants in </w:t>
      </w:r>
      <w:r>
        <w:rPr>
          <w:i/>
          <w:iCs/>
        </w:rPr>
        <w:t>TP53</w:t>
      </w:r>
      <w:r>
        <w:t xml:space="preserve"> </w:t>
      </w:r>
      <w:r w:rsidR="008653AA">
        <w:t>is currently</w:t>
      </w:r>
      <w:r>
        <w:t xml:space="preserve"> MBS-funded). MSAC noted that NGS</w:t>
      </w:r>
      <w:r w:rsidR="008653AA">
        <w:t xml:space="preserve"> panel</w:t>
      </w:r>
      <w:r>
        <w:t xml:space="preserve"> testing also has clinical relevance for screening relatives as potential stem cell transplant donors, as well as determining their personal risk of cancer and other conditions to inform risk-management and family-planning decisions. </w:t>
      </w:r>
      <w:r w:rsidR="006B27C5">
        <w:t>MSAC</w:t>
      </w:r>
      <w:r w:rsidR="001C5811">
        <w:t xml:space="preserve"> </w:t>
      </w:r>
      <w:r w:rsidR="008653AA">
        <w:t>considered that where it can be identified that a patient’s variant is a germline variant, then</w:t>
      </w:r>
      <w:r w:rsidR="001C5811">
        <w:t xml:space="preserve"> </w:t>
      </w:r>
      <w:r w:rsidR="006B27C5">
        <w:t xml:space="preserve">cascade testing is warranted. MSAC considered that cascade testing where a germline variant has been detected </w:t>
      </w:r>
      <w:r w:rsidR="008653AA">
        <w:t xml:space="preserve">through somatic testing </w:t>
      </w:r>
      <w:r w:rsidR="006B27C5">
        <w:t xml:space="preserve">would ideally use a generic cascade testing item, in line with MSAC’s previous support for generic items under application 1599. </w:t>
      </w:r>
      <w:r w:rsidR="00E94300">
        <w:t xml:space="preserve">MSAC noted the Department would work with the RCPA to develop </w:t>
      </w:r>
      <w:r>
        <w:t xml:space="preserve">a future application for </w:t>
      </w:r>
      <w:r w:rsidR="006B27C5">
        <w:t xml:space="preserve">a generic cascade testing item in this </w:t>
      </w:r>
      <w:r w:rsidR="001F2E5E">
        <w:t xml:space="preserve">specific </w:t>
      </w:r>
      <w:r w:rsidR="006B27C5">
        <w:t>context</w:t>
      </w:r>
      <w:r w:rsidR="008653AA">
        <w:t xml:space="preserve"> of somatic testing</w:t>
      </w:r>
      <w:r w:rsidR="008350AF">
        <w:t xml:space="preserve"> in haematological malignancies</w:t>
      </w:r>
      <w:r>
        <w:t xml:space="preserve">. </w:t>
      </w:r>
    </w:p>
    <w:p w14:paraId="288043A2" w14:textId="78A90C0C" w:rsidR="00B264AB" w:rsidRDefault="00B264AB" w:rsidP="00B264AB">
      <w:r>
        <w:t xml:space="preserve">MSAC noted that, for the proposed NGS gene panel testing, laboratories are required to develop, validate, and seek accreditation and listing on the Australian </w:t>
      </w:r>
      <w:r w:rsidR="008653AA">
        <w:t xml:space="preserve">Register of </w:t>
      </w:r>
      <w:r>
        <w:t xml:space="preserve">Therapeutic Goods </w:t>
      </w:r>
      <w:r w:rsidR="008653AA">
        <w:t xml:space="preserve">(ARTG) </w:t>
      </w:r>
      <w:r>
        <w:t>as a class III in-house in vitro diagnostic medical device, due to a lack of commercially available tests approved by the Therapeutic Goods Administration. Laboratories require accreditation by a joint National Association of Testing Authorities, Australia (NATA)/RCPA process to ISO </w:t>
      </w:r>
      <w:proofErr w:type="gramStart"/>
      <w:r>
        <w:t>15189, and</w:t>
      </w:r>
      <w:proofErr w:type="gramEnd"/>
      <w:r>
        <w:t xml:space="preserve"> are specifically accredited to provide genetic testing.</w:t>
      </w:r>
    </w:p>
    <w:p w14:paraId="6710B69D" w14:textId="6A6AA173" w:rsidR="00772829" w:rsidRPr="00CE28E3" w:rsidRDefault="00FA4672" w:rsidP="002A18BE">
      <w:pPr>
        <w:pStyle w:val="Heading2"/>
        <w:numPr>
          <w:ilvl w:val="0"/>
          <w:numId w:val="0"/>
        </w:numPr>
      </w:pPr>
      <w:bookmarkStart w:id="5" w:name="_Toc111754787"/>
      <w:bookmarkEnd w:id="4"/>
      <w:r>
        <w:t>4</w:t>
      </w:r>
      <w:r w:rsidR="00C36633">
        <w:t>.</w:t>
      </w:r>
      <w:r w:rsidR="00C36633">
        <w:tab/>
      </w:r>
      <w:r w:rsidR="00772829" w:rsidRPr="00552F16">
        <w:t>Background</w:t>
      </w:r>
      <w:bookmarkEnd w:id="5"/>
    </w:p>
    <w:p w14:paraId="038F8214" w14:textId="0F297FA3" w:rsidR="00BE5374" w:rsidRDefault="00CA42D6" w:rsidP="00EE45C4">
      <w:bookmarkStart w:id="6" w:name="_Hlk69734494"/>
      <w:r w:rsidRPr="00CE28E3">
        <w:t>MSAC has not previously considered</w:t>
      </w:r>
      <w:r w:rsidR="00BE5374" w:rsidRPr="00CE28E3">
        <w:t xml:space="preserve"> </w:t>
      </w:r>
      <w:r w:rsidR="00EE45C4">
        <w:t>NGS panel testing for the characterisation of variants in haematological malignancies.</w:t>
      </w:r>
      <w:r w:rsidR="00510CD6" w:rsidRPr="00510CD6">
        <w:t xml:space="preserve"> </w:t>
      </w:r>
      <w:r w:rsidR="00510CD6">
        <w:t xml:space="preserve">MSAC has previously considered applications for single somatic genetic tests for </w:t>
      </w:r>
      <w:r w:rsidR="00E34352">
        <w:t>small number of</w:t>
      </w:r>
      <w:r w:rsidR="00B73C2F">
        <w:t xml:space="preserve"> specific</w:t>
      </w:r>
      <w:r w:rsidR="00E34352">
        <w:t xml:space="preserve"> </w:t>
      </w:r>
      <w:r w:rsidR="00510CD6">
        <w:t>haematological malignancies</w:t>
      </w:r>
      <w:r w:rsidR="00E34352">
        <w:t xml:space="preserve"> (diffuse large B cell </w:t>
      </w:r>
      <w:r w:rsidR="00E34352">
        <w:lastRenderedPageBreak/>
        <w:t xml:space="preserve">lymphoma, high-grade B cell lymphoma, mantle cell lymphoma, hepatosplenic T cell lymphoma, </w:t>
      </w:r>
      <w:r w:rsidR="00D024DD">
        <w:br/>
      </w:r>
      <w:r w:rsidR="00E34352">
        <w:t>T cell prolymphocytic leukaemia, myeloma)</w:t>
      </w:r>
      <w:r w:rsidR="00510CD6">
        <w:t xml:space="preserve"> (</w:t>
      </w:r>
      <w:r w:rsidR="00510CD6" w:rsidRPr="00F652EF">
        <w:t>Application 1526</w:t>
      </w:r>
      <w:r w:rsidR="002767EE">
        <w:t xml:space="preserve">; </w:t>
      </w:r>
      <w:hyperlink r:id="rId10" w:history="1">
        <w:r w:rsidR="002767EE" w:rsidRPr="002767EE">
          <w:rPr>
            <w:rStyle w:val="Hyperlink"/>
          </w:rPr>
          <w:t>August 2019 Public Summary Document [PSD]</w:t>
        </w:r>
      </w:hyperlink>
      <w:r w:rsidR="002767EE">
        <w:t xml:space="preserve"> </w:t>
      </w:r>
      <w:r w:rsidR="00510CD6">
        <w:t>) and genetic tests for myeloproliferative neoplasms (Application 1532</w:t>
      </w:r>
      <w:r w:rsidR="002767EE">
        <w:t xml:space="preserve">; </w:t>
      </w:r>
      <w:hyperlink r:id="rId11" w:history="1">
        <w:r w:rsidR="002767EE" w:rsidRPr="002767EE">
          <w:rPr>
            <w:rStyle w:val="Hyperlink"/>
          </w:rPr>
          <w:t>November 2020 PSD</w:t>
        </w:r>
      </w:hyperlink>
      <w:r w:rsidR="00510CD6">
        <w:t>). At the time of preparing this DCAR, MSAC had largely considered applications for large multigene panels for the characterisation of variants in inherited conditions (i.e., germline testing) as in Applications 1585, 1598 and 1600, and for multigene somatic testing for</w:t>
      </w:r>
      <w:r w:rsidR="002767EE">
        <w:t xml:space="preserve"> the diagnosis of glioma, including glioblastoma</w:t>
      </w:r>
      <w:r w:rsidR="00510CD6">
        <w:t xml:space="preserve"> </w:t>
      </w:r>
      <w:r w:rsidR="002767EE">
        <w:t>(</w:t>
      </w:r>
      <w:r w:rsidR="00510CD6">
        <w:t>Application 1709</w:t>
      </w:r>
      <w:r w:rsidR="002767EE">
        <w:t xml:space="preserve">; </w:t>
      </w:r>
      <w:hyperlink r:id="rId12" w:history="1">
        <w:r w:rsidR="002767EE" w:rsidRPr="002767EE">
          <w:rPr>
            <w:rStyle w:val="Hyperlink"/>
          </w:rPr>
          <w:t>April 2022 PSD</w:t>
        </w:r>
      </w:hyperlink>
      <w:r w:rsidR="00510CD6">
        <w:t>).</w:t>
      </w:r>
    </w:p>
    <w:p w14:paraId="771EA0BB" w14:textId="672653DC" w:rsidR="005B2EF3" w:rsidRDefault="005B2EF3" w:rsidP="005B2EF3">
      <w:r>
        <w:t>Hae</w:t>
      </w:r>
      <w:r w:rsidRPr="00C51589">
        <w:t>matopoietic and lymphoid tissue</w:t>
      </w:r>
      <w:r>
        <w:t xml:space="preserve"> neoplasms</w:t>
      </w:r>
      <w:r w:rsidRPr="00C51589">
        <w:t xml:space="preserve"> include lymphomas, leuk</w:t>
      </w:r>
      <w:r>
        <w:t>a</w:t>
      </w:r>
      <w:r w:rsidRPr="00C51589">
        <w:t>emias, myeloproliferative neoplasms, mast cell neoplasms, plasma cell neoplasms,</w:t>
      </w:r>
      <w:r>
        <w:t xml:space="preserve"> as well as</w:t>
      </w:r>
      <w:r w:rsidRPr="00C51589">
        <w:t xml:space="preserve"> histiocytic tumo</w:t>
      </w:r>
      <w:r>
        <w:t>u</w:t>
      </w:r>
      <w:r w:rsidRPr="00C51589">
        <w:t>rs and dendritic cell neoplasms.</w:t>
      </w:r>
      <w:r>
        <w:t xml:space="preserve"> Some of these are proliferative disorders with a propensity to transform to a malignant phenotype while others are diagnosed as malignant at the initial presentation. The continued acquisition or loss of genetic aberrations including during treatment, </w:t>
      </w:r>
      <w:r w:rsidR="00653B73">
        <w:t>results</w:t>
      </w:r>
      <w:r>
        <w:t xml:space="preserve"> in diverse combinations and permutations that contribute to</w:t>
      </w:r>
      <w:r w:rsidRPr="00CF4570">
        <w:t xml:space="preserve"> </w:t>
      </w:r>
      <w:r>
        <w:t>a</w:t>
      </w:r>
      <w:r w:rsidRPr="00CF4570">
        <w:t xml:space="preserve"> </w:t>
      </w:r>
      <w:r>
        <w:t>shift</w:t>
      </w:r>
      <w:r w:rsidRPr="00CF4570">
        <w:t xml:space="preserve"> in phenotype</w:t>
      </w:r>
      <w:r>
        <w:t xml:space="preserve"> over time</w:t>
      </w:r>
      <w:r w:rsidRPr="00CF4570">
        <w:t xml:space="preserve"> and </w:t>
      </w:r>
      <w:r>
        <w:t xml:space="preserve">influence the </w:t>
      </w:r>
      <w:r w:rsidRPr="00CF4570">
        <w:t xml:space="preserve">clinical </w:t>
      </w:r>
      <w:r>
        <w:t>course</w:t>
      </w:r>
      <w:r w:rsidRPr="00CF4570">
        <w:t xml:space="preserve"> </w:t>
      </w:r>
      <w:r>
        <w:t>of the condition (including changing the diagnosis) and management decisions</w:t>
      </w:r>
      <w:r w:rsidR="003800CB">
        <w:t xml:space="preserve"> (treatment resistance)</w:t>
      </w:r>
      <w:r>
        <w:t>. In some instances, specific variant expression (alone or in combination with others) may define entities as a diagnostic biomarker, provide critical information about prognosis allowing risk stratification, inform potential familial predisposition and/or act as a therapeutic target.</w:t>
      </w:r>
    </w:p>
    <w:p w14:paraId="3DFD3C35" w14:textId="77641D03" w:rsidR="006E685E" w:rsidRDefault="006E685E" w:rsidP="005B2EF3">
      <w:r>
        <w:rPr>
          <w:szCs w:val="20"/>
        </w:rPr>
        <w:t>In 2021 in Australia, 150,872 people were estimated to be diagnosed with cancer in Australia, including 18</w:t>
      </w:r>
      <w:r w:rsidR="006D7515">
        <w:rPr>
          <w:szCs w:val="20"/>
        </w:rPr>
        <w:t>,</w:t>
      </w:r>
      <w:r>
        <w:rPr>
          <w:szCs w:val="20"/>
        </w:rPr>
        <w:t xml:space="preserve">485 with a haematological neoplasm using the AIHW’s term </w:t>
      </w:r>
      <w:r>
        <w:rPr>
          <w:rFonts w:cs="Arial"/>
        </w:rPr>
        <w:t>‘All Blood Cancers combined</w:t>
      </w:r>
      <w:r w:rsidR="004426CC">
        <w:rPr>
          <w:rFonts w:cs="Arial"/>
        </w:rPr>
        <w:t>.’</w:t>
      </w:r>
      <w:r w:rsidR="00480FE3">
        <w:rPr>
          <w:rFonts w:cs="Arial"/>
        </w:rPr>
        <w:t xml:space="preserve"> Haematological malignancies account for 9% of all cancers in Australia.</w:t>
      </w:r>
    </w:p>
    <w:p w14:paraId="406DF514" w14:textId="45223EA7" w:rsidR="006E685E" w:rsidRDefault="006E685E" w:rsidP="006E685E">
      <w:pPr>
        <w:rPr>
          <w:szCs w:val="20"/>
        </w:rPr>
      </w:pPr>
      <w:r>
        <w:rPr>
          <w:szCs w:val="20"/>
        </w:rPr>
        <w:t xml:space="preserve">When examined collectively, </w:t>
      </w:r>
      <w:proofErr w:type="gramStart"/>
      <w:r>
        <w:rPr>
          <w:szCs w:val="20"/>
        </w:rPr>
        <w:t>the majority of</w:t>
      </w:r>
      <w:proofErr w:type="gramEnd"/>
      <w:r>
        <w:rPr>
          <w:szCs w:val="20"/>
        </w:rPr>
        <w:t xml:space="preserve"> diagnoses of haematological neoplasms are made in adults in later life, with males consistently diagnosed at higher rates than females across all the ages and malignancies. The age-standardised incidence rate overall has been slowly increasing while mortality is slowly declining, and the 5-year survival in both males and females is approximately 66%. At any point in time, a substantial proportion will either have indolent disease under surveillance, be on treatment, in remission, or be cured – all of these contribute to the relatively high 5-year prevalence. Patient factors such as the age at diagnosis, comorbidities and personal preferences may influence the proportion of patients offered testing at diagnosis, while the high proportion who have been cured will have implications for the testing or re-testing rates among the prevalent pool.</w:t>
      </w:r>
    </w:p>
    <w:p w14:paraId="555FD323" w14:textId="77777777" w:rsidR="006E685E" w:rsidRDefault="006E685E" w:rsidP="008267CE">
      <w:pPr>
        <w:rPr>
          <w:szCs w:val="20"/>
        </w:rPr>
      </w:pPr>
      <w:r w:rsidRPr="00DC4ECC">
        <w:rPr>
          <w:noProof/>
          <w:szCs w:val="20"/>
        </w:rPr>
        <w:lastRenderedPageBreak/>
        <w:drawing>
          <wp:inline distT="0" distB="0" distL="0" distR="0" wp14:anchorId="54C7FE6C" wp14:editId="4EA359FA">
            <wp:extent cx="5731510" cy="2156460"/>
            <wp:effectExtent l="0" t="0" r="0" b="2540"/>
            <wp:docPr id="61" name="Picture 61" descr="AIHW summary of projected incidence and mortality statistics in 2021 by sex ('All blood cancers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IHW summary of projected incidence and mortality statistics in 2021 by sex ('All blood cancers combined')"/>
                    <pic:cNvPicPr/>
                  </pic:nvPicPr>
                  <pic:blipFill>
                    <a:blip r:embed="rId13"/>
                    <a:stretch>
                      <a:fillRect/>
                    </a:stretch>
                  </pic:blipFill>
                  <pic:spPr>
                    <a:xfrm>
                      <a:off x="0" y="0"/>
                      <a:ext cx="5731510" cy="2156460"/>
                    </a:xfrm>
                    <a:prstGeom prst="rect">
                      <a:avLst/>
                    </a:prstGeom>
                  </pic:spPr>
                </pic:pic>
              </a:graphicData>
            </a:graphic>
          </wp:inline>
        </w:drawing>
      </w:r>
    </w:p>
    <w:p w14:paraId="5833BB82" w14:textId="2A5BDCBA" w:rsidR="006E685E" w:rsidRPr="0065101F" w:rsidRDefault="006E685E" w:rsidP="008267CE">
      <w:pPr>
        <w:pStyle w:val="TableFooter"/>
        <w:widowControl/>
      </w:pPr>
      <w:r w:rsidRPr="0065101F">
        <w:t xml:space="preserve">Source: </w:t>
      </w:r>
      <w:hyperlink r:id="rId14" w:history="1">
        <w:r w:rsidRPr="0065101F">
          <w:rPr>
            <w:rStyle w:val="Hyperlink"/>
          </w:rPr>
          <w:t>https://www.aihw.gov.au/reports/cancer/cancer-data-in-australia/contents/cancer-summary-data-visualisation</w:t>
        </w:r>
      </w:hyperlink>
      <w:r w:rsidRPr="0065101F">
        <w:t xml:space="preserve"> accessed June 7</w:t>
      </w:r>
      <w:proofErr w:type="gramStart"/>
      <w:r w:rsidRPr="0065101F">
        <w:t xml:space="preserve"> 2022</w:t>
      </w:r>
      <w:proofErr w:type="gramEnd"/>
    </w:p>
    <w:p w14:paraId="2A146464" w14:textId="662E3824" w:rsidR="006E685E" w:rsidRDefault="006E685E" w:rsidP="008267CE">
      <w:pPr>
        <w:pStyle w:val="Caption"/>
        <w:keepNext w:val="0"/>
      </w:pPr>
      <w:r>
        <w:t xml:space="preserve">Figure </w:t>
      </w:r>
      <w:fldSimple w:instr=" SEQ Figure \* ARABIC ">
        <w:r w:rsidR="00A165AD">
          <w:rPr>
            <w:noProof/>
          </w:rPr>
          <w:t>1</w:t>
        </w:r>
      </w:fldSimple>
      <w:r>
        <w:t xml:space="preserve">  AIHW summary of projected incidence and mortality statistics in 2021 by sex ('All blood cancers combined')</w:t>
      </w:r>
    </w:p>
    <w:p w14:paraId="6F52500A" w14:textId="531B99AE" w:rsidR="00772829" w:rsidRPr="00EE45C4" w:rsidRDefault="00FA4672" w:rsidP="008267CE">
      <w:pPr>
        <w:pStyle w:val="Heading2"/>
        <w:numPr>
          <w:ilvl w:val="0"/>
          <w:numId w:val="0"/>
        </w:numPr>
      </w:pPr>
      <w:bookmarkStart w:id="7" w:name="_Toc111754788"/>
      <w:bookmarkEnd w:id="6"/>
      <w:r>
        <w:t>5</w:t>
      </w:r>
      <w:r w:rsidR="00C36633">
        <w:t>.</w:t>
      </w:r>
      <w:r w:rsidR="00C36633">
        <w:tab/>
      </w:r>
      <w:r w:rsidR="00772829" w:rsidRPr="00EE45C4">
        <w:t>Prerequisites to implementation of any funding advice</w:t>
      </w:r>
      <w:bookmarkEnd w:id="7"/>
    </w:p>
    <w:p w14:paraId="3F4F5A44" w14:textId="6683CF54" w:rsidR="00D245A6" w:rsidRPr="00EE45C4" w:rsidRDefault="00D245A6" w:rsidP="008267CE">
      <w:pPr>
        <w:pStyle w:val="Instructionaltext"/>
        <w:keepNext/>
        <w:keepLines/>
        <w:rPr>
          <w:rFonts w:cstheme="minorHAnsi"/>
          <w:color w:val="000000" w:themeColor="text1"/>
        </w:rPr>
      </w:pPr>
      <w:r w:rsidRPr="00EE45C4">
        <w:rPr>
          <w:rFonts w:cstheme="minorHAnsi"/>
          <w:color w:val="000000" w:themeColor="text1"/>
        </w:rPr>
        <w:t>The proposed technology does not include a therapeutic good that requires Therapeutic Goods Administration (TGA) approval.</w:t>
      </w:r>
      <w:r w:rsidR="0065491C">
        <w:rPr>
          <w:rFonts w:cstheme="minorHAnsi"/>
          <w:color w:val="000000" w:themeColor="text1"/>
        </w:rPr>
        <w:t xml:space="preserve"> However, there is a requirement for laboratories to develop, validate and seek accreditation and listing on the Australian Therapeutic Goods Register </w:t>
      </w:r>
      <w:r w:rsidR="000B6F91">
        <w:rPr>
          <w:rFonts w:cstheme="minorHAnsi"/>
          <w:color w:val="000000" w:themeColor="text1"/>
        </w:rPr>
        <w:t>(</w:t>
      </w:r>
      <w:r w:rsidR="0065491C">
        <w:rPr>
          <w:rFonts w:cstheme="minorHAnsi"/>
          <w:color w:val="000000" w:themeColor="text1"/>
        </w:rPr>
        <w:t>ARTG) as a class III in-house IVD in many if not all applications in this area due to a lack of commercially available TGA approved tests.</w:t>
      </w:r>
    </w:p>
    <w:p w14:paraId="6246C622" w14:textId="77777777" w:rsidR="00D245A6" w:rsidRPr="00363CEF" w:rsidRDefault="00D245A6" w:rsidP="00D245A6">
      <w:pPr>
        <w:pStyle w:val="Instructionaltext"/>
        <w:rPr>
          <w:rFonts w:cstheme="minorHAnsi"/>
          <w:color w:val="000000" w:themeColor="text1"/>
        </w:rPr>
      </w:pPr>
      <w:r w:rsidRPr="00EE45C4">
        <w:rPr>
          <w:rFonts w:cstheme="minorHAnsi"/>
          <w:color w:val="000000" w:themeColor="text1"/>
        </w:rPr>
        <w:t xml:space="preserve">The Applicant states that the National Association of Testing Authorities (NATA) and the Royal College of Pathologists of Australasia (RCPA) oversee the regulation of pathology testing for clinical purposes. Laboratories require accreditation by a joint NATA/RCPA process to ISO </w:t>
      </w:r>
      <w:proofErr w:type="gramStart"/>
      <w:r w:rsidRPr="00EE45C4">
        <w:rPr>
          <w:rFonts w:cstheme="minorHAnsi"/>
          <w:color w:val="000000" w:themeColor="text1"/>
        </w:rPr>
        <w:t>15189, and</w:t>
      </w:r>
      <w:proofErr w:type="gramEnd"/>
      <w:r w:rsidRPr="00EE45C4">
        <w:rPr>
          <w:rFonts w:cstheme="minorHAnsi"/>
          <w:color w:val="000000" w:themeColor="text1"/>
        </w:rPr>
        <w:t xml:space="preserve"> are specifically accredited to provide genetic testing. This accreditation process covers the technical aspects of the sample reception and processing, laboratory sequencing, analysis pipelines, curation (or interpretation) of results and production of the report to a clinical standard.  There are no requirements for use of specific manufacturer’s reagents, </w:t>
      </w:r>
      <w:proofErr w:type="gramStart"/>
      <w:r w:rsidRPr="00EE45C4">
        <w:rPr>
          <w:rFonts w:cstheme="minorHAnsi"/>
          <w:color w:val="000000" w:themeColor="text1"/>
        </w:rPr>
        <w:t>equipment</w:t>
      </w:r>
      <w:proofErr w:type="gramEnd"/>
      <w:r w:rsidRPr="00EE45C4">
        <w:rPr>
          <w:rFonts w:cstheme="minorHAnsi"/>
          <w:color w:val="000000" w:themeColor="text1"/>
        </w:rPr>
        <w:t xml:space="preserve"> or analysis pipelines.</w:t>
      </w:r>
    </w:p>
    <w:p w14:paraId="6D91C9FD" w14:textId="1AFC578D" w:rsidR="00E45237" w:rsidRPr="009719A9" w:rsidRDefault="00E45237" w:rsidP="00E45237">
      <w:pPr>
        <w:pStyle w:val="NormalWeb"/>
        <w:rPr>
          <w:rFonts w:ascii="Franklin Gothic Book" w:hAnsi="Franklin Gothic Book" w:cstheme="minorHAnsi"/>
          <w:iCs/>
        </w:rPr>
      </w:pPr>
      <w:r w:rsidRPr="009719A9">
        <w:rPr>
          <w:rFonts w:ascii="Franklin Gothic Book" w:hAnsi="Franklin Gothic Book" w:cstheme="minorHAnsi"/>
          <w:iCs/>
        </w:rPr>
        <w:t>Molecular profiling is a complex investigation and quality issues pose a risk primarily and directly to the patient, and secondarily to the MBS if repeat testing is deemed necessary to address concerns about the adequacy</w:t>
      </w:r>
      <w:r>
        <w:rPr>
          <w:rFonts w:ascii="Franklin Gothic Book" w:hAnsi="Franklin Gothic Book" w:cstheme="minorHAnsi"/>
          <w:iCs/>
        </w:rPr>
        <w:t xml:space="preserve"> </w:t>
      </w:r>
      <w:r w:rsidRPr="009719A9">
        <w:rPr>
          <w:rFonts w:ascii="Franklin Gothic Book" w:hAnsi="Franklin Gothic Book" w:cstheme="minorHAnsi"/>
          <w:iCs/>
        </w:rPr>
        <w:t>or limitations of initial testing</w:t>
      </w:r>
      <w:r w:rsidRPr="00B810D6">
        <w:rPr>
          <w:rFonts w:ascii="Franklin Gothic Book" w:hAnsi="Franklin Gothic Book" w:cstheme="minorHAnsi"/>
          <w:iCs/>
        </w:rPr>
        <w:t xml:space="preserve"> </w:t>
      </w:r>
      <w:r>
        <w:rPr>
          <w:rFonts w:ascii="Franklin Gothic Book" w:hAnsi="Franklin Gothic Book" w:cstheme="minorHAnsi"/>
          <w:iCs/>
        </w:rPr>
        <w:t>(e.g.</w:t>
      </w:r>
      <w:r w:rsidR="00803550">
        <w:rPr>
          <w:rFonts w:ascii="Franklin Gothic Book" w:hAnsi="Franklin Gothic Book" w:cstheme="minorHAnsi"/>
          <w:iCs/>
        </w:rPr>
        <w:t>,</w:t>
      </w:r>
      <w:r>
        <w:rPr>
          <w:rFonts w:ascii="Franklin Gothic Book" w:hAnsi="Franklin Gothic Book" w:cstheme="minorHAnsi"/>
          <w:iCs/>
        </w:rPr>
        <w:t xml:space="preserve"> </w:t>
      </w:r>
      <w:proofErr w:type="gramStart"/>
      <w:r>
        <w:rPr>
          <w:rFonts w:ascii="Franklin Gothic Book" w:hAnsi="Franklin Gothic Book" w:cstheme="minorHAnsi"/>
          <w:iCs/>
        </w:rPr>
        <w:t>through the use of</w:t>
      </w:r>
      <w:proofErr w:type="gramEnd"/>
      <w:r>
        <w:rPr>
          <w:rFonts w:ascii="Franklin Gothic Book" w:hAnsi="Franklin Gothic Book" w:cstheme="minorHAnsi"/>
          <w:iCs/>
        </w:rPr>
        <w:t xml:space="preserve"> a panel that is not sufficiently comprehensive</w:t>
      </w:r>
      <w:r w:rsidR="008D1B44">
        <w:rPr>
          <w:rFonts w:ascii="Franklin Gothic Book" w:hAnsi="Franklin Gothic Book" w:cstheme="minorHAnsi"/>
          <w:iCs/>
        </w:rPr>
        <w:t xml:space="preserve"> or appropriately targeted to the most likely condition</w:t>
      </w:r>
      <w:r>
        <w:rPr>
          <w:rFonts w:ascii="Franklin Gothic Book" w:hAnsi="Franklin Gothic Book" w:cstheme="minorHAnsi"/>
          <w:iCs/>
        </w:rPr>
        <w:t>)</w:t>
      </w:r>
      <w:r w:rsidRPr="009719A9">
        <w:rPr>
          <w:rFonts w:ascii="Franklin Gothic Book" w:hAnsi="Franklin Gothic Book" w:cstheme="minorHAnsi"/>
          <w:iCs/>
        </w:rPr>
        <w:t>. The</w:t>
      </w:r>
      <w:r w:rsidR="00DF24BA">
        <w:rPr>
          <w:rFonts w:ascii="Franklin Gothic Book" w:hAnsi="Franklin Gothic Book" w:cstheme="minorHAnsi"/>
          <w:iCs/>
        </w:rPr>
        <w:t xml:space="preserve"> 2016</w:t>
      </w:r>
      <w:r w:rsidRPr="009719A9">
        <w:rPr>
          <w:rFonts w:ascii="Franklin Gothic Book" w:hAnsi="Franklin Gothic Book" w:cstheme="minorHAnsi"/>
          <w:iCs/>
        </w:rPr>
        <w:t xml:space="preserve"> </w:t>
      </w:r>
      <w:r>
        <w:rPr>
          <w:rFonts w:ascii="Franklin Gothic Book" w:hAnsi="Franklin Gothic Book" w:cstheme="minorHAnsi"/>
          <w:iCs/>
        </w:rPr>
        <w:t>WHO classification</w:t>
      </w:r>
      <w:r w:rsidRPr="009719A9">
        <w:rPr>
          <w:rFonts w:ascii="Franklin Gothic Book" w:hAnsi="Franklin Gothic Book" w:cstheme="minorHAnsi"/>
          <w:iCs/>
        </w:rPr>
        <w:t xml:space="preserve"> provides a list of genes</w:t>
      </w:r>
      <w:r w:rsidR="00DF24BA">
        <w:rPr>
          <w:rFonts w:ascii="Franklin Gothic Book" w:hAnsi="Franklin Gothic Book" w:cstheme="minorHAnsi"/>
          <w:iCs/>
        </w:rPr>
        <w:t xml:space="preserve"> (the WHO HAEM5 has not yet been published </w:t>
      </w:r>
      <w:r w:rsidR="00B975AF">
        <w:rPr>
          <w:rFonts w:ascii="Franklin Gothic Book" w:hAnsi="Franklin Gothic Book" w:cstheme="minorHAnsi"/>
          <w:iCs/>
        </w:rPr>
        <w:t>so</w:t>
      </w:r>
      <w:r w:rsidR="00DF24BA">
        <w:rPr>
          <w:rFonts w:ascii="Franklin Gothic Book" w:hAnsi="Franklin Gothic Book" w:cstheme="minorHAnsi"/>
          <w:iCs/>
        </w:rPr>
        <w:t xml:space="preserve"> no comprehensive gene lists are available</w:t>
      </w:r>
      <w:r w:rsidR="00B07FEF">
        <w:rPr>
          <w:rFonts w:ascii="Franklin Gothic Book" w:hAnsi="Franklin Gothic Book" w:cstheme="minorHAnsi"/>
          <w:iCs/>
        </w:rPr>
        <w:t>)</w:t>
      </w:r>
      <w:r w:rsidRPr="009719A9">
        <w:rPr>
          <w:rFonts w:ascii="Franklin Gothic Book" w:hAnsi="Franklin Gothic Book" w:cstheme="minorHAnsi"/>
          <w:iCs/>
        </w:rPr>
        <w:t xml:space="preserve">, and variants that define or characterise an entity by their presence or absence. </w:t>
      </w:r>
      <w:r w:rsidR="00803550">
        <w:rPr>
          <w:rFonts w:ascii="Franklin Gothic Book" w:hAnsi="Franklin Gothic Book" w:cstheme="minorHAnsi"/>
          <w:iCs/>
        </w:rPr>
        <w:t>Beyond the WHO classification, m</w:t>
      </w:r>
      <w:r w:rsidR="00B07FEF">
        <w:rPr>
          <w:rFonts w:ascii="Franklin Gothic Book" w:hAnsi="Franklin Gothic Book" w:cstheme="minorHAnsi"/>
          <w:iCs/>
        </w:rPr>
        <w:t xml:space="preserve">ultiple additional genetic or genomic alterations with diagnostic, prognostic, familial and therapeutic implications </w:t>
      </w:r>
      <w:r w:rsidR="003519CE">
        <w:rPr>
          <w:rFonts w:ascii="Franklin Gothic Book" w:hAnsi="Franklin Gothic Book" w:cstheme="minorHAnsi"/>
          <w:iCs/>
        </w:rPr>
        <w:t>are</w:t>
      </w:r>
      <w:r w:rsidR="00B07FEF">
        <w:rPr>
          <w:rFonts w:ascii="Franklin Gothic Book" w:hAnsi="Franklin Gothic Book" w:cstheme="minorHAnsi"/>
          <w:iCs/>
        </w:rPr>
        <w:t xml:space="preserve"> included in national and international clinical guidelines </w:t>
      </w:r>
      <w:r w:rsidR="00803550">
        <w:rPr>
          <w:rFonts w:ascii="Franklin Gothic Book" w:hAnsi="Franklin Gothic Book" w:cstheme="minorHAnsi"/>
          <w:iCs/>
        </w:rPr>
        <w:t>from</w:t>
      </w:r>
      <w:r w:rsidR="00B07FEF">
        <w:rPr>
          <w:rFonts w:ascii="Franklin Gothic Book" w:hAnsi="Franklin Gothic Book" w:cstheme="minorHAnsi"/>
          <w:iCs/>
        </w:rPr>
        <w:t xml:space="preserve"> </w:t>
      </w:r>
      <w:r>
        <w:rPr>
          <w:rFonts w:ascii="Franklin Gothic Book" w:hAnsi="Franklin Gothic Book" w:cstheme="minorHAnsi"/>
          <w:iCs/>
        </w:rPr>
        <w:t xml:space="preserve">bodies such as </w:t>
      </w:r>
      <w:r w:rsidR="00B07FEF">
        <w:rPr>
          <w:rFonts w:ascii="Franklin Gothic Book" w:hAnsi="Franklin Gothic Book" w:cstheme="minorHAnsi"/>
          <w:iCs/>
        </w:rPr>
        <w:t>the European LeukemiaNet (</w:t>
      </w:r>
      <w:r>
        <w:rPr>
          <w:rFonts w:ascii="Franklin Gothic Book" w:hAnsi="Franklin Gothic Book" w:cstheme="minorHAnsi"/>
          <w:iCs/>
        </w:rPr>
        <w:t>ELN</w:t>
      </w:r>
      <w:r w:rsidR="00B07FEF">
        <w:rPr>
          <w:rFonts w:ascii="Franklin Gothic Book" w:hAnsi="Franklin Gothic Book" w:cstheme="minorHAnsi"/>
          <w:iCs/>
        </w:rPr>
        <w:t>)</w:t>
      </w:r>
      <w:r>
        <w:rPr>
          <w:rFonts w:ascii="Franklin Gothic Book" w:hAnsi="Franklin Gothic Book" w:cstheme="minorHAnsi"/>
          <w:iCs/>
        </w:rPr>
        <w:t xml:space="preserve"> and </w:t>
      </w:r>
      <w:r w:rsidR="00B07FEF">
        <w:rPr>
          <w:rFonts w:ascii="Franklin Gothic Book" w:hAnsi="Franklin Gothic Book" w:cstheme="minorHAnsi"/>
          <w:iCs/>
        </w:rPr>
        <w:t>National Comprehensive Cancer Network (</w:t>
      </w:r>
      <w:r>
        <w:rPr>
          <w:rFonts w:ascii="Franklin Gothic Book" w:hAnsi="Franklin Gothic Book" w:cstheme="minorHAnsi"/>
          <w:iCs/>
        </w:rPr>
        <w:t>NCCN</w:t>
      </w:r>
      <w:r w:rsidR="00B07FEF">
        <w:rPr>
          <w:rFonts w:ascii="Franklin Gothic Book" w:hAnsi="Franklin Gothic Book" w:cstheme="minorHAnsi"/>
          <w:iCs/>
        </w:rPr>
        <w:t>)</w:t>
      </w:r>
      <w:r>
        <w:rPr>
          <w:rFonts w:ascii="Franklin Gothic Book" w:hAnsi="Franklin Gothic Book" w:cstheme="minorHAnsi"/>
          <w:iCs/>
        </w:rPr>
        <w:t>.</w:t>
      </w:r>
    </w:p>
    <w:p w14:paraId="0CFECF45" w14:textId="77777777" w:rsidR="00E45237" w:rsidRPr="001C09AE" w:rsidRDefault="00E45237" w:rsidP="00E45237">
      <w:pPr>
        <w:pStyle w:val="Heading3"/>
      </w:pPr>
      <w:bookmarkStart w:id="8" w:name="_Toc97723464"/>
      <w:bookmarkStart w:id="9" w:name="_Toc111754789"/>
      <w:r w:rsidRPr="001C09AE">
        <w:t>Scope of testing</w:t>
      </w:r>
      <w:bookmarkEnd w:id="8"/>
      <w:bookmarkEnd w:id="9"/>
    </w:p>
    <w:p w14:paraId="26625452" w14:textId="77777777" w:rsidR="00E45237" w:rsidRPr="001C09AE" w:rsidRDefault="00E45237" w:rsidP="00E45237">
      <w:pPr>
        <w:pStyle w:val="NormalWeb"/>
        <w:rPr>
          <w:rFonts w:ascii="Franklin Gothic Book" w:hAnsi="Franklin Gothic Book" w:cstheme="minorHAnsi"/>
          <w:iCs/>
        </w:rPr>
      </w:pPr>
      <w:r w:rsidRPr="001C09AE">
        <w:rPr>
          <w:rFonts w:ascii="Franklin Gothic Book" w:hAnsi="Franklin Gothic Book" w:cstheme="minorHAnsi"/>
          <w:iCs/>
        </w:rPr>
        <w:t xml:space="preserve">The scope of gene panel testing may be problematic if it does not include candidate genes and known variants regarded as the standard of care at the time of the test being performed. NGS gene panels offer the opportunity to test a broad range of genes for a range of purposes (diagnostic, prognostic, predictive, potential familial predisposition), for which there is established evidence or emerging evidence, </w:t>
      </w:r>
      <w:r>
        <w:rPr>
          <w:rFonts w:ascii="Franklin Gothic Book" w:hAnsi="Franklin Gothic Book" w:cstheme="minorHAnsi"/>
          <w:iCs/>
        </w:rPr>
        <w:t>that</w:t>
      </w:r>
      <w:r w:rsidRPr="001C09AE">
        <w:rPr>
          <w:rFonts w:ascii="Franklin Gothic Book" w:hAnsi="Franklin Gothic Book" w:cstheme="minorHAnsi"/>
          <w:iCs/>
        </w:rPr>
        <w:t xml:space="preserve"> may offer clinical management options and improved outcomes. With a range of providers, the scope of testing and therefore, suitability for different test purposes, may differ unless there is some agreed scope, and clear communication of the scope.</w:t>
      </w:r>
    </w:p>
    <w:p w14:paraId="15B93CC6" w14:textId="40D973B9" w:rsidR="00E45237" w:rsidRPr="001C09AE" w:rsidRDefault="003519CE" w:rsidP="00C37A2D">
      <w:pPr>
        <w:pStyle w:val="NormalWeb"/>
        <w:rPr>
          <w:rFonts w:ascii="Franklin Gothic Book" w:hAnsi="Franklin Gothic Book" w:cstheme="minorHAnsi"/>
          <w:iCs/>
        </w:rPr>
      </w:pPr>
      <w:r>
        <w:rPr>
          <w:rFonts w:ascii="Franklin Gothic Book" w:hAnsi="Franklin Gothic Book" w:cstheme="minorHAnsi"/>
          <w:iCs/>
        </w:rPr>
        <w:lastRenderedPageBreak/>
        <w:t xml:space="preserve">Whereas it </w:t>
      </w:r>
      <w:r w:rsidR="00E178B3">
        <w:rPr>
          <w:rFonts w:ascii="Franklin Gothic Book" w:hAnsi="Franklin Gothic Book" w:cstheme="minorHAnsi"/>
          <w:iCs/>
        </w:rPr>
        <w:t>may be</w:t>
      </w:r>
      <w:r>
        <w:rPr>
          <w:rFonts w:ascii="Franklin Gothic Book" w:hAnsi="Franklin Gothic Book" w:cstheme="minorHAnsi"/>
          <w:iCs/>
        </w:rPr>
        <w:t xml:space="preserve"> possible to define core genes where an NGS gene panel </w:t>
      </w:r>
      <w:r w:rsidR="00E178B3">
        <w:rPr>
          <w:rFonts w:ascii="Franklin Gothic Book" w:hAnsi="Franklin Gothic Book" w:cstheme="minorHAnsi"/>
          <w:iCs/>
        </w:rPr>
        <w:t>i</w:t>
      </w:r>
      <w:r>
        <w:rPr>
          <w:rFonts w:ascii="Franklin Gothic Book" w:hAnsi="Franklin Gothic Book" w:cstheme="minorHAnsi"/>
          <w:iCs/>
        </w:rPr>
        <w:t>s intended to diagnose and manage a specific type of cancer (as in Application 1709), g</w:t>
      </w:r>
      <w:r w:rsidR="00D90957">
        <w:rPr>
          <w:rFonts w:ascii="Franklin Gothic Book" w:hAnsi="Franklin Gothic Book" w:cstheme="minorHAnsi"/>
          <w:iCs/>
        </w:rPr>
        <w:t>iven the proposed NGS panel</w:t>
      </w:r>
      <w:r w:rsidR="00E178B3">
        <w:rPr>
          <w:rFonts w:ascii="Franklin Gothic Book" w:hAnsi="Franklin Gothic Book" w:cstheme="minorHAnsi"/>
          <w:iCs/>
        </w:rPr>
        <w:t>s</w:t>
      </w:r>
      <w:r w:rsidR="00D90957">
        <w:rPr>
          <w:rFonts w:ascii="Franklin Gothic Book" w:hAnsi="Franklin Gothic Book" w:cstheme="minorHAnsi"/>
          <w:iCs/>
        </w:rPr>
        <w:t xml:space="preserve"> </w:t>
      </w:r>
      <w:r w:rsidR="00E178B3">
        <w:rPr>
          <w:rFonts w:ascii="Franklin Gothic Book" w:hAnsi="Franklin Gothic Book" w:cstheme="minorHAnsi"/>
          <w:iCs/>
        </w:rPr>
        <w:t>are</w:t>
      </w:r>
      <w:r w:rsidR="00D90957">
        <w:rPr>
          <w:rFonts w:ascii="Franklin Gothic Book" w:hAnsi="Franklin Gothic Book" w:cstheme="minorHAnsi"/>
          <w:iCs/>
        </w:rPr>
        <w:t xml:space="preserve"> to </w:t>
      </w:r>
      <w:r w:rsidR="00C8608B">
        <w:rPr>
          <w:rFonts w:ascii="Franklin Gothic Book" w:hAnsi="Franklin Gothic Book" w:cstheme="minorHAnsi"/>
          <w:iCs/>
        </w:rPr>
        <w:t>diagnose and manage</w:t>
      </w:r>
      <w:r w:rsidR="00D90957">
        <w:rPr>
          <w:rFonts w:ascii="Franklin Gothic Book" w:hAnsi="Franklin Gothic Book" w:cstheme="minorHAnsi"/>
          <w:iCs/>
        </w:rPr>
        <w:t xml:space="preserve"> a broad range of conditions which are unrelated, inclusion of nominated genes in the item descriptor</w:t>
      </w:r>
      <w:r w:rsidR="004B25E9">
        <w:rPr>
          <w:rFonts w:ascii="Franklin Gothic Book" w:hAnsi="Franklin Gothic Book" w:cstheme="minorHAnsi"/>
          <w:iCs/>
        </w:rPr>
        <w:t xml:space="preserve"> to convey which genes are required for the wide range of conditions </w:t>
      </w:r>
      <w:r w:rsidR="00C37A2D">
        <w:rPr>
          <w:rFonts w:ascii="Franklin Gothic Book" w:hAnsi="Franklin Gothic Book" w:cstheme="minorHAnsi"/>
          <w:iCs/>
        </w:rPr>
        <w:t>captured within each panel</w:t>
      </w:r>
      <w:r w:rsidR="00D90957">
        <w:rPr>
          <w:rFonts w:ascii="Franklin Gothic Book" w:hAnsi="Franklin Gothic Book" w:cstheme="minorHAnsi"/>
          <w:iCs/>
        </w:rPr>
        <w:t xml:space="preserve"> is no longer feasible</w:t>
      </w:r>
      <w:r w:rsidR="00C8608B">
        <w:rPr>
          <w:rFonts w:ascii="Franklin Gothic Book" w:hAnsi="Franklin Gothic Book" w:cstheme="minorHAnsi"/>
          <w:iCs/>
        </w:rPr>
        <w:t xml:space="preserve">. A </w:t>
      </w:r>
      <w:r w:rsidR="00C8608B" w:rsidRPr="001C09AE">
        <w:rPr>
          <w:rFonts w:ascii="Franklin Gothic Book" w:hAnsi="Franklin Gothic Book" w:cstheme="minorHAnsi"/>
          <w:iCs/>
        </w:rPr>
        <w:t>minimum expected</w:t>
      </w:r>
      <w:r w:rsidR="00C8608B">
        <w:rPr>
          <w:rFonts w:ascii="Franklin Gothic Book" w:hAnsi="Franklin Gothic Book" w:cstheme="minorHAnsi"/>
          <w:iCs/>
        </w:rPr>
        <w:t xml:space="preserve"> gene set for analysis</w:t>
      </w:r>
      <w:r w:rsidR="00C8608B" w:rsidRPr="001C09AE">
        <w:rPr>
          <w:rFonts w:ascii="Franklin Gothic Book" w:hAnsi="Franklin Gothic Book" w:cstheme="minorHAnsi"/>
          <w:iCs/>
        </w:rPr>
        <w:t xml:space="preserve"> will inevitably become outdated as new genes or variants are identified</w:t>
      </w:r>
      <w:r w:rsidR="00C8608B">
        <w:rPr>
          <w:rFonts w:ascii="Franklin Gothic Book" w:hAnsi="Franklin Gothic Book" w:cstheme="minorHAnsi"/>
          <w:iCs/>
        </w:rPr>
        <w:t xml:space="preserve"> </w:t>
      </w:r>
      <w:r w:rsidR="00C8608B" w:rsidRPr="001C09AE">
        <w:rPr>
          <w:rFonts w:ascii="Franklin Gothic Book" w:hAnsi="Franklin Gothic Book" w:cstheme="minorHAnsi"/>
          <w:iCs/>
        </w:rPr>
        <w:t>and may be difficult to update without a streamlined process.</w:t>
      </w:r>
      <w:r w:rsidR="00C8608B">
        <w:rPr>
          <w:rFonts w:ascii="Franklin Gothic Book" w:hAnsi="Franklin Gothic Book" w:cstheme="minorHAnsi"/>
          <w:iCs/>
        </w:rPr>
        <w:t xml:space="preserve"> </w:t>
      </w:r>
      <w:r>
        <w:rPr>
          <w:rFonts w:ascii="Franklin Gothic Book" w:hAnsi="Franklin Gothic Book" w:cstheme="minorHAnsi"/>
          <w:iCs/>
        </w:rPr>
        <w:t>While</w:t>
      </w:r>
      <w:r w:rsidR="00C37A2D">
        <w:rPr>
          <w:rFonts w:ascii="Franklin Gothic Book" w:hAnsi="Franklin Gothic Book" w:cstheme="minorHAnsi"/>
          <w:iCs/>
        </w:rPr>
        <w:t xml:space="preserve"> myeloid malignancies have </w:t>
      </w:r>
      <w:r>
        <w:rPr>
          <w:rFonts w:ascii="Franklin Gothic Book" w:hAnsi="Franklin Gothic Book" w:cstheme="minorHAnsi"/>
          <w:iCs/>
        </w:rPr>
        <w:t xml:space="preserve">some </w:t>
      </w:r>
      <w:r w:rsidR="00C37A2D">
        <w:rPr>
          <w:rFonts w:ascii="Franklin Gothic Book" w:hAnsi="Franklin Gothic Book" w:cstheme="minorHAnsi"/>
          <w:iCs/>
        </w:rPr>
        <w:t xml:space="preserve">genes that are common across </w:t>
      </w:r>
      <w:r w:rsidR="008F27F1">
        <w:rPr>
          <w:rFonts w:ascii="Franklin Gothic Book" w:hAnsi="Franklin Gothic Book" w:cstheme="minorHAnsi"/>
          <w:iCs/>
        </w:rPr>
        <w:t xml:space="preserve">most of </w:t>
      </w:r>
      <w:r w:rsidR="00C37A2D">
        <w:rPr>
          <w:rFonts w:ascii="Franklin Gothic Book" w:hAnsi="Franklin Gothic Book" w:cstheme="minorHAnsi"/>
          <w:iCs/>
        </w:rPr>
        <w:t>the conditions, lymphoid malignancies have very few</w:t>
      </w:r>
      <w:r>
        <w:rPr>
          <w:rFonts w:ascii="Franklin Gothic Book" w:hAnsi="Franklin Gothic Book" w:cstheme="minorHAnsi"/>
          <w:iCs/>
        </w:rPr>
        <w:t>. It is important that gene panel composition</w:t>
      </w:r>
      <w:r w:rsidR="00E178B3">
        <w:rPr>
          <w:rFonts w:ascii="Franklin Gothic Book" w:hAnsi="Franklin Gothic Book" w:cstheme="minorHAnsi"/>
          <w:iCs/>
        </w:rPr>
        <w:t>:</w:t>
      </w:r>
    </w:p>
    <w:p w14:paraId="5091EF74" w14:textId="77777777" w:rsidR="0013615A" w:rsidRDefault="00E45237" w:rsidP="0013615A">
      <w:pPr>
        <w:pStyle w:val="Bullet"/>
      </w:pPr>
      <w:r w:rsidRPr="001C09AE">
        <w:t>align</w:t>
      </w:r>
      <w:r w:rsidR="003519CE">
        <w:t>s</w:t>
      </w:r>
      <w:r w:rsidRPr="001C09AE">
        <w:t xml:space="preserve"> with the diagnostic WHO </w:t>
      </w:r>
      <w:r>
        <w:t>classification</w:t>
      </w:r>
      <w:r w:rsidRPr="001C09AE">
        <w:t xml:space="preserve">, especially where these are </w:t>
      </w:r>
      <w:r w:rsidR="001E5340">
        <w:t>disease-</w:t>
      </w:r>
      <w:r w:rsidRPr="001C09AE">
        <w:t xml:space="preserve">defining </w:t>
      </w:r>
    </w:p>
    <w:p w14:paraId="5AEB4A95" w14:textId="33798D22" w:rsidR="008267CE" w:rsidRPr="008267CE" w:rsidRDefault="00E45237" w:rsidP="008267CE">
      <w:pPr>
        <w:pStyle w:val="Bullet"/>
      </w:pPr>
      <w:r w:rsidRPr="0013615A">
        <w:rPr>
          <w:rFonts w:ascii="Franklin Gothic Book" w:hAnsi="Franklin Gothic Book" w:cstheme="minorHAnsi"/>
          <w:iCs/>
        </w:rPr>
        <w:t>incorporate</w:t>
      </w:r>
      <w:r w:rsidR="00E15C1E" w:rsidRPr="0013615A">
        <w:rPr>
          <w:rFonts w:ascii="Franklin Gothic Book" w:hAnsi="Franklin Gothic Book" w:cstheme="minorHAnsi"/>
          <w:iCs/>
        </w:rPr>
        <w:t>s</w:t>
      </w:r>
      <w:r w:rsidRPr="0013615A">
        <w:rPr>
          <w:rFonts w:ascii="Franklin Gothic Book" w:hAnsi="Franklin Gothic Book" w:cstheme="minorHAnsi"/>
          <w:iCs/>
        </w:rPr>
        <w:t xml:space="preserve"> wider test purposes e.g., </w:t>
      </w:r>
      <w:r w:rsidR="00FA058F" w:rsidRPr="0013615A">
        <w:rPr>
          <w:rFonts w:ascii="Franklin Gothic Book" w:hAnsi="Franklin Gothic Book" w:cstheme="minorHAnsi"/>
          <w:iCs/>
        </w:rPr>
        <w:t>prognostic genes</w:t>
      </w:r>
      <w:r w:rsidR="004B25E9" w:rsidRPr="0013615A">
        <w:rPr>
          <w:rFonts w:ascii="Franklin Gothic Book" w:hAnsi="Franklin Gothic Book" w:cstheme="minorHAnsi"/>
          <w:iCs/>
        </w:rPr>
        <w:t xml:space="preserve"> for risk stratification</w:t>
      </w:r>
      <w:r w:rsidR="00FA058F" w:rsidRPr="0013615A">
        <w:rPr>
          <w:rFonts w:ascii="Franklin Gothic Book" w:hAnsi="Franklin Gothic Book" w:cstheme="minorHAnsi"/>
          <w:iCs/>
        </w:rPr>
        <w:t xml:space="preserve">, </w:t>
      </w:r>
      <w:r w:rsidR="00E15C1E" w:rsidRPr="0013615A">
        <w:rPr>
          <w:rFonts w:ascii="Franklin Gothic Book" w:hAnsi="Franklin Gothic Book" w:cstheme="minorHAnsi"/>
          <w:iCs/>
        </w:rPr>
        <w:t>gene variants that confer</w:t>
      </w:r>
      <w:r w:rsidRPr="0013615A">
        <w:rPr>
          <w:rFonts w:ascii="Franklin Gothic Book" w:hAnsi="Franklin Gothic Book" w:cstheme="minorHAnsi"/>
          <w:iCs/>
        </w:rPr>
        <w:t xml:space="preserve"> potential treatment options.</w:t>
      </w:r>
    </w:p>
    <w:p w14:paraId="431163B1" w14:textId="57D67FA2" w:rsidR="0013615A" w:rsidRPr="0013615A" w:rsidRDefault="0013615A" w:rsidP="0013615A">
      <w:pPr>
        <w:pStyle w:val="Bullet"/>
        <w:numPr>
          <w:ilvl w:val="0"/>
          <w:numId w:val="0"/>
        </w:numPr>
      </w:pPr>
      <w:r>
        <w:rPr>
          <w:rFonts w:ascii="Franklin Gothic Book" w:hAnsi="Franklin Gothic Book" w:cstheme="minorHAnsi"/>
          <w:iCs/>
        </w:rPr>
        <w:t>It is recommended that consideration be given to:</w:t>
      </w:r>
    </w:p>
    <w:p w14:paraId="246A7653" w14:textId="5EC732FF" w:rsidR="00E45237" w:rsidRPr="001C09AE" w:rsidRDefault="00E45237" w:rsidP="00B56755">
      <w:pPr>
        <w:pStyle w:val="NormalWeb"/>
        <w:numPr>
          <w:ilvl w:val="0"/>
          <w:numId w:val="10"/>
        </w:numPr>
        <w:spacing w:before="100" w:beforeAutospacing="1" w:after="100" w:afterAutospacing="1"/>
        <w:rPr>
          <w:rFonts w:ascii="Franklin Gothic Book" w:hAnsi="Franklin Gothic Book" w:cstheme="minorHAnsi"/>
          <w:iCs/>
        </w:rPr>
      </w:pPr>
      <w:r>
        <w:rPr>
          <w:rFonts w:ascii="Franklin Gothic Book" w:hAnsi="Franklin Gothic Book" w:cstheme="minorHAnsi"/>
          <w:iCs/>
        </w:rPr>
        <w:t>Establishing and m</w:t>
      </w:r>
      <w:r w:rsidRPr="001C09AE">
        <w:rPr>
          <w:rFonts w:ascii="Franklin Gothic Book" w:hAnsi="Franklin Gothic Book" w:cstheme="minorHAnsi"/>
          <w:iCs/>
        </w:rPr>
        <w:t xml:space="preserve">aintaining a </w:t>
      </w:r>
      <w:r w:rsidR="0013615A">
        <w:rPr>
          <w:rFonts w:ascii="Franklin Gothic Book" w:hAnsi="Franklin Gothic Book" w:cstheme="minorHAnsi"/>
          <w:iCs/>
        </w:rPr>
        <w:t xml:space="preserve">test </w:t>
      </w:r>
      <w:r w:rsidRPr="001C09AE">
        <w:rPr>
          <w:rFonts w:ascii="Franklin Gothic Book" w:hAnsi="Franklin Gothic Book" w:cstheme="minorHAnsi"/>
          <w:iCs/>
        </w:rPr>
        <w:t>directory, updated at intervals by Australian experts, with agreed genes within a panel test as is done in the</w:t>
      </w:r>
      <w:r w:rsidR="0013615A">
        <w:rPr>
          <w:rFonts w:ascii="Franklin Gothic Book" w:hAnsi="Franklin Gothic Book" w:cstheme="minorHAnsi"/>
          <w:iCs/>
        </w:rPr>
        <w:t xml:space="preserve"> National Health Service England (</w:t>
      </w:r>
      <w:r w:rsidRPr="001C09AE">
        <w:rPr>
          <w:rFonts w:ascii="Franklin Gothic Book" w:hAnsi="Franklin Gothic Book" w:cstheme="minorHAnsi"/>
          <w:iCs/>
        </w:rPr>
        <w:t>NHS</w:t>
      </w:r>
      <w:r>
        <w:rPr>
          <w:rFonts w:ascii="Franklin Gothic Book" w:hAnsi="Franklin Gothic Book" w:cstheme="minorHAnsi"/>
          <w:iCs/>
        </w:rPr>
        <w:t>E</w:t>
      </w:r>
      <w:r w:rsidR="0013615A">
        <w:rPr>
          <w:rFonts w:ascii="Franklin Gothic Book" w:hAnsi="Franklin Gothic Book" w:cstheme="minorHAnsi"/>
          <w:iCs/>
        </w:rPr>
        <w:t>)</w:t>
      </w:r>
      <w:r w:rsidRPr="001C09AE">
        <w:rPr>
          <w:rFonts w:ascii="Franklin Gothic Book" w:hAnsi="Franklin Gothic Book" w:cstheme="minorHAnsi"/>
          <w:iCs/>
        </w:rPr>
        <w:t xml:space="preserve"> Genomic Test Directory, or </w:t>
      </w:r>
      <w:proofErr w:type="gramStart"/>
      <w:r>
        <w:rPr>
          <w:rFonts w:ascii="Franklin Gothic Book" w:hAnsi="Franklin Gothic Book" w:cstheme="minorHAnsi"/>
          <w:iCs/>
        </w:rPr>
        <w:t>similar to</w:t>
      </w:r>
      <w:proofErr w:type="gramEnd"/>
      <w:r w:rsidRPr="001C09AE">
        <w:rPr>
          <w:rFonts w:ascii="Franklin Gothic Book" w:hAnsi="Franklin Gothic Book" w:cstheme="minorHAnsi"/>
          <w:iCs/>
        </w:rPr>
        <w:t xml:space="preserve"> PanelApp</w:t>
      </w:r>
      <w:r>
        <w:rPr>
          <w:rFonts w:ascii="Franklin Gothic Book" w:hAnsi="Franklin Gothic Book" w:cstheme="minorHAnsi"/>
          <w:iCs/>
        </w:rPr>
        <w:t xml:space="preserve"> Australia</w:t>
      </w:r>
      <w:r w:rsidRPr="001C09AE">
        <w:rPr>
          <w:rStyle w:val="FootnoteReference"/>
          <w:rFonts w:ascii="Franklin Gothic Book" w:hAnsi="Franklin Gothic Book" w:cstheme="minorHAnsi"/>
          <w:iCs/>
        </w:rPr>
        <w:footnoteReference w:id="2"/>
      </w:r>
      <w:r w:rsidRPr="001C09AE">
        <w:rPr>
          <w:rFonts w:ascii="Franklin Gothic Book" w:hAnsi="Franklin Gothic Book" w:cstheme="minorHAnsi"/>
          <w:iCs/>
        </w:rPr>
        <w:t>. This would support equitable access to appropriate testing.</w:t>
      </w:r>
    </w:p>
    <w:p w14:paraId="234A09A6" w14:textId="737643A2" w:rsidR="00E45237" w:rsidRPr="001C09AE" w:rsidRDefault="00B435F0" w:rsidP="00B56755">
      <w:pPr>
        <w:pStyle w:val="NormalWeb"/>
        <w:numPr>
          <w:ilvl w:val="0"/>
          <w:numId w:val="10"/>
        </w:numPr>
        <w:spacing w:before="100" w:beforeAutospacing="1" w:after="100" w:afterAutospacing="1"/>
        <w:rPr>
          <w:rFonts w:ascii="Franklin Gothic Book" w:hAnsi="Franklin Gothic Book" w:cstheme="minorHAnsi"/>
          <w:iCs/>
        </w:rPr>
      </w:pPr>
      <w:r>
        <w:rPr>
          <w:rFonts w:ascii="Franklin Gothic Book" w:hAnsi="Franklin Gothic Book" w:cstheme="minorHAnsi"/>
          <w:iCs/>
        </w:rPr>
        <w:t xml:space="preserve">Provision of a detailed list of genes and regions analysed, </w:t>
      </w:r>
      <w:proofErr w:type="gramStart"/>
      <w:r>
        <w:rPr>
          <w:rFonts w:ascii="Franklin Gothic Book" w:hAnsi="Franklin Gothic Book" w:cstheme="minorHAnsi"/>
          <w:iCs/>
        </w:rPr>
        <w:t>similar to</w:t>
      </w:r>
      <w:proofErr w:type="gramEnd"/>
      <w:r>
        <w:rPr>
          <w:rFonts w:ascii="Franklin Gothic Book" w:hAnsi="Franklin Gothic Book" w:cstheme="minorHAnsi"/>
          <w:iCs/>
        </w:rPr>
        <w:t xml:space="preserve"> the</w:t>
      </w:r>
      <w:r w:rsidR="00E45237" w:rsidRPr="001C09AE">
        <w:rPr>
          <w:rFonts w:ascii="Franklin Gothic Book" w:hAnsi="Franklin Gothic Book" w:cstheme="minorHAnsi"/>
          <w:iCs/>
        </w:rPr>
        <w:t xml:space="preserve"> Mayo Clinic</w:t>
      </w:r>
      <w:r>
        <w:rPr>
          <w:rFonts w:ascii="Franklin Gothic Book" w:hAnsi="Franklin Gothic Book" w:cstheme="minorHAnsi"/>
          <w:iCs/>
        </w:rPr>
        <w:t>, which</w:t>
      </w:r>
      <w:r w:rsidR="00E45237" w:rsidRPr="001C09AE">
        <w:rPr>
          <w:rFonts w:ascii="Franklin Gothic Book" w:hAnsi="Franklin Gothic Book" w:cstheme="minorHAnsi"/>
          <w:iCs/>
        </w:rPr>
        <w:t xml:space="preserve"> provides such a list for each of its tests including the targeted DNA gene regions interrogated within their comprehensive </w:t>
      </w:r>
      <w:r w:rsidR="00365C1C">
        <w:rPr>
          <w:rFonts w:ascii="Franklin Gothic Book" w:hAnsi="Franklin Gothic Book" w:cstheme="minorHAnsi"/>
          <w:iCs/>
        </w:rPr>
        <w:t>42</w:t>
      </w:r>
      <w:r w:rsidR="00365C1C" w:rsidRPr="001C09AE">
        <w:rPr>
          <w:rFonts w:ascii="Franklin Gothic Book" w:hAnsi="Franklin Gothic Book" w:cstheme="minorHAnsi"/>
          <w:iCs/>
        </w:rPr>
        <w:t xml:space="preserve">-gene </w:t>
      </w:r>
      <w:r w:rsidR="00365C1C">
        <w:rPr>
          <w:rFonts w:ascii="Franklin Gothic Book" w:hAnsi="Franklin Gothic Book" w:cstheme="minorHAnsi"/>
          <w:iCs/>
        </w:rPr>
        <w:t>Onco-Heme NGS</w:t>
      </w:r>
      <w:r w:rsidR="00E45237" w:rsidRPr="001C09AE">
        <w:rPr>
          <w:rFonts w:ascii="Franklin Gothic Book" w:hAnsi="Franklin Gothic Book" w:cstheme="minorHAnsi"/>
          <w:iCs/>
        </w:rPr>
        <w:t xml:space="preserve"> panel</w:t>
      </w:r>
      <w:r w:rsidR="00E45237" w:rsidRPr="001C09AE">
        <w:rPr>
          <w:rStyle w:val="FootnoteReference"/>
          <w:rFonts w:ascii="Franklin Gothic Book" w:hAnsi="Franklin Gothic Book" w:cstheme="minorHAnsi"/>
          <w:iCs/>
        </w:rPr>
        <w:footnoteReference w:id="3"/>
      </w:r>
      <w:r w:rsidR="00E45237" w:rsidRPr="001C09AE">
        <w:rPr>
          <w:rFonts w:ascii="Franklin Gothic Book" w:hAnsi="Franklin Gothic Book" w:cstheme="minorHAnsi"/>
          <w:iCs/>
        </w:rPr>
        <w:t xml:space="preserve">. </w:t>
      </w:r>
      <w:r>
        <w:rPr>
          <w:rFonts w:ascii="Franklin Gothic Book" w:hAnsi="Franklin Gothic Book" w:cstheme="minorHAnsi"/>
          <w:iCs/>
        </w:rPr>
        <w:t>Although a NATA accreditation requirement, some websites lack sufficient detail to inform clinicians of the scope of testing.</w:t>
      </w:r>
    </w:p>
    <w:p w14:paraId="44C3B242" w14:textId="082ED0D2" w:rsidR="00772829" w:rsidRPr="00CE28E3" w:rsidRDefault="00FA4672" w:rsidP="002A18BE">
      <w:pPr>
        <w:pStyle w:val="Heading2"/>
        <w:numPr>
          <w:ilvl w:val="0"/>
          <w:numId w:val="0"/>
        </w:numPr>
      </w:pPr>
      <w:bookmarkStart w:id="10" w:name="_Toc111754790"/>
      <w:r>
        <w:t>6</w:t>
      </w:r>
      <w:r w:rsidR="00C36633">
        <w:t>.</w:t>
      </w:r>
      <w:r w:rsidR="00C36633">
        <w:tab/>
      </w:r>
      <w:r w:rsidR="00772829" w:rsidRPr="00BA30CB">
        <w:t>Proposal for public funding</w:t>
      </w:r>
      <w:bookmarkEnd w:id="10"/>
    </w:p>
    <w:p w14:paraId="6A2C0B44" w14:textId="4D5EE424" w:rsidR="005F54CE" w:rsidRPr="00BA30CB" w:rsidRDefault="005F54CE" w:rsidP="005F54CE">
      <w:pPr>
        <w:pStyle w:val="NormalWeb"/>
        <w:rPr>
          <w:rFonts w:ascii="Franklin Gothic Book" w:hAnsi="Franklin Gothic Book" w:cstheme="minorHAnsi"/>
        </w:rPr>
      </w:pPr>
      <w:r w:rsidRPr="00BA30CB">
        <w:rPr>
          <w:rFonts w:ascii="Franklin Gothic Book" w:hAnsi="Franklin Gothic Book" w:cstheme="minorHAnsi"/>
        </w:rPr>
        <w:t xml:space="preserve">The proposed technology (or technologies) is an existing technology, though not publicly funded. </w:t>
      </w:r>
    </w:p>
    <w:p w14:paraId="6F67B056" w14:textId="5F999889" w:rsidR="005F54CE" w:rsidRPr="00BA30CB" w:rsidRDefault="005F54CE" w:rsidP="005F54CE">
      <w:pPr>
        <w:pStyle w:val="NormalWeb"/>
        <w:rPr>
          <w:rFonts w:ascii="Franklin Gothic Book" w:hAnsi="Franklin Gothic Book" w:cstheme="minorHAnsi"/>
        </w:rPr>
      </w:pPr>
      <w:r w:rsidRPr="00BA30CB">
        <w:rPr>
          <w:rFonts w:ascii="Franklin Gothic Book" w:hAnsi="Franklin Gothic Book" w:cstheme="minorHAnsi"/>
        </w:rPr>
        <w:t xml:space="preserve">The </w:t>
      </w:r>
      <w:r w:rsidRPr="00BA30CB">
        <w:rPr>
          <w:rFonts w:ascii="Franklin Gothic Book" w:hAnsi="Franklin Gothic Book"/>
        </w:rPr>
        <w:t>proposal intends to build on existing MBS items by creatin</w:t>
      </w:r>
      <w:r w:rsidR="001456BE">
        <w:rPr>
          <w:rFonts w:ascii="Franklin Gothic Book" w:hAnsi="Franklin Gothic Book"/>
        </w:rPr>
        <w:t>g two</w:t>
      </w:r>
      <w:r w:rsidRPr="00BA30CB">
        <w:rPr>
          <w:rFonts w:ascii="Franklin Gothic Book" w:hAnsi="Franklin Gothic Book"/>
        </w:rPr>
        <w:t xml:space="preserve"> new MBS items for </w:t>
      </w:r>
      <w:r w:rsidR="001456BE">
        <w:rPr>
          <w:rFonts w:ascii="Franklin Gothic Book" w:hAnsi="Franklin Gothic Book"/>
        </w:rPr>
        <w:t>two</w:t>
      </w:r>
      <w:r w:rsidR="004D247F">
        <w:rPr>
          <w:rFonts w:ascii="Franklin Gothic Book" w:hAnsi="Franklin Gothic Book"/>
        </w:rPr>
        <w:t xml:space="preserve"> </w:t>
      </w:r>
      <w:r w:rsidRPr="00BA30CB">
        <w:rPr>
          <w:rFonts w:ascii="Franklin Gothic Book" w:hAnsi="Franklin Gothic Book"/>
        </w:rPr>
        <w:t>multi-gene NGS panel with broader coverage than currently provided.</w:t>
      </w:r>
    </w:p>
    <w:p w14:paraId="1E463BCA" w14:textId="20F7313D" w:rsidR="005F54CE" w:rsidRPr="00BA30CB" w:rsidRDefault="00F71240" w:rsidP="005F54CE">
      <w:pPr>
        <w:pStyle w:val="NormalWeb"/>
        <w:rPr>
          <w:rFonts w:ascii="Franklin Gothic Book" w:hAnsi="Franklin Gothic Book" w:cstheme="minorHAnsi"/>
        </w:rPr>
      </w:pPr>
      <w:r>
        <w:rPr>
          <w:rFonts w:ascii="Franklin Gothic Book" w:hAnsi="Franklin Gothic Book" w:cstheme="minorHAnsi"/>
        </w:rPr>
        <w:t>The HTA group raises the following for MSAC</w:t>
      </w:r>
      <w:r w:rsidR="00E6455B">
        <w:rPr>
          <w:rFonts w:ascii="Franklin Gothic Book" w:hAnsi="Franklin Gothic Book" w:cstheme="minorHAnsi"/>
        </w:rPr>
        <w:t>’s</w:t>
      </w:r>
      <w:r>
        <w:rPr>
          <w:rFonts w:ascii="Franklin Gothic Book" w:hAnsi="Franklin Gothic Book" w:cstheme="minorHAnsi"/>
        </w:rPr>
        <w:t xml:space="preserve"> consideration</w:t>
      </w:r>
      <w:r w:rsidR="005F54CE" w:rsidRPr="00BA30CB">
        <w:rPr>
          <w:rFonts w:ascii="Franklin Gothic Book" w:hAnsi="Franklin Gothic Book" w:cstheme="minorHAnsi"/>
        </w:rPr>
        <w:t>:</w:t>
      </w:r>
    </w:p>
    <w:p w14:paraId="0DAEE4A2" w14:textId="4D22A5E2" w:rsidR="0032725D" w:rsidRPr="00BA30CB" w:rsidRDefault="004136F2" w:rsidP="00B56755">
      <w:pPr>
        <w:pStyle w:val="Instructionaltext"/>
        <w:numPr>
          <w:ilvl w:val="0"/>
          <w:numId w:val="11"/>
        </w:numPr>
        <w:rPr>
          <w:rFonts w:cstheme="minorHAnsi"/>
          <w:color w:val="000000" w:themeColor="text1"/>
        </w:rPr>
      </w:pPr>
      <w:bookmarkStart w:id="11" w:name="_Ref69481033"/>
      <w:r>
        <w:rPr>
          <w:rFonts w:cstheme="minorHAnsi"/>
          <w:color w:val="000000" w:themeColor="text1"/>
        </w:rPr>
        <w:t>Per discussion with the Applicant at a meeting on 6 May 2022, t</w:t>
      </w:r>
      <w:r w:rsidR="0032725D" w:rsidRPr="00BA30CB">
        <w:rPr>
          <w:rFonts w:cstheme="minorHAnsi"/>
          <w:color w:val="000000" w:themeColor="text1"/>
        </w:rPr>
        <w:t>he currently proposed testing</w:t>
      </w:r>
      <w:r w:rsidR="00E63198">
        <w:rPr>
          <w:rFonts w:cstheme="minorHAnsi"/>
          <w:color w:val="000000" w:themeColor="text1"/>
        </w:rPr>
        <w:t xml:space="preserve"> is costed</w:t>
      </w:r>
      <w:r w:rsidR="0032725D" w:rsidRPr="00BA30CB">
        <w:rPr>
          <w:rFonts w:cstheme="minorHAnsi"/>
          <w:color w:val="000000" w:themeColor="text1"/>
        </w:rPr>
        <w:t xml:space="preserve"> </w:t>
      </w:r>
      <w:r w:rsidR="00E63198">
        <w:rPr>
          <w:rFonts w:cstheme="minorHAnsi"/>
          <w:color w:val="000000" w:themeColor="text1"/>
        </w:rPr>
        <w:t>for</w:t>
      </w:r>
      <w:r w:rsidR="0032725D" w:rsidRPr="00BA30CB">
        <w:rPr>
          <w:rFonts w:cstheme="minorHAnsi"/>
          <w:color w:val="000000" w:themeColor="text1"/>
        </w:rPr>
        <w:t xml:space="preserve"> </w:t>
      </w:r>
      <w:r w:rsidR="00E63198">
        <w:rPr>
          <w:rFonts w:cstheme="minorHAnsi"/>
          <w:color w:val="000000" w:themeColor="text1"/>
        </w:rPr>
        <w:t>the analysis of DNA not RNA</w:t>
      </w:r>
      <w:r w:rsidR="0032725D" w:rsidRPr="00BA30CB">
        <w:rPr>
          <w:rFonts w:cstheme="minorHAnsi"/>
          <w:color w:val="000000" w:themeColor="text1"/>
        </w:rPr>
        <w:t xml:space="preserve"> within NGS targeted multigene panel testing</w:t>
      </w:r>
      <w:r w:rsidR="000846C3">
        <w:rPr>
          <w:rFonts w:cstheme="minorHAnsi"/>
          <w:color w:val="000000" w:themeColor="text1"/>
        </w:rPr>
        <w:t>.</w:t>
      </w:r>
      <w:r w:rsidR="000846C3" w:rsidRPr="00BA30CB">
        <w:rPr>
          <w:rFonts w:cstheme="minorHAnsi"/>
          <w:color w:val="000000" w:themeColor="text1"/>
        </w:rPr>
        <w:t xml:space="preserve"> </w:t>
      </w:r>
      <w:r w:rsidR="00E63198">
        <w:rPr>
          <w:rFonts w:cstheme="minorHAnsi"/>
          <w:color w:val="000000" w:themeColor="text1"/>
        </w:rPr>
        <w:t>RNA analysis</w:t>
      </w:r>
      <w:r w:rsidR="0032725D" w:rsidRPr="00BA30CB">
        <w:rPr>
          <w:rFonts w:cstheme="minorHAnsi"/>
          <w:color w:val="000000" w:themeColor="text1"/>
        </w:rPr>
        <w:t xml:space="preserve"> is not currently routinely available in Australia</w:t>
      </w:r>
      <w:r w:rsidR="00E6455B">
        <w:rPr>
          <w:rFonts w:cstheme="minorHAnsi"/>
          <w:color w:val="000000" w:themeColor="text1"/>
        </w:rPr>
        <w:t xml:space="preserve"> for haematological malignancies</w:t>
      </w:r>
      <w:r>
        <w:rPr>
          <w:rFonts w:cstheme="minorHAnsi"/>
          <w:color w:val="000000" w:themeColor="text1"/>
        </w:rPr>
        <w:t xml:space="preserve"> (but is evolving rapidly)</w:t>
      </w:r>
      <w:r w:rsidR="00057B30" w:rsidRPr="00BA30CB">
        <w:rPr>
          <w:rFonts w:cstheme="minorHAnsi"/>
          <w:color w:val="000000" w:themeColor="text1"/>
        </w:rPr>
        <w:t xml:space="preserve"> </w:t>
      </w:r>
      <w:r w:rsidR="0032725D" w:rsidRPr="00BA30CB">
        <w:rPr>
          <w:rFonts w:cstheme="minorHAnsi"/>
          <w:color w:val="000000" w:themeColor="text1"/>
        </w:rPr>
        <w:t>and will require resourcing and development of services</w:t>
      </w:r>
      <w:r w:rsidR="007673B3">
        <w:rPr>
          <w:rFonts w:cstheme="minorHAnsi"/>
          <w:color w:val="000000" w:themeColor="text1"/>
        </w:rPr>
        <w:t>. This</w:t>
      </w:r>
      <w:r w:rsidR="00E87111">
        <w:rPr>
          <w:rFonts w:cstheme="minorHAnsi"/>
          <w:color w:val="000000" w:themeColor="text1"/>
        </w:rPr>
        <w:t xml:space="preserve"> </w:t>
      </w:r>
      <w:r w:rsidR="006F5773" w:rsidRPr="00BA30CB">
        <w:rPr>
          <w:rFonts w:cstheme="minorHAnsi"/>
          <w:color w:val="000000" w:themeColor="text1"/>
        </w:rPr>
        <w:t>w</w:t>
      </w:r>
      <w:r w:rsidR="006F5773">
        <w:rPr>
          <w:rFonts w:cstheme="minorHAnsi"/>
          <w:color w:val="000000" w:themeColor="text1"/>
        </w:rPr>
        <w:t>ould substantially expand the</w:t>
      </w:r>
      <w:r w:rsidR="00E63198">
        <w:rPr>
          <w:rFonts w:cstheme="minorHAnsi"/>
          <w:color w:val="000000" w:themeColor="text1"/>
        </w:rPr>
        <w:t xml:space="preserve"> scope of testing (e.g.</w:t>
      </w:r>
      <w:r w:rsidR="004B3B23">
        <w:rPr>
          <w:rFonts w:cstheme="minorHAnsi"/>
          <w:color w:val="000000" w:themeColor="text1"/>
        </w:rPr>
        <w:t>,</w:t>
      </w:r>
      <w:r w:rsidR="00E63198">
        <w:rPr>
          <w:rFonts w:cstheme="minorHAnsi"/>
          <w:color w:val="000000" w:themeColor="text1"/>
        </w:rPr>
        <w:t xml:space="preserve"> to include structural variants),</w:t>
      </w:r>
      <w:r w:rsidR="006F5773" w:rsidRPr="00BA30CB">
        <w:rPr>
          <w:rFonts w:cstheme="minorHAnsi"/>
          <w:color w:val="000000" w:themeColor="text1"/>
        </w:rPr>
        <w:t xml:space="preserve"> clinical utility and diagnostic/prognostic/therapeutic information yield</w:t>
      </w:r>
      <w:r w:rsidR="006F5773">
        <w:rPr>
          <w:rFonts w:cstheme="minorHAnsi"/>
          <w:color w:val="000000" w:themeColor="text1"/>
        </w:rPr>
        <w:t xml:space="preserve"> and further reduce the need for other genetic tests.  It is likely this would require a new item or amendment of the fee for the currently proposed items (if they are supported and implemented at the time of any such application).</w:t>
      </w:r>
    </w:p>
    <w:p w14:paraId="2424F67B" w14:textId="0157D47A" w:rsidR="005F54CE" w:rsidRPr="00BA30CB" w:rsidRDefault="005F54CE" w:rsidP="00B56755">
      <w:pPr>
        <w:pStyle w:val="Instructionaltext"/>
        <w:numPr>
          <w:ilvl w:val="0"/>
          <w:numId w:val="11"/>
        </w:numPr>
        <w:rPr>
          <w:rFonts w:cstheme="minorHAnsi"/>
          <w:color w:val="000000" w:themeColor="text1"/>
        </w:rPr>
      </w:pPr>
      <w:r w:rsidRPr="00BA30CB">
        <w:rPr>
          <w:rFonts w:cstheme="minorHAnsi"/>
          <w:color w:val="000000" w:themeColor="text1"/>
        </w:rPr>
        <w:t>The</w:t>
      </w:r>
      <w:r w:rsidR="009C4CF1" w:rsidRPr="00BA30CB">
        <w:rPr>
          <w:rFonts w:cstheme="minorHAnsi"/>
          <w:color w:val="000000" w:themeColor="text1"/>
        </w:rPr>
        <w:t xml:space="preserve"> Applicant</w:t>
      </w:r>
      <w:r w:rsidRPr="00BA30CB">
        <w:rPr>
          <w:rFonts w:cstheme="minorHAnsi"/>
          <w:color w:val="000000" w:themeColor="text1"/>
        </w:rPr>
        <w:t xml:space="preserve"> nominated </w:t>
      </w:r>
      <w:r w:rsidR="009C4CF1" w:rsidRPr="00BA30CB">
        <w:rPr>
          <w:rFonts w:cstheme="minorHAnsi"/>
          <w:color w:val="000000" w:themeColor="text1"/>
        </w:rPr>
        <w:t>a panel size of at least 25 genes</w:t>
      </w:r>
      <w:r w:rsidR="00F14529" w:rsidRPr="00BA30CB">
        <w:rPr>
          <w:rFonts w:cstheme="minorHAnsi"/>
          <w:color w:val="000000" w:themeColor="text1"/>
        </w:rPr>
        <w:t xml:space="preserve"> each</w:t>
      </w:r>
      <w:r w:rsidR="009C4CF1" w:rsidRPr="00BA30CB">
        <w:rPr>
          <w:rFonts w:cstheme="minorHAnsi"/>
          <w:color w:val="000000" w:themeColor="text1"/>
        </w:rPr>
        <w:t xml:space="preserve"> for the myeloid and lymphoid panels</w:t>
      </w:r>
      <w:r w:rsidR="00F14529" w:rsidRPr="00BA30CB">
        <w:rPr>
          <w:rFonts w:cstheme="minorHAnsi"/>
          <w:color w:val="000000" w:themeColor="text1"/>
        </w:rPr>
        <w:t>, with a list of ‘exemplar’</w:t>
      </w:r>
      <w:r w:rsidRPr="00BA30CB">
        <w:rPr>
          <w:rFonts w:cstheme="minorHAnsi"/>
          <w:color w:val="000000" w:themeColor="text1"/>
        </w:rPr>
        <w:t xml:space="preserve"> genes</w:t>
      </w:r>
      <w:r w:rsidR="00F14529" w:rsidRPr="00BA30CB">
        <w:rPr>
          <w:rFonts w:cstheme="minorHAnsi"/>
          <w:color w:val="000000" w:themeColor="text1"/>
        </w:rPr>
        <w:t xml:space="preserve"> for each from which candidate genes could be drawn.</w:t>
      </w:r>
      <w:r w:rsidRPr="00BA30CB">
        <w:rPr>
          <w:rFonts w:cstheme="minorHAnsi"/>
          <w:color w:val="000000" w:themeColor="text1"/>
        </w:rPr>
        <w:t xml:space="preserve"> </w:t>
      </w:r>
      <w:r w:rsidR="00F14529" w:rsidRPr="00BA30CB">
        <w:rPr>
          <w:rFonts w:cstheme="minorHAnsi"/>
          <w:color w:val="000000" w:themeColor="text1"/>
        </w:rPr>
        <w:t xml:space="preserve">The exact </w:t>
      </w:r>
      <w:r w:rsidR="001E5340">
        <w:rPr>
          <w:rFonts w:cstheme="minorHAnsi"/>
          <w:color w:val="000000" w:themeColor="text1"/>
        </w:rPr>
        <w:t>composition</w:t>
      </w:r>
      <w:r w:rsidR="00F14529" w:rsidRPr="00BA30CB">
        <w:rPr>
          <w:rFonts w:cstheme="minorHAnsi"/>
          <w:color w:val="000000" w:themeColor="text1"/>
        </w:rPr>
        <w:t xml:space="preserve"> of a panel could be at the discretion of the </w:t>
      </w:r>
      <w:proofErr w:type="gramStart"/>
      <w:r w:rsidR="00F14529" w:rsidRPr="00BA30CB">
        <w:rPr>
          <w:rFonts w:cstheme="minorHAnsi"/>
          <w:color w:val="000000" w:themeColor="text1"/>
        </w:rPr>
        <w:t>provider</w:t>
      </w:r>
      <w:proofErr w:type="gramEnd"/>
      <w:r w:rsidR="00F14529" w:rsidRPr="00BA30CB">
        <w:rPr>
          <w:rFonts w:cstheme="minorHAnsi"/>
          <w:color w:val="000000" w:themeColor="text1"/>
        </w:rPr>
        <w:t xml:space="preserve"> but </w:t>
      </w:r>
      <w:r w:rsidR="00F267B1">
        <w:rPr>
          <w:rFonts w:cstheme="minorHAnsi"/>
          <w:color w:val="000000" w:themeColor="text1"/>
        </w:rPr>
        <w:t>this may not be consistent</w:t>
      </w:r>
      <w:r w:rsidR="001E5340">
        <w:rPr>
          <w:rFonts w:cstheme="minorHAnsi"/>
          <w:color w:val="000000" w:themeColor="text1"/>
        </w:rPr>
        <w:t xml:space="preserve"> in the absence of a </w:t>
      </w:r>
      <w:r w:rsidR="004B3B23">
        <w:rPr>
          <w:rFonts w:cstheme="minorHAnsi"/>
          <w:color w:val="000000" w:themeColor="text1"/>
        </w:rPr>
        <w:t xml:space="preserve">test </w:t>
      </w:r>
      <w:r w:rsidR="001E5340">
        <w:rPr>
          <w:rFonts w:cstheme="minorHAnsi"/>
          <w:color w:val="000000" w:themeColor="text1"/>
        </w:rPr>
        <w:t>directory</w:t>
      </w:r>
      <w:r w:rsidR="0032725D" w:rsidRPr="00BA30CB">
        <w:rPr>
          <w:rFonts w:cstheme="minorHAnsi"/>
          <w:color w:val="000000" w:themeColor="text1"/>
        </w:rPr>
        <w:t>.</w:t>
      </w:r>
    </w:p>
    <w:p w14:paraId="39109B82" w14:textId="40E466B3" w:rsidR="005F54CE" w:rsidRPr="00BA30CB" w:rsidRDefault="005F54CE" w:rsidP="00B56755">
      <w:pPr>
        <w:pStyle w:val="Instructionaltext"/>
        <w:numPr>
          <w:ilvl w:val="0"/>
          <w:numId w:val="11"/>
        </w:numPr>
        <w:rPr>
          <w:rFonts w:cstheme="minorHAnsi"/>
          <w:color w:val="000000" w:themeColor="text1"/>
        </w:rPr>
      </w:pPr>
      <w:r w:rsidRPr="00BA30CB">
        <w:rPr>
          <w:rFonts w:cstheme="minorHAnsi"/>
          <w:color w:val="000000" w:themeColor="text1"/>
        </w:rPr>
        <w:lastRenderedPageBreak/>
        <w:t xml:space="preserve">The application lacks detail about the genes and the types of variants that are required to be tested to be fit for purpose. </w:t>
      </w:r>
      <w:r w:rsidR="00612336" w:rsidRPr="00BA30CB">
        <w:rPr>
          <w:rFonts w:cstheme="minorHAnsi"/>
          <w:color w:val="000000" w:themeColor="text1"/>
        </w:rPr>
        <w:t>This reflects the breadth and heterogeneity of the conditions captured within the term</w:t>
      </w:r>
      <w:r w:rsidR="00D06BD2">
        <w:rPr>
          <w:rFonts w:cstheme="minorHAnsi"/>
          <w:color w:val="000000" w:themeColor="text1"/>
        </w:rPr>
        <w:t>s</w:t>
      </w:r>
      <w:r w:rsidR="00612336" w:rsidRPr="00BA30CB">
        <w:rPr>
          <w:rFonts w:cstheme="minorHAnsi"/>
          <w:color w:val="000000" w:themeColor="text1"/>
        </w:rPr>
        <w:t xml:space="preserve"> ‘</w:t>
      </w:r>
      <w:r w:rsidR="00D06BD2">
        <w:rPr>
          <w:rFonts w:cstheme="minorHAnsi"/>
          <w:color w:val="000000" w:themeColor="text1"/>
        </w:rPr>
        <w:t>myeloid</w:t>
      </w:r>
      <w:r w:rsidR="00612336" w:rsidRPr="00BA30CB">
        <w:rPr>
          <w:rFonts w:cstheme="minorHAnsi"/>
          <w:color w:val="000000" w:themeColor="text1"/>
        </w:rPr>
        <w:t xml:space="preserve"> malignancy’</w:t>
      </w:r>
      <w:r w:rsidR="00D06BD2">
        <w:rPr>
          <w:rFonts w:cstheme="minorHAnsi"/>
          <w:color w:val="000000" w:themeColor="text1"/>
        </w:rPr>
        <w:t xml:space="preserve"> and ‘lymphoid malignancy’</w:t>
      </w:r>
      <w:r w:rsidR="00180423" w:rsidRPr="00BA30CB">
        <w:rPr>
          <w:rFonts w:cstheme="minorHAnsi"/>
          <w:color w:val="000000" w:themeColor="text1"/>
        </w:rPr>
        <w:t xml:space="preserve"> </w:t>
      </w:r>
      <w:proofErr w:type="gramStart"/>
      <w:r w:rsidR="00180423" w:rsidRPr="00BA30CB">
        <w:rPr>
          <w:rFonts w:cstheme="minorHAnsi"/>
          <w:color w:val="000000" w:themeColor="text1"/>
        </w:rPr>
        <w:t>and also</w:t>
      </w:r>
      <w:proofErr w:type="gramEnd"/>
      <w:r w:rsidR="00180423" w:rsidRPr="00BA30CB">
        <w:rPr>
          <w:rFonts w:cstheme="minorHAnsi"/>
          <w:color w:val="000000" w:themeColor="text1"/>
        </w:rPr>
        <w:t xml:space="preserve"> the lack of a test directory to accompany the application, and guide providers, requesters and patients.</w:t>
      </w:r>
    </w:p>
    <w:p w14:paraId="4D2AA75D" w14:textId="48E39B3C" w:rsidR="005F54CE" w:rsidRPr="00BA30CB" w:rsidRDefault="005F54CE" w:rsidP="00B56755">
      <w:pPr>
        <w:pStyle w:val="NormalWeb"/>
        <w:numPr>
          <w:ilvl w:val="1"/>
          <w:numId w:val="11"/>
        </w:numPr>
        <w:spacing w:before="100" w:beforeAutospacing="1" w:after="100" w:afterAutospacing="1"/>
        <w:rPr>
          <w:rFonts w:ascii="Franklin Gothic Book" w:hAnsi="Franklin Gothic Book" w:cstheme="minorHAnsi"/>
        </w:rPr>
      </w:pPr>
      <w:r w:rsidRPr="00BA30CB">
        <w:rPr>
          <w:rFonts w:ascii="Franklin Gothic Book" w:hAnsi="Franklin Gothic Book" w:cstheme="minorHAnsi"/>
          <w:color w:val="000000" w:themeColor="text1"/>
        </w:rPr>
        <w:t xml:space="preserve">Currently, </w:t>
      </w:r>
      <w:r w:rsidR="00612336" w:rsidRPr="00BA30CB">
        <w:rPr>
          <w:rFonts w:ascii="Franklin Gothic Book" w:hAnsi="Franklin Gothic Book" w:cstheme="minorHAnsi"/>
          <w:color w:val="000000" w:themeColor="text1"/>
        </w:rPr>
        <w:t>no</w:t>
      </w:r>
      <w:r w:rsidRPr="00BA30CB">
        <w:rPr>
          <w:rFonts w:ascii="Franklin Gothic Book" w:hAnsi="Franklin Gothic Book" w:cstheme="minorHAnsi"/>
          <w:color w:val="000000" w:themeColor="text1"/>
        </w:rPr>
        <w:t xml:space="preserve"> genes or copy number variants are nominated as essential in the Applicant’s proposed panel and the intended scope and costing allow for </w:t>
      </w:r>
      <w:r w:rsidR="001456BE">
        <w:rPr>
          <w:rFonts w:ascii="Franklin Gothic Book" w:hAnsi="Franklin Gothic Book" w:cstheme="minorHAnsi"/>
          <w:color w:val="000000" w:themeColor="text1"/>
        </w:rPr>
        <w:t>at least</w:t>
      </w:r>
      <w:r w:rsidRPr="00BA30CB">
        <w:rPr>
          <w:rFonts w:ascii="Franklin Gothic Book" w:hAnsi="Franklin Gothic Book" w:cstheme="minorHAnsi"/>
          <w:color w:val="000000" w:themeColor="text1"/>
        </w:rPr>
        <w:t xml:space="preserve"> 25 genes in total; however, the Applicant’s experts </w:t>
      </w:r>
      <w:r w:rsidR="000414B8" w:rsidRPr="00BA30CB">
        <w:rPr>
          <w:rFonts w:ascii="Franklin Gothic Book" w:hAnsi="Franklin Gothic Book" w:cstheme="minorHAnsi"/>
          <w:color w:val="000000" w:themeColor="text1"/>
        </w:rPr>
        <w:t>included only a subset of</w:t>
      </w:r>
      <w:r w:rsidRPr="00BA30CB">
        <w:rPr>
          <w:rFonts w:ascii="Franklin Gothic Book" w:hAnsi="Franklin Gothic Book" w:cstheme="minorHAnsi"/>
          <w:color w:val="000000" w:themeColor="text1"/>
        </w:rPr>
        <w:t xml:space="preserve"> WHO list </w:t>
      </w:r>
      <w:r w:rsidR="000414B8" w:rsidRPr="00BA30CB">
        <w:rPr>
          <w:rFonts w:ascii="Franklin Gothic Book" w:hAnsi="Franklin Gothic Book" w:cstheme="minorHAnsi"/>
          <w:color w:val="000000" w:themeColor="text1"/>
        </w:rPr>
        <w:t>81</w:t>
      </w:r>
      <w:r w:rsidRPr="00BA30CB">
        <w:rPr>
          <w:rFonts w:ascii="Franklin Gothic Book" w:hAnsi="Franklin Gothic Book" w:cstheme="minorHAnsi"/>
          <w:color w:val="000000" w:themeColor="text1"/>
        </w:rPr>
        <w:t xml:space="preserve"> genes </w:t>
      </w:r>
      <w:r w:rsidR="000414B8" w:rsidRPr="00BA30CB">
        <w:rPr>
          <w:rFonts w:ascii="Franklin Gothic Book" w:hAnsi="Franklin Gothic Book" w:cstheme="minorHAnsi"/>
          <w:color w:val="000000" w:themeColor="text1"/>
        </w:rPr>
        <w:t xml:space="preserve">where variants would be detectable using DNA analysis within an NGS panel. </w:t>
      </w:r>
      <w:r w:rsidRPr="00BA30CB">
        <w:rPr>
          <w:rFonts w:ascii="Franklin Gothic Book" w:hAnsi="Franklin Gothic Book" w:cstheme="minorHAnsi"/>
          <w:color w:val="000000" w:themeColor="text1"/>
        </w:rPr>
        <w:t xml:space="preserve">Which 25 genes are to be included? It is difficult to convey within the confines of an item descriptor the expected panel size necessary to be fit-for-purpose when only a subset of the WHO </w:t>
      </w:r>
      <w:r w:rsidR="00F14529" w:rsidRPr="00BA30CB">
        <w:rPr>
          <w:rFonts w:ascii="Franklin Gothic Book" w:hAnsi="Franklin Gothic Book" w:cstheme="minorHAnsi"/>
          <w:color w:val="000000" w:themeColor="text1"/>
        </w:rPr>
        <w:t>classification</w:t>
      </w:r>
      <w:r w:rsidR="001456BE">
        <w:rPr>
          <w:rFonts w:ascii="Franklin Gothic Book" w:hAnsi="Franklin Gothic Book" w:cstheme="minorHAnsi"/>
          <w:color w:val="000000" w:themeColor="text1"/>
        </w:rPr>
        <w:t xml:space="preserve"> and other prognostic</w:t>
      </w:r>
      <w:r w:rsidRPr="00BA30CB">
        <w:rPr>
          <w:rFonts w:ascii="Franklin Gothic Book" w:hAnsi="Franklin Gothic Book" w:cstheme="minorHAnsi"/>
          <w:color w:val="000000" w:themeColor="text1"/>
        </w:rPr>
        <w:t xml:space="preserve"> genes are provided for. Testing limited to just the Applicant’s</w:t>
      </w:r>
      <w:r w:rsidR="00AA6DAA">
        <w:rPr>
          <w:rFonts w:ascii="Franklin Gothic Book" w:hAnsi="Franklin Gothic Book" w:cstheme="minorHAnsi"/>
          <w:color w:val="000000" w:themeColor="text1"/>
        </w:rPr>
        <w:t xml:space="preserve"> candidate</w:t>
      </w:r>
      <w:r w:rsidRPr="00BA30CB">
        <w:rPr>
          <w:rFonts w:ascii="Franklin Gothic Book" w:hAnsi="Franklin Gothic Book" w:cstheme="minorHAnsi"/>
          <w:color w:val="000000" w:themeColor="text1"/>
        </w:rPr>
        <w:t xml:space="preserve"> genes </w:t>
      </w:r>
      <w:r w:rsidR="00AA6DAA">
        <w:rPr>
          <w:rFonts w:ascii="Franklin Gothic Book" w:hAnsi="Franklin Gothic Book" w:cstheme="minorHAnsi"/>
          <w:color w:val="000000" w:themeColor="text1"/>
        </w:rPr>
        <w:t>might</w:t>
      </w:r>
      <w:r w:rsidRPr="00BA30CB">
        <w:rPr>
          <w:rFonts w:ascii="Franklin Gothic Book" w:hAnsi="Franklin Gothic Book" w:cstheme="minorHAnsi"/>
          <w:color w:val="000000" w:themeColor="text1"/>
        </w:rPr>
        <w:t xml:space="preserve"> meet the requirements for the claiming the fee but not</w:t>
      </w:r>
      <w:r w:rsidR="00AA6DAA">
        <w:rPr>
          <w:rFonts w:ascii="Franklin Gothic Book" w:hAnsi="Franklin Gothic Book" w:cstheme="minorHAnsi"/>
          <w:color w:val="000000" w:themeColor="text1"/>
        </w:rPr>
        <w:t xml:space="preserve"> necessarily</w:t>
      </w:r>
      <w:r w:rsidRPr="00BA30CB">
        <w:rPr>
          <w:rFonts w:ascii="Franklin Gothic Book" w:hAnsi="Franklin Gothic Book" w:cstheme="minorHAnsi"/>
          <w:color w:val="000000" w:themeColor="text1"/>
        </w:rPr>
        <w:t xml:space="preserve"> adequately characterise all </w:t>
      </w:r>
      <w:r w:rsidR="000414B8" w:rsidRPr="00BA30CB">
        <w:rPr>
          <w:rFonts w:ascii="Franklin Gothic Book" w:hAnsi="Franklin Gothic Book" w:cstheme="minorHAnsi"/>
          <w:color w:val="000000" w:themeColor="text1"/>
        </w:rPr>
        <w:t>haematological malignancies</w:t>
      </w:r>
      <w:r w:rsidRPr="00BA30CB">
        <w:rPr>
          <w:rFonts w:ascii="Franklin Gothic Book" w:hAnsi="Franklin Gothic Book" w:cstheme="minorHAnsi"/>
          <w:color w:val="000000" w:themeColor="text1"/>
        </w:rPr>
        <w:t>.</w:t>
      </w:r>
    </w:p>
    <w:p w14:paraId="19391E6A" w14:textId="2B5892DB" w:rsidR="005F54CE" w:rsidRPr="00BA30CB" w:rsidRDefault="005F54CE" w:rsidP="00B56755">
      <w:pPr>
        <w:pStyle w:val="NormalWeb"/>
        <w:numPr>
          <w:ilvl w:val="1"/>
          <w:numId w:val="11"/>
        </w:numPr>
        <w:spacing w:before="100" w:beforeAutospacing="1" w:after="100" w:afterAutospacing="1"/>
        <w:rPr>
          <w:rFonts w:ascii="Franklin Gothic Book" w:hAnsi="Franklin Gothic Book" w:cstheme="minorHAnsi"/>
        </w:rPr>
      </w:pPr>
      <w:r w:rsidRPr="00BA30CB">
        <w:rPr>
          <w:rFonts w:ascii="Franklin Gothic Book" w:hAnsi="Franklin Gothic Book" w:cstheme="minorHAnsi"/>
          <w:color w:val="000000" w:themeColor="text1"/>
        </w:rPr>
        <w:t xml:space="preserve">The application does not define the diagnostic pathway or funding source for further investigations for patients still without a diagnosis after being tested with the proposed panel size, which may lead to a higher undiagnosed rate </w:t>
      </w:r>
      <w:r w:rsidRPr="00BA30CB">
        <w:rPr>
          <w:rFonts w:ascii="Franklin Gothic Book" w:hAnsi="Franklin Gothic Book" w:cstheme="minorHAnsi"/>
        </w:rPr>
        <w:t xml:space="preserve">and require other additional testing and </w:t>
      </w:r>
      <w:r w:rsidR="004D1917" w:rsidRPr="00BA30CB">
        <w:rPr>
          <w:rFonts w:ascii="Franklin Gothic Book" w:hAnsi="Franklin Gothic Book" w:cstheme="minorHAnsi"/>
        </w:rPr>
        <w:t>potential</w:t>
      </w:r>
      <w:r w:rsidR="004D1917">
        <w:rPr>
          <w:rFonts w:ascii="Franklin Gothic Book" w:hAnsi="Franklin Gothic Book" w:cstheme="minorHAnsi"/>
        </w:rPr>
        <w:t>ly</w:t>
      </w:r>
      <w:r w:rsidRPr="00BA30CB">
        <w:rPr>
          <w:rFonts w:ascii="Franklin Gothic Book" w:hAnsi="Franklin Gothic Book" w:cstheme="minorHAnsi"/>
        </w:rPr>
        <w:t xml:space="preserve"> lead to equity issues.</w:t>
      </w:r>
    </w:p>
    <w:p w14:paraId="2660F0CA" w14:textId="551B45E5" w:rsidR="008534F3" w:rsidRPr="008534F3" w:rsidRDefault="00BE0574" w:rsidP="00B56755">
      <w:pPr>
        <w:pStyle w:val="NormalWeb"/>
        <w:numPr>
          <w:ilvl w:val="0"/>
          <w:numId w:val="11"/>
        </w:numPr>
        <w:spacing w:before="100" w:beforeAutospacing="1" w:after="100" w:afterAutospacing="1"/>
        <w:rPr>
          <w:rFonts w:ascii="Franklin Gothic Book" w:hAnsi="Franklin Gothic Book" w:cstheme="minorHAnsi"/>
          <w:iCs/>
        </w:rPr>
      </w:pPr>
      <w:r>
        <w:rPr>
          <w:rFonts w:ascii="Franklin Gothic Book" w:hAnsi="Franklin Gothic Book" w:cstheme="minorHAnsi"/>
          <w:color w:val="000000" w:themeColor="text1"/>
        </w:rPr>
        <w:t xml:space="preserve">Germline variants are found </w:t>
      </w:r>
      <w:r w:rsidR="00FA0F73">
        <w:rPr>
          <w:rFonts w:ascii="Franklin Gothic Book" w:hAnsi="Franklin Gothic Book" w:cstheme="minorHAnsi"/>
          <w:color w:val="000000" w:themeColor="text1"/>
        </w:rPr>
        <w:t xml:space="preserve">in </w:t>
      </w:r>
      <w:r>
        <w:rPr>
          <w:rFonts w:ascii="Franklin Gothic Book" w:hAnsi="Franklin Gothic Book" w:cstheme="minorHAnsi"/>
          <w:color w:val="000000" w:themeColor="text1"/>
        </w:rPr>
        <w:t xml:space="preserve">approximately 10% of all </w:t>
      </w:r>
      <w:r w:rsidR="00611C7A">
        <w:rPr>
          <w:rFonts w:ascii="Franklin Gothic Book" w:hAnsi="Franklin Gothic Book" w:cstheme="minorHAnsi"/>
          <w:color w:val="000000" w:themeColor="text1"/>
        </w:rPr>
        <w:t>MDS/AML</w:t>
      </w:r>
      <w:r w:rsidR="00611C7A">
        <w:rPr>
          <w:rStyle w:val="FootnoteReference"/>
          <w:rFonts w:ascii="Franklin Gothic Book" w:hAnsi="Franklin Gothic Book" w:cstheme="minorHAnsi"/>
          <w:color w:val="000000" w:themeColor="text1"/>
        </w:rPr>
        <w:footnoteReference w:id="4"/>
      </w:r>
      <w:r>
        <w:rPr>
          <w:rFonts w:ascii="Franklin Gothic Book" w:hAnsi="Franklin Gothic Book" w:cstheme="minorHAnsi"/>
          <w:color w:val="000000" w:themeColor="text1"/>
        </w:rPr>
        <w:t xml:space="preserve">, </w:t>
      </w:r>
      <w:r w:rsidR="00520AB5">
        <w:rPr>
          <w:rFonts w:ascii="Franklin Gothic Book" w:hAnsi="Franklin Gothic Book" w:cstheme="minorHAnsi"/>
          <w:color w:val="000000" w:themeColor="text1"/>
        </w:rPr>
        <w:t>with</w:t>
      </w:r>
      <w:r w:rsidR="00206C0C">
        <w:rPr>
          <w:rFonts w:ascii="Franklin Gothic Book" w:hAnsi="Franklin Gothic Book" w:cstheme="minorHAnsi"/>
          <w:color w:val="000000" w:themeColor="text1"/>
        </w:rPr>
        <w:t xml:space="preserve"> higher rates </w:t>
      </w:r>
      <w:proofErr w:type="gramStart"/>
      <w:r w:rsidR="00206C0C">
        <w:rPr>
          <w:rFonts w:ascii="Franklin Gothic Book" w:hAnsi="Franklin Gothic Book" w:cstheme="minorHAnsi"/>
          <w:color w:val="000000" w:themeColor="text1"/>
        </w:rPr>
        <w:t>where</w:t>
      </w:r>
      <w:proofErr w:type="gramEnd"/>
      <w:r w:rsidR="00206C0C">
        <w:rPr>
          <w:rFonts w:ascii="Franklin Gothic Book" w:hAnsi="Franklin Gothic Book" w:cstheme="minorHAnsi"/>
          <w:color w:val="000000" w:themeColor="text1"/>
        </w:rPr>
        <w:t xml:space="preserve"> enriched by personal history of a prior malignancy, prior cancer treatment</w:t>
      </w:r>
      <w:r w:rsidR="00206C0C">
        <w:rPr>
          <w:rStyle w:val="FootnoteReference"/>
          <w:rFonts w:ascii="Franklin Gothic Book" w:hAnsi="Franklin Gothic Book" w:cstheme="minorHAnsi"/>
          <w:color w:val="000000" w:themeColor="text1"/>
        </w:rPr>
        <w:footnoteReference w:id="5"/>
      </w:r>
      <w:r w:rsidR="00206C0C">
        <w:rPr>
          <w:rFonts w:ascii="Franklin Gothic Book" w:hAnsi="Franklin Gothic Book" w:cstheme="minorHAnsi"/>
          <w:color w:val="000000" w:themeColor="text1"/>
        </w:rPr>
        <w:t xml:space="preserve"> or family history</w:t>
      </w:r>
      <w:r w:rsidR="007D01C0">
        <w:rPr>
          <w:rFonts w:ascii="Franklin Gothic Book" w:hAnsi="Franklin Gothic Book" w:cstheme="minorHAnsi"/>
          <w:color w:val="000000" w:themeColor="text1"/>
        </w:rPr>
        <w:t>.</w:t>
      </w:r>
      <w:r w:rsidR="00206C0C" w:rsidRPr="00442E76">
        <w:rPr>
          <w:rFonts w:ascii="Franklin Gothic Book" w:hAnsi="Franklin Gothic Book" w:cstheme="minorHAnsi"/>
          <w:color w:val="000000" w:themeColor="text1"/>
          <w:vertAlign w:val="superscript"/>
        </w:rPr>
        <w:fldChar w:fldCharType="begin"/>
      </w:r>
      <w:r w:rsidR="00206C0C" w:rsidRPr="00442E76">
        <w:rPr>
          <w:rFonts w:ascii="Franklin Gothic Book" w:hAnsi="Franklin Gothic Book" w:cstheme="minorHAnsi"/>
          <w:color w:val="000000" w:themeColor="text1"/>
          <w:vertAlign w:val="superscript"/>
        </w:rPr>
        <w:instrText xml:space="preserve"> NOTEREF _Ref106709714 \h  \* MERGEFORMAT </w:instrText>
      </w:r>
      <w:r w:rsidR="00206C0C" w:rsidRPr="00442E76">
        <w:rPr>
          <w:rFonts w:ascii="Franklin Gothic Book" w:hAnsi="Franklin Gothic Book" w:cstheme="minorHAnsi"/>
          <w:color w:val="000000" w:themeColor="text1"/>
          <w:vertAlign w:val="superscript"/>
        </w:rPr>
      </w:r>
      <w:r w:rsidR="00206C0C" w:rsidRPr="00442E76">
        <w:rPr>
          <w:rFonts w:ascii="Franklin Gothic Book" w:hAnsi="Franklin Gothic Book" w:cstheme="minorHAnsi"/>
          <w:color w:val="000000" w:themeColor="text1"/>
          <w:vertAlign w:val="superscript"/>
        </w:rPr>
        <w:fldChar w:fldCharType="separate"/>
      </w:r>
      <w:r w:rsidR="00A165AD">
        <w:rPr>
          <w:rFonts w:ascii="Franklin Gothic Book" w:hAnsi="Franklin Gothic Book" w:cstheme="minorHAnsi"/>
          <w:color w:val="000000" w:themeColor="text1"/>
          <w:vertAlign w:val="superscript"/>
        </w:rPr>
        <w:t>5</w:t>
      </w:r>
      <w:r w:rsidR="00206C0C" w:rsidRPr="00442E76">
        <w:rPr>
          <w:rFonts w:ascii="Franklin Gothic Book" w:hAnsi="Franklin Gothic Book" w:cstheme="minorHAnsi"/>
          <w:color w:val="000000" w:themeColor="text1"/>
          <w:vertAlign w:val="superscript"/>
        </w:rPr>
        <w:fldChar w:fldCharType="end"/>
      </w:r>
      <w:r w:rsidR="007D01C0">
        <w:rPr>
          <w:rFonts w:ascii="Franklin Gothic Book" w:hAnsi="Franklin Gothic Book" w:cstheme="minorHAnsi"/>
          <w:color w:val="000000" w:themeColor="text1"/>
          <w:vertAlign w:val="superscript"/>
        </w:rPr>
        <w:t xml:space="preserve"> </w:t>
      </w:r>
    </w:p>
    <w:p w14:paraId="733089FC" w14:textId="2C0EBB26" w:rsidR="00015CDE" w:rsidRPr="00EC5081" w:rsidRDefault="00015CDE" w:rsidP="00B56755">
      <w:pPr>
        <w:pStyle w:val="NormalWeb"/>
        <w:numPr>
          <w:ilvl w:val="1"/>
          <w:numId w:val="11"/>
        </w:numPr>
        <w:spacing w:before="100" w:beforeAutospacing="1" w:after="100" w:afterAutospacing="1"/>
        <w:rPr>
          <w:rFonts w:ascii="Franklin Gothic Book" w:hAnsi="Franklin Gothic Book" w:cstheme="minorHAnsi"/>
          <w:iCs/>
        </w:rPr>
      </w:pPr>
      <w:r w:rsidRPr="00BA30CB">
        <w:rPr>
          <w:rFonts w:ascii="Franklin Gothic Book" w:hAnsi="Franklin Gothic Book" w:cstheme="minorHAnsi"/>
          <w:color w:val="000000" w:themeColor="text1"/>
        </w:rPr>
        <w:t xml:space="preserve">WHO HAEM5 has a specific new chapter for haematological malignancies </w:t>
      </w:r>
      <w:r>
        <w:rPr>
          <w:rFonts w:ascii="Franklin Gothic Book" w:hAnsi="Franklin Gothic Book" w:cstheme="minorHAnsi"/>
          <w:color w:val="000000" w:themeColor="text1"/>
        </w:rPr>
        <w:t>with a</w:t>
      </w:r>
      <w:r w:rsidRPr="00BA30CB">
        <w:rPr>
          <w:rFonts w:ascii="Franklin Gothic Book" w:hAnsi="Franklin Gothic Book" w:cstheme="minorHAnsi"/>
          <w:color w:val="000000" w:themeColor="text1"/>
        </w:rPr>
        <w:t xml:space="preserve"> germline </w:t>
      </w:r>
      <w:r>
        <w:rPr>
          <w:rFonts w:ascii="Franklin Gothic Book" w:hAnsi="Franklin Gothic Book" w:cstheme="minorHAnsi"/>
          <w:color w:val="000000" w:themeColor="text1"/>
        </w:rPr>
        <w:t xml:space="preserve">pathogenic </w:t>
      </w:r>
      <w:proofErr w:type="gramStart"/>
      <w:r w:rsidRPr="00BA30CB">
        <w:rPr>
          <w:rFonts w:ascii="Franklin Gothic Book" w:hAnsi="Franklin Gothic Book" w:cstheme="minorHAnsi"/>
          <w:color w:val="000000" w:themeColor="text1"/>
        </w:rPr>
        <w:t>variant.</w:t>
      </w:r>
      <w:proofErr w:type="gramEnd"/>
      <w:r>
        <w:rPr>
          <w:rFonts w:ascii="Franklin Gothic Book" w:hAnsi="Franklin Gothic Book" w:cstheme="minorHAnsi"/>
          <w:color w:val="000000" w:themeColor="text1"/>
        </w:rPr>
        <w:t xml:space="preserve"> </w:t>
      </w:r>
      <w:r w:rsidRPr="00BA30CB">
        <w:rPr>
          <w:rFonts w:ascii="Franklin Gothic Book" w:hAnsi="Franklin Gothic Book" w:cstheme="minorHAnsi"/>
          <w:color w:val="000000" w:themeColor="text1"/>
        </w:rPr>
        <w:t>Germline pathogenic variants in the haematological cancer predisposition genes – in order of decreasing frequency</w:t>
      </w:r>
      <w:r>
        <w:rPr>
          <w:rFonts w:ascii="Franklin Gothic Book" w:hAnsi="Franklin Gothic Book" w:cstheme="minorHAnsi"/>
          <w:color w:val="000000" w:themeColor="text1"/>
        </w:rPr>
        <w:t xml:space="preserve"> </w:t>
      </w:r>
      <w:r w:rsidRPr="00E848BE">
        <w:rPr>
          <w:rFonts w:ascii="Franklin Gothic Book" w:hAnsi="Franklin Gothic Book" w:cstheme="minorHAnsi"/>
          <w:i/>
          <w:iCs/>
          <w:color w:val="000000" w:themeColor="text1"/>
        </w:rPr>
        <w:t>RUNX1, DDX41</w:t>
      </w:r>
      <w:r>
        <w:rPr>
          <w:rFonts w:ascii="Franklin Gothic Book" w:hAnsi="Franklin Gothic Book" w:cstheme="minorHAnsi"/>
          <w:i/>
          <w:iCs/>
          <w:color w:val="000000" w:themeColor="text1"/>
        </w:rPr>
        <w:t xml:space="preserve">, </w:t>
      </w:r>
      <w:r w:rsidRPr="00E848BE">
        <w:rPr>
          <w:rFonts w:ascii="Franklin Gothic Book" w:hAnsi="Franklin Gothic Book" w:cstheme="minorHAnsi"/>
          <w:i/>
          <w:iCs/>
          <w:color w:val="000000" w:themeColor="text1"/>
        </w:rPr>
        <w:t>GATA2,</w:t>
      </w:r>
      <w:r>
        <w:rPr>
          <w:rFonts w:ascii="Franklin Gothic Book" w:hAnsi="Franklin Gothic Book" w:cstheme="minorHAnsi"/>
          <w:i/>
          <w:iCs/>
          <w:color w:val="000000" w:themeColor="text1"/>
        </w:rPr>
        <w:t xml:space="preserve"> </w:t>
      </w:r>
      <w:r w:rsidRPr="00E848BE">
        <w:rPr>
          <w:rFonts w:ascii="Franklin Gothic Book" w:hAnsi="Franklin Gothic Book" w:cstheme="minorHAnsi"/>
          <w:i/>
          <w:iCs/>
          <w:color w:val="000000" w:themeColor="text1"/>
        </w:rPr>
        <w:t>CEBPA</w:t>
      </w:r>
      <w:r>
        <w:rPr>
          <w:rFonts w:ascii="Franklin Gothic Book" w:hAnsi="Franklin Gothic Book" w:cstheme="minorHAnsi"/>
          <w:i/>
          <w:iCs/>
          <w:color w:val="000000" w:themeColor="text1"/>
        </w:rPr>
        <w:t>, SAMD9L and TP53</w:t>
      </w:r>
      <w:r w:rsidR="00AC3BBE">
        <w:rPr>
          <w:rFonts w:ascii="Franklin Gothic Book" w:hAnsi="Franklin Gothic Book" w:cstheme="minorHAnsi"/>
          <w:i/>
          <w:iCs/>
          <w:color w:val="000000" w:themeColor="text1"/>
        </w:rPr>
        <w:t xml:space="preserve"> </w:t>
      </w:r>
      <w:r w:rsidR="00AC3BBE">
        <w:rPr>
          <w:rFonts w:ascii="Franklin Gothic Book" w:hAnsi="Franklin Gothic Book" w:cstheme="minorHAnsi"/>
          <w:color w:val="000000" w:themeColor="text1"/>
        </w:rPr>
        <w:t>(frequency order may vary according to test population</w:t>
      </w:r>
      <w:r w:rsidR="00DD5DE9">
        <w:rPr>
          <w:rStyle w:val="FootnoteReference"/>
          <w:rFonts w:ascii="Franklin Gothic Book" w:hAnsi="Franklin Gothic Book" w:cstheme="minorHAnsi"/>
          <w:color w:val="000000" w:themeColor="text1"/>
        </w:rPr>
        <w:footnoteReference w:id="6"/>
      </w:r>
      <w:r w:rsidR="00AC3BBE">
        <w:rPr>
          <w:rFonts w:ascii="Franklin Gothic Book" w:hAnsi="Franklin Gothic Book" w:cstheme="minorHAnsi"/>
          <w:color w:val="000000" w:themeColor="text1"/>
        </w:rPr>
        <w:t>)</w:t>
      </w:r>
      <w:r>
        <w:rPr>
          <w:rFonts w:ascii="Franklin Gothic Book" w:hAnsi="Franklin Gothic Book" w:cstheme="minorHAnsi"/>
          <w:i/>
          <w:iCs/>
          <w:color w:val="000000" w:themeColor="text1"/>
        </w:rPr>
        <w:t xml:space="preserve"> -</w:t>
      </w:r>
      <w:r>
        <w:rPr>
          <w:rFonts w:ascii="Franklin Gothic Book" w:hAnsi="Franklin Gothic Book" w:cstheme="minorHAnsi"/>
          <w:color w:val="000000" w:themeColor="text1"/>
        </w:rPr>
        <w:t xml:space="preserve"> have been identified across a range of myeloid and lymphoid malignancies in an Australian patient cohort</w:t>
      </w:r>
      <w:bookmarkStart w:id="12" w:name="_Ref106709714"/>
      <w:r>
        <w:rPr>
          <w:rStyle w:val="FootnoteReference"/>
          <w:rFonts w:ascii="Franklin Gothic Book" w:hAnsi="Franklin Gothic Book" w:cstheme="minorHAnsi"/>
          <w:color w:val="000000" w:themeColor="text1"/>
        </w:rPr>
        <w:footnoteReference w:id="7"/>
      </w:r>
      <w:bookmarkEnd w:id="12"/>
      <w:r>
        <w:rPr>
          <w:rFonts w:ascii="Franklin Gothic Book" w:hAnsi="Franklin Gothic Book" w:cstheme="minorHAnsi"/>
          <w:color w:val="000000" w:themeColor="text1"/>
        </w:rPr>
        <w:t xml:space="preserve"> and may independently determine risk stratification in some malignancies otherwise considered low-risk</w:t>
      </w:r>
      <w:r>
        <w:rPr>
          <w:rStyle w:val="FootnoteReference"/>
          <w:rFonts w:ascii="Franklin Gothic Book" w:hAnsi="Franklin Gothic Book" w:cstheme="minorHAnsi"/>
          <w:color w:val="000000" w:themeColor="text1"/>
        </w:rPr>
        <w:footnoteReference w:id="8"/>
      </w:r>
      <w:r>
        <w:rPr>
          <w:rFonts w:ascii="Franklin Gothic Book" w:hAnsi="Franklin Gothic Book" w:cstheme="minorHAnsi"/>
          <w:color w:val="000000" w:themeColor="text1"/>
        </w:rPr>
        <w:t>.</w:t>
      </w:r>
    </w:p>
    <w:p w14:paraId="21FCA285" w14:textId="1F242672" w:rsidR="008534F3" w:rsidRPr="008534F3" w:rsidRDefault="007D01C0" w:rsidP="00B56755">
      <w:pPr>
        <w:pStyle w:val="NormalWeb"/>
        <w:numPr>
          <w:ilvl w:val="1"/>
          <w:numId w:val="11"/>
        </w:numPr>
        <w:spacing w:before="100" w:beforeAutospacing="1" w:after="100" w:afterAutospacing="1"/>
        <w:rPr>
          <w:rFonts w:ascii="Franklin Gothic Book" w:hAnsi="Franklin Gothic Book" w:cstheme="minorHAnsi"/>
          <w:iCs/>
        </w:rPr>
      </w:pPr>
      <w:r>
        <w:rPr>
          <w:rFonts w:ascii="Franklin Gothic Book" w:hAnsi="Franklin Gothic Book" w:cstheme="minorHAnsi"/>
          <w:color w:val="000000" w:themeColor="text1"/>
        </w:rPr>
        <w:t>This a</w:t>
      </w:r>
      <w:r w:rsidR="00206C0C">
        <w:rPr>
          <w:rFonts w:ascii="Franklin Gothic Book" w:hAnsi="Franklin Gothic Book" w:cstheme="minorHAnsi"/>
          <w:color w:val="000000" w:themeColor="text1"/>
        </w:rPr>
        <w:t>lready meet</w:t>
      </w:r>
      <w:r>
        <w:rPr>
          <w:rFonts w:ascii="Franklin Gothic Book" w:hAnsi="Franklin Gothic Book" w:cstheme="minorHAnsi"/>
          <w:color w:val="000000" w:themeColor="text1"/>
        </w:rPr>
        <w:t>s</w:t>
      </w:r>
      <w:r w:rsidR="00206C0C">
        <w:rPr>
          <w:rFonts w:ascii="Franklin Gothic Book" w:hAnsi="Franklin Gothic Book" w:cstheme="minorHAnsi"/>
          <w:color w:val="000000" w:themeColor="text1"/>
        </w:rPr>
        <w:t xml:space="preserve"> MSAC’s previously outlined threshold of a 10% diagnostic yield to support funded access to germline testing.</w:t>
      </w:r>
    </w:p>
    <w:p w14:paraId="0E958A31" w14:textId="39236D48" w:rsidR="00015CDE" w:rsidRPr="00EC5081" w:rsidRDefault="00015CDE" w:rsidP="00B56755">
      <w:pPr>
        <w:pStyle w:val="NormalWeb"/>
        <w:numPr>
          <w:ilvl w:val="1"/>
          <w:numId w:val="11"/>
        </w:numPr>
        <w:spacing w:before="100" w:beforeAutospacing="1" w:after="100" w:afterAutospacing="1"/>
        <w:rPr>
          <w:rFonts w:ascii="Franklin Gothic Book" w:hAnsi="Franklin Gothic Book" w:cstheme="minorHAnsi"/>
          <w:iCs/>
        </w:rPr>
      </w:pPr>
      <w:r w:rsidRPr="00BA30CB">
        <w:rPr>
          <w:rFonts w:ascii="Franklin Gothic Book" w:hAnsi="Franklin Gothic Book" w:cstheme="minorHAnsi"/>
          <w:color w:val="000000" w:themeColor="text1"/>
        </w:rPr>
        <w:t>Broad somatic testing strategies for haematological malignancies will identify potential germline variants requiring access to genetic counselling and further genetic testing to clarify and manage any associated risks for the individual and their family.</w:t>
      </w:r>
    </w:p>
    <w:p w14:paraId="44ABE3DA" w14:textId="22BFF4EA" w:rsidR="000414B8" w:rsidRPr="00D225C2" w:rsidRDefault="00236776" w:rsidP="00B56755">
      <w:pPr>
        <w:pStyle w:val="NormalWeb"/>
        <w:numPr>
          <w:ilvl w:val="1"/>
          <w:numId w:val="11"/>
        </w:numPr>
        <w:spacing w:before="100" w:beforeAutospacing="1" w:after="100" w:afterAutospacing="1"/>
        <w:rPr>
          <w:rFonts w:ascii="Franklin Gothic Book" w:hAnsi="Franklin Gothic Book" w:cstheme="minorHAnsi"/>
          <w:iCs/>
        </w:rPr>
      </w:pPr>
      <w:r w:rsidRPr="00BA30CB">
        <w:rPr>
          <w:rFonts w:ascii="Franklin Gothic Book" w:hAnsi="Franklin Gothic Book" w:cstheme="minorHAnsi"/>
          <w:color w:val="000000" w:themeColor="text1"/>
        </w:rPr>
        <w:t>There is currently no MBS item for testing to confirm germline pathogenic variant status</w:t>
      </w:r>
      <w:r w:rsidR="00520AB5">
        <w:rPr>
          <w:rFonts w:ascii="Franklin Gothic Book" w:hAnsi="Franklin Gothic Book" w:cstheme="minorHAnsi"/>
          <w:color w:val="000000" w:themeColor="text1"/>
        </w:rPr>
        <w:t>,</w:t>
      </w:r>
      <w:r w:rsidRPr="00BA30CB">
        <w:rPr>
          <w:rFonts w:ascii="Franklin Gothic Book" w:hAnsi="Franklin Gothic Book" w:cstheme="minorHAnsi"/>
          <w:color w:val="000000" w:themeColor="text1"/>
        </w:rPr>
        <w:t xml:space="preserve"> </w:t>
      </w:r>
      <w:r w:rsidR="00520AB5">
        <w:rPr>
          <w:rFonts w:ascii="Franklin Gothic Book" w:hAnsi="Franklin Gothic Book" w:cstheme="minorHAnsi"/>
          <w:color w:val="000000" w:themeColor="text1"/>
        </w:rPr>
        <w:t>n</w:t>
      </w:r>
      <w:r w:rsidRPr="00BA30CB">
        <w:rPr>
          <w:rFonts w:ascii="Franklin Gothic Book" w:hAnsi="Franklin Gothic Book" w:cstheme="minorHAnsi"/>
          <w:color w:val="000000" w:themeColor="text1"/>
        </w:rPr>
        <w:t xml:space="preserve">or </w:t>
      </w:r>
      <w:r w:rsidR="00520AB5">
        <w:rPr>
          <w:rFonts w:ascii="Franklin Gothic Book" w:hAnsi="Franklin Gothic Book" w:cstheme="minorHAnsi"/>
          <w:color w:val="000000" w:themeColor="text1"/>
        </w:rPr>
        <w:t xml:space="preserve">for </w:t>
      </w:r>
      <w:r w:rsidRPr="00BA30CB">
        <w:rPr>
          <w:rFonts w:ascii="Franklin Gothic Book" w:hAnsi="Franklin Gothic Book" w:cstheme="minorHAnsi"/>
          <w:color w:val="000000" w:themeColor="text1"/>
        </w:rPr>
        <w:t xml:space="preserve">cascade testing for </w:t>
      </w:r>
      <w:proofErr w:type="gramStart"/>
      <w:r w:rsidRPr="00BA30CB">
        <w:rPr>
          <w:rFonts w:ascii="Franklin Gothic Book" w:hAnsi="Franklin Gothic Book" w:cstheme="minorHAnsi"/>
          <w:color w:val="000000" w:themeColor="text1"/>
        </w:rPr>
        <w:t>the vast majority of</w:t>
      </w:r>
      <w:proofErr w:type="gramEnd"/>
      <w:r w:rsidRPr="00BA30CB">
        <w:rPr>
          <w:rFonts w:ascii="Franklin Gothic Book" w:hAnsi="Franklin Gothic Book" w:cstheme="minorHAnsi"/>
          <w:color w:val="000000" w:themeColor="text1"/>
        </w:rPr>
        <w:t xml:space="preserve"> genes likely to be identified in haematological malignancies</w:t>
      </w:r>
      <w:r w:rsidR="00BE0574">
        <w:rPr>
          <w:rFonts w:ascii="Franklin Gothic Book" w:hAnsi="Franklin Gothic Book" w:cstheme="minorHAnsi"/>
          <w:color w:val="000000" w:themeColor="text1"/>
        </w:rPr>
        <w:t xml:space="preserve"> (only cascade testing for </w:t>
      </w:r>
      <w:r w:rsidR="00BE0574" w:rsidRPr="00332879">
        <w:rPr>
          <w:rFonts w:ascii="Franklin Gothic Book" w:hAnsi="Franklin Gothic Book" w:cstheme="minorHAnsi"/>
          <w:i/>
          <w:iCs/>
          <w:color w:val="000000" w:themeColor="text1"/>
        </w:rPr>
        <w:t>TP53</w:t>
      </w:r>
      <w:r w:rsidR="00BE0574">
        <w:rPr>
          <w:rFonts w:ascii="Franklin Gothic Book" w:hAnsi="Franklin Gothic Book" w:cstheme="minorHAnsi"/>
          <w:color w:val="000000" w:themeColor="text1"/>
        </w:rPr>
        <w:t xml:space="preserve"> would be eligible for MBS-funded testing</w:t>
      </w:r>
      <w:r w:rsidR="00520AB5">
        <w:rPr>
          <w:rFonts w:ascii="Franklin Gothic Book" w:hAnsi="Franklin Gothic Book" w:cstheme="minorHAnsi"/>
          <w:color w:val="000000" w:themeColor="text1"/>
        </w:rPr>
        <w:t>)</w:t>
      </w:r>
      <w:r w:rsidRPr="00BA30CB">
        <w:rPr>
          <w:rFonts w:ascii="Franklin Gothic Book" w:hAnsi="Franklin Gothic Book" w:cstheme="minorHAnsi"/>
          <w:color w:val="000000" w:themeColor="text1"/>
        </w:rPr>
        <w:t xml:space="preserve">. </w:t>
      </w:r>
      <w:r w:rsidR="00742C60">
        <w:rPr>
          <w:rFonts w:ascii="Franklin Gothic Book" w:hAnsi="Franklin Gothic Book" w:cstheme="minorHAnsi"/>
          <w:color w:val="000000" w:themeColor="text1"/>
        </w:rPr>
        <w:t>This has immediate/urgent clinical relevance for screening</w:t>
      </w:r>
      <w:r w:rsidR="00443BA3">
        <w:rPr>
          <w:rFonts w:ascii="Franklin Gothic Book" w:hAnsi="Franklin Gothic Book" w:cstheme="minorHAnsi"/>
          <w:color w:val="000000" w:themeColor="text1"/>
        </w:rPr>
        <w:t xml:space="preserve"> relatives as</w:t>
      </w:r>
      <w:r w:rsidR="00742C60">
        <w:rPr>
          <w:rFonts w:ascii="Franklin Gothic Book" w:hAnsi="Franklin Gothic Book" w:cstheme="minorHAnsi"/>
          <w:color w:val="000000" w:themeColor="text1"/>
        </w:rPr>
        <w:t xml:space="preserve"> potential stem cell transplant donors as well as </w:t>
      </w:r>
      <w:r w:rsidR="008F0C3A">
        <w:rPr>
          <w:rFonts w:ascii="Franklin Gothic Book" w:hAnsi="Franklin Gothic Book" w:cstheme="minorHAnsi"/>
          <w:color w:val="000000" w:themeColor="text1"/>
        </w:rPr>
        <w:t xml:space="preserve">determining </w:t>
      </w:r>
      <w:r w:rsidR="00742C60">
        <w:rPr>
          <w:rFonts w:ascii="Franklin Gothic Book" w:hAnsi="Franklin Gothic Book" w:cstheme="minorHAnsi"/>
          <w:color w:val="000000" w:themeColor="text1"/>
        </w:rPr>
        <w:lastRenderedPageBreak/>
        <w:t>the</w:t>
      </w:r>
      <w:r w:rsidR="00443BA3">
        <w:rPr>
          <w:rFonts w:ascii="Franklin Gothic Book" w:hAnsi="Franklin Gothic Book" w:cstheme="minorHAnsi"/>
          <w:color w:val="000000" w:themeColor="text1"/>
        </w:rPr>
        <w:t>ir</w:t>
      </w:r>
      <w:r w:rsidR="00742C60">
        <w:rPr>
          <w:rFonts w:ascii="Franklin Gothic Book" w:hAnsi="Franklin Gothic Book" w:cstheme="minorHAnsi"/>
          <w:color w:val="000000" w:themeColor="text1"/>
        </w:rPr>
        <w:t xml:space="preserve"> personal risk of cancer</w:t>
      </w:r>
      <w:r w:rsidR="00443BA3">
        <w:rPr>
          <w:rFonts w:ascii="Franklin Gothic Book" w:hAnsi="Franklin Gothic Book" w:cstheme="minorHAnsi"/>
          <w:color w:val="000000" w:themeColor="text1"/>
        </w:rPr>
        <w:t>/</w:t>
      </w:r>
      <w:r w:rsidR="00742C60">
        <w:rPr>
          <w:rFonts w:ascii="Franklin Gothic Book" w:hAnsi="Franklin Gothic Book" w:cstheme="minorHAnsi"/>
          <w:color w:val="000000" w:themeColor="text1"/>
        </w:rPr>
        <w:t xml:space="preserve">other conditions </w:t>
      </w:r>
      <w:r w:rsidR="008F0C3A">
        <w:rPr>
          <w:rFonts w:ascii="Franklin Gothic Book" w:hAnsi="Franklin Gothic Book" w:cstheme="minorHAnsi"/>
          <w:color w:val="000000" w:themeColor="text1"/>
        </w:rPr>
        <w:t xml:space="preserve">to inform </w:t>
      </w:r>
      <w:r w:rsidR="008A4EC6">
        <w:rPr>
          <w:rFonts w:ascii="Franklin Gothic Book" w:hAnsi="Franklin Gothic Book" w:cstheme="minorHAnsi"/>
          <w:color w:val="000000" w:themeColor="text1"/>
        </w:rPr>
        <w:t>risk management</w:t>
      </w:r>
      <w:r w:rsidR="008F0C3A">
        <w:rPr>
          <w:rFonts w:ascii="Franklin Gothic Book" w:hAnsi="Franklin Gothic Book" w:cstheme="minorHAnsi"/>
          <w:color w:val="000000" w:themeColor="text1"/>
        </w:rPr>
        <w:t xml:space="preserve"> and</w:t>
      </w:r>
      <w:r w:rsidR="00742C60">
        <w:rPr>
          <w:rFonts w:ascii="Franklin Gothic Book" w:hAnsi="Franklin Gothic Book" w:cstheme="minorHAnsi"/>
          <w:color w:val="000000" w:themeColor="text1"/>
        </w:rPr>
        <w:t xml:space="preserve"> family planning decisions for relatives.</w:t>
      </w:r>
    </w:p>
    <w:p w14:paraId="682BFDFD" w14:textId="6AAFB116" w:rsidR="00022979" w:rsidRDefault="00BA30CB" w:rsidP="00AD2454">
      <w:pPr>
        <w:pStyle w:val="NormalWeb"/>
        <w:rPr>
          <w:rFonts w:ascii="Franklin Gothic Book" w:hAnsi="Franklin Gothic Book" w:cstheme="minorHAnsi"/>
          <w:color w:val="000000" w:themeColor="text1"/>
        </w:rPr>
      </w:pPr>
      <w:r w:rsidRPr="00BA30CB">
        <w:rPr>
          <w:rFonts w:ascii="Franklin Gothic Book" w:hAnsi="Franklin Gothic Book" w:cstheme="minorHAnsi"/>
          <w:color w:val="000000" w:themeColor="text1"/>
        </w:rPr>
        <w:t>Th</w:t>
      </w:r>
      <w:r w:rsidR="00FA058F">
        <w:rPr>
          <w:rFonts w:ascii="Franklin Gothic Book" w:hAnsi="Franklin Gothic Book" w:cstheme="minorHAnsi"/>
          <w:color w:val="000000" w:themeColor="text1"/>
        </w:rPr>
        <w:t>is</w:t>
      </w:r>
      <w:r w:rsidRPr="00BA30CB">
        <w:rPr>
          <w:rFonts w:ascii="Franklin Gothic Book" w:hAnsi="Franklin Gothic Book" w:cstheme="minorHAnsi"/>
          <w:color w:val="000000" w:themeColor="text1"/>
        </w:rPr>
        <w:t xml:space="preserve"> application has been amended 4 times since lodg</w:t>
      </w:r>
      <w:r w:rsidR="00FA058F">
        <w:rPr>
          <w:rFonts w:ascii="Franklin Gothic Book" w:hAnsi="Franklin Gothic Book" w:cstheme="minorHAnsi"/>
          <w:color w:val="000000" w:themeColor="text1"/>
        </w:rPr>
        <w:t>e</w:t>
      </w:r>
      <w:r w:rsidRPr="00BA30CB">
        <w:rPr>
          <w:rFonts w:ascii="Franklin Gothic Book" w:hAnsi="Franklin Gothic Book" w:cstheme="minorHAnsi"/>
          <w:color w:val="000000" w:themeColor="text1"/>
        </w:rPr>
        <w:t>ment</w:t>
      </w:r>
      <w:r w:rsidR="00741FED">
        <w:rPr>
          <w:rFonts w:ascii="Franklin Gothic Book" w:hAnsi="Franklin Gothic Book" w:cstheme="minorHAnsi"/>
          <w:color w:val="000000" w:themeColor="text1"/>
        </w:rPr>
        <w:t>, variously including</w:t>
      </w:r>
      <w:r w:rsidR="00022979">
        <w:rPr>
          <w:rFonts w:ascii="Franklin Gothic Book" w:hAnsi="Franklin Gothic Book" w:cstheme="minorHAnsi"/>
          <w:color w:val="000000" w:themeColor="text1"/>
        </w:rPr>
        <w:t>:</w:t>
      </w:r>
    </w:p>
    <w:p w14:paraId="3D93B0C2" w14:textId="1F0DCF2A" w:rsidR="005F0704" w:rsidRDefault="00BA30CB" w:rsidP="00B56755">
      <w:pPr>
        <w:pStyle w:val="NormalWeb"/>
        <w:numPr>
          <w:ilvl w:val="0"/>
          <w:numId w:val="20"/>
        </w:numPr>
        <w:rPr>
          <w:rFonts w:ascii="Franklin Gothic Book" w:hAnsi="Franklin Gothic Book" w:cstheme="minorHAnsi"/>
          <w:color w:val="000000" w:themeColor="text1"/>
        </w:rPr>
      </w:pPr>
      <w:r w:rsidRPr="00BA30CB">
        <w:rPr>
          <w:rFonts w:ascii="Franklin Gothic Book" w:hAnsi="Franklin Gothic Book" w:cstheme="minorHAnsi"/>
          <w:color w:val="000000" w:themeColor="text1"/>
        </w:rPr>
        <w:t xml:space="preserve">3 amendments to the proposed </w:t>
      </w:r>
      <w:r w:rsidR="00791DD7" w:rsidRPr="00BA30CB">
        <w:rPr>
          <w:rFonts w:ascii="Franklin Gothic Book" w:hAnsi="Franklin Gothic Book" w:cstheme="minorHAnsi"/>
          <w:color w:val="000000" w:themeColor="text1"/>
        </w:rPr>
        <w:t>MBS item</w:t>
      </w:r>
      <w:r w:rsidRPr="00BA30CB">
        <w:rPr>
          <w:rFonts w:ascii="Franklin Gothic Book" w:hAnsi="Franklin Gothic Book" w:cstheme="minorHAnsi"/>
          <w:color w:val="000000" w:themeColor="text1"/>
        </w:rPr>
        <w:t>s</w:t>
      </w:r>
      <w:r w:rsidR="00022979" w:rsidRPr="00022979">
        <w:rPr>
          <w:rFonts w:ascii="Franklin Gothic Book" w:hAnsi="Franklin Gothic Book" w:cstheme="minorHAnsi"/>
          <w:color w:val="000000" w:themeColor="text1"/>
        </w:rPr>
        <w:t xml:space="preserve"> </w:t>
      </w:r>
    </w:p>
    <w:p w14:paraId="3A0461A5" w14:textId="38574A76" w:rsidR="00022979" w:rsidRPr="009515C8" w:rsidRDefault="00022979" w:rsidP="00B56755">
      <w:pPr>
        <w:pStyle w:val="NormalWeb"/>
        <w:numPr>
          <w:ilvl w:val="1"/>
          <w:numId w:val="20"/>
        </w:numPr>
        <w:rPr>
          <w:rFonts w:ascii="Franklin Gothic Book" w:hAnsi="Franklin Gothic Book" w:cstheme="minorHAnsi"/>
          <w:color w:val="000000" w:themeColor="text1"/>
        </w:rPr>
      </w:pPr>
      <w:r w:rsidRPr="005F0704">
        <w:rPr>
          <w:rFonts w:ascii="Franklin Gothic Book" w:hAnsi="Franklin Gothic Book" w:cstheme="minorHAnsi"/>
          <w:color w:val="000000" w:themeColor="text1"/>
        </w:rPr>
        <w:t>A single MBS item was proposed for all haematological malignancies in the application and Ratified PICO confirmation, but subsequently the applicant proposed three new</w:t>
      </w:r>
      <w:r w:rsidR="00995077">
        <w:rPr>
          <w:rFonts w:ascii="Franklin Gothic Book" w:hAnsi="Franklin Gothic Book" w:cstheme="minorHAnsi"/>
          <w:color w:val="000000" w:themeColor="text1"/>
        </w:rPr>
        <w:t xml:space="preserve"> MBS</w:t>
      </w:r>
      <w:r w:rsidRPr="005F0704">
        <w:rPr>
          <w:rFonts w:ascii="Franklin Gothic Book" w:hAnsi="Franklin Gothic Book" w:cstheme="minorHAnsi"/>
          <w:color w:val="000000" w:themeColor="text1"/>
        </w:rPr>
        <w:t xml:space="preserve"> item</w:t>
      </w:r>
      <w:r w:rsidR="00995077">
        <w:rPr>
          <w:rFonts w:ascii="Franklin Gothic Book" w:hAnsi="Franklin Gothic Book" w:cstheme="minorHAnsi"/>
          <w:color w:val="000000" w:themeColor="text1"/>
        </w:rPr>
        <w:t>s</w:t>
      </w:r>
      <w:r w:rsidRPr="005F0704">
        <w:rPr>
          <w:rFonts w:ascii="Franklin Gothic Book" w:hAnsi="Franklin Gothic Book" w:cstheme="minorHAnsi"/>
          <w:color w:val="000000" w:themeColor="text1"/>
        </w:rPr>
        <w:t>: a myeloid</w:t>
      </w:r>
      <w:r w:rsidR="00995077">
        <w:rPr>
          <w:rFonts w:ascii="Franklin Gothic Book" w:hAnsi="Franklin Gothic Book" w:cstheme="minorHAnsi"/>
          <w:color w:val="000000" w:themeColor="text1"/>
        </w:rPr>
        <w:t xml:space="preserve"> panel</w:t>
      </w:r>
      <w:r w:rsidR="005F0704" w:rsidRPr="005F0704">
        <w:rPr>
          <w:rFonts w:ascii="Franklin Gothic Book" w:hAnsi="Franklin Gothic Book" w:cstheme="minorHAnsi"/>
          <w:color w:val="000000" w:themeColor="text1"/>
        </w:rPr>
        <w:t xml:space="preserve"> (AAAA)</w:t>
      </w:r>
      <w:r w:rsidRPr="005F0704">
        <w:rPr>
          <w:rFonts w:ascii="Franklin Gothic Book" w:hAnsi="Franklin Gothic Book" w:cstheme="minorHAnsi"/>
          <w:color w:val="000000" w:themeColor="text1"/>
        </w:rPr>
        <w:t>, a lymphoid</w:t>
      </w:r>
      <w:r w:rsidR="00995077">
        <w:rPr>
          <w:rFonts w:ascii="Franklin Gothic Book" w:hAnsi="Franklin Gothic Book" w:cstheme="minorHAnsi"/>
          <w:color w:val="000000" w:themeColor="text1"/>
        </w:rPr>
        <w:t xml:space="preserve"> panel (BBBB)</w:t>
      </w:r>
      <w:r w:rsidRPr="005F0704">
        <w:rPr>
          <w:rFonts w:ascii="Franklin Gothic Book" w:hAnsi="Franklin Gothic Book" w:cstheme="minorHAnsi"/>
          <w:color w:val="000000" w:themeColor="text1"/>
        </w:rPr>
        <w:t xml:space="preserve"> and a larger, combined </w:t>
      </w:r>
      <w:r w:rsidR="005F0704" w:rsidRPr="005F0704">
        <w:rPr>
          <w:rFonts w:ascii="Franklin Gothic Book" w:hAnsi="Franklin Gothic Book" w:cstheme="minorHAnsi"/>
          <w:color w:val="000000" w:themeColor="text1"/>
        </w:rPr>
        <w:t xml:space="preserve">lymphoid/myeloid </w:t>
      </w:r>
      <w:r w:rsidRPr="005F0704">
        <w:rPr>
          <w:rFonts w:ascii="Franklin Gothic Book" w:hAnsi="Franklin Gothic Book" w:cstheme="minorHAnsi"/>
          <w:color w:val="000000" w:themeColor="text1"/>
        </w:rPr>
        <w:t>panel</w:t>
      </w:r>
      <w:r w:rsidR="00995077">
        <w:rPr>
          <w:rFonts w:ascii="Franklin Gothic Book" w:hAnsi="Franklin Gothic Book" w:cstheme="minorHAnsi"/>
          <w:color w:val="000000" w:themeColor="text1"/>
        </w:rPr>
        <w:t xml:space="preserve"> at a higher proposed fee of $1200 (CCCC)</w:t>
      </w:r>
      <w:r w:rsidRPr="005F0704">
        <w:rPr>
          <w:rFonts w:ascii="Franklin Gothic Book" w:hAnsi="Franklin Gothic Book" w:cstheme="minorHAnsi"/>
          <w:color w:val="000000" w:themeColor="text1"/>
        </w:rPr>
        <w:t xml:space="preserve">. The </w:t>
      </w:r>
      <w:r w:rsidRPr="00A165AD">
        <w:rPr>
          <w:rFonts w:ascii="Franklin Gothic Book" w:hAnsi="Franklin Gothic Book" w:cstheme="minorHAnsi"/>
          <w:color w:val="000000" w:themeColor="text1"/>
        </w:rPr>
        <w:t>proposed larger combined panel (40+ genes) was withdrawn on June 30</w:t>
      </w:r>
      <w:r w:rsidRPr="00A165AD">
        <w:rPr>
          <w:rFonts w:ascii="Franklin Gothic Book" w:hAnsi="Franklin Gothic Book" w:cstheme="minorHAnsi"/>
          <w:color w:val="000000" w:themeColor="text1"/>
          <w:vertAlign w:val="superscript"/>
        </w:rPr>
        <w:t>th</w:t>
      </w:r>
      <w:proofErr w:type="gramStart"/>
      <w:r w:rsidRPr="00A165AD">
        <w:rPr>
          <w:rFonts w:ascii="Franklin Gothic Book" w:hAnsi="Franklin Gothic Book" w:cstheme="minorHAnsi"/>
          <w:color w:val="000000" w:themeColor="text1"/>
        </w:rPr>
        <w:t xml:space="preserve"> 2022</w:t>
      </w:r>
      <w:proofErr w:type="gramEnd"/>
      <w:r w:rsidRPr="00A165AD">
        <w:rPr>
          <w:rFonts w:ascii="Franklin Gothic Book" w:hAnsi="Franklin Gothic Book" w:cstheme="minorHAnsi"/>
          <w:color w:val="000000" w:themeColor="text1"/>
        </w:rPr>
        <w:t xml:space="preserve">, with the Applicant citing the likely low utilisation and </w:t>
      </w:r>
      <w:r w:rsidR="005F0704" w:rsidRPr="00A165AD">
        <w:rPr>
          <w:rFonts w:ascii="Franklin Gothic Book" w:hAnsi="Franklin Gothic Book" w:cstheme="minorHAnsi"/>
          <w:color w:val="000000" w:themeColor="text1"/>
        </w:rPr>
        <w:t>“difficulty in identifying evidence supporting the increased benefit of a combined approach vs myeloid/lymphoid. Most patients will get the genetic test they require with AAAA and BBBB.”</w:t>
      </w:r>
    </w:p>
    <w:p w14:paraId="36550AA4" w14:textId="11993454" w:rsidR="00525AAB" w:rsidRPr="00525AAB" w:rsidRDefault="009515C8" w:rsidP="00B56755">
      <w:pPr>
        <w:pStyle w:val="NormalWeb"/>
        <w:numPr>
          <w:ilvl w:val="1"/>
          <w:numId w:val="20"/>
        </w:numPr>
        <w:rPr>
          <w:rFonts w:ascii="Franklin Gothic Book" w:hAnsi="Franklin Gothic Book" w:cstheme="minorHAnsi"/>
          <w:color w:val="000000" w:themeColor="text1"/>
        </w:rPr>
      </w:pPr>
      <w:r>
        <w:rPr>
          <w:rFonts w:ascii="Franklin Gothic Book" w:hAnsi="Franklin Gothic Book" w:cstheme="minorHAnsi"/>
          <w:color w:val="000000" w:themeColor="text1"/>
        </w:rPr>
        <w:t xml:space="preserve">The Applicant removed </w:t>
      </w:r>
      <w:r w:rsidR="006B1639">
        <w:rPr>
          <w:rFonts w:ascii="Franklin Gothic Book" w:hAnsi="Franklin Gothic Book" w:cstheme="minorHAnsi"/>
          <w:color w:val="000000" w:themeColor="text1"/>
        </w:rPr>
        <w:t>the</w:t>
      </w:r>
      <w:r>
        <w:rPr>
          <w:rFonts w:ascii="Franklin Gothic Book" w:hAnsi="Franklin Gothic Book" w:cstheme="minorHAnsi"/>
          <w:color w:val="000000" w:themeColor="text1"/>
        </w:rPr>
        <w:t xml:space="preserve"> restriction </w:t>
      </w:r>
      <w:r w:rsidR="006B1639">
        <w:rPr>
          <w:rFonts w:ascii="Franklin Gothic Book" w:hAnsi="Franklin Gothic Book" w:cstheme="minorHAnsi"/>
          <w:color w:val="000000" w:themeColor="text1"/>
        </w:rPr>
        <w:t>‘</w:t>
      </w:r>
      <w:r w:rsidR="006B1639" w:rsidRPr="006B1639">
        <w:rPr>
          <w:rFonts w:ascii="Franklin Gothic Book" w:hAnsi="Franklin Gothic Book" w:cstheme="minorHAnsi"/>
          <w:color w:val="000000" w:themeColor="text1"/>
          <w:lang w:val="en-US"/>
        </w:rPr>
        <w:t>Applicable once per diagnostic episode</w:t>
      </w:r>
      <w:r w:rsidR="006B1639">
        <w:rPr>
          <w:rFonts w:ascii="Franklin Gothic Book" w:hAnsi="Franklin Gothic Book" w:cstheme="minorHAnsi"/>
          <w:color w:val="000000" w:themeColor="text1"/>
          <w:lang w:val="en-US"/>
        </w:rPr>
        <w:t xml:space="preserve">’ </w:t>
      </w:r>
      <w:r>
        <w:rPr>
          <w:rFonts w:ascii="Franklin Gothic Book" w:hAnsi="Franklin Gothic Book" w:cstheme="minorHAnsi"/>
          <w:color w:val="000000" w:themeColor="text1"/>
        </w:rPr>
        <w:t xml:space="preserve">on </w:t>
      </w:r>
      <w:r w:rsidR="006B1639">
        <w:rPr>
          <w:rFonts w:ascii="Franklin Gothic Book" w:hAnsi="Franklin Gothic Book" w:cstheme="minorHAnsi"/>
          <w:color w:val="000000" w:themeColor="text1"/>
        </w:rPr>
        <w:t>the frequency of testing from the Ratified PICO confirmation – no justification was provided.</w:t>
      </w:r>
      <w:r w:rsidR="00525AAB">
        <w:rPr>
          <w:rFonts w:ascii="Franklin Gothic Book" w:hAnsi="Franklin Gothic Book" w:cstheme="minorHAnsi"/>
          <w:color w:val="000000" w:themeColor="text1"/>
        </w:rPr>
        <w:t xml:space="preserve"> </w:t>
      </w:r>
      <w:r w:rsidR="00525AAB" w:rsidRPr="00A165AD">
        <w:rPr>
          <w:rFonts w:ascii="Franklin Gothic Book" w:hAnsi="Franklin Gothic Book" w:cstheme="minorHAnsi"/>
          <w:color w:val="000000" w:themeColor="text1"/>
        </w:rPr>
        <w:t>The Applicant subsequently advised in its pre-ESC response that this was un</w:t>
      </w:r>
      <w:r w:rsidR="00525AAB" w:rsidRPr="00A165AD">
        <w:rPr>
          <w:rFonts w:ascii="Franklin Gothic Book" w:eastAsiaTheme="minorHAnsi" w:hAnsi="Franklin Gothic Book"/>
          <w:color w:val="000000"/>
          <w:sz w:val="23"/>
          <w:szCs w:val="23"/>
          <w:lang w:eastAsia="en-US"/>
        </w:rPr>
        <w:t>intentional and its preferred text is</w:t>
      </w:r>
      <w:proofErr w:type="gramStart"/>
      <w:r w:rsidR="00525AAB" w:rsidRPr="00A165AD">
        <w:rPr>
          <w:rFonts w:ascii="Franklin Gothic Book" w:eastAsiaTheme="minorHAnsi" w:hAnsi="Franklin Gothic Book"/>
          <w:color w:val="000000"/>
          <w:sz w:val="23"/>
          <w:szCs w:val="23"/>
          <w:lang w:eastAsia="en-US"/>
        </w:rPr>
        <w:t>: ”</w:t>
      </w:r>
      <w:r w:rsidR="00525AAB" w:rsidRPr="00A165AD">
        <w:rPr>
          <w:rFonts w:ascii="Franklin Gothic Book" w:eastAsiaTheme="minorHAnsi" w:hAnsi="Franklin Gothic Book"/>
          <w:i/>
          <w:iCs/>
          <w:color w:val="000000"/>
          <w:sz w:val="23"/>
          <w:szCs w:val="23"/>
          <w:lang w:eastAsia="en-US"/>
        </w:rPr>
        <w:t>Applicable</w:t>
      </w:r>
      <w:proofErr w:type="gramEnd"/>
      <w:r w:rsidR="00525AAB" w:rsidRPr="00A165AD">
        <w:rPr>
          <w:rFonts w:ascii="Franklin Gothic Book" w:eastAsiaTheme="minorHAnsi" w:hAnsi="Franklin Gothic Book"/>
          <w:i/>
          <w:iCs/>
          <w:color w:val="000000"/>
          <w:sz w:val="23"/>
          <w:szCs w:val="23"/>
          <w:lang w:eastAsia="en-US"/>
        </w:rPr>
        <w:t xml:space="preserve"> once per diagnostic episode at initial diagnosis or at disease relapse</w:t>
      </w:r>
      <w:r w:rsidR="00525AAB" w:rsidRPr="00525AAB">
        <w:rPr>
          <w:rFonts w:eastAsiaTheme="minorHAnsi"/>
          <w:color w:val="000000"/>
          <w:sz w:val="23"/>
          <w:szCs w:val="23"/>
          <w:lang w:eastAsia="en-US"/>
        </w:rPr>
        <w:t>”</w:t>
      </w:r>
    </w:p>
    <w:p w14:paraId="4A298B1C" w14:textId="1F1CCF5A" w:rsidR="005F0704" w:rsidRDefault="005F0704" w:rsidP="00B56755">
      <w:pPr>
        <w:pStyle w:val="NormalWeb"/>
        <w:numPr>
          <w:ilvl w:val="0"/>
          <w:numId w:val="20"/>
        </w:numPr>
        <w:rPr>
          <w:rFonts w:ascii="Franklin Gothic Book" w:hAnsi="Franklin Gothic Book" w:cstheme="minorHAnsi"/>
          <w:color w:val="000000" w:themeColor="text1"/>
        </w:rPr>
      </w:pPr>
      <w:r>
        <w:rPr>
          <w:rFonts w:ascii="Franklin Gothic Book" w:hAnsi="Franklin Gothic Book" w:cstheme="minorHAnsi"/>
          <w:color w:val="000000" w:themeColor="text1"/>
        </w:rPr>
        <w:t>3 amendments to the requested fee</w:t>
      </w:r>
    </w:p>
    <w:p w14:paraId="3B0B2377" w14:textId="1196A520" w:rsidR="00022979" w:rsidRPr="005F0704" w:rsidRDefault="00995077" w:rsidP="00B56755">
      <w:pPr>
        <w:pStyle w:val="NormalWeb"/>
        <w:numPr>
          <w:ilvl w:val="1"/>
          <w:numId w:val="20"/>
        </w:numPr>
        <w:rPr>
          <w:rFonts w:ascii="Franklin Gothic Book" w:hAnsi="Franklin Gothic Book" w:cstheme="minorHAnsi"/>
          <w:color w:val="000000" w:themeColor="text1"/>
        </w:rPr>
      </w:pPr>
      <w:r>
        <w:rPr>
          <w:rFonts w:ascii="Franklin Gothic Book" w:hAnsi="Franklin Gothic Book" w:cstheme="minorHAnsi"/>
          <w:color w:val="000000" w:themeColor="text1"/>
        </w:rPr>
        <w:t xml:space="preserve">The </w:t>
      </w:r>
      <w:r w:rsidR="005F0704">
        <w:rPr>
          <w:rFonts w:ascii="Franklin Gothic Book" w:hAnsi="Franklin Gothic Book" w:cstheme="minorHAnsi"/>
          <w:color w:val="000000" w:themeColor="text1"/>
        </w:rPr>
        <w:t>85% benefit being sought was revised in the applicant comments on the Ratified PICO confirmation ($800), and after seeking a corresponding fee that did not account for the Greatest Permissible Gap, subsequently revised again to $852.10</w:t>
      </w:r>
      <w:r>
        <w:rPr>
          <w:rFonts w:ascii="Franklin Gothic Book" w:hAnsi="Franklin Gothic Book" w:cstheme="minorHAnsi"/>
          <w:color w:val="000000" w:themeColor="text1"/>
        </w:rPr>
        <w:t xml:space="preserve"> to align with that requested fee</w:t>
      </w:r>
      <w:r w:rsidR="005F0704" w:rsidRPr="00BA30CB">
        <w:rPr>
          <w:rFonts w:ascii="Franklin Gothic Book" w:hAnsi="Franklin Gothic Book" w:cstheme="minorHAnsi"/>
          <w:color w:val="000000" w:themeColor="text1"/>
        </w:rPr>
        <w:t xml:space="preserve">. </w:t>
      </w:r>
      <w:r w:rsidR="005F0704">
        <w:rPr>
          <w:rFonts w:ascii="Franklin Gothic Book" w:hAnsi="Franklin Gothic Book" w:cstheme="minorHAnsi"/>
          <w:color w:val="000000" w:themeColor="text1"/>
        </w:rPr>
        <w:t>No amended costing</w:t>
      </w:r>
      <w:r>
        <w:rPr>
          <w:rFonts w:ascii="Franklin Gothic Book" w:hAnsi="Franklin Gothic Book" w:cstheme="minorHAnsi"/>
          <w:color w:val="000000" w:themeColor="text1"/>
        </w:rPr>
        <w:t xml:space="preserve"> or justification</w:t>
      </w:r>
      <w:r w:rsidR="005F0704">
        <w:rPr>
          <w:rFonts w:ascii="Franklin Gothic Book" w:hAnsi="Franklin Gothic Book" w:cstheme="minorHAnsi"/>
          <w:color w:val="000000" w:themeColor="text1"/>
        </w:rPr>
        <w:t xml:space="preserve"> was provided </w:t>
      </w:r>
      <w:r>
        <w:rPr>
          <w:rFonts w:ascii="Franklin Gothic Book" w:hAnsi="Franklin Gothic Book" w:cstheme="minorHAnsi"/>
          <w:color w:val="000000" w:themeColor="text1"/>
        </w:rPr>
        <w:t>for the second</w:t>
      </w:r>
      <w:r w:rsidR="005F0704">
        <w:rPr>
          <w:rFonts w:ascii="Franklin Gothic Book" w:hAnsi="Franklin Gothic Book" w:cstheme="minorHAnsi"/>
          <w:color w:val="000000" w:themeColor="text1"/>
        </w:rPr>
        <w:t xml:space="preserve"> increase in </w:t>
      </w:r>
      <w:r w:rsidR="00371C5E">
        <w:rPr>
          <w:rFonts w:ascii="Franklin Gothic Book" w:hAnsi="Franklin Gothic Book" w:cstheme="minorHAnsi"/>
          <w:color w:val="000000" w:themeColor="text1"/>
        </w:rPr>
        <w:t>85% benefit being requested</w:t>
      </w:r>
      <w:r>
        <w:rPr>
          <w:rFonts w:ascii="Franklin Gothic Book" w:hAnsi="Franklin Gothic Book" w:cstheme="minorHAnsi"/>
          <w:color w:val="000000" w:themeColor="text1"/>
        </w:rPr>
        <w:t>.</w:t>
      </w:r>
    </w:p>
    <w:p w14:paraId="39392CFD" w14:textId="33A8001C" w:rsidR="003328A9" w:rsidRDefault="00310C3F" w:rsidP="00310C3F">
      <w:pPr>
        <w:pStyle w:val="Caption"/>
        <w:rPr>
          <w:rFonts w:cs="Arial"/>
        </w:rPr>
      </w:pPr>
      <w:r>
        <w:t>Table</w:t>
      </w:r>
      <w:r w:rsidR="004A4FDF">
        <w:t> </w:t>
      </w:r>
      <w:fldSimple w:instr=" SEQ Table \* ARABIC ">
        <w:r w:rsidR="00A165AD">
          <w:rPr>
            <w:noProof/>
          </w:rPr>
          <w:t>1</w:t>
        </w:r>
      </w:fldSimple>
      <w:bookmarkEnd w:id="11"/>
      <w:r w:rsidR="003328A9" w:rsidRPr="00CE28E3">
        <w:rPr>
          <w:rFonts w:cs="Arial"/>
        </w:rPr>
        <w:tab/>
      </w:r>
      <w:r w:rsidR="00D15E53">
        <w:rPr>
          <w:rFonts w:cs="Arial"/>
        </w:rPr>
        <w:t>Applicant</w:t>
      </w:r>
      <w:r w:rsidR="000F7E72">
        <w:rPr>
          <w:rFonts w:cs="Arial"/>
        </w:rPr>
        <w:t xml:space="preserve">’s </w:t>
      </w:r>
      <w:r w:rsidR="009515C8">
        <w:rPr>
          <w:rFonts w:cs="Arial"/>
        </w:rPr>
        <w:t xml:space="preserve">revised </w:t>
      </w:r>
      <w:r w:rsidR="00D15E53">
        <w:rPr>
          <w:rFonts w:cs="Arial"/>
        </w:rPr>
        <w:t>n</w:t>
      </w:r>
      <w:r w:rsidR="003B766D">
        <w:rPr>
          <w:rFonts w:cs="Arial"/>
        </w:rPr>
        <w:t>ewly</w:t>
      </w:r>
      <w:r w:rsidR="00B26622" w:rsidRPr="00CE28E3">
        <w:rPr>
          <w:rFonts w:cs="Arial"/>
        </w:rPr>
        <w:t xml:space="preserve"> proposed MBS item</w:t>
      </w:r>
      <w:r w:rsidR="003328A9" w:rsidRPr="00CE28E3">
        <w:rPr>
          <w:rFonts w:cs="Arial"/>
        </w:rPr>
        <w:t xml:space="preserve"> </w:t>
      </w:r>
      <w:r w:rsidR="003B766D">
        <w:rPr>
          <w:rFonts w:cs="Arial"/>
        </w:rPr>
        <w:t>AAAA</w:t>
      </w:r>
      <w:r w:rsidR="009C2407" w:rsidRPr="009C2407">
        <w:t xml:space="preserve"> </w:t>
      </w:r>
      <w:r w:rsidR="009C2407">
        <w:t xml:space="preserve">for an </w:t>
      </w:r>
      <w:r w:rsidR="009C2407" w:rsidRPr="009D0186">
        <w:t xml:space="preserve">NGS panel for characterising variants in </w:t>
      </w:r>
      <w:r w:rsidR="009C2407">
        <w:t xml:space="preserve">suspected </w:t>
      </w:r>
      <w:r w:rsidR="009C2407" w:rsidRPr="009D0186">
        <w:t>haematological malignancies</w:t>
      </w:r>
      <w:r w:rsidR="009C2407">
        <w:t xml:space="preserve"> of myeloid origin</w:t>
      </w:r>
      <w:r w:rsidR="00D15E53">
        <w:t xml:space="preserve">; </w:t>
      </w:r>
      <w:r w:rsidR="00D15E53" w:rsidRPr="000F7E72">
        <w:rPr>
          <w:i/>
          <w:iCs/>
        </w:rPr>
        <w:t>amendments from Ratified PICO confirmation marked up</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C2407" w:rsidRPr="00CE28E3" w14:paraId="3429ECDC" w14:textId="77777777" w:rsidTr="00947725">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29B8DE03" w14:textId="77777777" w:rsidR="009C2407" w:rsidRPr="00CE28E3" w:rsidRDefault="009C2407" w:rsidP="00947725">
            <w:pPr>
              <w:pStyle w:val="TableText"/>
              <w:jc w:val="right"/>
              <w:rPr>
                <w:sz w:val="24"/>
              </w:rPr>
            </w:pPr>
            <w:r w:rsidRPr="00262C33">
              <w:rPr>
                <w:b/>
                <w:bCs/>
              </w:rPr>
              <w:t>Category 6 – PATHOLOGY SERVICES –Group P7 Genetics</w:t>
            </w:r>
          </w:p>
        </w:tc>
      </w:tr>
      <w:tr w:rsidR="009C2407" w:rsidRPr="00CE28E3" w14:paraId="77CD89D2" w14:textId="77777777" w:rsidTr="00947725">
        <w:tc>
          <w:tcPr>
            <w:tcW w:w="5000" w:type="pct"/>
            <w:tcBorders>
              <w:top w:val="single" w:sz="4" w:space="0" w:color="000000"/>
              <w:left w:val="single" w:sz="4" w:space="0" w:color="000000"/>
              <w:bottom w:val="single" w:sz="4" w:space="0" w:color="000000"/>
              <w:right w:val="single" w:sz="4" w:space="0" w:color="000000"/>
            </w:tcBorders>
            <w:hideMark/>
          </w:tcPr>
          <w:p w14:paraId="4770909C" w14:textId="5837B57F" w:rsidR="009C2407" w:rsidRPr="003B766D" w:rsidRDefault="009C2407" w:rsidP="00947725">
            <w:pPr>
              <w:rPr>
                <w:rFonts w:ascii="Arial Narrow" w:hAnsi="Arial Narrow"/>
                <w:szCs w:val="20"/>
                <w:lang w:eastAsia="ja-JP"/>
              </w:rPr>
            </w:pPr>
            <w:r w:rsidRPr="003B766D">
              <w:rPr>
                <w:rFonts w:ascii="Arial Narrow" w:hAnsi="Arial Narrow"/>
                <w:szCs w:val="20"/>
                <w:lang w:eastAsia="ja-JP"/>
              </w:rPr>
              <w:t>Characterisation of gene variant(s)</w:t>
            </w:r>
            <w:r w:rsidR="00D15E53">
              <w:rPr>
                <w:rFonts w:ascii="Arial Narrow" w:hAnsi="Arial Narrow"/>
                <w:szCs w:val="20"/>
                <w:lang w:eastAsia="ja-JP"/>
              </w:rPr>
              <w:t xml:space="preserve"> </w:t>
            </w:r>
            <w:r w:rsidR="00D15E53" w:rsidRPr="000F7E72">
              <w:rPr>
                <w:rFonts w:ascii="Arial Narrow" w:hAnsi="Arial Narrow"/>
                <w:strike/>
                <w:szCs w:val="20"/>
                <w:lang w:eastAsia="ja-JP"/>
              </w:rPr>
              <w:t>by a gene panel</w:t>
            </w:r>
            <w:r w:rsidR="00D15E53">
              <w:rPr>
                <w:rFonts w:ascii="Arial Narrow" w:hAnsi="Arial Narrow"/>
                <w:strike/>
                <w:szCs w:val="20"/>
                <w:lang w:eastAsia="ja-JP"/>
              </w:rPr>
              <w:t xml:space="preserve"> consisting of at least 25 genes</w:t>
            </w:r>
            <w:r w:rsidRPr="000F7E72">
              <w:rPr>
                <w:rFonts w:ascii="Arial Narrow" w:hAnsi="Arial Narrow"/>
                <w:strike/>
                <w:szCs w:val="20"/>
                <w:lang w:eastAsia="ja-JP"/>
              </w:rPr>
              <w:t>,</w:t>
            </w:r>
            <w:r w:rsidRPr="003B766D">
              <w:rPr>
                <w:rFonts w:ascii="Arial Narrow" w:hAnsi="Arial Narrow"/>
                <w:szCs w:val="20"/>
                <w:lang w:eastAsia="ja-JP"/>
              </w:rPr>
              <w:t xml:space="preserve"> requested by a specialist or consultant physician, in a patient presenting with a </w:t>
            </w:r>
            <w:r w:rsidR="00D15E53" w:rsidRPr="000F7E72">
              <w:rPr>
                <w:rFonts w:ascii="Arial Narrow" w:hAnsi="Arial Narrow"/>
                <w:strike/>
                <w:szCs w:val="20"/>
                <w:lang w:eastAsia="ja-JP"/>
              </w:rPr>
              <w:t>clinically suspected</w:t>
            </w:r>
            <w:r w:rsidR="00D15E53">
              <w:rPr>
                <w:rFonts w:ascii="Arial Narrow" w:hAnsi="Arial Narrow"/>
                <w:szCs w:val="20"/>
                <w:lang w:eastAsia="ja-JP"/>
              </w:rPr>
              <w:t xml:space="preserve"> </w:t>
            </w:r>
            <w:r w:rsidRPr="003B766D">
              <w:rPr>
                <w:rFonts w:ascii="Arial Narrow" w:hAnsi="Arial Narrow"/>
                <w:szCs w:val="20"/>
                <w:lang w:eastAsia="ja-JP"/>
              </w:rPr>
              <w:t xml:space="preserve">haematological malignancy </w:t>
            </w:r>
            <w:r w:rsidRPr="000F7E72">
              <w:rPr>
                <w:rFonts w:ascii="Arial Narrow" w:hAnsi="Arial Narrow"/>
                <w:i/>
                <w:iCs/>
                <w:szCs w:val="20"/>
                <w:lang w:eastAsia="ja-JP"/>
              </w:rPr>
              <w:t>of myeloid origin that includes at least 25 genes from the exemplar list</w:t>
            </w:r>
            <w:r w:rsidRPr="003B766D">
              <w:rPr>
                <w:rFonts w:ascii="Arial Narrow" w:hAnsi="Arial Narrow"/>
                <w:szCs w:val="20"/>
                <w:lang w:eastAsia="ja-JP"/>
              </w:rPr>
              <w:t xml:space="preserve"> </w:t>
            </w:r>
          </w:p>
          <w:p w14:paraId="44687E99" w14:textId="7143E8F1" w:rsidR="009C2407" w:rsidRPr="00824F1D" w:rsidRDefault="00D15E53" w:rsidP="00947725">
            <w:pPr>
              <w:rPr>
                <w:rFonts w:ascii="Arial Narrow" w:hAnsi="Arial Narrow"/>
                <w:szCs w:val="20"/>
                <w:lang w:val="en-US" w:eastAsia="ja-JP"/>
              </w:rPr>
            </w:pPr>
            <w:r w:rsidRPr="00824F1D">
              <w:rPr>
                <w:rFonts w:ascii="Arial Narrow" w:hAnsi="Arial Narrow" w:cstheme="minorHAnsi"/>
                <w:szCs w:val="20"/>
              </w:rPr>
              <w:t>Applicable once per diagnostic episode at initial diagnosis or at disease relapse</w:t>
            </w:r>
          </w:p>
        </w:tc>
      </w:tr>
      <w:tr w:rsidR="009C2407" w:rsidRPr="005D749D" w14:paraId="44EFA9F0" w14:textId="77777777" w:rsidTr="00947725">
        <w:tc>
          <w:tcPr>
            <w:tcW w:w="5000" w:type="pct"/>
            <w:tcBorders>
              <w:top w:val="single" w:sz="4" w:space="0" w:color="000000"/>
              <w:left w:val="single" w:sz="4" w:space="0" w:color="000000"/>
              <w:bottom w:val="single" w:sz="4" w:space="0" w:color="000000"/>
              <w:right w:val="single" w:sz="4" w:space="0" w:color="000000"/>
            </w:tcBorders>
            <w:vAlign w:val="center"/>
            <w:hideMark/>
          </w:tcPr>
          <w:p w14:paraId="456814B8" w14:textId="188D8E4D" w:rsidR="009C2407" w:rsidRPr="00056C64" w:rsidRDefault="009C2407" w:rsidP="00947725">
            <w:pPr>
              <w:pStyle w:val="TableText"/>
              <w:rPr>
                <w:szCs w:val="20"/>
              </w:rPr>
            </w:pPr>
            <w:r w:rsidRPr="00056C64">
              <w:rPr>
                <w:szCs w:val="20"/>
              </w:rPr>
              <w:t>Fee: $940 Benefit: 75%=</w:t>
            </w:r>
            <w:r>
              <w:rPr>
                <w:szCs w:val="20"/>
              </w:rPr>
              <w:t>$</w:t>
            </w:r>
            <w:r w:rsidRPr="00056C64">
              <w:rPr>
                <w:szCs w:val="20"/>
              </w:rPr>
              <w:t>705 85%=$</w:t>
            </w:r>
            <w:r>
              <w:rPr>
                <w:szCs w:val="20"/>
              </w:rPr>
              <w:t xml:space="preserve">852.10 </w:t>
            </w:r>
            <w:r w:rsidR="00C06391">
              <w:rPr>
                <w:szCs w:val="20"/>
              </w:rPr>
              <w:t>(</w:t>
            </w:r>
            <w:r w:rsidR="004E3880">
              <w:rPr>
                <w:szCs w:val="20"/>
              </w:rPr>
              <w:t>R</w:t>
            </w:r>
            <w:r>
              <w:rPr>
                <w:szCs w:val="20"/>
              </w:rPr>
              <w:t xml:space="preserve">evised </w:t>
            </w:r>
            <w:r w:rsidR="006206EF">
              <w:rPr>
                <w:szCs w:val="20"/>
              </w:rPr>
              <w:t xml:space="preserve">85% </w:t>
            </w:r>
            <w:r w:rsidR="004E3880">
              <w:rPr>
                <w:szCs w:val="20"/>
              </w:rPr>
              <w:t>rebate</w:t>
            </w:r>
            <w:r w:rsidR="00A7515B">
              <w:rPr>
                <w:szCs w:val="20"/>
              </w:rPr>
              <w:t xml:space="preserve"> </w:t>
            </w:r>
            <w:r w:rsidR="004E3880">
              <w:rPr>
                <w:szCs w:val="20"/>
              </w:rPr>
              <w:t xml:space="preserve">to </w:t>
            </w:r>
            <w:r w:rsidR="00A7515B">
              <w:rPr>
                <w:szCs w:val="20"/>
              </w:rPr>
              <w:t>account for Greatest Permissible Gap</w:t>
            </w:r>
            <w:r>
              <w:rPr>
                <w:szCs w:val="20"/>
              </w:rPr>
              <w:t>)</w:t>
            </w:r>
          </w:p>
        </w:tc>
      </w:tr>
    </w:tbl>
    <w:p w14:paraId="395746E3" w14:textId="5B49883A" w:rsidR="009C2407" w:rsidRDefault="009C2407" w:rsidP="009C2407">
      <w:pPr>
        <w:rPr>
          <w:i/>
          <w:iCs/>
          <w:lang w:eastAsia="en-AU"/>
        </w:rPr>
      </w:pPr>
      <w:r w:rsidRPr="007843B7">
        <w:t>Proposed gene list (44 genes)</w:t>
      </w:r>
      <w:r w:rsidRPr="00FE7A24">
        <w:t>:</w:t>
      </w:r>
      <w:r w:rsidRPr="00B606C9">
        <w:rPr>
          <w:i/>
          <w:iCs/>
        </w:rPr>
        <w:t xml:space="preserve"> </w:t>
      </w:r>
      <w:r w:rsidRPr="00B606C9">
        <w:rPr>
          <w:i/>
          <w:iCs/>
          <w:lang w:eastAsia="en-AU"/>
        </w:rPr>
        <w:t>ASXL1, BRAF, CALR, CBL,</w:t>
      </w:r>
      <w:r w:rsidR="00BD020D">
        <w:rPr>
          <w:i/>
          <w:iCs/>
          <w:lang w:eastAsia="en-AU"/>
        </w:rPr>
        <w:t xml:space="preserve"> </w:t>
      </w:r>
      <w:r w:rsidRPr="00B606C9">
        <w:rPr>
          <w:i/>
          <w:iCs/>
          <w:lang w:eastAsia="en-AU"/>
        </w:rPr>
        <w:t xml:space="preserve">CD274, CEBPA, CSF3R, DDX41, DNMT3A, ETNK1, </w:t>
      </w:r>
      <w:r w:rsidRPr="00444E10">
        <w:rPr>
          <w:i/>
          <w:iCs/>
          <w:lang w:eastAsia="en-AU"/>
        </w:rPr>
        <w:t>ETV6</w:t>
      </w:r>
      <w:r w:rsidRPr="00B606C9">
        <w:rPr>
          <w:i/>
          <w:iCs/>
          <w:lang w:eastAsia="en-AU"/>
        </w:rPr>
        <w:t xml:space="preserve">, </w:t>
      </w:r>
      <w:r w:rsidRPr="00444E10">
        <w:rPr>
          <w:i/>
          <w:iCs/>
          <w:lang w:eastAsia="en-AU"/>
        </w:rPr>
        <w:t>EZH2</w:t>
      </w:r>
      <w:r w:rsidRPr="00B606C9">
        <w:rPr>
          <w:i/>
          <w:iCs/>
          <w:lang w:eastAsia="en-AU"/>
        </w:rPr>
        <w:t xml:space="preserve">, </w:t>
      </w:r>
      <w:r w:rsidRPr="00444E10">
        <w:rPr>
          <w:i/>
          <w:iCs/>
          <w:lang w:eastAsia="en-AU"/>
        </w:rPr>
        <w:t>FGFR1</w:t>
      </w:r>
      <w:r w:rsidRPr="00B606C9">
        <w:rPr>
          <w:i/>
          <w:iCs/>
          <w:lang w:eastAsia="en-AU"/>
        </w:rPr>
        <w:t xml:space="preserve">, </w:t>
      </w:r>
      <w:r w:rsidRPr="00444E10">
        <w:rPr>
          <w:i/>
          <w:iCs/>
          <w:lang w:eastAsia="en-AU"/>
        </w:rPr>
        <w:t>FLT3</w:t>
      </w:r>
      <w:r w:rsidRPr="00B606C9">
        <w:rPr>
          <w:i/>
          <w:iCs/>
          <w:lang w:eastAsia="en-AU"/>
        </w:rPr>
        <w:t xml:space="preserve">, </w:t>
      </w:r>
      <w:r w:rsidRPr="00444E10">
        <w:rPr>
          <w:i/>
          <w:iCs/>
          <w:lang w:eastAsia="en-AU"/>
        </w:rPr>
        <w:t>GATA1</w:t>
      </w:r>
      <w:r w:rsidRPr="00B606C9">
        <w:rPr>
          <w:i/>
          <w:iCs/>
          <w:lang w:eastAsia="en-AU"/>
        </w:rPr>
        <w:t xml:space="preserve">, </w:t>
      </w:r>
      <w:r w:rsidRPr="00444E10">
        <w:rPr>
          <w:i/>
          <w:iCs/>
          <w:lang w:eastAsia="en-AU"/>
        </w:rPr>
        <w:t>GATA2</w:t>
      </w:r>
      <w:r w:rsidRPr="00B606C9">
        <w:rPr>
          <w:i/>
          <w:iCs/>
          <w:lang w:eastAsia="en-AU"/>
        </w:rPr>
        <w:t xml:space="preserve">, </w:t>
      </w:r>
      <w:r w:rsidRPr="00444E10">
        <w:rPr>
          <w:i/>
          <w:iCs/>
          <w:lang w:eastAsia="en-AU"/>
        </w:rPr>
        <w:t>IDH1</w:t>
      </w:r>
      <w:r w:rsidRPr="00B606C9">
        <w:rPr>
          <w:i/>
          <w:iCs/>
          <w:lang w:eastAsia="en-AU"/>
        </w:rPr>
        <w:t xml:space="preserve">, </w:t>
      </w:r>
      <w:r w:rsidRPr="00444E10">
        <w:rPr>
          <w:i/>
          <w:iCs/>
          <w:lang w:eastAsia="en-AU"/>
        </w:rPr>
        <w:t>IDH2</w:t>
      </w:r>
      <w:r w:rsidRPr="00B606C9">
        <w:rPr>
          <w:i/>
          <w:iCs/>
          <w:lang w:eastAsia="en-AU"/>
        </w:rPr>
        <w:t xml:space="preserve">, </w:t>
      </w:r>
      <w:r w:rsidRPr="00444E10">
        <w:rPr>
          <w:i/>
          <w:iCs/>
          <w:lang w:eastAsia="en-AU"/>
        </w:rPr>
        <w:t>IKZF1</w:t>
      </w:r>
      <w:r w:rsidRPr="00B606C9">
        <w:rPr>
          <w:i/>
          <w:iCs/>
          <w:lang w:eastAsia="en-AU"/>
        </w:rPr>
        <w:t xml:space="preserve">, </w:t>
      </w:r>
      <w:r w:rsidRPr="00444E10">
        <w:rPr>
          <w:i/>
          <w:iCs/>
          <w:lang w:eastAsia="en-AU"/>
        </w:rPr>
        <w:t>JAK1</w:t>
      </w:r>
      <w:r w:rsidRPr="00B606C9">
        <w:rPr>
          <w:i/>
          <w:iCs/>
          <w:lang w:eastAsia="en-AU"/>
        </w:rPr>
        <w:t xml:space="preserve">, </w:t>
      </w:r>
      <w:r w:rsidRPr="00444E10">
        <w:rPr>
          <w:i/>
          <w:iCs/>
          <w:lang w:eastAsia="en-AU"/>
        </w:rPr>
        <w:t>JAK2</w:t>
      </w:r>
      <w:r w:rsidRPr="00B606C9">
        <w:rPr>
          <w:i/>
          <w:iCs/>
          <w:lang w:eastAsia="en-AU"/>
        </w:rPr>
        <w:t xml:space="preserve">, </w:t>
      </w:r>
      <w:r w:rsidRPr="00444E10">
        <w:rPr>
          <w:i/>
          <w:iCs/>
          <w:lang w:eastAsia="en-AU"/>
        </w:rPr>
        <w:t>JAK3</w:t>
      </w:r>
      <w:r w:rsidRPr="00B606C9">
        <w:rPr>
          <w:i/>
          <w:iCs/>
          <w:lang w:eastAsia="en-AU"/>
        </w:rPr>
        <w:t xml:space="preserve">, </w:t>
      </w:r>
      <w:r w:rsidRPr="00444E10">
        <w:rPr>
          <w:i/>
          <w:iCs/>
          <w:lang w:eastAsia="en-AU"/>
        </w:rPr>
        <w:t>KIT</w:t>
      </w:r>
      <w:r w:rsidRPr="00B606C9">
        <w:rPr>
          <w:i/>
          <w:iCs/>
          <w:lang w:eastAsia="en-AU"/>
        </w:rPr>
        <w:t xml:space="preserve">, </w:t>
      </w:r>
      <w:r w:rsidRPr="00444E10">
        <w:rPr>
          <w:i/>
          <w:iCs/>
          <w:lang w:eastAsia="en-AU"/>
        </w:rPr>
        <w:t>KMT2A</w:t>
      </w:r>
      <w:r w:rsidRPr="00B606C9">
        <w:rPr>
          <w:i/>
          <w:iCs/>
          <w:lang w:eastAsia="en-AU"/>
        </w:rPr>
        <w:t xml:space="preserve">, </w:t>
      </w:r>
      <w:r w:rsidRPr="00444E10">
        <w:rPr>
          <w:i/>
          <w:iCs/>
          <w:lang w:eastAsia="en-AU"/>
        </w:rPr>
        <w:t>KRAS</w:t>
      </w:r>
      <w:r w:rsidRPr="00B606C9">
        <w:rPr>
          <w:i/>
          <w:iCs/>
          <w:lang w:eastAsia="en-AU"/>
        </w:rPr>
        <w:t xml:space="preserve">, </w:t>
      </w:r>
      <w:r w:rsidRPr="00444E10">
        <w:rPr>
          <w:i/>
          <w:iCs/>
          <w:lang w:eastAsia="en-AU"/>
        </w:rPr>
        <w:t>MPL</w:t>
      </w:r>
      <w:r w:rsidRPr="00B606C9">
        <w:rPr>
          <w:i/>
          <w:iCs/>
          <w:lang w:eastAsia="en-AU"/>
        </w:rPr>
        <w:t>, NF1, NPM1, NRAS, PDCD1LG2, PDGFRA, PDGFRB, PHF6, PTPN11, RAD21, RUNX1, SETBP1, SF3B1, SRSF2</w:t>
      </w:r>
      <w:r>
        <w:rPr>
          <w:i/>
          <w:iCs/>
          <w:lang w:eastAsia="en-AU"/>
        </w:rPr>
        <w:t xml:space="preserve">, </w:t>
      </w:r>
      <w:r w:rsidRPr="00F162EF">
        <w:rPr>
          <w:i/>
          <w:iCs/>
          <w:lang w:eastAsia="en-AU"/>
        </w:rPr>
        <w:t>TET2</w:t>
      </w:r>
      <w:r>
        <w:rPr>
          <w:i/>
          <w:iCs/>
          <w:lang w:eastAsia="en-AU"/>
        </w:rPr>
        <w:t>, TP53, U2AF1, WT1, ZRSR2</w:t>
      </w:r>
    </w:p>
    <w:p w14:paraId="78572C59" w14:textId="59E83D17" w:rsidR="00C57317" w:rsidRDefault="009C2407" w:rsidP="00C57317">
      <w:pPr>
        <w:rPr>
          <w:color w:val="000000" w:themeColor="text1"/>
        </w:rPr>
      </w:pPr>
      <w:r>
        <w:rPr>
          <w:lang w:eastAsia="en-AU"/>
        </w:rPr>
        <w:t>The HTA group does not consider these genes to be exemplars</w:t>
      </w:r>
      <w:r w:rsidR="009224DA">
        <w:rPr>
          <w:lang w:eastAsia="en-AU"/>
        </w:rPr>
        <w:t xml:space="preserve"> (per the MSAC Guidelines exemplar/facilitated HTA approach)</w:t>
      </w:r>
      <w:r>
        <w:rPr>
          <w:lang w:eastAsia="en-AU"/>
        </w:rPr>
        <w:t xml:space="preserve"> </w:t>
      </w:r>
      <w:r w:rsidR="00283500">
        <w:rPr>
          <w:lang w:eastAsia="en-AU"/>
        </w:rPr>
        <w:t>but more as an advisory list</w:t>
      </w:r>
      <w:r w:rsidR="00B358DE">
        <w:rPr>
          <w:lang w:eastAsia="en-AU"/>
        </w:rPr>
        <w:t xml:space="preserve"> of core genes that could form the basis of a reference list, and in some way, inform the item descriptor</w:t>
      </w:r>
      <w:r w:rsidR="00283500">
        <w:rPr>
          <w:lang w:eastAsia="en-AU"/>
        </w:rPr>
        <w:t xml:space="preserve">. </w:t>
      </w:r>
      <w:r w:rsidR="009D1DF5">
        <w:rPr>
          <w:lang w:eastAsia="en-AU"/>
        </w:rPr>
        <w:t xml:space="preserve">It may be confusing to retain the term ‘exemplar’ </w:t>
      </w:r>
      <w:r w:rsidR="00B358DE">
        <w:rPr>
          <w:lang w:eastAsia="en-AU"/>
        </w:rPr>
        <w:t xml:space="preserve">given the MSAC guidelines use of this term </w:t>
      </w:r>
      <w:r>
        <w:rPr>
          <w:lang w:eastAsia="en-AU"/>
        </w:rPr>
        <w:t xml:space="preserve">as </w:t>
      </w:r>
      <w:r w:rsidR="004F692B">
        <w:rPr>
          <w:lang w:eastAsia="en-AU"/>
        </w:rPr>
        <w:t xml:space="preserve">genes that </w:t>
      </w:r>
      <w:r w:rsidR="005938D0">
        <w:rPr>
          <w:lang w:eastAsia="en-AU"/>
        </w:rPr>
        <w:t xml:space="preserve">are </w:t>
      </w:r>
      <w:r w:rsidR="00B358DE">
        <w:rPr>
          <w:lang w:eastAsia="en-AU"/>
        </w:rPr>
        <w:t>in some way representative of the clinical utility</w:t>
      </w:r>
      <w:r w:rsidR="005938D0">
        <w:rPr>
          <w:lang w:eastAsia="en-AU"/>
        </w:rPr>
        <w:t xml:space="preserve"> or </w:t>
      </w:r>
      <w:r w:rsidR="00FD14C6">
        <w:rPr>
          <w:lang w:eastAsia="en-AU"/>
        </w:rPr>
        <w:t xml:space="preserve">as a proxy for the </w:t>
      </w:r>
      <w:r w:rsidR="005938D0">
        <w:rPr>
          <w:lang w:eastAsia="en-AU"/>
        </w:rPr>
        <w:t>effectiveness</w:t>
      </w:r>
      <w:r w:rsidR="00B358DE">
        <w:rPr>
          <w:lang w:eastAsia="en-AU"/>
        </w:rPr>
        <w:t xml:space="preserve"> of other genes</w:t>
      </w:r>
      <w:r w:rsidR="00655966">
        <w:rPr>
          <w:lang w:eastAsia="en-AU"/>
        </w:rPr>
        <w:t xml:space="preserve">. In </w:t>
      </w:r>
      <w:r w:rsidR="00DE3180">
        <w:rPr>
          <w:lang w:eastAsia="en-AU"/>
        </w:rPr>
        <w:t xml:space="preserve">somatic testing in general, there are no </w:t>
      </w:r>
      <w:r w:rsidR="001C263A">
        <w:rPr>
          <w:lang w:eastAsia="en-AU"/>
        </w:rPr>
        <w:t xml:space="preserve">such </w:t>
      </w:r>
      <w:proofErr w:type="gramStart"/>
      <w:r w:rsidR="00DE3180">
        <w:rPr>
          <w:lang w:eastAsia="en-AU"/>
        </w:rPr>
        <w:t>exemplars</w:t>
      </w:r>
      <w:proofErr w:type="gramEnd"/>
      <w:r w:rsidR="00DE3180">
        <w:rPr>
          <w:lang w:eastAsia="en-AU"/>
        </w:rPr>
        <w:t xml:space="preserve"> </w:t>
      </w:r>
      <w:r w:rsidR="004D7679">
        <w:rPr>
          <w:lang w:eastAsia="en-AU"/>
        </w:rPr>
        <w:t>and, in these conditions,</w:t>
      </w:r>
      <w:r w:rsidR="00B358DE">
        <w:rPr>
          <w:lang w:eastAsia="en-AU"/>
        </w:rPr>
        <w:t xml:space="preserve"> </w:t>
      </w:r>
      <w:r>
        <w:rPr>
          <w:lang w:eastAsia="en-AU"/>
        </w:rPr>
        <w:t>the</w:t>
      </w:r>
      <w:r w:rsidR="009D1DF5">
        <w:rPr>
          <w:lang w:eastAsia="en-AU"/>
        </w:rPr>
        <w:t>se genes</w:t>
      </w:r>
      <w:r>
        <w:rPr>
          <w:lang w:eastAsia="en-AU"/>
        </w:rPr>
        <w:t xml:space="preserve"> are not necessarily</w:t>
      </w:r>
      <w:r w:rsidR="004D0D96">
        <w:rPr>
          <w:lang w:eastAsia="en-AU"/>
        </w:rPr>
        <w:t xml:space="preserve"> </w:t>
      </w:r>
      <w:r>
        <w:rPr>
          <w:lang w:eastAsia="en-AU"/>
        </w:rPr>
        <w:t>related in any way, although some co-occur and others are mutually exclusive.</w:t>
      </w:r>
      <w:r w:rsidR="007B497E">
        <w:rPr>
          <w:lang w:eastAsia="en-AU"/>
        </w:rPr>
        <w:t xml:space="preserve"> </w:t>
      </w:r>
      <w:r w:rsidR="009D1DF5">
        <w:rPr>
          <w:lang w:eastAsia="en-AU"/>
        </w:rPr>
        <w:t>However, the principle of establishing a core list of genes</w:t>
      </w:r>
      <w:r w:rsidR="004D595E">
        <w:rPr>
          <w:lang w:eastAsia="en-AU"/>
        </w:rPr>
        <w:t xml:space="preserve"> with strong clinical utility</w:t>
      </w:r>
      <w:r w:rsidR="009D1DF5">
        <w:rPr>
          <w:lang w:eastAsia="en-AU"/>
        </w:rPr>
        <w:t xml:space="preserve"> is very important. </w:t>
      </w:r>
      <w:r w:rsidR="00C57317" w:rsidRPr="009168A8">
        <w:rPr>
          <w:color w:val="000000" w:themeColor="text1"/>
        </w:rPr>
        <w:t xml:space="preserve">The </w:t>
      </w:r>
      <w:r w:rsidR="00C57317">
        <w:rPr>
          <w:color w:val="000000" w:themeColor="text1"/>
        </w:rPr>
        <w:t xml:space="preserve">HTA group considers the </w:t>
      </w:r>
      <w:r w:rsidR="00C57317" w:rsidRPr="009168A8">
        <w:rPr>
          <w:color w:val="000000" w:themeColor="text1"/>
        </w:rPr>
        <w:t>following genes</w:t>
      </w:r>
      <w:r w:rsidR="00C57317">
        <w:rPr>
          <w:color w:val="000000" w:themeColor="text1"/>
        </w:rPr>
        <w:t xml:space="preserve"> in red,</w:t>
      </w:r>
      <w:r w:rsidR="00C57317" w:rsidRPr="009168A8">
        <w:rPr>
          <w:color w:val="000000" w:themeColor="text1"/>
        </w:rPr>
        <w:t xml:space="preserve"> </w:t>
      </w:r>
      <w:r w:rsidR="00C57317">
        <w:rPr>
          <w:color w:val="000000" w:themeColor="text1"/>
        </w:rPr>
        <w:t>from the</w:t>
      </w:r>
      <w:r w:rsidR="00C97A4E">
        <w:rPr>
          <w:color w:val="000000" w:themeColor="text1"/>
        </w:rPr>
        <w:t xml:space="preserve"> 2016</w:t>
      </w:r>
      <w:r w:rsidR="00C57317" w:rsidRPr="009168A8">
        <w:rPr>
          <w:color w:val="000000" w:themeColor="text1"/>
        </w:rPr>
        <w:t xml:space="preserve"> WHO classification and/or the NHSE </w:t>
      </w:r>
      <w:r w:rsidR="00C57317">
        <w:rPr>
          <w:color w:val="000000" w:themeColor="text1"/>
        </w:rPr>
        <w:t xml:space="preserve">Test </w:t>
      </w:r>
      <w:r w:rsidR="00C57317" w:rsidRPr="009168A8">
        <w:rPr>
          <w:color w:val="000000" w:themeColor="text1"/>
        </w:rPr>
        <w:t>Directory</w:t>
      </w:r>
      <w:r w:rsidR="00C57317">
        <w:rPr>
          <w:color w:val="000000" w:themeColor="text1"/>
        </w:rPr>
        <w:t>, the IPSS-M</w:t>
      </w:r>
      <w:r w:rsidR="00283500">
        <w:rPr>
          <w:color w:val="000000" w:themeColor="text1"/>
        </w:rPr>
        <w:t xml:space="preserve"> </w:t>
      </w:r>
      <w:r w:rsidR="003229E4">
        <w:rPr>
          <w:color w:val="000000" w:themeColor="text1"/>
        </w:rPr>
        <w:t>(31 genes)</w:t>
      </w:r>
      <w:r w:rsidR="00C57317">
        <w:rPr>
          <w:color w:val="000000" w:themeColor="text1"/>
        </w:rPr>
        <w:t>, and</w:t>
      </w:r>
      <w:r w:rsidR="008450B4">
        <w:rPr>
          <w:color w:val="000000" w:themeColor="text1"/>
        </w:rPr>
        <w:t xml:space="preserve"> some from</w:t>
      </w:r>
      <w:r w:rsidR="00C57317">
        <w:rPr>
          <w:color w:val="000000" w:themeColor="text1"/>
        </w:rPr>
        <w:t xml:space="preserve"> the large case series </w:t>
      </w:r>
      <w:r w:rsidR="00C57317">
        <w:rPr>
          <w:color w:val="000000" w:themeColor="text1"/>
        </w:rPr>
        <w:lastRenderedPageBreak/>
        <w:t xml:space="preserve">reported by Rosenthal et al (2021) could be added to the Applicant’s proposed list. This is </w:t>
      </w:r>
      <w:r w:rsidR="00283500">
        <w:rPr>
          <w:color w:val="000000" w:themeColor="text1"/>
        </w:rPr>
        <w:t>referred</w:t>
      </w:r>
      <w:r w:rsidR="00C57317">
        <w:rPr>
          <w:color w:val="000000" w:themeColor="text1"/>
        </w:rPr>
        <w:t xml:space="preserve"> to </w:t>
      </w:r>
      <w:r w:rsidR="00E63B0D">
        <w:rPr>
          <w:color w:val="000000" w:themeColor="text1"/>
        </w:rPr>
        <w:t xml:space="preserve">the Applicant and </w:t>
      </w:r>
      <w:r w:rsidR="00C57317">
        <w:rPr>
          <w:color w:val="000000" w:themeColor="text1"/>
        </w:rPr>
        <w:t>MSAC for further consideration.</w:t>
      </w:r>
      <w:r w:rsidR="00C97A4E">
        <w:rPr>
          <w:color w:val="000000" w:themeColor="text1"/>
        </w:rPr>
        <w:t xml:space="preserve"> Once a comprehensive list of the genes is available for WHO HAEM5, consideration could be given to including these</w:t>
      </w:r>
      <w:r w:rsidR="004A08B7">
        <w:rPr>
          <w:color w:val="000000" w:themeColor="text1"/>
        </w:rPr>
        <w:t xml:space="preserve"> to ensure the list is </w:t>
      </w:r>
      <w:r w:rsidR="002F200C">
        <w:rPr>
          <w:color w:val="000000" w:themeColor="text1"/>
        </w:rPr>
        <w:t>up to date</w:t>
      </w:r>
      <w:r w:rsidR="00C97A4E">
        <w:rPr>
          <w:color w:val="000000" w:themeColor="text1"/>
        </w:rPr>
        <w:t>.</w:t>
      </w:r>
    </w:p>
    <w:p w14:paraId="416C782A" w14:textId="62A47599" w:rsidR="00775606" w:rsidRDefault="00775606" w:rsidP="009C2407">
      <w:pPr>
        <w:rPr>
          <w:lang w:eastAsia="en-AU"/>
        </w:rPr>
      </w:pPr>
      <w:r>
        <w:rPr>
          <w:lang w:eastAsia="en-AU"/>
        </w:rPr>
        <w:t xml:space="preserve">The HTA group’s </w:t>
      </w:r>
      <w:r w:rsidR="007843B7">
        <w:rPr>
          <w:lang w:eastAsia="en-AU"/>
        </w:rPr>
        <w:t xml:space="preserve">suggested </w:t>
      </w:r>
      <w:r>
        <w:rPr>
          <w:lang w:eastAsia="en-AU"/>
        </w:rPr>
        <w:t>item descriptor is below with</w:t>
      </w:r>
      <w:r w:rsidR="001E5340">
        <w:rPr>
          <w:lang w:eastAsia="en-AU"/>
        </w:rPr>
        <w:t xml:space="preserve"> proposed</w:t>
      </w:r>
      <w:r>
        <w:rPr>
          <w:lang w:eastAsia="en-AU"/>
        </w:rPr>
        <w:t xml:space="preserve"> amendments to the wording and additional genes not currently in the candidate list. </w:t>
      </w:r>
      <w:r w:rsidR="00450CF9">
        <w:rPr>
          <w:lang w:eastAsia="en-AU"/>
        </w:rPr>
        <w:t>Those highlighted in black are potential</w:t>
      </w:r>
      <w:r w:rsidR="00CE7420">
        <w:rPr>
          <w:lang w:eastAsia="en-AU"/>
        </w:rPr>
        <w:t xml:space="preserve"> germline</w:t>
      </w:r>
      <w:r w:rsidR="00450CF9">
        <w:rPr>
          <w:lang w:eastAsia="en-AU"/>
        </w:rPr>
        <w:t xml:space="preserve"> predisposition genes.</w:t>
      </w:r>
    </w:p>
    <w:p w14:paraId="4812CBD6" w14:textId="73301305" w:rsidR="0077037B" w:rsidRDefault="003D5261" w:rsidP="009C2407">
      <w:pPr>
        <w:rPr>
          <w:lang w:eastAsia="en-AU"/>
        </w:rPr>
      </w:pPr>
      <w:r>
        <w:rPr>
          <w:lang w:eastAsia="en-AU"/>
        </w:rPr>
        <w:t>The Applicant provided a costing in the Application and has not provided additional, updated costing with subsequent adjustments to</w:t>
      </w:r>
      <w:r w:rsidR="000D5335">
        <w:rPr>
          <w:lang w:eastAsia="en-AU"/>
        </w:rPr>
        <w:t xml:space="preserve"> justify</w:t>
      </w:r>
      <w:r>
        <w:rPr>
          <w:lang w:eastAsia="en-AU"/>
        </w:rPr>
        <w:t xml:space="preserve"> the </w:t>
      </w:r>
      <w:r w:rsidR="00C57317">
        <w:rPr>
          <w:lang w:eastAsia="en-AU"/>
        </w:rPr>
        <w:t>fee being sought</w:t>
      </w:r>
      <w:r>
        <w:rPr>
          <w:lang w:eastAsia="en-AU"/>
        </w:rPr>
        <w:t xml:space="preserve">. </w:t>
      </w:r>
      <w:r w:rsidR="0077037B">
        <w:rPr>
          <w:lang w:eastAsia="en-AU"/>
        </w:rPr>
        <w:t>An expert in the HTA group reviewed the costing</w:t>
      </w:r>
      <w:r w:rsidR="002A0747">
        <w:rPr>
          <w:lang w:eastAsia="en-AU"/>
        </w:rPr>
        <w:t xml:space="preserve"> provided by the Applicant</w:t>
      </w:r>
      <w:r w:rsidR="0077037B">
        <w:rPr>
          <w:lang w:eastAsia="en-AU"/>
        </w:rPr>
        <w:t>, and based on that, the HTA</w:t>
      </w:r>
      <w:r w:rsidR="00B12675">
        <w:rPr>
          <w:lang w:eastAsia="en-AU"/>
        </w:rPr>
        <w:t xml:space="preserve"> group</w:t>
      </w:r>
      <w:r w:rsidR="0077037B">
        <w:rPr>
          <w:lang w:eastAsia="en-AU"/>
        </w:rPr>
        <w:t xml:space="preserve"> suggests a fee of $927.90.</w:t>
      </w:r>
      <w:r w:rsidR="00C57317">
        <w:rPr>
          <w:lang w:eastAsia="en-AU"/>
        </w:rPr>
        <w:t xml:space="preserve"> Details of the costing are contained in the body of the report.</w:t>
      </w:r>
    </w:p>
    <w:p w14:paraId="16569557" w14:textId="6530637F" w:rsidR="00C97A4E" w:rsidRDefault="00C97A4E" w:rsidP="009C2407">
      <w:pPr>
        <w:rPr>
          <w:lang w:eastAsia="en-AU"/>
        </w:rPr>
      </w:pPr>
      <w:r>
        <w:rPr>
          <w:lang w:eastAsia="en-AU"/>
        </w:rPr>
        <w:t>For the myeloid NGS panel, the HTA group considers it reasonable to include reference to a list of genes. How this is implemented is referred to MSAC</w:t>
      </w:r>
      <w:r w:rsidR="000B657D">
        <w:rPr>
          <w:lang w:eastAsia="en-AU"/>
        </w:rPr>
        <w:t>/MBD</w:t>
      </w:r>
      <w:r>
        <w:rPr>
          <w:lang w:eastAsia="en-AU"/>
        </w:rPr>
        <w:t xml:space="preserve"> as a policy consideration. Given there is a range of genes for the different myeloid neoplasm</w:t>
      </w:r>
      <w:r w:rsidR="006E2734">
        <w:rPr>
          <w:lang w:eastAsia="en-AU"/>
        </w:rPr>
        <w:t>s</w:t>
      </w:r>
      <w:r>
        <w:rPr>
          <w:lang w:eastAsia="en-AU"/>
        </w:rPr>
        <w:t>, this item descriptor would be best supported by a test directory, outlining the genes required to be tested for each condition.</w:t>
      </w:r>
      <w:r w:rsidR="000B657D">
        <w:rPr>
          <w:lang w:eastAsia="en-AU"/>
        </w:rPr>
        <w:t xml:space="preserve"> This would ensure there is a reference list that can be readily maintained and updated and acts as a guideline for both requesters and providers regarding the current standard of care.</w:t>
      </w:r>
    </w:p>
    <w:p w14:paraId="0C65EEA2" w14:textId="60F143B9" w:rsidR="000B657D" w:rsidRDefault="00F1524B" w:rsidP="009C2407">
      <w:pPr>
        <w:rPr>
          <w:lang w:eastAsia="en-AU"/>
        </w:rPr>
      </w:pPr>
      <w:r>
        <w:rPr>
          <w:lang w:eastAsia="en-AU"/>
        </w:rPr>
        <w:t>For both the myeloid and lymphoid panels, it</w:t>
      </w:r>
      <w:r w:rsidR="000B657D">
        <w:rPr>
          <w:lang w:eastAsia="en-AU"/>
        </w:rPr>
        <w:t xml:space="preserve"> is recommended that the test be available at initial diagnosis </w:t>
      </w:r>
      <w:proofErr w:type="gramStart"/>
      <w:r w:rsidR="000B657D">
        <w:rPr>
          <w:lang w:eastAsia="en-AU"/>
        </w:rPr>
        <w:t>and also</w:t>
      </w:r>
      <w:proofErr w:type="gramEnd"/>
      <w:r w:rsidR="000B657D">
        <w:rPr>
          <w:lang w:eastAsia="en-AU"/>
        </w:rPr>
        <w:t xml:space="preserve"> at suspected relapse or disease progression, given it informs the impact of clonal evolution with potential progression to new disease states (e.g., MDS to AML, MPNs to AML, Richter transformation of low</w:t>
      </w:r>
      <w:r w:rsidR="00BD020D">
        <w:rPr>
          <w:lang w:eastAsia="en-AU"/>
        </w:rPr>
        <w:t>-</w:t>
      </w:r>
      <w:r w:rsidR="000B657D">
        <w:rPr>
          <w:lang w:eastAsia="en-AU"/>
        </w:rPr>
        <w:t>grade B cell neoplasms)</w:t>
      </w:r>
      <w:r>
        <w:rPr>
          <w:lang w:eastAsia="en-AU"/>
        </w:rPr>
        <w:t xml:space="preserve"> or potentially identifies a new diagnosis or may rule out a malignancy. Beyond</w:t>
      </w:r>
      <w:r w:rsidR="000B657D">
        <w:rPr>
          <w:lang w:eastAsia="en-AU"/>
        </w:rPr>
        <w:t xml:space="preserve"> </w:t>
      </w:r>
      <w:r>
        <w:rPr>
          <w:lang w:eastAsia="en-AU"/>
        </w:rPr>
        <w:t xml:space="preserve">diagnosis, NGS panel testing at relapse may also inform prognosis, </w:t>
      </w:r>
      <w:r w:rsidR="000B657D">
        <w:rPr>
          <w:lang w:eastAsia="en-AU"/>
        </w:rPr>
        <w:t>risk stratification and optimal management options. Only very rarely would a single patient require more tha</w:t>
      </w:r>
      <w:r w:rsidR="00F759C8">
        <w:rPr>
          <w:lang w:eastAsia="en-AU"/>
        </w:rPr>
        <w:t>n</w:t>
      </w:r>
      <w:r w:rsidR="000B657D">
        <w:rPr>
          <w:lang w:eastAsia="en-AU"/>
        </w:rPr>
        <w:t xml:space="preserve"> one repeat test after experiencing disease progression or relapse</w:t>
      </w:r>
      <w:r>
        <w:rPr>
          <w:lang w:eastAsia="en-AU"/>
        </w:rPr>
        <w:t>,</w:t>
      </w:r>
      <w:r w:rsidR="00A27260">
        <w:rPr>
          <w:lang w:eastAsia="en-AU"/>
        </w:rPr>
        <w:t xml:space="preserve"> </w:t>
      </w:r>
      <w:r w:rsidR="000B657D">
        <w:rPr>
          <w:lang w:eastAsia="en-AU"/>
        </w:rPr>
        <w:t>i.e., a scenario where a patient is tested three times would be uncommon.</w:t>
      </w:r>
    </w:p>
    <w:p w14:paraId="4CD0095F" w14:textId="087F5E40" w:rsidR="006E2734" w:rsidRDefault="006E2734" w:rsidP="006E2734">
      <w:pPr>
        <w:rPr>
          <w:lang w:eastAsia="en-AU"/>
        </w:rPr>
      </w:pPr>
      <w:r>
        <w:rPr>
          <w:lang w:eastAsia="en-AU"/>
        </w:rPr>
        <w:t xml:space="preserve">Some genes with clinical utility appear to be missing and are presented in red for consideration by MSAC and the Applicant. Those highlighted in </w:t>
      </w:r>
      <w:r w:rsidR="000B657D">
        <w:rPr>
          <w:lang w:eastAsia="en-AU"/>
        </w:rPr>
        <w:t xml:space="preserve">bold text in both the red and </w:t>
      </w:r>
      <w:proofErr w:type="gramStart"/>
      <w:r w:rsidR="000B657D">
        <w:rPr>
          <w:lang w:eastAsia="en-AU"/>
        </w:rPr>
        <w:t>black lists</w:t>
      </w:r>
      <w:proofErr w:type="gramEnd"/>
      <w:r w:rsidR="00D91D14">
        <w:rPr>
          <w:lang w:eastAsia="en-AU"/>
        </w:rPr>
        <w:t xml:space="preserve"> of genes</w:t>
      </w:r>
      <w:r>
        <w:rPr>
          <w:lang w:eastAsia="en-AU"/>
        </w:rPr>
        <w:t xml:space="preserve"> are potential germline predisposition genes.</w:t>
      </w:r>
    </w:p>
    <w:p w14:paraId="575CE267" w14:textId="1BA316B7" w:rsidR="009C2407" w:rsidRDefault="009C2407" w:rsidP="009C2407">
      <w:pPr>
        <w:pStyle w:val="Caption"/>
      </w:pPr>
      <w:r>
        <w:t xml:space="preserve">Table </w:t>
      </w:r>
      <w:fldSimple w:instr=" SEQ Table \* ARABIC ">
        <w:r w:rsidR="00A165AD">
          <w:rPr>
            <w:noProof/>
          </w:rPr>
          <w:t>2</w:t>
        </w:r>
      </w:fldSimple>
      <w:r>
        <w:t xml:space="preserve"> HTA group’s </w:t>
      </w:r>
      <w:r w:rsidR="00B70324">
        <w:t xml:space="preserve">suggested </w:t>
      </w:r>
      <w:r>
        <w:t xml:space="preserve">MBS Item AAAA for an </w:t>
      </w:r>
      <w:r w:rsidRPr="009D0186">
        <w:t xml:space="preserve">NGS panel for characterising variants in </w:t>
      </w:r>
      <w:r>
        <w:t xml:space="preserve">suspected myelofibrosis or </w:t>
      </w:r>
      <w:r w:rsidRPr="009D0186">
        <w:t>haematological malignancies</w:t>
      </w:r>
      <w:r>
        <w:t xml:space="preserve"> of myeloid origin</w:t>
      </w:r>
      <w:r w:rsidR="004E3880">
        <w:t xml:space="preserve">; </w:t>
      </w:r>
      <w:r w:rsidR="004E3880" w:rsidRPr="00634EFF">
        <w:rPr>
          <w:i/>
          <w:iCs/>
        </w:rPr>
        <w:t xml:space="preserve">amendments from </w:t>
      </w:r>
      <w:r w:rsidR="000F7E72">
        <w:rPr>
          <w:i/>
          <w:iCs/>
        </w:rPr>
        <w:t>A</w:t>
      </w:r>
      <w:r w:rsidR="004E3880" w:rsidRPr="00634EFF">
        <w:rPr>
          <w:i/>
          <w:iCs/>
        </w:rPr>
        <w:t>pplicant proposal marked up</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C2407" w:rsidRPr="00CE28E3" w14:paraId="72423264" w14:textId="77777777" w:rsidTr="00947725">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21667278" w14:textId="77777777" w:rsidR="009C2407" w:rsidRPr="00CE28E3" w:rsidRDefault="009C2407" w:rsidP="00947725">
            <w:pPr>
              <w:pStyle w:val="TableText"/>
              <w:jc w:val="right"/>
              <w:rPr>
                <w:sz w:val="24"/>
              </w:rPr>
            </w:pPr>
            <w:r w:rsidRPr="00262C33">
              <w:rPr>
                <w:b/>
                <w:bCs/>
              </w:rPr>
              <w:t>Category 6 – PATHOLOGY SERVICES –Group P7 Genetics</w:t>
            </w:r>
          </w:p>
        </w:tc>
      </w:tr>
      <w:tr w:rsidR="009C2407" w:rsidRPr="00CE28E3" w14:paraId="11A5AD91" w14:textId="77777777" w:rsidTr="00947725">
        <w:tc>
          <w:tcPr>
            <w:tcW w:w="5000" w:type="pct"/>
            <w:tcBorders>
              <w:top w:val="single" w:sz="4" w:space="0" w:color="000000"/>
              <w:left w:val="single" w:sz="4" w:space="0" w:color="000000"/>
              <w:bottom w:val="single" w:sz="4" w:space="0" w:color="000000"/>
              <w:right w:val="single" w:sz="4" w:space="0" w:color="000000"/>
            </w:tcBorders>
            <w:hideMark/>
          </w:tcPr>
          <w:p w14:paraId="70942D7F" w14:textId="79F92F06" w:rsidR="009C2407" w:rsidRPr="00C97A4E" w:rsidRDefault="009C2407" w:rsidP="00947725">
            <w:pPr>
              <w:rPr>
                <w:rFonts w:ascii="Arial Narrow" w:hAnsi="Arial Narrow"/>
                <w:szCs w:val="20"/>
                <w:lang w:eastAsia="ja-JP"/>
              </w:rPr>
            </w:pPr>
            <w:r w:rsidRPr="00813D7F">
              <w:rPr>
                <w:rFonts w:ascii="Arial Narrow" w:hAnsi="Arial Narrow"/>
                <w:szCs w:val="20"/>
                <w:lang w:eastAsia="ja-JP"/>
              </w:rPr>
              <w:t xml:space="preserve">Characterisation </w:t>
            </w:r>
            <w:r w:rsidRPr="00660B8C">
              <w:rPr>
                <w:rFonts w:ascii="Arial Narrow" w:hAnsi="Arial Narrow"/>
                <w:szCs w:val="20"/>
                <w:lang w:eastAsia="ja-JP"/>
              </w:rPr>
              <w:t>of</w:t>
            </w:r>
            <w:r w:rsidR="00B70324">
              <w:rPr>
                <w:rFonts w:ascii="Arial Narrow" w:hAnsi="Arial Narrow"/>
                <w:szCs w:val="20"/>
                <w:lang w:eastAsia="ja-JP"/>
              </w:rPr>
              <w:t xml:space="preserve"> </w:t>
            </w:r>
            <w:r w:rsidR="00B70324" w:rsidRPr="00660B8C">
              <w:rPr>
                <w:rFonts w:ascii="Arial Narrow" w:hAnsi="Arial Narrow"/>
                <w:strike/>
                <w:szCs w:val="20"/>
                <w:lang w:eastAsia="ja-JP"/>
              </w:rPr>
              <w:t>gene</w:t>
            </w:r>
            <w:r w:rsidRPr="00660B8C">
              <w:rPr>
                <w:rFonts w:ascii="Arial Narrow" w:hAnsi="Arial Narrow"/>
                <w:i/>
                <w:iCs/>
                <w:szCs w:val="20"/>
                <w:lang w:eastAsia="ja-JP"/>
              </w:rPr>
              <w:t xml:space="preserve"> </w:t>
            </w:r>
            <w:r w:rsidRPr="00660B8C">
              <w:rPr>
                <w:rFonts w:ascii="Arial Narrow" w:hAnsi="Arial Narrow"/>
                <w:szCs w:val="20"/>
                <w:lang w:eastAsia="ja-JP"/>
              </w:rPr>
              <w:t>variant(s)</w:t>
            </w:r>
            <w:r w:rsidRPr="00813D7F">
              <w:rPr>
                <w:rFonts w:ascii="Arial Narrow" w:hAnsi="Arial Narrow"/>
                <w:szCs w:val="20"/>
                <w:lang w:eastAsia="ja-JP"/>
              </w:rPr>
              <w:t>,</w:t>
            </w:r>
            <w:r w:rsidRPr="003B766D">
              <w:rPr>
                <w:rFonts w:ascii="Arial Narrow" w:hAnsi="Arial Narrow"/>
                <w:szCs w:val="20"/>
                <w:lang w:eastAsia="ja-JP"/>
              </w:rPr>
              <w:t xml:space="preserve"> requested by a specialist or consultant physician </w:t>
            </w:r>
            <w:r w:rsidRPr="00660B8C">
              <w:rPr>
                <w:rFonts w:ascii="Arial Narrow" w:hAnsi="Arial Narrow"/>
                <w:i/>
                <w:iCs/>
                <w:szCs w:val="20"/>
                <w:lang w:eastAsia="ja-JP"/>
              </w:rPr>
              <w:t>to determine the diagnosis, prognosis and management of</w:t>
            </w:r>
            <w:r w:rsidRPr="00B70324">
              <w:rPr>
                <w:rFonts w:ascii="Arial Narrow" w:hAnsi="Arial Narrow"/>
                <w:szCs w:val="20"/>
                <w:lang w:eastAsia="ja-JP"/>
              </w:rPr>
              <w:t xml:space="preserve"> </w:t>
            </w:r>
            <w:r w:rsidRPr="003B766D">
              <w:rPr>
                <w:rFonts w:ascii="Arial Narrow" w:hAnsi="Arial Narrow"/>
                <w:szCs w:val="20"/>
                <w:lang w:eastAsia="ja-JP"/>
              </w:rPr>
              <w:t xml:space="preserve">a patient presenting with </w:t>
            </w:r>
            <w:r w:rsidR="00B70324">
              <w:rPr>
                <w:rFonts w:ascii="Arial Narrow" w:hAnsi="Arial Narrow"/>
                <w:szCs w:val="20"/>
                <w:lang w:eastAsia="ja-JP"/>
              </w:rPr>
              <w:t xml:space="preserve">a </w:t>
            </w:r>
            <w:r w:rsidRPr="00660B8C">
              <w:rPr>
                <w:rFonts w:ascii="Arial Narrow" w:hAnsi="Arial Narrow"/>
                <w:i/>
                <w:iCs/>
                <w:szCs w:val="20"/>
                <w:lang w:eastAsia="ja-JP"/>
              </w:rPr>
              <w:t>suspected</w:t>
            </w:r>
            <w:r>
              <w:rPr>
                <w:rFonts w:ascii="Arial Narrow" w:hAnsi="Arial Narrow"/>
                <w:szCs w:val="20"/>
                <w:lang w:eastAsia="ja-JP"/>
              </w:rPr>
              <w:t xml:space="preserve"> </w:t>
            </w:r>
            <w:r w:rsidRPr="003B766D">
              <w:rPr>
                <w:rFonts w:ascii="Arial Narrow" w:hAnsi="Arial Narrow"/>
                <w:szCs w:val="20"/>
                <w:lang w:eastAsia="ja-JP"/>
              </w:rPr>
              <w:t>haematological malignancy of myeloid origin</w:t>
            </w:r>
            <w:r>
              <w:rPr>
                <w:rFonts w:ascii="Arial Narrow" w:hAnsi="Arial Narrow"/>
                <w:szCs w:val="20"/>
                <w:lang w:eastAsia="ja-JP"/>
              </w:rPr>
              <w:t xml:space="preserve"> </w:t>
            </w:r>
            <w:r w:rsidR="00C97A4E" w:rsidRPr="00C97A4E">
              <w:rPr>
                <w:rFonts w:ascii="Arial Narrow" w:hAnsi="Arial Narrow"/>
                <w:i/>
                <w:iCs/>
                <w:szCs w:val="20"/>
                <w:lang w:eastAsia="ja-JP"/>
              </w:rPr>
              <w:t>in</w:t>
            </w:r>
            <w:r w:rsidR="004E3880" w:rsidRPr="00C97A4E">
              <w:rPr>
                <w:rFonts w:ascii="Arial Narrow" w:hAnsi="Arial Narrow"/>
                <w:i/>
                <w:iCs/>
                <w:szCs w:val="20"/>
                <w:lang w:eastAsia="ja-JP"/>
              </w:rPr>
              <w:t xml:space="preserve"> </w:t>
            </w:r>
            <w:r w:rsidR="004E3880" w:rsidRPr="00C97A4E">
              <w:rPr>
                <w:rFonts w:ascii="Arial Narrow" w:hAnsi="Arial Narrow"/>
                <w:szCs w:val="20"/>
                <w:lang w:eastAsia="ja-JP"/>
              </w:rPr>
              <w:t>at least 25 genes from the list</w:t>
            </w:r>
          </w:p>
          <w:p w14:paraId="7FA2550C" w14:textId="3FCA1841" w:rsidR="009C2407" w:rsidRPr="00907F10" w:rsidRDefault="009224DA" w:rsidP="00947725">
            <w:pPr>
              <w:rPr>
                <w:rFonts w:ascii="Arial Narrow" w:hAnsi="Arial Narrow"/>
                <w:i/>
                <w:iCs/>
                <w:szCs w:val="20"/>
                <w:lang w:val="en-US" w:eastAsia="ja-JP"/>
              </w:rPr>
            </w:pPr>
            <w:r w:rsidRPr="00907F10">
              <w:rPr>
                <w:rFonts w:ascii="Arial Narrow" w:hAnsi="Arial Narrow"/>
                <w:i/>
                <w:iCs/>
                <w:szCs w:val="20"/>
                <w:lang w:val="en-US" w:eastAsia="ja-JP"/>
              </w:rPr>
              <w:t>Applicable once per diagnostic episode</w:t>
            </w:r>
            <w:r w:rsidR="00542C58" w:rsidRPr="00907F10">
              <w:rPr>
                <w:rFonts w:ascii="Arial Narrow" w:hAnsi="Arial Narrow"/>
                <w:i/>
                <w:iCs/>
                <w:szCs w:val="20"/>
                <w:lang w:val="en-US" w:eastAsia="ja-JP"/>
              </w:rPr>
              <w:t xml:space="preserve"> at initial diagnosis or </w:t>
            </w:r>
            <w:r w:rsidR="00C86558">
              <w:rPr>
                <w:rFonts w:ascii="Arial Narrow" w:hAnsi="Arial Narrow"/>
                <w:i/>
                <w:iCs/>
                <w:szCs w:val="20"/>
                <w:lang w:val="en-US" w:eastAsia="ja-JP"/>
              </w:rPr>
              <w:t xml:space="preserve">suspected </w:t>
            </w:r>
            <w:r w:rsidR="00542C58" w:rsidRPr="00907F10">
              <w:rPr>
                <w:rFonts w:ascii="Arial Narrow" w:hAnsi="Arial Narrow"/>
                <w:i/>
                <w:iCs/>
                <w:szCs w:val="20"/>
                <w:lang w:val="en-US" w:eastAsia="ja-JP"/>
              </w:rPr>
              <w:t>disease progression/relapse</w:t>
            </w:r>
          </w:p>
        </w:tc>
      </w:tr>
      <w:tr w:rsidR="009C2407" w:rsidRPr="005D749D" w14:paraId="6DB43AAF" w14:textId="77777777" w:rsidTr="00947725">
        <w:tc>
          <w:tcPr>
            <w:tcW w:w="5000" w:type="pct"/>
            <w:tcBorders>
              <w:top w:val="single" w:sz="4" w:space="0" w:color="000000"/>
              <w:left w:val="single" w:sz="4" w:space="0" w:color="000000"/>
              <w:bottom w:val="single" w:sz="4" w:space="0" w:color="000000"/>
              <w:right w:val="single" w:sz="4" w:space="0" w:color="000000"/>
            </w:tcBorders>
            <w:vAlign w:val="center"/>
            <w:hideMark/>
          </w:tcPr>
          <w:p w14:paraId="2EB84177" w14:textId="77777777" w:rsidR="009C2407" w:rsidRPr="00906CAD" w:rsidRDefault="009C2407" w:rsidP="00947725">
            <w:pPr>
              <w:pStyle w:val="TableText"/>
              <w:rPr>
                <w:i/>
                <w:iCs/>
                <w:szCs w:val="20"/>
              </w:rPr>
            </w:pPr>
            <w:r w:rsidRPr="00906CAD">
              <w:rPr>
                <w:i/>
                <w:iCs/>
                <w:szCs w:val="20"/>
              </w:rPr>
              <w:t>Fee: $927.90 Benefit: 75%=724.50 85%=$840</w:t>
            </w:r>
          </w:p>
        </w:tc>
      </w:tr>
    </w:tbl>
    <w:p w14:paraId="416EC918" w14:textId="68172B64" w:rsidR="00660B8C" w:rsidRDefault="00937E1F" w:rsidP="009C2407">
      <w:pPr>
        <w:rPr>
          <w:i/>
          <w:iCs/>
          <w:lang w:eastAsia="en-AU"/>
        </w:rPr>
      </w:pPr>
      <w:r>
        <w:t>Suggested</w:t>
      </w:r>
      <w:r w:rsidR="009C2407" w:rsidRPr="003C4594">
        <w:t xml:space="preserve"> </w:t>
      </w:r>
      <w:r w:rsidR="009C2407">
        <w:t>gene</w:t>
      </w:r>
      <w:r w:rsidR="00326B2F">
        <w:t>s</w:t>
      </w:r>
      <w:r w:rsidR="009C2407" w:rsidRPr="003C4594">
        <w:t xml:space="preserve"> </w:t>
      </w:r>
      <w:r w:rsidR="00326B2F">
        <w:t>with established clinical utility</w:t>
      </w:r>
      <w:r w:rsidR="00401913">
        <w:t xml:space="preserve"> </w:t>
      </w:r>
      <w:r w:rsidR="009C2407" w:rsidRPr="003C4594">
        <w:t>(</w:t>
      </w:r>
      <w:r w:rsidR="006B1639">
        <w:t>62</w:t>
      </w:r>
      <w:r w:rsidR="009C2407" w:rsidRPr="003C4594">
        <w:t xml:space="preserve"> genes):</w:t>
      </w:r>
      <w:r w:rsidR="009C2407" w:rsidRPr="00B606C9">
        <w:rPr>
          <w:i/>
          <w:iCs/>
        </w:rPr>
        <w:t xml:space="preserve"> </w:t>
      </w:r>
      <w:r w:rsidR="009C2407" w:rsidRPr="00B606C9">
        <w:rPr>
          <w:i/>
          <w:iCs/>
          <w:lang w:eastAsia="en-AU"/>
        </w:rPr>
        <w:t>ASXL1, BRAF, CALR, CBL,</w:t>
      </w:r>
      <w:r w:rsidR="00D91D14">
        <w:rPr>
          <w:i/>
          <w:iCs/>
          <w:lang w:eastAsia="en-AU"/>
        </w:rPr>
        <w:t xml:space="preserve"> </w:t>
      </w:r>
      <w:r w:rsidR="009C2407" w:rsidRPr="00B606C9">
        <w:rPr>
          <w:i/>
          <w:iCs/>
          <w:lang w:eastAsia="en-AU"/>
        </w:rPr>
        <w:t xml:space="preserve">CD274, </w:t>
      </w:r>
      <w:r w:rsidR="009C2407" w:rsidRPr="000F4130">
        <w:rPr>
          <w:b/>
          <w:bCs/>
          <w:i/>
          <w:iCs/>
          <w:lang w:eastAsia="en-AU"/>
        </w:rPr>
        <w:t>CEBPA</w:t>
      </w:r>
      <w:r w:rsidR="009C2407" w:rsidRPr="00B606C9">
        <w:rPr>
          <w:i/>
          <w:iCs/>
          <w:lang w:eastAsia="en-AU"/>
        </w:rPr>
        <w:t xml:space="preserve">, CSF3R, </w:t>
      </w:r>
      <w:r w:rsidR="009C2407" w:rsidRPr="000F4130">
        <w:rPr>
          <w:b/>
          <w:bCs/>
          <w:i/>
          <w:iCs/>
          <w:lang w:eastAsia="en-AU"/>
        </w:rPr>
        <w:t>DDX41</w:t>
      </w:r>
      <w:r w:rsidR="009C2407" w:rsidRPr="00B606C9">
        <w:rPr>
          <w:i/>
          <w:iCs/>
          <w:lang w:eastAsia="en-AU"/>
        </w:rPr>
        <w:t xml:space="preserve">, DNMT3A, ETNK1, </w:t>
      </w:r>
      <w:r w:rsidR="009C2407" w:rsidRPr="00444E10">
        <w:rPr>
          <w:i/>
          <w:iCs/>
          <w:lang w:eastAsia="en-AU"/>
        </w:rPr>
        <w:t>ETV6</w:t>
      </w:r>
      <w:r w:rsidR="009C2407" w:rsidRPr="00B606C9">
        <w:rPr>
          <w:i/>
          <w:iCs/>
          <w:lang w:eastAsia="en-AU"/>
        </w:rPr>
        <w:t xml:space="preserve">, </w:t>
      </w:r>
      <w:r w:rsidR="009C2407" w:rsidRPr="00444E10">
        <w:rPr>
          <w:i/>
          <w:iCs/>
          <w:lang w:eastAsia="en-AU"/>
        </w:rPr>
        <w:t>EZH2</w:t>
      </w:r>
      <w:r w:rsidR="009C2407" w:rsidRPr="00B606C9">
        <w:rPr>
          <w:i/>
          <w:iCs/>
          <w:lang w:eastAsia="en-AU"/>
        </w:rPr>
        <w:t xml:space="preserve">, </w:t>
      </w:r>
      <w:r w:rsidR="009C2407" w:rsidRPr="00444E10">
        <w:rPr>
          <w:i/>
          <w:iCs/>
          <w:lang w:eastAsia="en-AU"/>
        </w:rPr>
        <w:t>FGFR1</w:t>
      </w:r>
      <w:r w:rsidR="009C2407" w:rsidRPr="00B606C9">
        <w:rPr>
          <w:i/>
          <w:iCs/>
          <w:lang w:eastAsia="en-AU"/>
        </w:rPr>
        <w:t xml:space="preserve">, </w:t>
      </w:r>
      <w:r w:rsidR="009C2407" w:rsidRPr="00444E10">
        <w:rPr>
          <w:i/>
          <w:iCs/>
          <w:lang w:eastAsia="en-AU"/>
        </w:rPr>
        <w:t>FLT3</w:t>
      </w:r>
      <w:r w:rsidR="009C2407" w:rsidRPr="00B606C9">
        <w:rPr>
          <w:i/>
          <w:iCs/>
          <w:lang w:eastAsia="en-AU"/>
        </w:rPr>
        <w:t xml:space="preserve">, </w:t>
      </w:r>
      <w:r w:rsidR="009C2407" w:rsidRPr="00444E10">
        <w:rPr>
          <w:i/>
          <w:iCs/>
          <w:lang w:eastAsia="en-AU"/>
        </w:rPr>
        <w:t>GATA1</w:t>
      </w:r>
      <w:r w:rsidR="009C2407" w:rsidRPr="00B606C9">
        <w:rPr>
          <w:i/>
          <w:iCs/>
          <w:lang w:eastAsia="en-AU"/>
        </w:rPr>
        <w:t xml:space="preserve">, </w:t>
      </w:r>
      <w:r w:rsidR="009C2407" w:rsidRPr="000F4130">
        <w:rPr>
          <w:b/>
          <w:bCs/>
          <w:i/>
          <w:iCs/>
          <w:lang w:eastAsia="en-AU"/>
        </w:rPr>
        <w:t>GATA2</w:t>
      </w:r>
      <w:r w:rsidR="009C2407" w:rsidRPr="00B606C9">
        <w:rPr>
          <w:i/>
          <w:iCs/>
          <w:lang w:eastAsia="en-AU"/>
        </w:rPr>
        <w:t xml:space="preserve">, </w:t>
      </w:r>
      <w:r w:rsidR="009C2407" w:rsidRPr="00444E10">
        <w:rPr>
          <w:i/>
          <w:iCs/>
          <w:lang w:eastAsia="en-AU"/>
        </w:rPr>
        <w:t>IDH1</w:t>
      </w:r>
      <w:r w:rsidR="009C2407" w:rsidRPr="00B606C9">
        <w:rPr>
          <w:i/>
          <w:iCs/>
          <w:lang w:eastAsia="en-AU"/>
        </w:rPr>
        <w:t xml:space="preserve">, </w:t>
      </w:r>
      <w:r w:rsidR="009C2407" w:rsidRPr="00444E10">
        <w:rPr>
          <w:i/>
          <w:iCs/>
          <w:lang w:eastAsia="en-AU"/>
        </w:rPr>
        <w:t>IDH2</w:t>
      </w:r>
      <w:r w:rsidR="009C2407" w:rsidRPr="00B606C9">
        <w:rPr>
          <w:i/>
          <w:iCs/>
          <w:lang w:eastAsia="en-AU"/>
        </w:rPr>
        <w:t xml:space="preserve">, </w:t>
      </w:r>
      <w:r w:rsidR="009C2407" w:rsidRPr="00444E10">
        <w:rPr>
          <w:i/>
          <w:iCs/>
          <w:lang w:eastAsia="en-AU"/>
        </w:rPr>
        <w:t>IKZF1</w:t>
      </w:r>
      <w:r w:rsidR="009C2407" w:rsidRPr="00B606C9">
        <w:rPr>
          <w:i/>
          <w:iCs/>
          <w:lang w:eastAsia="en-AU"/>
        </w:rPr>
        <w:t xml:space="preserve">, </w:t>
      </w:r>
      <w:r w:rsidR="009C2407" w:rsidRPr="00444E10">
        <w:rPr>
          <w:i/>
          <w:iCs/>
          <w:lang w:eastAsia="en-AU"/>
        </w:rPr>
        <w:t>JAK1</w:t>
      </w:r>
      <w:r w:rsidR="009C2407" w:rsidRPr="00B606C9">
        <w:rPr>
          <w:i/>
          <w:iCs/>
          <w:lang w:eastAsia="en-AU"/>
        </w:rPr>
        <w:t xml:space="preserve">, </w:t>
      </w:r>
      <w:r w:rsidR="009C2407" w:rsidRPr="00444E10">
        <w:rPr>
          <w:i/>
          <w:iCs/>
          <w:lang w:eastAsia="en-AU"/>
        </w:rPr>
        <w:t>JAK2</w:t>
      </w:r>
      <w:r w:rsidR="009C2407" w:rsidRPr="00B606C9">
        <w:rPr>
          <w:i/>
          <w:iCs/>
          <w:lang w:eastAsia="en-AU"/>
        </w:rPr>
        <w:t xml:space="preserve">, </w:t>
      </w:r>
      <w:r w:rsidR="009C2407" w:rsidRPr="00444E10">
        <w:rPr>
          <w:i/>
          <w:iCs/>
          <w:lang w:eastAsia="en-AU"/>
        </w:rPr>
        <w:t>JAK3</w:t>
      </w:r>
      <w:r w:rsidR="009C2407" w:rsidRPr="00B606C9">
        <w:rPr>
          <w:i/>
          <w:iCs/>
          <w:lang w:eastAsia="en-AU"/>
        </w:rPr>
        <w:t xml:space="preserve">, </w:t>
      </w:r>
      <w:r w:rsidR="009C2407" w:rsidRPr="00444E10">
        <w:rPr>
          <w:i/>
          <w:iCs/>
          <w:lang w:eastAsia="en-AU"/>
        </w:rPr>
        <w:t>KIT</w:t>
      </w:r>
      <w:r w:rsidR="009C2407" w:rsidRPr="00B606C9">
        <w:rPr>
          <w:i/>
          <w:iCs/>
          <w:lang w:eastAsia="en-AU"/>
        </w:rPr>
        <w:t xml:space="preserve">, </w:t>
      </w:r>
      <w:r w:rsidR="009C2407" w:rsidRPr="00444E10">
        <w:rPr>
          <w:i/>
          <w:iCs/>
          <w:lang w:eastAsia="en-AU"/>
        </w:rPr>
        <w:t>KMT2A</w:t>
      </w:r>
      <w:r w:rsidR="009C2407" w:rsidRPr="00B606C9">
        <w:rPr>
          <w:i/>
          <w:iCs/>
          <w:lang w:eastAsia="en-AU"/>
        </w:rPr>
        <w:t xml:space="preserve">, </w:t>
      </w:r>
      <w:r w:rsidR="009C2407" w:rsidRPr="00444E10">
        <w:rPr>
          <w:i/>
          <w:iCs/>
          <w:lang w:eastAsia="en-AU"/>
        </w:rPr>
        <w:t>KRAS</w:t>
      </w:r>
      <w:r w:rsidR="009C2407" w:rsidRPr="00B606C9">
        <w:rPr>
          <w:i/>
          <w:iCs/>
          <w:lang w:eastAsia="en-AU"/>
        </w:rPr>
        <w:t xml:space="preserve">, </w:t>
      </w:r>
      <w:r w:rsidR="009C2407" w:rsidRPr="00444E10">
        <w:rPr>
          <w:i/>
          <w:iCs/>
          <w:lang w:eastAsia="en-AU"/>
        </w:rPr>
        <w:t>MPL</w:t>
      </w:r>
      <w:r w:rsidR="009C2407" w:rsidRPr="00B606C9">
        <w:rPr>
          <w:i/>
          <w:iCs/>
          <w:lang w:eastAsia="en-AU"/>
        </w:rPr>
        <w:t xml:space="preserve">, </w:t>
      </w:r>
      <w:r w:rsidR="009C2407" w:rsidRPr="000F4130">
        <w:rPr>
          <w:b/>
          <w:bCs/>
          <w:i/>
          <w:iCs/>
          <w:lang w:eastAsia="en-AU"/>
        </w:rPr>
        <w:t>NF1</w:t>
      </w:r>
      <w:r w:rsidR="009C2407" w:rsidRPr="00B606C9">
        <w:rPr>
          <w:i/>
          <w:iCs/>
          <w:lang w:eastAsia="en-AU"/>
        </w:rPr>
        <w:t xml:space="preserve">, NPM1, NRAS, PDCD1LG2, PDGFRA, PDGFRB, PHF6, PTPN11, </w:t>
      </w:r>
      <w:r w:rsidR="009C2407" w:rsidRPr="008D6BCB">
        <w:rPr>
          <w:b/>
          <w:bCs/>
          <w:i/>
          <w:iCs/>
          <w:lang w:eastAsia="en-AU"/>
        </w:rPr>
        <w:t>RAD21</w:t>
      </w:r>
      <w:r w:rsidR="009C2407" w:rsidRPr="00B606C9">
        <w:rPr>
          <w:i/>
          <w:iCs/>
          <w:lang w:eastAsia="en-AU"/>
        </w:rPr>
        <w:t xml:space="preserve">, </w:t>
      </w:r>
      <w:r w:rsidR="009C2407" w:rsidRPr="000F4130">
        <w:rPr>
          <w:b/>
          <w:bCs/>
          <w:i/>
          <w:iCs/>
          <w:lang w:eastAsia="en-AU"/>
        </w:rPr>
        <w:t>RUNX1</w:t>
      </w:r>
      <w:r w:rsidR="009C2407" w:rsidRPr="00B606C9">
        <w:rPr>
          <w:i/>
          <w:iCs/>
          <w:lang w:eastAsia="en-AU"/>
        </w:rPr>
        <w:t>, SETBP1, SF3B1, SRSF2</w:t>
      </w:r>
      <w:r w:rsidR="009C2407">
        <w:rPr>
          <w:i/>
          <w:iCs/>
          <w:lang w:eastAsia="en-AU"/>
        </w:rPr>
        <w:t xml:space="preserve">, </w:t>
      </w:r>
      <w:r w:rsidR="009C2407" w:rsidRPr="00F162EF">
        <w:rPr>
          <w:i/>
          <w:iCs/>
          <w:lang w:eastAsia="en-AU"/>
        </w:rPr>
        <w:t>TET2</w:t>
      </w:r>
      <w:r w:rsidR="009C2407">
        <w:rPr>
          <w:i/>
          <w:iCs/>
          <w:lang w:eastAsia="en-AU"/>
        </w:rPr>
        <w:t xml:space="preserve">, </w:t>
      </w:r>
      <w:r w:rsidR="009C2407" w:rsidRPr="000F4130">
        <w:rPr>
          <w:b/>
          <w:bCs/>
          <w:i/>
          <w:iCs/>
          <w:lang w:eastAsia="en-AU"/>
        </w:rPr>
        <w:t>TP53</w:t>
      </w:r>
      <w:r w:rsidR="009C2407">
        <w:rPr>
          <w:i/>
          <w:iCs/>
          <w:lang w:eastAsia="en-AU"/>
        </w:rPr>
        <w:t xml:space="preserve">, U2AF1, WT1, ZRSR2, </w:t>
      </w:r>
    </w:p>
    <w:p w14:paraId="363C3E37" w14:textId="015C8631" w:rsidR="009C2407" w:rsidRDefault="009C2407" w:rsidP="009C2407">
      <w:pPr>
        <w:rPr>
          <w:rFonts w:cs="Arial"/>
          <w:i/>
          <w:iCs/>
          <w:color w:val="FF0000"/>
        </w:rPr>
      </w:pPr>
      <w:r w:rsidRPr="00AA3771">
        <w:rPr>
          <w:rFonts w:cs="Arial"/>
          <w:b/>
          <w:bCs/>
          <w:i/>
          <w:iCs/>
          <w:color w:val="FF0000"/>
        </w:rPr>
        <w:t>ATM</w:t>
      </w:r>
      <w:r w:rsidRPr="00A44913">
        <w:rPr>
          <w:rFonts w:cs="Arial"/>
          <w:i/>
          <w:iCs/>
          <w:color w:val="FF0000"/>
        </w:rPr>
        <w:t xml:space="preserve">, BCOR, BCORL1, </w:t>
      </w:r>
      <w:r w:rsidRPr="00A44913">
        <w:rPr>
          <w:rFonts w:cs="Arial"/>
          <w:i/>
          <w:color w:val="FF0000"/>
        </w:rPr>
        <w:t>BCR-ABL1</w:t>
      </w:r>
      <w:r w:rsidRPr="00A44913">
        <w:rPr>
          <w:rFonts w:cs="Arial"/>
          <w:i/>
          <w:iCs/>
          <w:color w:val="FF0000"/>
        </w:rPr>
        <w:t xml:space="preserve">, </w:t>
      </w:r>
      <w:r w:rsidRPr="00AA3771">
        <w:rPr>
          <w:rFonts w:cs="Arial"/>
          <w:b/>
          <w:bCs/>
          <w:i/>
          <w:iCs/>
          <w:color w:val="FF0000"/>
        </w:rPr>
        <w:t>CHEK2</w:t>
      </w:r>
      <w:r w:rsidRPr="00A44913">
        <w:rPr>
          <w:rFonts w:cs="Arial"/>
          <w:i/>
          <w:iCs/>
          <w:color w:val="FF0000"/>
        </w:rPr>
        <w:t xml:space="preserve">, </w:t>
      </w:r>
      <w:r w:rsidRPr="00A44913">
        <w:rPr>
          <w:rFonts w:cs="Arial"/>
          <w:i/>
          <w:color w:val="FF0000"/>
        </w:rPr>
        <w:t>CUX1, GNB1, HRAS, KDM6A,</w:t>
      </w:r>
      <w:r w:rsidRPr="00A44913">
        <w:rPr>
          <w:rFonts w:cs="Arial"/>
          <w:i/>
          <w:iCs/>
          <w:color w:val="FF0000"/>
        </w:rPr>
        <w:t xml:space="preserve"> NFE2, NTRK3,</w:t>
      </w:r>
      <w:r w:rsidRPr="00A44913">
        <w:rPr>
          <w:rFonts w:cs="Arial"/>
          <w:i/>
          <w:color w:val="FF0000"/>
        </w:rPr>
        <w:t xml:space="preserve"> PPM1D, PRPF8, </w:t>
      </w:r>
      <w:r w:rsidRPr="00A44913">
        <w:rPr>
          <w:rFonts w:cs="Arial"/>
          <w:i/>
          <w:iCs/>
          <w:color w:val="FF0000"/>
        </w:rPr>
        <w:t xml:space="preserve">RET, SH2B3, STAG2, STAT3, </w:t>
      </w:r>
      <w:r w:rsidRPr="00AA3771">
        <w:rPr>
          <w:rFonts w:cs="Arial"/>
          <w:b/>
          <w:bCs/>
          <w:i/>
          <w:iCs/>
          <w:color w:val="FF0000"/>
        </w:rPr>
        <w:t>STK11</w:t>
      </w:r>
    </w:p>
    <w:p w14:paraId="5C2B8E0A" w14:textId="16735C5E" w:rsidR="007843B7" w:rsidRPr="005D2E12" w:rsidRDefault="007843B7" w:rsidP="00906CAD">
      <w:pPr>
        <w:pStyle w:val="Tablenotes0"/>
        <w:rPr>
          <w:i/>
          <w:iCs/>
          <w:lang w:eastAsia="en-AU"/>
        </w:rPr>
      </w:pPr>
      <w:r w:rsidRPr="00906CAD">
        <w:rPr>
          <w:i/>
          <w:iCs/>
          <w:lang w:eastAsia="en-AU"/>
        </w:rPr>
        <w:t>Note</w:t>
      </w:r>
      <w:r w:rsidR="00054793">
        <w:rPr>
          <w:i/>
          <w:iCs/>
          <w:lang w:eastAsia="en-AU"/>
        </w:rPr>
        <w:t>:</w:t>
      </w:r>
      <w:r w:rsidRPr="00906CAD">
        <w:rPr>
          <w:i/>
          <w:iCs/>
          <w:lang w:eastAsia="en-AU"/>
        </w:rPr>
        <w:t xml:space="preserve"> </w:t>
      </w:r>
      <w:r w:rsidR="007862A0">
        <w:rPr>
          <w:i/>
          <w:iCs/>
          <w:lang w:eastAsia="en-AU"/>
        </w:rPr>
        <w:t xml:space="preserve">the HTA group has identified </w:t>
      </w:r>
      <w:r w:rsidRPr="00906CAD">
        <w:rPr>
          <w:i/>
          <w:iCs/>
          <w:lang w:eastAsia="en-AU"/>
        </w:rPr>
        <w:t xml:space="preserve">additional genes </w:t>
      </w:r>
      <w:r w:rsidR="00054793">
        <w:rPr>
          <w:i/>
          <w:iCs/>
          <w:lang w:eastAsia="en-AU"/>
        </w:rPr>
        <w:t>(</w:t>
      </w:r>
      <w:r w:rsidRPr="00906CAD">
        <w:rPr>
          <w:i/>
          <w:iCs/>
          <w:lang w:eastAsia="en-AU"/>
        </w:rPr>
        <w:t>highlighted in red</w:t>
      </w:r>
      <w:r w:rsidR="00054793">
        <w:rPr>
          <w:i/>
          <w:iCs/>
          <w:lang w:eastAsia="en-AU"/>
        </w:rPr>
        <w:t>)</w:t>
      </w:r>
      <w:r w:rsidRPr="00906CAD">
        <w:rPr>
          <w:i/>
          <w:iCs/>
          <w:lang w:eastAsia="en-AU"/>
        </w:rPr>
        <w:t xml:space="preserve"> and potential </w:t>
      </w:r>
      <w:r w:rsidR="009224DA">
        <w:rPr>
          <w:i/>
          <w:iCs/>
          <w:lang w:eastAsia="en-AU"/>
        </w:rPr>
        <w:t>hereditary predisposition</w:t>
      </w:r>
      <w:r w:rsidRPr="00906CAD">
        <w:rPr>
          <w:i/>
          <w:iCs/>
          <w:lang w:eastAsia="en-AU"/>
        </w:rPr>
        <w:t xml:space="preserve"> genes</w:t>
      </w:r>
      <w:r w:rsidR="00AA3771">
        <w:rPr>
          <w:i/>
          <w:iCs/>
          <w:lang w:eastAsia="en-AU"/>
        </w:rPr>
        <w:t xml:space="preserve"> </w:t>
      </w:r>
      <w:r w:rsidR="00733DB3">
        <w:rPr>
          <w:i/>
          <w:iCs/>
          <w:lang w:eastAsia="en-AU"/>
        </w:rPr>
        <w:t>(</w:t>
      </w:r>
      <w:r w:rsidR="00054793">
        <w:rPr>
          <w:i/>
          <w:iCs/>
          <w:lang w:eastAsia="en-AU"/>
        </w:rPr>
        <w:t>bold type</w:t>
      </w:r>
      <w:r w:rsidR="00AA3771">
        <w:rPr>
          <w:i/>
          <w:iCs/>
          <w:lang w:eastAsia="en-AU"/>
        </w:rPr>
        <w:t>)</w:t>
      </w:r>
      <w:r w:rsidR="00054793">
        <w:rPr>
          <w:i/>
          <w:iCs/>
          <w:lang w:eastAsia="en-AU"/>
        </w:rPr>
        <w:t>.</w:t>
      </w:r>
    </w:p>
    <w:p w14:paraId="27329694" w14:textId="7A30E06D" w:rsidR="00AD2454" w:rsidRDefault="00AD2454" w:rsidP="00AD2454">
      <w:pPr>
        <w:pStyle w:val="Caption"/>
      </w:pPr>
      <w:r>
        <w:lastRenderedPageBreak/>
        <w:t xml:space="preserve">Table </w:t>
      </w:r>
      <w:fldSimple w:instr=" SEQ Table \* ARABIC ">
        <w:r w:rsidR="00A165AD">
          <w:rPr>
            <w:noProof/>
          </w:rPr>
          <w:t>3</w:t>
        </w:r>
      </w:fldSimple>
      <w:r w:rsidRPr="00E61D35">
        <w:t xml:space="preserve"> </w:t>
      </w:r>
      <w:r>
        <w:t xml:space="preserve">Applicant’s </w:t>
      </w:r>
      <w:r w:rsidR="00906CAD">
        <w:t xml:space="preserve">newly </w:t>
      </w:r>
      <w:r>
        <w:t>p</w:t>
      </w:r>
      <w:r w:rsidRPr="009D0186">
        <w:t>roposed</w:t>
      </w:r>
      <w:r>
        <w:t xml:space="preserve"> MBS Item BBBB for an </w:t>
      </w:r>
      <w:r w:rsidRPr="009D0186">
        <w:t>NGS panel for characterising variants in haematological malignancies</w:t>
      </w:r>
      <w:r>
        <w:t xml:space="preserve"> of lymphoid origin</w:t>
      </w:r>
      <w:r w:rsidR="006206EF">
        <w:t xml:space="preserve">; </w:t>
      </w:r>
      <w:r w:rsidR="006206EF" w:rsidRPr="00CA6A8B">
        <w:rPr>
          <w:i/>
          <w:iCs/>
        </w:rPr>
        <w:t>amendments from Ratified PICO confirmation marked up</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D2454" w:rsidRPr="00CE28E3" w14:paraId="30BF9B1D" w14:textId="77777777" w:rsidTr="00947725">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5AC77425" w14:textId="77777777" w:rsidR="00AD2454" w:rsidRPr="00CE28E3" w:rsidRDefault="00AD2454" w:rsidP="00947725">
            <w:pPr>
              <w:pStyle w:val="TableText"/>
              <w:jc w:val="right"/>
              <w:rPr>
                <w:sz w:val="24"/>
              </w:rPr>
            </w:pPr>
            <w:r w:rsidRPr="00262C33">
              <w:rPr>
                <w:b/>
                <w:bCs/>
              </w:rPr>
              <w:t>Category 6 – PATHOLOGY SERVICES –Group P7 Genetics</w:t>
            </w:r>
          </w:p>
        </w:tc>
      </w:tr>
      <w:tr w:rsidR="00AD2454" w:rsidRPr="00CE28E3" w14:paraId="0475BA45" w14:textId="77777777" w:rsidTr="00947725">
        <w:tc>
          <w:tcPr>
            <w:tcW w:w="5000" w:type="pct"/>
            <w:tcBorders>
              <w:top w:val="single" w:sz="4" w:space="0" w:color="000000"/>
              <w:left w:val="single" w:sz="4" w:space="0" w:color="000000"/>
              <w:bottom w:val="single" w:sz="4" w:space="0" w:color="000000"/>
              <w:right w:val="single" w:sz="4" w:space="0" w:color="000000"/>
            </w:tcBorders>
            <w:hideMark/>
          </w:tcPr>
          <w:p w14:paraId="41AE820C" w14:textId="3A0A25D9" w:rsidR="00AD2454" w:rsidRPr="003B766D" w:rsidRDefault="00AD2454" w:rsidP="00947725">
            <w:pPr>
              <w:rPr>
                <w:rFonts w:ascii="Arial Narrow" w:hAnsi="Arial Narrow"/>
                <w:szCs w:val="20"/>
                <w:lang w:eastAsia="ja-JP"/>
              </w:rPr>
            </w:pPr>
            <w:r w:rsidRPr="003B766D">
              <w:rPr>
                <w:rFonts w:ascii="Arial Narrow" w:hAnsi="Arial Narrow"/>
                <w:szCs w:val="20"/>
                <w:lang w:eastAsia="ja-JP"/>
              </w:rPr>
              <w:t>Characterisation of gene variant(s)</w:t>
            </w:r>
            <w:r w:rsidR="006206EF">
              <w:rPr>
                <w:rFonts w:ascii="Arial Narrow" w:hAnsi="Arial Narrow"/>
                <w:szCs w:val="20"/>
                <w:lang w:eastAsia="ja-JP"/>
              </w:rPr>
              <w:t xml:space="preserve"> </w:t>
            </w:r>
            <w:r w:rsidR="006206EF" w:rsidRPr="00E20DDD">
              <w:rPr>
                <w:rFonts w:ascii="Arial Narrow" w:hAnsi="Arial Narrow"/>
                <w:strike/>
                <w:szCs w:val="20"/>
                <w:lang w:eastAsia="ja-JP"/>
              </w:rPr>
              <w:t>by a gene panel consisting of at least 25 genes</w:t>
            </w:r>
            <w:r w:rsidRPr="003B766D">
              <w:rPr>
                <w:rFonts w:ascii="Arial Narrow" w:hAnsi="Arial Narrow"/>
                <w:szCs w:val="20"/>
                <w:lang w:eastAsia="ja-JP"/>
              </w:rPr>
              <w:t xml:space="preserve">, requested by a specialist or consultant physician, in a patient presenting with a </w:t>
            </w:r>
            <w:r w:rsidR="006206EF" w:rsidRPr="00E20DDD">
              <w:rPr>
                <w:rFonts w:ascii="Arial Narrow" w:hAnsi="Arial Narrow"/>
                <w:strike/>
                <w:szCs w:val="20"/>
                <w:lang w:eastAsia="ja-JP"/>
              </w:rPr>
              <w:t>clinically suspected</w:t>
            </w:r>
            <w:r w:rsidR="006206EF">
              <w:rPr>
                <w:rFonts w:ascii="Arial Narrow" w:hAnsi="Arial Narrow"/>
                <w:szCs w:val="20"/>
                <w:lang w:eastAsia="ja-JP"/>
              </w:rPr>
              <w:t xml:space="preserve"> </w:t>
            </w:r>
            <w:r w:rsidRPr="00E20DDD">
              <w:rPr>
                <w:rFonts w:ascii="Arial Narrow" w:hAnsi="Arial Narrow"/>
                <w:i/>
                <w:iCs/>
                <w:szCs w:val="20"/>
                <w:lang w:eastAsia="ja-JP"/>
              </w:rPr>
              <w:t>haematological malignancy of lymphoid origin that includes at least 25 genes from the lymphoid</w:t>
            </w:r>
            <w:r w:rsidRPr="003B766D">
              <w:rPr>
                <w:rFonts w:ascii="Arial Narrow" w:hAnsi="Arial Narrow"/>
                <w:szCs w:val="20"/>
                <w:lang w:eastAsia="ja-JP"/>
              </w:rPr>
              <w:t xml:space="preserve"> </w:t>
            </w:r>
            <w:r w:rsidRPr="00FF36A7">
              <w:rPr>
                <w:rFonts w:ascii="Arial Narrow" w:hAnsi="Arial Narrow"/>
                <w:strike/>
                <w:szCs w:val="20"/>
                <w:lang w:eastAsia="ja-JP"/>
              </w:rPr>
              <w:t>exemplar</w:t>
            </w:r>
            <w:r w:rsidRPr="003B766D">
              <w:rPr>
                <w:rFonts w:ascii="Arial Narrow" w:hAnsi="Arial Narrow"/>
                <w:szCs w:val="20"/>
                <w:lang w:eastAsia="ja-JP"/>
              </w:rPr>
              <w:t xml:space="preserve"> </w:t>
            </w:r>
            <w:r w:rsidRPr="00E20DDD">
              <w:rPr>
                <w:rFonts w:ascii="Arial Narrow" w:hAnsi="Arial Narrow"/>
                <w:i/>
                <w:iCs/>
                <w:szCs w:val="20"/>
                <w:lang w:eastAsia="ja-JP"/>
              </w:rPr>
              <w:t xml:space="preserve">list </w:t>
            </w:r>
          </w:p>
          <w:p w14:paraId="5EBFF062" w14:textId="0F964C81" w:rsidR="00AD2454" w:rsidRPr="00170D5B" w:rsidRDefault="00F759C8" w:rsidP="00947725">
            <w:pPr>
              <w:rPr>
                <w:rFonts w:ascii="Arial Narrow" w:hAnsi="Arial Narrow"/>
                <w:szCs w:val="20"/>
                <w:lang w:val="en-US" w:eastAsia="ja-JP"/>
              </w:rPr>
            </w:pPr>
            <w:r w:rsidRPr="00824F1D">
              <w:rPr>
                <w:rFonts w:ascii="Arial Narrow" w:hAnsi="Arial Narrow" w:cstheme="minorHAnsi"/>
                <w:szCs w:val="20"/>
              </w:rPr>
              <w:t>Applicable once per diagnostic episode at initial diagnosis or at disease relapse</w:t>
            </w:r>
          </w:p>
        </w:tc>
      </w:tr>
      <w:tr w:rsidR="00AD2454" w:rsidRPr="005D749D" w14:paraId="69966C02" w14:textId="77777777" w:rsidTr="00947725">
        <w:tc>
          <w:tcPr>
            <w:tcW w:w="5000" w:type="pct"/>
            <w:tcBorders>
              <w:top w:val="single" w:sz="4" w:space="0" w:color="000000"/>
              <w:left w:val="single" w:sz="4" w:space="0" w:color="000000"/>
              <w:bottom w:val="single" w:sz="4" w:space="0" w:color="000000"/>
              <w:right w:val="single" w:sz="4" w:space="0" w:color="000000"/>
            </w:tcBorders>
            <w:vAlign w:val="center"/>
            <w:hideMark/>
          </w:tcPr>
          <w:p w14:paraId="2DC4950A" w14:textId="22FC18F6" w:rsidR="00AD2454" w:rsidRPr="005D749D" w:rsidRDefault="00AD2454" w:rsidP="00947725">
            <w:pPr>
              <w:pStyle w:val="TableText"/>
              <w:rPr>
                <w:szCs w:val="20"/>
              </w:rPr>
            </w:pPr>
            <w:r w:rsidRPr="00056C64">
              <w:rPr>
                <w:szCs w:val="20"/>
              </w:rPr>
              <w:t>Fee: $940 Benefit: 75%=</w:t>
            </w:r>
            <w:r>
              <w:rPr>
                <w:szCs w:val="20"/>
              </w:rPr>
              <w:t>$</w:t>
            </w:r>
            <w:r w:rsidRPr="00056C64">
              <w:rPr>
                <w:szCs w:val="20"/>
              </w:rPr>
              <w:t>705 85%=$</w:t>
            </w:r>
            <w:r>
              <w:rPr>
                <w:szCs w:val="20"/>
              </w:rPr>
              <w:t>852.10 (</w:t>
            </w:r>
            <w:r w:rsidR="006206EF">
              <w:rPr>
                <w:szCs w:val="20"/>
              </w:rPr>
              <w:t>Revised 85% rebate to account for Greatest Permissible Gap</w:t>
            </w:r>
            <w:r>
              <w:rPr>
                <w:szCs w:val="20"/>
              </w:rPr>
              <w:t>)</w:t>
            </w:r>
          </w:p>
        </w:tc>
      </w:tr>
    </w:tbl>
    <w:p w14:paraId="4ABA7E97" w14:textId="39F7525E" w:rsidR="00AD2454" w:rsidRDefault="00AD2454" w:rsidP="00AD2454">
      <w:pPr>
        <w:pStyle w:val="Instructionaltext"/>
        <w:rPr>
          <w:color w:val="000000" w:themeColor="text1"/>
        </w:rPr>
      </w:pPr>
      <w:r>
        <w:rPr>
          <w:color w:val="000000" w:themeColor="text1"/>
        </w:rPr>
        <w:t>Proposed exemplar gene list for lymphoid panel</w:t>
      </w:r>
    </w:p>
    <w:p w14:paraId="2186859C" w14:textId="2EF10B44" w:rsidR="00AD2454" w:rsidRPr="005B6360" w:rsidRDefault="00AD2454" w:rsidP="005B6360">
      <w:pPr>
        <w:pStyle w:val="Instructionaltext"/>
        <w:rPr>
          <w:i/>
          <w:iCs/>
          <w:color w:val="000000" w:themeColor="text1"/>
        </w:rPr>
      </w:pPr>
      <w:r w:rsidRPr="001A44C5">
        <w:rPr>
          <w:i/>
          <w:iCs/>
          <w:color w:val="000000" w:themeColor="text1"/>
        </w:rPr>
        <w:t xml:space="preserve">ALK, ARID1A, </w:t>
      </w:r>
      <w:r w:rsidRPr="0025261E">
        <w:rPr>
          <w:i/>
          <w:iCs/>
          <w:color w:val="000000" w:themeColor="text1"/>
        </w:rPr>
        <w:t>ATM</w:t>
      </w:r>
      <w:r w:rsidRPr="001A44C5">
        <w:rPr>
          <w:i/>
          <w:iCs/>
          <w:color w:val="000000" w:themeColor="text1"/>
        </w:rPr>
        <w:t xml:space="preserve">, BCL2, BCL6, BIRC3, B2M, BRAF, BTK, CARD11, CD274, CD79B, CDKN2A, CREBBP, CXCR4, DNMT3A, EP300, ETV6, EZH2, FOXO1, HAVCR2, ID3, IDH1, IDH2, IKZF1, JAK1, JAK2, JAK3, KLF2, KMT2A, KRAS, MEF2B, MYC, MYD88, NFKBIE, NOTCH1, NRAS, PDCD1LG2, </w:t>
      </w:r>
      <w:r w:rsidRPr="00C36F4F">
        <w:rPr>
          <w:i/>
          <w:iCs/>
          <w:color w:val="000000" w:themeColor="text1"/>
        </w:rPr>
        <w:t xml:space="preserve">PIM1, PTPRD, RHOA, </w:t>
      </w:r>
      <w:r w:rsidRPr="0025261E">
        <w:rPr>
          <w:i/>
          <w:iCs/>
          <w:color w:val="000000" w:themeColor="text1"/>
        </w:rPr>
        <w:t>RUNX1</w:t>
      </w:r>
      <w:r w:rsidRPr="00C36F4F">
        <w:rPr>
          <w:i/>
          <w:iCs/>
          <w:color w:val="000000" w:themeColor="text1"/>
        </w:rPr>
        <w:t xml:space="preserve">, SF3B1, SOCS1, STAT3, STAT5B, STAT6, TCF3, TET2, </w:t>
      </w:r>
      <w:r w:rsidRPr="003F1904">
        <w:rPr>
          <w:i/>
          <w:iCs/>
          <w:color w:val="000000" w:themeColor="text1"/>
        </w:rPr>
        <w:t>TNFAIP3, TP53,</w:t>
      </w:r>
      <w:r w:rsidRPr="001A44C5">
        <w:rPr>
          <w:i/>
          <w:iCs/>
          <w:color w:val="000000" w:themeColor="text1"/>
        </w:rPr>
        <w:t xml:space="preserve"> XPO1</w:t>
      </w:r>
      <w:r w:rsidRPr="001A44C5">
        <w:rPr>
          <w:i/>
          <w:iCs/>
          <w:color w:val="000000" w:themeColor="text1"/>
        </w:rPr>
        <w:tab/>
      </w:r>
    </w:p>
    <w:p w14:paraId="5B067BD9" w14:textId="4C407C66" w:rsidR="00A9219F" w:rsidRPr="00A9219F" w:rsidRDefault="00A9219F" w:rsidP="00A9219F">
      <w:pPr>
        <w:pStyle w:val="Heading5"/>
        <w:rPr>
          <w:rFonts w:ascii="Franklin Gothic Book" w:hAnsi="Franklin Gothic Book"/>
          <w:color w:val="000000" w:themeColor="text1"/>
        </w:rPr>
      </w:pPr>
      <w:r w:rsidRPr="004F6988">
        <w:rPr>
          <w:rFonts w:ascii="Franklin Gothic Book" w:hAnsi="Franklin Gothic Book"/>
          <w:color w:val="000000" w:themeColor="text1"/>
        </w:rPr>
        <w:t xml:space="preserve">The HTA group proposes the following amended item descriptor with </w:t>
      </w:r>
      <w:r>
        <w:rPr>
          <w:rFonts w:ascii="Franklin Gothic Book" w:hAnsi="Franklin Gothic Book"/>
          <w:color w:val="000000" w:themeColor="text1"/>
        </w:rPr>
        <w:t>altered/deleted text</w:t>
      </w:r>
      <w:r w:rsidRPr="004F6988">
        <w:rPr>
          <w:rFonts w:ascii="Franklin Gothic Book" w:hAnsi="Franklin Gothic Book"/>
          <w:color w:val="000000" w:themeColor="text1"/>
        </w:rPr>
        <w:t xml:space="preserve"> in strikethrough and proposed </w:t>
      </w:r>
      <w:r>
        <w:rPr>
          <w:rFonts w:ascii="Franklin Gothic Book" w:hAnsi="Franklin Gothic Book"/>
          <w:color w:val="000000" w:themeColor="text1"/>
        </w:rPr>
        <w:t>new wording</w:t>
      </w:r>
      <w:r w:rsidRPr="004F6988">
        <w:rPr>
          <w:rFonts w:ascii="Franklin Gothic Book" w:hAnsi="Franklin Gothic Book"/>
          <w:color w:val="000000" w:themeColor="text1"/>
        </w:rPr>
        <w:t xml:space="preserve"> in </w:t>
      </w:r>
      <w:r>
        <w:rPr>
          <w:rFonts w:ascii="Franklin Gothic Book" w:hAnsi="Franklin Gothic Book"/>
          <w:color w:val="000000" w:themeColor="text1"/>
        </w:rPr>
        <w:t>italics</w:t>
      </w:r>
      <w:r w:rsidRPr="004F6988">
        <w:rPr>
          <w:rFonts w:ascii="Franklin Gothic Book" w:hAnsi="Franklin Gothic Book"/>
          <w:color w:val="000000" w:themeColor="text1"/>
        </w:rPr>
        <w:t xml:space="preserve">. </w:t>
      </w:r>
      <w:r>
        <w:rPr>
          <w:rFonts w:ascii="Franklin Gothic Book" w:hAnsi="Franklin Gothic Book"/>
          <w:color w:val="000000" w:themeColor="text1"/>
        </w:rPr>
        <w:t>The frequency restriction is recommended to allow testing at the initial diagnosis and then where there is suspected relapse or progression, noting that it would be uncommon or unlikely for a patient to access testing at every event of suspected or established disease progression or relapse, although in some instances this may be required and it would be reasonable to allow this where needed (e.g., second malignancy, where there is uncertainty surrounding the diagnosis).</w:t>
      </w:r>
    </w:p>
    <w:p w14:paraId="7FAACE52" w14:textId="45B0FA4E" w:rsidR="00C95962" w:rsidRDefault="00C95962" w:rsidP="00BA30CB">
      <w:pPr>
        <w:rPr>
          <w:lang w:eastAsia="en-AU"/>
        </w:rPr>
      </w:pPr>
      <w:r>
        <w:rPr>
          <w:lang w:eastAsia="en-AU"/>
        </w:rPr>
        <w:t>As with the myeloid panel list, the HTA group does not consider these genes to be exemplars</w:t>
      </w:r>
      <w:r w:rsidR="0058033B">
        <w:rPr>
          <w:lang w:eastAsia="en-AU"/>
        </w:rPr>
        <w:t xml:space="preserve"> (per the MSAC Guideline exemplar/facilitated HTA approach)</w:t>
      </w:r>
      <w:r>
        <w:rPr>
          <w:lang w:eastAsia="en-AU"/>
        </w:rPr>
        <w:t xml:space="preserve"> as they are not necessarily related in any way. The list was compared with other sources including the 2016 WHO Classification (a comprehensive list is not yet published for WHO HAEM5</w:t>
      </w:r>
      <w:r w:rsidR="004A58EF">
        <w:rPr>
          <w:lang w:eastAsia="en-AU"/>
        </w:rPr>
        <w:t>)</w:t>
      </w:r>
      <w:r>
        <w:rPr>
          <w:lang w:eastAsia="en-AU"/>
        </w:rPr>
        <w:t>, the National Health Service England (NHSE) National Genomics Test Directory, consensus lymphoid gene panels proposed by French consensus groups (LYSA/GBMHGM)</w:t>
      </w:r>
      <w:r w:rsidR="004A58EF">
        <w:rPr>
          <w:rStyle w:val="FootnoteReference"/>
          <w:lang w:eastAsia="en-AU"/>
        </w:rPr>
        <w:footnoteReference w:id="9"/>
      </w:r>
      <w:r>
        <w:rPr>
          <w:lang w:eastAsia="en-AU"/>
        </w:rPr>
        <w:t xml:space="preserve"> and the</w:t>
      </w:r>
      <w:r w:rsidR="004A58EF">
        <w:rPr>
          <w:lang w:eastAsia="en-AU"/>
        </w:rPr>
        <w:t xml:space="preserve"> </w:t>
      </w:r>
      <w:r>
        <w:rPr>
          <w:lang w:eastAsia="en-AU"/>
        </w:rPr>
        <w:t>key publications that inform the clinical and cost-effectiveness</w:t>
      </w:r>
      <w:r w:rsidR="004A58EF">
        <w:rPr>
          <w:rStyle w:val="FootnoteReference"/>
          <w:lang w:eastAsia="en-AU"/>
        </w:rPr>
        <w:footnoteReference w:id="10"/>
      </w:r>
      <w:r>
        <w:rPr>
          <w:lang w:eastAsia="en-AU"/>
        </w:rPr>
        <w:t xml:space="preserve"> and are of a comparable size and composition. The HTA group’s </w:t>
      </w:r>
      <w:r w:rsidR="00D539EB">
        <w:rPr>
          <w:lang w:eastAsia="en-AU"/>
        </w:rPr>
        <w:t xml:space="preserve">suggested </w:t>
      </w:r>
      <w:r>
        <w:rPr>
          <w:lang w:eastAsia="en-AU"/>
        </w:rPr>
        <w:t xml:space="preserve">item descriptor is below with suggested amendments to the wording and additional genes not currently in the candidate list </w:t>
      </w:r>
      <w:r w:rsidR="005B6360">
        <w:rPr>
          <w:lang w:eastAsia="en-AU"/>
        </w:rPr>
        <w:t>for the Applicant’s and MSAC’s consideration</w:t>
      </w:r>
      <w:r>
        <w:rPr>
          <w:lang w:eastAsia="en-AU"/>
        </w:rPr>
        <w:t>. Some genes</w:t>
      </w:r>
      <w:r w:rsidR="00A45646">
        <w:rPr>
          <w:lang w:eastAsia="en-AU"/>
        </w:rPr>
        <w:t xml:space="preserve"> with clinical utility</w:t>
      </w:r>
      <w:r>
        <w:rPr>
          <w:lang w:eastAsia="en-AU"/>
        </w:rPr>
        <w:t xml:space="preserve"> appear to be missing. Those highlighted in black are potential germline predisposition genes.</w:t>
      </w:r>
    </w:p>
    <w:p w14:paraId="598B20DE" w14:textId="211E84C4" w:rsidR="00EB7D86" w:rsidRDefault="00EB7D86" w:rsidP="00BA30CB">
      <w:pPr>
        <w:rPr>
          <w:lang w:eastAsia="en-AU"/>
        </w:rPr>
      </w:pPr>
      <w:r>
        <w:rPr>
          <w:lang w:eastAsia="en-AU"/>
        </w:rPr>
        <w:t xml:space="preserve">A </w:t>
      </w:r>
      <w:r w:rsidR="005B6360">
        <w:rPr>
          <w:lang w:eastAsia="en-AU"/>
        </w:rPr>
        <w:t>comparison</w:t>
      </w:r>
      <w:r>
        <w:rPr>
          <w:lang w:eastAsia="en-AU"/>
        </w:rPr>
        <w:t xml:space="preserve"> was undertaken with the current ‘ALLHAEM’ panel offered at the Peter MacCallum Cancer Centre which includes 29 of the proposed </w:t>
      </w:r>
      <w:r w:rsidR="001923A1">
        <w:rPr>
          <w:lang w:eastAsia="en-AU"/>
        </w:rPr>
        <w:t>52</w:t>
      </w:r>
      <w:r>
        <w:rPr>
          <w:lang w:eastAsia="en-AU"/>
        </w:rPr>
        <w:t xml:space="preserve"> genes in the candidate list.</w:t>
      </w:r>
    </w:p>
    <w:p w14:paraId="2AD807E1" w14:textId="6C5E8528" w:rsidR="0008785C" w:rsidRDefault="0008785C" w:rsidP="00BA30CB">
      <w:r>
        <w:rPr>
          <w:lang w:eastAsia="en-AU"/>
        </w:rPr>
        <w:t>Given there is a much smaller pool of shared genes across the lymphoid malignancies</w:t>
      </w:r>
      <w:r w:rsidR="00D43557">
        <w:rPr>
          <w:lang w:eastAsia="en-AU"/>
        </w:rPr>
        <w:t xml:space="preserve"> compared with the myeloid malignancies, and the breadth of genes are required for a differential diagnosis between otherwise very similar entities, how a gene list would be specified in the item descriptor is more challenging so that genes for the diagnosis of rarer entities are not excluded. This is referred for MSAC’s consideration.</w:t>
      </w:r>
    </w:p>
    <w:p w14:paraId="354AF92A" w14:textId="525453E4" w:rsidR="00AD2454" w:rsidRDefault="00AD2454" w:rsidP="00AD2454">
      <w:pPr>
        <w:pStyle w:val="Caption"/>
      </w:pPr>
      <w:r>
        <w:lastRenderedPageBreak/>
        <w:t xml:space="preserve">Table </w:t>
      </w:r>
      <w:fldSimple w:instr=" SEQ Table \* ARABIC ">
        <w:r w:rsidR="00A165AD">
          <w:rPr>
            <w:noProof/>
          </w:rPr>
          <w:t>4</w:t>
        </w:r>
      </w:fldSimple>
      <w:r>
        <w:t xml:space="preserve"> HTA group’s</w:t>
      </w:r>
      <w:r w:rsidRPr="00CB3C60">
        <w:t xml:space="preserve"> </w:t>
      </w:r>
      <w:r w:rsidR="0025261E">
        <w:t>suggested</w:t>
      </w:r>
      <w:r w:rsidRPr="00CB3C60">
        <w:t xml:space="preserve"> MBS Item BBBB for an NGS panel for characterising variants in haematological malignancies of lymphoid origin</w:t>
      </w:r>
      <w:r w:rsidR="00E068B7">
        <w:t xml:space="preserve">; </w:t>
      </w:r>
      <w:r w:rsidR="00E068B7" w:rsidRPr="00634EFF">
        <w:rPr>
          <w:i/>
          <w:iCs/>
        </w:rPr>
        <w:t xml:space="preserve">amendments from </w:t>
      </w:r>
      <w:r w:rsidR="00E068B7">
        <w:rPr>
          <w:i/>
          <w:iCs/>
        </w:rPr>
        <w:t>A</w:t>
      </w:r>
      <w:r w:rsidR="00E068B7" w:rsidRPr="00634EFF">
        <w:rPr>
          <w:i/>
          <w:iCs/>
        </w:rPr>
        <w:t>pplicant</w:t>
      </w:r>
      <w:r w:rsidR="005A3F1F">
        <w:rPr>
          <w:i/>
          <w:iCs/>
        </w:rPr>
        <w:t>’s</w:t>
      </w:r>
      <w:r w:rsidR="00E068B7" w:rsidRPr="00634EFF">
        <w:rPr>
          <w:i/>
          <w:iCs/>
        </w:rPr>
        <w:t xml:space="preserve"> proposal marked up</w:t>
      </w:r>
      <w:r w:rsidRPr="00CB3C60">
        <w:t xml:space="preserve"> </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D2454" w:rsidRPr="00CE28E3" w14:paraId="3EC2DEF3" w14:textId="77777777" w:rsidTr="00947725">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184589C4" w14:textId="77777777" w:rsidR="00AD2454" w:rsidRPr="00CE28E3" w:rsidRDefault="00AD2454" w:rsidP="00947725">
            <w:pPr>
              <w:pStyle w:val="TableText"/>
              <w:jc w:val="right"/>
              <w:rPr>
                <w:sz w:val="24"/>
              </w:rPr>
            </w:pPr>
            <w:r w:rsidRPr="00262C33">
              <w:rPr>
                <w:b/>
                <w:bCs/>
              </w:rPr>
              <w:t>Category 6 – PATHOLOGY SERVICES –Group P7 Genetics</w:t>
            </w:r>
          </w:p>
        </w:tc>
      </w:tr>
      <w:tr w:rsidR="00AD2454" w:rsidRPr="00CE28E3" w14:paraId="74CFC5AA" w14:textId="77777777" w:rsidTr="00947725">
        <w:tc>
          <w:tcPr>
            <w:tcW w:w="5000" w:type="pct"/>
            <w:tcBorders>
              <w:top w:val="single" w:sz="4" w:space="0" w:color="000000"/>
              <w:left w:val="single" w:sz="4" w:space="0" w:color="000000"/>
              <w:bottom w:val="single" w:sz="4" w:space="0" w:color="000000"/>
              <w:right w:val="single" w:sz="4" w:space="0" w:color="000000"/>
            </w:tcBorders>
            <w:hideMark/>
          </w:tcPr>
          <w:p w14:paraId="54EFD356" w14:textId="1159D8FC" w:rsidR="00AD2454" w:rsidRPr="003B766D" w:rsidRDefault="00AD2454" w:rsidP="00947725">
            <w:pPr>
              <w:rPr>
                <w:rFonts w:ascii="Arial Narrow" w:hAnsi="Arial Narrow"/>
                <w:szCs w:val="20"/>
                <w:lang w:eastAsia="ja-JP"/>
              </w:rPr>
            </w:pPr>
            <w:r w:rsidRPr="00813D7F">
              <w:rPr>
                <w:rFonts w:ascii="Arial Narrow" w:hAnsi="Arial Narrow"/>
                <w:szCs w:val="20"/>
                <w:lang w:eastAsia="ja-JP"/>
              </w:rPr>
              <w:t xml:space="preserve">Characterisation </w:t>
            </w:r>
            <w:r w:rsidRPr="00B92811">
              <w:rPr>
                <w:rFonts w:ascii="Arial Narrow" w:hAnsi="Arial Narrow"/>
                <w:szCs w:val="20"/>
                <w:lang w:eastAsia="ja-JP"/>
              </w:rPr>
              <w:t xml:space="preserve">of </w:t>
            </w:r>
            <w:r w:rsidR="00D539EB" w:rsidRPr="005A3F1F">
              <w:rPr>
                <w:rFonts w:ascii="Arial Narrow" w:hAnsi="Arial Narrow"/>
                <w:strike/>
                <w:szCs w:val="20"/>
                <w:lang w:eastAsia="ja-JP"/>
              </w:rPr>
              <w:t>gene</w:t>
            </w:r>
            <w:r w:rsidR="00D539EB">
              <w:rPr>
                <w:rFonts w:ascii="Arial Narrow" w:hAnsi="Arial Narrow"/>
                <w:szCs w:val="20"/>
                <w:lang w:eastAsia="ja-JP"/>
              </w:rPr>
              <w:t xml:space="preserve"> </w:t>
            </w:r>
            <w:r w:rsidRPr="005A3F1F">
              <w:rPr>
                <w:rFonts w:ascii="Arial Narrow" w:hAnsi="Arial Narrow"/>
                <w:szCs w:val="20"/>
                <w:lang w:eastAsia="ja-JP"/>
              </w:rPr>
              <w:t xml:space="preserve">variant(s) </w:t>
            </w:r>
            <w:r w:rsidRPr="005A3F1F">
              <w:rPr>
                <w:rFonts w:ascii="Arial Narrow" w:hAnsi="Arial Narrow"/>
                <w:i/>
                <w:iCs/>
                <w:szCs w:val="20"/>
                <w:lang w:eastAsia="ja-JP"/>
              </w:rPr>
              <w:t>in at least 25 genes</w:t>
            </w:r>
            <w:r w:rsidRPr="00813D7F">
              <w:rPr>
                <w:rFonts w:ascii="Arial Narrow" w:hAnsi="Arial Narrow"/>
                <w:szCs w:val="20"/>
                <w:lang w:eastAsia="ja-JP"/>
              </w:rPr>
              <w:t>,</w:t>
            </w:r>
            <w:r w:rsidRPr="003B766D">
              <w:rPr>
                <w:rFonts w:ascii="Arial Narrow" w:hAnsi="Arial Narrow"/>
                <w:szCs w:val="20"/>
                <w:lang w:eastAsia="ja-JP"/>
              </w:rPr>
              <w:t xml:space="preserve"> requested by a specialist or consultant physician </w:t>
            </w:r>
            <w:r w:rsidRPr="005A3F1F">
              <w:rPr>
                <w:rFonts w:ascii="Arial Narrow" w:hAnsi="Arial Narrow"/>
                <w:i/>
                <w:iCs/>
                <w:szCs w:val="20"/>
                <w:lang w:eastAsia="ja-JP"/>
              </w:rPr>
              <w:t>to determine the diagnosis, prognosis and management of</w:t>
            </w:r>
            <w:r w:rsidRPr="00D539EB">
              <w:rPr>
                <w:rFonts w:ascii="Arial Narrow" w:hAnsi="Arial Narrow"/>
                <w:szCs w:val="20"/>
                <w:lang w:eastAsia="ja-JP"/>
              </w:rPr>
              <w:t xml:space="preserve"> </w:t>
            </w:r>
            <w:r w:rsidRPr="003B766D">
              <w:rPr>
                <w:rFonts w:ascii="Arial Narrow" w:hAnsi="Arial Narrow"/>
                <w:szCs w:val="20"/>
                <w:lang w:eastAsia="ja-JP"/>
              </w:rPr>
              <w:t>a patient presenting with</w:t>
            </w:r>
            <w:r>
              <w:rPr>
                <w:rFonts w:ascii="Arial Narrow" w:hAnsi="Arial Narrow"/>
                <w:szCs w:val="20"/>
                <w:lang w:eastAsia="ja-JP"/>
              </w:rPr>
              <w:t xml:space="preserve"> a</w:t>
            </w:r>
            <w:r w:rsidRPr="003B766D">
              <w:rPr>
                <w:rFonts w:ascii="Arial Narrow" w:hAnsi="Arial Narrow"/>
                <w:szCs w:val="20"/>
                <w:lang w:eastAsia="ja-JP"/>
              </w:rPr>
              <w:t xml:space="preserve"> </w:t>
            </w:r>
            <w:r w:rsidRPr="005A3F1F">
              <w:rPr>
                <w:rFonts w:ascii="Arial Narrow" w:hAnsi="Arial Narrow"/>
                <w:i/>
                <w:iCs/>
                <w:szCs w:val="20"/>
                <w:lang w:eastAsia="ja-JP"/>
              </w:rPr>
              <w:t>suspected</w:t>
            </w:r>
            <w:r>
              <w:rPr>
                <w:rFonts w:ascii="Arial Narrow" w:hAnsi="Arial Narrow"/>
                <w:szCs w:val="20"/>
                <w:lang w:eastAsia="ja-JP"/>
              </w:rPr>
              <w:t xml:space="preserve"> </w:t>
            </w:r>
            <w:r w:rsidRPr="003B766D">
              <w:rPr>
                <w:rFonts w:ascii="Arial Narrow" w:hAnsi="Arial Narrow"/>
                <w:szCs w:val="20"/>
                <w:lang w:eastAsia="ja-JP"/>
              </w:rPr>
              <w:t xml:space="preserve">haematological malignancy of </w:t>
            </w:r>
            <w:r>
              <w:rPr>
                <w:rFonts w:ascii="Arial Narrow" w:hAnsi="Arial Narrow"/>
                <w:szCs w:val="20"/>
                <w:lang w:eastAsia="ja-JP"/>
              </w:rPr>
              <w:t xml:space="preserve">lymphoid </w:t>
            </w:r>
            <w:r w:rsidRPr="003B766D">
              <w:rPr>
                <w:rFonts w:ascii="Arial Narrow" w:hAnsi="Arial Narrow"/>
                <w:szCs w:val="20"/>
                <w:lang w:eastAsia="ja-JP"/>
              </w:rPr>
              <w:t>origin</w:t>
            </w:r>
            <w:r w:rsidR="00D539EB">
              <w:rPr>
                <w:rFonts w:ascii="Arial Narrow" w:hAnsi="Arial Narrow"/>
                <w:szCs w:val="20"/>
                <w:lang w:eastAsia="ja-JP"/>
              </w:rPr>
              <w:t xml:space="preserve"> </w:t>
            </w:r>
            <w:r w:rsidR="00D539EB" w:rsidRPr="005A3F1F">
              <w:rPr>
                <w:rFonts w:ascii="Arial Narrow" w:hAnsi="Arial Narrow"/>
                <w:strike/>
                <w:szCs w:val="20"/>
                <w:lang w:eastAsia="ja-JP"/>
              </w:rPr>
              <w:t>that includes at least 25 genes from the lymphoid exemplar list</w:t>
            </w:r>
          </w:p>
          <w:p w14:paraId="0F8B79E3" w14:textId="71D2CAD2" w:rsidR="00AD2454" w:rsidRPr="00907F10" w:rsidRDefault="00C86558" w:rsidP="00947725">
            <w:pPr>
              <w:rPr>
                <w:rFonts w:ascii="Arial Narrow" w:hAnsi="Arial Narrow"/>
                <w:i/>
                <w:iCs/>
                <w:szCs w:val="20"/>
                <w:lang w:val="en-US" w:eastAsia="ja-JP"/>
              </w:rPr>
            </w:pPr>
            <w:r w:rsidRPr="00907F10">
              <w:rPr>
                <w:rFonts w:ascii="Arial Narrow" w:hAnsi="Arial Narrow"/>
                <w:i/>
                <w:iCs/>
                <w:szCs w:val="20"/>
                <w:lang w:val="en-US" w:eastAsia="ja-JP"/>
              </w:rPr>
              <w:t xml:space="preserve">Applicable once per diagnostic episode at initial diagnosis or </w:t>
            </w:r>
            <w:r>
              <w:rPr>
                <w:rFonts w:ascii="Arial Narrow" w:hAnsi="Arial Narrow"/>
                <w:i/>
                <w:iCs/>
                <w:szCs w:val="20"/>
                <w:lang w:val="en-US" w:eastAsia="ja-JP"/>
              </w:rPr>
              <w:t xml:space="preserve">suspected </w:t>
            </w:r>
            <w:r w:rsidRPr="00907F10">
              <w:rPr>
                <w:rFonts w:ascii="Arial Narrow" w:hAnsi="Arial Narrow"/>
                <w:i/>
                <w:iCs/>
                <w:szCs w:val="20"/>
                <w:lang w:val="en-US" w:eastAsia="ja-JP"/>
              </w:rPr>
              <w:t>disease progression/relapse</w:t>
            </w:r>
          </w:p>
        </w:tc>
      </w:tr>
      <w:tr w:rsidR="00AD2454" w:rsidRPr="005D749D" w14:paraId="15404B52" w14:textId="77777777" w:rsidTr="00947725">
        <w:tc>
          <w:tcPr>
            <w:tcW w:w="5000" w:type="pct"/>
            <w:tcBorders>
              <w:top w:val="single" w:sz="4" w:space="0" w:color="000000"/>
              <w:left w:val="single" w:sz="4" w:space="0" w:color="000000"/>
              <w:bottom w:val="single" w:sz="4" w:space="0" w:color="000000"/>
              <w:right w:val="single" w:sz="4" w:space="0" w:color="000000"/>
            </w:tcBorders>
            <w:vAlign w:val="center"/>
            <w:hideMark/>
          </w:tcPr>
          <w:p w14:paraId="466B1638" w14:textId="3B7CFD0B" w:rsidR="00AD2454" w:rsidRPr="00752F36" w:rsidRDefault="00AD2454" w:rsidP="00947725">
            <w:pPr>
              <w:pStyle w:val="TableText"/>
              <w:rPr>
                <w:szCs w:val="20"/>
              </w:rPr>
            </w:pPr>
            <w:r w:rsidRPr="005A3F1F">
              <w:rPr>
                <w:i/>
                <w:iCs/>
                <w:szCs w:val="20"/>
              </w:rPr>
              <w:t>Fee: $927.90 Benefit: 75%=724.50 85%=$840</w:t>
            </w:r>
          </w:p>
        </w:tc>
      </w:tr>
    </w:tbl>
    <w:p w14:paraId="5E964E9F" w14:textId="30E1F57E" w:rsidR="00AD2454" w:rsidRDefault="006B1639" w:rsidP="00AD2454">
      <w:pPr>
        <w:pStyle w:val="Instructionaltext"/>
        <w:rPr>
          <w:color w:val="000000" w:themeColor="text1"/>
        </w:rPr>
      </w:pPr>
      <w:r>
        <w:rPr>
          <w:color w:val="000000" w:themeColor="text1"/>
        </w:rPr>
        <w:t>Suggested</w:t>
      </w:r>
      <w:r w:rsidR="00AD2454">
        <w:rPr>
          <w:color w:val="000000" w:themeColor="text1"/>
        </w:rPr>
        <w:t xml:space="preserve"> gene</w:t>
      </w:r>
      <w:r w:rsidR="00326B2F">
        <w:rPr>
          <w:color w:val="000000" w:themeColor="text1"/>
        </w:rPr>
        <w:t>s</w:t>
      </w:r>
      <w:r w:rsidR="00AD2454">
        <w:rPr>
          <w:color w:val="000000" w:themeColor="text1"/>
        </w:rPr>
        <w:t xml:space="preserve"> </w:t>
      </w:r>
      <w:r w:rsidR="00326B2F" w:rsidRPr="00401913">
        <w:rPr>
          <w:color w:val="000000" w:themeColor="text1"/>
        </w:rPr>
        <w:t xml:space="preserve">with established clinical utility </w:t>
      </w:r>
      <w:r w:rsidR="00AD2454">
        <w:rPr>
          <w:color w:val="000000" w:themeColor="text1"/>
        </w:rPr>
        <w:t>for lymphoid panel</w:t>
      </w:r>
    </w:p>
    <w:p w14:paraId="47530EB1" w14:textId="03D64F47" w:rsidR="00AD2454" w:rsidRDefault="006B1639" w:rsidP="00AD2454">
      <w:pPr>
        <w:rPr>
          <w:i/>
          <w:iCs/>
          <w:color w:val="000000" w:themeColor="text1"/>
        </w:rPr>
      </w:pPr>
      <w:r w:rsidRPr="006B1639">
        <w:rPr>
          <w:color w:val="000000" w:themeColor="text1"/>
        </w:rPr>
        <w:t>61</w:t>
      </w:r>
      <w:r w:rsidR="00AD2454" w:rsidRPr="006B1639">
        <w:rPr>
          <w:color w:val="000000" w:themeColor="text1"/>
        </w:rPr>
        <w:t xml:space="preserve"> genes</w:t>
      </w:r>
      <w:r w:rsidR="00AD2454">
        <w:rPr>
          <w:i/>
          <w:iCs/>
          <w:color w:val="000000" w:themeColor="text1"/>
        </w:rPr>
        <w:t xml:space="preserve">: </w:t>
      </w:r>
      <w:r w:rsidR="00AD2454" w:rsidRPr="001A44C5">
        <w:rPr>
          <w:i/>
          <w:iCs/>
          <w:color w:val="000000" w:themeColor="text1"/>
        </w:rPr>
        <w:t xml:space="preserve">ALK, ARID1A, </w:t>
      </w:r>
      <w:r w:rsidR="00AD2454" w:rsidRPr="00C95962">
        <w:rPr>
          <w:b/>
          <w:bCs/>
          <w:i/>
          <w:iCs/>
          <w:color w:val="000000" w:themeColor="text1"/>
        </w:rPr>
        <w:t>ATM</w:t>
      </w:r>
      <w:r w:rsidR="00AD2454" w:rsidRPr="001A44C5">
        <w:rPr>
          <w:i/>
          <w:iCs/>
          <w:color w:val="000000" w:themeColor="text1"/>
        </w:rPr>
        <w:t xml:space="preserve">, BCL2, BCL6, BIRC3, B2M, BRAF, BTK, CARD11, CD274, CD79B, CDKN2A, CREBBP, CXCR4, DNMT3A, EP300, ETV6, </w:t>
      </w:r>
      <w:r w:rsidR="00AD2454" w:rsidRPr="00C95962">
        <w:rPr>
          <w:b/>
          <w:bCs/>
          <w:i/>
          <w:iCs/>
          <w:color w:val="000000" w:themeColor="text1"/>
        </w:rPr>
        <w:t>EZH2</w:t>
      </w:r>
      <w:r w:rsidR="00AD2454" w:rsidRPr="001A44C5">
        <w:rPr>
          <w:i/>
          <w:iCs/>
          <w:color w:val="000000" w:themeColor="text1"/>
        </w:rPr>
        <w:t xml:space="preserve">, FOXO1, HAVCR2, ID3, IDH1, IDH2, </w:t>
      </w:r>
      <w:r w:rsidR="00AD2454" w:rsidRPr="00C95962">
        <w:rPr>
          <w:b/>
          <w:bCs/>
          <w:i/>
          <w:iCs/>
          <w:color w:val="000000" w:themeColor="text1"/>
        </w:rPr>
        <w:t>IKZF1</w:t>
      </w:r>
      <w:r w:rsidR="00AD2454" w:rsidRPr="001A44C5">
        <w:rPr>
          <w:i/>
          <w:iCs/>
          <w:color w:val="000000" w:themeColor="text1"/>
        </w:rPr>
        <w:t xml:space="preserve">, JAK1, JAK2, JAK3, KLF2, KMT2A, KRAS, MEF2B, MYC, MYD88, NFKBIE, NOTCH1, NRAS, PDCD1LG2, PIM1, PTPRD, RHOA, </w:t>
      </w:r>
      <w:r w:rsidR="00AD2454" w:rsidRPr="004A58EF">
        <w:rPr>
          <w:b/>
          <w:bCs/>
          <w:i/>
          <w:iCs/>
          <w:color w:val="000000" w:themeColor="text1"/>
        </w:rPr>
        <w:t>RUNX1</w:t>
      </w:r>
      <w:r w:rsidR="00AD2454" w:rsidRPr="001A44C5">
        <w:rPr>
          <w:i/>
          <w:iCs/>
          <w:color w:val="000000" w:themeColor="text1"/>
        </w:rPr>
        <w:t xml:space="preserve">, SF3B1, SOCS1, STAT3, STAT5B, STAT6, TCF3, TET2, TNFAIP3, </w:t>
      </w:r>
      <w:r w:rsidR="00AD2454" w:rsidRPr="00C95962">
        <w:rPr>
          <w:b/>
          <w:bCs/>
          <w:i/>
          <w:iCs/>
          <w:color w:val="000000" w:themeColor="text1"/>
        </w:rPr>
        <w:t>TP53</w:t>
      </w:r>
      <w:r w:rsidR="00AD2454" w:rsidRPr="001A44C5">
        <w:rPr>
          <w:i/>
          <w:iCs/>
          <w:color w:val="000000" w:themeColor="text1"/>
        </w:rPr>
        <w:t>, XPO1</w:t>
      </w:r>
    </w:p>
    <w:p w14:paraId="5867697A" w14:textId="067885BD" w:rsidR="00AD2454" w:rsidRDefault="00AD2454" w:rsidP="00AD2454">
      <w:pPr>
        <w:rPr>
          <w:i/>
          <w:iCs/>
          <w:color w:val="FF0000"/>
        </w:rPr>
      </w:pPr>
      <w:r w:rsidRPr="00AB171D">
        <w:rPr>
          <w:i/>
          <w:iCs/>
          <w:color w:val="FF0000"/>
        </w:rPr>
        <w:t>CCND1, CD79A, CD79B,</w:t>
      </w:r>
      <w:r w:rsidR="00C95962">
        <w:rPr>
          <w:i/>
          <w:iCs/>
          <w:color w:val="FF0000"/>
        </w:rPr>
        <w:t xml:space="preserve"> FBXW7,</w:t>
      </w:r>
      <w:r w:rsidRPr="00AB171D">
        <w:rPr>
          <w:i/>
          <w:iCs/>
          <w:color w:val="FF0000"/>
        </w:rPr>
        <w:t xml:space="preserve"> NOTCH2, PLGC1, PLCG2, </w:t>
      </w:r>
      <w:r>
        <w:rPr>
          <w:i/>
          <w:iCs/>
          <w:color w:val="FF0000"/>
        </w:rPr>
        <w:t xml:space="preserve">PRDM1, </w:t>
      </w:r>
      <w:r w:rsidRPr="00AB171D">
        <w:rPr>
          <w:i/>
          <w:iCs/>
          <w:color w:val="FF0000"/>
        </w:rPr>
        <w:t>TRAF2</w:t>
      </w:r>
    </w:p>
    <w:p w14:paraId="779D2ACC" w14:textId="77777777" w:rsidR="0008409E" w:rsidRPr="005D2E12" w:rsidRDefault="0008409E" w:rsidP="0008409E">
      <w:pPr>
        <w:pStyle w:val="Tablenotes0"/>
        <w:rPr>
          <w:i/>
          <w:iCs/>
          <w:lang w:eastAsia="en-AU"/>
        </w:rPr>
      </w:pPr>
      <w:r w:rsidRPr="00906CAD">
        <w:rPr>
          <w:i/>
          <w:iCs/>
          <w:lang w:eastAsia="en-AU"/>
        </w:rPr>
        <w:t>Note</w:t>
      </w:r>
      <w:r>
        <w:rPr>
          <w:i/>
          <w:iCs/>
          <w:lang w:eastAsia="en-AU"/>
        </w:rPr>
        <w:t>:</w:t>
      </w:r>
      <w:r w:rsidRPr="00906CAD">
        <w:rPr>
          <w:i/>
          <w:iCs/>
          <w:lang w:eastAsia="en-AU"/>
        </w:rPr>
        <w:t xml:space="preserve"> </w:t>
      </w:r>
      <w:r>
        <w:rPr>
          <w:i/>
          <w:iCs/>
          <w:lang w:eastAsia="en-AU"/>
        </w:rPr>
        <w:t xml:space="preserve">the HTA group has identified </w:t>
      </w:r>
      <w:r w:rsidRPr="00906CAD">
        <w:rPr>
          <w:i/>
          <w:iCs/>
          <w:lang w:eastAsia="en-AU"/>
        </w:rPr>
        <w:t xml:space="preserve">additional genes </w:t>
      </w:r>
      <w:r>
        <w:rPr>
          <w:i/>
          <w:iCs/>
          <w:lang w:eastAsia="en-AU"/>
        </w:rPr>
        <w:t>(</w:t>
      </w:r>
      <w:r w:rsidRPr="00906CAD">
        <w:rPr>
          <w:i/>
          <w:iCs/>
          <w:lang w:eastAsia="en-AU"/>
        </w:rPr>
        <w:t>highlighted in red</w:t>
      </w:r>
      <w:r>
        <w:rPr>
          <w:i/>
          <w:iCs/>
          <w:lang w:eastAsia="en-AU"/>
        </w:rPr>
        <w:t>)</w:t>
      </w:r>
      <w:r w:rsidRPr="00906CAD">
        <w:rPr>
          <w:i/>
          <w:iCs/>
          <w:lang w:eastAsia="en-AU"/>
        </w:rPr>
        <w:t xml:space="preserve"> and potential </w:t>
      </w:r>
      <w:r>
        <w:rPr>
          <w:i/>
          <w:iCs/>
          <w:lang w:eastAsia="en-AU"/>
        </w:rPr>
        <w:t>hereditary predisposition</w:t>
      </w:r>
      <w:r w:rsidRPr="00906CAD">
        <w:rPr>
          <w:i/>
          <w:iCs/>
          <w:lang w:eastAsia="en-AU"/>
        </w:rPr>
        <w:t xml:space="preserve"> genes</w:t>
      </w:r>
      <w:r>
        <w:rPr>
          <w:i/>
          <w:iCs/>
          <w:lang w:eastAsia="en-AU"/>
        </w:rPr>
        <w:t xml:space="preserve"> (bold type).</w:t>
      </w:r>
    </w:p>
    <w:p w14:paraId="2EC2D280" w14:textId="5FFA6D5D" w:rsidR="003D6146" w:rsidRDefault="003D6146" w:rsidP="0008409E">
      <w:pPr>
        <w:pStyle w:val="Heading3"/>
      </w:pPr>
      <w:bookmarkStart w:id="14" w:name="_Toc111754791"/>
      <w:r>
        <w:t>Ambiguous lineage</w:t>
      </w:r>
      <w:bookmarkEnd w:id="14"/>
    </w:p>
    <w:p w14:paraId="36960BAF" w14:textId="3844CEB3" w:rsidR="00AD2454" w:rsidRPr="00BA30CB" w:rsidRDefault="0029132B" w:rsidP="00BA30CB">
      <w:r>
        <w:t xml:space="preserve">Those </w:t>
      </w:r>
      <w:r w:rsidR="00F8605D">
        <w:t xml:space="preserve">patients </w:t>
      </w:r>
      <w:r>
        <w:t xml:space="preserve">with a suspected malignancy that cannot be ruled out with a single panel </w:t>
      </w:r>
      <w:r w:rsidR="000A3DBE">
        <w:t>may</w:t>
      </w:r>
      <w:r>
        <w:t xml:space="preserve"> require sequential testing with each panel. The requester is the specialist or physician so it is likely both will be ordered unless there is no urgency for the result.</w:t>
      </w:r>
      <w:r w:rsidR="00ED6B51">
        <w:t xml:space="preserve"> Expert clin</w:t>
      </w:r>
      <w:r w:rsidR="003D6146">
        <w:t>i</w:t>
      </w:r>
      <w:r w:rsidR="00ED6B51">
        <w:t xml:space="preserve">cal advice indicated this was </w:t>
      </w:r>
      <w:r w:rsidR="003D6146">
        <w:t>uncommon,</w:t>
      </w:r>
      <w:r w:rsidR="00ED6B51">
        <w:t xml:space="preserve"> perhaps 1% of patients</w:t>
      </w:r>
      <w:r w:rsidR="003B031C">
        <w:t xml:space="preserve"> being tested</w:t>
      </w:r>
      <w:r w:rsidR="003D6146">
        <w:t xml:space="preserve"> per annum</w:t>
      </w:r>
      <w:r w:rsidR="00A45646">
        <w:t xml:space="preserve"> </w:t>
      </w:r>
      <w:r w:rsidR="003D6146">
        <w:t>– mostly in patients with concurrent malignancies</w:t>
      </w:r>
      <w:r w:rsidR="00AB170A">
        <w:t>, or a suspected new malignancy</w:t>
      </w:r>
      <w:r w:rsidR="003D6146">
        <w:t xml:space="preserve"> or ambiguous lineage</w:t>
      </w:r>
      <w:r w:rsidR="00ED6B51">
        <w:t>.</w:t>
      </w:r>
    </w:p>
    <w:p w14:paraId="34E0B08F" w14:textId="333CD325" w:rsidR="00772829" w:rsidRDefault="00FA4672" w:rsidP="002A18BE">
      <w:pPr>
        <w:pStyle w:val="Heading2"/>
        <w:numPr>
          <w:ilvl w:val="0"/>
          <w:numId w:val="0"/>
        </w:numPr>
      </w:pPr>
      <w:bookmarkStart w:id="15" w:name="_Toc111754792"/>
      <w:r>
        <w:t>7</w:t>
      </w:r>
      <w:r w:rsidR="00C36633" w:rsidRPr="00EE45C4">
        <w:t>.</w:t>
      </w:r>
      <w:r w:rsidR="00C36633" w:rsidRPr="00EE45C4">
        <w:tab/>
      </w:r>
      <w:r w:rsidR="00772829" w:rsidRPr="00EE45C4">
        <w:t>Population</w:t>
      </w:r>
      <w:bookmarkEnd w:id="15"/>
      <w:r w:rsidR="00772829" w:rsidRPr="00CE28E3">
        <w:t xml:space="preserve"> </w:t>
      </w:r>
    </w:p>
    <w:p w14:paraId="44C86B32" w14:textId="57C53401" w:rsidR="006E1403" w:rsidRDefault="006E1403" w:rsidP="00E81268">
      <w:r>
        <w:t>The PICO confirmation’s proposed population as “</w:t>
      </w:r>
      <w:r w:rsidRPr="005C14A4">
        <w:rPr>
          <w:rFonts w:cs="Arial"/>
        </w:rPr>
        <w:t xml:space="preserve">Patients/persons with </w:t>
      </w:r>
      <w:r>
        <w:rPr>
          <w:rFonts w:cs="Arial"/>
        </w:rPr>
        <w:t xml:space="preserve">clinically suspected myeloid or lymphoid neoplasm </w:t>
      </w:r>
      <w:r w:rsidRPr="00A44EE1">
        <w:rPr>
          <w:rFonts w:cs="Arial"/>
        </w:rPr>
        <w:t>where accurate diagnosis sufficient for treatment planning is not achieved using conventional testing</w:t>
      </w:r>
      <w:r>
        <w:rPr>
          <w:rFonts w:cs="Arial"/>
        </w:rPr>
        <w:t>”.</w:t>
      </w:r>
    </w:p>
    <w:p w14:paraId="7DE68E81" w14:textId="5932D874" w:rsidR="006E1403" w:rsidRDefault="006E1403" w:rsidP="006E1403">
      <w:pPr>
        <w:autoSpaceDE w:val="0"/>
        <w:autoSpaceDN w:val="0"/>
        <w:adjustRightInd w:val="0"/>
      </w:pPr>
      <w:r>
        <w:rPr>
          <w:rFonts w:cs="Arial"/>
        </w:rPr>
        <w:t xml:space="preserve">The HTA group has </w:t>
      </w:r>
      <w:r w:rsidR="00F8605D">
        <w:rPr>
          <w:rFonts w:cs="Arial"/>
        </w:rPr>
        <w:t xml:space="preserve">further </w:t>
      </w:r>
      <w:r>
        <w:rPr>
          <w:rFonts w:cs="Arial"/>
        </w:rPr>
        <w:t>defined the population eligible as “</w:t>
      </w:r>
      <w:r>
        <w:t xml:space="preserve">Patients with clinical or laboratory evidence of a </w:t>
      </w:r>
      <w:r w:rsidR="00B268D0">
        <w:t xml:space="preserve">suspected </w:t>
      </w:r>
      <w:r>
        <w:t>haematological malignancy where an NGS gene panel test during the initial work-up or at suspected disease progression/relapse would assist their diagnosis or management.”</w:t>
      </w:r>
      <w:r w:rsidR="00BF254D">
        <w:t xml:space="preserve"> This remains silent on the </w:t>
      </w:r>
      <w:r w:rsidR="002D0AA4">
        <w:t>positioning</w:t>
      </w:r>
      <w:r w:rsidR="00BF254D">
        <w:t xml:space="preserve"> of the test as the application covers a very broad range of conditions – for some, NGS panel testing is essential </w:t>
      </w:r>
      <w:r w:rsidR="00430EA9">
        <w:t xml:space="preserve">at diagnosis </w:t>
      </w:r>
      <w:r w:rsidR="00BF254D">
        <w:t xml:space="preserve">and has been the standard of care for </w:t>
      </w:r>
      <w:r w:rsidR="001559D2">
        <w:t xml:space="preserve">more than </w:t>
      </w:r>
      <w:r w:rsidR="00BF254D">
        <w:t>5000 Australians</w:t>
      </w:r>
      <w:r w:rsidR="000E1F67">
        <w:t xml:space="preserve"> (e.g., myeloid malignancies</w:t>
      </w:r>
      <w:r w:rsidR="00263D93">
        <w:t>, chronic lymphocytic leukaemia</w:t>
      </w:r>
      <w:r w:rsidR="00AF6E81">
        <w:t xml:space="preserve"> to test for clinically significant </w:t>
      </w:r>
      <w:r w:rsidR="00AF6E81" w:rsidRPr="00AF6E81">
        <w:rPr>
          <w:i/>
          <w:iCs/>
        </w:rPr>
        <w:t>TP53</w:t>
      </w:r>
      <w:r w:rsidR="00C7342A">
        <w:t xml:space="preserve"> </w:t>
      </w:r>
      <w:r w:rsidR="00181A2A">
        <w:t>variants</w:t>
      </w:r>
      <w:r w:rsidR="000E1F67">
        <w:t>)</w:t>
      </w:r>
      <w:r w:rsidR="00BF254D">
        <w:t xml:space="preserve"> – whereas, for other conditions, NGS </w:t>
      </w:r>
      <w:r w:rsidR="002A6676">
        <w:t xml:space="preserve">panel testing </w:t>
      </w:r>
      <w:r w:rsidR="00BF254D">
        <w:t xml:space="preserve">may be reserved for </w:t>
      </w:r>
      <w:r w:rsidR="00430EA9">
        <w:t xml:space="preserve">when all treatment avenues have been exploited (e.g., relapsed and refractory diffuse large B cell lymphoma) or </w:t>
      </w:r>
      <w:r w:rsidR="00BF254D">
        <w:t>those cases where a diagnosis cannot be made</w:t>
      </w:r>
      <w:r w:rsidR="000E1F67">
        <w:t xml:space="preserve"> (</w:t>
      </w:r>
      <w:r w:rsidR="00182F5E">
        <w:t xml:space="preserve">e.g., </w:t>
      </w:r>
      <w:r w:rsidR="000E1F67">
        <w:t>lymphadenopathy of uncertain aetiology)</w:t>
      </w:r>
      <w:r w:rsidR="00E94DB9">
        <w:t>,</w:t>
      </w:r>
      <w:r w:rsidR="002D0AA4">
        <w:t xml:space="preserve"> or </w:t>
      </w:r>
      <w:r w:rsidR="00E94DB9">
        <w:t xml:space="preserve">it </w:t>
      </w:r>
      <w:r w:rsidR="002D0AA4">
        <w:t>may not be needed at all</w:t>
      </w:r>
      <w:r w:rsidR="00BF254D">
        <w:t xml:space="preserve">. </w:t>
      </w:r>
      <w:r w:rsidR="00AA14A1">
        <w:t xml:space="preserve">From consultation with the Applicant’s experts and with </w:t>
      </w:r>
      <w:r w:rsidR="00C7342A">
        <w:t xml:space="preserve">clinical </w:t>
      </w:r>
      <w:r w:rsidR="00AA14A1">
        <w:t>expert</w:t>
      </w:r>
      <w:r w:rsidR="00C7342A">
        <w:t>s</w:t>
      </w:r>
      <w:r w:rsidR="00AA14A1">
        <w:t xml:space="preserve"> providing advice to the HTA group, </w:t>
      </w:r>
      <w:proofErr w:type="gramStart"/>
      <w:r w:rsidR="00AA14A1">
        <w:t>it is clear</w:t>
      </w:r>
      <w:r w:rsidR="00BF254D">
        <w:t xml:space="preserve"> that NGS</w:t>
      </w:r>
      <w:proofErr w:type="gramEnd"/>
      <w:r w:rsidR="00AA14A1">
        <w:t xml:space="preserve"> panel tests are</w:t>
      </w:r>
      <w:r w:rsidR="00BF254D">
        <w:t xml:space="preserve"> </w:t>
      </w:r>
      <w:r w:rsidR="00AA14A1">
        <w:t xml:space="preserve">used early </w:t>
      </w:r>
      <w:r w:rsidR="00E94DB9">
        <w:t>in the diagnostic work-up, and</w:t>
      </w:r>
      <w:r w:rsidR="00AA14A1">
        <w:t xml:space="preserve"> where that occurs, there is a reduction in utilisation of </w:t>
      </w:r>
      <w:r w:rsidR="00930D5D">
        <w:t xml:space="preserve">other </w:t>
      </w:r>
      <w:r w:rsidR="00AA14A1">
        <w:t>MBS items (Victorian utilisation data per capita is the</w:t>
      </w:r>
      <w:r w:rsidR="00430EA9">
        <w:t xml:space="preserve"> 40%</w:t>
      </w:r>
      <w:r w:rsidR="00AA14A1">
        <w:t xml:space="preserve"> lower than in NSW)</w:t>
      </w:r>
      <w:r w:rsidR="000A0B30">
        <w:t>.</w:t>
      </w:r>
      <w:r w:rsidR="00332CDA">
        <w:t xml:space="preserve"> Kawata et al (2022) demonstrated that a coordinated use of ‘NGS panel-first’ approach reduced cytogenetic testing in myeloid malignancies and plasma cell </w:t>
      </w:r>
      <w:r w:rsidR="00332CDA">
        <w:lastRenderedPageBreak/>
        <w:t>malignancies by 76%</w:t>
      </w:r>
      <w:r w:rsidR="00332CDA">
        <w:rPr>
          <w:rStyle w:val="FootnoteReference"/>
        </w:rPr>
        <w:footnoteReference w:id="11"/>
      </w:r>
      <w:r w:rsidR="00332CDA">
        <w:t xml:space="preserve">. This publication used an RNA and DNA NGS panel, </w:t>
      </w:r>
      <w:r w:rsidR="000A0B30">
        <w:t xml:space="preserve">had a clear clinical guideline in place in a state-based system </w:t>
      </w:r>
      <w:r w:rsidR="00332CDA">
        <w:t xml:space="preserve">and the observed </w:t>
      </w:r>
      <w:r w:rsidR="00C7342A">
        <w:t xml:space="preserve">40% </w:t>
      </w:r>
      <w:r w:rsidR="00332CDA">
        <w:t xml:space="preserve">reduction in </w:t>
      </w:r>
      <w:r w:rsidR="00C7342A">
        <w:t>benefits paid</w:t>
      </w:r>
      <w:r w:rsidR="00332CDA">
        <w:t xml:space="preserve"> in Victoria is consistent with the lower diagnostic yield with DNA analysis alone.</w:t>
      </w:r>
    </w:p>
    <w:p w14:paraId="54568854" w14:textId="169A6585" w:rsidR="004A4715" w:rsidRDefault="008605CA" w:rsidP="008605CA">
      <w:r>
        <w:t xml:space="preserve">The Applicant presented an algorithm without </w:t>
      </w:r>
      <w:r w:rsidR="00335292">
        <w:t>NGS</w:t>
      </w:r>
      <w:r>
        <w:t xml:space="preserve"> testing</w:t>
      </w:r>
      <w:r w:rsidR="00335292">
        <w:t>,</w:t>
      </w:r>
      <w:r>
        <w:t xml:space="preserve"> and </w:t>
      </w:r>
      <w:r w:rsidR="00335292">
        <w:t xml:space="preserve">one </w:t>
      </w:r>
      <w:r>
        <w:t>with testing, and an algorithm was included in the</w:t>
      </w:r>
      <w:r w:rsidR="00EA0E26">
        <w:t xml:space="preserve"> </w:t>
      </w:r>
      <w:r w:rsidR="00327DB8">
        <w:t>r</w:t>
      </w:r>
      <w:r w:rsidR="00EA0E26">
        <w:t>atified</w:t>
      </w:r>
      <w:r>
        <w:t xml:space="preserve"> PICO confirmation</w:t>
      </w:r>
      <w:r w:rsidR="00FB4C95">
        <w:t xml:space="preserve"> - all</w:t>
      </w:r>
      <w:r>
        <w:t xml:space="preserve"> positioned</w:t>
      </w:r>
      <w:r w:rsidR="00FB4C95">
        <w:t xml:space="preserve"> NGS panel testing</w:t>
      </w:r>
      <w:r>
        <w:t xml:space="preserve"> after all other testing and in patients with a </w:t>
      </w:r>
      <w:r w:rsidR="00F457DA">
        <w:t>‘</w:t>
      </w:r>
      <w:r>
        <w:t>complete</w:t>
      </w:r>
      <w:r w:rsidR="00F457DA">
        <w:t>’</w:t>
      </w:r>
      <w:r>
        <w:t xml:space="preserve"> malignant diagnosis</w:t>
      </w:r>
      <w:r w:rsidR="00EA7835">
        <w:t>, where it served largely to refine the diagnosis</w:t>
      </w:r>
      <w:r>
        <w:t>.</w:t>
      </w:r>
      <w:r w:rsidR="00FB4C95">
        <w:t xml:space="preserve"> The HTA group does not consider that a ‘complete’ malignant diagnosis</w:t>
      </w:r>
      <w:r w:rsidR="00632FB9">
        <w:t>/work-up</w:t>
      </w:r>
      <w:r w:rsidR="00FB4C95">
        <w:t xml:space="preserve"> can be achieved with</w:t>
      </w:r>
      <w:r w:rsidR="00632FB9">
        <w:t>out</w:t>
      </w:r>
      <w:r w:rsidR="00FB4C95">
        <w:t xml:space="preserve"> NGS panel testing in myeloid malignancies</w:t>
      </w:r>
      <w:r w:rsidR="00632FB9">
        <w:t xml:space="preserve">, nor in </w:t>
      </w:r>
      <w:r w:rsidR="00CC5C38">
        <w:t>many</w:t>
      </w:r>
      <w:r w:rsidR="00632FB9">
        <w:t xml:space="preserve"> lymphoid malignancies (e.g., chronic lymphocytic leukaemia).</w:t>
      </w:r>
      <w:r>
        <w:t xml:space="preserve"> </w:t>
      </w:r>
      <w:r w:rsidR="00632FB9">
        <w:t xml:space="preserve">In particular, the WHO HAEM5 does not include all the genes that inform prognosis </w:t>
      </w:r>
      <w:r w:rsidR="00135EE0">
        <w:t>and</w:t>
      </w:r>
      <w:r w:rsidR="00632FB9">
        <w:t xml:space="preserve"> risk stratification or therapeutic choices. </w:t>
      </w:r>
      <w:r w:rsidR="00CC5C38">
        <w:t xml:space="preserve">The </w:t>
      </w:r>
      <w:r>
        <w:t>HTA group</w:t>
      </w:r>
      <w:r w:rsidR="00B74D77">
        <w:t>, clinical advisers</w:t>
      </w:r>
      <w:r w:rsidR="00A70BA7">
        <w:t xml:space="preserve"> and the Applicant’s experts (in May 6 2022 meeting)</w:t>
      </w:r>
      <w:r>
        <w:t xml:space="preserve"> consider that NGS testing is not positioned after all other testing in </w:t>
      </w:r>
      <w:r w:rsidR="002F52EE">
        <w:t>the majority of</w:t>
      </w:r>
      <w:r>
        <w:t xml:space="preserve"> settings and</w:t>
      </w:r>
      <w:r w:rsidR="00A70BA7">
        <w:t xml:space="preserve"> the HTA group</w:t>
      </w:r>
      <w:r>
        <w:t xml:space="preserve"> has amended the algorithm</w:t>
      </w:r>
      <w:r w:rsidR="00CC50CC">
        <w:t xml:space="preserve"> without the test (</w:t>
      </w:r>
      <w:r w:rsidR="00CC50CC">
        <w:fldChar w:fldCharType="begin"/>
      </w:r>
      <w:r w:rsidR="00CC50CC">
        <w:instrText xml:space="preserve"> REF _Ref109642975 \h </w:instrText>
      </w:r>
      <w:r w:rsidR="00CC50CC">
        <w:fldChar w:fldCharType="separate"/>
      </w:r>
      <w:r w:rsidR="00A165AD">
        <w:t xml:space="preserve">Figure </w:t>
      </w:r>
      <w:r w:rsidR="00A165AD">
        <w:rPr>
          <w:noProof/>
        </w:rPr>
        <w:t>2</w:t>
      </w:r>
      <w:r w:rsidR="00CC50CC">
        <w:fldChar w:fldCharType="end"/>
      </w:r>
      <w:r w:rsidR="00CC50CC">
        <w:t>) and with the test included (</w:t>
      </w:r>
      <w:r w:rsidR="00CC50CC">
        <w:fldChar w:fldCharType="begin"/>
      </w:r>
      <w:r w:rsidR="00CC50CC">
        <w:instrText xml:space="preserve"> REF _Ref109643097 \h </w:instrText>
      </w:r>
      <w:r w:rsidR="00CC50CC">
        <w:fldChar w:fldCharType="separate"/>
      </w:r>
      <w:r w:rsidR="00A165AD">
        <w:t xml:space="preserve">Figure </w:t>
      </w:r>
      <w:r w:rsidR="00A165AD">
        <w:rPr>
          <w:noProof/>
        </w:rPr>
        <w:t>3</w:t>
      </w:r>
      <w:r w:rsidR="00CC50CC">
        <w:fldChar w:fldCharType="end"/>
      </w:r>
      <w:r w:rsidR="00CC50CC">
        <w:t>)</w:t>
      </w:r>
      <w:r w:rsidR="002F52EE">
        <w:t xml:space="preserve"> </w:t>
      </w:r>
      <w:r w:rsidR="00055C61">
        <w:t xml:space="preserve">to reflect this. </w:t>
      </w:r>
      <w:r w:rsidR="00335292">
        <w:t>The</w:t>
      </w:r>
      <w:r w:rsidR="00B74D77">
        <w:t xml:space="preserve"> HTA</w:t>
      </w:r>
      <w:r>
        <w:t xml:space="preserve"> also i</w:t>
      </w:r>
      <w:r w:rsidR="002F52EE">
        <w:t>dentified</w:t>
      </w:r>
      <w:r>
        <w:t xml:space="preserve"> the potential for</w:t>
      </w:r>
      <w:r w:rsidR="00CC5C38">
        <w:t xml:space="preserve"> significant</w:t>
      </w:r>
      <w:r>
        <w:t xml:space="preserve"> findings of </w:t>
      </w:r>
      <w:r w:rsidR="00632FB9">
        <w:t xml:space="preserve">a </w:t>
      </w:r>
      <w:r>
        <w:t>germline predisposition</w:t>
      </w:r>
      <w:r w:rsidR="00632FB9">
        <w:t xml:space="preserve">, and in a small </w:t>
      </w:r>
      <w:r w:rsidR="00135EE0">
        <w:t>proportion,</w:t>
      </w:r>
      <w:r>
        <w:t xml:space="preserve"> </w:t>
      </w:r>
      <w:r w:rsidR="00356C59">
        <w:t xml:space="preserve">clonal haematopoiesis of indeterminate potential (CHIP) </w:t>
      </w:r>
      <w:r w:rsidR="00CC5C38">
        <w:t>(by definition, only in patients where no malignancy is found)</w:t>
      </w:r>
      <w:r>
        <w:t xml:space="preserve">. Notably, </w:t>
      </w:r>
      <w:r w:rsidR="00CB53C6">
        <w:t xml:space="preserve">both </w:t>
      </w:r>
      <w:r w:rsidR="00A70BA7">
        <w:t xml:space="preserve">these </w:t>
      </w:r>
      <w:r w:rsidR="00CB53C6">
        <w:t>entities are</w:t>
      </w:r>
      <w:r w:rsidR="00A70BA7">
        <w:t xml:space="preserve"> now</w:t>
      </w:r>
      <w:r w:rsidR="00CB53C6">
        <w:t xml:space="preserve"> </w:t>
      </w:r>
      <w:r w:rsidR="00A70BA7">
        <w:t>prominent</w:t>
      </w:r>
      <w:r w:rsidR="00CB53C6">
        <w:t xml:space="preserve"> in WHO HAEM5: germline predisposition has its own </w:t>
      </w:r>
      <w:proofErr w:type="gramStart"/>
      <w:r w:rsidR="00CB53C6">
        <w:t>chapter</w:t>
      </w:r>
      <w:proofErr w:type="gramEnd"/>
      <w:r w:rsidR="00CB53C6">
        <w:t xml:space="preserve"> and any entity is now</w:t>
      </w:r>
      <w:r w:rsidR="00A70BA7">
        <w:t xml:space="preserve"> required</w:t>
      </w:r>
      <w:r w:rsidR="00CB53C6">
        <w:t xml:space="preserve"> to be defined according to </w:t>
      </w:r>
      <w:r w:rsidR="00A70BA7">
        <w:t>the</w:t>
      </w:r>
      <w:r w:rsidR="00CB53C6">
        <w:t xml:space="preserve"> germline predisposition identified.</w:t>
      </w:r>
    </w:p>
    <w:p w14:paraId="012A0D0B" w14:textId="3DA4C210" w:rsidR="008605CA" w:rsidRDefault="008605CA" w:rsidP="008605CA">
      <w:r>
        <w:t xml:space="preserve">The HTA group is in agreement with most aspects of the clinical algorithm without NGS testing but considers that the following are important for inclusion in the algorithm, depicting the diagnosis and management without </w:t>
      </w:r>
      <w:r w:rsidR="008C69F1">
        <w:t>(</w:t>
      </w:r>
      <w:r w:rsidR="008C69F1">
        <w:fldChar w:fldCharType="begin"/>
      </w:r>
      <w:r w:rsidR="008C69F1">
        <w:instrText xml:space="preserve"> REF _Ref109642975 \h </w:instrText>
      </w:r>
      <w:r w:rsidR="008C69F1">
        <w:fldChar w:fldCharType="separate"/>
      </w:r>
      <w:r w:rsidR="00A165AD">
        <w:t xml:space="preserve">Figure </w:t>
      </w:r>
      <w:r w:rsidR="00A165AD">
        <w:rPr>
          <w:noProof/>
        </w:rPr>
        <w:t>2</w:t>
      </w:r>
      <w:r w:rsidR="008C69F1">
        <w:fldChar w:fldCharType="end"/>
      </w:r>
      <w:r w:rsidR="008C69F1">
        <w:t xml:space="preserve">) </w:t>
      </w:r>
      <w:r>
        <w:t xml:space="preserve">or with </w:t>
      </w:r>
      <w:r w:rsidR="008C69F1">
        <w:t>(</w:t>
      </w:r>
      <w:r w:rsidR="008C69F1">
        <w:fldChar w:fldCharType="begin"/>
      </w:r>
      <w:r w:rsidR="008C69F1">
        <w:instrText xml:space="preserve"> REF _Ref109643097 \h </w:instrText>
      </w:r>
      <w:r w:rsidR="008C69F1">
        <w:fldChar w:fldCharType="separate"/>
      </w:r>
      <w:r w:rsidR="00A165AD">
        <w:t xml:space="preserve">Figure </w:t>
      </w:r>
      <w:r w:rsidR="00A165AD">
        <w:rPr>
          <w:noProof/>
        </w:rPr>
        <w:t>3</w:t>
      </w:r>
      <w:r w:rsidR="008C69F1">
        <w:fldChar w:fldCharType="end"/>
      </w:r>
      <w:r w:rsidR="008C69F1">
        <w:t xml:space="preserve">) </w:t>
      </w:r>
      <w:r>
        <w:t>the proposed NGS panel testing:</w:t>
      </w:r>
    </w:p>
    <w:p w14:paraId="45432115" w14:textId="77777777" w:rsidR="008605CA" w:rsidRDefault="008605CA" w:rsidP="00B56755">
      <w:pPr>
        <w:pStyle w:val="ListParagraph"/>
        <w:numPr>
          <w:ilvl w:val="0"/>
          <w:numId w:val="13"/>
        </w:numPr>
      </w:pPr>
      <w:r>
        <w:t>Patients with symptoms and/or signs and/or investigation(s) (including incidental test results) suggesting a possible diagnosis of a haematological malignancy which may be an initial diagnosis or represent progression or relapse</w:t>
      </w:r>
    </w:p>
    <w:p w14:paraId="3B590469" w14:textId="0BD52104" w:rsidR="008605CA" w:rsidRDefault="008605CA" w:rsidP="00B56755">
      <w:pPr>
        <w:pStyle w:val="ListParagraph"/>
        <w:numPr>
          <w:ilvl w:val="0"/>
          <w:numId w:val="13"/>
        </w:numPr>
      </w:pPr>
      <w:r>
        <w:t xml:space="preserve">NGS panel testing is </w:t>
      </w:r>
      <w:r w:rsidR="00733380">
        <w:t xml:space="preserve">often </w:t>
      </w:r>
      <w:r>
        <w:t xml:space="preserve">performed alongside other tests for a broad range of haematological </w:t>
      </w:r>
      <w:r w:rsidR="003C7CB5">
        <w:t>malignancies</w:t>
      </w:r>
      <w:r>
        <w:t xml:space="preserve">, rather than reserved </w:t>
      </w:r>
      <w:r w:rsidR="00003E2C">
        <w:t xml:space="preserve">for </w:t>
      </w:r>
      <w:r w:rsidR="008A1702">
        <w:t xml:space="preserve">cases </w:t>
      </w:r>
      <w:r>
        <w:t>where there is uncertainty about the diagnosis</w:t>
      </w:r>
    </w:p>
    <w:p w14:paraId="610B1705" w14:textId="77777777" w:rsidR="008605CA" w:rsidRDefault="008605CA" w:rsidP="00B56755">
      <w:pPr>
        <w:pStyle w:val="ListParagraph"/>
        <w:numPr>
          <w:ilvl w:val="0"/>
          <w:numId w:val="13"/>
        </w:numPr>
      </w:pPr>
      <w:r>
        <w:t>NGS panel testing provides more information than just genomic subtyping and correction or refinement of a diagnosis and without it,</w:t>
      </w:r>
    </w:p>
    <w:p w14:paraId="017F03B8" w14:textId="3153B52B" w:rsidR="008605CA" w:rsidRDefault="008605CA" w:rsidP="00B56755">
      <w:pPr>
        <w:pStyle w:val="ListParagraph"/>
        <w:numPr>
          <w:ilvl w:val="1"/>
          <w:numId w:val="13"/>
        </w:numPr>
      </w:pPr>
      <w:r>
        <w:t xml:space="preserve">Per current guidelines and risk stratification models, there would be suboptimal/incorrect risk stratification e.g., in patients with myeloid neoplasms </w:t>
      </w:r>
    </w:p>
    <w:p w14:paraId="00BE68B6" w14:textId="77777777" w:rsidR="008605CA" w:rsidRDefault="008605CA" w:rsidP="00B56755">
      <w:pPr>
        <w:pStyle w:val="ListParagraph"/>
        <w:numPr>
          <w:ilvl w:val="1"/>
          <w:numId w:val="13"/>
        </w:numPr>
      </w:pPr>
      <w:r>
        <w:t>Potential familial predisposition may not be identified</w:t>
      </w:r>
    </w:p>
    <w:p w14:paraId="23C3D0CE" w14:textId="50366CD6" w:rsidR="008605CA" w:rsidRDefault="008605CA" w:rsidP="00B56755">
      <w:pPr>
        <w:pStyle w:val="ListParagraph"/>
        <w:numPr>
          <w:ilvl w:val="1"/>
          <w:numId w:val="13"/>
        </w:numPr>
      </w:pPr>
      <w:r>
        <w:t xml:space="preserve">Treatment options may be suboptimal or restricted including limiting access to investigational therapies – these may be amended after initially commencing therapy as NGS </w:t>
      </w:r>
      <w:r w:rsidR="003112AE">
        <w:t>testing</w:t>
      </w:r>
      <w:r>
        <w:t xml:space="preserve"> take</w:t>
      </w:r>
      <w:r w:rsidR="003112AE">
        <w:t>s approximately</w:t>
      </w:r>
      <w:r>
        <w:t xml:space="preserve"> 3-4 weeks</w:t>
      </w:r>
    </w:p>
    <w:p w14:paraId="52FA32E5" w14:textId="1C1EDF1F" w:rsidR="005F5A66" w:rsidRDefault="005F5A66" w:rsidP="00B56755">
      <w:pPr>
        <w:pStyle w:val="ListParagraph"/>
        <w:numPr>
          <w:ilvl w:val="2"/>
          <w:numId w:val="13"/>
        </w:numPr>
      </w:pPr>
      <w:r>
        <w:t>Where more urgent results are required, single gene tests may be required</w:t>
      </w:r>
    </w:p>
    <w:p w14:paraId="4C6BE22B" w14:textId="519AF073" w:rsidR="008605CA" w:rsidRDefault="002F46AE" w:rsidP="008605CA">
      <w:pPr>
        <w:pStyle w:val="ListParagraph"/>
        <w:numPr>
          <w:ilvl w:val="0"/>
          <w:numId w:val="13"/>
        </w:numPr>
      </w:pPr>
      <w:r>
        <w:t>Diagnostic uncertainties may be resolved with NGS panel testing shortening the</w:t>
      </w:r>
      <w:r w:rsidR="008605CA">
        <w:t xml:space="preserve"> diagnostic odyssey and </w:t>
      </w:r>
      <w:r w:rsidR="00EB03AD">
        <w:t xml:space="preserve">avoiding </w:t>
      </w:r>
      <w:r w:rsidR="008605CA">
        <w:t>delays in treatment</w:t>
      </w:r>
      <w:r>
        <w:t xml:space="preserve"> or </w:t>
      </w:r>
      <w:r w:rsidR="00EB03AD">
        <w:t>even</w:t>
      </w:r>
      <w:r>
        <w:t xml:space="preserve"> incorrect treatment.</w:t>
      </w:r>
    </w:p>
    <w:p w14:paraId="61D062A6" w14:textId="77777777" w:rsidR="008605CA" w:rsidRDefault="008605CA" w:rsidP="008605CA">
      <w:pPr>
        <w:keepNext/>
      </w:pPr>
      <w:r w:rsidRPr="00B35F62">
        <w:rPr>
          <w:noProof/>
        </w:rPr>
        <w:lastRenderedPageBreak/>
        <w:drawing>
          <wp:inline distT="0" distB="0" distL="0" distR="0" wp14:anchorId="1E2D8987" wp14:editId="64131242">
            <wp:extent cx="5731510" cy="5702935"/>
            <wp:effectExtent l="0" t="0" r="0" b="0"/>
            <wp:docPr id="12" name="Picture 12" descr="HTA group’s algorithm for the diagnosis and management of patients with a possible diagnosis of a haematological malignancy in the absence of NGS panel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A group’s algorithm for the diagnosis and management of patients with a possible diagnosis of a haematological malignancy in the absence of NGS panel testing"/>
                    <pic:cNvPicPr/>
                  </pic:nvPicPr>
                  <pic:blipFill>
                    <a:blip r:embed="rId15"/>
                    <a:stretch>
                      <a:fillRect/>
                    </a:stretch>
                  </pic:blipFill>
                  <pic:spPr>
                    <a:xfrm>
                      <a:off x="0" y="0"/>
                      <a:ext cx="5731510" cy="5702935"/>
                    </a:xfrm>
                    <a:prstGeom prst="rect">
                      <a:avLst/>
                    </a:prstGeom>
                  </pic:spPr>
                </pic:pic>
              </a:graphicData>
            </a:graphic>
          </wp:inline>
        </w:drawing>
      </w:r>
    </w:p>
    <w:p w14:paraId="571461B0" w14:textId="461252AD" w:rsidR="008605CA" w:rsidRDefault="008605CA" w:rsidP="00D024DD">
      <w:pPr>
        <w:pStyle w:val="Caption"/>
      </w:pPr>
      <w:bookmarkStart w:id="16" w:name="_Ref109642975"/>
      <w:r>
        <w:t xml:space="preserve">Figure </w:t>
      </w:r>
      <w:fldSimple w:instr=" SEQ Figure \* ARABIC ">
        <w:r w:rsidR="00A165AD">
          <w:rPr>
            <w:noProof/>
          </w:rPr>
          <w:t>2</w:t>
        </w:r>
      </w:fldSimple>
      <w:bookmarkEnd w:id="16"/>
      <w:r>
        <w:t xml:space="preserve"> HTA group’s algorithm for the diagnosis and management of patients with a possible diagnosis of a haematological malignancy in the absence of NGS panel testing</w:t>
      </w:r>
    </w:p>
    <w:p w14:paraId="43F4725B" w14:textId="77777777" w:rsidR="008605CA" w:rsidRPr="00BF1E8A" w:rsidRDefault="008605CA" w:rsidP="008605CA">
      <w:pPr>
        <w:keepNext/>
      </w:pPr>
      <w:r w:rsidRPr="00C7171B">
        <w:rPr>
          <w:noProof/>
        </w:rPr>
        <w:lastRenderedPageBreak/>
        <w:drawing>
          <wp:inline distT="0" distB="0" distL="0" distR="0" wp14:anchorId="6098A3C1" wp14:editId="6209EEE8">
            <wp:extent cx="5731510" cy="5522595"/>
            <wp:effectExtent l="0" t="0" r="0" b="1905"/>
            <wp:docPr id="53" name="Picture 53" descr="HTA group’s algorithm for the diagnosis and management of patients with a possible diagnosis of a haematological malignancy with the proposed NGS panel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HTA group’s algorithm for the diagnosis and management of patients with a possible diagnosis of a haematological malignancy with the proposed NGS panel testing"/>
                    <pic:cNvPicPr/>
                  </pic:nvPicPr>
                  <pic:blipFill>
                    <a:blip r:embed="rId16"/>
                    <a:stretch>
                      <a:fillRect/>
                    </a:stretch>
                  </pic:blipFill>
                  <pic:spPr>
                    <a:xfrm>
                      <a:off x="0" y="0"/>
                      <a:ext cx="5731510" cy="5522595"/>
                    </a:xfrm>
                    <a:prstGeom prst="rect">
                      <a:avLst/>
                    </a:prstGeom>
                  </pic:spPr>
                </pic:pic>
              </a:graphicData>
            </a:graphic>
          </wp:inline>
        </w:drawing>
      </w:r>
    </w:p>
    <w:p w14:paraId="13D3E999" w14:textId="6EDB680C" w:rsidR="008605CA" w:rsidRDefault="008605CA" w:rsidP="008605CA">
      <w:pPr>
        <w:pStyle w:val="Caption"/>
      </w:pPr>
      <w:bookmarkStart w:id="17" w:name="_Ref109643097"/>
      <w:r>
        <w:t xml:space="preserve">Figure </w:t>
      </w:r>
      <w:fldSimple w:instr=" SEQ Figure \* ARABIC ">
        <w:r w:rsidR="00A165AD">
          <w:rPr>
            <w:noProof/>
          </w:rPr>
          <w:t>3</w:t>
        </w:r>
      </w:fldSimple>
      <w:bookmarkEnd w:id="17"/>
      <w:r>
        <w:t xml:space="preserve"> HTA group’s algorithm for the diagnosis and management of patients with a possible diagnosis of a haematological malignancy with the proposed NGS panel testing</w:t>
      </w:r>
    </w:p>
    <w:p w14:paraId="43B55292" w14:textId="687E26B4" w:rsidR="008605CA" w:rsidRPr="00575551" w:rsidRDefault="008605CA" w:rsidP="008605CA">
      <w:pPr>
        <w:pStyle w:val="TableFooter"/>
      </w:pPr>
      <w:r w:rsidRPr="00E52557">
        <w:t>MBS items 73290,</w:t>
      </w:r>
      <w:r>
        <w:t xml:space="preserve"> 73325,</w:t>
      </w:r>
      <w:r w:rsidRPr="00E52557">
        <w:t xml:space="preserve"> 73326, 73314,</w:t>
      </w:r>
      <w:r w:rsidR="00EF59A8">
        <w:t xml:space="preserve"> 73343,</w:t>
      </w:r>
      <w:r w:rsidRPr="00E52557">
        <w:t xml:space="preserve"> 73369, 73364, 73365, 73366, 73367, 73368, 73369, 77370</w:t>
      </w:r>
      <w:r>
        <w:t>,</w:t>
      </w:r>
      <w:r w:rsidRPr="00E52557">
        <w:t xml:space="preserve"> 73373</w:t>
      </w:r>
      <w:r>
        <w:t>, 73397, 73398 and 73399.</w:t>
      </w:r>
    </w:p>
    <w:p w14:paraId="41F50CF6" w14:textId="7C2A4B9F" w:rsidR="002767EE" w:rsidRDefault="000C009E" w:rsidP="006E1403">
      <w:pPr>
        <w:autoSpaceDE w:val="0"/>
        <w:autoSpaceDN w:val="0"/>
        <w:adjustRightInd w:val="0"/>
      </w:pPr>
      <w:r>
        <w:t>As above, a</w:t>
      </w:r>
      <w:r w:rsidR="00082D7F">
        <w:t xml:space="preserve">n additional </w:t>
      </w:r>
      <w:r>
        <w:t xml:space="preserve">relevant </w:t>
      </w:r>
      <w:r w:rsidR="00082D7F">
        <w:t>population</w:t>
      </w:r>
      <w:r w:rsidR="00F3188A">
        <w:t xml:space="preserve"> proposed by the HTA group to be tested</w:t>
      </w:r>
      <w:r w:rsidR="00082D7F">
        <w:t xml:space="preserve"> </w:t>
      </w:r>
      <w:r w:rsidR="00F3188A">
        <w:t>are</w:t>
      </w:r>
      <w:r w:rsidR="00082D7F">
        <w:t xml:space="preserve"> those with a suspected haematological malignancy </w:t>
      </w:r>
      <w:r w:rsidR="00722DD5">
        <w:t xml:space="preserve">but not found to have a malignancy. </w:t>
      </w:r>
      <w:r w:rsidR="004C1376">
        <w:t>It is expected that this subpopulation</w:t>
      </w:r>
      <w:r w:rsidR="00722DD5">
        <w:t xml:space="preserve"> </w:t>
      </w:r>
      <w:r w:rsidR="00CB4CF4">
        <w:t>will</w:t>
      </w:r>
      <w:r w:rsidR="00722DD5">
        <w:t xml:space="preserve"> be </w:t>
      </w:r>
      <w:r w:rsidR="004C1376">
        <w:t xml:space="preserve">relatively smaller </w:t>
      </w:r>
      <w:r w:rsidR="00722DD5">
        <w:t xml:space="preserve">for myeloid malignancies given their </w:t>
      </w:r>
      <w:r w:rsidR="00332B42">
        <w:t xml:space="preserve">clinical </w:t>
      </w:r>
      <w:r w:rsidR="00722DD5">
        <w:t>presentation and</w:t>
      </w:r>
      <w:r w:rsidR="00332B42">
        <w:t xml:space="preserve"> prior tests might narrow down those needing a bone marrow aspirate/trephine; where reported, this</w:t>
      </w:r>
      <w:r w:rsidR="00722DD5">
        <w:t xml:space="preserve"> </w:t>
      </w:r>
      <w:r w:rsidR="00332B42">
        <w:t xml:space="preserve">accounted for </w:t>
      </w:r>
      <w:r w:rsidR="00722DD5">
        <w:t xml:space="preserve">approximately 1.65% </w:t>
      </w:r>
      <w:r w:rsidR="00332B42">
        <w:t>of all cases tested.</w:t>
      </w:r>
      <w:r w:rsidR="004C1E49">
        <w:rPr>
          <w:rStyle w:val="FootnoteReference"/>
        </w:rPr>
        <w:footnoteReference w:id="12"/>
      </w:r>
      <w:r w:rsidR="00332B42">
        <w:t xml:space="preserve"> The proportion</w:t>
      </w:r>
      <w:r w:rsidR="00722DD5">
        <w:t xml:space="preserve"> is likely to be somewhat higher </w:t>
      </w:r>
      <w:r w:rsidR="004C1E49">
        <w:t>for those with a suspected lymphoid malignancy where the presentation</w:t>
      </w:r>
      <w:r w:rsidR="00332B42">
        <w:t xml:space="preserve"> may be</w:t>
      </w:r>
      <w:r w:rsidR="004C1E49">
        <w:t xml:space="preserve"> with lymphocytosis or lymphadenopathy</w:t>
      </w:r>
      <w:r w:rsidR="00332B42">
        <w:t xml:space="preserve"> which</w:t>
      </w:r>
      <w:r w:rsidR="004C1E49">
        <w:t xml:space="preserve"> requires exclusion of clonality/malignancy.</w:t>
      </w:r>
    </w:p>
    <w:p w14:paraId="66BDFCC1" w14:textId="3B445837" w:rsidR="00772829" w:rsidRPr="00CE28E3" w:rsidRDefault="00FA4672" w:rsidP="002A18BE">
      <w:pPr>
        <w:pStyle w:val="Heading2"/>
        <w:numPr>
          <w:ilvl w:val="0"/>
          <w:numId w:val="0"/>
        </w:numPr>
      </w:pPr>
      <w:bookmarkStart w:id="18" w:name="_Toc111754793"/>
      <w:r>
        <w:lastRenderedPageBreak/>
        <w:t>8</w:t>
      </w:r>
      <w:r w:rsidR="00C36633">
        <w:t>.</w:t>
      </w:r>
      <w:r w:rsidR="00C36633">
        <w:tab/>
      </w:r>
      <w:r w:rsidR="00772829" w:rsidRPr="00F8096E">
        <w:t>Comparator</w:t>
      </w:r>
      <w:bookmarkEnd w:id="18"/>
    </w:p>
    <w:p w14:paraId="6D69F42B" w14:textId="07F3733C" w:rsidR="00390E5C" w:rsidRPr="00330A0A" w:rsidRDefault="00F8096E" w:rsidP="00F8096E">
      <w:r>
        <w:t xml:space="preserve">No </w:t>
      </w:r>
      <w:r w:rsidR="00220C4A">
        <w:t xml:space="preserve">NGS panel testing is the nominated </w:t>
      </w:r>
      <w:r>
        <w:t>comparator</w:t>
      </w:r>
      <w:r w:rsidR="00220C4A">
        <w:t xml:space="preserve"> </w:t>
      </w:r>
      <w:r w:rsidR="009B6664">
        <w:t>as</w:t>
      </w:r>
      <w:r w:rsidR="00220C4A">
        <w:t xml:space="preserve"> there are existing MBS items for genetic tests that</w:t>
      </w:r>
      <w:r w:rsidR="009B6664">
        <w:t xml:space="preserve"> for some patients</w:t>
      </w:r>
      <w:r w:rsidR="00220C4A">
        <w:t xml:space="preserve"> can provide supplementary information of a working diagnosis of haematological malignancy (e.g.</w:t>
      </w:r>
      <w:r w:rsidR="00F95ABA">
        <w:t>,</w:t>
      </w:r>
      <w:r w:rsidR="00220C4A">
        <w:t xml:space="preserve"> flow cytometry, immunohistochemistry, cytogenetic testing including FISH and individual molecular genetic tests)</w:t>
      </w:r>
      <w:r w:rsidR="002628E1">
        <w:t>.</w:t>
      </w:r>
      <w:r w:rsidR="00220C4A">
        <w:t xml:space="preserve"> </w:t>
      </w:r>
      <w:r>
        <w:t xml:space="preserve">PASC indicated any reduction in </w:t>
      </w:r>
      <w:r w:rsidR="00C7171B">
        <w:t>utilisation</w:t>
      </w:r>
      <w:r>
        <w:t xml:space="preserve"> of existing items should be included in the assessment report.</w:t>
      </w:r>
    </w:p>
    <w:p w14:paraId="47BC3A84" w14:textId="3AA9C866" w:rsidR="00772829" w:rsidRPr="00CE28E3" w:rsidRDefault="00FA4672" w:rsidP="002A18BE">
      <w:pPr>
        <w:pStyle w:val="Heading2"/>
        <w:numPr>
          <w:ilvl w:val="0"/>
          <w:numId w:val="0"/>
        </w:numPr>
      </w:pPr>
      <w:bookmarkStart w:id="19" w:name="_Toc111754794"/>
      <w:r>
        <w:t>9</w:t>
      </w:r>
      <w:r w:rsidR="00C36633">
        <w:t>.</w:t>
      </w:r>
      <w:r w:rsidR="00C36633">
        <w:tab/>
      </w:r>
      <w:r w:rsidR="00772829" w:rsidRPr="00F8096E">
        <w:t xml:space="preserve">Summary of public consultation </w:t>
      </w:r>
      <w:r w:rsidR="0052575D" w:rsidRPr="00F8096E">
        <w:t>input</w:t>
      </w:r>
      <w:bookmarkEnd w:id="19"/>
    </w:p>
    <w:p w14:paraId="7B932760" w14:textId="77777777" w:rsidR="002C0BA8" w:rsidRDefault="002C0BA8" w:rsidP="002C0BA8">
      <w:r>
        <w:t>Prior to consideration by PASC in December 2021, t</w:t>
      </w:r>
      <w:r w:rsidRPr="00D33C2C">
        <w:t xml:space="preserve">he Department received responses to the consultation survey from </w:t>
      </w:r>
      <w:r>
        <w:t>five</w:t>
      </w:r>
      <w:r w:rsidRPr="00D33C2C">
        <w:t xml:space="preserve"> </w:t>
      </w:r>
      <w:r>
        <w:t xml:space="preserve">organisations, all of whom were supportive of the application: </w:t>
      </w:r>
    </w:p>
    <w:p w14:paraId="575A8263" w14:textId="77777777" w:rsidR="002C0BA8" w:rsidRDefault="002C0BA8" w:rsidP="00B56755">
      <w:pPr>
        <w:pStyle w:val="ListParagraph"/>
        <w:numPr>
          <w:ilvl w:val="0"/>
          <w:numId w:val="28"/>
        </w:numPr>
        <w:spacing w:before="0" w:after="200" w:line="276" w:lineRule="auto"/>
        <w:jc w:val="left"/>
      </w:pPr>
      <w:r>
        <w:t xml:space="preserve">Public Pathology Australia (PPA) </w:t>
      </w:r>
    </w:p>
    <w:p w14:paraId="4648FB30" w14:textId="77777777" w:rsidR="002C0BA8" w:rsidRDefault="002C0BA8" w:rsidP="00B56755">
      <w:pPr>
        <w:pStyle w:val="ListParagraph"/>
        <w:numPr>
          <w:ilvl w:val="0"/>
          <w:numId w:val="28"/>
        </w:numPr>
        <w:spacing w:before="0" w:after="200" w:line="276" w:lineRule="auto"/>
        <w:jc w:val="left"/>
      </w:pPr>
      <w:r>
        <w:t xml:space="preserve">Australian Genomics (AG) </w:t>
      </w:r>
    </w:p>
    <w:p w14:paraId="78D93780" w14:textId="77777777" w:rsidR="002C0BA8" w:rsidRDefault="002C0BA8" w:rsidP="00B56755">
      <w:pPr>
        <w:pStyle w:val="ListParagraph"/>
        <w:numPr>
          <w:ilvl w:val="0"/>
          <w:numId w:val="28"/>
        </w:numPr>
        <w:spacing w:before="0" w:after="200" w:line="276" w:lineRule="auto"/>
        <w:jc w:val="left"/>
      </w:pPr>
      <w:r>
        <w:t xml:space="preserve">Myeloproliferative Neoplasm Alliance Australia (MPNAA) </w:t>
      </w:r>
    </w:p>
    <w:p w14:paraId="40332C40" w14:textId="77777777" w:rsidR="002C0BA8" w:rsidRDefault="002C0BA8" w:rsidP="00B56755">
      <w:pPr>
        <w:pStyle w:val="ListParagraph"/>
        <w:numPr>
          <w:ilvl w:val="0"/>
          <w:numId w:val="28"/>
        </w:numPr>
        <w:spacing w:before="0" w:after="200" w:line="276" w:lineRule="auto"/>
        <w:jc w:val="left"/>
      </w:pPr>
      <w:r>
        <w:t xml:space="preserve">Leukaemia Foundation (LF) </w:t>
      </w:r>
    </w:p>
    <w:p w14:paraId="06356BBF" w14:textId="77777777" w:rsidR="002C0BA8" w:rsidRPr="005C75B5" w:rsidRDefault="002C0BA8" w:rsidP="00B56755">
      <w:pPr>
        <w:pStyle w:val="ListParagraph"/>
        <w:numPr>
          <w:ilvl w:val="0"/>
          <w:numId w:val="28"/>
        </w:numPr>
        <w:spacing w:before="0" w:after="200" w:line="276" w:lineRule="auto"/>
        <w:jc w:val="left"/>
      </w:pPr>
      <w:r>
        <w:t>Australian Pathology (PA)</w:t>
      </w:r>
    </w:p>
    <w:p w14:paraId="4A731F5B" w14:textId="33F94122" w:rsidR="002C0BA8" w:rsidRDefault="002C0BA8" w:rsidP="002C0BA8">
      <w:r>
        <w:t>Advantages of the test stated in the feedback received were:</w:t>
      </w:r>
    </w:p>
    <w:p w14:paraId="3D86BCE7" w14:textId="30BF3FA4" w:rsidR="002C0BA8" w:rsidRDefault="002C0BA8" w:rsidP="00B56755">
      <w:pPr>
        <w:pStyle w:val="ListParagraph"/>
        <w:numPr>
          <w:ilvl w:val="0"/>
          <w:numId w:val="29"/>
        </w:numPr>
        <w:spacing w:before="0" w:after="200" w:line="276" w:lineRule="auto"/>
        <w:jc w:val="left"/>
      </w:pPr>
      <w:r>
        <w:t>The test would provide clarity of diagnosis as well as selection of the most appropriate treatment options, which would lead to better health outcomes.</w:t>
      </w:r>
    </w:p>
    <w:p w14:paraId="7509B166" w14:textId="77777777" w:rsidR="002C0BA8" w:rsidRDefault="002C0BA8" w:rsidP="00B56755">
      <w:pPr>
        <w:pStyle w:val="ListParagraph"/>
        <w:numPr>
          <w:ilvl w:val="0"/>
          <w:numId w:val="29"/>
        </w:numPr>
        <w:spacing w:before="0" w:after="200" w:line="276" w:lineRule="auto"/>
        <w:jc w:val="left"/>
      </w:pPr>
      <w:r>
        <w:t xml:space="preserve">Access to the test through public funding will ensure patients have access to the standard of care in accordance with the World Health Organisation (WHO) guidelines. </w:t>
      </w:r>
    </w:p>
    <w:p w14:paraId="0FE77AD6" w14:textId="2939FD82" w:rsidR="002C0BA8" w:rsidRDefault="002C0BA8" w:rsidP="00B56755">
      <w:pPr>
        <w:pStyle w:val="ListParagraph"/>
        <w:numPr>
          <w:ilvl w:val="0"/>
          <w:numId w:val="29"/>
        </w:numPr>
        <w:spacing w:before="0" w:after="200" w:line="276" w:lineRule="auto"/>
        <w:jc w:val="left"/>
      </w:pPr>
      <w:r>
        <w:t>Equity of access to testing.</w:t>
      </w:r>
    </w:p>
    <w:p w14:paraId="3E60230F" w14:textId="2E951B03" w:rsidR="002C0BA8" w:rsidRDefault="002C0BA8" w:rsidP="002C0BA8">
      <w:r>
        <w:t>Disadvantages of the test stated in the feedback received were:</w:t>
      </w:r>
    </w:p>
    <w:p w14:paraId="092DBC96" w14:textId="6E82E4EC" w:rsidR="002C0BA8" w:rsidRDefault="002C0BA8" w:rsidP="00B56755">
      <w:pPr>
        <w:pStyle w:val="ListParagraph"/>
        <w:numPr>
          <w:ilvl w:val="0"/>
          <w:numId w:val="29"/>
        </w:numPr>
        <w:spacing w:before="0" w:after="200" w:line="276" w:lineRule="auto"/>
        <w:jc w:val="left"/>
      </w:pPr>
      <w:r>
        <w:t xml:space="preserve">Testing in some genes for tumour associated variants may also discover inherited variants associated with blood cancer predisposition (appropriate policy, systems, genetic </w:t>
      </w:r>
      <w:proofErr w:type="gramStart"/>
      <w:r>
        <w:t>counselling</w:t>
      </w:r>
      <w:proofErr w:type="gramEnd"/>
      <w:r>
        <w:t xml:space="preserve"> and consumer support must be in place when delivering such testing to ensure the patient is aware of this possibility).</w:t>
      </w:r>
    </w:p>
    <w:p w14:paraId="3AA87A91" w14:textId="0D2D2968" w:rsidR="002C0BA8" w:rsidRDefault="002C0BA8" w:rsidP="002C0BA8">
      <w:r>
        <w:t>Other comments provided in the consultation feedback was:</w:t>
      </w:r>
    </w:p>
    <w:p w14:paraId="6C72EFBB" w14:textId="77777777" w:rsidR="002C0BA8" w:rsidRDefault="002C0BA8" w:rsidP="00B56755">
      <w:pPr>
        <w:pStyle w:val="ListParagraph"/>
        <w:numPr>
          <w:ilvl w:val="0"/>
          <w:numId w:val="29"/>
        </w:numPr>
        <w:spacing w:before="0" w:after="200" w:line="276" w:lineRule="auto"/>
        <w:jc w:val="left"/>
      </w:pPr>
      <w:r>
        <w:t>The proposed MBS fee does not adequately reimburse the cost of the test.</w:t>
      </w:r>
    </w:p>
    <w:p w14:paraId="1063B7B9" w14:textId="77777777" w:rsidR="002C0BA8" w:rsidRDefault="002C0BA8" w:rsidP="00B56755">
      <w:pPr>
        <w:pStyle w:val="ListParagraph"/>
        <w:numPr>
          <w:ilvl w:val="0"/>
          <w:numId w:val="29"/>
        </w:numPr>
        <w:spacing w:before="0" w:after="200" w:line="276" w:lineRule="auto"/>
        <w:jc w:val="left"/>
      </w:pPr>
      <w:r>
        <w:t>Public funding of the test would increase the knowledge base for myeloproliferative neoplasms and could inform clinical practice and best treatment pathways.</w:t>
      </w:r>
    </w:p>
    <w:p w14:paraId="5C8BDF24" w14:textId="588BFB1B" w:rsidR="002C0BA8" w:rsidRPr="005C75B5" w:rsidRDefault="002C0BA8" w:rsidP="00B56755">
      <w:pPr>
        <w:pStyle w:val="ListParagraph"/>
        <w:numPr>
          <w:ilvl w:val="0"/>
          <w:numId w:val="29"/>
        </w:numPr>
        <w:spacing w:before="0" w:after="200" w:line="276" w:lineRule="auto"/>
        <w:jc w:val="left"/>
        <w:rPr>
          <w:rFonts w:asciiTheme="minorHAnsi" w:hAnsiTheme="minorHAnsi" w:cstheme="minorHAnsi"/>
          <w:szCs w:val="16"/>
        </w:rPr>
      </w:pPr>
      <w:r>
        <w:t>Precision cancer care is emerging as standard of care and avoids the need for expensive therapies associated with treatment related side effects.</w:t>
      </w:r>
    </w:p>
    <w:p w14:paraId="4DD7901A" w14:textId="6D882FCA" w:rsidR="00501570" w:rsidRDefault="00FA4672" w:rsidP="00475921">
      <w:pPr>
        <w:pStyle w:val="Heading2"/>
        <w:numPr>
          <w:ilvl w:val="0"/>
          <w:numId w:val="0"/>
        </w:numPr>
      </w:pPr>
      <w:bookmarkStart w:id="20" w:name="_Toc111754795"/>
      <w:r>
        <w:t>10</w:t>
      </w:r>
      <w:r w:rsidR="00C36633">
        <w:t>.</w:t>
      </w:r>
      <w:r w:rsidR="00C36633">
        <w:tab/>
      </w:r>
      <w:r w:rsidR="00772829" w:rsidRPr="00475921">
        <w:t>Characteristics of the evidence base</w:t>
      </w:r>
      <w:bookmarkEnd w:id="20"/>
    </w:p>
    <w:p w14:paraId="52F79DB2" w14:textId="7BA38CF3" w:rsidR="00501570" w:rsidRDefault="00501570" w:rsidP="00501570">
      <w:r>
        <w:t>The HTA group has evolved an approach that has shifted with alterations in the application – initially</w:t>
      </w:r>
      <w:r w:rsidR="001559D2">
        <w:t xml:space="preserve"> requesting</w:t>
      </w:r>
      <w:r>
        <w:t xml:space="preserve"> a single</w:t>
      </w:r>
      <w:r w:rsidR="001559D2">
        <w:t xml:space="preserve"> MBS</w:t>
      </w:r>
      <w:r>
        <w:t xml:space="preserve"> item </w:t>
      </w:r>
      <w:r w:rsidR="001559D2">
        <w:t>to characterise</w:t>
      </w:r>
      <w:r>
        <w:t xml:space="preserve"> variants in a patient presenting with a haematological malignancy</w:t>
      </w:r>
      <w:r w:rsidR="001559D2">
        <w:t>, with the item descriptor</w:t>
      </w:r>
      <w:r>
        <w:t xml:space="preserve"> </w:t>
      </w:r>
      <w:r w:rsidR="009B6664">
        <w:t>referencing</w:t>
      </w:r>
      <w:r>
        <w:t xml:space="preserve"> a</w:t>
      </w:r>
      <w:r w:rsidR="0000477D">
        <w:t>n attached</w:t>
      </w:r>
      <w:r>
        <w:t xml:space="preserve"> list </w:t>
      </w:r>
      <w:r w:rsidR="0000477D">
        <w:t xml:space="preserve">presented in a large table </w:t>
      </w:r>
      <w:r>
        <w:t xml:space="preserve">of 235 candidate genes organised into ‘exemplar’ and ‘facilitated’, </w:t>
      </w:r>
      <w:r w:rsidR="00475921">
        <w:t xml:space="preserve">largely </w:t>
      </w:r>
      <w:r>
        <w:t xml:space="preserve">based on inclusion in the </w:t>
      </w:r>
      <w:r w:rsidR="00BE3B4B">
        <w:t xml:space="preserve">2016 </w:t>
      </w:r>
      <w:r>
        <w:t>WHO classification</w:t>
      </w:r>
      <w:r w:rsidR="00475921">
        <w:t>.</w:t>
      </w:r>
      <w:r w:rsidR="00800212">
        <w:t xml:space="preserve"> With the publication of the WHO HAEM5 summaries, and imminent release of the ‘blue book’ for WHO classification</w:t>
      </w:r>
      <w:r w:rsidR="002E3BEA">
        <w:t xml:space="preserve"> and other key publications (IPSS-M prognostic model for myelodysplastic syndrome (MDS)</w:t>
      </w:r>
      <w:r w:rsidR="00800212">
        <w:t xml:space="preserve">, this list </w:t>
      </w:r>
      <w:r w:rsidR="00703C9D">
        <w:t>will</w:t>
      </w:r>
      <w:r w:rsidR="00800212">
        <w:t xml:space="preserve"> require updating.</w:t>
      </w:r>
    </w:p>
    <w:p w14:paraId="6C1220C6" w14:textId="6863D269" w:rsidR="00501570" w:rsidRDefault="00501570" w:rsidP="00501570">
      <w:r>
        <w:lastRenderedPageBreak/>
        <w:t xml:space="preserve">A literature search for NGS panel testing in haematological malignancies rapidly mapped that this process closely follows the WHO classification, clinical </w:t>
      </w:r>
      <w:proofErr w:type="gramStart"/>
      <w:r>
        <w:t>guidelines</w:t>
      </w:r>
      <w:proofErr w:type="gramEnd"/>
      <w:r>
        <w:t xml:space="preserve"> and clinical practice in specialist centres. These divide the diagnostic process according to whether these are suspected myeloid neoplasms and lymphoid neoplasms, with multiple NGS panels described for the former and </w:t>
      </w:r>
      <w:r w:rsidR="00D8770E">
        <w:t>relatively</w:t>
      </w:r>
      <w:r>
        <w:t xml:space="preserve"> few for the latter – indeed, most of the studies in lymphoid malignancies are in the individual disease entities rather than as ‘lymphoid neoplasms’ approach. This is consistent with the Applicant’s proposed use of NGS panel testing downstream</w:t>
      </w:r>
      <w:r w:rsidR="00EC2218">
        <w:t xml:space="preserve"> of</w:t>
      </w:r>
      <w:r>
        <w:t xml:space="preserve"> other MBS-funded as well as non-MBS funded tests. By contrast, given the much more frequently mutated genes and their critical role in diagnosis, risk stratification and therapeutic selection </w:t>
      </w:r>
      <w:r w:rsidR="00EC2218">
        <w:t xml:space="preserve">in </w:t>
      </w:r>
      <w:r>
        <w:t>myeloid neoplasms, this essential testing is more likely to be used early and to complement</w:t>
      </w:r>
      <w:r w:rsidR="00EC2218">
        <w:t xml:space="preserve"> ore even replace</w:t>
      </w:r>
      <w:r>
        <w:t xml:space="preserve"> other genetic tests. The approach to the assessment aimed to mirror these differences, and a meeting was held with the Applicant, the Applicant’s clinical experts and the Department early in the assessment process to define the NGS panel(s) being sought.</w:t>
      </w:r>
    </w:p>
    <w:p w14:paraId="3BE52AFC" w14:textId="76244479" w:rsidR="00782A45" w:rsidRDefault="00501570" w:rsidP="00501570">
      <w:r>
        <w:t>Following that meeting on</w:t>
      </w:r>
      <w:r w:rsidR="00EC2218">
        <w:t xml:space="preserve"> May 6</w:t>
      </w:r>
      <w:r w:rsidR="00EC2218" w:rsidRPr="00EC2218">
        <w:rPr>
          <w:vertAlign w:val="superscript"/>
        </w:rPr>
        <w:t>th</w:t>
      </w:r>
      <w:proofErr w:type="gramStart"/>
      <w:r w:rsidR="00EC2218">
        <w:t xml:space="preserve"> 2022</w:t>
      </w:r>
      <w:proofErr w:type="gramEnd"/>
      <w:r w:rsidR="00EC2218">
        <w:t>, on</w:t>
      </w:r>
      <w:r>
        <w:t xml:space="preserve"> May 3</w:t>
      </w:r>
      <w:r w:rsidR="00EC2218">
        <w:t>0</w:t>
      </w:r>
      <w:r w:rsidRPr="00501570">
        <w:rPr>
          <w:vertAlign w:val="superscript"/>
        </w:rPr>
        <w:t>th</w:t>
      </w:r>
      <w:r>
        <w:t xml:space="preserve"> 2022, the application was altered to</w:t>
      </w:r>
      <w:r w:rsidR="00782A45">
        <w:t xml:space="preserve"> a request for 3 </w:t>
      </w:r>
      <w:r w:rsidR="00CD1F51">
        <w:t xml:space="preserve">MBS </w:t>
      </w:r>
      <w:r w:rsidR="00782A45">
        <w:t xml:space="preserve">items for </w:t>
      </w:r>
      <w:r>
        <w:t xml:space="preserve">3 </w:t>
      </w:r>
      <w:r w:rsidR="00782A45">
        <w:t xml:space="preserve">NGS </w:t>
      </w:r>
      <w:r>
        <w:t>panels, including the two now currently proposed plus</w:t>
      </w:r>
      <w:r w:rsidR="00782A45">
        <w:t xml:space="preserve"> a</w:t>
      </w:r>
      <w:r>
        <w:t xml:space="preserve"> larger combined gene panel with a proposed list of 77 genes where a more comprehensive test was required. This larger panel was withdrawn from consideration</w:t>
      </w:r>
      <w:r w:rsidR="00CD1F51">
        <w:t xml:space="preserve"> by the Applicant</w:t>
      </w:r>
      <w:r>
        <w:t xml:space="preserve"> on June 30</w:t>
      </w:r>
      <w:r w:rsidRPr="003756BC">
        <w:rPr>
          <w:vertAlign w:val="superscript"/>
        </w:rPr>
        <w:t>th</w:t>
      </w:r>
      <w:proofErr w:type="gramStart"/>
      <w:r>
        <w:t xml:space="preserve"> 2022</w:t>
      </w:r>
      <w:proofErr w:type="gramEnd"/>
      <w:r>
        <w:t>.</w:t>
      </w:r>
    </w:p>
    <w:p w14:paraId="7C30D0A6" w14:textId="00363D95" w:rsidR="00501570" w:rsidRDefault="00FB50B1" w:rsidP="00501570">
      <w:r>
        <w:t xml:space="preserve">The key issues have been to </w:t>
      </w:r>
    </w:p>
    <w:p w14:paraId="1576C4ED" w14:textId="77777777" w:rsidR="00FB50B1" w:rsidRDefault="00FB50B1" w:rsidP="00B56755">
      <w:pPr>
        <w:pStyle w:val="ListParagraph"/>
        <w:numPr>
          <w:ilvl w:val="0"/>
          <w:numId w:val="14"/>
        </w:numPr>
      </w:pPr>
      <w:r>
        <w:t>Define the test</w:t>
      </w:r>
    </w:p>
    <w:p w14:paraId="086D7205" w14:textId="77777777" w:rsidR="00FB50B1" w:rsidRDefault="00FB50B1" w:rsidP="00B56755">
      <w:pPr>
        <w:pStyle w:val="ListParagraph"/>
        <w:numPr>
          <w:ilvl w:val="0"/>
          <w:numId w:val="14"/>
        </w:numPr>
      </w:pPr>
      <w:r>
        <w:t>Compare with how the test is provided elsewhere (e.g., clinical guidelines, NHSE Genomic Test Directory)</w:t>
      </w:r>
    </w:p>
    <w:p w14:paraId="20E90BC1" w14:textId="2983DEEB" w:rsidR="00501570" w:rsidRDefault="00FB50B1" w:rsidP="00B56755">
      <w:pPr>
        <w:pStyle w:val="ListParagraph"/>
        <w:numPr>
          <w:ilvl w:val="0"/>
          <w:numId w:val="14"/>
        </w:numPr>
      </w:pPr>
      <w:r>
        <w:t>Allow a comparison with any published literature assessing clinical and cost-effectiveness.</w:t>
      </w:r>
    </w:p>
    <w:p w14:paraId="11B78F16" w14:textId="1AC598CE" w:rsidR="003C25D3" w:rsidRDefault="000C009E" w:rsidP="004C1E49">
      <w:r>
        <w:t xml:space="preserve">The </w:t>
      </w:r>
      <w:r w:rsidR="009B69E8">
        <w:t>Applicant is requesting a very</w:t>
      </w:r>
      <w:r w:rsidR="004C1E49">
        <w:t xml:space="preserve"> flexible approach </w:t>
      </w:r>
      <w:r w:rsidR="009B69E8">
        <w:t xml:space="preserve">by specifying </w:t>
      </w:r>
      <w:r w:rsidR="004C1E49">
        <w:t xml:space="preserve">a minimum of 25 genes, </w:t>
      </w:r>
      <w:r w:rsidR="009B69E8">
        <w:t xml:space="preserve">with </w:t>
      </w:r>
      <w:r w:rsidR="00316206">
        <w:t xml:space="preserve">a candidate list of 44 genes for the myeloid panel and </w:t>
      </w:r>
      <w:r w:rsidR="001923A1">
        <w:t>52</w:t>
      </w:r>
      <w:r w:rsidR="00316206">
        <w:t xml:space="preserve"> genes for the lymphoid panel. It is not clear how </w:t>
      </w:r>
      <w:r w:rsidR="00EC2218">
        <w:t xml:space="preserve">the composition and size of the lists </w:t>
      </w:r>
      <w:r w:rsidR="00316206">
        <w:t xml:space="preserve">were derived, and </w:t>
      </w:r>
      <w:r w:rsidR="00782A45">
        <w:t xml:space="preserve">of the 11 references </w:t>
      </w:r>
      <w:r w:rsidR="00EC2218">
        <w:t>cited in the application,</w:t>
      </w:r>
      <w:r w:rsidR="00782A45">
        <w:t xml:space="preserve"> one was supportive and generalisable to the planned approach. No references were provided in support of lymphoid NGS panel testing.</w:t>
      </w:r>
      <w:r w:rsidR="00316206">
        <w:t xml:space="preserve"> </w:t>
      </w:r>
      <w:r w:rsidR="00782A45">
        <w:t>No rationale was provided to explain either the selection of the proposed genes,</w:t>
      </w:r>
      <w:r w:rsidR="00316206">
        <w:t xml:space="preserve"> </w:t>
      </w:r>
      <w:r w:rsidR="00475921">
        <w:t>n</w:t>
      </w:r>
      <w:r w:rsidR="00316206">
        <w:t xml:space="preserve">or </w:t>
      </w:r>
      <w:r w:rsidR="003C25D3">
        <w:t xml:space="preserve">to explain the </w:t>
      </w:r>
      <w:r w:rsidR="00316206">
        <w:t xml:space="preserve">exclusion of other candidate genes. </w:t>
      </w:r>
      <w:r w:rsidR="00782A45">
        <w:t>E</w:t>
      </w:r>
      <w:r w:rsidR="00316206">
        <w:t>ssential</w:t>
      </w:r>
      <w:r w:rsidR="009B69E8">
        <w:t xml:space="preserve"> genes</w:t>
      </w:r>
      <w:r w:rsidR="00316206">
        <w:t xml:space="preserve"> </w:t>
      </w:r>
      <w:r w:rsidR="00782A45">
        <w:t>have not been</w:t>
      </w:r>
      <w:r w:rsidR="00316206">
        <w:t xml:space="preserve"> proposed</w:t>
      </w:r>
      <w:r w:rsidR="009B69E8">
        <w:t xml:space="preserve"> that </w:t>
      </w:r>
      <w:r w:rsidR="00782A45">
        <w:t>might</w:t>
      </w:r>
      <w:r w:rsidR="009B69E8">
        <w:t xml:space="preserve"> form the core of any test</w:t>
      </w:r>
      <w:r w:rsidR="00475921">
        <w:t xml:space="preserve"> </w:t>
      </w:r>
      <w:r w:rsidR="00782A45">
        <w:t xml:space="preserve">panel, </w:t>
      </w:r>
      <w:r w:rsidR="00475921">
        <w:t xml:space="preserve">and perhaps inform an item descriptor. Essentially these are two tests seeking </w:t>
      </w:r>
      <w:r w:rsidR="009B69E8">
        <w:t>to characterise</w:t>
      </w:r>
      <w:r w:rsidR="004C1E49">
        <w:t xml:space="preserve"> </w:t>
      </w:r>
      <w:r w:rsidR="00E41A67">
        <w:t>clinically significant variants</w:t>
      </w:r>
      <w:r w:rsidR="004C1E49">
        <w:t xml:space="preserve"> </w:t>
      </w:r>
      <w:r w:rsidR="00316206">
        <w:t xml:space="preserve">in potentially more than 150 </w:t>
      </w:r>
      <w:r w:rsidR="00E41A67">
        <w:t>cancers</w:t>
      </w:r>
      <w:r w:rsidR="003C25D3">
        <w:t>.</w:t>
      </w:r>
    </w:p>
    <w:p w14:paraId="19A54E37" w14:textId="0FC885E7" w:rsidR="00475921" w:rsidRDefault="00475921" w:rsidP="00475921">
      <w:r>
        <w:t xml:space="preserve">Within these gene panels, there is considerable flexibility to alter the number of genes tested and/or to report potentially only those genes considered relevant to the condition being examined. How these genes would be selected </w:t>
      </w:r>
      <w:r w:rsidR="00782A45">
        <w:t xml:space="preserve">by providers </w:t>
      </w:r>
      <w:r>
        <w:t xml:space="preserve">was not presented, nor the diagnostic algorithm for those patients who after testing with a subset of genes from these lists, remain without a diagnosis. This underscores the need for an Australian guideline to define what </w:t>
      </w:r>
      <w:r w:rsidR="00782A45">
        <w:t>genes would be</w:t>
      </w:r>
      <w:r>
        <w:t xml:space="preserve"> required to establish a diagnosis for each condition, and for providers to publish their test scope (e.g., Mayo Clinic descriptor) and allow requesters to determine whether different providers offer sufficient coverage within the test offered</w:t>
      </w:r>
      <w:r w:rsidR="00782A45">
        <w:t xml:space="preserve"> to support their reason for testing (e.g</w:t>
      </w:r>
      <w:r>
        <w:t>.</w:t>
      </w:r>
      <w:r w:rsidR="00782A45">
        <w:t>, to identify treatment options.</w:t>
      </w:r>
      <w:r>
        <w:t xml:space="preserve"> </w:t>
      </w:r>
      <w:r w:rsidR="00782A45">
        <w:t>The HTA groups does not consider these to be</w:t>
      </w:r>
      <w:r>
        <w:t xml:space="preserve"> exemplar genes</w:t>
      </w:r>
      <w:r w:rsidR="00EC2218">
        <w:t xml:space="preserve"> (per MSAC’s exemplar/facilitated HTA approach)</w:t>
      </w:r>
      <w:r>
        <w:t xml:space="preserve"> </w:t>
      </w:r>
      <w:r w:rsidR="00484ABE">
        <w:t>as they are not related or informative for the use of other genes</w:t>
      </w:r>
      <w:r>
        <w:t>.</w:t>
      </w:r>
    </w:p>
    <w:p w14:paraId="25D4D497" w14:textId="6EE2D9C0" w:rsidR="00475921" w:rsidRDefault="00475921" w:rsidP="00475921">
      <w:r>
        <w:t xml:space="preserve">Following on from the approach to the DCAR for Application 1709, the HTA group has adopted a pragmatic approach of establishing clinical effectiveness using published literature wherever possible to identify examples where a similar NGS panel has been used. </w:t>
      </w:r>
      <w:r w:rsidR="00484ABE">
        <w:t xml:space="preserve">This was made more challenging because there is no clear test for comparison with the published literature. </w:t>
      </w:r>
      <w:r>
        <w:t>Given the two panels share no similarities, these have been presented separately.</w:t>
      </w:r>
    </w:p>
    <w:p w14:paraId="3410881F" w14:textId="24370C62" w:rsidR="005D7ECA" w:rsidRDefault="005D7ECA" w:rsidP="005D7ECA">
      <w:r>
        <w:t xml:space="preserve">A checklist was developed by the HTA group to focus the literature search and select the studies providing evidence of the kind required to address MSAC’s preferred approach for demonstrating cost-effectiveness of NGS panels. The key question is the clinical and cost-effectiveness of using </w:t>
      </w:r>
      <w:r>
        <w:lastRenderedPageBreak/>
        <w:t>DNA analysis within an NGS panel to characterise variants for the diagnosis and manage patients presenting with a suspected haematological malignancy, either at initial diagnosis or relapse.</w:t>
      </w:r>
    </w:p>
    <w:p w14:paraId="7942CDC6" w14:textId="3B7C2227" w:rsidR="005D7ECA" w:rsidRDefault="005D7ECA" w:rsidP="005D7ECA">
      <w:r>
        <w:t>Inclusion and exclusion criteria were established to ensure that the findings from selected studies would be generalisable to the Applicant’s proposed NGS panel tests.</w:t>
      </w:r>
    </w:p>
    <w:p w14:paraId="12DD0DD5" w14:textId="77777777" w:rsidR="005D7ECA" w:rsidRDefault="005D7ECA" w:rsidP="005D7ECA">
      <w:r>
        <w:t>A literature search was undertaken with the following selection criteria:</w:t>
      </w:r>
    </w:p>
    <w:p w14:paraId="4568633E" w14:textId="42EA8EFC" w:rsidR="005D7ECA" w:rsidRDefault="005D7ECA" w:rsidP="00B56755">
      <w:pPr>
        <w:pStyle w:val="ListParagraph"/>
        <w:numPr>
          <w:ilvl w:val="0"/>
          <w:numId w:val="15"/>
        </w:numPr>
      </w:pPr>
      <w:r>
        <w:t xml:space="preserve">Size of the gene panel: 25-55 genes given the Applicant listed 44 candidate genes for the myeloid panel and 52 genes for the lymphoid panel and proposed a 25-gene minimum in the MBS </w:t>
      </w:r>
      <w:proofErr w:type="gramStart"/>
      <w:r>
        <w:t>items;</w:t>
      </w:r>
      <w:proofErr w:type="gramEnd"/>
    </w:p>
    <w:p w14:paraId="50B42A92" w14:textId="77777777" w:rsidR="005D7ECA" w:rsidRDefault="005D7ECA" w:rsidP="00B56755">
      <w:pPr>
        <w:pStyle w:val="ListParagraph"/>
        <w:numPr>
          <w:ilvl w:val="1"/>
          <w:numId w:val="15"/>
        </w:numPr>
      </w:pPr>
      <w:r>
        <w:t>The Applicant had also requested a 40+ gene panel for malignancies of indeterminate origin with a fee of $1200 but withdrew this on 30 June 2022.</w:t>
      </w:r>
    </w:p>
    <w:p w14:paraId="2AD21635" w14:textId="77777777" w:rsidR="005D7ECA" w:rsidRDefault="005D7ECA" w:rsidP="00B56755">
      <w:pPr>
        <w:pStyle w:val="ListParagraph"/>
        <w:numPr>
          <w:ilvl w:val="1"/>
          <w:numId w:val="15"/>
        </w:numPr>
      </w:pPr>
      <w:r>
        <w:t>The upper limit of the number of genes likely to be tested under the proposed service have not been specified.</w:t>
      </w:r>
    </w:p>
    <w:p w14:paraId="58AAA9B2" w14:textId="77777777" w:rsidR="005D7ECA" w:rsidRDefault="005D7ECA" w:rsidP="00B56755">
      <w:pPr>
        <w:pStyle w:val="ListParagraph"/>
        <w:numPr>
          <w:ilvl w:val="0"/>
          <w:numId w:val="15"/>
        </w:numPr>
      </w:pPr>
      <w:r>
        <w:t>Comparability of the genes tested: ideally these would be the same or a high proportion of genes the same as those on the proposed gene list (to ensure comparability of yield of informative results etc)</w:t>
      </w:r>
    </w:p>
    <w:p w14:paraId="263D0594" w14:textId="77777777" w:rsidR="005D7ECA" w:rsidRDefault="005D7ECA" w:rsidP="00B56755">
      <w:pPr>
        <w:pStyle w:val="ListParagraph"/>
        <w:numPr>
          <w:ilvl w:val="0"/>
          <w:numId w:val="15"/>
        </w:numPr>
      </w:pPr>
      <w:r>
        <w:t>NGS panel characterising DNA variants only</w:t>
      </w:r>
      <w:r w:rsidRPr="005513E0">
        <w:t xml:space="preserve"> </w:t>
      </w:r>
      <w:r>
        <w:t>or reporting DNA variants separately, as this is what the Applicant’s experts identified as the proposed testing.</w:t>
      </w:r>
      <w:r w:rsidDel="00384BC6">
        <w:t xml:space="preserve"> </w:t>
      </w:r>
      <w:r>
        <w:t>Inclusion of RNA analysis would detect more variants (e.g., structural variants) than the proposed test, but is not currently available; therefore, inclusion of studies that used RNA and DNA analysis will overestimate the clinical and cost-effectiveness.</w:t>
      </w:r>
    </w:p>
    <w:p w14:paraId="0E0BD888" w14:textId="77777777" w:rsidR="005D7ECA" w:rsidRDefault="005D7ECA" w:rsidP="00B56755">
      <w:pPr>
        <w:pStyle w:val="ListParagraph"/>
        <w:numPr>
          <w:ilvl w:val="0"/>
          <w:numId w:val="15"/>
        </w:numPr>
      </w:pPr>
      <w:r>
        <w:t xml:space="preserve">Use in different settings to reflect the current usage in Australia: </w:t>
      </w:r>
    </w:p>
    <w:p w14:paraId="777EA41B" w14:textId="77777777" w:rsidR="005D7ECA" w:rsidRDefault="005D7ECA" w:rsidP="00B56755">
      <w:pPr>
        <w:pStyle w:val="ListParagraph"/>
        <w:numPr>
          <w:ilvl w:val="1"/>
          <w:numId w:val="15"/>
        </w:numPr>
      </w:pPr>
      <w:r>
        <w:t>at initial diagnosis/work-up of a patient with suspected haematological neoplasm</w:t>
      </w:r>
    </w:p>
    <w:p w14:paraId="506AA3AF" w14:textId="77777777" w:rsidR="005D7ECA" w:rsidRDefault="005D7ECA" w:rsidP="00B56755">
      <w:pPr>
        <w:pStyle w:val="ListParagraph"/>
        <w:numPr>
          <w:ilvl w:val="1"/>
          <w:numId w:val="15"/>
        </w:numPr>
      </w:pPr>
      <w:r>
        <w:t>at suspected relapse or disease progression</w:t>
      </w:r>
    </w:p>
    <w:p w14:paraId="033A9146" w14:textId="7F177B85" w:rsidR="005D7ECA" w:rsidRDefault="005D7ECA" w:rsidP="00B56755">
      <w:pPr>
        <w:pStyle w:val="ListParagraph"/>
        <w:numPr>
          <w:ilvl w:val="0"/>
          <w:numId w:val="15"/>
        </w:numPr>
      </w:pPr>
      <w:r>
        <w:t>Publications from 1 January 2016 to April 14</w:t>
      </w:r>
      <w:proofErr w:type="gramStart"/>
      <w:r>
        <w:t xml:space="preserve"> 2022</w:t>
      </w:r>
      <w:proofErr w:type="gramEnd"/>
      <w:r>
        <w:t>, for the initial search, to ensure any diagnostic entities from the 2016 update of the 4</w:t>
      </w:r>
      <w:r w:rsidRPr="00E263E0">
        <w:rPr>
          <w:vertAlign w:val="superscript"/>
        </w:rPr>
        <w:t>th</w:t>
      </w:r>
      <w:r>
        <w:t xml:space="preserve"> edition of the WHO classification were included (summaries for the upcoming WHO HAEM5 were only released in June 2022), with a preference for those published after 2017 to incorporate the latest prognostic models incorporating molecular data for risk stratification (e.g., European LeukemiaNet (ELN) for AML 2017</w:t>
      </w:r>
      <w:r>
        <w:rPr>
          <w:rStyle w:val="FootnoteReference"/>
        </w:rPr>
        <w:footnoteReference w:id="13"/>
      </w:r>
      <w:r>
        <w:t>). Notably WHO HAEM5 summaries and IPSS-M for myelodysplastic syndromes and were published in June 2022</w:t>
      </w:r>
      <w:r>
        <w:rPr>
          <w:rStyle w:val="FootnoteReference"/>
        </w:rPr>
        <w:footnoteReference w:id="14"/>
      </w:r>
      <w:r>
        <w:t>)</w:t>
      </w:r>
    </w:p>
    <w:p w14:paraId="3E65AADF" w14:textId="16A2D023" w:rsidR="005D7ECA" w:rsidRDefault="005D7ECA" w:rsidP="00B56755">
      <w:pPr>
        <w:pStyle w:val="ListParagraph"/>
        <w:numPr>
          <w:ilvl w:val="0"/>
          <w:numId w:val="15"/>
        </w:numPr>
      </w:pPr>
      <w:r>
        <w:t>Studies conducted in Australian laboratories/patients, where published or available to provide generalisable evidence</w:t>
      </w:r>
      <w:r w:rsidR="00B815BD">
        <w:t>.</w:t>
      </w:r>
    </w:p>
    <w:p w14:paraId="5D590D98" w14:textId="31792DE4" w:rsidR="005D7ECA" w:rsidRDefault="005D7ECA" w:rsidP="005D7ECA">
      <w:r w:rsidRPr="00CE28E3">
        <w:t xml:space="preserve">Additional prespecified criteria for excluding </w:t>
      </w:r>
      <w:r w:rsidR="000549E5">
        <w:t xml:space="preserve">retrieved </w:t>
      </w:r>
      <w:r w:rsidRPr="00CE28E3">
        <w:t>studies</w:t>
      </w:r>
      <w:r>
        <w:t xml:space="preserve"> during the </w:t>
      </w:r>
      <w:r w:rsidR="002F2524">
        <w:t>review stage</w:t>
      </w:r>
      <w:r w:rsidRPr="00CE28E3">
        <w:t xml:space="preserve">: </w:t>
      </w:r>
    </w:p>
    <w:p w14:paraId="3C6B5F3A" w14:textId="77777777" w:rsidR="005D7ECA" w:rsidRDefault="005D7ECA" w:rsidP="00B56755">
      <w:pPr>
        <w:pStyle w:val="ListParagraph"/>
        <w:numPr>
          <w:ilvl w:val="0"/>
          <w:numId w:val="21"/>
        </w:numPr>
      </w:pPr>
      <w:r>
        <w:t>the technology was not targeted NGS (excluded whole exome or whole genome analysis)</w:t>
      </w:r>
    </w:p>
    <w:p w14:paraId="7E311A32" w14:textId="77777777" w:rsidR="005D7ECA" w:rsidRDefault="005D7ECA" w:rsidP="00B56755">
      <w:pPr>
        <w:pStyle w:val="ListParagraph"/>
        <w:numPr>
          <w:ilvl w:val="0"/>
          <w:numId w:val="21"/>
        </w:numPr>
      </w:pPr>
      <w:r>
        <w:t xml:space="preserve">gene panels were greater in scope (e.g., number of genes≥55, RNA analysed) or design (e.g., to detect structural variants) – it is not clear in the application if copy number alterations are detected with the currently proposed </w:t>
      </w:r>
      <w:proofErr w:type="gramStart"/>
      <w:r>
        <w:t>technology</w:t>
      </w:r>
      <w:proofErr w:type="gramEnd"/>
      <w:r>
        <w:t xml:space="preserve"> and this will differ between providers</w:t>
      </w:r>
    </w:p>
    <w:p w14:paraId="3CC6E01C" w14:textId="77777777" w:rsidR="005D7ECA" w:rsidRDefault="005D7ECA" w:rsidP="00B56755">
      <w:pPr>
        <w:pStyle w:val="ListParagraph"/>
        <w:numPr>
          <w:ilvl w:val="0"/>
          <w:numId w:val="21"/>
        </w:numPr>
      </w:pPr>
      <w:r>
        <w:t>DNA variants not reported separately</w:t>
      </w:r>
    </w:p>
    <w:p w14:paraId="34905409" w14:textId="77777777" w:rsidR="005D7ECA" w:rsidRDefault="005D7ECA" w:rsidP="00B56755">
      <w:pPr>
        <w:pStyle w:val="ListParagraph"/>
        <w:numPr>
          <w:ilvl w:val="0"/>
          <w:numId w:val="21"/>
        </w:numPr>
      </w:pPr>
      <w:r>
        <w:t>the test purpose was for monitoring or establishing minimal residual disease status</w:t>
      </w:r>
    </w:p>
    <w:p w14:paraId="1FF4AA26" w14:textId="77777777" w:rsidR="005D7ECA" w:rsidRDefault="005D7ECA" w:rsidP="00B56755">
      <w:pPr>
        <w:pStyle w:val="ListParagraph"/>
        <w:numPr>
          <w:ilvl w:val="0"/>
          <w:numId w:val="21"/>
        </w:numPr>
      </w:pPr>
      <w:r>
        <w:t>NGS panel testing was performed solely on cell-free circulating tumour DNA or not reported separately</w:t>
      </w:r>
    </w:p>
    <w:p w14:paraId="08303539" w14:textId="77777777" w:rsidR="005D7ECA" w:rsidRDefault="005D7ECA" w:rsidP="00B56755">
      <w:pPr>
        <w:pStyle w:val="ListParagraph"/>
        <w:numPr>
          <w:ilvl w:val="0"/>
          <w:numId w:val="21"/>
        </w:numPr>
      </w:pPr>
      <w:r>
        <w:t>non-haematological cancers were included but not reported separately</w:t>
      </w:r>
    </w:p>
    <w:p w14:paraId="3C766EC6" w14:textId="77777777" w:rsidR="005D7ECA" w:rsidRDefault="005D7ECA" w:rsidP="00B56755">
      <w:pPr>
        <w:pStyle w:val="ListParagraph"/>
        <w:numPr>
          <w:ilvl w:val="0"/>
          <w:numId w:val="21"/>
        </w:numPr>
      </w:pPr>
      <w:r>
        <w:t>there was insufficient detail to</w:t>
      </w:r>
    </w:p>
    <w:p w14:paraId="26847C12" w14:textId="77777777" w:rsidR="005D7ECA" w:rsidRDefault="005D7ECA" w:rsidP="00B56755">
      <w:pPr>
        <w:pStyle w:val="ListParagraph"/>
        <w:numPr>
          <w:ilvl w:val="1"/>
          <w:numId w:val="21"/>
        </w:numPr>
      </w:pPr>
      <w:r>
        <w:t>identify the genes tested or technology used</w:t>
      </w:r>
    </w:p>
    <w:p w14:paraId="439885B9" w14:textId="77777777" w:rsidR="005D7ECA" w:rsidRDefault="005D7ECA" w:rsidP="00B56755">
      <w:pPr>
        <w:pStyle w:val="ListParagraph"/>
        <w:numPr>
          <w:ilvl w:val="1"/>
          <w:numId w:val="21"/>
        </w:numPr>
      </w:pPr>
      <w:r>
        <w:lastRenderedPageBreak/>
        <w:t>identify the clinically significant variant detection vs any variant detection</w:t>
      </w:r>
    </w:p>
    <w:p w14:paraId="4D4ED31D" w14:textId="77777777" w:rsidR="005D7ECA" w:rsidRDefault="005D7ECA" w:rsidP="00B56755">
      <w:pPr>
        <w:pStyle w:val="ListParagraph"/>
        <w:numPr>
          <w:ilvl w:val="1"/>
          <w:numId w:val="21"/>
        </w:numPr>
      </w:pPr>
      <w:r>
        <w:t>determine outcomes from testing in all the patients</w:t>
      </w:r>
    </w:p>
    <w:p w14:paraId="6405CF42" w14:textId="44554773" w:rsidR="005D7ECA" w:rsidRDefault="005D7ECA" w:rsidP="00B56755">
      <w:pPr>
        <w:pStyle w:val="ListParagraph"/>
        <w:numPr>
          <w:ilvl w:val="1"/>
          <w:numId w:val="21"/>
        </w:numPr>
      </w:pPr>
      <w:r>
        <w:t>study size too small</w:t>
      </w:r>
      <w:r w:rsidR="00B815BD">
        <w:t>.</w:t>
      </w:r>
    </w:p>
    <w:p w14:paraId="06C032D7" w14:textId="77777777" w:rsidR="00DB2FBC" w:rsidRDefault="00DB2FBC" w:rsidP="00DB2FBC">
      <w:r>
        <w:t xml:space="preserve">The composition of the proposed gene lists </w:t>
      </w:r>
      <w:proofErr w:type="gramStart"/>
      <w:r>
        <w:t>were</w:t>
      </w:r>
      <w:proofErr w:type="gramEnd"/>
      <w:r>
        <w:t xml:space="preserve"> compared with those studies providing clinical effectiveness data, the NHSE Genomics National Test Directory for haematological neoplasms and other reference sources such as the Mayo Clinic laboratories.</w:t>
      </w:r>
    </w:p>
    <w:p w14:paraId="6730217F" w14:textId="4E5EB7CF" w:rsidR="00316206" w:rsidRDefault="000F3597" w:rsidP="004C1E49">
      <w:r>
        <w:t>The NGS panel tests</w:t>
      </w:r>
      <w:r w:rsidR="00484ABE">
        <w:t xml:space="preserve"> themselves, the conditions </w:t>
      </w:r>
      <w:proofErr w:type="gramStart"/>
      <w:r w:rsidR="00484ABE">
        <w:t>evaluated</w:t>
      </w:r>
      <w:proofErr w:type="gramEnd"/>
      <w:r w:rsidR="00484ABE">
        <w:t xml:space="preserve"> and clinical setting </w:t>
      </w:r>
      <w:r>
        <w:t xml:space="preserve">are all different so no results </w:t>
      </w:r>
      <w:r w:rsidR="00B44BCD">
        <w:t xml:space="preserve">could </w:t>
      </w:r>
      <w:r>
        <w:t>be combined.</w:t>
      </w:r>
    </w:p>
    <w:p w14:paraId="1DDEEDAC" w14:textId="0A42579F" w:rsidR="00F2323B" w:rsidRDefault="00F2323B" w:rsidP="00C0509B">
      <w:pPr>
        <w:pStyle w:val="Heading3"/>
      </w:pPr>
      <w:bookmarkStart w:id="21" w:name="_Toc111754796"/>
      <w:r>
        <w:t>Myeloid NGS panel</w:t>
      </w:r>
      <w:bookmarkEnd w:id="21"/>
    </w:p>
    <w:p w14:paraId="3FDFC28E" w14:textId="6BB00343" w:rsidR="00B4015D" w:rsidRDefault="00B4015D" w:rsidP="00B4015D">
      <w:r w:rsidRPr="001E51D2">
        <w:t>The MSAC guidance indicates data should be summarised in tables with numbers only. However, given the complexities of the testing and the requirement to infer information</w:t>
      </w:r>
      <w:r>
        <w:t xml:space="preserve"> from the published data</w:t>
      </w:r>
      <w:r w:rsidRPr="001E51D2">
        <w:t xml:space="preserve"> to address the assessment question, it has been necessary to provide both a detailed summary and from that draw out the evidence to support the analysis, </w:t>
      </w:r>
      <w:r>
        <w:t>indicating</w:t>
      </w:r>
      <w:r w:rsidRPr="001E51D2">
        <w:t xml:space="preserve"> where</w:t>
      </w:r>
      <w:r>
        <w:t xml:space="preserve"> inferences and</w:t>
      </w:r>
      <w:r w:rsidRPr="001E51D2">
        <w:t xml:space="preserve"> assumptions have been made.</w:t>
      </w:r>
      <w:r>
        <w:t xml:space="preserve"> A summary of the key studies aligning the NGS panel criteria and usage are presented below, and the remainder in Section 2B Clinical Effectiveness.</w:t>
      </w:r>
    </w:p>
    <w:p w14:paraId="21BCFEB4" w14:textId="1CC202B2" w:rsidR="00B4015D" w:rsidRDefault="00B4015D" w:rsidP="00B4015D">
      <w:r>
        <w:t>In June 2022, two key articles were published: a summary of the changes to the myeloid malignancy classification proposed in the WHO HAEM5</w:t>
      </w:r>
      <w:r>
        <w:rPr>
          <w:rStyle w:val="FootnoteReference"/>
        </w:rPr>
        <w:footnoteReference w:id="15"/>
      </w:r>
      <w:r>
        <w:t>, and a new molecular prognostic score for MDS (IPSS-M) which dramatically alters the prior risk categories which were based on patient factors and bone marrow findings</w:t>
      </w:r>
      <w:r>
        <w:rPr>
          <w:rStyle w:val="FootnoteReference"/>
        </w:rPr>
        <w:footnoteReference w:id="16"/>
      </w:r>
      <w:r>
        <w:t xml:space="preserve"> – all the currently published studies are therefore, likely to underestimate the impact on the diagnostic change in all patients with myeloid malignancies, and the prognosis of NGS panel testing in MDS patients.</w:t>
      </w:r>
    </w:p>
    <w:p w14:paraId="45FE8815" w14:textId="0F37BB3B" w:rsidR="008C2714" w:rsidRDefault="0046000A" w:rsidP="004C1E49">
      <w:r w:rsidRPr="0024014A">
        <w:t>The search strategy conducted led to the identification of</w:t>
      </w:r>
      <w:r w:rsidR="009C3DB4" w:rsidRPr="0024014A">
        <w:t xml:space="preserve"> </w:t>
      </w:r>
      <w:r w:rsidR="000E55C0" w:rsidRPr="0024014A">
        <w:t>2</w:t>
      </w:r>
      <w:r w:rsidR="009C3DB4" w:rsidRPr="0024014A">
        <w:t>5</w:t>
      </w:r>
      <w:r w:rsidR="000F3597" w:rsidRPr="0024014A">
        <w:t xml:space="preserve"> studies </w:t>
      </w:r>
      <w:r w:rsidR="00C358F1" w:rsidRPr="0024014A">
        <w:t>that reported outcomes using</w:t>
      </w:r>
      <w:r w:rsidR="000F3597" w:rsidRPr="0024014A">
        <w:t xml:space="preserve"> myeloid NGS panels</w:t>
      </w:r>
      <w:r w:rsidR="00A04788" w:rsidRPr="0024014A">
        <w:t xml:space="preserve"> </w:t>
      </w:r>
      <w:r w:rsidR="000F3597" w:rsidRPr="0024014A">
        <w:t xml:space="preserve">of which 3 were considered key when matched to the checklist. </w:t>
      </w:r>
      <w:r w:rsidR="000E55C0" w:rsidRPr="0024014A">
        <w:t>Four</w:t>
      </w:r>
      <w:r w:rsidR="000F3597" w:rsidRPr="0024014A">
        <w:t xml:space="preserve"> studies were considered supportive</w:t>
      </w:r>
      <w:r w:rsidR="0024014A">
        <w:t xml:space="preserve"> of clinical utility</w:t>
      </w:r>
      <w:r w:rsidR="00E87B10">
        <w:t xml:space="preserve"> of NGS gene panel testing in myeloid </w:t>
      </w:r>
      <w:proofErr w:type="gramStart"/>
      <w:r w:rsidR="00E87B10">
        <w:t>malignancies,</w:t>
      </w:r>
      <w:r w:rsidR="0024014A">
        <w:t xml:space="preserve"> but</w:t>
      </w:r>
      <w:proofErr w:type="gramEnd"/>
      <w:r w:rsidR="0024014A">
        <w:t xml:space="preserve"> provided insufficient data to</w:t>
      </w:r>
      <w:r w:rsidR="000F3597" w:rsidRPr="0024014A">
        <w:t xml:space="preserve"> demonstrate cost-effectiveness</w:t>
      </w:r>
      <w:r w:rsidR="0024014A">
        <w:t xml:space="preserve">. </w:t>
      </w:r>
      <w:r w:rsidR="009C3DB4" w:rsidRPr="0024014A">
        <w:t>The remaining 17</w:t>
      </w:r>
      <w:r w:rsidR="00A04788" w:rsidRPr="0024014A">
        <w:t xml:space="preserve"> studies were excluded </w:t>
      </w:r>
      <w:r w:rsidR="0024014A" w:rsidRPr="0024014A">
        <w:t>during screening as the</w:t>
      </w:r>
      <w:r w:rsidR="00A04788" w:rsidRPr="0024014A">
        <w:t xml:space="preserve"> panels included</w:t>
      </w:r>
      <w:r w:rsidR="008C2714">
        <w:t>:</w:t>
      </w:r>
    </w:p>
    <w:p w14:paraId="3C0AD437" w14:textId="77777777" w:rsidR="008C2714" w:rsidRDefault="00A04788" w:rsidP="00B56755">
      <w:pPr>
        <w:pStyle w:val="ListParagraph"/>
        <w:numPr>
          <w:ilvl w:val="0"/>
          <w:numId w:val="22"/>
        </w:numPr>
      </w:pPr>
      <w:r w:rsidRPr="0024014A">
        <w:t>RNA and DNA analysis</w:t>
      </w:r>
      <w:r w:rsidR="00656069" w:rsidRPr="0024014A">
        <w:t xml:space="preserve"> (</w:t>
      </w:r>
      <w:r w:rsidR="008C2714">
        <w:t>8</w:t>
      </w:r>
      <w:r w:rsidR="00656069" w:rsidRPr="0024014A">
        <w:t>)</w:t>
      </w:r>
    </w:p>
    <w:p w14:paraId="67C4DDF1" w14:textId="1A54496D" w:rsidR="008C2714" w:rsidRDefault="008C2714" w:rsidP="00B56755">
      <w:pPr>
        <w:pStyle w:val="ListParagraph"/>
        <w:numPr>
          <w:ilvl w:val="0"/>
          <w:numId w:val="22"/>
        </w:numPr>
      </w:pPr>
      <w:r>
        <w:t>Larger number of genes</w:t>
      </w:r>
      <w:r w:rsidR="00A04788" w:rsidRPr="0024014A">
        <w:t xml:space="preserve"> than </w:t>
      </w:r>
      <w:r w:rsidR="00656069" w:rsidRPr="0024014A">
        <w:t xml:space="preserve">the </w:t>
      </w:r>
      <w:r w:rsidR="00A04788" w:rsidRPr="0024014A">
        <w:t>proposed</w:t>
      </w:r>
      <w:r w:rsidR="009C3DB4" w:rsidRPr="0024014A">
        <w:t xml:space="preserve"> </w:t>
      </w:r>
      <w:r w:rsidR="00656069" w:rsidRPr="0024014A">
        <w:t>minimum number of genes and/or number of exemplar genes</w:t>
      </w:r>
      <w:r>
        <w:t xml:space="preserve"> (6)</w:t>
      </w:r>
    </w:p>
    <w:p w14:paraId="7492BA85" w14:textId="2E919F62" w:rsidR="0071200A" w:rsidRDefault="008C2714" w:rsidP="00B56755">
      <w:pPr>
        <w:pStyle w:val="ListParagraph"/>
        <w:numPr>
          <w:ilvl w:val="0"/>
          <w:numId w:val="22"/>
        </w:numPr>
      </w:pPr>
      <w:r>
        <w:t>assessments of structural variants or copy number variants which are not currently proposed (2)</w:t>
      </w:r>
    </w:p>
    <w:p w14:paraId="2A5D619A" w14:textId="3CB7AD89" w:rsidR="0024014A" w:rsidRPr="0024014A" w:rsidRDefault="0071200A" w:rsidP="00B56755">
      <w:pPr>
        <w:pStyle w:val="ListParagraph"/>
        <w:numPr>
          <w:ilvl w:val="0"/>
          <w:numId w:val="22"/>
        </w:numPr>
      </w:pPr>
      <w:r>
        <w:t>insufficient data to assess</w:t>
      </w:r>
      <w:r w:rsidR="00A04788" w:rsidRPr="0024014A">
        <w:t xml:space="preserve"> the impact on </w:t>
      </w:r>
      <w:r w:rsidR="008C2714">
        <w:t>the diagnosis or management (1)</w:t>
      </w:r>
    </w:p>
    <w:p w14:paraId="7217CF4B" w14:textId="4DCEA2C6" w:rsidR="008267CE" w:rsidRPr="008267CE" w:rsidRDefault="009C3DB4" w:rsidP="008267CE">
      <w:r w:rsidRPr="0024014A">
        <w:t>As each study</w:t>
      </w:r>
      <w:r w:rsidR="00C0509B" w:rsidRPr="0024014A">
        <w:t xml:space="preserve"> </w:t>
      </w:r>
      <w:r w:rsidRPr="0024014A">
        <w:t>used either</w:t>
      </w:r>
      <w:r w:rsidR="00C0509B" w:rsidRPr="0024014A">
        <w:t xml:space="preserve"> a different NGS panel</w:t>
      </w:r>
      <w:r w:rsidRPr="0024014A">
        <w:t xml:space="preserve"> or enrolled different populations</w:t>
      </w:r>
      <w:r w:rsidR="00C0509B" w:rsidRPr="0024014A">
        <w:t xml:space="preserve"> and</w:t>
      </w:r>
      <w:r w:rsidRPr="0024014A">
        <w:t>/or</w:t>
      </w:r>
      <w:r w:rsidR="00C0509B" w:rsidRPr="0024014A">
        <w:t xml:space="preserve"> different malignancies</w:t>
      </w:r>
      <w:r w:rsidRPr="0024014A">
        <w:t>, the patients and outcomes from these studies cannot be pooled</w:t>
      </w:r>
      <w:r w:rsidR="00C0509B" w:rsidRPr="0024014A">
        <w:t>.</w:t>
      </w:r>
      <w:r w:rsidR="008267CE">
        <w:br w:type="page"/>
      </w:r>
    </w:p>
    <w:p w14:paraId="471CB08C" w14:textId="40074611" w:rsidR="000F3597" w:rsidRPr="00357E96" w:rsidRDefault="000F3597" w:rsidP="00357E96">
      <w:pPr>
        <w:pStyle w:val="Caption"/>
        <w:rPr>
          <w:bCs w:val="0"/>
        </w:rPr>
      </w:pPr>
      <w:r w:rsidRPr="00CE28E3">
        <w:t>Table</w:t>
      </w:r>
      <w:r>
        <w:t> </w:t>
      </w:r>
      <w:fldSimple w:instr=" SEQ Table \* ARABIC ">
        <w:r w:rsidR="00A165AD">
          <w:rPr>
            <w:noProof/>
          </w:rPr>
          <w:t>5</w:t>
        </w:r>
      </w:fldSimple>
      <w:r w:rsidRPr="00CE28E3">
        <w:tab/>
        <w:t xml:space="preserve">Key </w:t>
      </w:r>
      <w:r w:rsidR="00A04788">
        <w:t>studies providing</w:t>
      </w:r>
      <w:r w:rsidRPr="00CE28E3">
        <w:t xml:space="preserve"> </w:t>
      </w:r>
      <w:r w:rsidRPr="00AE16CA">
        <w:rPr>
          <w:rStyle w:val="TableHeadingChar"/>
          <w:b/>
          <w:bCs w:val="0"/>
        </w:rPr>
        <w:t>evidence for</w:t>
      </w:r>
      <w:r w:rsidR="00A04788">
        <w:rPr>
          <w:rStyle w:val="TableHeadingChar"/>
          <w:b/>
          <w:bCs w:val="0"/>
        </w:rPr>
        <w:t xml:space="preserve"> the clinical and cost-effectiveness of</w:t>
      </w:r>
      <w:r w:rsidRPr="00AE16CA">
        <w:rPr>
          <w:rStyle w:val="TableHeadingChar"/>
          <w:b/>
          <w:bCs w:val="0"/>
        </w:rPr>
        <w:t xml:space="preserve"> </w:t>
      </w:r>
      <w:r>
        <w:rPr>
          <w:rStyle w:val="TableHeadingChar"/>
          <w:b/>
          <w:bCs w:val="0"/>
        </w:rPr>
        <w:t xml:space="preserve">myeloid </w:t>
      </w:r>
      <w:r w:rsidRPr="00AE16CA">
        <w:rPr>
          <w:rStyle w:val="TableHeadingChar"/>
          <w:b/>
          <w:bCs w:val="0"/>
        </w:rPr>
        <w:t xml:space="preserve">NGS panel testing in </w:t>
      </w:r>
      <w:r w:rsidR="00357E96">
        <w:rPr>
          <w:rStyle w:val="TableHeadingChar"/>
          <w:b/>
          <w:bCs w:val="0"/>
        </w:rPr>
        <w:t xml:space="preserve">patients with a suspected </w:t>
      </w:r>
      <w:r w:rsidRPr="00AE16CA">
        <w:rPr>
          <w:rStyle w:val="TableHeadingChar"/>
          <w:b/>
          <w:bCs w:val="0"/>
        </w:rPr>
        <w:t>haematological malignanc</w:t>
      </w:r>
      <w:r w:rsidR="00357E96">
        <w:rPr>
          <w:rStyle w:val="TableHeadingChar"/>
          <w:b/>
          <w:bCs w:val="0"/>
        </w:rPr>
        <w:t>y of myeloid lineage</w:t>
      </w:r>
    </w:p>
    <w:tbl>
      <w:tblPr>
        <w:tblStyle w:val="TableGrid"/>
        <w:tblW w:w="0" w:type="auto"/>
        <w:tblCellMar>
          <w:left w:w="28" w:type="dxa"/>
          <w:right w:w="28" w:type="dxa"/>
        </w:tblCellMar>
        <w:tblLook w:val="04A0" w:firstRow="1" w:lastRow="0" w:firstColumn="1" w:lastColumn="0" w:noHBand="0" w:noVBand="1"/>
      </w:tblPr>
      <w:tblGrid>
        <w:gridCol w:w="889"/>
        <w:gridCol w:w="1448"/>
        <w:gridCol w:w="1086"/>
        <w:gridCol w:w="1557"/>
        <w:gridCol w:w="685"/>
        <w:gridCol w:w="3351"/>
      </w:tblGrid>
      <w:tr w:rsidR="00EF546E" w14:paraId="261A4A81" w14:textId="77777777" w:rsidTr="00CA1113">
        <w:trPr>
          <w:tblHeader/>
        </w:trPr>
        <w:tc>
          <w:tcPr>
            <w:tcW w:w="0" w:type="auto"/>
          </w:tcPr>
          <w:p w14:paraId="644C3297" w14:textId="77777777" w:rsidR="00EF546E" w:rsidRDefault="00EF546E" w:rsidP="00020E89">
            <w:pPr>
              <w:pStyle w:val="TableHeading0"/>
              <w:keepNext/>
              <w:rPr>
                <w:lang w:val="en-GB"/>
              </w:rPr>
            </w:pPr>
            <w:r>
              <w:rPr>
                <w:lang w:val="en-GB"/>
              </w:rPr>
              <w:t>Authors</w:t>
            </w:r>
          </w:p>
        </w:tc>
        <w:tc>
          <w:tcPr>
            <w:tcW w:w="1448" w:type="dxa"/>
          </w:tcPr>
          <w:p w14:paraId="5A3DC849" w14:textId="77777777" w:rsidR="00EF546E" w:rsidRDefault="00EF546E" w:rsidP="00020E89">
            <w:pPr>
              <w:pStyle w:val="TableHeading0"/>
              <w:keepNext/>
              <w:rPr>
                <w:lang w:val="en-GB"/>
              </w:rPr>
            </w:pPr>
            <w:r>
              <w:rPr>
                <w:lang w:val="en-GB"/>
              </w:rPr>
              <w:t>Risk of bias</w:t>
            </w:r>
          </w:p>
        </w:tc>
        <w:tc>
          <w:tcPr>
            <w:tcW w:w="1086" w:type="dxa"/>
          </w:tcPr>
          <w:p w14:paraId="0F3974E9" w14:textId="77777777" w:rsidR="00EF546E" w:rsidRDefault="00EF546E" w:rsidP="00020E89">
            <w:pPr>
              <w:pStyle w:val="TableHeading0"/>
              <w:keepNext/>
              <w:rPr>
                <w:lang w:val="en-GB"/>
              </w:rPr>
            </w:pPr>
            <w:r>
              <w:rPr>
                <w:lang w:val="en-GB"/>
              </w:rPr>
              <w:t>NGS gene panel size; DNA or RNA analysis</w:t>
            </w:r>
          </w:p>
        </w:tc>
        <w:tc>
          <w:tcPr>
            <w:tcW w:w="0" w:type="auto"/>
          </w:tcPr>
          <w:p w14:paraId="2A46C0B3" w14:textId="77777777" w:rsidR="00EF546E" w:rsidRDefault="00EF546E" w:rsidP="00020E89">
            <w:pPr>
              <w:pStyle w:val="TableHeading0"/>
              <w:keepNext/>
              <w:rPr>
                <w:lang w:val="en-GB"/>
              </w:rPr>
            </w:pPr>
            <w:r>
              <w:rPr>
                <w:lang w:val="en-GB"/>
              </w:rPr>
              <w:t>Conditions</w:t>
            </w:r>
          </w:p>
        </w:tc>
        <w:tc>
          <w:tcPr>
            <w:tcW w:w="401" w:type="dxa"/>
          </w:tcPr>
          <w:p w14:paraId="775B5363" w14:textId="77777777" w:rsidR="00EF546E" w:rsidRDefault="00EF546E" w:rsidP="00020E89">
            <w:pPr>
              <w:pStyle w:val="TableHeading0"/>
              <w:keepNext/>
              <w:rPr>
                <w:lang w:val="en-GB"/>
              </w:rPr>
            </w:pPr>
            <w:r>
              <w:rPr>
                <w:lang w:val="en-GB"/>
              </w:rPr>
              <w:t>Number of patients</w:t>
            </w:r>
          </w:p>
        </w:tc>
        <w:tc>
          <w:tcPr>
            <w:tcW w:w="3351" w:type="dxa"/>
          </w:tcPr>
          <w:p w14:paraId="059AFE4C" w14:textId="77777777" w:rsidR="00EF546E" w:rsidRDefault="00EF546E" w:rsidP="00020E89">
            <w:pPr>
              <w:pStyle w:val="TableHeading0"/>
              <w:keepNext/>
              <w:rPr>
                <w:lang w:val="en-GB"/>
              </w:rPr>
            </w:pPr>
            <w:r>
              <w:rPr>
                <w:lang w:val="en-GB"/>
              </w:rPr>
              <w:t>Comments on generalisability to proposed testing</w:t>
            </w:r>
          </w:p>
        </w:tc>
      </w:tr>
      <w:tr w:rsidR="00EF546E" w14:paraId="44744C43" w14:textId="77777777" w:rsidTr="00D10261">
        <w:tc>
          <w:tcPr>
            <w:tcW w:w="0" w:type="auto"/>
            <w:gridSpan w:val="6"/>
          </w:tcPr>
          <w:p w14:paraId="59A906BC" w14:textId="77777777" w:rsidR="00EF546E" w:rsidRDefault="00EF546E" w:rsidP="00FB0A03">
            <w:pPr>
              <w:pStyle w:val="Tabletext0"/>
              <w:rPr>
                <w:lang w:val="en-GB"/>
              </w:rPr>
            </w:pPr>
            <w:r>
              <w:rPr>
                <w:lang w:val="en-GB"/>
              </w:rPr>
              <w:t>Studies providing evidence in support of NGS panel testing in myeloid malignancies</w:t>
            </w:r>
          </w:p>
        </w:tc>
      </w:tr>
      <w:tr w:rsidR="00077652" w14:paraId="0A29E76E" w14:textId="77777777" w:rsidTr="00D10261">
        <w:tc>
          <w:tcPr>
            <w:tcW w:w="0" w:type="auto"/>
          </w:tcPr>
          <w:p w14:paraId="3C9E8ABF" w14:textId="681677BC" w:rsidR="00077652" w:rsidRDefault="00077652" w:rsidP="00077652">
            <w:pPr>
              <w:pStyle w:val="Tabletext0"/>
              <w:rPr>
                <w:lang w:val="en-GB"/>
              </w:rPr>
            </w:pPr>
            <w:r>
              <w:rPr>
                <w:lang w:val="en-GB"/>
              </w:rPr>
              <w:t>Patel 2021</w:t>
            </w:r>
            <w:r>
              <w:t xml:space="preserve"> </w:t>
            </w:r>
          </w:p>
        </w:tc>
        <w:tc>
          <w:tcPr>
            <w:tcW w:w="1448" w:type="dxa"/>
          </w:tcPr>
          <w:p w14:paraId="293D8426" w14:textId="77777777" w:rsidR="00077652" w:rsidRDefault="00077652" w:rsidP="00077652">
            <w:pPr>
              <w:pStyle w:val="Tabletext0"/>
              <w:rPr>
                <w:lang w:val="en-GB"/>
              </w:rPr>
            </w:pPr>
            <w:r>
              <w:rPr>
                <w:lang w:val="en-GB"/>
              </w:rPr>
              <w:t>Prospective case series,</w:t>
            </w:r>
          </w:p>
          <w:p w14:paraId="38037993" w14:textId="77777777" w:rsidR="00077652" w:rsidRDefault="00077652" w:rsidP="00077652">
            <w:pPr>
              <w:pStyle w:val="Tabletext0"/>
              <w:rPr>
                <w:lang w:val="en-GB"/>
              </w:rPr>
            </w:pPr>
            <w:r>
              <w:rPr>
                <w:lang w:val="en-GB"/>
              </w:rPr>
              <w:t>0bservational study</w:t>
            </w:r>
          </w:p>
          <w:p w14:paraId="785BD916" w14:textId="77777777" w:rsidR="00077652" w:rsidRDefault="00077652" w:rsidP="00077652">
            <w:pPr>
              <w:pStyle w:val="Tabletext0"/>
              <w:rPr>
                <w:lang w:val="en-GB"/>
              </w:rPr>
            </w:pPr>
            <w:r>
              <w:rPr>
                <w:lang w:val="en-GB"/>
              </w:rPr>
              <w:t>Moderate risk of bias (10/15</w:t>
            </w:r>
          </w:p>
          <w:p w14:paraId="76A41547" w14:textId="77777777" w:rsidR="00077652" w:rsidRDefault="00077652" w:rsidP="00077652">
            <w:pPr>
              <w:pStyle w:val="Tabletext0"/>
              <w:rPr>
                <w:lang w:val="en-GB"/>
              </w:rPr>
            </w:pPr>
            <w:r>
              <w:rPr>
                <w:lang w:val="en-GB"/>
              </w:rPr>
              <w:t xml:space="preserve">on modified  </w:t>
            </w:r>
            <w:hyperlink r:id="rId17" w:history="1">
              <w:r w:rsidRPr="00B430B0">
                <w:rPr>
                  <w:rStyle w:val="Hyperlink"/>
                  <w:rFonts w:eastAsiaTheme="majorEastAsia"/>
                  <w:lang w:val="en-GB"/>
                </w:rPr>
                <w:t>IHE case series checklist</w:t>
              </w:r>
            </w:hyperlink>
            <w:r>
              <w:rPr>
                <w:lang w:val="en-GB"/>
              </w:rPr>
              <w:t>)</w:t>
            </w:r>
          </w:p>
        </w:tc>
        <w:tc>
          <w:tcPr>
            <w:tcW w:w="1086" w:type="dxa"/>
          </w:tcPr>
          <w:p w14:paraId="69C6C297" w14:textId="0C3BD315" w:rsidR="00077652" w:rsidRDefault="00077652" w:rsidP="00077652">
            <w:pPr>
              <w:pStyle w:val="Tabletext0"/>
              <w:rPr>
                <w:lang w:val="en-GB"/>
              </w:rPr>
            </w:pPr>
            <w:r>
              <w:rPr>
                <w:lang w:val="en-GB"/>
              </w:rPr>
              <w:t>37 genes</w:t>
            </w:r>
          </w:p>
        </w:tc>
        <w:tc>
          <w:tcPr>
            <w:tcW w:w="0" w:type="auto"/>
          </w:tcPr>
          <w:p w14:paraId="7ECAE654" w14:textId="77777777" w:rsidR="00077652" w:rsidRDefault="00077652" w:rsidP="00077652">
            <w:pPr>
              <w:pStyle w:val="Tabletext0"/>
              <w:rPr>
                <w:lang w:val="en-GB"/>
              </w:rPr>
            </w:pPr>
            <w:r>
              <w:rPr>
                <w:lang w:val="en-GB"/>
              </w:rPr>
              <w:t>Myeloid neoplasms</w:t>
            </w:r>
          </w:p>
          <w:p w14:paraId="48F31B94" w14:textId="77777777" w:rsidR="00077652" w:rsidRDefault="00077652" w:rsidP="00077652">
            <w:pPr>
              <w:pStyle w:val="Tabletext0"/>
              <w:rPr>
                <w:lang w:val="en-GB"/>
              </w:rPr>
            </w:pPr>
          </w:p>
          <w:p w14:paraId="09240136" w14:textId="3175C85F" w:rsidR="00077652" w:rsidRDefault="00077652" w:rsidP="00077652">
            <w:pPr>
              <w:pStyle w:val="Tabletext0"/>
              <w:rPr>
                <w:lang w:val="en-GB"/>
              </w:rPr>
            </w:pPr>
            <w:r>
              <w:rPr>
                <w:lang w:val="en-GB"/>
              </w:rPr>
              <w:t>Consecutive enrolment patients with suspected haem malignancies</w:t>
            </w:r>
          </w:p>
        </w:tc>
        <w:tc>
          <w:tcPr>
            <w:tcW w:w="401" w:type="dxa"/>
          </w:tcPr>
          <w:p w14:paraId="454F2CBD" w14:textId="772CE458" w:rsidR="00077652" w:rsidRDefault="00077652" w:rsidP="00077652">
            <w:pPr>
              <w:pStyle w:val="Tabletext0"/>
              <w:rPr>
                <w:lang w:val="en-GB"/>
              </w:rPr>
            </w:pPr>
            <w:r>
              <w:rPr>
                <w:lang w:val="en-GB"/>
              </w:rPr>
              <w:t>343</w:t>
            </w:r>
          </w:p>
        </w:tc>
        <w:tc>
          <w:tcPr>
            <w:tcW w:w="3351" w:type="dxa"/>
          </w:tcPr>
          <w:p w14:paraId="4CE8A492" w14:textId="77777777" w:rsidR="00077652" w:rsidRDefault="00077652" w:rsidP="00077652">
            <w:pPr>
              <w:pStyle w:val="Tabletext0"/>
              <w:rPr>
                <w:lang w:val="en-GB"/>
              </w:rPr>
            </w:pPr>
            <w:r>
              <w:rPr>
                <w:lang w:val="en-GB"/>
              </w:rPr>
              <w:t>Larger gene panel than minimum proposed but within proposed size (included 8 genes not in proposed list)</w:t>
            </w:r>
          </w:p>
          <w:p w14:paraId="13FE61EA" w14:textId="77777777" w:rsidR="00077652" w:rsidRDefault="00077652" w:rsidP="00077652">
            <w:pPr>
              <w:pStyle w:val="Tabletext0"/>
              <w:rPr>
                <w:lang w:val="en-GB"/>
              </w:rPr>
            </w:pPr>
            <w:r>
              <w:rPr>
                <w:lang w:val="en-GB"/>
              </w:rPr>
              <w:t>Consecutive enrolment, included follow-up with OS analysis</w:t>
            </w:r>
          </w:p>
          <w:p w14:paraId="20FEFE90" w14:textId="77777777" w:rsidR="00077652" w:rsidRDefault="00077652" w:rsidP="00077652">
            <w:pPr>
              <w:pStyle w:val="Tabletext0"/>
              <w:rPr>
                <w:lang w:val="en-GB"/>
              </w:rPr>
            </w:pPr>
            <w:r>
              <w:rPr>
                <w:lang w:val="en-GB"/>
              </w:rPr>
              <w:t>Demonstrates NGS used for diagnosis, prognosis, treatment selection – no reporting of potential germline variant testing</w:t>
            </w:r>
          </w:p>
          <w:p w14:paraId="7909DB2B" w14:textId="7178A8C2" w:rsidR="00077652" w:rsidRDefault="00077652" w:rsidP="00077652">
            <w:pPr>
              <w:pStyle w:val="Tabletext0"/>
              <w:rPr>
                <w:lang w:val="en-GB"/>
              </w:rPr>
            </w:pPr>
            <w:r>
              <w:rPr>
                <w:lang w:val="en-GB"/>
              </w:rPr>
              <w:t xml:space="preserve">Real world estimate of impact with time taken for NGS </w:t>
            </w:r>
          </w:p>
        </w:tc>
      </w:tr>
      <w:tr w:rsidR="00077652" w14:paraId="58FBA908" w14:textId="77777777" w:rsidTr="00D10261">
        <w:tc>
          <w:tcPr>
            <w:tcW w:w="0" w:type="auto"/>
          </w:tcPr>
          <w:p w14:paraId="04A00A8E" w14:textId="40FC5511" w:rsidR="00077652" w:rsidRDefault="00077652" w:rsidP="00077652">
            <w:pPr>
              <w:pStyle w:val="Tabletext0"/>
              <w:rPr>
                <w:lang w:val="en-GB"/>
              </w:rPr>
            </w:pPr>
            <w:r>
              <w:rPr>
                <w:lang w:val="en-GB"/>
              </w:rPr>
              <w:t>*Carbonell et al (2019)</w:t>
            </w:r>
            <w:r>
              <w:t xml:space="preserve"> </w:t>
            </w:r>
          </w:p>
        </w:tc>
        <w:tc>
          <w:tcPr>
            <w:tcW w:w="1448" w:type="dxa"/>
          </w:tcPr>
          <w:p w14:paraId="0AC1A7C8" w14:textId="77777777" w:rsidR="00077652" w:rsidRDefault="00077652" w:rsidP="00077652">
            <w:pPr>
              <w:pStyle w:val="Tabletext0"/>
              <w:rPr>
                <w:lang w:val="en-GB"/>
              </w:rPr>
            </w:pPr>
            <w:r>
              <w:rPr>
                <w:lang w:val="en-GB"/>
              </w:rPr>
              <w:t>Retrospective case series</w:t>
            </w:r>
          </w:p>
          <w:p w14:paraId="424E4DFE" w14:textId="77777777" w:rsidR="00077652" w:rsidRDefault="00077652" w:rsidP="00077652">
            <w:pPr>
              <w:pStyle w:val="Tabletext0"/>
              <w:rPr>
                <w:lang w:val="en-GB"/>
              </w:rPr>
            </w:pPr>
            <w:r>
              <w:rPr>
                <w:lang w:val="en-GB"/>
              </w:rPr>
              <w:t>Moderate risk of bias (11/14</w:t>
            </w:r>
          </w:p>
          <w:p w14:paraId="5112D4CD" w14:textId="77777777" w:rsidR="00077652" w:rsidRDefault="00077652" w:rsidP="00077652">
            <w:pPr>
              <w:pStyle w:val="Tabletext0"/>
              <w:rPr>
                <w:lang w:val="en-GB"/>
              </w:rPr>
            </w:pPr>
            <w:r>
              <w:rPr>
                <w:lang w:val="en-GB"/>
              </w:rPr>
              <w:t xml:space="preserve"> on HTA Group - modified  </w:t>
            </w:r>
            <w:hyperlink r:id="rId18" w:history="1">
              <w:r w:rsidRPr="00B430B0">
                <w:rPr>
                  <w:rStyle w:val="Hyperlink"/>
                  <w:rFonts w:eastAsiaTheme="majorEastAsia"/>
                  <w:lang w:val="en-GB"/>
                </w:rPr>
                <w:t>IHE case series checklist</w:t>
              </w:r>
            </w:hyperlink>
            <w:r>
              <w:rPr>
                <w:lang w:val="en-GB"/>
              </w:rPr>
              <w:t>)</w:t>
            </w:r>
          </w:p>
        </w:tc>
        <w:tc>
          <w:tcPr>
            <w:tcW w:w="1086" w:type="dxa"/>
          </w:tcPr>
          <w:p w14:paraId="2C6F4687" w14:textId="28610849" w:rsidR="00077652" w:rsidRDefault="00077652" w:rsidP="00077652">
            <w:pPr>
              <w:pStyle w:val="Tabletext0"/>
              <w:rPr>
                <w:lang w:val="en-GB"/>
              </w:rPr>
            </w:pPr>
            <w:r>
              <w:rPr>
                <w:lang w:val="en-GB"/>
              </w:rPr>
              <w:t>54 genes</w:t>
            </w:r>
          </w:p>
        </w:tc>
        <w:tc>
          <w:tcPr>
            <w:tcW w:w="0" w:type="auto"/>
          </w:tcPr>
          <w:p w14:paraId="374AE623" w14:textId="77777777" w:rsidR="00077652" w:rsidRDefault="00077652" w:rsidP="00077652">
            <w:pPr>
              <w:pStyle w:val="Tabletext0"/>
              <w:rPr>
                <w:lang w:val="en-GB"/>
              </w:rPr>
            </w:pPr>
            <w:r>
              <w:rPr>
                <w:lang w:val="en-GB"/>
              </w:rPr>
              <w:t>Myeloid neoplasms</w:t>
            </w:r>
          </w:p>
          <w:p w14:paraId="4F6BA50E" w14:textId="77777777" w:rsidR="00077652" w:rsidRDefault="00077652" w:rsidP="00077652">
            <w:pPr>
              <w:pStyle w:val="Tabletext0"/>
              <w:rPr>
                <w:lang w:val="en-GB"/>
              </w:rPr>
            </w:pPr>
            <w:r>
              <w:rPr>
                <w:lang w:val="en-GB"/>
              </w:rPr>
              <w:t>Consecutive enrolment AML, PMF</w:t>
            </w:r>
          </w:p>
          <w:p w14:paraId="43F17C70" w14:textId="6FA7E9D7" w:rsidR="00077652" w:rsidRDefault="00077652" w:rsidP="00077652">
            <w:pPr>
              <w:pStyle w:val="Tabletext0"/>
              <w:rPr>
                <w:lang w:val="en-GB"/>
              </w:rPr>
            </w:pPr>
            <w:r>
              <w:rPr>
                <w:lang w:val="en-GB"/>
              </w:rPr>
              <w:t>Selective enrolment MDS, MPNs if likely to change management</w:t>
            </w:r>
          </w:p>
        </w:tc>
        <w:tc>
          <w:tcPr>
            <w:tcW w:w="401" w:type="dxa"/>
          </w:tcPr>
          <w:p w14:paraId="223FB4E6" w14:textId="7B229E39" w:rsidR="00077652" w:rsidRDefault="00077652" w:rsidP="00077652">
            <w:pPr>
              <w:pStyle w:val="Tabletext0"/>
              <w:rPr>
                <w:lang w:val="en-GB"/>
              </w:rPr>
            </w:pPr>
            <w:r>
              <w:rPr>
                <w:lang w:val="en-GB"/>
              </w:rPr>
              <w:t>121</w:t>
            </w:r>
          </w:p>
        </w:tc>
        <w:tc>
          <w:tcPr>
            <w:tcW w:w="3351" w:type="dxa"/>
          </w:tcPr>
          <w:p w14:paraId="3CE4EB44" w14:textId="77777777" w:rsidR="00077652" w:rsidRDefault="00077652" w:rsidP="00077652">
            <w:pPr>
              <w:pStyle w:val="Tabletext0"/>
              <w:rPr>
                <w:lang w:val="en-GB"/>
              </w:rPr>
            </w:pPr>
            <w:r>
              <w:rPr>
                <w:lang w:val="en-GB"/>
              </w:rPr>
              <w:t>Larger gene panel than proposed (included 20 genes not in proposed list)</w:t>
            </w:r>
          </w:p>
          <w:p w14:paraId="35225949" w14:textId="77777777" w:rsidR="00077652" w:rsidRDefault="00077652" w:rsidP="00077652">
            <w:pPr>
              <w:pStyle w:val="Tabletext0"/>
              <w:rPr>
                <w:lang w:val="en-GB"/>
              </w:rPr>
            </w:pPr>
            <w:r>
              <w:rPr>
                <w:lang w:val="en-GB"/>
              </w:rPr>
              <w:t xml:space="preserve">Variants detected in 39 genes </w:t>
            </w:r>
          </w:p>
          <w:p w14:paraId="01C8073C" w14:textId="77777777" w:rsidR="00077652" w:rsidRDefault="00077652" w:rsidP="00077652">
            <w:pPr>
              <w:pStyle w:val="Tabletext0"/>
              <w:rPr>
                <w:lang w:val="en-GB"/>
              </w:rPr>
            </w:pPr>
            <w:r>
              <w:rPr>
                <w:lang w:val="en-GB"/>
              </w:rPr>
              <w:t>Had access to germline testing for followup which changed management</w:t>
            </w:r>
          </w:p>
          <w:p w14:paraId="71CA47BC" w14:textId="38D90CB2" w:rsidR="00077652" w:rsidRDefault="00077652" w:rsidP="00077652">
            <w:pPr>
              <w:pStyle w:val="Tabletext0"/>
              <w:rPr>
                <w:lang w:val="en-GB"/>
              </w:rPr>
            </w:pPr>
            <w:r>
              <w:rPr>
                <w:lang w:val="en-GB"/>
              </w:rPr>
              <w:t>May underestimate impact on diagnosis, prognosis</w:t>
            </w:r>
          </w:p>
          <w:p w14:paraId="7F180EC5" w14:textId="782EE750" w:rsidR="00077652" w:rsidRDefault="00077652" w:rsidP="00077652">
            <w:pPr>
              <w:pStyle w:val="Tabletext0"/>
              <w:rPr>
                <w:lang w:val="en-GB"/>
              </w:rPr>
            </w:pPr>
            <w:r>
              <w:rPr>
                <w:lang w:val="en-GB"/>
              </w:rPr>
              <w:t>Compared testing in AML at diagnosis and relapse in 10 patients</w:t>
            </w:r>
          </w:p>
        </w:tc>
      </w:tr>
      <w:tr w:rsidR="00077652" w14:paraId="10BC0996" w14:textId="77777777" w:rsidTr="00D10261">
        <w:tc>
          <w:tcPr>
            <w:tcW w:w="0" w:type="auto"/>
          </w:tcPr>
          <w:p w14:paraId="49906F59" w14:textId="2B584AFD" w:rsidR="00077652" w:rsidRDefault="00077652" w:rsidP="00077652">
            <w:pPr>
              <w:pStyle w:val="Tabletext0"/>
              <w:rPr>
                <w:lang w:val="en-GB"/>
              </w:rPr>
            </w:pPr>
            <w:r>
              <w:rPr>
                <w:lang w:val="en-GB"/>
              </w:rPr>
              <w:t>Rosenthal et al (2021)</w:t>
            </w:r>
            <w:r>
              <w:t xml:space="preserve"> </w:t>
            </w:r>
          </w:p>
        </w:tc>
        <w:tc>
          <w:tcPr>
            <w:tcW w:w="1448" w:type="dxa"/>
          </w:tcPr>
          <w:p w14:paraId="450C8232" w14:textId="7643E1A5" w:rsidR="00077652" w:rsidRDefault="00077652" w:rsidP="00077652">
            <w:pPr>
              <w:pStyle w:val="Tabletext0"/>
              <w:rPr>
                <w:lang w:val="en-GB"/>
              </w:rPr>
            </w:pPr>
            <w:r>
              <w:rPr>
                <w:lang w:val="en-GB"/>
              </w:rPr>
              <w:t>Retrospective case series</w:t>
            </w:r>
          </w:p>
          <w:p w14:paraId="0BEBA257" w14:textId="7FE26F8C" w:rsidR="00077652" w:rsidRDefault="00177AFC" w:rsidP="00077652">
            <w:pPr>
              <w:pStyle w:val="Tabletext0"/>
              <w:rPr>
                <w:lang w:val="en-GB"/>
              </w:rPr>
            </w:pPr>
            <w:r>
              <w:rPr>
                <w:lang w:val="en-GB"/>
              </w:rPr>
              <w:t>High</w:t>
            </w:r>
            <w:r w:rsidR="00077652">
              <w:rPr>
                <w:lang w:val="en-GB"/>
              </w:rPr>
              <w:t xml:space="preserve"> risk of bias (</w:t>
            </w:r>
            <w:r>
              <w:rPr>
                <w:lang w:val="en-GB"/>
              </w:rPr>
              <w:t>3/15</w:t>
            </w:r>
          </w:p>
          <w:p w14:paraId="12CEEBBB" w14:textId="77777777" w:rsidR="00077652" w:rsidRDefault="00077652" w:rsidP="00077652">
            <w:pPr>
              <w:pStyle w:val="Tabletext0"/>
              <w:rPr>
                <w:lang w:val="en-GB"/>
              </w:rPr>
            </w:pPr>
            <w:r>
              <w:rPr>
                <w:lang w:val="en-GB"/>
              </w:rPr>
              <w:t xml:space="preserve">on HTA Group - modified  </w:t>
            </w:r>
            <w:hyperlink r:id="rId19" w:history="1">
              <w:r w:rsidRPr="00B430B0">
                <w:rPr>
                  <w:rStyle w:val="Hyperlink"/>
                  <w:rFonts w:eastAsiaTheme="majorEastAsia"/>
                  <w:lang w:val="en-GB"/>
                </w:rPr>
                <w:t>IHE case series checklist</w:t>
              </w:r>
            </w:hyperlink>
            <w:r>
              <w:rPr>
                <w:lang w:val="en-GB"/>
              </w:rPr>
              <w:t>)</w:t>
            </w:r>
          </w:p>
          <w:p w14:paraId="2E308910" w14:textId="77777777" w:rsidR="00177AFC" w:rsidRDefault="00177AFC" w:rsidP="00077652">
            <w:pPr>
              <w:pStyle w:val="Tabletext0"/>
              <w:rPr>
                <w:lang w:val="en-GB"/>
              </w:rPr>
            </w:pPr>
          </w:p>
          <w:p w14:paraId="69BFA5D7" w14:textId="47844F3D" w:rsidR="00177AFC" w:rsidRDefault="00177AFC" w:rsidP="00077652">
            <w:pPr>
              <w:pStyle w:val="Tabletext0"/>
              <w:rPr>
                <w:lang w:val="en-GB"/>
              </w:rPr>
            </w:pPr>
            <w:r>
              <w:rPr>
                <w:lang w:val="en-GB"/>
              </w:rPr>
              <w:t>See Appendix D</w:t>
            </w:r>
            <w:r w:rsidR="00061B0E">
              <w:rPr>
                <w:lang w:val="en-GB"/>
              </w:rPr>
              <w:t xml:space="preserve"> Evidence Profile Tables</w:t>
            </w:r>
          </w:p>
        </w:tc>
        <w:tc>
          <w:tcPr>
            <w:tcW w:w="1086" w:type="dxa"/>
          </w:tcPr>
          <w:p w14:paraId="4491FE1C" w14:textId="77777777" w:rsidR="00077652" w:rsidRDefault="00077652" w:rsidP="00077652">
            <w:pPr>
              <w:pStyle w:val="Tabletext0"/>
              <w:rPr>
                <w:lang w:val="en-GB"/>
              </w:rPr>
            </w:pPr>
            <w:r>
              <w:rPr>
                <w:lang w:val="en-GB"/>
              </w:rPr>
              <w:t>48 genes in total</w:t>
            </w:r>
          </w:p>
          <w:p w14:paraId="39DA3F8B" w14:textId="77777777" w:rsidR="00E23360" w:rsidRDefault="00077652" w:rsidP="00077652">
            <w:pPr>
              <w:pStyle w:val="Tabletext0"/>
              <w:rPr>
                <w:lang w:val="en-GB"/>
              </w:rPr>
            </w:pPr>
            <w:r>
              <w:rPr>
                <w:lang w:val="en-GB"/>
              </w:rPr>
              <w:t>47 analysed by NGS pane</w:t>
            </w:r>
          </w:p>
          <w:p w14:paraId="4DA729D2" w14:textId="14918F0F" w:rsidR="00077652" w:rsidRDefault="00E23360" w:rsidP="00077652">
            <w:pPr>
              <w:pStyle w:val="Tabletext0"/>
              <w:rPr>
                <w:lang w:val="en-GB"/>
              </w:rPr>
            </w:pPr>
            <w:r w:rsidRPr="00E23360">
              <w:rPr>
                <w:i/>
                <w:iCs/>
                <w:lang w:val="en-GB"/>
              </w:rPr>
              <w:t>FLT3</w:t>
            </w:r>
            <w:r>
              <w:rPr>
                <w:lang w:val="en-GB"/>
              </w:rPr>
              <w:t>-ITD by PCR</w:t>
            </w:r>
          </w:p>
        </w:tc>
        <w:tc>
          <w:tcPr>
            <w:tcW w:w="0" w:type="auto"/>
          </w:tcPr>
          <w:p w14:paraId="351F282D" w14:textId="77777777" w:rsidR="00077652" w:rsidRDefault="00077652" w:rsidP="00077652">
            <w:pPr>
              <w:pStyle w:val="Tabletext0"/>
              <w:rPr>
                <w:lang w:val="en-GB"/>
              </w:rPr>
            </w:pPr>
            <w:r>
              <w:rPr>
                <w:lang w:val="en-GB"/>
              </w:rPr>
              <w:t>Myeloid neoplasms</w:t>
            </w:r>
          </w:p>
          <w:p w14:paraId="07551A45" w14:textId="77777777" w:rsidR="00077652" w:rsidRDefault="00077652" w:rsidP="00077652">
            <w:pPr>
              <w:pStyle w:val="Tabletext0"/>
              <w:rPr>
                <w:lang w:val="en-GB"/>
              </w:rPr>
            </w:pPr>
          </w:p>
          <w:p w14:paraId="20FC4F1B" w14:textId="1BAA0DFB" w:rsidR="00077652" w:rsidRDefault="00077652" w:rsidP="00077652">
            <w:pPr>
              <w:pStyle w:val="Tabletext0"/>
              <w:rPr>
                <w:lang w:val="en-GB"/>
              </w:rPr>
            </w:pPr>
            <w:r>
              <w:rPr>
                <w:lang w:val="en-GB"/>
              </w:rPr>
              <w:t>Consecutive enrolment of de-identified specimens from patients with AML, MDS, MPN</w:t>
            </w:r>
            <w:r w:rsidR="00F16E54">
              <w:rPr>
                <w:lang w:val="en-GB"/>
              </w:rPr>
              <w:t xml:space="preserve"> referred for NGS testing</w:t>
            </w:r>
          </w:p>
        </w:tc>
        <w:tc>
          <w:tcPr>
            <w:tcW w:w="401" w:type="dxa"/>
          </w:tcPr>
          <w:p w14:paraId="3EFF9C85" w14:textId="77777777" w:rsidR="00077652" w:rsidRDefault="00077652" w:rsidP="00077652">
            <w:pPr>
              <w:pStyle w:val="Tabletext0"/>
              <w:rPr>
                <w:lang w:val="en-GB"/>
              </w:rPr>
            </w:pPr>
            <w:r>
              <w:rPr>
                <w:lang w:val="en-GB"/>
              </w:rPr>
              <w:t>2053</w:t>
            </w:r>
          </w:p>
          <w:p w14:paraId="0A739548" w14:textId="5C839533" w:rsidR="00077652" w:rsidRDefault="00077652" w:rsidP="00077652">
            <w:pPr>
              <w:pStyle w:val="Tabletext0"/>
              <w:rPr>
                <w:lang w:val="en-GB"/>
              </w:rPr>
            </w:pPr>
          </w:p>
        </w:tc>
        <w:tc>
          <w:tcPr>
            <w:tcW w:w="3351" w:type="dxa"/>
          </w:tcPr>
          <w:p w14:paraId="075C7573" w14:textId="00F0BC7D" w:rsidR="00177AFC" w:rsidRDefault="00177AFC" w:rsidP="00077652">
            <w:pPr>
              <w:pStyle w:val="Tabletext0"/>
              <w:rPr>
                <w:lang w:val="en-GB"/>
              </w:rPr>
            </w:pPr>
            <w:r>
              <w:rPr>
                <w:lang w:val="en-GB"/>
              </w:rPr>
              <w:t>Represents remote/offshore testing issues of not having access to patient information to provide integrated service.</w:t>
            </w:r>
            <w:r w:rsidR="009317E5">
              <w:rPr>
                <w:lang w:val="en-GB"/>
              </w:rPr>
              <w:t xml:space="preserve"> Main utility would potentially be treatment options.</w:t>
            </w:r>
          </w:p>
          <w:p w14:paraId="7FF7805C" w14:textId="1F0E6C46" w:rsidR="00077652" w:rsidRDefault="00077652" w:rsidP="00077652">
            <w:pPr>
              <w:pStyle w:val="Tabletext0"/>
              <w:rPr>
                <w:lang w:val="en-GB"/>
              </w:rPr>
            </w:pPr>
            <w:r>
              <w:rPr>
                <w:lang w:val="en-GB"/>
              </w:rPr>
              <w:t>Larger gene panel than proposed in application (included 12 genes not in proposed list)</w:t>
            </w:r>
          </w:p>
          <w:p w14:paraId="5504419B" w14:textId="77777777" w:rsidR="00077652" w:rsidRDefault="00077652" w:rsidP="00077652">
            <w:pPr>
              <w:pStyle w:val="Tabletext0"/>
              <w:rPr>
                <w:lang w:val="en-GB"/>
              </w:rPr>
            </w:pPr>
            <w:r>
              <w:rPr>
                <w:lang w:val="en-GB"/>
              </w:rPr>
              <w:t>Variants detected in 44 genes (8 not included in proposed list)</w:t>
            </w:r>
          </w:p>
          <w:p w14:paraId="1F55BEA3" w14:textId="2ABF8A38" w:rsidR="00077652" w:rsidRDefault="00077652" w:rsidP="00077652">
            <w:pPr>
              <w:pStyle w:val="Tabletext0"/>
              <w:rPr>
                <w:lang w:val="en-GB"/>
              </w:rPr>
            </w:pPr>
            <w:r>
              <w:rPr>
                <w:lang w:val="en-GB"/>
              </w:rPr>
              <w:t>Retrospective analysis of DNA variants in 2053 consecutive, de-identified unique patient specimens in a commercial laboratory</w:t>
            </w:r>
          </w:p>
          <w:p w14:paraId="1126407E" w14:textId="23ECB004" w:rsidR="00177AFC" w:rsidRDefault="00177AFC" w:rsidP="00077652">
            <w:pPr>
              <w:pStyle w:val="Tabletext0"/>
              <w:rPr>
                <w:lang w:val="en-GB"/>
              </w:rPr>
            </w:pPr>
            <w:r>
              <w:rPr>
                <w:lang w:val="en-GB"/>
              </w:rPr>
              <w:t>Limited patient information, cannot integrate results, determine if treatment options appropriate</w:t>
            </w:r>
          </w:p>
          <w:p w14:paraId="377F3933" w14:textId="77777777" w:rsidR="00077652" w:rsidRDefault="00077652" w:rsidP="00077652">
            <w:pPr>
              <w:pStyle w:val="Tabletext0"/>
              <w:rPr>
                <w:lang w:val="en-GB"/>
              </w:rPr>
            </w:pPr>
            <w:r>
              <w:rPr>
                <w:lang w:val="en-GB"/>
              </w:rPr>
              <w:t>Curation of results based on DNA variant alone without integration into risk stratification models so may underestimate prognostic impact</w:t>
            </w:r>
          </w:p>
          <w:p w14:paraId="26C22608" w14:textId="77777777" w:rsidR="00077652" w:rsidRDefault="00077652" w:rsidP="00077652">
            <w:pPr>
              <w:pStyle w:val="Tabletext0"/>
              <w:rPr>
                <w:lang w:val="en-GB"/>
              </w:rPr>
            </w:pPr>
            <w:r>
              <w:rPr>
                <w:lang w:val="en-GB"/>
              </w:rPr>
              <w:t>No clinical follow-up data or outcomes including potential germline variants.</w:t>
            </w:r>
          </w:p>
          <w:p w14:paraId="1B546BE6" w14:textId="0139C5D8" w:rsidR="00077652" w:rsidRDefault="00077652" w:rsidP="00077652">
            <w:pPr>
              <w:pStyle w:val="Tabletext0"/>
              <w:rPr>
                <w:lang w:val="en-GB"/>
              </w:rPr>
            </w:pPr>
            <w:r>
              <w:rPr>
                <w:lang w:val="en-GB"/>
              </w:rPr>
              <w:t xml:space="preserve">US study so range of </w:t>
            </w:r>
            <w:proofErr w:type="gramStart"/>
            <w:r>
              <w:rPr>
                <w:lang w:val="en-GB"/>
              </w:rPr>
              <w:t>treatments,</w:t>
            </w:r>
            <w:proofErr w:type="gramEnd"/>
            <w:r>
              <w:rPr>
                <w:lang w:val="en-GB"/>
              </w:rPr>
              <w:t xml:space="preserve"> clinical trials available likely to be fewer in Australia</w:t>
            </w:r>
          </w:p>
        </w:tc>
      </w:tr>
    </w:tbl>
    <w:p w14:paraId="0BB4E5C6" w14:textId="050F03D1" w:rsidR="000409AF" w:rsidRDefault="000409AF" w:rsidP="000409AF">
      <w:pPr>
        <w:pStyle w:val="TableFooter"/>
      </w:pPr>
      <w:r>
        <w:t>AML=acute myeloid leukaemia; PMF=primary myelofibrosis; MDS= myelodysplastic syndromes</w:t>
      </w:r>
      <w:r w:rsidR="002A41B4">
        <w:t>; MPNs myeloproliferative neoplasms</w:t>
      </w:r>
    </w:p>
    <w:p w14:paraId="0311ECF8" w14:textId="394C6A7C" w:rsidR="000F3597" w:rsidRDefault="000409AF" w:rsidP="000409AF">
      <w:pPr>
        <w:pStyle w:val="TableFooter"/>
      </w:pPr>
      <w:r>
        <w:t>Note: since these studies were published the IPSS-M for MDS has been published, incorporating molecular testing into prognostic score</w:t>
      </w:r>
      <w:r w:rsidR="00865A56">
        <w:t xml:space="preserve"> so these are likely to have underestimated prognostic value of testing</w:t>
      </w:r>
    </w:p>
    <w:p w14:paraId="4FF887F4" w14:textId="77777777" w:rsidR="00622792" w:rsidRDefault="009E3B89" w:rsidP="009334C9">
      <w:pPr>
        <w:pStyle w:val="Heading3"/>
      </w:pPr>
      <w:bookmarkStart w:id="22" w:name="_Toc111754797"/>
      <w:r>
        <w:lastRenderedPageBreak/>
        <w:t>Lymphoid NGS panel</w:t>
      </w:r>
      <w:bookmarkEnd w:id="22"/>
      <w:r w:rsidR="00622792" w:rsidRPr="00622792">
        <w:t xml:space="preserve"> </w:t>
      </w:r>
    </w:p>
    <w:p w14:paraId="1BD26672" w14:textId="1ABA00AC" w:rsidR="00A50B84" w:rsidRDefault="00592509" w:rsidP="00622792">
      <w:r>
        <w:t xml:space="preserve">Seven studies were identified that used lymphoid NGS panels or used a more comprehensive NGS panel in lymphoid malignancies, and restricted the genes reported to those of relevance. </w:t>
      </w:r>
      <w:r w:rsidR="00622792">
        <w:t>Three key studies were identified that support the clinical and cost-</w:t>
      </w:r>
      <w:r w:rsidR="009042F7">
        <w:t>effectiveness</w:t>
      </w:r>
      <w:r w:rsidR="00622792">
        <w:t xml:space="preserve"> of lymphoid NGS panel testing. A further </w:t>
      </w:r>
      <w:r w:rsidR="005439D0">
        <w:t>7</w:t>
      </w:r>
      <w:r w:rsidR="00622792">
        <w:t xml:space="preserve"> studies</w:t>
      </w:r>
      <w:r w:rsidR="00F14983">
        <w:t xml:space="preserve"> and a consensus statement with clinical evidence in support</w:t>
      </w:r>
      <w:r w:rsidR="00622792">
        <w:t xml:space="preserve"> were excluded because</w:t>
      </w:r>
      <w:r w:rsidR="00A50B84">
        <w:t>:</w:t>
      </w:r>
    </w:p>
    <w:p w14:paraId="12DE1E15" w14:textId="10ECABB8" w:rsidR="00A50B84" w:rsidRDefault="00F14983" w:rsidP="00B56755">
      <w:pPr>
        <w:pStyle w:val="ListParagraph"/>
        <w:numPr>
          <w:ilvl w:val="0"/>
          <w:numId w:val="23"/>
        </w:numPr>
      </w:pPr>
      <w:r>
        <w:t xml:space="preserve">the </w:t>
      </w:r>
      <w:r w:rsidR="00440674">
        <w:t xml:space="preserve">specific </w:t>
      </w:r>
      <w:r>
        <w:t>genes were not proposed for inclusion in the proposed gene panel list which means the findings cannot be generalised (2)</w:t>
      </w:r>
    </w:p>
    <w:p w14:paraId="3A9A3461" w14:textId="77777777" w:rsidR="005439D0" w:rsidRDefault="00F14983" w:rsidP="00B56755">
      <w:pPr>
        <w:pStyle w:val="ListParagraph"/>
        <w:numPr>
          <w:ilvl w:val="0"/>
          <w:numId w:val="23"/>
        </w:numPr>
      </w:pPr>
      <w:r>
        <w:t>the gene panel size was too large (</w:t>
      </w:r>
      <w:r w:rsidR="005439D0">
        <w:t>2</w:t>
      </w:r>
      <w:r>
        <w:t>)</w:t>
      </w:r>
    </w:p>
    <w:p w14:paraId="25347550" w14:textId="52513860" w:rsidR="005439D0" w:rsidRDefault="005439D0" w:rsidP="00B56755">
      <w:pPr>
        <w:pStyle w:val="ListParagraph"/>
        <w:numPr>
          <w:ilvl w:val="0"/>
          <w:numId w:val="23"/>
        </w:numPr>
      </w:pPr>
      <w:r>
        <w:t>RNA and DNA were analysed and not presented separately</w:t>
      </w:r>
      <w:r w:rsidR="00090593">
        <w:t xml:space="preserve"> (1)</w:t>
      </w:r>
    </w:p>
    <w:p w14:paraId="37C4D332" w14:textId="62847A73" w:rsidR="00090593" w:rsidRDefault="00F14983" w:rsidP="00B56755">
      <w:pPr>
        <w:pStyle w:val="ListParagraph"/>
        <w:numPr>
          <w:ilvl w:val="0"/>
          <w:numId w:val="23"/>
        </w:numPr>
      </w:pPr>
      <w:r>
        <w:t>the data or genes tested were not presented in sufficient detail (1)</w:t>
      </w:r>
    </w:p>
    <w:p w14:paraId="6C6149A0" w14:textId="082DD5C7" w:rsidR="005439D0" w:rsidRDefault="00090593" w:rsidP="00B56755">
      <w:pPr>
        <w:pStyle w:val="ListParagraph"/>
        <w:numPr>
          <w:ilvl w:val="0"/>
          <w:numId w:val="23"/>
        </w:numPr>
      </w:pPr>
      <w:r>
        <w:t>The findings require validation (1)</w:t>
      </w:r>
      <w:r w:rsidR="00B815BD">
        <w:t>.</w:t>
      </w:r>
    </w:p>
    <w:p w14:paraId="1A62C3D4" w14:textId="7730049C" w:rsidR="009E3B89" w:rsidRDefault="009E3B89" w:rsidP="009E3B89">
      <w:pPr>
        <w:pStyle w:val="Caption"/>
      </w:pPr>
      <w:r>
        <w:t xml:space="preserve">Table </w:t>
      </w:r>
      <w:fldSimple w:instr=" SEQ Table \* ARABIC ">
        <w:r w:rsidR="00A165AD">
          <w:rPr>
            <w:noProof/>
          </w:rPr>
          <w:t>6</w:t>
        </w:r>
      </w:fldSimple>
      <w:r>
        <w:t xml:space="preserve"> </w:t>
      </w:r>
      <w:r w:rsidRPr="00CE28E3">
        <w:t xml:space="preserve">Key </w:t>
      </w:r>
      <w:r>
        <w:t>studies providing</w:t>
      </w:r>
      <w:r w:rsidRPr="00CE28E3">
        <w:t xml:space="preserve"> </w:t>
      </w:r>
      <w:r w:rsidRPr="00AE16CA">
        <w:rPr>
          <w:rStyle w:val="TableHeadingChar"/>
          <w:b/>
          <w:bCs w:val="0"/>
        </w:rPr>
        <w:t>evidence for</w:t>
      </w:r>
      <w:r>
        <w:rPr>
          <w:rStyle w:val="TableHeadingChar"/>
          <w:b/>
          <w:bCs w:val="0"/>
        </w:rPr>
        <w:t xml:space="preserve"> the clinical and cost-effectiveness of</w:t>
      </w:r>
      <w:r w:rsidRPr="00AE16CA">
        <w:rPr>
          <w:rStyle w:val="TableHeadingChar"/>
          <w:b/>
          <w:bCs w:val="0"/>
        </w:rPr>
        <w:t xml:space="preserve"> </w:t>
      </w:r>
      <w:r>
        <w:rPr>
          <w:rStyle w:val="TableHeadingChar"/>
          <w:b/>
          <w:bCs w:val="0"/>
        </w:rPr>
        <w:t xml:space="preserve">lymphoid </w:t>
      </w:r>
      <w:r w:rsidRPr="00AE16CA">
        <w:rPr>
          <w:rStyle w:val="TableHeadingChar"/>
          <w:b/>
          <w:bCs w:val="0"/>
        </w:rPr>
        <w:t xml:space="preserve">NGS panel testing in </w:t>
      </w:r>
      <w:r w:rsidR="00357E96">
        <w:rPr>
          <w:rStyle w:val="TableHeadingChar"/>
          <w:b/>
          <w:bCs w:val="0"/>
        </w:rPr>
        <w:t xml:space="preserve">patients with a suspected </w:t>
      </w:r>
      <w:r w:rsidRPr="00AE16CA">
        <w:rPr>
          <w:rStyle w:val="TableHeadingChar"/>
          <w:b/>
          <w:bCs w:val="0"/>
        </w:rPr>
        <w:t>haematological malignanc</w:t>
      </w:r>
      <w:r w:rsidR="00357E96">
        <w:rPr>
          <w:rStyle w:val="TableHeadingChar"/>
          <w:b/>
          <w:bCs w:val="0"/>
        </w:rPr>
        <w:t>y of lymphoid lineage</w:t>
      </w:r>
      <w:r w:rsidR="00BC3AC0">
        <w:rPr>
          <w:rStyle w:val="TableHeadingChar"/>
          <w:b/>
          <w:bCs w:val="0"/>
        </w:rPr>
        <w:t xml:space="preserve">; </w:t>
      </w:r>
      <w:r w:rsidR="00BC3AC0" w:rsidRPr="00222789">
        <w:rPr>
          <w:rStyle w:val="TableHeadingChar"/>
          <w:b/>
          <w:bCs w:val="0"/>
          <w:i/>
          <w:iCs/>
        </w:rPr>
        <w:t>ESC amendments</w:t>
      </w:r>
      <w:r w:rsidR="004033D1">
        <w:rPr>
          <w:rStyle w:val="TableHeadingChar"/>
          <w:b/>
          <w:bCs w:val="0"/>
          <w:i/>
          <w:iCs/>
        </w:rPr>
        <w:t xml:space="preserve"> </w:t>
      </w:r>
      <w:r w:rsidR="00BC3AC0" w:rsidRPr="00222789">
        <w:rPr>
          <w:rStyle w:val="TableHeadingChar"/>
          <w:b/>
          <w:bCs w:val="0"/>
          <w:i/>
          <w:iCs/>
        </w:rPr>
        <w:t>to include an additional study</w:t>
      </w:r>
      <w:r w:rsidR="004033D1">
        <w:rPr>
          <w:rStyle w:val="TableHeadingChar"/>
          <w:b/>
          <w:bCs w:val="0"/>
          <w:i/>
          <w:iCs/>
        </w:rPr>
        <w:t xml:space="preserve"> (Pillonel et al 2020)</w:t>
      </w:r>
      <w:r w:rsidR="00BC3AC0" w:rsidRPr="00222789">
        <w:rPr>
          <w:rStyle w:val="TableHeadingChar"/>
          <w:b/>
          <w:bCs w:val="0"/>
          <w:i/>
          <w:iCs/>
        </w:rPr>
        <w:t xml:space="preserve"> in italics</w:t>
      </w:r>
    </w:p>
    <w:tbl>
      <w:tblPr>
        <w:tblStyle w:val="TableGrid"/>
        <w:tblW w:w="0" w:type="auto"/>
        <w:tblLayout w:type="fixed"/>
        <w:tblCellMar>
          <w:left w:w="28" w:type="dxa"/>
          <w:right w:w="28" w:type="dxa"/>
        </w:tblCellMar>
        <w:tblLook w:val="04A0" w:firstRow="1" w:lastRow="0" w:firstColumn="1" w:lastColumn="0" w:noHBand="0" w:noVBand="1"/>
      </w:tblPr>
      <w:tblGrid>
        <w:gridCol w:w="1009"/>
        <w:gridCol w:w="1219"/>
        <w:gridCol w:w="1037"/>
        <w:gridCol w:w="1125"/>
        <w:gridCol w:w="708"/>
        <w:gridCol w:w="3918"/>
      </w:tblGrid>
      <w:tr w:rsidR="00993BFC" w14:paraId="11CEEB60" w14:textId="77777777" w:rsidTr="00D10261">
        <w:trPr>
          <w:tblHeader/>
        </w:trPr>
        <w:tc>
          <w:tcPr>
            <w:tcW w:w="1009" w:type="dxa"/>
          </w:tcPr>
          <w:p w14:paraId="1E8FF7E5" w14:textId="77777777" w:rsidR="00993BFC" w:rsidRDefault="00993BFC" w:rsidP="00FB0A03">
            <w:pPr>
              <w:pStyle w:val="TableHeading0"/>
              <w:rPr>
                <w:lang w:val="en-GB"/>
              </w:rPr>
            </w:pPr>
            <w:r>
              <w:rPr>
                <w:lang w:val="en-GB"/>
              </w:rPr>
              <w:t>Authors</w:t>
            </w:r>
          </w:p>
        </w:tc>
        <w:tc>
          <w:tcPr>
            <w:tcW w:w="1219" w:type="dxa"/>
          </w:tcPr>
          <w:p w14:paraId="1425CAD6" w14:textId="77777777" w:rsidR="00993BFC" w:rsidRDefault="00993BFC" w:rsidP="00FB0A03">
            <w:pPr>
              <w:pStyle w:val="TableHeading0"/>
              <w:rPr>
                <w:lang w:val="en-GB"/>
              </w:rPr>
            </w:pPr>
            <w:r>
              <w:rPr>
                <w:lang w:val="en-GB"/>
              </w:rPr>
              <w:t>Risk of bias</w:t>
            </w:r>
          </w:p>
        </w:tc>
        <w:tc>
          <w:tcPr>
            <w:tcW w:w="1037" w:type="dxa"/>
          </w:tcPr>
          <w:p w14:paraId="08E32187" w14:textId="77777777" w:rsidR="00993BFC" w:rsidRDefault="00993BFC" w:rsidP="00FB0A03">
            <w:pPr>
              <w:pStyle w:val="TableHeading0"/>
              <w:rPr>
                <w:lang w:val="en-GB"/>
              </w:rPr>
            </w:pPr>
            <w:r>
              <w:rPr>
                <w:lang w:val="en-GB"/>
              </w:rPr>
              <w:t>NGS gene panel size, RNA or DNA analysis</w:t>
            </w:r>
          </w:p>
        </w:tc>
        <w:tc>
          <w:tcPr>
            <w:tcW w:w="1125" w:type="dxa"/>
          </w:tcPr>
          <w:p w14:paraId="0C89EAD9" w14:textId="77777777" w:rsidR="00993BFC" w:rsidRDefault="00993BFC" w:rsidP="00FB0A03">
            <w:pPr>
              <w:pStyle w:val="TableHeading0"/>
              <w:rPr>
                <w:lang w:val="en-GB"/>
              </w:rPr>
            </w:pPr>
            <w:r>
              <w:rPr>
                <w:lang w:val="en-GB"/>
              </w:rPr>
              <w:t>Conditions</w:t>
            </w:r>
          </w:p>
        </w:tc>
        <w:tc>
          <w:tcPr>
            <w:tcW w:w="708" w:type="dxa"/>
          </w:tcPr>
          <w:p w14:paraId="22034028" w14:textId="77777777" w:rsidR="00993BFC" w:rsidRDefault="00993BFC" w:rsidP="00FB0A03">
            <w:pPr>
              <w:pStyle w:val="TableHeading0"/>
              <w:rPr>
                <w:lang w:val="en-GB"/>
              </w:rPr>
            </w:pPr>
            <w:r>
              <w:rPr>
                <w:lang w:val="en-GB"/>
              </w:rPr>
              <w:t>Number of patients</w:t>
            </w:r>
          </w:p>
        </w:tc>
        <w:tc>
          <w:tcPr>
            <w:tcW w:w="3918" w:type="dxa"/>
          </w:tcPr>
          <w:p w14:paraId="71C0F048" w14:textId="77777777" w:rsidR="00993BFC" w:rsidRDefault="00993BFC" w:rsidP="00FB0A03">
            <w:pPr>
              <w:pStyle w:val="TableHeading0"/>
              <w:rPr>
                <w:lang w:val="en-GB"/>
              </w:rPr>
            </w:pPr>
            <w:r>
              <w:rPr>
                <w:lang w:val="en-GB"/>
              </w:rPr>
              <w:t>Comments on generalisability to proposed testing</w:t>
            </w:r>
          </w:p>
        </w:tc>
      </w:tr>
      <w:tr w:rsidR="00993BFC" w14:paraId="0FD130D9" w14:textId="77777777" w:rsidTr="00D10261">
        <w:tc>
          <w:tcPr>
            <w:tcW w:w="9016" w:type="dxa"/>
            <w:gridSpan w:val="6"/>
          </w:tcPr>
          <w:p w14:paraId="4A288709" w14:textId="77777777" w:rsidR="00993BFC" w:rsidRDefault="00993BFC" w:rsidP="00FB0A03">
            <w:pPr>
              <w:pStyle w:val="TableHeading0"/>
              <w:rPr>
                <w:lang w:val="en-GB"/>
              </w:rPr>
            </w:pPr>
            <w:r>
              <w:rPr>
                <w:lang w:val="en-GB"/>
              </w:rPr>
              <w:t>Studies providing evidence in support of NGS panel testing in lymphoid malignancies</w:t>
            </w:r>
          </w:p>
        </w:tc>
      </w:tr>
      <w:tr w:rsidR="00993BFC" w14:paraId="60610CBD" w14:textId="77777777" w:rsidTr="00D10261">
        <w:tc>
          <w:tcPr>
            <w:tcW w:w="1009" w:type="dxa"/>
          </w:tcPr>
          <w:p w14:paraId="602DC636" w14:textId="74B03166" w:rsidR="00993BFC" w:rsidRDefault="00993BFC" w:rsidP="00FB0A03">
            <w:pPr>
              <w:pStyle w:val="Tabletext0"/>
              <w:rPr>
                <w:lang w:val="en-GB"/>
              </w:rPr>
            </w:pPr>
            <w:r w:rsidRPr="008E7C99">
              <w:rPr>
                <w:lang w:val="en-GB"/>
              </w:rPr>
              <w:t>Bommier</w:t>
            </w:r>
            <w:r>
              <w:rPr>
                <w:lang w:val="en-GB"/>
              </w:rPr>
              <w:t xml:space="preserve"> et al (</w:t>
            </w:r>
            <w:r w:rsidRPr="008E7C99">
              <w:rPr>
                <w:lang w:val="en-GB"/>
              </w:rPr>
              <w:t>2021</w:t>
            </w:r>
            <w:r>
              <w:rPr>
                <w:lang w:val="en-GB"/>
              </w:rPr>
              <w:t>)</w:t>
            </w:r>
          </w:p>
        </w:tc>
        <w:tc>
          <w:tcPr>
            <w:tcW w:w="1219" w:type="dxa"/>
          </w:tcPr>
          <w:p w14:paraId="5719DE42" w14:textId="77777777" w:rsidR="00993BFC" w:rsidRDefault="00993BFC" w:rsidP="00FB0A03">
            <w:pPr>
              <w:pStyle w:val="Tabletext0"/>
              <w:rPr>
                <w:lang w:val="en-GB"/>
              </w:rPr>
            </w:pPr>
            <w:r>
              <w:rPr>
                <w:lang w:val="en-GB"/>
              </w:rPr>
              <w:t>Retrospective case series.</w:t>
            </w:r>
          </w:p>
          <w:p w14:paraId="16705F3F" w14:textId="77777777" w:rsidR="00993BFC" w:rsidRDefault="00993BFC" w:rsidP="00FB0A03">
            <w:pPr>
              <w:pStyle w:val="Tabletext0"/>
              <w:rPr>
                <w:lang w:val="en-GB"/>
              </w:rPr>
            </w:pPr>
            <w:r>
              <w:rPr>
                <w:lang w:val="en-GB"/>
              </w:rPr>
              <w:t xml:space="preserve">Moderate risk of bias (11/14 </w:t>
            </w:r>
          </w:p>
          <w:p w14:paraId="7002C27C" w14:textId="77777777" w:rsidR="00993BFC" w:rsidRDefault="00993BFC" w:rsidP="00FB0A03">
            <w:pPr>
              <w:pStyle w:val="Tabletext0"/>
              <w:rPr>
                <w:lang w:val="en-GB"/>
              </w:rPr>
            </w:pPr>
            <w:r>
              <w:rPr>
                <w:lang w:val="en-GB"/>
              </w:rPr>
              <w:t xml:space="preserve">on modified  </w:t>
            </w:r>
            <w:hyperlink r:id="rId20" w:history="1">
              <w:r w:rsidRPr="00B430B0">
                <w:rPr>
                  <w:rStyle w:val="Hyperlink"/>
                  <w:rFonts w:eastAsiaTheme="majorEastAsia"/>
                  <w:lang w:val="en-GB"/>
                </w:rPr>
                <w:t>IHE case series checklist</w:t>
              </w:r>
            </w:hyperlink>
            <w:r>
              <w:rPr>
                <w:lang w:val="en-GB"/>
              </w:rPr>
              <w:t xml:space="preserve">) </w:t>
            </w:r>
          </w:p>
          <w:p w14:paraId="34EBFDA4" w14:textId="77777777" w:rsidR="00993BFC" w:rsidRDefault="00993BFC" w:rsidP="00FB0A03">
            <w:pPr>
              <w:pStyle w:val="Tabletext0"/>
              <w:rPr>
                <w:lang w:val="en-GB"/>
              </w:rPr>
            </w:pPr>
          </w:p>
        </w:tc>
        <w:tc>
          <w:tcPr>
            <w:tcW w:w="1037" w:type="dxa"/>
          </w:tcPr>
          <w:p w14:paraId="5C6E5A50" w14:textId="77777777" w:rsidR="00993BFC" w:rsidRDefault="00993BFC" w:rsidP="00FB0A03">
            <w:pPr>
              <w:pStyle w:val="Tabletext0"/>
              <w:rPr>
                <w:lang w:val="en-GB"/>
              </w:rPr>
            </w:pPr>
            <w:r>
              <w:rPr>
                <w:lang w:val="en-GB"/>
              </w:rPr>
              <w:t>46 genes</w:t>
            </w:r>
          </w:p>
          <w:p w14:paraId="108B91D2" w14:textId="77777777" w:rsidR="00993BFC" w:rsidRDefault="00993BFC" w:rsidP="00FB0A03">
            <w:pPr>
              <w:pStyle w:val="Tabletext0"/>
              <w:rPr>
                <w:lang w:val="en-GB"/>
              </w:rPr>
            </w:pPr>
            <w:r>
              <w:rPr>
                <w:lang w:val="en-GB"/>
              </w:rPr>
              <w:t>DNA</w:t>
            </w:r>
          </w:p>
        </w:tc>
        <w:tc>
          <w:tcPr>
            <w:tcW w:w="1125" w:type="dxa"/>
          </w:tcPr>
          <w:p w14:paraId="5565E833" w14:textId="77777777" w:rsidR="00993BFC" w:rsidRDefault="00993BFC" w:rsidP="00FB0A03">
            <w:pPr>
              <w:pStyle w:val="Tabletext0"/>
              <w:rPr>
                <w:lang w:val="en-GB"/>
              </w:rPr>
            </w:pPr>
            <w:r>
              <w:rPr>
                <w:lang w:val="en-GB"/>
              </w:rPr>
              <w:t>Lymphomas</w:t>
            </w:r>
          </w:p>
          <w:p w14:paraId="4189CE3C" w14:textId="77777777" w:rsidR="00993BFC" w:rsidRDefault="00993BFC" w:rsidP="00FB0A03">
            <w:pPr>
              <w:pStyle w:val="Tabletext0"/>
              <w:rPr>
                <w:lang w:val="en-GB"/>
              </w:rPr>
            </w:pPr>
          </w:p>
          <w:p w14:paraId="5EB9A83D" w14:textId="77777777" w:rsidR="00993BFC" w:rsidRDefault="00993BFC" w:rsidP="00FB0A03">
            <w:pPr>
              <w:pStyle w:val="Tabletext0"/>
              <w:rPr>
                <w:lang w:val="en-GB"/>
              </w:rPr>
            </w:pPr>
          </w:p>
        </w:tc>
        <w:tc>
          <w:tcPr>
            <w:tcW w:w="708" w:type="dxa"/>
          </w:tcPr>
          <w:p w14:paraId="13782134" w14:textId="77777777" w:rsidR="00993BFC" w:rsidRDefault="00993BFC" w:rsidP="00FB0A03">
            <w:pPr>
              <w:pStyle w:val="Tabletext0"/>
              <w:rPr>
                <w:lang w:val="en-GB"/>
              </w:rPr>
            </w:pPr>
            <w:r>
              <w:rPr>
                <w:lang w:val="en-GB"/>
              </w:rPr>
              <w:t>229</w:t>
            </w:r>
          </w:p>
        </w:tc>
        <w:tc>
          <w:tcPr>
            <w:tcW w:w="3918" w:type="dxa"/>
          </w:tcPr>
          <w:p w14:paraId="029E70BB" w14:textId="77777777" w:rsidR="00993BFC" w:rsidRDefault="00993BFC" w:rsidP="00FB0A03">
            <w:pPr>
              <w:pStyle w:val="Tabletext0"/>
              <w:rPr>
                <w:lang w:val="en-GB"/>
              </w:rPr>
            </w:pPr>
            <w:r>
              <w:rPr>
                <w:lang w:val="en-GB"/>
              </w:rPr>
              <w:t>Highly screened population as only those with diagnostic uncertainty after centralised expert haematopathologist review tested – likely underestimates detection rate of NGS panel testing in less specialised centres or laboratories</w:t>
            </w:r>
          </w:p>
          <w:p w14:paraId="13576930" w14:textId="77777777" w:rsidR="00993BFC" w:rsidRDefault="00993BFC" w:rsidP="00FB0A03">
            <w:pPr>
              <w:pStyle w:val="Tabletext0"/>
              <w:rPr>
                <w:lang w:val="en-GB"/>
              </w:rPr>
            </w:pPr>
            <w:r>
              <w:rPr>
                <w:lang w:val="en-GB"/>
              </w:rPr>
              <w:t>Used as final discriminator after all other tests</w:t>
            </w:r>
          </w:p>
          <w:p w14:paraId="1B6B1336" w14:textId="77777777" w:rsidR="00993BFC" w:rsidRDefault="00993BFC" w:rsidP="00FB0A03">
            <w:pPr>
              <w:pStyle w:val="Tabletext0"/>
              <w:rPr>
                <w:lang w:val="en-GB"/>
              </w:rPr>
            </w:pPr>
            <w:r>
              <w:rPr>
                <w:lang w:val="en-GB"/>
              </w:rPr>
              <w:t>Primarily diagnostic, no report on outcomes or prognostic, familial or predictive information</w:t>
            </w:r>
          </w:p>
          <w:p w14:paraId="75CCAEA5" w14:textId="77777777" w:rsidR="00993BFC" w:rsidRDefault="00993BFC" w:rsidP="00FB0A03">
            <w:pPr>
              <w:pStyle w:val="Tabletext0"/>
              <w:rPr>
                <w:lang w:val="en-GB"/>
              </w:rPr>
            </w:pPr>
            <w:r>
              <w:rPr>
                <w:lang w:val="en-GB"/>
              </w:rPr>
              <w:t xml:space="preserve">Limitations: did not include </w:t>
            </w:r>
            <w:r w:rsidRPr="005406E1">
              <w:rPr>
                <w:i/>
                <w:iCs/>
                <w:lang w:val="en-GB"/>
              </w:rPr>
              <w:t>TP53</w:t>
            </w:r>
            <w:r>
              <w:rPr>
                <w:lang w:val="en-GB"/>
              </w:rPr>
              <w:t xml:space="preserve"> in NGS panel (not recommended at time study designed)</w:t>
            </w:r>
          </w:p>
          <w:p w14:paraId="4854DA57" w14:textId="77777777" w:rsidR="00993BFC" w:rsidRDefault="00993BFC" w:rsidP="00FB0A03">
            <w:pPr>
              <w:pStyle w:val="Tabletext0"/>
              <w:rPr>
                <w:lang w:val="en-GB"/>
              </w:rPr>
            </w:pPr>
            <w:r>
              <w:rPr>
                <w:lang w:val="en-GB"/>
              </w:rPr>
              <w:t>Patients underwent molecular assessments of TCR, IGH which are currently not MBS-funded</w:t>
            </w:r>
          </w:p>
          <w:p w14:paraId="7A4912BE" w14:textId="77777777" w:rsidR="00993BFC" w:rsidRDefault="00993BFC" w:rsidP="00FB0A03">
            <w:pPr>
              <w:pStyle w:val="Tabletext0"/>
              <w:rPr>
                <w:lang w:val="en-GB"/>
              </w:rPr>
            </w:pPr>
            <w:r>
              <w:rPr>
                <w:lang w:val="en-GB"/>
              </w:rPr>
              <w:t>Did not assess all patients with lymphoma, just those with uncertainty regarding the diagnosis. Prognostic, therapeutic test purposes not explored or reported.</w:t>
            </w:r>
          </w:p>
        </w:tc>
      </w:tr>
      <w:tr w:rsidR="00993BFC" w14:paraId="519480FC" w14:textId="77777777" w:rsidTr="00D10261">
        <w:tc>
          <w:tcPr>
            <w:tcW w:w="1009" w:type="dxa"/>
          </w:tcPr>
          <w:p w14:paraId="0632A979" w14:textId="77777777" w:rsidR="00993BFC" w:rsidRDefault="00993BFC" w:rsidP="00FB0A03">
            <w:pPr>
              <w:pStyle w:val="Tabletext0"/>
              <w:rPr>
                <w:lang w:val="en-GB"/>
              </w:rPr>
            </w:pPr>
            <w:r>
              <w:rPr>
                <w:lang w:val="en-GB"/>
              </w:rPr>
              <w:t>Jajosky et al (2021)</w:t>
            </w:r>
          </w:p>
          <w:p w14:paraId="609C2F44" w14:textId="26640A1F" w:rsidR="00993BFC" w:rsidRDefault="00993BFC" w:rsidP="00FB0A03">
            <w:pPr>
              <w:pStyle w:val="Tabletext0"/>
              <w:rPr>
                <w:lang w:val="en-GB"/>
              </w:rPr>
            </w:pPr>
          </w:p>
        </w:tc>
        <w:tc>
          <w:tcPr>
            <w:tcW w:w="1219" w:type="dxa"/>
          </w:tcPr>
          <w:p w14:paraId="62CE3944" w14:textId="77777777" w:rsidR="00993BFC" w:rsidRDefault="00993BFC" w:rsidP="00FB0A03">
            <w:pPr>
              <w:pStyle w:val="Tabletext0"/>
              <w:rPr>
                <w:lang w:val="en-GB"/>
              </w:rPr>
            </w:pPr>
            <w:r>
              <w:rPr>
                <w:lang w:val="en-GB"/>
              </w:rPr>
              <w:t>Retrospective case series.</w:t>
            </w:r>
          </w:p>
          <w:p w14:paraId="1C77BF52" w14:textId="77777777" w:rsidR="00993BFC" w:rsidRDefault="00993BFC" w:rsidP="00FB0A03">
            <w:pPr>
              <w:pStyle w:val="Tabletext0"/>
              <w:rPr>
                <w:lang w:val="en-GB"/>
              </w:rPr>
            </w:pPr>
          </w:p>
          <w:p w14:paraId="38F3698F" w14:textId="77777777" w:rsidR="00993BFC" w:rsidRDefault="00993BFC" w:rsidP="00FB0A03">
            <w:pPr>
              <w:pStyle w:val="Tabletext0"/>
              <w:rPr>
                <w:lang w:val="en-GB"/>
              </w:rPr>
            </w:pPr>
            <w:r>
              <w:rPr>
                <w:lang w:val="en-GB"/>
              </w:rPr>
              <w:t>Moderate risk of bias (11/16</w:t>
            </w:r>
          </w:p>
          <w:p w14:paraId="6D255256" w14:textId="77777777" w:rsidR="00993BFC" w:rsidRDefault="00993BFC" w:rsidP="00FB0A03">
            <w:pPr>
              <w:pStyle w:val="Tabletext0"/>
              <w:rPr>
                <w:lang w:val="en-GB"/>
              </w:rPr>
            </w:pPr>
            <w:r>
              <w:rPr>
                <w:lang w:val="en-GB"/>
              </w:rPr>
              <w:t xml:space="preserve">on modified  </w:t>
            </w:r>
            <w:hyperlink r:id="rId21" w:history="1">
              <w:r w:rsidRPr="00B430B0">
                <w:rPr>
                  <w:rStyle w:val="Hyperlink"/>
                  <w:rFonts w:eastAsiaTheme="majorEastAsia"/>
                  <w:lang w:val="en-GB"/>
                </w:rPr>
                <w:t>IHE case series checklist</w:t>
              </w:r>
            </w:hyperlink>
            <w:r>
              <w:rPr>
                <w:lang w:val="en-GB"/>
              </w:rPr>
              <w:t>)</w:t>
            </w:r>
          </w:p>
        </w:tc>
        <w:tc>
          <w:tcPr>
            <w:tcW w:w="1037" w:type="dxa"/>
          </w:tcPr>
          <w:p w14:paraId="4BD4A0B5" w14:textId="77777777" w:rsidR="00993BFC" w:rsidRDefault="00993BFC" w:rsidP="00FB0A03">
            <w:pPr>
              <w:pStyle w:val="Tabletext0"/>
              <w:rPr>
                <w:lang w:val="en-GB"/>
              </w:rPr>
            </w:pPr>
            <w:r>
              <w:rPr>
                <w:lang w:val="en-GB"/>
              </w:rPr>
              <w:t>31 genes</w:t>
            </w:r>
          </w:p>
          <w:p w14:paraId="37261626" w14:textId="77777777" w:rsidR="00993BFC" w:rsidRDefault="00993BFC" w:rsidP="00FB0A03">
            <w:pPr>
              <w:pStyle w:val="Tabletext0"/>
              <w:rPr>
                <w:lang w:val="en-GB"/>
              </w:rPr>
            </w:pPr>
            <w:r>
              <w:rPr>
                <w:lang w:val="en-GB"/>
              </w:rPr>
              <w:t>DNA</w:t>
            </w:r>
          </w:p>
        </w:tc>
        <w:tc>
          <w:tcPr>
            <w:tcW w:w="1125" w:type="dxa"/>
          </w:tcPr>
          <w:p w14:paraId="4B2C73D7" w14:textId="77777777" w:rsidR="00993BFC" w:rsidRDefault="00993BFC" w:rsidP="00FB0A03">
            <w:pPr>
              <w:pStyle w:val="Tabletext0"/>
              <w:rPr>
                <w:lang w:val="en-GB"/>
              </w:rPr>
            </w:pPr>
            <w:r>
              <w:rPr>
                <w:lang w:val="en-GB"/>
              </w:rPr>
              <w:t>Low-grade lymphoproliferat-ive disorder/malignancies</w:t>
            </w:r>
          </w:p>
          <w:p w14:paraId="0364D640" w14:textId="77777777" w:rsidR="00993BFC" w:rsidRDefault="00993BFC" w:rsidP="00FB0A03">
            <w:pPr>
              <w:pStyle w:val="Tabletext0"/>
              <w:rPr>
                <w:lang w:val="en-GB"/>
              </w:rPr>
            </w:pPr>
          </w:p>
          <w:p w14:paraId="4E7C123E" w14:textId="77777777" w:rsidR="00993BFC" w:rsidRDefault="00993BFC" w:rsidP="00FB0A03">
            <w:pPr>
              <w:pStyle w:val="Tabletext0"/>
              <w:rPr>
                <w:lang w:val="en-GB"/>
              </w:rPr>
            </w:pPr>
          </w:p>
        </w:tc>
        <w:tc>
          <w:tcPr>
            <w:tcW w:w="708" w:type="dxa"/>
          </w:tcPr>
          <w:p w14:paraId="08D4A8D2" w14:textId="77777777" w:rsidR="00993BFC" w:rsidRDefault="00993BFC" w:rsidP="00FB0A03">
            <w:pPr>
              <w:pStyle w:val="Tabletext0"/>
              <w:rPr>
                <w:lang w:val="en-GB"/>
              </w:rPr>
            </w:pPr>
            <w:r>
              <w:rPr>
                <w:lang w:val="en-GB"/>
              </w:rPr>
              <w:t>147</w:t>
            </w:r>
          </w:p>
        </w:tc>
        <w:tc>
          <w:tcPr>
            <w:tcW w:w="3918" w:type="dxa"/>
          </w:tcPr>
          <w:p w14:paraId="615D4107" w14:textId="77777777" w:rsidR="00993BFC" w:rsidRDefault="00993BFC" w:rsidP="00FB0A03">
            <w:pPr>
              <w:pStyle w:val="Tabletext0"/>
              <w:rPr>
                <w:lang w:val="en-GB"/>
              </w:rPr>
            </w:pPr>
            <w:r>
              <w:rPr>
                <w:lang w:val="en-GB"/>
              </w:rPr>
              <w:t xml:space="preserve">Study of </w:t>
            </w:r>
            <w:r w:rsidRPr="007E6AF4">
              <w:rPr>
                <w:lang w:val="en-GB"/>
              </w:rPr>
              <w:t xml:space="preserve">routine </w:t>
            </w:r>
            <w:r>
              <w:rPr>
                <w:lang w:val="en-GB"/>
              </w:rPr>
              <w:t>use of NGS to identify differentiate low grade lymphoproliferative disorders from malignancies, including some where diagnosis not otherwise possible</w:t>
            </w:r>
          </w:p>
        </w:tc>
      </w:tr>
      <w:tr w:rsidR="00993BFC" w14:paraId="167E086C" w14:textId="77777777" w:rsidTr="00D10261">
        <w:tc>
          <w:tcPr>
            <w:tcW w:w="1009" w:type="dxa"/>
          </w:tcPr>
          <w:p w14:paraId="49251C69" w14:textId="77777777" w:rsidR="00993BFC" w:rsidRDefault="00993BFC" w:rsidP="00FB0A03">
            <w:pPr>
              <w:pStyle w:val="Tabletext0"/>
              <w:rPr>
                <w:lang w:val="en-GB"/>
              </w:rPr>
            </w:pPr>
            <w:r w:rsidRPr="00D81EC4">
              <w:rPr>
                <w:lang w:val="en-GB"/>
              </w:rPr>
              <w:t>Vicente-Garcés</w:t>
            </w:r>
            <w:r>
              <w:rPr>
                <w:lang w:val="en-GB"/>
              </w:rPr>
              <w:t xml:space="preserve"> et al (</w:t>
            </w:r>
            <w:r w:rsidRPr="00D81EC4">
              <w:rPr>
                <w:lang w:val="en-GB"/>
              </w:rPr>
              <w:t>2022</w:t>
            </w:r>
            <w:r>
              <w:rPr>
                <w:lang w:val="en-GB"/>
              </w:rPr>
              <w:t>)</w:t>
            </w:r>
          </w:p>
          <w:p w14:paraId="2FBFD252" w14:textId="66E508AC" w:rsidR="00993BFC" w:rsidRDefault="00993BFC" w:rsidP="00FB0A03">
            <w:pPr>
              <w:pStyle w:val="Tabletext0"/>
              <w:rPr>
                <w:lang w:val="en-GB"/>
              </w:rPr>
            </w:pPr>
          </w:p>
        </w:tc>
        <w:tc>
          <w:tcPr>
            <w:tcW w:w="1219" w:type="dxa"/>
          </w:tcPr>
          <w:p w14:paraId="6CF45606" w14:textId="77777777" w:rsidR="00993BFC" w:rsidRDefault="00993BFC" w:rsidP="00FB0A03">
            <w:pPr>
              <w:pStyle w:val="Tabletext0"/>
              <w:rPr>
                <w:lang w:val="en-GB"/>
              </w:rPr>
            </w:pPr>
            <w:r>
              <w:rPr>
                <w:lang w:val="en-GB"/>
              </w:rPr>
              <w:t>Retrospective case series</w:t>
            </w:r>
          </w:p>
          <w:p w14:paraId="749513E5" w14:textId="77777777" w:rsidR="00993BFC" w:rsidRDefault="00993BFC" w:rsidP="00FB0A03">
            <w:pPr>
              <w:pStyle w:val="Tabletext0"/>
              <w:rPr>
                <w:lang w:val="en-GB"/>
              </w:rPr>
            </w:pPr>
            <w:r>
              <w:rPr>
                <w:lang w:val="en-GB"/>
              </w:rPr>
              <w:t>Moderate risk of bias (9/15</w:t>
            </w:r>
          </w:p>
          <w:p w14:paraId="162931CE" w14:textId="77777777" w:rsidR="00993BFC" w:rsidRDefault="00993BFC" w:rsidP="00FB0A03">
            <w:pPr>
              <w:pStyle w:val="Tabletext0"/>
              <w:rPr>
                <w:lang w:val="en-GB"/>
              </w:rPr>
            </w:pPr>
            <w:r>
              <w:rPr>
                <w:lang w:val="en-GB"/>
              </w:rPr>
              <w:t xml:space="preserve">on modified  </w:t>
            </w:r>
            <w:hyperlink r:id="rId22" w:history="1">
              <w:r w:rsidRPr="00B430B0">
                <w:rPr>
                  <w:rStyle w:val="Hyperlink"/>
                  <w:rFonts w:eastAsiaTheme="majorEastAsia"/>
                  <w:lang w:val="en-GB"/>
                </w:rPr>
                <w:t>IHE case series checklist</w:t>
              </w:r>
            </w:hyperlink>
            <w:r>
              <w:rPr>
                <w:lang w:val="en-GB"/>
              </w:rPr>
              <w:t>)</w:t>
            </w:r>
          </w:p>
        </w:tc>
        <w:tc>
          <w:tcPr>
            <w:tcW w:w="1037" w:type="dxa"/>
          </w:tcPr>
          <w:p w14:paraId="456857D2" w14:textId="77777777" w:rsidR="00993BFC" w:rsidRDefault="00993BFC" w:rsidP="00FB0A03">
            <w:pPr>
              <w:pStyle w:val="Tabletext0"/>
              <w:rPr>
                <w:lang w:val="en-GB"/>
              </w:rPr>
            </w:pPr>
            <w:r>
              <w:rPr>
                <w:lang w:val="en-GB"/>
              </w:rPr>
              <w:t>203 in broad panel</w:t>
            </w:r>
          </w:p>
          <w:p w14:paraId="4EFDDEAB" w14:textId="77777777" w:rsidR="00993BFC" w:rsidRDefault="00993BFC" w:rsidP="00FB0A03">
            <w:pPr>
              <w:pStyle w:val="Tabletext0"/>
              <w:rPr>
                <w:lang w:val="en-GB"/>
              </w:rPr>
            </w:pPr>
            <w:r>
              <w:rPr>
                <w:lang w:val="en-GB"/>
              </w:rPr>
              <w:t>52 DNA reported separately from</w:t>
            </w:r>
          </w:p>
          <w:p w14:paraId="7C54159E" w14:textId="77777777" w:rsidR="00993BFC" w:rsidRDefault="00993BFC" w:rsidP="00FB0A03">
            <w:pPr>
              <w:pStyle w:val="Tabletext0"/>
              <w:rPr>
                <w:lang w:val="en-GB"/>
              </w:rPr>
            </w:pPr>
            <w:r>
              <w:rPr>
                <w:lang w:val="en-GB"/>
              </w:rPr>
              <w:t>RNA</w:t>
            </w:r>
          </w:p>
        </w:tc>
        <w:tc>
          <w:tcPr>
            <w:tcW w:w="1125" w:type="dxa"/>
          </w:tcPr>
          <w:p w14:paraId="40CE43E3" w14:textId="77777777" w:rsidR="00993BFC" w:rsidRDefault="00993BFC" w:rsidP="00FB0A03">
            <w:pPr>
              <w:pStyle w:val="Tabletext0"/>
              <w:rPr>
                <w:lang w:val="en-GB"/>
              </w:rPr>
            </w:pPr>
            <w:r>
              <w:rPr>
                <w:lang w:val="en-GB"/>
              </w:rPr>
              <w:t>Paediatric/adolescent/young adult acute leukaemia</w:t>
            </w:r>
          </w:p>
          <w:p w14:paraId="440F2E1C" w14:textId="77777777" w:rsidR="00993BFC" w:rsidRDefault="00993BFC" w:rsidP="00FB0A03">
            <w:pPr>
              <w:pStyle w:val="Tabletext0"/>
              <w:rPr>
                <w:lang w:val="en-GB"/>
              </w:rPr>
            </w:pPr>
          </w:p>
          <w:p w14:paraId="1568CF6D" w14:textId="77777777" w:rsidR="00993BFC" w:rsidRDefault="00993BFC" w:rsidP="00FB0A03">
            <w:pPr>
              <w:pStyle w:val="Tabletext0"/>
              <w:rPr>
                <w:lang w:val="en-GB"/>
              </w:rPr>
            </w:pPr>
            <w:r>
              <w:rPr>
                <w:lang w:val="en-GB"/>
              </w:rPr>
              <w:t xml:space="preserve">Selected on basis of </w:t>
            </w:r>
            <w:r>
              <w:rPr>
                <w:lang w:val="en-GB"/>
              </w:rPr>
              <w:lastRenderedPageBreak/>
              <w:t>sample availability, and prioritised if no genetic results from prior tests</w:t>
            </w:r>
          </w:p>
        </w:tc>
        <w:tc>
          <w:tcPr>
            <w:tcW w:w="708" w:type="dxa"/>
          </w:tcPr>
          <w:p w14:paraId="70EA479C" w14:textId="77777777" w:rsidR="00993BFC" w:rsidRDefault="00993BFC" w:rsidP="00FB0A03">
            <w:pPr>
              <w:pStyle w:val="Tabletext0"/>
              <w:rPr>
                <w:lang w:val="en-GB"/>
              </w:rPr>
            </w:pPr>
            <w:r>
              <w:rPr>
                <w:lang w:val="en-GB"/>
              </w:rPr>
              <w:lastRenderedPageBreak/>
              <w:t>76</w:t>
            </w:r>
          </w:p>
        </w:tc>
        <w:tc>
          <w:tcPr>
            <w:tcW w:w="3918" w:type="dxa"/>
          </w:tcPr>
          <w:p w14:paraId="66CA22A8" w14:textId="77777777" w:rsidR="00993BFC" w:rsidRDefault="00993BFC" w:rsidP="00FB0A03">
            <w:pPr>
              <w:pStyle w:val="Tabletext0"/>
              <w:rPr>
                <w:lang w:val="en-GB"/>
              </w:rPr>
            </w:pPr>
            <w:r>
              <w:rPr>
                <w:lang w:val="en-GB"/>
              </w:rPr>
              <w:t>Limited to &lt;25-year-olds at diagnosis or relapse with high quality samples, prioritising those without genetic</w:t>
            </w:r>
          </w:p>
          <w:p w14:paraId="73A071F3" w14:textId="77777777" w:rsidR="00993BFC" w:rsidRDefault="00993BFC" w:rsidP="00FB0A03">
            <w:pPr>
              <w:pStyle w:val="Tabletext0"/>
              <w:rPr>
                <w:lang w:val="en-GB"/>
              </w:rPr>
            </w:pPr>
            <w:r>
              <w:rPr>
                <w:lang w:val="en-GB"/>
              </w:rPr>
              <w:t>Used pan-cancer Paediatric panel limited analysis to 52 genes relevant to haem malignancies</w:t>
            </w:r>
          </w:p>
          <w:p w14:paraId="6D407F32" w14:textId="77777777" w:rsidR="00993BFC" w:rsidRDefault="00993BFC" w:rsidP="00FB0A03">
            <w:pPr>
              <w:pStyle w:val="Tabletext0"/>
              <w:rPr>
                <w:lang w:val="en-GB"/>
              </w:rPr>
            </w:pPr>
            <w:r>
              <w:rPr>
                <w:lang w:val="en-GB"/>
              </w:rPr>
              <w:t>DNA variants and outcomes reported separately</w:t>
            </w:r>
          </w:p>
          <w:p w14:paraId="5E5C8E2F" w14:textId="77777777" w:rsidR="00993BFC" w:rsidRDefault="00993BFC" w:rsidP="00FB0A03">
            <w:pPr>
              <w:pStyle w:val="Tabletext0"/>
              <w:rPr>
                <w:lang w:val="en-GB"/>
              </w:rPr>
            </w:pPr>
            <w:r>
              <w:rPr>
                <w:lang w:val="en-GB"/>
              </w:rPr>
              <w:t>RNA more impact on refining diagnoses vs DNA more impact on prognosis, treatment options</w:t>
            </w:r>
          </w:p>
          <w:p w14:paraId="1FC78601" w14:textId="77777777" w:rsidR="00993BFC" w:rsidRDefault="00993BFC" w:rsidP="00FB0A03">
            <w:pPr>
              <w:pStyle w:val="Tabletext0"/>
              <w:rPr>
                <w:lang w:val="en-GB"/>
              </w:rPr>
            </w:pPr>
            <w:r>
              <w:rPr>
                <w:lang w:val="en-GB"/>
              </w:rPr>
              <w:lastRenderedPageBreak/>
              <w:t>49% of patients had clinically relevant variants (Tier 1 or 2) in 33 genes</w:t>
            </w:r>
          </w:p>
          <w:p w14:paraId="446CA18A" w14:textId="77777777" w:rsidR="00993BFC" w:rsidRDefault="00993BFC" w:rsidP="00FB0A03">
            <w:pPr>
              <w:pStyle w:val="Tabletext0"/>
              <w:rPr>
                <w:lang w:val="en-GB"/>
              </w:rPr>
            </w:pPr>
            <w:r>
              <w:rPr>
                <w:lang w:val="en-GB"/>
              </w:rPr>
              <w:t>Reported significant germline testing outcomes</w:t>
            </w:r>
          </w:p>
        </w:tc>
      </w:tr>
      <w:tr w:rsidR="00BC3AC0" w14:paraId="177F75FF" w14:textId="77777777" w:rsidTr="00D10261">
        <w:tc>
          <w:tcPr>
            <w:tcW w:w="1009" w:type="dxa"/>
          </w:tcPr>
          <w:p w14:paraId="487A52AA" w14:textId="77777777" w:rsidR="00BC3AC0" w:rsidRPr="00222789" w:rsidRDefault="00BC3AC0" w:rsidP="00BC3AC0">
            <w:pPr>
              <w:pStyle w:val="Tabletext0"/>
              <w:rPr>
                <w:i/>
                <w:iCs/>
              </w:rPr>
            </w:pPr>
            <w:r w:rsidRPr="00222789">
              <w:rPr>
                <w:i/>
                <w:iCs/>
              </w:rPr>
              <w:lastRenderedPageBreak/>
              <w:t xml:space="preserve">Pillonel et </w:t>
            </w:r>
            <w:proofErr w:type="gramStart"/>
            <w:r w:rsidRPr="00222789">
              <w:rPr>
                <w:i/>
                <w:iCs/>
              </w:rPr>
              <w:t>al  (</w:t>
            </w:r>
            <w:proofErr w:type="gramEnd"/>
            <w:r w:rsidRPr="00222789">
              <w:rPr>
                <w:i/>
                <w:iCs/>
              </w:rPr>
              <w:t>2020)</w:t>
            </w:r>
          </w:p>
          <w:p w14:paraId="5679A6F1" w14:textId="77777777" w:rsidR="00BC3AC0" w:rsidRPr="00222789" w:rsidRDefault="00BC3AC0" w:rsidP="00FB0A03">
            <w:pPr>
              <w:pStyle w:val="Tabletext0"/>
              <w:rPr>
                <w:i/>
                <w:iCs/>
                <w:lang w:val="en-GB"/>
              </w:rPr>
            </w:pPr>
          </w:p>
        </w:tc>
        <w:tc>
          <w:tcPr>
            <w:tcW w:w="1219" w:type="dxa"/>
          </w:tcPr>
          <w:p w14:paraId="1406604B" w14:textId="56160F53" w:rsidR="00BC3AC0" w:rsidRPr="00222789" w:rsidRDefault="00BC3AC0" w:rsidP="00FB0A03">
            <w:pPr>
              <w:pStyle w:val="Tabletext0"/>
              <w:rPr>
                <w:i/>
                <w:iCs/>
                <w:lang w:val="en-GB"/>
              </w:rPr>
            </w:pPr>
            <w:r w:rsidRPr="00222789">
              <w:rPr>
                <w:i/>
                <w:iCs/>
                <w:lang w:val="en-GB"/>
              </w:rPr>
              <w:t>Retrospective case series</w:t>
            </w:r>
          </w:p>
        </w:tc>
        <w:tc>
          <w:tcPr>
            <w:tcW w:w="1037" w:type="dxa"/>
          </w:tcPr>
          <w:p w14:paraId="3DA62DDC" w14:textId="77777777" w:rsidR="00BC3AC0" w:rsidRPr="00222789" w:rsidRDefault="00BC3AC0" w:rsidP="00BC3AC0">
            <w:pPr>
              <w:pStyle w:val="Tabletext0"/>
              <w:rPr>
                <w:i/>
                <w:iCs/>
                <w:lang w:val="en-GB"/>
              </w:rPr>
            </w:pPr>
            <w:r w:rsidRPr="00222789">
              <w:rPr>
                <w:i/>
                <w:iCs/>
                <w:lang w:val="en-GB"/>
              </w:rPr>
              <w:t>68 genes</w:t>
            </w:r>
          </w:p>
          <w:p w14:paraId="53A8D092" w14:textId="2B3A1303" w:rsidR="00BC3AC0" w:rsidRPr="00222789" w:rsidRDefault="00BC3AC0" w:rsidP="00BC3AC0">
            <w:pPr>
              <w:pStyle w:val="Tabletext0"/>
              <w:rPr>
                <w:i/>
                <w:iCs/>
                <w:lang w:val="en-GB"/>
              </w:rPr>
            </w:pPr>
            <w:r w:rsidRPr="00222789">
              <w:rPr>
                <w:i/>
                <w:iCs/>
                <w:lang w:val="en-GB"/>
              </w:rPr>
              <w:t>DNA</w:t>
            </w:r>
          </w:p>
        </w:tc>
        <w:tc>
          <w:tcPr>
            <w:tcW w:w="1125" w:type="dxa"/>
          </w:tcPr>
          <w:p w14:paraId="0E565B24" w14:textId="0685E658" w:rsidR="00BC3AC0" w:rsidRPr="00222789" w:rsidRDefault="00BC3AC0" w:rsidP="00FB0A03">
            <w:pPr>
              <w:pStyle w:val="Tabletext0"/>
              <w:rPr>
                <w:i/>
                <w:iCs/>
                <w:lang w:val="en-GB"/>
              </w:rPr>
            </w:pPr>
            <w:r w:rsidRPr="00222789">
              <w:rPr>
                <w:i/>
                <w:iCs/>
                <w:lang w:val="en-GB"/>
              </w:rPr>
              <w:t>Lymphoid malignancies</w:t>
            </w:r>
          </w:p>
        </w:tc>
        <w:tc>
          <w:tcPr>
            <w:tcW w:w="708" w:type="dxa"/>
          </w:tcPr>
          <w:p w14:paraId="21F32F59" w14:textId="49C79DF7" w:rsidR="00BC3AC0" w:rsidRPr="00222789" w:rsidRDefault="00BC3AC0" w:rsidP="00FB0A03">
            <w:pPr>
              <w:pStyle w:val="Tabletext0"/>
              <w:rPr>
                <w:i/>
                <w:iCs/>
                <w:lang w:val="en-GB"/>
              </w:rPr>
            </w:pPr>
            <w:r w:rsidRPr="00222789">
              <w:rPr>
                <w:i/>
                <w:iCs/>
                <w:lang w:val="en-GB"/>
              </w:rPr>
              <w:t>80</w:t>
            </w:r>
          </w:p>
        </w:tc>
        <w:tc>
          <w:tcPr>
            <w:tcW w:w="3918" w:type="dxa"/>
          </w:tcPr>
          <w:p w14:paraId="73E2565A" w14:textId="77777777" w:rsidR="00BC3AC0" w:rsidRPr="00222789" w:rsidRDefault="00BC3AC0" w:rsidP="00BC3AC0">
            <w:pPr>
              <w:pStyle w:val="Tabletext0"/>
              <w:rPr>
                <w:i/>
                <w:iCs/>
                <w:lang w:val="en-GB"/>
              </w:rPr>
            </w:pPr>
            <w:r w:rsidRPr="00222789">
              <w:rPr>
                <w:i/>
                <w:iCs/>
                <w:lang w:val="en-GB"/>
              </w:rPr>
              <w:t>Gene panel larger than proposed therefore not generalisable to this application</w:t>
            </w:r>
          </w:p>
          <w:p w14:paraId="4D17AAB6" w14:textId="77777777" w:rsidR="00BC3AC0" w:rsidRPr="00222789" w:rsidRDefault="00BC3AC0" w:rsidP="00BC3AC0">
            <w:pPr>
              <w:pStyle w:val="Tabletext0"/>
              <w:rPr>
                <w:i/>
                <w:iCs/>
                <w:lang w:val="en-GB"/>
              </w:rPr>
            </w:pPr>
            <w:r w:rsidRPr="00222789">
              <w:rPr>
                <w:i/>
                <w:iCs/>
                <w:lang w:val="en-GB"/>
              </w:rPr>
              <w:t xml:space="preserve">Demonstrates resolution of diagnostic challenges </w:t>
            </w:r>
          </w:p>
          <w:p w14:paraId="096C36D0" w14:textId="1FFCF73D" w:rsidR="00BC3AC0" w:rsidRPr="00222789" w:rsidRDefault="00BC3AC0" w:rsidP="00BC3AC0">
            <w:pPr>
              <w:pStyle w:val="Tabletext0"/>
              <w:rPr>
                <w:i/>
                <w:iCs/>
                <w:lang w:val="en-GB"/>
              </w:rPr>
            </w:pPr>
            <w:r w:rsidRPr="00222789">
              <w:rPr>
                <w:i/>
                <w:iCs/>
                <w:lang w:val="en-GB"/>
              </w:rPr>
              <w:t>Strongly supportive of the approach but key difference is the gene panel size</w:t>
            </w:r>
          </w:p>
        </w:tc>
      </w:tr>
    </w:tbl>
    <w:p w14:paraId="18D2A4F2" w14:textId="1CA9F2A0" w:rsidR="000F3597" w:rsidRPr="00451E76" w:rsidRDefault="00451E76" w:rsidP="00451E76">
      <w:pPr>
        <w:pStyle w:val="FootnoteText"/>
        <w:rPr>
          <w:rFonts w:ascii="Arial Narrow" w:hAnsi="Arial Narrow"/>
        </w:rPr>
      </w:pPr>
      <w:r w:rsidRPr="00451E76">
        <w:rPr>
          <w:rFonts w:ascii="Arial Narrow" w:hAnsi="Arial Narrow"/>
        </w:rPr>
        <w:t>TCR=T cell receptor; IGH=Immunoglobulin H</w:t>
      </w:r>
      <w:r w:rsidR="00386840">
        <w:rPr>
          <w:rFonts w:ascii="Arial Narrow" w:hAnsi="Arial Narrow"/>
        </w:rPr>
        <w:t>.</w:t>
      </w:r>
    </w:p>
    <w:p w14:paraId="3B9FC2AD" w14:textId="18C33AF2" w:rsidR="00772829" w:rsidRPr="00CE28E3" w:rsidRDefault="00FA4672" w:rsidP="002A18BE">
      <w:pPr>
        <w:pStyle w:val="Heading2"/>
        <w:numPr>
          <w:ilvl w:val="0"/>
          <w:numId w:val="0"/>
        </w:numPr>
      </w:pPr>
      <w:bookmarkStart w:id="23" w:name="_Toc111754798"/>
      <w:r>
        <w:t>11</w:t>
      </w:r>
      <w:r w:rsidR="00C36633">
        <w:t>.</w:t>
      </w:r>
      <w:r w:rsidR="00C36633">
        <w:tab/>
      </w:r>
      <w:r w:rsidR="00772829" w:rsidRPr="00500D94">
        <w:t>Comparative safety</w:t>
      </w:r>
      <w:bookmarkEnd w:id="23"/>
    </w:p>
    <w:p w14:paraId="2972A097" w14:textId="113633D7" w:rsidR="00500D94" w:rsidRDefault="00510CD6" w:rsidP="00510CD6">
      <w:r>
        <w:t xml:space="preserve">The </w:t>
      </w:r>
      <w:r w:rsidR="00500D94">
        <w:t xml:space="preserve">safety of NGS panel testing for the characterisation of variants in patients with haematological malignancies would be non-inferior to management without the testing. Samples would have already been collected for other tests. </w:t>
      </w:r>
      <w:r w:rsidR="00993BFC">
        <w:t xml:space="preserve">The justification for not addressing the safety outcomes outlined in the Ratified PICO confirmation are presented </w:t>
      </w:r>
    </w:p>
    <w:p w14:paraId="3C417AFA" w14:textId="33B05AE1" w:rsidR="00772829" w:rsidRDefault="00500D94" w:rsidP="00510CD6">
      <w:r>
        <w:t>There is</w:t>
      </w:r>
      <w:r w:rsidR="00510CD6">
        <w:t xml:space="preserve"> potential for the</w:t>
      </w:r>
      <w:r w:rsidR="004033D9" w:rsidRPr="003251C2">
        <w:t xml:space="preserve"> proposed technology </w:t>
      </w:r>
      <w:r w:rsidR="00120EF9">
        <w:t>to increase the safety of patients receiving treatment after NGS panel testing rather</w:t>
      </w:r>
      <w:r w:rsidR="00172B8F" w:rsidRPr="003251C2">
        <w:t xml:space="preserve"> than </w:t>
      </w:r>
      <w:r w:rsidR="0052768C" w:rsidRPr="003251C2">
        <w:t>clinical management without it.</w:t>
      </w:r>
      <w:r w:rsidR="00120EF9">
        <w:t xml:space="preserve"> For example, the inclusion of genes such as </w:t>
      </w:r>
      <w:r w:rsidR="00120EF9" w:rsidRPr="00500D94">
        <w:rPr>
          <w:i/>
          <w:iCs/>
        </w:rPr>
        <w:t>TPMT</w:t>
      </w:r>
      <w:r w:rsidR="00120EF9">
        <w:t xml:space="preserve"> may identif</w:t>
      </w:r>
      <w:r w:rsidR="00F2323B">
        <w:t>y</w:t>
      </w:r>
      <w:r>
        <w:t xml:space="preserve"> a patient with acute leukaemia who was at risk of toxicity from 6-mercaptopur</w:t>
      </w:r>
      <w:r w:rsidR="00527F23">
        <w:t>ine</w:t>
      </w:r>
      <w:r w:rsidR="00120EF9">
        <w:t xml:space="preserve"> </w:t>
      </w:r>
      <w:r>
        <w:t xml:space="preserve">and NGS was demonstrated to </w:t>
      </w:r>
      <w:r w:rsidR="00527F23">
        <w:t xml:space="preserve">be able to </w:t>
      </w:r>
      <w:r>
        <w:t>overturn diagnoses of a malignant condition, especially where no diagnosis was otherwise possible.</w:t>
      </w:r>
    </w:p>
    <w:p w14:paraId="3717AA01" w14:textId="188A9FEF" w:rsidR="00772829" w:rsidRPr="00CE28E3" w:rsidRDefault="00C36633" w:rsidP="002A18BE">
      <w:pPr>
        <w:pStyle w:val="Heading2"/>
        <w:numPr>
          <w:ilvl w:val="0"/>
          <w:numId w:val="0"/>
        </w:numPr>
      </w:pPr>
      <w:bookmarkStart w:id="24" w:name="_Toc111754799"/>
      <w:r>
        <w:t>1</w:t>
      </w:r>
      <w:r w:rsidR="00FA4672">
        <w:t>2</w:t>
      </w:r>
      <w:r>
        <w:t>.</w:t>
      </w:r>
      <w:r>
        <w:tab/>
      </w:r>
      <w:r w:rsidR="00772829" w:rsidRPr="003E7DA5">
        <w:t>Comparative effectiveness</w:t>
      </w:r>
      <w:bookmarkEnd w:id="24"/>
    </w:p>
    <w:p w14:paraId="556E0D40" w14:textId="13F2FFA1" w:rsidR="009B69E8" w:rsidRDefault="00A04788" w:rsidP="009334C9">
      <w:pPr>
        <w:pStyle w:val="Heading3"/>
      </w:pPr>
      <w:bookmarkStart w:id="25" w:name="_Toc111754800"/>
      <w:r>
        <w:t>Myeloid NGS panel</w:t>
      </w:r>
      <w:bookmarkEnd w:id="25"/>
    </w:p>
    <w:p w14:paraId="7669E74E" w14:textId="57DB904C" w:rsidR="00C46E06" w:rsidRPr="00C46E06" w:rsidRDefault="00DE1221" w:rsidP="00C46E06">
      <w:r>
        <w:t>The evidence from the three studies below supports the clinical claim of superiority compared with no gene panel testing and can be used to demonstrate the cost-effectiveness of NGS panel testing to characterise variants in patients with a suspected myeloid neoplasm. This needs to be complemented by a test directory as currently it is not possible to present the range of genes, nor the range of conditions in a meaningful way in an item descriptor. The gene list currently lacks some critical genes and this is referred to MSAC for consideration.</w:t>
      </w:r>
      <w:r w:rsidR="00C46E06">
        <w:br w:type="page"/>
      </w:r>
    </w:p>
    <w:p w14:paraId="49274622" w14:textId="616EE591" w:rsidR="00A04788" w:rsidRDefault="00A04788" w:rsidP="00A04788">
      <w:pPr>
        <w:pStyle w:val="Caption"/>
      </w:pPr>
      <w:r>
        <w:lastRenderedPageBreak/>
        <w:t xml:space="preserve">Table </w:t>
      </w:r>
      <w:fldSimple w:instr=" SEQ Table \* ARABIC ">
        <w:r w:rsidR="00A165AD">
          <w:rPr>
            <w:noProof/>
          </w:rPr>
          <w:t>7</w:t>
        </w:r>
      </w:fldSimple>
      <w:r>
        <w:t xml:space="preserve"> Summary of NGS results and impact on diagnosis, </w:t>
      </w:r>
      <w:proofErr w:type="gramStart"/>
      <w:r>
        <w:t>prognosis</w:t>
      </w:r>
      <w:proofErr w:type="gramEnd"/>
      <w:r>
        <w:t xml:space="preserve"> and therapy selection</w:t>
      </w:r>
    </w:p>
    <w:tbl>
      <w:tblPr>
        <w:tblStyle w:val="TableGrid"/>
        <w:tblW w:w="5000" w:type="pct"/>
        <w:tblLook w:val="04A0" w:firstRow="1" w:lastRow="0" w:firstColumn="1" w:lastColumn="0" w:noHBand="0" w:noVBand="1"/>
      </w:tblPr>
      <w:tblGrid>
        <w:gridCol w:w="6172"/>
        <w:gridCol w:w="2844"/>
      </w:tblGrid>
      <w:tr w:rsidR="00A04788" w14:paraId="2D753394" w14:textId="77777777" w:rsidTr="00C54181">
        <w:trPr>
          <w:tblHeader/>
        </w:trPr>
        <w:tc>
          <w:tcPr>
            <w:tcW w:w="3423" w:type="pct"/>
          </w:tcPr>
          <w:p w14:paraId="146576BF" w14:textId="5C171953" w:rsidR="00DE1221" w:rsidRDefault="00A04788" w:rsidP="00947725">
            <w:pPr>
              <w:pStyle w:val="Tabletext0"/>
              <w:rPr>
                <w:rFonts w:cs="Calibri"/>
                <w:b/>
                <w:bCs/>
                <w:color w:val="000000"/>
                <w:lang w:eastAsia="en-GB"/>
              </w:rPr>
            </w:pPr>
            <w:r>
              <w:rPr>
                <w:rFonts w:cs="Calibri"/>
                <w:b/>
                <w:bCs/>
                <w:color w:val="000000"/>
                <w:lang w:eastAsia="en-GB"/>
              </w:rPr>
              <w:t>Patel</w:t>
            </w:r>
            <w:r w:rsidR="00CB25F2">
              <w:rPr>
                <w:rFonts w:cs="Calibri"/>
                <w:b/>
                <w:bCs/>
                <w:color w:val="000000"/>
                <w:lang w:eastAsia="en-GB"/>
              </w:rPr>
              <w:t xml:space="preserve"> et al</w:t>
            </w:r>
            <w:r w:rsidRPr="00522D64">
              <w:rPr>
                <w:rFonts w:cs="Calibri"/>
                <w:b/>
                <w:bCs/>
                <w:color w:val="000000"/>
                <w:lang w:eastAsia="en-GB"/>
              </w:rPr>
              <w:t xml:space="preserve"> </w:t>
            </w:r>
            <w:r w:rsidR="00CB25F2">
              <w:rPr>
                <w:rFonts w:cs="Calibri"/>
                <w:b/>
                <w:bCs/>
                <w:color w:val="000000"/>
                <w:lang w:eastAsia="en-GB"/>
              </w:rPr>
              <w:t>(</w:t>
            </w:r>
            <w:r>
              <w:rPr>
                <w:rFonts w:cs="Calibri"/>
                <w:b/>
                <w:bCs/>
                <w:color w:val="000000"/>
                <w:lang w:eastAsia="en-GB"/>
              </w:rPr>
              <w:t>2021</w:t>
            </w:r>
            <w:r w:rsidR="00CB25F2">
              <w:rPr>
                <w:rFonts w:cs="Calibri"/>
                <w:b/>
                <w:bCs/>
                <w:color w:val="000000"/>
                <w:lang w:eastAsia="en-GB"/>
              </w:rPr>
              <w:t>)</w:t>
            </w:r>
          </w:p>
          <w:p w14:paraId="02BA5721" w14:textId="2866D7BC" w:rsidR="00A04788" w:rsidRDefault="00A04788" w:rsidP="00947725">
            <w:pPr>
              <w:pStyle w:val="Tabletext0"/>
            </w:pPr>
            <w:r w:rsidRPr="00522D64">
              <w:rPr>
                <w:rFonts w:cs="Calibri"/>
                <w:b/>
                <w:bCs/>
                <w:color w:val="000000"/>
                <w:lang w:eastAsia="en-GB"/>
              </w:rPr>
              <w:t xml:space="preserve">NGS </w:t>
            </w:r>
            <w:r w:rsidR="00A169D6">
              <w:rPr>
                <w:rFonts w:cs="Calibri"/>
                <w:b/>
                <w:bCs/>
                <w:color w:val="000000"/>
                <w:lang w:eastAsia="en-GB"/>
              </w:rPr>
              <w:t xml:space="preserve">37-gene </w:t>
            </w:r>
            <w:r w:rsidRPr="00522D64">
              <w:rPr>
                <w:rFonts w:cs="Calibri"/>
                <w:b/>
                <w:bCs/>
                <w:color w:val="000000"/>
                <w:lang w:eastAsia="en-GB"/>
              </w:rPr>
              <w:t xml:space="preserve">panel testing </w:t>
            </w:r>
            <w:r w:rsidRPr="00D7202A">
              <w:rPr>
                <w:rFonts w:cs="Calibri"/>
                <w:b/>
                <w:bCs/>
                <w:color w:val="000000"/>
                <w:u w:val="single"/>
                <w:lang w:eastAsia="en-GB"/>
              </w:rPr>
              <w:t>before</w:t>
            </w:r>
            <w:r w:rsidRPr="00522D64">
              <w:rPr>
                <w:rFonts w:cs="Calibri"/>
                <w:b/>
                <w:bCs/>
                <w:color w:val="000000"/>
                <w:lang w:eastAsia="en-GB"/>
              </w:rPr>
              <w:t xml:space="preserve"> cytogenetic/other genetic testing</w:t>
            </w:r>
          </w:p>
        </w:tc>
        <w:tc>
          <w:tcPr>
            <w:tcW w:w="1577" w:type="pct"/>
          </w:tcPr>
          <w:p w14:paraId="41AD391F" w14:textId="77777777" w:rsidR="00A04788" w:rsidRDefault="00A04788" w:rsidP="00947725">
            <w:pPr>
              <w:pStyle w:val="Tabletext0"/>
              <w:rPr>
                <w:rFonts w:cs="Calibri"/>
                <w:b/>
                <w:bCs/>
                <w:color w:val="000000"/>
                <w:lang w:eastAsia="en-GB"/>
              </w:rPr>
            </w:pPr>
            <w:r>
              <w:rPr>
                <w:rFonts w:cs="Calibri"/>
                <w:b/>
                <w:bCs/>
                <w:color w:val="000000"/>
                <w:lang w:eastAsia="en-GB"/>
              </w:rPr>
              <w:t>Number of patients (% of all patients)</w:t>
            </w:r>
          </w:p>
        </w:tc>
      </w:tr>
      <w:tr w:rsidR="00A04788" w14:paraId="1AF45B20" w14:textId="77777777" w:rsidTr="00C54181">
        <w:tc>
          <w:tcPr>
            <w:tcW w:w="3423" w:type="pct"/>
          </w:tcPr>
          <w:p w14:paraId="04489308" w14:textId="77777777" w:rsidR="00A04788" w:rsidRDefault="00A04788" w:rsidP="00947725">
            <w:pPr>
              <w:pStyle w:val="Tabletext0"/>
            </w:pPr>
            <w:r>
              <w:t>Number of patients tested</w:t>
            </w:r>
          </w:p>
        </w:tc>
        <w:tc>
          <w:tcPr>
            <w:tcW w:w="1577" w:type="pct"/>
          </w:tcPr>
          <w:p w14:paraId="6F3D3A59" w14:textId="77777777" w:rsidR="00A04788" w:rsidRDefault="00A04788" w:rsidP="00947725">
            <w:pPr>
              <w:pStyle w:val="Tabletext0"/>
            </w:pPr>
            <w:r>
              <w:t>343</w:t>
            </w:r>
          </w:p>
        </w:tc>
      </w:tr>
      <w:tr w:rsidR="00A04788" w14:paraId="152D39FC" w14:textId="77777777" w:rsidTr="00C54181">
        <w:tc>
          <w:tcPr>
            <w:tcW w:w="3423" w:type="pct"/>
          </w:tcPr>
          <w:p w14:paraId="2B589898" w14:textId="77777777" w:rsidR="00A04788" w:rsidRDefault="00A04788" w:rsidP="00947725">
            <w:pPr>
              <w:pStyle w:val="Tabletext0"/>
            </w:pPr>
            <w:r>
              <w:t>≥1 clinically significant variants (%)</w:t>
            </w:r>
          </w:p>
        </w:tc>
        <w:tc>
          <w:tcPr>
            <w:tcW w:w="1577" w:type="pct"/>
          </w:tcPr>
          <w:p w14:paraId="00E2BB04" w14:textId="77777777" w:rsidR="00A04788" w:rsidRDefault="00A04788" w:rsidP="00947725">
            <w:pPr>
              <w:pStyle w:val="Tabletext0"/>
            </w:pPr>
            <w:r>
              <w:t>244 (71%)</w:t>
            </w:r>
          </w:p>
        </w:tc>
      </w:tr>
      <w:tr w:rsidR="00A04788" w14:paraId="50046E20" w14:textId="77777777" w:rsidTr="00C54181">
        <w:tc>
          <w:tcPr>
            <w:tcW w:w="3423" w:type="pct"/>
          </w:tcPr>
          <w:p w14:paraId="03162E80" w14:textId="77777777" w:rsidR="00A04788" w:rsidRDefault="00A04788" w:rsidP="00947725">
            <w:pPr>
              <w:pStyle w:val="Tabletext0"/>
            </w:pPr>
            <w:r>
              <w:t>No variants detected</w:t>
            </w:r>
          </w:p>
        </w:tc>
        <w:tc>
          <w:tcPr>
            <w:tcW w:w="1577" w:type="pct"/>
          </w:tcPr>
          <w:p w14:paraId="05029B17" w14:textId="77777777" w:rsidR="00A04788" w:rsidRDefault="00A04788" w:rsidP="00947725">
            <w:pPr>
              <w:pStyle w:val="Tabletext0"/>
            </w:pPr>
            <w:r>
              <w:t>99 (29%)</w:t>
            </w:r>
          </w:p>
        </w:tc>
      </w:tr>
      <w:tr w:rsidR="00A04788" w14:paraId="72936CCB" w14:textId="77777777" w:rsidTr="00C54181">
        <w:tc>
          <w:tcPr>
            <w:tcW w:w="3423" w:type="pct"/>
          </w:tcPr>
          <w:p w14:paraId="5501B39E" w14:textId="77777777" w:rsidR="00A04788" w:rsidRDefault="00A04788" w:rsidP="00947725">
            <w:pPr>
              <w:pStyle w:val="Tabletext0"/>
            </w:pPr>
            <w:r>
              <w:t>2-4 variants in same gene</w:t>
            </w:r>
          </w:p>
        </w:tc>
        <w:tc>
          <w:tcPr>
            <w:tcW w:w="1577" w:type="pct"/>
          </w:tcPr>
          <w:p w14:paraId="3D54A039" w14:textId="77777777" w:rsidR="00A04788" w:rsidRDefault="00A04788" w:rsidP="00947725">
            <w:pPr>
              <w:pStyle w:val="Tabletext0"/>
            </w:pPr>
            <w:r>
              <w:t>64 (19%)</w:t>
            </w:r>
          </w:p>
        </w:tc>
      </w:tr>
      <w:tr w:rsidR="00A04788" w14:paraId="0C83C1EF" w14:textId="77777777" w:rsidTr="00C54181">
        <w:tc>
          <w:tcPr>
            <w:tcW w:w="3423" w:type="pct"/>
          </w:tcPr>
          <w:p w14:paraId="1CC18988" w14:textId="77777777" w:rsidR="00A04788" w:rsidRDefault="00A04788" w:rsidP="00947725">
            <w:pPr>
              <w:pStyle w:val="Tabletext0"/>
            </w:pPr>
            <w:r>
              <w:t>Change in diagnosis</w:t>
            </w:r>
          </w:p>
        </w:tc>
        <w:tc>
          <w:tcPr>
            <w:tcW w:w="1577" w:type="pct"/>
          </w:tcPr>
          <w:p w14:paraId="47C5DB88" w14:textId="77777777" w:rsidR="00A04788" w:rsidRDefault="00A04788" w:rsidP="00947725">
            <w:pPr>
              <w:pStyle w:val="Tabletext0"/>
            </w:pPr>
            <w:r>
              <w:t>6 (1.7%)</w:t>
            </w:r>
          </w:p>
        </w:tc>
      </w:tr>
      <w:tr w:rsidR="00A04788" w14:paraId="4297A053" w14:textId="77777777" w:rsidTr="00C54181">
        <w:tc>
          <w:tcPr>
            <w:tcW w:w="3423" w:type="pct"/>
          </w:tcPr>
          <w:p w14:paraId="35B392EA" w14:textId="77777777" w:rsidR="00A04788" w:rsidRDefault="00A04788" w:rsidP="00947725">
            <w:pPr>
              <w:pStyle w:val="Tabletext0"/>
            </w:pPr>
            <w:r>
              <w:t>Refinement in diagnosis</w:t>
            </w:r>
          </w:p>
        </w:tc>
        <w:tc>
          <w:tcPr>
            <w:tcW w:w="1577" w:type="pct"/>
          </w:tcPr>
          <w:p w14:paraId="4517F17A" w14:textId="77777777" w:rsidR="00A04788" w:rsidRDefault="00A04788" w:rsidP="00947725">
            <w:pPr>
              <w:pStyle w:val="Tabletext0"/>
            </w:pPr>
            <w:r>
              <w:t>26 (7.6%)</w:t>
            </w:r>
          </w:p>
        </w:tc>
      </w:tr>
      <w:tr w:rsidR="00A04788" w14:paraId="61C0A740" w14:textId="77777777" w:rsidTr="00C54181">
        <w:tc>
          <w:tcPr>
            <w:tcW w:w="3423" w:type="pct"/>
          </w:tcPr>
          <w:p w14:paraId="4DEE632C" w14:textId="77777777" w:rsidR="00A04788" w:rsidRDefault="00A04788" w:rsidP="00947725">
            <w:pPr>
              <w:pStyle w:val="Tabletext0"/>
            </w:pPr>
            <w:r>
              <w:t>Change/refinement in diagnosis</w:t>
            </w:r>
          </w:p>
        </w:tc>
        <w:tc>
          <w:tcPr>
            <w:tcW w:w="1577" w:type="pct"/>
          </w:tcPr>
          <w:p w14:paraId="4D5F72B7" w14:textId="77777777" w:rsidR="00A04788" w:rsidRDefault="00A04788" w:rsidP="00947725">
            <w:pPr>
              <w:pStyle w:val="Tabletext0"/>
            </w:pPr>
            <w:r>
              <w:t>32 (9%)</w:t>
            </w:r>
          </w:p>
        </w:tc>
      </w:tr>
      <w:tr w:rsidR="00A04788" w14:paraId="6534D4AA" w14:textId="77777777" w:rsidTr="00C54181">
        <w:tc>
          <w:tcPr>
            <w:tcW w:w="3423" w:type="pct"/>
          </w:tcPr>
          <w:p w14:paraId="36DD3B1C" w14:textId="77777777" w:rsidR="00A04788" w:rsidRDefault="00A04788" w:rsidP="00947725">
            <w:pPr>
              <w:pStyle w:val="Tabletext0"/>
            </w:pPr>
            <w:r>
              <w:t>Change in prognosis</w:t>
            </w:r>
          </w:p>
        </w:tc>
        <w:tc>
          <w:tcPr>
            <w:tcW w:w="1577" w:type="pct"/>
          </w:tcPr>
          <w:p w14:paraId="60317A7C" w14:textId="77777777" w:rsidR="00A04788" w:rsidRDefault="00A04788" w:rsidP="00947725">
            <w:pPr>
              <w:pStyle w:val="Tabletext0"/>
            </w:pPr>
            <w:r>
              <w:t>211 (62%)</w:t>
            </w:r>
          </w:p>
        </w:tc>
      </w:tr>
      <w:tr w:rsidR="00A04788" w14:paraId="0CB20D91" w14:textId="77777777" w:rsidTr="00C54181">
        <w:tc>
          <w:tcPr>
            <w:tcW w:w="3423" w:type="pct"/>
          </w:tcPr>
          <w:p w14:paraId="36CF73FF" w14:textId="77777777" w:rsidR="00A04788" w:rsidRDefault="00A04788" w:rsidP="00947725">
            <w:pPr>
              <w:pStyle w:val="Tabletext0"/>
            </w:pPr>
            <w:r>
              <w:t xml:space="preserve">Worse prognosis </w:t>
            </w:r>
            <w:r w:rsidRPr="002A5F28">
              <w:rPr>
                <w:rFonts w:ascii="Franklin Gothic Book" w:hAnsi="Franklin Gothic Book" w:cstheme="minorBidi"/>
                <w:i/>
                <w:iCs/>
                <w:lang w:eastAsia="en-US"/>
              </w:rPr>
              <w:t>ASXL1, FLT3, TP53, RUNX1, NRAS, SRSF2, EZH2</w:t>
            </w:r>
            <w:r w:rsidRPr="002A5F28">
              <w:rPr>
                <w:i/>
                <w:iCs/>
              </w:rPr>
              <w:t>,</w:t>
            </w:r>
            <w:r w:rsidRPr="002A5F28">
              <w:rPr>
                <w:rFonts w:ascii="Franklin Gothic Book" w:hAnsi="Franklin Gothic Book" w:cstheme="minorBidi"/>
                <w:i/>
                <w:iCs/>
                <w:lang w:eastAsia="en-US"/>
              </w:rPr>
              <w:t xml:space="preserve"> ETV6</w:t>
            </w:r>
            <w:r w:rsidRPr="00584A71">
              <w:rPr>
                <w:rFonts w:ascii="Franklin Gothic Book" w:hAnsi="Franklin Gothic Book" w:cstheme="minorBidi"/>
                <w:lang w:eastAsia="en-US"/>
              </w:rPr>
              <w:t xml:space="preserve"> </w:t>
            </w:r>
          </w:p>
        </w:tc>
        <w:tc>
          <w:tcPr>
            <w:tcW w:w="1577" w:type="pct"/>
          </w:tcPr>
          <w:p w14:paraId="4FA1C93D" w14:textId="77777777" w:rsidR="00A04788" w:rsidRDefault="00A04788" w:rsidP="00947725">
            <w:pPr>
              <w:pStyle w:val="Tabletext0"/>
            </w:pPr>
            <w:r>
              <w:t>157 (46%)</w:t>
            </w:r>
          </w:p>
        </w:tc>
      </w:tr>
      <w:tr w:rsidR="00A04788" w14:paraId="72077730" w14:textId="77777777" w:rsidTr="00C54181">
        <w:tc>
          <w:tcPr>
            <w:tcW w:w="3423" w:type="pct"/>
          </w:tcPr>
          <w:p w14:paraId="25BF3670" w14:textId="77777777" w:rsidR="00A04788" w:rsidRDefault="00A04788" w:rsidP="00947725">
            <w:pPr>
              <w:pStyle w:val="Tabletext0"/>
            </w:pPr>
            <w:r>
              <w:t xml:space="preserve">Better prognosis </w:t>
            </w:r>
            <w:r w:rsidRPr="002A5F28">
              <w:rPr>
                <w:i/>
                <w:iCs/>
              </w:rPr>
              <w:t>J</w:t>
            </w:r>
            <w:r w:rsidRPr="002A5F28">
              <w:rPr>
                <w:rFonts w:ascii="Franklin Gothic Book" w:hAnsi="Franklin Gothic Book" w:cstheme="minorBidi"/>
                <w:i/>
                <w:iCs/>
                <w:lang w:eastAsia="en-US"/>
              </w:rPr>
              <w:t>AK2, NPM1, SF3B1</w:t>
            </w:r>
            <w:r>
              <w:rPr>
                <w:rFonts w:ascii="Franklin Gothic Book" w:hAnsi="Franklin Gothic Book" w:cstheme="minorBidi"/>
                <w:i/>
                <w:iCs/>
                <w:lang w:eastAsia="en-US"/>
              </w:rPr>
              <w:t xml:space="preserve">, </w:t>
            </w:r>
            <w:r w:rsidRPr="002A5F28">
              <w:rPr>
                <w:rFonts w:ascii="Franklin Gothic Book" w:hAnsi="Franklin Gothic Book" w:cstheme="minorBidi"/>
                <w:i/>
                <w:iCs/>
                <w:lang w:eastAsia="en-US"/>
              </w:rPr>
              <w:t>CALR</w:t>
            </w:r>
            <w:r w:rsidRPr="00584A71">
              <w:rPr>
                <w:rFonts w:ascii="Franklin Gothic Book" w:hAnsi="Franklin Gothic Book" w:cstheme="minorBidi"/>
                <w:lang w:eastAsia="en-US"/>
              </w:rPr>
              <w:t xml:space="preserve"> </w:t>
            </w:r>
          </w:p>
        </w:tc>
        <w:tc>
          <w:tcPr>
            <w:tcW w:w="1577" w:type="pct"/>
          </w:tcPr>
          <w:p w14:paraId="33983A75" w14:textId="77777777" w:rsidR="00A04788" w:rsidRDefault="00A04788" w:rsidP="00947725">
            <w:pPr>
              <w:pStyle w:val="Tabletext0"/>
            </w:pPr>
            <w:r>
              <w:t>54 (16%)</w:t>
            </w:r>
          </w:p>
        </w:tc>
      </w:tr>
      <w:tr w:rsidR="00A04788" w14:paraId="65132906" w14:textId="77777777" w:rsidTr="00C54181">
        <w:tc>
          <w:tcPr>
            <w:tcW w:w="3423" w:type="pct"/>
          </w:tcPr>
          <w:p w14:paraId="237460BA" w14:textId="77777777" w:rsidR="00A04788" w:rsidRDefault="00A04788" w:rsidP="00947725">
            <w:pPr>
              <w:pStyle w:val="Tabletext0"/>
            </w:pPr>
            <w:r>
              <w:t>Number who commenced initial treatment before NGS results available</w:t>
            </w:r>
          </w:p>
        </w:tc>
        <w:tc>
          <w:tcPr>
            <w:tcW w:w="1577" w:type="pct"/>
          </w:tcPr>
          <w:p w14:paraId="42AF95D0" w14:textId="77777777" w:rsidR="00A04788" w:rsidRDefault="00A04788" w:rsidP="00947725">
            <w:pPr>
              <w:pStyle w:val="Tabletext0"/>
            </w:pPr>
            <w:r>
              <w:t>223 (65%)</w:t>
            </w:r>
          </w:p>
        </w:tc>
      </w:tr>
      <w:tr w:rsidR="00A04788" w14:paraId="33E16AB6" w14:textId="77777777" w:rsidTr="00C54181">
        <w:tc>
          <w:tcPr>
            <w:tcW w:w="3423" w:type="pct"/>
          </w:tcPr>
          <w:p w14:paraId="2B19AA91" w14:textId="77777777" w:rsidR="00A04788" w:rsidRDefault="00A04788" w:rsidP="00B56755">
            <w:pPr>
              <w:pStyle w:val="Tabletext0"/>
              <w:numPr>
                <w:ilvl w:val="0"/>
                <w:numId w:val="16"/>
              </w:numPr>
              <w:jc w:val="center"/>
            </w:pPr>
            <w:r>
              <w:t>Initial treatment changed once NGS results available</w:t>
            </w:r>
          </w:p>
        </w:tc>
        <w:tc>
          <w:tcPr>
            <w:tcW w:w="1577" w:type="pct"/>
          </w:tcPr>
          <w:p w14:paraId="12B138EC" w14:textId="77777777" w:rsidR="00A04788" w:rsidRDefault="00A04788" w:rsidP="00947725">
            <w:pPr>
              <w:pStyle w:val="Tabletext0"/>
            </w:pPr>
            <w:r>
              <w:t>78 (23%)</w:t>
            </w:r>
          </w:p>
        </w:tc>
      </w:tr>
      <w:tr w:rsidR="00A04788" w14:paraId="753EBDB5" w14:textId="77777777" w:rsidTr="00C54181">
        <w:tc>
          <w:tcPr>
            <w:tcW w:w="3423" w:type="pct"/>
          </w:tcPr>
          <w:p w14:paraId="69C78BB3" w14:textId="77777777" w:rsidR="00A04788" w:rsidRDefault="00A04788" w:rsidP="00B56755">
            <w:pPr>
              <w:pStyle w:val="Tabletext0"/>
              <w:numPr>
                <w:ilvl w:val="0"/>
                <w:numId w:val="18"/>
              </w:numPr>
              <w:jc w:val="center"/>
            </w:pPr>
            <w:r>
              <w:t>Changed to clinical trial (11 targeted, 23 non-targeted)</w:t>
            </w:r>
          </w:p>
        </w:tc>
        <w:tc>
          <w:tcPr>
            <w:tcW w:w="1577" w:type="pct"/>
          </w:tcPr>
          <w:p w14:paraId="27474C16" w14:textId="77777777" w:rsidR="00A04788" w:rsidRDefault="00A04788" w:rsidP="00947725">
            <w:pPr>
              <w:pStyle w:val="Tabletext0"/>
            </w:pPr>
            <w:r>
              <w:t>34 (44%)</w:t>
            </w:r>
          </w:p>
        </w:tc>
      </w:tr>
      <w:tr w:rsidR="00A04788" w14:paraId="3102117B" w14:textId="77777777" w:rsidTr="00C54181">
        <w:tc>
          <w:tcPr>
            <w:tcW w:w="3423" w:type="pct"/>
          </w:tcPr>
          <w:p w14:paraId="0300C12B" w14:textId="77777777" w:rsidR="00A04788" w:rsidRDefault="00A04788" w:rsidP="00B56755">
            <w:pPr>
              <w:pStyle w:val="Tabletext0"/>
              <w:numPr>
                <w:ilvl w:val="0"/>
                <w:numId w:val="17"/>
              </w:numPr>
              <w:jc w:val="center"/>
            </w:pPr>
            <w:r>
              <w:t>Changed to targeted therapy outside of trial</w:t>
            </w:r>
          </w:p>
        </w:tc>
        <w:tc>
          <w:tcPr>
            <w:tcW w:w="1577" w:type="pct"/>
          </w:tcPr>
          <w:p w14:paraId="4EFF3E33" w14:textId="77777777" w:rsidR="00A04788" w:rsidRDefault="00A04788" w:rsidP="00947725">
            <w:pPr>
              <w:pStyle w:val="Tabletext0"/>
            </w:pPr>
            <w:r>
              <w:t>44 (56%)</w:t>
            </w:r>
          </w:p>
        </w:tc>
      </w:tr>
      <w:tr w:rsidR="00A04788" w14:paraId="5FB6915A" w14:textId="77777777" w:rsidTr="00C54181">
        <w:tc>
          <w:tcPr>
            <w:tcW w:w="3423" w:type="pct"/>
          </w:tcPr>
          <w:p w14:paraId="37657C31" w14:textId="77777777" w:rsidR="00A04788" w:rsidRDefault="00A04788" w:rsidP="00947725">
            <w:pPr>
              <w:pStyle w:val="Tabletext0"/>
            </w:pPr>
            <w:r>
              <w:t>Total number of patients offered HSCT</w:t>
            </w:r>
          </w:p>
        </w:tc>
        <w:tc>
          <w:tcPr>
            <w:tcW w:w="1577" w:type="pct"/>
          </w:tcPr>
          <w:p w14:paraId="4B5A3BD7" w14:textId="77777777" w:rsidR="00A04788" w:rsidRDefault="00A04788" w:rsidP="00947725">
            <w:pPr>
              <w:pStyle w:val="Tabletext0"/>
            </w:pPr>
            <w:r>
              <w:t>156 (46%)</w:t>
            </w:r>
          </w:p>
        </w:tc>
      </w:tr>
      <w:tr w:rsidR="00A04788" w14:paraId="250D3028" w14:textId="77777777" w:rsidTr="00C54181">
        <w:tc>
          <w:tcPr>
            <w:tcW w:w="3423" w:type="pct"/>
          </w:tcPr>
          <w:p w14:paraId="79F31943" w14:textId="77777777" w:rsidR="00A04788" w:rsidRDefault="00A04788" w:rsidP="00B56755">
            <w:pPr>
              <w:pStyle w:val="Tabletext0"/>
              <w:numPr>
                <w:ilvl w:val="0"/>
                <w:numId w:val="16"/>
              </w:numPr>
            </w:pPr>
            <w:r>
              <w:t>Based on bone marrow morphology, cytogenetics, clinical factors</w:t>
            </w:r>
          </w:p>
          <w:p w14:paraId="7E1D0AEF" w14:textId="77777777" w:rsidR="00A04788" w:rsidRDefault="00A04788" w:rsidP="00B56755">
            <w:pPr>
              <w:pStyle w:val="Tabletext0"/>
              <w:numPr>
                <w:ilvl w:val="1"/>
                <w:numId w:val="16"/>
              </w:numPr>
            </w:pPr>
            <w:r>
              <w:t xml:space="preserve">38 </w:t>
            </w:r>
            <w:proofErr w:type="gramStart"/>
            <w:r>
              <w:t>actually received</w:t>
            </w:r>
            <w:proofErr w:type="gramEnd"/>
            <w:r>
              <w:t xml:space="preserve"> HSCT after induction (43%)</w:t>
            </w:r>
          </w:p>
        </w:tc>
        <w:tc>
          <w:tcPr>
            <w:tcW w:w="1577" w:type="pct"/>
          </w:tcPr>
          <w:p w14:paraId="3B396CBC" w14:textId="77777777" w:rsidR="00A04788" w:rsidRDefault="00A04788" w:rsidP="00947725">
            <w:pPr>
              <w:pStyle w:val="Tabletext0"/>
            </w:pPr>
            <w:r>
              <w:t>89 (26%)</w:t>
            </w:r>
          </w:p>
        </w:tc>
      </w:tr>
      <w:tr w:rsidR="00A04788" w14:paraId="1CD979B7" w14:textId="77777777" w:rsidTr="00C54181">
        <w:tc>
          <w:tcPr>
            <w:tcW w:w="3423" w:type="pct"/>
          </w:tcPr>
          <w:p w14:paraId="05FD296E" w14:textId="77777777" w:rsidR="00A04788" w:rsidRDefault="00A04788" w:rsidP="00B56755">
            <w:pPr>
              <w:pStyle w:val="Tabletext0"/>
              <w:numPr>
                <w:ilvl w:val="0"/>
                <w:numId w:val="16"/>
              </w:numPr>
            </w:pPr>
            <w:r>
              <w:t>Additional patients recommended HSCT after NGS results</w:t>
            </w:r>
          </w:p>
          <w:p w14:paraId="5C2B0B98" w14:textId="77777777" w:rsidR="00A04788" w:rsidRDefault="00A04788" w:rsidP="00B56755">
            <w:pPr>
              <w:pStyle w:val="Tabletext0"/>
              <w:numPr>
                <w:ilvl w:val="1"/>
                <w:numId w:val="16"/>
              </w:numPr>
            </w:pPr>
            <w:r>
              <w:t xml:space="preserve">34 </w:t>
            </w:r>
            <w:proofErr w:type="gramStart"/>
            <w:r>
              <w:t>actually received</w:t>
            </w:r>
            <w:proofErr w:type="gramEnd"/>
            <w:r>
              <w:t xml:space="preserve"> HSCT after induction (51%)</w:t>
            </w:r>
          </w:p>
        </w:tc>
        <w:tc>
          <w:tcPr>
            <w:tcW w:w="1577" w:type="pct"/>
          </w:tcPr>
          <w:p w14:paraId="7A68AD9E" w14:textId="77777777" w:rsidR="00A04788" w:rsidRDefault="00A04788" w:rsidP="00947725">
            <w:pPr>
              <w:pStyle w:val="Tabletext0"/>
            </w:pPr>
            <w:r>
              <w:t>67 (20%)</w:t>
            </w:r>
          </w:p>
        </w:tc>
      </w:tr>
      <w:tr w:rsidR="00A04788" w14:paraId="3783B3A0" w14:textId="77777777" w:rsidTr="00C54181">
        <w:tc>
          <w:tcPr>
            <w:tcW w:w="3423" w:type="pct"/>
          </w:tcPr>
          <w:p w14:paraId="5E1F29EF" w14:textId="77777777" w:rsidR="00A04788" w:rsidRDefault="00A04788" w:rsidP="00947725">
            <w:pPr>
              <w:pStyle w:val="Tabletext0"/>
            </w:pPr>
            <w:r>
              <w:t>Proportion of patients whose treatment guided by NGS (initial or HSCT)</w:t>
            </w:r>
          </w:p>
        </w:tc>
        <w:tc>
          <w:tcPr>
            <w:tcW w:w="1577" w:type="pct"/>
          </w:tcPr>
          <w:p w14:paraId="6C98A876" w14:textId="77777777" w:rsidR="00A04788" w:rsidRDefault="00A04788" w:rsidP="00947725">
            <w:pPr>
              <w:pStyle w:val="Tabletext0"/>
            </w:pPr>
            <w:r>
              <w:t>120 (35</w:t>
            </w:r>
            <w:proofErr w:type="gramStart"/>
            <w:r>
              <w:t>%)*</w:t>
            </w:r>
            <w:proofErr w:type="gramEnd"/>
          </w:p>
        </w:tc>
      </w:tr>
      <w:tr w:rsidR="00A04788" w14:paraId="652BDF83" w14:textId="77777777" w:rsidTr="00C54181">
        <w:tc>
          <w:tcPr>
            <w:tcW w:w="3423" w:type="pct"/>
          </w:tcPr>
          <w:p w14:paraId="528EC53C" w14:textId="5BF15FE1" w:rsidR="00A04788" w:rsidRDefault="00A04788" w:rsidP="00947725">
            <w:pPr>
              <w:pStyle w:val="Tabletext0"/>
            </w:pPr>
            <w:r>
              <w:t>Number of treatment decisions guided by NGS (initial or HSCT)</w:t>
            </w:r>
            <w:r w:rsidR="007E23FA">
              <w:t>/total population</w:t>
            </w:r>
          </w:p>
        </w:tc>
        <w:tc>
          <w:tcPr>
            <w:tcW w:w="1577" w:type="pct"/>
          </w:tcPr>
          <w:p w14:paraId="4A316CE8" w14:textId="77777777" w:rsidR="00A04788" w:rsidRDefault="00A04788" w:rsidP="00947725">
            <w:pPr>
              <w:pStyle w:val="Tabletext0"/>
            </w:pPr>
            <w:r>
              <w:t>145 (43</w:t>
            </w:r>
            <w:proofErr w:type="gramStart"/>
            <w:r>
              <w:t>%)*</w:t>
            </w:r>
            <w:proofErr w:type="gramEnd"/>
            <w:r>
              <w:t>*</w:t>
            </w:r>
          </w:p>
        </w:tc>
      </w:tr>
    </w:tbl>
    <w:p w14:paraId="5F2A9F9F" w14:textId="77777777" w:rsidR="00A04788" w:rsidRDefault="00A04788" w:rsidP="00A04788">
      <w:pPr>
        <w:pStyle w:val="TableFooter"/>
      </w:pPr>
      <w:r>
        <w:t xml:space="preserve">* </w:t>
      </w:r>
      <w:proofErr w:type="gramStart"/>
      <w:r>
        <w:t>proportion</w:t>
      </w:r>
      <w:proofErr w:type="gramEnd"/>
      <w:r>
        <w:t xml:space="preserve"> reported in the discussion section, p1707 reflecting that a patient may have had their treatment selection altered more than once during the course of managing their disease</w:t>
      </w:r>
    </w:p>
    <w:p w14:paraId="13CD6280" w14:textId="494880C5" w:rsidR="00C46E06" w:rsidRPr="00C46E06" w:rsidRDefault="00A04788" w:rsidP="00C46E06">
      <w:pPr>
        <w:pStyle w:val="TableFooter"/>
      </w:pPr>
      <w:r>
        <w:t>** more than one treatment decision in an individual may have been guided by NGS (e.g., targeted therapy followed by</w:t>
      </w:r>
      <w:r w:rsidR="00C97E5D">
        <w:t xml:space="preserve"> haematopoietic stem cell transplant</w:t>
      </w:r>
      <w:r>
        <w:t xml:space="preserve"> </w:t>
      </w:r>
      <w:r w:rsidR="00C97E5D">
        <w:t>(</w:t>
      </w:r>
      <w:r>
        <w:t>HSCT)</w:t>
      </w:r>
      <w:r w:rsidR="00C46E06">
        <w:br w:type="page"/>
      </w:r>
    </w:p>
    <w:p w14:paraId="0D0711EE" w14:textId="1D3BA248" w:rsidR="00D144D9" w:rsidRDefault="00D144D9" w:rsidP="00D144D9">
      <w:pPr>
        <w:pStyle w:val="Caption"/>
      </w:pPr>
      <w:r>
        <w:lastRenderedPageBreak/>
        <w:t xml:space="preserve">Table </w:t>
      </w:r>
      <w:fldSimple w:instr=" SEQ Table \* ARABIC ">
        <w:r w:rsidR="00A165AD">
          <w:rPr>
            <w:noProof/>
          </w:rPr>
          <w:t>8</w:t>
        </w:r>
      </w:fldSimple>
      <w:r w:rsidRPr="003757DF">
        <w:t xml:space="preserve"> </w:t>
      </w:r>
      <w:r>
        <w:t xml:space="preserve">Summary of clinical effectiveness of NGS 54-gene </w:t>
      </w:r>
      <w:r w:rsidR="005F512A">
        <w:t xml:space="preserve">myeloid </w:t>
      </w:r>
      <w:r>
        <w:t>panel in patients with myeloid neoplasms</w:t>
      </w:r>
      <w:r>
        <w:rPr>
          <w:rStyle w:val="FootnoteReference"/>
        </w:rPr>
        <w:footnoteReference w:id="17"/>
      </w:r>
    </w:p>
    <w:tbl>
      <w:tblPr>
        <w:tblStyle w:val="TableGrid1"/>
        <w:tblW w:w="5000" w:type="pct"/>
        <w:tblLook w:val="04A0" w:firstRow="1" w:lastRow="0" w:firstColumn="1" w:lastColumn="0" w:noHBand="0" w:noVBand="1"/>
      </w:tblPr>
      <w:tblGrid>
        <w:gridCol w:w="6232"/>
        <w:gridCol w:w="2784"/>
      </w:tblGrid>
      <w:tr w:rsidR="00D144D9" w:rsidRPr="00522D64" w14:paraId="407D1228" w14:textId="77777777" w:rsidTr="00C0247F">
        <w:trPr>
          <w:cnfStyle w:val="100000000000" w:firstRow="1" w:lastRow="0" w:firstColumn="0" w:lastColumn="0" w:oddVBand="0" w:evenVBand="0" w:oddHBand="0" w:evenHBand="0" w:firstRowFirstColumn="0" w:firstRowLastColumn="0" w:lastRowFirstColumn="0" w:lastRowLastColumn="0"/>
          <w:trHeight w:val="20"/>
          <w:tblHeader/>
        </w:trPr>
        <w:tc>
          <w:tcPr>
            <w:tcW w:w="3456" w:type="pct"/>
            <w:shd w:val="clear" w:color="auto" w:fill="auto"/>
            <w:vAlign w:val="center"/>
            <w:hideMark/>
          </w:tcPr>
          <w:p w14:paraId="5323938E" w14:textId="77777777" w:rsidR="00CB25F2" w:rsidRDefault="00D144D9" w:rsidP="00947725">
            <w:pPr>
              <w:spacing w:before="0" w:after="0"/>
              <w:rPr>
                <w:rFonts w:ascii="Arial Narrow" w:hAnsi="Arial Narrow" w:cs="Calibri"/>
                <w:b/>
                <w:bCs/>
                <w:color w:val="000000"/>
                <w:szCs w:val="20"/>
              </w:rPr>
            </w:pPr>
            <w:r>
              <w:rPr>
                <w:rFonts w:ascii="Arial Narrow" w:hAnsi="Arial Narrow" w:cs="Calibri"/>
                <w:b/>
                <w:bCs/>
                <w:color w:val="000000"/>
                <w:szCs w:val="20"/>
              </w:rPr>
              <w:t>Carbonell</w:t>
            </w:r>
            <w:r w:rsidRPr="00522D64">
              <w:rPr>
                <w:rFonts w:ascii="Arial Narrow" w:hAnsi="Arial Narrow" w:cs="Calibri"/>
                <w:b/>
                <w:bCs/>
                <w:color w:val="000000"/>
                <w:szCs w:val="20"/>
              </w:rPr>
              <w:t xml:space="preserve"> </w:t>
            </w:r>
            <w:r w:rsidR="00CB25F2">
              <w:rPr>
                <w:rFonts w:ascii="Arial Narrow" w:hAnsi="Arial Narrow" w:cs="Calibri"/>
                <w:b/>
                <w:bCs/>
                <w:color w:val="000000"/>
                <w:szCs w:val="20"/>
              </w:rPr>
              <w:t xml:space="preserve">et al (2019) </w:t>
            </w:r>
          </w:p>
          <w:p w14:paraId="634788FD" w14:textId="01F4416F" w:rsidR="00D144D9" w:rsidRPr="00522D64" w:rsidRDefault="00D144D9" w:rsidP="00947725">
            <w:pPr>
              <w:spacing w:before="0" w:after="0"/>
              <w:rPr>
                <w:rFonts w:ascii="Arial Narrow" w:hAnsi="Arial Narrow" w:cs="Calibri"/>
                <w:b/>
                <w:bCs/>
                <w:color w:val="000000"/>
                <w:szCs w:val="20"/>
              </w:rPr>
            </w:pPr>
            <w:r w:rsidRPr="00522D64">
              <w:rPr>
                <w:rFonts w:ascii="Arial Narrow" w:hAnsi="Arial Narrow" w:cs="Calibri"/>
                <w:b/>
                <w:bCs/>
                <w:color w:val="000000"/>
                <w:szCs w:val="20"/>
              </w:rPr>
              <w:t xml:space="preserve">NGS </w:t>
            </w:r>
            <w:r w:rsidR="00A169D6">
              <w:rPr>
                <w:rFonts w:ascii="Arial Narrow" w:hAnsi="Arial Narrow" w:cs="Calibri"/>
                <w:b/>
                <w:bCs/>
                <w:color w:val="000000"/>
                <w:szCs w:val="20"/>
              </w:rPr>
              <w:t xml:space="preserve">54-gene </w:t>
            </w:r>
            <w:r w:rsidRPr="00522D64">
              <w:rPr>
                <w:rFonts w:ascii="Arial Narrow" w:hAnsi="Arial Narrow" w:cs="Calibri"/>
                <w:b/>
                <w:bCs/>
                <w:color w:val="000000"/>
                <w:szCs w:val="20"/>
              </w:rPr>
              <w:t xml:space="preserve">panel testing </w:t>
            </w:r>
            <w:r w:rsidR="00441F7B">
              <w:rPr>
                <w:rFonts w:ascii="Arial Narrow" w:hAnsi="Arial Narrow" w:cs="Calibri"/>
                <w:b/>
                <w:bCs/>
                <w:color w:val="000000"/>
                <w:szCs w:val="20"/>
                <w:u w:val="single"/>
              </w:rPr>
              <w:t>after</w:t>
            </w:r>
            <w:r w:rsidRPr="00522D64">
              <w:rPr>
                <w:rFonts w:ascii="Arial Narrow" w:hAnsi="Arial Narrow" w:cs="Calibri"/>
                <w:b/>
                <w:bCs/>
                <w:color w:val="000000"/>
                <w:szCs w:val="20"/>
              </w:rPr>
              <w:t xml:space="preserve"> cytogenetic/other genetic testing</w:t>
            </w:r>
          </w:p>
        </w:tc>
        <w:tc>
          <w:tcPr>
            <w:tcW w:w="1544" w:type="pct"/>
            <w:shd w:val="clear" w:color="auto" w:fill="auto"/>
            <w:vAlign w:val="center"/>
            <w:hideMark/>
          </w:tcPr>
          <w:p w14:paraId="4A5F2E39" w14:textId="77777777" w:rsidR="00D144D9" w:rsidRPr="00522D64" w:rsidRDefault="00D144D9" w:rsidP="00C0247F">
            <w:pPr>
              <w:spacing w:before="0" w:after="0"/>
              <w:jc w:val="left"/>
              <w:rPr>
                <w:rFonts w:ascii="Arial Narrow" w:hAnsi="Arial Narrow" w:cs="Calibri"/>
                <w:b/>
                <w:bCs/>
                <w:color w:val="000000"/>
                <w:szCs w:val="20"/>
              </w:rPr>
            </w:pPr>
            <w:r>
              <w:rPr>
                <w:rFonts w:ascii="Arial Narrow" w:hAnsi="Arial Narrow" w:cs="Calibri"/>
                <w:b/>
                <w:bCs/>
                <w:color w:val="000000"/>
                <w:szCs w:val="20"/>
              </w:rPr>
              <w:t>Number of patients (% of total patients)</w:t>
            </w:r>
            <w:r w:rsidRPr="00522D64">
              <w:rPr>
                <w:rFonts w:ascii="Arial Narrow" w:hAnsi="Arial Narrow" w:cs="Calibri"/>
                <w:b/>
                <w:bCs/>
                <w:color w:val="000000"/>
                <w:szCs w:val="20"/>
              </w:rPr>
              <w:t xml:space="preserve"> </w:t>
            </w:r>
          </w:p>
        </w:tc>
      </w:tr>
      <w:tr w:rsidR="00D144D9" w:rsidRPr="00522D64" w14:paraId="204D6D0B" w14:textId="77777777" w:rsidTr="00C54181">
        <w:trPr>
          <w:trHeight w:val="20"/>
        </w:trPr>
        <w:tc>
          <w:tcPr>
            <w:tcW w:w="5000" w:type="pct"/>
            <w:gridSpan w:val="2"/>
            <w:shd w:val="clear" w:color="auto" w:fill="auto"/>
            <w:vAlign w:val="center"/>
          </w:tcPr>
          <w:p w14:paraId="192E4D05" w14:textId="77777777" w:rsidR="00D144D9" w:rsidRDefault="00D144D9" w:rsidP="00947725">
            <w:pPr>
              <w:jc w:val="left"/>
              <w:rPr>
                <w:rFonts w:ascii="Arial Narrow" w:hAnsi="Arial Narrow" w:cs="Calibri"/>
                <w:color w:val="000000"/>
                <w:szCs w:val="20"/>
              </w:rPr>
            </w:pPr>
            <w:r w:rsidRPr="00E20EF8">
              <w:rPr>
                <w:rFonts w:ascii="Arial Narrow" w:hAnsi="Arial Narrow" w:cs="Calibri"/>
                <w:b/>
                <w:bCs/>
                <w:color w:val="000000"/>
                <w:szCs w:val="20"/>
              </w:rPr>
              <w:t>Effectiveness measures at initial diagnosis</w:t>
            </w:r>
          </w:p>
        </w:tc>
      </w:tr>
      <w:tr w:rsidR="00D144D9" w:rsidRPr="00522D64" w14:paraId="5B171317" w14:textId="77777777" w:rsidTr="00C0247F">
        <w:trPr>
          <w:trHeight w:val="20"/>
        </w:trPr>
        <w:tc>
          <w:tcPr>
            <w:tcW w:w="3456" w:type="pct"/>
            <w:shd w:val="clear" w:color="auto" w:fill="auto"/>
            <w:vAlign w:val="center"/>
            <w:hideMark/>
          </w:tcPr>
          <w:p w14:paraId="555D09A0" w14:textId="77777777" w:rsidR="00D144D9" w:rsidRPr="00522D64" w:rsidRDefault="00D144D9" w:rsidP="00947725">
            <w:pPr>
              <w:rPr>
                <w:rFonts w:ascii="Arial Narrow" w:hAnsi="Arial Narrow" w:cs="Calibri"/>
                <w:color w:val="000000"/>
                <w:szCs w:val="20"/>
              </w:rPr>
            </w:pPr>
            <w:r w:rsidRPr="00522D64">
              <w:rPr>
                <w:rFonts w:ascii="Arial Narrow" w:hAnsi="Arial Narrow" w:cs="Calibri"/>
                <w:color w:val="000000"/>
                <w:szCs w:val="20"/>
              </w:rPr>
              <w:t>Total number of patients tested in study</w:t>
            </w:r>
          </w:p>
        </w:tc>
        <w:tc>
          <w:tcPr>
            <w:tcW w:w="1544" w:type="pct"/>
            <w:shd w:val="clear" w:color="auto" w:fill="auto"/>
            <w:vAlign w:val="center"/>
            <w:hideMark/>
          </w:tcPr>
          <w:p w14:paraId="6D4715AA" w14:textId="77777777" w:rsidR="00D144D9" w:rsidRPr="00522D64" w:rsidRDefault="00D144D9" w:rsidP="00C0247F">
            <w:pPr>
              <w:jc w:val="left"/>
              <w:rPr>
                <w:rFonts w:ascii="Arial Narrow" w:hAnsi="Arial Narrow" w:cs="Calibri"/>
                <w:color w:val="000000"/>
                <w:szCs w:val="20"/>
              </w:rPr>
            </w:pPr>
            <w:r>
              <w:rPr>
                <w:rFonts w:ascii="Arial Narrow" w:hAnsi="Arial Narrow" w:cs="Calibri"/>
                <w:color w:val="000000"/>
                <w:szCs w:val="20"/>
              </w:rPr>
              <w:t>121</w:t>
            </w:r>
          </w:p>
        </w:tc>
      </w:tr>
      <w:tr w:rsidR="00D144D9" w:rsidRPr="00522D64" w14:paraId="6DB2E0E5" w14:textId="77777777" w:rsidTr="00C0247F">
        <w:trPr>
          <w:trHeight w:val="20"/>
        </w:trPr>
        <w:tc>
          <w:tcPr>
            <w:tcW w:w="3456" w:type="pct"/>
            <w:shd w:val="clear" w:color="auto" w:fill="auto"/>
            <w:vAlign w:val="center"/>
            <w:hideMark/>
          </w:tcPr>
          <w:p w14:paraId="1F444EC5" w14:textId="77777777" w:rsidR="00D144D9" w:rsidRPr="00522D64" w:rsidRDefault="00D144D9" w:rsidP="00947725">
            <w:pPr>
              <w:rPr>
                <w:rFonts w:ascii="Arial Narrow" w:hAnsi="Arial Narrow" w:cs="Calibri"/>
                <w:color w:val="000000"/>
                <w:szCs w:val="20"/>
              </w:rPr>
            </w:pPr>
            <w:r w:rsidRPr="00522D64">
              <w:rPr>
                <w:rFonts w:ascii="Arial Narrow" w:hAnsi="Arial Narrow" w:cs="Calibri"/>
                <w:color w:val="000000"/>
                <w:szCs w:val="20"/>
              </w:rPr>
              <w:t xml:space="preserve">Number of patients where NGS identified </w:t>
            </w:r>
            <w:r>
              <w:rPr>
                <w:rFonts w:ascii="Arial Narrow" w:hAnsi="Arial Narrow" w:cs="Calibri"/>
                <w:color w:val="000000"/>
                <w:szCs w:val="20"/>
              </w:rPr>
              <w:t xml:space="preserve">≥1 </w:t>
            </w:r>
            <w:r w:rsidRPr="00522D64">
              <w:rPr>
                <w:rFonts w:ascii="Arial Narrow" w:hAnsi="Arial Narrow" w:cs="Calibri"/>
                <w:color w:val="000000"/>
                <w:szCs w:val="20"/>
              </w:rPr>
              <w:t xml:space="preserve">clinically significant variants </w:t>
            </w:r>
          </w:p>
        </w:tc>
        <w:tc>
          <w:tcPr>
            <w:tcW w:w="1544" w:type="pct"/>
            <w:shd w:val="clear" w:color="auto" w:fill="auto"/>
            <w:vAlign w:val="center"/>
            <w:hideMark/>
          </w:tcPr>
          <w:p w14:paraId="1A8EA73F" w14:textId="77777777" w:rsidR="00D144D9" w:rsidRPr="00522D64" w:rsidRDefault="00D144D9" w:rsidP="00C0247F">
            <w:pPr>
              <w:jc w:val="left"/>
              <w:rPr>
                <w:rFonts w:ascii="Arial Narrow" w:hAnsi="Arial Narrow" w:cs="Calibri"/>
                <w:color w:val="000000"/>
                <w:szCs w:val="20"/>
              </w:rPr>
            </w:pPr>
            <w:r>
              <w:rPr>
                <w:rFonts w:ascii="Arial Narrow" w:hAnsi="Arial Narrow" w:cs="Calibri"/>
                <w:color w:val="000000"/>
                <w:szCs w:val="20"/>
              </w:rPr>
              <w:t>102 (84%)</w:t>
            </w:r>
          </w:p>
        </w:tc>
      </w:tr>
      <w:tr w:rsidR="00D144D9" w:rsidRPr="00522D64" w14:paraId="76143FDD" w14:textId="77777777" w:rsidTr="00C0247F">
        <w:trPr>
          <w:trHeight w:val="20"/>
        </w:trPr>
        <w:tc>
          <w:tcPr>
            <w:tcW w:w="3456" w:type="pct"/>
            <w:shd w:val="clear" w:color="auto" w:fill="auto"/>
            <w:vAlign w:val="center"/>
            <w:hideMark/>
          </w:tcPr>
          <w:p w14:paraId="026A9633" w14:textId="77777777" w:rsidR="00D144D9" w:rsidRPr="00522D64" w:rsidRDefault="00D144D9" w:rsidP="00947725">
            <w:pPr>
              <w:rPr>
                <w:rFonts w:ascii="Arial Narrow" w:hAnsi="Arial Narrow" w:cs="Calibri"/>
                <w:color w:val="000000"/>
                <w:szCs w:val="20"/>
              </w:rPr>
            </w:pPr>
            <w:r w:rsidRPr="00522D64">
              <w:rPr>
                <w:rFonts w:ascii="Arial Narrow" w:hAnsi="Arial Narrow" w:cs="Calibri"/>
                <w:color w:val="000000"/>
                <w:szCs w:val="20"/>
              </w:rPr>
              <w:t xml:space="preserve">Number of patients </w:t>
            </w:r>
            <w:r>
              <w:rPr>
                <w:rFonts w:ascii="Arial Narrow" w:hAnsi="Arial Narrow" w:cs="Calibri"/>
                <w:color w:val="000000"/>
                <w:szCs w:val="20"/>
              </w:rPr>
              <w:t>with NGS</w:t>
            </w:r>
            <w:r w:rsidRPr="00522D64">
              <w:rPr>
                <w:rFonts w:ascii="Arial Narrow" w:hAnsi="Arial Narrow" w:cs="Calibri"/>
                <w:color w:val="000000"/>
                <w:szCs w:val="20"/>
              </w:rPr>
              <w:t xml:space="preserve"> result that altered or refined/confirmed their diagnosis</w:t>
            </w:r>
            <w:r>
              <w:rPr>
                <w:rFonts w:ascii="Arial Narrow" w:hAnsi="Arial Narrow" w:cs="Calibri"/>
                <w:color w:val="000000"/>
                <w:szCs w:val="20"/>
              </w:rPr>
              <w:t xml:space="preserve"> per 2016 WHO classification</w:t>
            </w:r>
          </w:p>
        </w:tc>
        <w:tc>
          <w:tcPr>
            <w:tcW w:w="1544" w:type="pct"/>
            <w:shd w:val="clear" w:color="auto" w:fill="auto"/>
            <w:vAlign w:val="center"/>
            <w:hideMark/>
          </w:tcPr>
          <w:p w14:paraId="4E10D04F" w14:textId="77777777" w:rsidR="00D144D9" w:rsidRPr="00522D64" w:rsidRDefault="00D144D9" w:rsidP="00C0247F">
            <w:pPr>
              <w:jc w:val="left"/>
              <w:rPr>
                <w:rFonts w:ascii="Arial Narrow" w:hAnsi="Arial Narrow" w:cs="Calibri"/>
                <w:color w:val="000000"/>
                <w:szCs w:val="20"/>
              </w:rPr>
            </w:pPr>
            <w:r>
              <w:rPr>
                <w:rFonts w:ascii="Arial Narrow" w:hAnsi="Arial Narrow" w:cs="Calibri"/>
                <w:color w:val="000000"/>
                <w:szCs w:val="20"/>
              </w:rPr>
              <w:t>7 (6%)</w:t>
            </w:r>
          </w:p>
        </w:tc>
      </w:tr>
      <w:tr w:rsidR="00D144D9" w:rsidRPr="00522D64" w14:paraId="417E78E8" w14:textId="77777777" w:rsidTr="00C0247F">
        <w:trPr>
          <w:trHeight w:val="20"/>
        </w:trPr>
        <w:tc>
          <w:tcPr>
            <w:tcW w:w="3456" w:type="pct"/>
            <w:shd w:val="clear" w:color="auto" w:fill="auto"/>
            <w:vAlign w:val="center"/>
            <w:hideMark/>
          </w:tcPr>
          <w:p w14:paraId="01E2F7FA" w14:textId="77777777" w:rsidR="00D144D9" w:rsidRPr="00522D64" w:rsidRDefault="00D144D9" w:rsidP="00947725">
            <w:pPr>
              <w:rPr>
                <w:rFonts w:ascii="Arial Narrow" w:hAnsi="Arial Narrow" w:cs="Calibri"/>
                <w:color w:val="000000"/>
                <w:szCs w:val="20"/>
              </w:rPr>
            </w:pPr>
            <w:r w:rsidRPr="00522D64">
              <w:rPr>
                <w:rFonts w:ascii="Arial Narrow" w:hAnsi="Arial Narrow" w:cs="Calibri"/>
                <w:color w:val="000000"/>
                <w:szCs w:val="20"/>
              </w:rPr>
              <w:t xml:space="preserve">Number of patients where NGS results reclassified prior </w:t>
            </w:r>
            <w:r>
              <w:rPr>
                <w:rFonts w:ascii="Arial Narrow" w:hAnsi="Arial Narrow" w:cs="Calibri"/>
                <w:color w:val="000000"/>
                <w:szCs w:val="20"/>
              </w:rPr>
              <w:t>classification of</w:t>
            </w:r>
            <w:r w:rsidRPr="00522D64">
              <w:rPr>
                <w:rFonts w:ascii="Arial Narrow" w:hAnsi="Arial Narrow" w:cs="Calibri"/>
                <w:color w:val="000000"/>
                <w:szCs w:val="20"/>
              </w:rPr>
              <w:t xml:space="preserve"> prognostic group differently using ELN system</w:t>
            </w:r>
            <w:r>
              <w:rPr>
                <w:rFonts w:ascii="Arial Narrow" w:hAnsi="Arial Narrow" w:cs="Calibri"/>
                <w:color w:val="000000"/>
                <w:szCs w:val="20"/>
              </w:rPr>
              <w:t xml:space="preserve"> (AML) or PMF MIPSS*</w:t>
            </w:r>
          </w:p>
        </w:tc>
        <w:tc>
          <w:tcPr>
            <w:tcW w:w="1544" w:type="pct"/>
            <w:shd w:val="clear" w:color="auto" w:fill="auto"/>
            <w:vAlign w:val="center"/>
            <w:hideMark/>
          </w:tcPr>
          <w:p w14:paraId="7B4FDA81" w14:textId="77777777" w:rsidR="00D144D9" w:rsidRPr="00522D64" w:rsidRDefault="00D144D9" w:rsidP="00C0247F">
            <w:pPr>
              <w:jc w:val="left"/>
              <w:rPr>
                <w:rFonts w:ascii="Arial Narrow" w:hAnsi="Arial Narrow" w:cs="Calibri"/>
                <w:color w:val="000000"/>
                <w:szCs w:val="20"/>
              </w:rPr>
            </w:pPr>
            <w:r>
              <w:rPr>
                <w:rFonts w:ascii="Arial Narrow" w:hAnsi="Arial Narrow" w:cs="Calibri"/>
                <w:color w:val="000000"/>
                <w:szCs w:val="20"/>
              </w:rPr>
              <w:t>16 (13%)</w:t>
            </w:r>
          </w:p>
        </w:tc>
      </w:tr>
      <w:tr w:rsidR="00D144D9" w:rsidRPr="00522D64" w14:paraId="538E56EF" w14:textId="77777777" w:rsidTr="00C0247F">
        <w:trPr>
          <w:trHeight w:val="20"/>
        </w:trPr>
        <w:tc>
          <w:tcPr>
            <w:tcW w:w="3456" w:type="pct"/>
            <w:shd w:val="clear" w:color="auto" w:fill="auto"/>
            <w:vAlign w:val="center"/>
          </w:tcPr>
          <w:p w14:paraId="2BF1385F" w14:textId="77777777" w:rsidR="00D144D9" w:rsidRPr="00522D64" w:rsidRDefault="00D144D9" w:rsidP="00947725">
            <w:pPr>
              <w:rPr>
                <w:rFonts w:ascii="Arial Narrow" w:hAnsi="Arial Narrow" w:cs="Calibri"/>
                <w:color w:val="000000"/>
                <w:szCs w:val="20"/>
              </w:rPr>
            </w:pPr>
            <w:r>
              <w:rPr>
                <w:rFonts w:ascii="Arial Narrow" w:hAnsi="Arial Narrow" w:cs="Calibri"/>
                <w:color w:val="000000"/>
                <w:szCs w:val="20"/>
              </w:rPr>
              <w:t xml:space="preserve">Somatic test identified potential germline variant </w:t>
            </w:r>
          </w:p>
        </w:tc>
        <w:tc>
          <w:tcPr>
            <w:tcW w:w="1544" w:type="pct"/>
            <w:shd w:val="clear" w:color="auto" w:fill="auto"/>
            <w:vAlign w:val="center"/>
          </w:tcPr>
          <w:p w14:paraId="600C510D" w14:textId="77777777" w:rsidR="00D144D9" w:rsidRPr="00522D64" w:rsidRDefault="00D144D9" w:rsidP="00C0247F">
            <w:pPr>
              <w:jc w:val="left"/>
              <w:rPr>
                <w:rFonts w:ascii="Arial Narrow" w:hAnsi="Arial Narrow" w:cs="Calibri"/>
                <w:color w:val="000000"/>
                <w:szCs w:val="20"/>
              </w:rPr>
            </w:pPr>
            <w:r>
              <w:rPr>
                <w:rFonts w:ascii="Arial Narrow" w:hAnsi="Arial Narrow" w:cs="Calibri"/>
                <w:color w:val="000000"/>
                <w:szCs w:val="20"/>
              </w:rPr>
              <w:t>21 (17%)</w:t>
            </w:r>
          </w:p>
        </w:tc>
      </w:tr>
      <w:tr w:rsidR="00D144D9" w:rsidRPr="00522D64" w14:paraId="5377AAE5" w14:textId="77777777" w:rsidTr="00C0247F">
        <w:trPr>
          <w:trHeight w:val="20"/>
        </w:trPr>
        <w:tc>
          <w:tcPr>
            <w:tcW w:w="3456" w:type="pct"/>
            <w:shd w:val="clear" w:color="auto" w:fill="auto"/>
            <w:vAlign w:val="center"/>
          </w:tcPr>
          <w:p w14:paraId="16A9E84B" w14:textId="77777777" w:rsidR="00D144D9" w:rsidRDefault="00D144D9" w:rsidP="00947725">
            <w:pPr>
              <w:rPr>
                <w:rFonts w:ascii="Arial Narrow" w:hAnsi="Arial Narrow" w:cs="Calibri"/>
                <w:color w:val="000000"/>
                <w:szCs w:val="20"/>
              </w:rPr>
            </w:pPr>
            <w:r>
              <w:rPr>
                <w:rFonts w:ascii="Arial Narrow" w:hAnsi="Arial Narrow" w:cs="Calibri"/>
                <w:color w:val="000000"/>
                <w:szCs w:val="20"/>
              </w:rPr>
              <w:t>Somatic/germline assessment performed</w:t>
            </w:r>
          </w:p>
        </w:tc>
        <w:tc>
          <w:tcPr>
            <w:tcW w:w="1544" w:type="pct"/>
            <w:shd w:val="clear" w:color="auto" w:fill="auto"/>
            <w:vAlign w:val="center"/>
          </w:tcPr>
          <w:p w14:paraId="0F413414" w14:textId="20E747E7" w:rsidR="00D144D9" w:rsidRDefault="00D144D9" w:rsidP="00C0247F">
            <w:pPr>
              <w:jc w:val="left"/>
              <w:rPr>
                <w:rFonts w:ascii="Arial Narrow" w:hAnsi="Arial Narrow" w:cs="Calibri"/>
                <w:color w:val="000000"/>
                <w:szCs w:val="20"/>
              </w:rPr>
            </w:pPr>
            <w:r>
              <w:rPr>
                <w:rFonts w:ascii="Arial Narrow" w:hAnsi="Arial Narrow" w:cs="Calibri"/>
                <w:color w:val="000000"/>
                <w:szCs w:val="20"/>
              </w:rPr>
              <w:t>17</w:t>
            </w:r>
            <w:r w:rsidR="00246C71">
              <w:rPr>
                <w:rFonts w:ascii="Arial Narrow" w:hAnsi="Arial Narrow" w:cs="Calibri"/>
                <w:color w:val="000000"/>
                <w:szCs w:val="20"/>
              </w:rPr>
              <w:t>/21 (8%)</w:t>
            </w:r>
          </w:p>
        </w:tc>
      </w:tr>
      <w:tr w:rsidR="00D144D9" w:rsidRPr="00522D64" w14:paraId="0311E3DC" w14:textId="77777777" w:rsidTr="00C0247F">
        <w:trPr>
          <w:trHeight w:val="20"/>
        </w:trPr>
        <w:tc>
          <w:tcPr>
            <w:tcW w:w="3456" w:type="pct"/>
            <w:shd w:val="clear" w:color="auto" w:fill="auto"/>
            <w:vAlign w:val="center"/>
          </w:tcPr>
          <w:p w14:paraId="30E405E8" w14:textId="77777777" w:rsidR="00D144D9" w:rsidRDefault="00D144D9" w:rsidP="00947725">
            <w:pPr>
              <w:rPr>
                <w:rFonts w:ascii="Arial Narrow" w:hAnsi="Arial Narrow" w:cs="Calibri"/>
                <w:color w:val="000000"/>
                <w:szCs w:val="20"/>
              </w:rPr>
            </w:pPr>
            <w:r>
              <w:rPr>
                <w:rFonts w:ascii="Arial Narrow" w:hAnsi="Arial Narrow" w:cs="Calibri"/>
                <w:color w:val="000000"/>
                <w:szCs w:val="20"/>
              </w:rPr>
              <w:t>Germline pathogenic variant identified</w:t>
            </w:r>
          </w:p>
        </w:tc>
        <w:tc>
          <w:tcPr>
            <w:tcW w:w="1544" w:type="pct"/>
            <w:shd w:val="clear" w:color="auto" w:fill="auto"/>
            <w:vAlign w:val="center"/>
          </w:tcPr>
          <w:p w14:paraId="36C372A5" w14:textId="345B8EB3" w:rsidR="00D144D9" w:rsidRDefault="00D144D9" w:rsidP="00C0247F">
            <w:pPr>
              <w:jc w:val="left"/>
              <w:rPr>
                <w:rFonts w:ascii="Arial Narrow" w:hAnsi="Arial Narrow" w:cs="Calibri"/>
                <w:color w:val="000000"/>
                <w:szCs w:val="20"/>
              </w:rPr>
            </w:pPr>
            <w:r>
              <w:rPr>
                <w:rFonts w:ascii="Arial Narrow" w:hAnsi="Arial Narrow" w:cs="Calibri"/>
                <w:color w:val="000000"/>
                <w:szCs w:val="20"/>
              </w:rPr>
              <w:t>3</w:t>
            </w:r>
            <w:r w:rsidR="00246C71">
              <w:rPr>
                <w:rFonts w:ascii="Arial Narrow" w:hAnsi="Arial Narrow" w:cs="Calibri"/>
                <w:color w:val="000000"/>
                <w:szCs w:val="20"/>
              </w:rPr>
              <w:t>/17</w:t>
            </w:r>
            <w:r>
              <w:rPr>
                <w:rFonts w:ascii="Arial Narrow" w:hAnsi="Arial Narrow" w:cs="Calibri"/>
                <w:color w:val="000000"/>
                <w:szCs w:val="20"/>
              </w:rPr>
              <w:t xml:space="preserve"> (18%)</w:t>
            </w:r>
          </w:p>
        </w:tc>
      </w:tr>
      <w:tr w:rsidR="00D144D9" w:rsidRPr="00522D64" w14:paraId="0A7F215B" w14:textId="77777777" w:rsidTr="00C0247F">
        <w:trPr>
          <w:trHeight w:val="20"/>
        </w:trPr>
        <w:tc>
          <w:tcPr>
            <w:tcW w:w="3456" w:type="pct"/>
            <w:shd w:val="clear" w:color="auto" w:fill="auto"/>
            <w:vAlign w:val="center"/>
            <w:hideMark/>
          </w:tcPr>
          <w:p w14:paraId="605F2013" w14:textId="77777777" w:rsidR="00D144D9" w:rsidRPr="00522D64" w:rsidRDefault="00D144D9" w:rsidP="00947725">
            <w:pPr>
              <w:rPr>
                <w:rFonts w:ascii="Arial Narrow" w:hAnsi="Arial Narrow" w:cs="Calibri"/>
                <w:color w:val="000000"/>
                <w:szCs w:val="20"/>
              </w:rPr>
            </w:pPr>
            <w:r>
              <w:rPr>
                <w:rFonts w:ascii="Arial Narrow" w:hAnsi="Arial Narrow" w:cs="Calibri"/>
                <w:color w:val="000000"/>
                <w:szCs w:val="20"/>
              </w:rPr>
              <w:t>Number of patients eligible for clinical trial based on NGS results</w:t>
            </w:r>
          </w:p>
        </w:tc>
        <w:tc>
          <w:tcPr>
            <w:tcW w:w="1544" w:type="pct"/>
            <w:shd w:val="clear" w:color="auto" w:fill="auto"/>
            <w:vAlign w:val="center"/>
            <w:hideMark/>
          </w:tcPr>
          <w:p w14:paraId="3C5E58BD" w14:textId="77777777" w:rsidR="00D144D9" w:rsidRPr="00522D64" w:rsidRDefault="00D144D9" w:rsidP="00C0247F">
            <w:pPr>
              <w:jc w:val="left"/>
              <w:rPr>
                <w:rFonts w:ascii="Arial Narrow" w:hAnsi="Arial Narrow" w:cs="Calibri"/>
                <w:color w:val="000000"/>
                <w:szCs w:val="20"/>
              </w:rPr>
            </w:pPr>
            <w:r>
              <w:rPr>
                <w:rFonts w:ascii="Arial Narrow" w:hAnsi="Arial Narrow" w:cs="Calibri"/>
                <w:color w:val="000000"/>
                <w:szCs w:val="20"/>
              </w:rPr>
              <w:t>44 (36%)</w:t>
            </w:r>
          </w:p>
        </w:tc>
      </w:tr>
      <w:tr w:rsidR="00D144D9" w:rsidRPr="00522D64" w14:paraId="6A27C995" w14:textId="77777777" w:rsidTr="00C0247F">
        <w:trPr>
          <w:trHeight w:val="20"/>
        </w:trPr>
        <w:tc>
          <w:tcPr>
            <w:tcW w:w="3456" w:type="pct"/>
            <w:shd w:val="clear" w:color="auto" w:fill="auto"/>
            <w:vAlign w:val="center"/>
          </w:tcPr>
          <w:p w14:paraId="4A2F599A" w14:textId="77777777" w:rsidR="00D144D9" w:rsidRDefault="00D144D9" w:rsidP="00947725">
            <w:pPr>
              <w:rPr>
                <w:rFonts w:ascii="Arial Narrow" w:hAnsi="Arial Narrow" w:cs="Calibri"/>
                <w:color w:val="000000"/>
                <w:szCs w:val="20"/>
              </w:rPr>
            </w:pPr>
            <w:r w:rsidRPr="00D94F86">
              <w:rPr>
                <w:rFonts w:ascii="Arial Narrow" w:hAnsi="Arial Narrow" w:cs="Calibri"/>
                <w:color w:val="000000"/>
                <w:szCs w:val="20"/>
                <w:vertAlign w:val="superscript"/>
              </w:rPr>
              <w:t>#</w:t>
            </w:r>
            <w:r>
              <w:rPr>
                <w:rFonts w:ascii="Arial Narrow" w:hAnsi="Arial Narrow" w:cs="Calibri"/>
                <w:color w:val="000000"/>
                <w:szCs w:val="20"/>
              </w:rPr>
              <w:t>*Number of informative results from NGS - diagnosis, prognosis, familial risk, treatment</w:t>
            </w:r>
          </w:p>
        </w:tc>
        <w:tc>
          <w:tcPr>
            <w:tcW w:w="1544" w:type="pct"/>
            <w:shd w:val="clear" w:color="auto" w:fill="auto"/>
            <w:vAlign w:val="center"/>
          </w:tcPr>
          <w:p w14:paraId="158D55F8" w14:textId="2C85549B" w:rsidR="00D144D9" w:rsidRDefault="00D144D9" w:rsidP="00C0247F">
            <w:pPr>
              <w:jc w:val="left"/>
              <w:rPr>
                <w:rFonts w:ascii="Arial Narrow" w:hAnsi="Arial Narrow" w:cs="Calibri"/>
                <w:color w:val="000000"/>
                <w:szCs w:val="20"/>
              </w:rPr>
            </w:pPr>
            <w:r>
              <w:rPr>
                <w:rFonts w:ascii="Arial Narrow" w:hAnsi="Arial Narrow" w:cs="Calibri"/>
                <w:color w:val="000000"/>
                <w:szCs w:val="20"/>
              </w:rPr>
              <w:t>70 (58%)</w:t>
            </w:r>
          </w:p>
        </w:tc>
      </w:tr>
      <w:tr w:rsidR="00D144D9" w:rsidRPr="00522D64" w14:paraId="6217C56F" w14:textId="77777777" w:rsidTr="00C54181">
        <w:trPr>
          <w:trHeight w:val="20"/>
        </w:trPr>
        <w:tc>
          <w:tcPr>
            <w:tcW w:w="5000" w:type="pct"/>
            <w:gridSpan w:val="2"/>
            <w:shd w:val="clear" w:color="auto" w:fill="auto"/>
            <w:vAlign w:val="center"/>
          </w:tcPr>
          <w:p w14:paraId="136D45B4" w14:textId="77777777" w:rsidR="00D144D9" w:rsidRPr="003757DF" w:rsidRDefault="00D144D9" w:rsidP="00947725">
            <w:pPr>
              <w:jc w:val="left"/>
              <w:rPr>
                <w:rFonts w:ascii="Arial Narrow" w:hAnsi="Arial Narrow" w:cs="Calibri"/>
                <w:b/>
                <w:bCs/>
                <w:color w:val="000000"/>
                <w:szCs w:val="20"/>
              </w:rPr>
            </w:pPr>
            <w:r w:rsidRPr="003757DF">
              <w:rPr>
                <w:rFonts w:ascii="Arial Narrow" w:hAnsi="Arial Narrow" w:cs="Calibri"/>
                <w:b/>
                <w:bCs/>
                <w:color w:val="000000"/>
                <w:szCs w:val="20"/>
              </w:rPr>
              <w:t>Effectiveness measures at relapse (compared with diagnosis)</w:t>
            </w:r>
          </w:p>
        </w:tc>
      </w:tr>
      <w:tr w:rsidR="00D144D9" w:rsidRPr="00522D64" w14:paraId="000F056B" w14:textId="77777777" w:rsidTr="00C0247F">
        <w:trPr>
          <w:trHeight w:val="20"/>
        </w:trPr>
        <w:tc>
          <w:tcPr>
            <w:tcW w:w="3456" w:type="pct"/>
            <w:shd w:val="clear" w:color="auto" w:fill="auto"/>
            <w:vAlign w:val="center"/>
          </w:tcPr>
          <w:p w14:paraId="44FE1242" w14:textId="77777777" w:rsidR="00D144D9" w:rsidRDefault="00D144D9" w:rsidP="00947725">
            <w:pPr>
              <w:rPr>
                <w:rFonts w:ascii="Arial Narrow" w:hAnsi="Arial Narrow" w:cs="Calibri"/>
                <w:color w:val="000000"/>
                <w:szCs w:val="20"/>
              </w:rPr>
            </w:pPr>
            <w:r>
              <w:rPr>
                <w:rFonts w:ascii="Arial Narrow" w:hAnsi="Arial Narrow" w:cs="Calibri"/>
                <w:color w:val="000000"/>
                <w:szCs w:val="20"/>
              </w:rPr>
              <w:t>Total number of patients tested at relapse</w:t>
            </w:r>
          </w:p>
        </w:tc>
        <w:tc>
          <w:tcPr>
            <w:tcW w:w="1544" w:type="pct"/>
            <w:shd w:val="clear" w:color="auto" w:fill="auto"/>
            <w:vAlign w:val="center"/>
          </w:tcPr>
          <w:p w14:paraId="620F4D22" w14:textId="6DF6ACCD" w:rsidR="00D144D9" w:rsidRDefault="00D144D9" w:rsidP="00C0247F">
            <w:pPr>
              <w:jc w:val="left"/>
              <w:rPr>
                <w:rFonts w:ascii="Arial Narrow" w:hAnsi="Arial Narrow" w:cs="Calibri"/>
                <w:color w:val="000000"/>
                <w:szCs w:val="20"/>
              </w:rPr>
            </w:pPr>
            <w:r>
              <w:rPr>
                <w:rFonts w:ascii="Arial Narrow" w:hAnsi="Arial Narrow" w:cs="Calibri"/>
                <w:color w:val="000000"/>
                <w:szCs w:val="20"/>
              </w:rPr>
              <w:t>10</w:t>
            </w:r>
            <w:r w:rsidR="004B3165">
              <w:rPr>
                <w:rFonts w:ascii="Arial Narrow" w:hAnsi="Arial Narrow" w:cs="Calibri"/>
                <w:color w:val="000000"/>
                <w:szCs w:val="20"/>
              </w:rPr>
              <w:t xml:space="preserve"> (8%)</w:t>
            </w:r>
          </w:p>
        </w:tc>
      </w:tr>
      <w:tr w:rsidR="00D144D9" w:rsidRPr="00522D64" w14:paraId="25EED02A" w14:textId="77777777" w:rsidTr="00C0247F">
        <w:trPr>
          <w:trHeight w:val="20"/>
        </w:trPr>
        <w:tc>
          <w:tcPr>
            <w:tcW w:w="3456" w:type="pct"/>
            <w:shd w:val="clear" w:color="auto" w:fill="auto"/>
            <w:vAlign w:val="center"/>
          </w:tcPr>
          <w:p w14:paraId="5B4F9B35" w14:textId="77777777" w:rsidR="00D144D9" w:rsidRDefault="00D144D9" w:rsidP="00947725">
            <w:pPr>
              <w:rPr>
                <w:rFonts w:ascii="Arial Narrow" w:hAnsi="Arial Narrow" w:cs="Calibri"/>
                <w:color w:val="000000"/>
                <w:szCs w:val="20"/>
              </w:rPr>
            </w:pPr>
            <w:r>
              <w:rPr>
                <w:rFonts w:ascii="Arial Narrow" w:hAnsi="Arial Narrow" w:cs="Calibri"/>
                <w:color w:val="000000"/>
                <w:szCs w:val="20"/>
              </w:rPr>
              <w:t>Patients with change of variant expression (gain, loss, both)</w:t>
            </w:r>
          </w:p>
        </w:tc>
        <w:tc>
          <w:tcPr>
            <w:tcW w:w="1544" w:type="pct"/>
            <w:shd w:val="clear" w:color="auto" w:fill="auto"/>
            <w:vAlign w:val="center"/>
          </w:tcPr>
          <w:p w14:paraId="18022915" w14:textId="0B220312" w:rsidR="00D144D9" w:rsidRDefault="00C408E5" w:rsidP="00C0247F">
            <w:pPr>
              <w:jc w:val="left"/>
              <w:rPr>
                <w:rFonts w:ascii="Arial Narrow" w:hAnsi="Arial Narrow" w:cs="Calibri"/>
                <w:color w:val="000000"/>
                <w:szCs w:val="20"/>
              </w:rPr>
            </w:pPr>
            <w:r>
              <w:rPr>
                <w:rFonts w:ascii="Arial Narrow" w:hAnsi="Arial Narrow" w:cs="Calibri"/>
                <w:color w:val="000000"/>
                <w:szCs w:val="20"/>
              </w:rPr>
              <w:t>6</w:t>
            </w:r>
            <w:r w:rsidR="00D144D9">
              <w:rPr>
                <w:rFonts w:ascii="Arial Narrow" w:hAnsi="Arial Narrow" w:cs="Calibri"/>
                <w:color w:val="000000"/>
                <w:szCs w:val="20"/>
              </w:rPr>
              <w:t xml:space="preserve"> (</w:t>
            </w:r>
            <w:r>
              <w:rPr>
                <w:rFonts w:ascii="Arial Narrow" w:hAnsi="Arial Narrow" w:cs="Calibri"/>
                <w:color w:val="000000"/>
                <w:szCs w:val="20"/>
              </w:rPr>
              <w:t>6</w:t>
            </w:r>
            <w:r w:rsidR="00D144D9">
              <w:rPr>
                <w:rFonts w:ascii="Arial Narrow" w:hAnsi="Arial Narrow" w:cs="Calibri"/>
                <w:color w:val="000000"/>
                <w:szCs w:val="20"/>
              </w:rPr>
              <w:t>0%)</w:t>
            </w:r>
          </w:p>
        </w:tc>
      </w:tr>
      <w:tr w:rsidR="00D144D9" w:rsidRPr="00522D64" w14:paraId="27748AFF" w14:textId="77777777" w:rsidTr="00C0247F">
        <w:trPr>
          <w:trHeight w:val="20"/>
        </w:trPr>
        <w:tc>
          <w:tcPr>
            <w:tcW w:w="3456" w:type="pct"/>
            <w:shd w:val="clear" w:color="auto" w:fill="auto"/>
            <w:vAlign w:val="center"/>
          </w:tcPr>
          <w:p w14:paraId="55B4A450" w14:textId="77777777" w:rsidR="00D144D9" w:rsidRDefault="00D144D9" w:rsidP="00947725">
            <w:pPr>
              <w:rPr>
                <w:rFonts w:ascii="Arial Narrow" w:hAnsi="Arial Narrow" w:cs="Calibri"/>
                <w:color w:val="000000"/>
                <w:szCs w:val="20"/>
              </w:rPr>
            </w:pPr>
            <w:r>
              <w:rPr>
                <w:rFonts w:ascii="Arial Narrow" w:hAnsi="Arial Narrow" w:cs="Calibri"/>
                <w:color w:val="000000"/>
                <w:szCs w:val="20"/>
              </w:rPr>
              <w:t>Patients with change in treatment target at relapse likely to influence therapy</w:t>
            </w:r>
          </w:p>
        </w:tc>
        <w:tc>
          <w:tcPr>
            <w:tcW w:w="1544" w:type="pct"/>
            <w:shd w:val="clear" w:color="auto" w:fill="auto"/>
            <w:vAlign w:val="center"/>
          </w:tcPr>
          <w:p w14:paraId="0E106EBA" w14:textId="77777777" w:rsidR="00D144D9" w:rsidRDefault="00D144D9" w:rsidP="00C0247F">
            <w:pPr>
              <w:keepNext/>
              <w:jc w:val="left"/>
              <w:rPr>
                <w:rFonts w:ascii="Arial Narrow" w:hAnsi="Arial Narrow" w:cs="Calibri"/>
                <w:color w:val="000000"/>
                <w:szCs w:val="20"/>
              </w:rPr>
            </w:pPr>
            <w:r>
              <w:rPr>
                <w:rFonts w:ascii="Arial Narrow" w:hAnsi="Arial Narrow" w:cs="Calibri"/>
                <w:color w:val="000000"/>
                <w:szCs w:val="20"/>
              </w:rPr>
              <w:t>2 (20%)</w:t>
            </w:r>
          </w:p>
        </w:tc>
      </w:tr>
    </w:tbl>
    <w:p w14:paraId="3D051FAB" w14:textId="7B8A9E46" w:rsidR="00D144D9" w:rsidRDefault="00D144D9" w:rsidP="00D144D9">
      <w:pPr>
        <w:pStyle w:val="TableFooter"/>
      </w:pPr>
      <w:r>
        <w:t xml:space="preserve">Source Carbonell et al 2019 </w:t>
      </w:r>
    </w:p>
    <w:p w14:paraId="089CC475" w14:textId="77777777" w:rsidR="00D144D9" w:rsidRPr="009A247E" w:rsidRDefault="00D144D9" w:rsidP="00D144D9">
      <w:pPr>
        <w:pStyle w:val="TableFooter"/>
      </w:pPr>
      <w:r w:rsidRPr="009A247E">
        <w:t>* This may be an underestimate as this study was reported before the new risk stratification for MDS incorporating gene alterations</w:t>
      </w:r>
    </w:p>
    <w:p w14:paraId="5665EF2A" w14:textId="1F95048A" w:rsidR="00C46E06" w:rsidRPr="00C46E06" w:rsidRDefault="00D144D9" w:rsidP="00C46E06">
      <w:pPr>
        <w:pStyle w:val="TableFooter"/>
      </w:pPr>
      <w:r w:rsidRPr="009A247E">
        <w:t># Estimated by HTA group based on number of patients receiving an informative result within each domain</w:t>
      </w:r>
      <w:r w:rsidR="00C46E06">
        <w:br w:type="page"/>
      </w:r>
    </w:p>
    <w:p w14:paraId="44E88481" w14:textId="7D80EF36" w:rsidR="00D144D9" w:rsidRDefault="00D144D9" w:rsidP="00D144D9">
      <w:pPr>
        <w:pStyle w:val="Caption"/>
      </w:pPr>
      <w:r>
        <w:lastRenderedPageBreak/>
        <w:t xml:space="preserve">Table </w:t>
      </w:r>
      <w:fldSimple w:instr=" SEQ Table \* ARABIC ">
        <w:r w:rsidR="00A165AD">
          <w:rPr>
            <w:noProof/>
          </w:rPr>
          <w:t>9</w:t>
        </w:r>
      </w:fldSimple>
      <w:r>
        <w:t xml:space="preserve"> HTA group compilation of clinical outcomes and information generated by NGS </w:t>
      </w:r>
      <w:r w:rsidR="005F512A">
        <w:t>47-gene</w:t>
      </w:r>
      <w:r w:rsidR="005F512A" w:rsidRPr="005F512A">
        <w:rPr>
          <w:vertAlign w:val="superscript"/>
        </w:rPr>
        <w:t>@</w:t>
      </w:r>
      <w:r w:rsidR="005F512A">
        <w:t xml:space="preserve"> </w:t>
      </w:r>
      <w:r>
        <w:t>myeloid panel testing in patients with a suspected myeloid neoplasm based on data presented</w:t>
      </w:r>
    </w:p>
    <w:tbl>
      <w:tblPr>
        <w:tblStyle w:val="TableGrid"/>
        <w:tblW w:w="5000" w:type="pct"/>
        <w:tblLook w:val="04A0" w:firstRow="1" w:lastRow="0" w:firstColumn="1" w:lastColumn="0" w:noHBand="0" w:noVBand="1"/>
      </w:tblPr>
      <w:tblGrid>
        <w:gridCol w:w="6172"/>
        <w:gridCol w:w="2844"/>
      </w:tblGrid>
      <w:tr w:rsidR="00D144D9" w14:paraId="79478D59" w14:textId="77777777" w:rsidTr="00C54181">
        <w:tc>
          <w:tcPr>
            <w:tcW w:w="3423" w:type="pct"/>
          </w:tcPr>
          <w:p w14:paraId="27301178" w14:textId="0BDC7D0A" w:rsidR="00D144D9" w:rsidRDefault="00D144D9" w:rsidP="00947725">
            <w:pPr>
              <w:pStyle w:val="Tabletext0"/>
            </w:pPr>
            <w:r>
              <w:rPr>
                <w:rFonts w:cs="Calibri"/>
                <w:b/>
                <w:bCs/>
                <w:color w:val="000000"/>
                <w:lang w:eastAsia="en-GB"/>
              </w:rPr>
              <w:t>Rosenthal</w:t>
            </w:r>
            <w:r w:rsidR="009C7FAE">
              <w:rPr>
                <w:rFonts w:cs="Calibri"/>
                <w:b/>
                <w:bCs/>
                <w:color w:val="000000"/>
                <w:lang w:eastAsia="en-GB"/>
              </w:rPr>
              <w:t xml:space="preserve"> et al (2021)</w:t>
            </w:r>
            <w:r w:rsidRPr="00522D64">
              <w:rPr>
                <w:rFonts w:cs="Calibri"/>
                <w:b/>
                <w:bCs/>
                <w:color w:val="000000"/>
                <w:lang w:eastAsia="en-GB"/>
              </w:rPr>
              <w:t xml:space="preserve"> NGS </w:t>
            </w:r>
            <w:r w:rsidR="00A169D6">
              <w:rPr>
                <w:rFonts w:cs="Calibri"/>
                <w:b/>
                <w:bCs/>
                <w:color w:val="000000"/>
                <w:lang w:eastAsia="en-GB"/>
              </w:rPr>
              <w:t xml:space="preserve">47-gene </w:t>
            </w:r>
            <w:r w:rsidRPr="00522D64">
              <w:rPr>
                <w:rFonts w:cs="Calibri"/>
                <w:b/>
                <w:bCs/>
                <w:color w:val="000000"/>
                <w:lang w:eastAsia="en-GB"/>
              </w:rPr>
              <w:t xml:space="preserve">panel testing </w:t>
            </w:r>
            <w:r w:rsidR="00065220">
              <w:rPr>
                <w:rFonts w:cs="Calibri"/>
                <w:b/>
                <w:bCs/>
                <w:color w:val="000000"/>
                <w:lang w:eastAsia="en-GB"/>
              </w:rPr>
              <w:t>in addition to</w:t>
            </w:r>
            <w:r w:rsidRPr="00522D64">
              <w:rPr>
                <w:rFonts w:cs="Calibri"/>
                <w:b/>
                <w:bCs/>
                <w:color w:val="000000"/>
                <w:lang w:eastAsia="en-GB"/>
              </w:rPr>
              <w:t xml:space="preserve"> cytogenetic/other genetic testing</w:t>
            </w:r>
            <w:r w:rsidR="00A169D6">
              <w:rPr>
                <w:rFonts w:cs="Calibri"/>
                <w:b/>
                <w:bCs/>
                <w:color w:val="000000"/>
                <w:lang w:eastAsia="en-GB"/>
              </w:rPr>
              <w:t xml:space="preserve"> </w:t>
            </w:r>
          </w:p>
        </w:tc>
        <w:tc>
          <w:tcPr>
            <w:tcW w:w="1577" w:type="pct"/>
          </w:tcPr>
          <w:p w14:paraId="7A1B02CE" w14:textId="77777777" w:rsidR="00D144D9" w:rsidRDefault="00D144D9" w:rsidP="00947725">
            <w:pPr>
              <w:pStyle w:val="Tabletext0"/>
              <w:rPr>
                <w:rFonts w:cs="Calibri"/>
                <w:b/>
                <w:bCs/>
                <w:color w:val="000000"/>
                <w:lang w:eastAsia="en-GB"/>
              </w:rPr>
            </w:pPr>
            <w:r>
              <w:rPr>
                <w:rFonts w:cs="Calibri"/>
                <w:b/>
                <w:bCs/>
                <w:color w:val="000000"/>
                <w:lang w:eastAsia="en-GB"/>
              </w:rPr>
              <w:t>Number of patients (% of all patients)</w:t>
            </w:r>
          </w:p>
        </w:tc>
      </w:tr>
      <w:tr w:rsidR="00D144D9" w14:paraId="2B2972ED" w14:textId="77777777" w:rsidTr="00C54181">
        <w:tc>
          <w:tcPr>
            <w:tcW w:w="3423" w:type="pct"/>
          </w:tcPr>
          <w:p w14:paraId="49067A8E" w14:textId="77777777" w:rsidR="00D144D9" w:rsidRDefault="00D144D9" w:rsidP="00947725">
            <w:pPr>
              <w:pStyle w:val="Tabletext0"/>
            </w:pPr>
            <w:r>
              <w:t>Number of patients tested</w:t>
            </w:r>
          </w:p>
        </w:tc>
        <w:tc>
          <w:tcPr>
            <w:tcW w:w="1577" w:type="pct"/>
          </w:tcPr>
          <w:p w14:paraId="189870BB" w14:textId="77777777" w:rsidR="00D144D9" w:rsidRDefault="00D144D9" w:rsidP="00947725">
            <w:pPr>
              <w:pStyle w:val="Tabletext0"/>
            </w:pPr>
            <w:r>
              <w:t>2053</w:t>
            </w:r>
          </w:p>
        </w:tc>
      </w:tr>
      <w:tr w:rsidR="00D144D9" w14:paraId="78BD1C66" w14:textId="77777777" w:rsidTr="00C54181">
        <w:tc>
          <w:tcPr>
            <w:tcW w:w="3423" w:type="pct"/>
          </w:tcPr>
          <w:p w14:paraId="702AC264" w14:textId="77777777" w:rsidR="00D144D9" w:rsidRDefault="00D144D9" w:rsidP="00947725">
            <w:pPr>
              <w:pStyle w:val="Tabletext0"/>
            </w:pPr>
            <w:r>
              <w:t>≥1 clinically significant variants (%)</w:t>
            </w:r>
          </w:p>
        </w:tc>
        <w:tc>
          <w:tcPr>
            <w:tcW w:w="1577" w:type="pct"/>
          </w:tcPr>
          <w:p w14:paraId="33705D6E" w14:textId="77777777" w:rsidR="00D144D9" w:rsidRDefault="00D144D9" w:rsidP="00947725">
            <w:pPr>
              <w:pStyle w:val="Tabletext0"/>
            </w:pPr>
            <w:r>
              <w:t>1142 (56%)</w:t>
            </w:r>
          </w:p>
        </w:tc>
      </w:tr>
      <w:tr w:rsidR="00D144D9" w14:paraId="0761B6DC" w14:textId="77777777" w:rsidTr="00C54181">
        <w:tc>
          <w:tcPr>
            <w:tcW w:w="3423" w:type="pct"/>
          </w:tcPr>
          <w:p w14:paraId="09F77449" w14:textId="77777777" w:rsidR="00D144D9" w:rsidRDefault="00D144D9" w:rsidP="00947725">
            <w:pPr>
              <w:pStyle w:val="Tabletext0"/>
            </w:pPr>
            <w:r>
              <w:t>Patients receiving a result that changed diagnosis</w:t>
            </w:r>
          </w:p>
        </w:tc>
        <w:tc>
          <w:tcPr>
            <w:tcW w:w="1577" w:type="pct"/>
          </w:tcPr>
          <w:p w14:paraId="7534D87A" w14:textId="77777777" w:rsidR="00D144D9" w:rsidRDefault="00D144D9" w:rsidP="00947725">
            <w:pPr>
              <w:pStyle w:val="Tabletext0"/>
            </w:pPr>
            <w:r>
              <w:t>748 (36%)</w:t>
            </w:r>
          </w:p>
        </w:tc>
      </w:tr>
      <w:tr w:rsidR="00D144D9" w14:paraId="030917D9" w14:textId="77777777" w:rsidTr="00C54181">
        <w:tc>
          <w:tcPr>
            <w:tcW w:w="3423" w:type="pct"/>
          </w:tcPr>
          <w:p w14:paraId="4AB0D72F" w14:textId="77777777" w:rsidR="00D144D9" w:rsidRDefault="00D144D9" w:rsidP="00947725">
            <w:pPr>
              <w:pStyle w:val="Tabletext0"/>
            </w:pPr>
            <w:r>
              <w:t>Patients receiving a result that changed prognosis</w:t>
            </w:r>
          </w:p>
        </w:tc>
        <w:tc>
          <w:tcPr>
            <w:tcW w:w="1577" w:type="pct"/>
          </w:tcPr>
          <w:p w14:paraId="7D3C07ED" w14:textId="77777777" w:rsidR="00D144D9" w:rsidRDefault="00D144D9" w:rsidP="00947725">
            <w:pPr>
              <w:pStyle w:val="Tabletext0"/>
            </w:pPr>
            <w:r>
              <w:t>711 (35%)</w:t>
            </w:r>
          </w:p>
        </w:tc>
      </w:tr>
      <w:tr w:rsidR="00D144D9" w14:paraId="1807E81E" w14:textId="77777777" w:rsidTr="00C54181">
        <w:tc>
          <w:tcPr>
            <w:tcW w:w="3423" w:type="pct"/>
          </w:tcPr>
          <w:p w14:paraId="0EE47FFB" w14:textId="77777777" w:rsidR="00D144D9" w:rsidRDefault="00D144D9" w:rsidP="00947725">
            <w:pPr>
              <w:pStyle w:val="Tabletext0"/>
            </w:pPr>
            <w:r>
              <w:t>Patients receiving a result that identified an approved therapeutic target or regimen</w:t>
            </w:r>
          </w:p>
        </w:tc>
        <w:tc>
          <w:tcPr>
            <w:tcW w:w="1577" w:type="pct"/>
          </w:tcPr>
          <w:p w14:paraId="6F0E70BD" w14:textId="77777777" w:rsidR="00D144D9" w:rsidRDefault="00D144D9" w:rsidP="00947725">
            <w:pPr>
              <w:pStyle w:val="Tabletext0"/>
            </w:pPr>
            <w:r>
              <w:t>126/2053 (5%)</w:t>
            </w:r>
          </w:p>
        </w:tc>
      </w:tr>
      <w:tr w:rsidR="00D144D9" w14:paraId="0BD9ED51" w14:textId="77777777" w:rsidTr="00C54181">
        <w:tc>
          <w:tcPr>
            <w:tcW w:w="3423" w:type="pct"/>
          </w:tcPr>
          <w:p w14:paraId="02607848" w14:textId="77777777" w:rsidR="00D144D9" w:rsidRDefault="00D144D9" w:rsidP="00947725">
            <w:pPr>
              <w:pStyle w:val="Tabletext0"/>
            </w:pPr>
            <w:r>
              <w:t>Patients receiving a result that identified an approved or off-label target</w:t>
            </w:r>
          </w:p>
        </w:tc>
        <w:tc>
          <w:tcPr>
            <w:tcW w:w="1577" w:type="pct"/>
          </w:tcPr>
          <w:p w14:paraId="49F30A2B" w14:textId="77777777" w:rsidR="00D144D9" w:rsidRDefault="00D144D9" w:rsidP="00947725">
            <w:pPr>
              <w:pStyle w:val="Tabletext0"/>
            </w:pPr>
            <w:r>
              <w:t>565/2053 (28%)</w:t>
            </w:r>
          </w:p>
        </w:tc>
      </w:tr>
      <w:tr w:rsidR="00D144D9" w14:paraId="4B0D6AEF" w14:textId="77777777" w:rsidTr="00C54181">
        <w:tc>
          <w:tcPr>
            <w:tcW w:w="3423" w:type="pct"/>
          </w:tcPr>
          <w:p w14:paraId="4271F0CD" w14:textId="77777777" w:rsidR="00D144D9" w:rsidRDefault="00D144D9" w:rsidP="00947725">
            <w:pPr>
              <w:pStyle w:val="Tabletext0"/>
            </w:pPr>
            <w:r>
              <w:t>Patients receiving a result that identified an experimental therapy/clinical trial option</w:t>
            </w:r>
          </w:p>
        </w:tc>
        <w:tc>
          <w:tcPr>
            <w:tcW w:w="1577" w:type="pct"/>
          </w:tcPr>
          <w:p w14:paraId="282FC10A" w14:textId="77777777" w:rsidR="00D144D9" w:rsidRDefault="00D144D9" w:rsidP="00947725">
            <w:pPr>
              <w:pStyle w:val="Tabletext0"/>
            </w:pPr>
            <w:r>
              <w:t>823/2053 (40%)</w:t>
            </w:r>
          </w:p>
        </w:tc>
      </w:tr>
      <w:tr w:rsidR="00D144D9" w14:paraId="27D1D4BD" w14:textId="77777777" w:rsidTr="00C54181">
        <w:tc>
          <w:tcPr>
            <w:tcW w:w="3423" w:type="pct"/>
          </w:tcPr>
          <w:p w14:paraId="5CCC258B" w14:textId="77777777" w:rsidR="00D144D9" w:rsidRDefault="00D144D9" w:rsidP="00947725">
            <w:pPr>
              <w:pStyle w:val="Tabletext0"/>
            </w:pPr>
            <w:r>
              <w:t>Patients receiving a result that changed their diagnosis, prognosis and/or treatment option(s)</w:t>
            </w:r>
          </w:p>
        </w:tc>
        <w:tc>
          <w:tcPr>
            <w:tcW w:w="1577" w:type="pct"/>
          </w:tcPr>
          <w:p w14:paraId="1EC933B8" w14:textId="77777777" w:rsidR="00D144D9" w:rsidRDefault="00D144D9" w:rsidP="00947725">
            <w:pPr>
              <w:pStyle w:val="Tabletext0"/>
            </w:pPr>
            <w:r>
              <w:t>1062 (52%)</w:t>
            </w:r>
          </w:p>
        </w:tc>
      </w:tr>
      <w:tr w:rsidR="00D144D9" w14:paraId="6D8D3F6E" w14:textId="77777777" w:rsidTr="00C54181">
        <w:tc>
          <w:tcPr>
            <w:tcW w:w="5000" w:type="pct"/>
            <w:gridSpan w:val="2"/>
          </w:tcPr>
          <w:p w14:paraId="37DB27A9" w14:textId="77777777" w:rsidR="00D144D9" w:rsidRPr="006C3329" w:rsidRDefault="00D144D9" w:rsidP="00947725">
            <w:pPr>
              <w:pStyle w:val="Tabletext0"/>
              <w:rPr>
                <w:b/>
                <w:bCs/>
              </w:rPr>
            </w:pPr>
            <w:r w:rsidRPr="006C3329">
              <w:rPr>
                <w:b/>
                <w:bCs/>
              </w:rPr>
              <w:t>Number of informative, clinically significant results generated by NGS testing</w:t>
            </w:r>
          </w:p>
        </w:tc>
      </w:tr>
      <w:tr w:rsidR="00D144D9" w14:paraId="2CAA0187" w14:textId="77777777" w:rsidTr="00C54181">
        <w:tc>
          <w:tcPr>
            <w:tcW w:w="3423" w:type="pct"/>
          </w:tcPr>
          <w:p w14:paraId="5EC75246" w14:textId="77777777" w:rsidR="00D144D9" w:rsidRDefault="00D144D9" w:rsidP="00947725">
            <w:pPr>
              <w:pStyle w:val="Tabletext0"/>
            </w:pPr>
            <w:r w:rsidRPr="00C95F9B">
              <w:rPr>
                <w:vertAlign w:val="superscript"/>
              </w:rPr>
              <w:t>#</w:t>
            </w:r>
            <w:r>
              <w:t>Number of informative, clinically significant results generated by NGS that identified any therapies (approved, off-label or investigational)</w:t>
            </w:r>
          </w:p>
        </w:tc>
        <w:tc>
          <w:tcPr>
            <w:tcW w:w="1577" w:type="pct"/>
          </w:tcPr>
          <w:p w14:paraId="1FAC3640" w14:textId="77777777" w:rsidR="00D144D9" w:rsidRDefault="00D144D9" w:rsidP="00947725">
            <w:pPr>
              <w:pStyle w:val="Tabletext0"/>
            </w:pPr>
            <w:r>
              <w:t>1388/2053 (68%)</w:t>
            </w:r>
          </w:p>
        </w:tc>
      </w:tr>
      <w:tr w:rsidR="00D144D9" w14:paraId="4049CA59" w14:textId="77777777" w:rsidTr="00C54181">
        <w:tc>
          <w:tcPr>
            <w:tcW w:w="3423" w:type="pct"/>
          </w:tcPr>
          <w:p w14:paraId="11096E70" w14:textId="77777777" w:rsidR="00D144D9" w:rsidRDefault="00D144D9" w:rsidP="00947725">
            <w:pPr>
              <w:pStyle w:val="Tabletext0"/>
            </w:pPr>
            <w:r>
              <w:t xml:space="preserve">*Number of informative results from NGS regarding diagnosis, prognosis, treatment with </w:t>
            </w:r>
            <w:r w:rsidRPr="006A6634">
              <w:rPr>
                <w:i/>
                <w:iCs/>
              </w:rPr>
              <w:t>approved</w:t>
            </w:r>
            <w:r>
              <w:t xml:space="preserve"> therapies or regimens </w:t>
            </w:r>
          </w:p>
        </w:tc>
        <w:tc>
          <w:tcPr>
            <w:tcW w:w="1577" w:type="pct"/>
          </w:tcPr>
          <w:p w14:paraId="31DE82B9" w14:textId="77777777" w:rsidR="00D144D9" w:rsidRDefault="00D144D9" w:rsidP="00947725">
            <w:pPr>
              <w:pStyle w:val="Tabletext0"/>
            </w:pPr>
            <w:r>
              <w:t>1585/2053 (77%)</w:t>
            </w:r>
          </w:p>
        </w:tc>
      </w:tr>
      <w:tr w:rsidR="00D144D9" w14:paraId="59F85589" w14:textId="77777777" w:rsidTr="00C54181">
        <w:tc>
          <w:tcPr>
            <w:tcW w:w="3423" w:type="pct"/>
          </w:tcPr>
          <w:p w14:paraId="69E49BAF" w14:textId="77777777" w:rsidR="00D144D9" w:rsidRDefault="00D144D9" w:rsidP="00947725">
            <w:pPr>
              <w:pStyle w:val="Tabletext0"/>
            </w:pPr>
            <w:r>
              <w:t xml:space="preserve">*Number of informative results from NGS diagnosis, prognosis, treatment with </w:t>
            </w:r>
            <w:r w:rsidRPr="006A6634">
              <w:rPr>
                <w:i/>
                <w:iCs/>
              </w:rPr>
              <w:t>any</w:t>
            </w:r>
            <w:r>
              <w:t xml:space="preserve"> therapies (approved, off-label, investigational)</w:t>
            </w:r>
          </w:p>
        </w:tc>
        <w:tc>
          <w:tcPr>
            <w:tcW w:w="1577" w:type="pct"/>
          </w:tcPr>
          <w:p w14:paraId="0235833C" w14:textId="77777777" w:rsidR="00D144D9" w:rsidRDefault="00D144D9" w:rsidP="00947725">
            <w:pPr>
              <w:pStyle w:val="Tabletext0"/>
            </w:pPr>
            <w:r>
              <w:t>2847/2053 (139%)</w:t>
            </w:r>
          </w:p>
        </w:tc>
      </w:tr>
    </w:tbl>
    <w:p w14:paraId="3859F732" w14:textId="35E2046E" w:rsidR="005F512A" w:rsidRDefault="005F512A" w:rsidP="00D144D9">
      <w:pPr>
        <w:pStyle w:val="Tablenotes"/>
      </w:pPr>
      <w:r w:rsidRPr="005F512A">
        <w:rPr>
          <w:vertAlign w:val="superscript"/>
        </w:rPr>
        <w:t>@</w:t>
      </w:r>
      <w:r w:rsidRPr="005F512A">
        <w:rPr>
          <w:i/>
          <w:iCs/>
        </w:rPr>
        <w:t>FLT3-</w:t>
      </w:r>
      <w:r>
        <w:t>ITD analysed by another method</w:t>
      </w:r>
    </w:p>
    <w:p w14:paraId="500A477C" w14:textId="27991F7E" w:rsidR="00D144D9" w:rsidRDefault="00D144D9" w:rsidP="00D144D9">
      <w:pPr>
        <w:pStyle w:val="Tablenotes"/>
      </w:pPr>
      <w:r>
        <w:t># Sum of patients with a result informing options for an approved targeted therapy, off-label targeted therapy or experimental therapy – a single patient may receive more than one informative result or change</w:t>
      </w:r>
    </w:p>
    <w:p w14:paraId="302635BE" w14:textId="7E350331" w:rsidR="00D144D9" w:rsidRDefault="00D144D9" w:rsidP="009E3B89">
      <w:pPr>
        <w:pStyle w:val="Tablenotes"/>
      </w:pPr>
      <w:r>
        <w:t xml:space="preserve">*Sum of patients with a change in diagnosis, prognosis, treatment with approved therapies – </w:t>
      </w:r>
      <w:r w:rsidR="006F7BE2">
        <w:t>a single</w:t>
      </w:r>
      <w:r>
        <w:t xml:space="preserve"> patient may receive more than one informative result or change</w:t>
      </w:r>
      <w:r w:rsidR="00A34616">
        <w:t>, and a single variant may inform more than one domain</w:t>
      </w:r>
    </w:p>
    <w:p w14:paraId="31F03078" w14:textId="63BE3BF0" w:rsidR="009E3B89" w:rsidRDefault="009E3B89" w:rsidP="00D7202A">
      <w:pPr>
        <w:pStyle w:val="Heading3"/>
      </w:pPr>
      <w:bookmarkStart w:id="26" w:name="_Toc111754801"/>
      <w:r>
        <w:t>Lymphoid NGS panel</w:t>
      </w:r>
      <w:bookmarkEnd w:id="26"/>
    </w:p>
    <w:p w14:paraId="3645775B" w14:textId="22009DC0" w:rsidR="00C46E06" w:rsidRPr="00C46E06" w:rsidRDefault="00814203" w:rsidP="00C46E06">
      <w:r>
        <w:t>The clinical effectiveness of a lymphoid panel was demonstrated across all four domains (diagnostic, prognostic, potential familial predisposition and therapeutic) across a range of different lymphoid malignancies in the three key studies summarised below (there was</w:t>
      </w:r>
      <w:r w:rsidR="007848B8">
        <w:t xml:space="preserve"> also</w:t>
      </w:r>
      <w:r>
        <w:t xml:space="preserve"> a sub</w:t>
      </w:r>
      <w:r w:rsidR="00513A6C">
        <w:t>-</w:t>
      </w:r>
      <w:r>
        <w:t>study</w:t>
      </w:r>
      <w:r w:rsidR="00B2037B">
        <w:t xml:space="preserve"> of NGS panel testing of patients with chronic lymphocytic leukaemia</w:t>
      </w:r>
      <w:r>
        <w:t xml:space="preserve"> </w:t>
      </w:r>
      <w:r w:rsidR="00B2037B">
        <w:t xml:space="preserve">by </w:t>
      </w:r>
      <w:r>
        <w:t>Jajosky et al (2021)).</w:t>
      </w:r>
      <w:bookmarkStart w:id="27" w:name="_Ref111719582"/>
      <w:r w:rsidR="00C46E06">
        <w:br w:type="page"/>
      </w:r>
    </w:p>
    <w:p w14:paraId="44B156B5" w14:textId="32DBD349" w:rsidR="00D06CA3" w:rsidRDefault="00D06CA3" w:rsidP="00D06CA3">
      <w:pPr>
        <w:pStyle w:val="Caption"/>
      </w:pPr>
      <w:r>
        <w:lastRenderedPageBreak/>
        <w:t xml:space="preserve">Table </w:t>
      </w:r>
      <w:fldSimple w:instr=" SEQ Table \* ARABIC ">
        <w:r w:rsidR="00A165AD">
          <w:rPr>
            <w:noProof/>
          </w:rPr>
          <w:t>10</w:t>
        </w:r>
      </w:fldSimple>
      <w:bookmarkEnd w:id="27"/>
      <w:r>
        <w:t xml:space="preserve"> Summary of outcomes after testing with lymphoid NGS panel used to establish diagnosis where there was uncertainty after expert review, centralised review</w:t>
      </w:r>
    </w:p>
    <w:tbl>
      <w:tblPr>
        <w:tblStyle w:val="TableGrid"/>
        <w:tblW w:w="5000" w:type="pct"/>
        <w:tblLook w:val="04A0" w:firstRow="1" w:lastRow="0" w:firstColumn="1" w:lastColumn="0" w:noHBand="0" w:noVBand="1"/>
      </w:tblPr>
      <w:tblGrid>
        <w:gridCol w:w="6172"/>
        <w:gridCol w:w="2844"/>
      </w:tblGrid>
      <w:tr w:rsidR="00D06CA3" w14:paraId="46BBD4C2" w14:textId="77777777" w:rsidTr="00C54181">
        <w:trPr>
          <w:tblHeader/>
        </w:trPr>
        <w:tc>
          <w:tcPr>
            <w:tcW w:w="3423" w:type="pct"/>
          </w:tcPr>
          <w:p w14:paraId="62582708" w14:textId="4EED0B92" w:rsidR="00D06CA3" w:rsidRDefault="00D06CA3" w:rsidP="00947725">
            <w:pPr>
              <w:pStyle w:val="Tabletext0"/>
              <w:rPr>
                <w:rFonts w:cs="Calibri"/>
                <w:b/>
                <w:bCs/>
                <w:color w:val="000000"/>
                <w:lang w:eastAsia="en-GB"/>
              </w:rPr>
            </w:pPr>
            <w:r>
              <w:rPr>
                <w:rFonts w:cs="Calibri"/>
                <w:b/>
                <w:bCs/>
                <w:color w:val="000000"/>
                <w:lang w:eastAsia="en-GB"/>
              </w:rPr>
              <w:t>Bommier</w:t>
            </w:r>
            <w:r w:rsidR="00C408E5">
              <w:rPr>
                <w:rFonts w:cs="Calibri"/>
                <w:b/>
                <w:bCs/>
                <w:color w:val="000000"/>
                <w:lang w:eastAsia="en-GB"/>
              </w:rPr>
              <w:t xml:space="preserve"> et al (</w:t>
            </w:r>
            <w:r>
              <w:rPr>
                <w:rFonts w:cs="Calibri"/>
                <w:b/>
                <w:bCs/>
                <w:color w:val="000000"/>
                <w:lang w:eastAsia="en-GB"/>
              </w:rPr>
              <w:t>2021</w:t>
            </w:r>
            <w:r w:rsidR="00C408E5">
              <w:rPr>
                <w:rFonts w:cs="Calibri"/>
                <w:b/>
                <w:bCs/>
                <w:color w:val="000000"/>
                <w:lang w:eastAsia="en-GB"/>
              </w:rPr>
              <w:t>)</w:t>
            </w:r>
          </w:p>
          <w:p w14:paraId="6ADE5078" w14:textId="6886369A" w:rsidR="00D06CA3" w:rsidRDefault="00D06CA3" w:rsidP="00947725">
            <w:pPr>
              <w:pStyle w:val="Tabletext0"/>
            </w:pPr>
            <w:r w:rsidRPr="00522D64">
              <w:rPr>
                <w:rFonts w:cs="Calibri"/>
                <w:b/>
                <w:bCs/>
                <w:color w:val="000000"/>
                <w:lang w:eastAsia="en-GB"/>
              </w:rPr>
              <w:t xml:space="preserve">NGS </w:t>
            </w:r>
            <w:r w:rsidR="00A169D6">
              <w:rPr>
                <w:rFonts w:cs="Calibri"/>
                <w:b/>
                <w:bCs/>
                <w:color w:val="000000"/>
                <w:lang w:eastAsia="en-GB"/>
              </w:rPr>
              <w:t xml:space="preserve">46-gene </w:t>
            </w:r>
            <w:r w:rsidR="003660A3">
              <w:rPr>
                <w:rFonts w:cs="Calibri"/>
                <w:b/>
                <w:bCs/>
                <w:color w:val="000000"/>
                <w:lang w:eastAsia="en-GB"/>
              </w:rPr>
              <w:t>panel after all other tes</w:t>
            </w:r>
            <w:r w:rsidR="00D044ED">
              <w:rPr>
                <w:rFonts w:cs="Calibri"/>
                <w:b/>
                <w:bCs/>
                <w:color w:val="000000"/>
                <w:lang w:eastAsia="en-GB"/>
              </w:rPr>
              <w:t>ts, expert review</w:t>
            </w:r>
          </w:p>
        </w:tc>
        <w:tc>
          <w:tcPr>
            <w:tcW w:w="1577" w:type="pct"/>
          </w:tcPr>
          <w:p w14:paraId="6DC20161" w14:textId="77777777" w:rsidR="00D06CA3" w:rsidRDefault="00D06CA3" w:rsidP="00947725">
            <w:pPr>
              <w:pStyle w:val="Tabletext0"/>
              <w:rPr>
                <w:rFonts w:cs="Calibri"/>
                <w:b/>
                <w:bCs/>
                <w:color w:val="000000"/>
                <w:lang w:eastAsia="en-GB"/>
              </w:rPr>
            </w:pPr>
            <w:r>
              <w:rPr>
                <w:rFonts w:cs="Calibri"/>
                <w:b/>
                <w:bCs/>
                <w:color w:val="000000"/>
                <w:lang w:eastAsia="en-GB"/>
              </w:rPr>
              <w:t>Number of patients (% of all patients)</w:t>
            </w:r>
          </w:p>
        </w:tc>
      </w:tr>
      <w:tr w:rsidR="00D06CA3" w14:paraId="22F07DD9" w14:textId="77777777" w:rsidTr="00C54181">
        <w:tc>
          <w:tcPr>
            <w:tcW w:w="3423" w:type="pct"/>
          </w:tcPr>
          <w:p w14:paraId="2EDDED52" w14:textId="77777777" w:rsidR="00D06CA3" w:rsidRDefault="00D06CA3" w:rsidP="00947725">
            <w:pPr>
              <w:pStyle w:val="Tabletext0"/>
            </w:pPr>
            <w:r>
              <w:t>Number of patients tested</w:t>
            </w:r>
          </w:p>
        </w:tc>
        <w:tc>
          <w:tcPr>
            <w:tcW w:w="1577" w:type="pct"/>
          </w:tcPr>
          <w:p w14:paraId="12E62A46" w14:textId="77777777" w:rsidR="00D06CA3" w:rsidRDefault="00D06CA3" w:rsidP="00947725">
            <w:pPr>
              <w:pStyle w:val="Tabletext0"/>
            </w:pPr>
            <w:r>
              <w:t>229</w:t>
            </w:r>
          </w:p>
        </w:tc>
      </w:tr>
      <w:tr w:rsidR="00D06CA3" w14:paraId="556277CF" w14:textId="77777777" w:rsidTr="00C54181">
        <w:tc>
          <w:tcPr>
            <w:tcW w:w="3423" w:type="pct"/>
          </w:tcPr>
          <w:p w14:paraId="7F18AD11" w14:textId="77777777" w:rsidR="00D06CA3" w:rsidRDefault="00D06CA3" w:rsidP="00947725">
            <w:pPr>
              <w:pStyle w:val="Tabletext0"/>
            </w:pPr>
            <w:r>
              <w:t>Change in diagnosis</w:t>
            </w:r>
          </w:p>
        </w:tc>
        <w:tc>
          <w:tcPr>
            <w:tcW w:w="1577" w:type="pct"/>
          </w:tcPr>
          <w:p w14:paraId="70B47110" w14:textId="77777777" w:rsidR="00D06CA3" w:rsidRDefault="00D06CA3" w:rsidP="00947725">
            <w:pPr>
              <w:pStyle w:val="Tabletext0"/>
            </w:pPr>
            <w:r>
              <w:t>24 (11%)</w:t>
            </w:r>
          </w:p>
        </w:tc>
      </w:tr>
      <w:tr w:rsidR="00D06CA3" w14:paraId="289B118C" w14:textId="77777777" w:rsidTr="00C54181">
        <w:tc>
          <w:tcPr>
            <w:tcW w:w="3423" w:type="pct"/>
          </w:tcPr>
          <w:p w14:paraId="3D9B29EC" w14:textId="77777777" w:rsidR="00D06CA3" w:rsidRDefault="00D06CA3" w:rsidP="00947725">
            <w:pPr>
              <w:pStyle w:val="Tabletext0"/>
            </w:pPr>
            <w:r>
              <w:t>Malignancy diagnosis overturned</w:t>
            </w:r>
          </w:p>
        </w:tc>
        <w:tc>
          <w:tcPr>
            <w:tcW w:w="1577" w:type="pct"/>
          </w:tcPr>
          <w:p w14:paraId="04A427E4" w14:textId="77777777" w:rsidR="00D06CA3" w:rsidRDefault="00D06CA3" w:rsidP="00947725">
            <w:pPr>
              <w:pStyle w:val="Tabletext0"/>
            </w:pPr>
            <w:r>
              <w:t>2 (0.9%)</w:t>
            </w:r>
          </w:p>
        </w:tc>
      </w:tr>
      <w:tr w:rsidR="00D06CA3" w14:paraId="7E8DD06D" w14:textId="77777777" w:rsidTr="00C54181">
        <w:tc>
          <w:tcPr>
            <w:tcW w:w="3423" w:type="pct"/>
          </w:tcPr>
          <w:p w14:paraId="5FFCF8C8" w14:textId="77777777" w:rsidR="00D06CA3" w:rsidRDefault="00D06CA3" w:rsidP="00947725">
            <w:pPr>
              <w:pStyle w:val="Tabletext0"/>
            </w:pPr>
            <w:r>
              <w:t xml:space="preserve">NGS </w:t>
            </w:r>
            <w:r w:rsidRPr="00620FC9">
              <w:t xml:space="preserve">strengthened the suspected histological diagnosis </w:t>
            </w:r>
          </w:p>
        </w:tc>
        <w:tc>
          <w:tcPr>
            <w:tcW w:w="1577" w:type="pct"/>
          </w:tcPr>
          <w:p w14:paraId="06E0F118" w14:textId="77777777" w:rsidR="00D06CA3" w:rsidRDefault="00D06CA3" w:rsidP="00947725">
            <w:pPr>
              <w:pStyle w:val="Tabletext0"/>
            </w:pPr>
            <w:r>
              <w:t>144(63%)</w:t>
            </w:r>
          </w:p>
        </w:tc>
      </w:tr>
      <w:tr w:rsidR="00D06CA3" w14:paraId="7AF9C1B8" w14:textId="77777777" w:rsidTr="00C54181">
        <w:tc>
          <w:tcPr>
            <w:tcW w:w="3423" w:type="pct"/>
          </w:tcPr>
          <w:p w14:paraId="2181D3F8" w14:textId="77777777" w:rsidR="00D06CA3" w:rsidRDefault="00D06CA3" w:rsidP="00947725">
            <w:pPr>
              <w:pStyle w:val="Tabletext0"/>
            </w:pPr>
            <w:r>
              <w:t>Change or confirmation of diagnosis</w:t>
            </w:r>
          </w:p>
        </w:tc>
        <w:tc>
          <w:tcPr>
            <w:tcW w:w="1577" w:type="pct"/>
          </w:tcPr>
          <w:p w14:paraId="0CAD9A01" w14:textId="77777777" w:rsidR="00D06CA3" w:rsidRDefault="00D06CA3" w:rsidP="00947725">
            <w:pPr>
              <w:pStyle w:val="Tabletext0"/>
            </w:pPr>
            <w:r>
              <w:t>168 (73%)</w:t>
            </w:r>
          </w:p>
        </w:tc>
      </w:tr>
      <w:tr w:rsidR="00D06CA3" w14:paraId="3D47C34C" w14:textId="77777777" w:rsidTr="00C54181">
        <w:tc>
          <w:tcPr>
            <w:tcW w:w="3423" w:type="pct"/>
          </w:tcPr>
          <w:p w14:paraId="5A89BA3C" w14:textId="77777777" w:rsidR="00D06CA3" w:rsidRDefault="00D06CA3" w:rsidP="00947725">
            <w:pPr>
              <w:pStyle w:val="Tabletext0"/>
            </w:pPr>
            <w:r>
              <w:t>NGS result non-contributory</w:t>
            </w:r>
          </w:p>
        </w:tc>
        <w:tc>
          <w:tcPr>
            <w:tcW w:w="1577" w:type="pct"/>
          </w:tcPr>
          <w:p w14:paraId="70BA7C84" w14:textId="77777777" w:rsidR="00D06CA3" w:rsidRDefault="00D06CA3" w:rsidP="00947725">
            <w:pPr>
              <w:pStyle w:val="Tabletext0"/>
            </w:pPr>
            <w:r>
              <w:t>61 (27%)</w:t>
            </w:r>
          </w:p>
        </w:tc>
      </w:tr>
      <w:tr w:rsidR="00D06CA3" w14:paraId="59C5F68A" w14:textId="77777777" w:rsidTr="00C54181">
        <w:tc>
          <w:tcPr>
            <w:tcW w:w="3423" w:type="pct"/>
          </w:tcPr>
          <w:p w14:paraId="051C1175" w14:textId="77777777" w:rsidR="00D06CA3" w:rsidRDefault="00D06CA3" w:rsidP="00947725">
            <w:pPr>
              <w:pStyle w:val="Tabletext0"/>
            </w:pPr>
            <w:r>
              <w:t>Management altered where change in diagnosis</w:t>
            </w:r>
          </w:p>
        </w:tc>
        <w:tc>
          <w:tcPr>
            <w:tcW w:w="1577" w:type="pct"/>
          </w:tcPr>
          <w:p w14:paraId="20D656A0" w14:textId="77777777" w:rsidR="00D06CA3" w:rsidRDefault="00D06CA3" w:rsidP="00947725">
            <w:pPr>
              <w:pStyle w:val="Tabletext0"/>
            </w:pPr>
            <w:r>
              <w:t>19/24 (80%) 8.3% overall</w:t>
            </w:r>
          </w:p>
        </w:tc>
      </w:tr>
      <w:tr w:rsidR="00D06CA3" w14:paraId="008EE337" w14:textId="77777777" w:rsidTr="00C54181">
        <w:tc>
          <w:tcPr>
            <w:tcW w:w="3423" w:type="pct"/>
          </w:tcPr>
          <w:p w14:paraId="1A8FF1BD" w14:textId="77777777" w:rsidR="00D06CA3" w:rsidRDefault="00D06CA3" w:rsidP="00947725">
            <w:pPr>
              <w:pStyle w:val="Tabletext0"/>
            </w:pPr>
            <w:r>
              <w:t>Confirmed exclusion of malignancy where residual uncertainty</w:t>
            </w:r>
          </w:p>
        </w:tc>
        <w:tc>
          <w:tcPr>
            <w:tcW w:w="1577" w:type="pct"/>
          </w:tcPr>
          <w:p w14:paraId="1F399ED4" w14:textId="77777777" w:rsidR="00D06CA3" w:rsidRDefault="00D06CA3" w:rsidP="00947725">
            <w:pPr>
              <w:pStyle w:val="Tabletext0"/>
            </w:pPr>
            <w:r>
              <w:t>18/23 (78%) 7.9% overall</w:t>
            </w:r>
          </w:p>
        </w:tc>
      </w:tr>
    </w:tbl>
    <w:p w14:paraId="57BE86B6" w14:textId="3F12C1CD" w:rsidR="00032733" w:rsidRDefault="00032733" w:rsidP="00032733">
      <w:pPr>
        <w:pStyle w:val="Caption"/>
      </w:pPr>
      <w:bookmarkStart w:id="28" w:name="_Ref111719593"/>
      <w:r>
        <w:t xml:space="preserve">Table </w:t>
      </w:r>
      <w:fldSimple w:instr=" SEQ Table \* ARABIC ">
        <w:r w:rsidR="00A165AD">
          <w:rPr>
            <w:noProof/>
          </w:rPr>
          <w:t>11</w:t>
        </w:r>
      </w:fldSimple>
      <w:bookmarkEnd w:id="28"/>
      <w:r>
        <w:t xml:space="preserve"> Summary of findings with routine lymphoid NGS panel testing for the diagnosis and management of suspected</w:t>
      </w:r>
      <w:r w:rsidR="002E7EB1">
        <w:t xml:space="preserve"> low-grade</w:t>
      </w:r>
      <w:r>
        <w:t xml:space="preserve"> lymphoid malignancies</w:t>
      </w:r>
      <w:r w:rsidR="002E7EB1">
        <w:t>, including 16 cases lacking distinctive features</w:t>
      </w:r>
    </w:p>
    <w:tbl>
      <w:tblPr>
        <w:tblStyle w:val="TableGrid"/>
        <w:tblW w:w="5000" w:type="pct"/>
        <w:tblLook w:val="04A0" w:firstRow="1" w:lastRow="0" w:firstColumn="1" w:lastColumn="0" w:noHBand="0" w:noVBand="1"/>
      </w:tblPr>
      <w:tblGrid>
        <w:gridCol w:w="6167"/>
        <w:gridCol w:w="2849"/>
      </w:tblGrid>
      <w:tr w:rsidR="00032733" w14:paraId="0D944F76" w14:textId="77777777" w:rsidTr="00C54181">
        <w:trPr>
          <w:tblHeader/>
        </w:trPr>
        <w:tc>
          <w:tcPr>
            <w:tcW w:w="3420" w:type="pct"/>
          </w:tcPr>
          <w:p w14:paraId="73F73A9B" w14:textId="66F6F505" w:rsidR="00263FB3" w:rsidRDefault="00032733" w:rsidP="00947725">
            <w:pPr>
              <w:pStyle w:val="Tabletext0"/>
              <w:rPr>
                <w:rFonts w:cs="Calibri"/>
                <w:b/>
                <w:bCs/>
                <w:color w:val="000000"/>
                <w:lang w:eastAsia="en-GB"/>
              </w:rPr>
            </w:pPr>
            <w:r>
              <w:rPr>
                <w:rFonts w:cs="Calibri"/>
                <w:b/>
                <w:bCs/>
                <w:color w:val="000000"/>
                <w:lang w:eastAsia="en-GB"/>
              </w:rPr>
              <w:t>Jajosky</w:t>
            </w:r>
            <w:r w:rsidR="002E7EB1">
              <w:rPr>
                <w:rFonts w:cs="Calibri"/>
                <w:b/>
                <w:bCs/>
                <w:color w:val="000000"/>
                <w:lang w:eastAsia="en-GB"/>
              </w:rPr>
              <w:t xml:space="preserve"> et al</w:t>
            </w:r>
            <w:r w:rsidRPr="00522D64">
              <w:rPr>
                <w:rFonts w:cs="Calibri"/>
                <w:b/>
                <w:bCs/>
                <w:color w:val="000000"/>
                <w:lang w:eastAsia="en-GB"/>
              </w:rPr>
              <w:t xml:space="preserve"> </w:t>
            </w:r>
            <w:r w:rsidR="002E7EB1">
              <w:rPr>
                <w:rFonts w:cs="Calibri"/>
                <w:b/>
                <w:bCs/>
                <w:color w:val="000000"/>
                <w:lang w:eastAsia="en-GB"/>
              </w:rPr>
              <w:t>(</w:t>
            </w:r>
            <w:r w:rsidR="00263FB3">
              <w:rPr>
                <w:rFonts w:cs="Calibri"/>
                <w:b/>
                <w:bCs/>
                <w:color w:val="000000"/>
                <w:lang w:eastAsia="en-GB"/>
              </w:rPr>
              <w:t>2021</w:t>
            </w:r>
            <w:r w:rsidR="002E7EB1">
              <w:rPr>
                <w:rFonts w:cs="Calibri"/>
                <w:b/>
                <w:bCs/>
                <w:color w:val="000000"/>
                <w:lang w:eastAsia="en-GB"/>
              </w:rPr>
              <w:t>)</w:t>
            </w:r>
          </w:p>
          <w:p w14:paraId="4342CDCE" w14:textId="6DF85F6A" w:rsidR="00032733" w:rsidRDefault="00032733" w:rsidP="00947725">
            <w:pPr>
              <w:pStyle w:val="Tabletext0"/>
            </w:pPr>
            <w:r w:rsidRPr="00522D64">
              <w:rPr>
                <w:rFonts w:cs="Calibri"/>
                <w:b/>
                <w:bCs/>
                <w:color w:val="000000"/>
                <w:lang w:eastAsia="en-GB"/>
              </w:rPr>
              <w:t>NGS</w:t>
            </w:r>
            <w:r w:rsidR="00A169D6">
              <w:rPr>
                <w:rFonts w:cs="Calibri"/>
                <w:b/>
                <w:bCs/>
                <w:color w:val="000000"/>
                <w:lang w:eastAsia="en-GB"/>
              </w:rPr>
              <w:t xml:space="preserve"> </w:t>
            </w:r>
            <w:r w:rsidRPr="00522D64">
              <w:rPr>
                <w:rFonts w:cs="Calibri"/>
                <w:b/>
                <w:bCs/>
                <w:color w:val="000000"/>
                <w:lang w:eastAsia="en-GB"/>
              </w:rPr>
              <w:t xml:space="preserve"> </w:t>
            </w:r>
            <w:r w:rsidR="00A169D6">
              <w:rPr>
                <w:rFonts w:cs="Calibri"/>
                <w:b/>
                <w:bCs/>
                <w:color w:val="000000"/>
                <w:lang w:eastAsia="en-GB"/>
              </w:rPr>
              <w:t xml:space="preserve">31-gene </w:t>
            </w:r>
            <w:r w:rsidRPr="00522D64">
              <w:rPr>
                <w:rFonts w:cs="Calibri"/>
                <w:b/>
                <w:bCs/>
                <w:color w:val="000000"/>
                <w:lang w:eastAsia="en-GB"/>
              </w:rPr>
              <w:t>panel testing</w:t>
            </w:r>
            <w:r w:rsidR="00D044ED">
              <w:rPr>
                <w:rFonts w:cs="Calibri"/>
                <w:b/>
                <w:bCs/>
                <w:color w:val="000000"/>
                <w:lang w:eastAsia="en-GB"/>
              </w:rPr>
              <w:t xml:space="preserve"> used</w:t>
            </w:r>
            <w:r w:rsidR="00065220">
              <w:rPr>
                <w:rFonts w:cs="Calibri"/>
                <w:b/>
                <w:bCs/>
                <w:color w:val="000000"/>
                <w:lang w:eastAsia="en-GB"/>
              </w:rPr>
              <w:t xml:space="preserve"> routinely</w:t>
            </w:r>
            <w:r w:rsidR="00D044ED">
              <w:rPr>
                <w:rFonts w:cs="Calibri"/>
                <w:b/>
                <w:bCs/>
                <w:color w:val="000000"/>
                <w:lang w:eastAsia="en-GB"/>
              </w:rPr>
              <w:t xml:space="preserve"> i</w:t>
            </w:r>
            <w:r w:rsidR="00DB7B04">
              <w:rPr>
                <w:rFonts w:cs="Calibri"/>
                <w:b/>
                <w:bCs/>
                <w:color w:val="000000"/>
                <w:lang w:eastAsia="en-GB"/>
              </w:rPr>
              <w:t>n initial diagnostic work-up</w:t>
            </w:r>
          </w:p>
        </w:tc>
        <w:tc>
          <w:tcPr>
            <w:tcW w:w="1580" w:type="pct"/>
          </w:tcPr>
          <w:p w14:paraId="74DE41EE" w14:textId="77777777" w:rsidR="00032733" w:rsidRDefault="00032733" w:rsidP="00947725">
            <w:pPr>
              <w:pStyle w:val="Tabletext0"/>
              <w:rPr>
                <w:rFonts w:cs="Calibri"/>
                <w:b/>
                <w:bCs/>
                <w:color w:val="000000"/>
                <w:lang w:eastAsia="en-GB"/>
              </w:rPr>
            </w:pPr>
            <w:r>
              <w:rPr>
                <w:rFonts w:cs="Calibri"/>
                <w:b/>
                <w:bCs/>
                <w:color w:val="000000"/>
                <w:lang w:eastAsia="en-GB"/>
              </w:rPr>
              <w:t>Number of patients (% of all patients)</w:t>
            </w:r>
          </w:p>
        </w:tc>
      </w:tr>
      <w:tr w:rsidR="00032733" w14:paraId="407470E6" w14:textId="77777777" w:rsidTr="00C54181">
        <w:tc>
          <w:tcPr>
            <w:tcW w:w="3420" w:type="pct"/>
          </w:tcPr>
          <w:p w14:paraId="0DB9090F" w14:textId="77777777" w:rsidR="00032733" w:rsidRDefault="00032733" w:rsidP="00947725">
            <w:pPr>
              <w:pStyle w:val="Tabletext0"/>
            </w:pPr>
            <w:r>
              <w:t>Number of patients tested</w:t>
            </w:r>
          </w:p>
        </w:tc>
        <w:tc>
          <w:tcPr>
            <w:tcW w:w="1580" w:type="pct"/>
          </w:tcPr>
          <w:p w14:paraId="0E9D37DA" w14:textId="77777777" w:rsidR="00032733" w:rsidRDefault="00032733" w:rsidP="00947725">
            <w:pPr>
              <w:pStyle w:val="Tabletext0"/>
            </w:pPr>
            <w:r>
              <w:t>147</w:t>
            </w:r>
          </w:p>
        </w:tc>
      </w:tr>
      <w:tr w:rsidR="00032733" w14:paraId="75AE7AD0" w14:textId="77777777" w:rsidTr="00C54181">
        <w:tc>
          <w:tcPr>
            <w:tcW w:w="3420" w:type="pct"/>
          </w:tcPr>
          <w:p w14:paraId="4E1C0511" w14:textId="77777777" w:rsidR="00032733" w:rsidRDefault="00032733" w:rsidP="00947725">
            <w:pPr>
              <w:pStyle w:val="Tabletext0"/>
            </w:pPr>
            <w:r>
              <w:t>Samples with ≥1 clinically significant variant</w:t>
            </w:r>
          </w:p>
        </w:tc>
        <w:tc>
          <w:tcPr>
            <w:tcW w:w="1580" w:type="pct"/>
          </w:tcPr>
          <w:p w14:paraId="23FB2B07" w14:textId="77777777" w:rsidR="00032733" w:rsidRDefault="00032733" w:rsidP="00947725">
            <w:pPr>
              <w:pStyle w:val="Tabletext0"/>
            </w:pPr>
            <w:r>
              <w:t>92 (64%)</w:t>
            </w:r>
          </w:p>
        </w:tc>
      </w:tr>
      <w:tr w:rsidR="00032733" w14:paraId="318B19CC" w14:textId="77777777" w:rsidTr="00C54181">
        <w:tc>
          <w:tcPr>
            <w:tcW w:w="3420" w:type="pct"/>
          </w:tcPr>
          <w:p w14:paraId="41AA8482" w14:textId="77777777" w:rsidR="00032733" w:rsidRDefault="00032733" w:rsidP="00947725">
            <w:pPr>
              <w:pStyle w:val="Tabletext0"/>
            </w:pPr>
            <w:r>
              <w:t>Patient receiving a diagnosis where not previously possible</w:t>
            </w:r>
          </w:p>
        </w:tc>
        <w:tc>
          <w:tcPr>
            <w:tcW w:w="1580" w:type="pct"/>
          </w:tcPr>
          <w:p w14:paraId="45AA4E4F" w14:textId="77777777" w:rsidR="00032733" w:rsidRDefault="00032733" w:rsidP="00947725">
            <w:pPr>
              <w:pStyle w:val="Tabletext0"/>
            </w:pPr>
            <w:r>
              <w:t>10 (7%)</w:t>
            </w:r>
          </w:p>
        </w:tc>
      </w:tr>
      <w:tr w:rsidR="00032733" w14:paraId="165AB069" w14:textId="77777777" w:rsidTr="00C54181">
        <w:tc>
          <w:tcPr>
            <w:tcW w:w="3420" w:type="pct"/>
          </w:tcPr>
          <w:p w14:paraId="40696C91" w14:textId="77777777" w:rsidR="00032733" w:rsidRDefault="00032733" w:rsidP="00947725">
            <w:pPr>
              <w:pStyle w:val="Tabletext0"/>
            </w:pPr>
            <w:r>
              <w:t>Patient where diagnosis assisted (new or increased certainty)</w:t>
            </w:r>
          </w:p>
        </w:tc>
        <w:tc>
          <w:tcPr>
            <w:tcW w:w="1580" w:type="pct"/>
          </w:tcPr>
          <w:p w14:paraId="2776DF21" w14:textId="77777777" w:rsidR="00032733" w:rsidRDefault="00032733" w:rsidP="00947725">
            <w:pPr>
              <w:pStyle w:val="Tabletext0"/>
            </w:pPr>
            <w:r>
              <w:t>37 (25%)</w:t>
            </w:r>
          </w:p>
        </w:tc>
      </w:tr>
      <w:tr w:rsidR="00032733" w14:paraId="653DB36A" w14:textId="77777777" w:rsidTr="00C54181">
        <w:tc>
          <w:tcPr>
            <w:tcW w:w="3420" w:type="pct"/>
          </w:tcPr>
          <w:p w14:paraId="302E6132" w14:textId="77777777" w:rsidR="00032733" w:rsidRDefault="00032733" w:rsidP="00947725">
            <w:pPr>
              <w:pStyle w:val="Tabletext0"/>
            </w:pPr>
            <w:r>
              <w:t xml:space="preserve">Patients receiving prognostic information </w:t>
            </w:r>
          </w:p>
        </w:tc>
        <w:tc>
          <w:tcPr>
            <w:tcW w:w="1580" w:type="pct"/>
          </w:tcPr>
          <w:p w14:paraId="7E5385B7" w14:textId="77777777" w:rsidR="00032733" w:rsidRDefault="00032733" w:rsidP="00947725">
            <w:pPr>
              <w:pStyle w:val="Tabletext0"/>
            </w:pPr>
            <w:r>
              <w:t>50 (34%)</w:t>
            </w:r>
          </w:p>
        </w:tc>
      </w:tr>
      <w:tr w:rsidR="00032733" w14:paraId="30859006" w14:textId="77777777" w:rsidTr="00C54181">
        <w:tc>
          <w:tcPr>
            <w:tcW w:w="3420" w:type="pct"/>
          </w:tcPr>
          <w:p w14:paraId="0B18E61E" w14:textId="77777777" w:rsidR="00032733" w:rsidRDefault="00032733" w:rsidP="00947725">
            <w:pPr>
              <w:pStyle w:val="Tabletext0"/>
            </w:pPr>
            <w:r>
              <w:t>Patients receiving result identifying an approved therapy</w:t>
            </w:r>
            <w:r w:rsidRPr="00620FC9">
              <w:t xml:space="preserve"> </w:t>
            </w:r>
          </w:p>
        </w:tc>
        <w:tc>
          <w:tcPr>
            <w:tcW w:w="1580" w:type="pct"/>
          </w:tcPr>
          <w:p w14:paraId="5540C2FF" w14:textId="77777777" w:rsidR="00032733" w:rsidRDefault="00032733" w:rsidP="00947725">
            <w:pPr>
              <w:pStyle w:val="Tabletext0"/>
            </w:pPr>
            <w:r>
              <w:t>27 (18%)</w:t>
            </w:r>
          </w:p>
        </w:tc>
      </w:tr>
      <w:tr w:rsidR="00032733" w14:paraId="6B956EFC" w14:textId="77777777" w:rsidTr="00C54181">
        <w:tc>
          <w:tcPr>
            <w:tcW w:w="3420" w:type="pct"/>
          </w:tcPr>
          <w:p w14:paraId="0EF2F26D" w14:textId="77777777" w:rsidR="00032733" w:rsidRDefault="00032733" w:rsidP="00947725">
            <w:pPr>
              <w:pStyle w:val="Tabletext0"/>
            </w:pPr>
            <w:r>
              <w:t>Patients receiving result identifying an off-label or investigational therapy</w:t>
            </w:r>
          </w:p>
        </w:tc>
        <w:tc>
          <w:tcPr>
            <w:tcW w:w="1580" w:type="pct"/>
          </w:tcPr>
          <w:p w14:paraId="194AF493" w14:textId="77777777" w:rsidR="00032733" w:rsidRDefault="00032733" w:rsidP="00947725">
            <w:pPr>
              <w:pStyle w:val="Tabletext0"/>
            </w:pPr>
            <w:r>
              <w:t>26 (18%)</w:t>
            </w:r>
          </w:p>
        </w:tc>
      </w:tr>
      <w:tr w:rsidR="00032733" w14:paraId="26C51976" w14:textId="77777777" w:rsidTr="00C54181">
        <w:tc>
          <w:tcPr>
            <w:tcW w:w="3420" w:type="pct"/>
          </w:tcPr>
          <w:p w14:paraId="5ECFB39A" w14:textId="77777777" w:rsidR="00032733" w:rsidRDefault="00032733" w:rsidP="00947725">
            <w:pPr>
              <w:pStyle w:val="Tabletext0"/>
            </w:pPr>
            <w:r>
              <w:t>Management altered where change in diagnosis</w:t>
            </w:r>
          </w:p>
        </w:tc>
        <w:tc>
          <w:tcPr>
            <w:tcW w:w="1580" w:type="pct"/>
          </w:tcPr>
          <w:p w14:paraId="612A171A" w14:textId="77777777" w:rsidR="00032733" w:rsidRDefault="00032733" w:rsidP="00947725">
            <w:pPr>
              <w:pStyle w:val="Tabletext0"/>
            </w:pPr>
            <w:r>
              <w:t xml:space="preserve">76 (52%) </w:t>
            </w:r>
          </w:p>
        </w:tc>
      </w:tr>
      <w:tr w:rsidR="00032733" w14:paraId="067354F3" w14:textId="77777777" w:rsidTr="00C54181">
        <w:tc>
          <w:tcPr>
            <w:tcW w:w="3420" w:type="pct"/>
          </w:tcPr>
          <w:p w14:paraId="726E959C" w14:textId="77777777" w:rsidR="00032733" w:rsidRPr="00E87DAA" w:rsidRDefault="00032733" w:rsidP="00947725">
            <w:pPr>
              <w:pStyle w:val="Tabletext0"/>
              <w:rPr>
                <w:b/>
                <w:bCs/>
              </w:rPr>
            </w:pPr>
            <w:r w:rsidRPr="00E87DAA">
              <w:rPr>
                <w:b/>
                <w:bCs/>
              </w:rPr>
              <w:t>Number of informative results</w:t>
            </w:r>
          </w:p>
        </w:tc>
        <w:tc>
          <w:tcPr>
            <w:tcW w:w="1580" w:type="pct"/>
          </w:tcPr>
          <w:p w14:paraId="176E8865" w14:textId="77777777" w:rsidR="00032733" w:rsidRDefault="00032733" w:rsidP="00947725">
            <w:pPr>
              <w:pStyle w:val="Tabletext0"/>
            </w:pPr>
          </w:p>
        </w:tc>
      </w:tr>
      <w:tr w:rsidR="00032733" w14:paraId="2B0F4815" w14:textId="77777777" w:rsidTr="00C54181">
        <w:tc>
          <w:tcPr>
            <w:tcW w:w="3420" w:type="pct"/>
          </w:tcPr>
          <w:p w14:paraId="118EA1FB" w14:textId="23625FC5" w:rsidR="00032733" w:rsidRDefault="00065220" w:rsidP="00947725">
            <w:pPr>
              <w:pStyle w:val="Tabletext0"/>
            </w:pPr>
            <w:r>
              <w:t>*</w:t>
            </w:r>
            <w:r w:rsidR="00032733">
              <w:t>Number of informative results from NGS – diagnosis, prognosis, approved therapy</w:t>
            </w:r>
          </w:p>
        </w:tc>
        <w:tc>
          <w:tcPr>
            <w:tcW w:w="1580" w:type="pct"/>
          </w:tcPr>
          <w:p w14:paraId="27E8DA66" w14:textId="77777777" w:rsidR="00032733" w:rsidRDefault="00032733" w:rsidP="00947725">
            <w:pPr>
              <w:pStyle w:val="Tabletext0"/>
            </w:pPr>
            <w:r>
              <w:t>114 (78%)</w:t>
            </w:r>
          </w:p>
        </w:tc>
      </w:tr>
      <w:tr w:rsidR="00032733" w14:paraId="28923967" w14:textId="77777777" w:rsidTr="00C54181">
        <w:tc>
          <w:tcPr>
            <w:tcW w:w="3420" w:type="pct"/>
          </w:tcPr>
          <w:p w14:paraId="044D1CFB" w14:textId="7E483FC9" w:rsidR="00032733" w:rsidRDefault="00065220" w:rsidP="00947725">
            <w:pPr>
              <w:pStyle w:val="Tabletext0"/>
            </w:pPr>
            <w:r>
              <w:t>*</w:t>
            </w:r>
            <w:r w:rsidR="00032733">
              <w:t>Number of informative results from NGS – diagnosis, prognosis, any therapy</w:t>
            </w:r>
          </w:p>
        </w:tc>
        <w:tc>
          <w:tcPr>
            <w:tcW w:w="1580" w:type="pct"/>
          </w:tcPr>
          <w:p w14:paraId="1D5D8A60" w14:textId="77777777" w:rsidR="00032733" w:rsidRDefault="00032733" w:rsidP="00947725">
            <w:pPr>
              <w:pStyle w:val="Tabletext0"/>
            </w:pPr>
            <w:r>
              <w:t>140 (95%)</w:t>
            </w:r>
          </w:p>
        </w:tc>
      </w:tr>
    </w:tbl>
    <w:p w14:paraId="6CC5629E" w14:textId="6B652C53" w:rsidR="00C46E06" w:rsidRPr="00C46E06" w:rsidRDefault="00B63036" w:rsidP="00C46E06">
      <w:pPr>
        <w:pStyle w:val="Tablenotes"/>
      </w:pPr>
      <w:r>
        <w:t>*Sum of patients with a change in diagnosis, prognosis, treatment with approved therapies – a single patient may receive more than one informative result or change, and a single variant may inform more than one domain</w:t>
      </w:r>
      <w:bookmarkStart w:id="29" w:name="_Ref111719671"/>
      <w:r w:rsidR="00C46E06">
        <w:br w:type="page"/>
      </w:r>
    </w:p>
    <w:p w14:paraId="793D0801" w14:textId="0CB0915D" w:rsidR="00032733" w:rsidRDefault="00032733" w:rsidP="00032733">
      <w:pPr>
        <w:pStyle w:val="Caption"/>
      </w:pPr>
      <w:r>
        <w:lastRenderedPageBreak/>
        <w:t xml:space="preserve">Table </w:t>
      </w:r>
      <w:fldSimple w:instr=" SEQ Table \* ARABIC ">
        <w:r w:rsidR="00A165AD">
          <w:rPr>
            <w:noProof/>
          </w:rPr>
          <w:t>12</w:t>
        </w:r>
      </w:fldSimple>
      <w:bookmarkEnd w:id="29"/>
      <w:r>
        <w:t xml:space="preserve"> Summary of findings of routine use of lymphoid NGS</w:t>
      </w:r>
      <w:r w:rsidR="00162D36">
        <w:t xml:space="preserve"> </w:t>
      </w:r>
      <w:r>
        <w:t>panel testing for the management of patients with chronic lymphocytic leukaemia</w:t>
      </w:r>
    </w:p>
    <w:tbl>
      <w:tblPr>
        <w:tblStyle w:val="TableGrid"/>
        <w:tblW w:w="5000" w:type="pct"/>
        <w:tblCellMar>
          <w:left w:w="28" w:type="dxa"/>
          <w:right w:w="28" w:type="dxa"/>
        </w:tblCellMar>
        <w:tblLook w:val="04A0" w:firstRow="1" w:lastRow="0" w:firstColumn="1" w:lastColumn="0" w:noHBand="0" w:noVBand="1"/>
      </w:tblPr>
      <w:tblGrid>
        <w:gridCol w:w="7225"/>
        <w:gridCol w:w="1791"/>
      </w:tblGrid>
      <w:tr w:rsidR="00032733" w14:paraId="6AE5A0C1" w14:textId="77777777" w:rsidTr="00B815BD">
        <w:trPr>
          <w:tblHeader/>
        </w:trPr>
        <w:tc>
          <w:tcPr>
            <w:tcW w:w="4007" w:type="pct"/>
          </w:tcPr>
          <w:p w14:paraId="3D8C31B7" w14:textId="50FBBA33" w:rsidR="00263FB3" w:rsidRDefault="00032733" w:rsidP="00947725">
            <w:pPr>
              <w:pStyle w:val="Tabletext0"/>
              <w:rPr>
                <w:rFonts w:cs="Calibri"/>
                <w:b/>
                <w:bCs/>
                <w:color w:val="000000"/>
                <w:lang w:eastAsia="en-GB"/>
              </w:rPr>
            </w:pPr>
            <w:r>
              <w:rPr>
                <w:rFonts w:cs="Calibri"/>
                <w:b/>
                <w:bCs/>
                <w:color w:val="000000"/>
                <w:lang w:eastAsia="en-GB"/>
              </w:rPr>
              <w:t>Jajosky</w:t>
            </w:r>
            <w:r w:rsidR="009334C9">
              <w:rPr>
                <w:rFonts w:cs="Calibri"/>
                <w:b/>
                <w:bCs/>
                <w:color w:val="000000"/>
                <w:lang w:eastAsia="en-GB"/>
              </w:rPr>
              <w:t xml:space="preserve"> et al</w:t>
            </w:r>
            <w:r w:rsidRPr="00522D64">
              <w:rPr>
                <w:rFonts w:cs="Calibri"/>
                <w:b/>
                <w:bCs/>
                <w:color w:val="000000"/>
                <w:lang w:eastAsia="en-GB"/>
              </w:rPr>
              <w:t xml:space="preserve"> </w:t>
            </w:r>
            <w:r w:rsidR="00D241BD">
              <w:rPr>
                <w:rFonts w:cs="Calibri"/>
                <w:b/>
                <w:bCs/>
                <w:color w:val="000000"/>
                <w:lang w:eastAsia="en-GB"/>
              </w:rPr>
              <w:t>(</w:t>
            </w:r>
            <w:r w:rsidR="00263FB3">
              <w:rPr>
                <w:rFonts w:cs="Calibri"/>
                <w:b/>
                <w:bCs/>
                <w:color w:val="000000"/>
                <w:lang w:eastAsia="en-GB"/>
              </w:rPr>
              <w:t>2021</w:t>
            </w:r>
            <w:r w:rsidR="00D241BD">
              <w:rPr>
                <w:rFonts w:cs="Calibri"/>
                <w:b/>
                <w:bCs/>
                <w:color w:val="000000"/>
                <w:lang w:eastAsia="en-GB"/>
              </w:rPr>
              <w:t>)</w:t>
            </w:r>
          </w:p>
          <w:p w14:paraId="35690833" w14:textId="4EBEA7F2" w:rsidR="00032733" w:rsidRDefault="00032733" w:rsidP="00947725">
            <w:pPr>
              <w:pStyle w:val="Tabletext0"/>
            </w:pPr>
            <w:r w:rsidRPr="00522D64">
              <w:rPr>
                <w:rFonts w:cs="Calibri"/>
                <w:b/>
                <w:bCs/>
                <w:color w:val="000000"/>
                <w:lang w:eastAsia="en-GB"/>
              </w:rPr>
              <w:t xml:space="preserve">NGS </w:t>
            </w:r>
            <w:r w:rsidR="00A169D6">
              <w:rPr>
                <w:rFonts w:cs="Calibri"/>
                <w:b/>
                <w:bCs/>
                <w:color w:val="000000"/>
                <w:lang w:eastAsia="en-GB"/>
              </w:rPr>
              <w:t xml:space="preserve">31-gene </w:t>
            </w:r>
            <w:r w:rsidRPr="00522D64">
              <w:rPr>
                <w:rFonts w:cs="Calibri"/>
                <w:b/>
                <w:bCs/>
                <w:color w:val="000000"/>
                <w:lang w:eastAsia="en-GB"/>
              </w:rPr>
              <w:t>panel testing</w:t>
            </w:r>
            <w:r>
              <w:rPr>
                <w:rFonts w:cs="Calibri"/>
                <w:b/>
                <w:bCs/>
                <w:color w:val="000000"/>
                <w:lang w:eastAsia="en-GB"/>
              </w:rPr>
              <w:t xml:space="preserve"> </w:t>
            </w:r>
            <w:r w:rsidR="00B63036">
              <w:rPr>
                <w:rFonts w:cs="Calibri"/>
                <w:b/>
                <w:bCs/>
                <w:color w:val="000000"/>
                <w:lang w:eastAsia="en-GB"/>
              </w:rPr>
              <w:t>used routinely in initial work-up of</w:t>
            </w:r>
            <w:r w:rsidR="007B769F">
              <w:rPr>
                <w:rFonts w:cs="Calibri"/>
                <w:b/>
                <w:bCs/>
                <w:color w:val="000000"/>
                <w:lang w:eastAsia="en-GB"/>
              </w:rPr>
              <w:t xml:space="preserve"> </w:t>
            </w:r>
            <w:r w:rsidR="00D241EC">
              <w:rPr>
                <w:rFonts w:cs="Calibri"/>
                <w:b/>
                <w:bCs/>
                <w:color w:val="000000"/>
                <w:lang w:eastAsia="en-GB"/>
              </w:rPr>
              <w:t>c</w:t>
            </w:r>
            <w:r w:rsidR="007B769F">
              <w:rPr>
                <w:rFonts w:cs="Calibri"/>
                <w:b/>
                <w:bCs/>
                <w:color w:val="000000"/>
                <w:lang w:eastAsia="en-GB"/>
              </w:rPr>
              <w:t xml:space="preserve">hronic </w:t>
            </w:r>
            <w:r w:rsidR="00D241EC">
              <w:rPr>
                <w:rFonts w:cs="Calibri"/>
                <w:b/>
                <w:bCs/>
                <w:color w:val="000000"/>
                <w:lang w:eastAsia="en-GB"/>
              </w:rPr>
              <w:t>l</w:t>
            </w:r>
            <w:r w:rsidR="007B769F">
              <w:rPr>
                <w:rFonts w:cs="Calibri"/>
                <w:b/>
                <w:bCs/>
                <w:color w:val="000000"/>
                <w:lang w:eastAsia="en-GB"/>
              </w:rPr>
              <w:t xml:space="preserve">ymphocytic </w:t>
            </w:r>
            <w:r w:rsidR="00D241EC">
              <w:rPr>
                <w:rFonts w:cs="Calibri"/>
                <w:b/>
                <w:bCs/>
                <w:color w:val="000000"/>
                <w:lang w:eastAsia="en-GB"/>
              </w:rPr>
              <w:t>l</w:t>
            </w:r>
            <w:r w:rsidR="007B769F">
              <w:rPr>
                <w:rFonts w:cs="Calibri"/>
                <w:b/>
                <w:bCs/>
                <w:color w:val="000000"/>
                <w:lang w:eastAsia="en-GB"/>
              </w:rPr>
              <w:t>eukaemia</w:t>
            </w:r>
          </w:p>
        </w:tc>
        <w:tc>
          <w:tcPr>
            <w:tcW w:w="993" w:type="pct"/>
          </w:tcPr>
          <w:p w14:paraId="196C4D7E" w14:textId="77777777" w:rsidR="00032733" w:rsidRDefault="00032733" w:rsidP="00947725">
            <w:pPr>
              <w:pStyle w:val="Tabletext0"/>
              <w:rPr>
                <w:rFonts w:cs="Calibri"/>
                <w:b/>
                <w:bCs/>
                <w:color w:val="000000"/>
                <w:lang w:eastAsia="en-GB"/>
              </w:rPr>
            </w:pPr>
            <w:r>
              <w:rPr>
                <w:rFonts w:cs="Calibri"/>
                <w:b/>
                <w:bCs/>
                <w:color w:val="000000"/>
                <w:lang w:eastAsia="en-GB"/>
              </w:rPr>
              <w:t>Number of patients (% of all patients)</w:t>
            </w:r>
          </w:p>
        </w:tc>
      </w:tr>
      <w:tr w:rsidR="00032733" w14:paraId="4EB82A2A" w14:textId="77777777" w:rsidTr="00B815BD">
        <w:tc>
          <w:tcPr>
            <w:tcW w:w="4007" w:type="pct"/>
          </w:tcPr>
          <w:p w14:paraId="7D6F66FA" w14:textId="77777777" w:rsidR="00032733" w:rsidRDefault="00032733" w:rsidP="00947725">
            <w:pPr>
              <w:pStyle w:val="Tabletext0"/>
            </w:pPr>
            <w:r>
              <w:t>Number of patients tested</w:t>
            </w:r>
          </w:p>
        </w:tc>
        <w:tc>
          <w:tcPr>
            <w:tcW w:w="993" w:type="pct"/>
          </w:tcPr>
          <w:p w14:paraId="35CE8459" w14:textId="77777777" w:rsidR="00032733" w:rsidRDefault="00032733" w:rsidP="00947725">
            <w:pPr>
              <w:pStyle w:val="Tabletext0"/>
            </w:pPr>
            <w:r>
              <w:t>43</w:t>
            </w:r>
          </w:p>
        </w:tc>
      </w:tr>
      <w:tr w:rsidR="00032733" w14:paraId="242560AF" w14:textId="77777777" w:rsidTr="00B815BD">
        <w:tc>
          <w:tcPr>
            <w:tcW w:w="4007" w:type="pct"/>
          </w:tcPr>
          <w:p w14:paraId="0A367350" w14:textId="77777777" w:rsidR="00032733" w:rsidRDefault="00032733" w:rsidP="00947725">
            <w:pPr>
              <w:pStyle w:val="Tabletext0"/>
            </w:pPr>
            <w:r>
              <w:t>Samples with ≥1 clinically significant variant</w:t>
            </w:r>
          </w:p>
        </w:tc>
        <w:tc>
          <w:tcPr>
            <w:tcW w:w="993" w:type="pct"/>
          </w:tcPr>
          <w:p w14:paraId="65F286AC" w14:textId="77777777" w:rsidR="00032733" w:rsidRDefault="00032733" w:rsidP="00947725">
            <w:pPr>
              <w:pStyle w:val="Tabletext0"/>
            </w:pPr>
            <w:r>
              <w:t>28/43 (65%)</w:t>
            </w:r>
          </w:p>
        </w:tc>
      </w:tr>
      <w:tr w:rsidR="00032733" w14:paraId="4A8A5CE6" w14:textId="77777777" w:rsidTr="00B815BD">
        <w:tc>
          <w:tcPr>
            <w:tcW w:w="4007" w:type="pct"/>
          </w:tcPr>
          <w:p w14:paraId="48FAD824" w14:textId="77777777" w:rsidR="00032733" w:rsidRDefault="00032733" w:rsidP="00947725">
            <w:pPr>
              <w:pStyle w:val="Tabletext0"/>
            </w:pPr>
            <w:r>
              <w:t>Patient receiving a change in diagnosis</w:t>
            </w:r>
          </w:p>
        </w:tc>
        <w:tc>
          <w:tcPr>
            <w:tcW w:w="993" w:type="pct"/>
          </w:tcPr>
          <w:p w14:paraId="5A42AA41" w14:textId="77777777" w:rsidR="00032733" w:rsidRDefault="00032733" w:rsidP="00947725">
            <w:pPr>
              <w:pStyle w:val="Tabletext0"/>
            </w:pPr>
            <w:r>
              <w:t>0</w:t>
            </w:r>
          </w:p>
        </w:tc>
      </w:tr>
      <w:tr w:rsidR="00032733" w14:paraId="23160432" w14:textId="77777777" w:rsidTr="00B815BD">
        <w:tc>
          <w:tcPr>
            <w:tcW w:w="4007" w:type="pct"/>
          </w:tcPr>
          <w:p w14:paraId="391AC2DD" w14:textId="77777777" w:rsidR="00032733" w:rsidRDefault="00032733" w:rsidP="00947725">
            <w:pPr>
              <w:pStyle w:val="Tabletext0"/>
            </w:pPr>
            <w:r>
              <w:t xml:space="preserve">Patients receiving prognostic information </w:t>
            </w:r>
          </w:p>
        </w:tc>
        <w:tc>
          <w:tcPr>
            <w:tcW w:w="993" w:type="pct"/>
          </w:tcPr>
          <w:p w14:paraId="52B273EC" w14:textId="77777777" w:rsidR="00032733" w:rsidRDefault="00032733" w:rsidP="00947725">
            <w:pPr>
              <w:pStyle w:val="Tabletext0"/>
            </w:pPr>
            <w:r>
              <w:t>27/43 (63%)</w:t>
            </w:r>
          </w:p>
        </w:tc>
      </w:tr>
      <w:tr w:rsidR="00032733" w14:paraId="63028BAD" w14:textId="77777777" w:rsidTr="00B815BD">
        <w:tc>
          <w:tcPr>
            <w:tcW w:w="4007" w:type="pct"/>
          </w:tcPr>
          <w:p w14:paraId="1EABB561" w14:textId="77777777" w:rsidR="00032733" w:rsidRDefault="00032733" w:rsidP="00947725">
            <w:pPr>
              <w:pStyle w:val="Tabletext0"/>
            </w:pPr>
            <w:r>
              <w:t xml:space="preserve">Patients receiving result directing therapy </w:t>
            </w:r>
          </w:p>
        </w:tc>
        <w:tc>
          <w:tcPr>
            <w:tcW w:w="993" w:type="pct"/>
          </w:tcPr>
          <w:p w14:paraId="3C59FB18" w14:textId="77777777" w:rsidR="00032733" w:rsidRDefault="00032733" w:rsidP="00947725">
            <w:pPr>
              <w:pStyle w:val="Tabletext0"/>
            </w:pPr>
            <w:r>
              <w:t>6/43 (14%)</w:t>
            </w:r>
          </w:p>
        </w:tc>
      </w:tr>
      <w:tr w:rsidR="00032733" w14:paraId="6D43A042" w14:textId="77777777" w:rsidTr="00B815BD">
        <w:tc>
          <w:tcPr>
            <w:tcW w:w="4007" w:type="pct"/>
          </w:tcPr>
          <w:p w14:paraId="73B56262" w14:textId="77777777" w:rsidR="00032733" w:rsidRDefault="00032733" w:rsidP="00947725">
            <w:pPr>
              <w:pStyle w:val="Tabletext0"/>
            </w:pPr>
            <w:r>
              <w:t>Patients receiving result identified an investigational therapy</w:t>
            </w:r>
          </w:p>
        </w:tc>
        <w:tc>
          <w:tcPr>
            <w:tcW w:w="993" w:type="pct"/>
          </w:tcPr>
          <w:p w14:paraId="108C3115" w14:textId="50175431" w:rsidR="00032733" w:rsidRDefault="00032733" w:rsidP="00947725">
            <w:pPr>
              <w:pStyle w:val="Tabletext0"/>
            </w:pPr>
            <w:r>
              <w:t>14</w:t>
            </w:r>
            <w:r w:rsidR="00D4095A">
              <w:t xml:space="preserve">/43 </w:t>
            </w:r>
            <w:r>
              <w:t>(33%)</w:t>
            </w:r>
          </w:p>
        </w:tc>
      </w:tr>
      <w:tr w:rsidR="00032733" w14:paraId="7D45224F" w14:textId="77777777" w:rsidTr="00B815BD">
        <w:tc>
          <w:tcPr>
            <w:tcW w:w="4007" w:type="pct"/>
          </w:tcPr>
          <w:p w14:paraId="5667F591" w14:textId="5F56F7F8" w:rsidR="00032733" w:rsidRDefault="00E00651" w:rsidP="00947725">
            <w:pPr>
              <w:pStyle w:val="Tabletext0"/>
            </w:pPr>
            <w:r>
              <w:t>Total n</w:t>
            </w:r>
            <w:r w:rsidR="00032733">
              <w:t>umber of informative NGS results</w:t>
            </w:r>
            <w:r w:rsidR="00D4095A">
              <w:t>/total number of patients</w:t>
            </w:r>
            <w:r w:rsidR="00032733">
              <w:t xml:space="preserve"> – diagnosis, prognosis, therapy</w:t>
            </w:r>
          </w:p>
        </w:tc>
        <w:tc>
          <w:tcPr>
            <w:tcW w:w="993" w:type="pct"/>
          </w:tcPr>
          <w:p w14:paraId="6D44A399" w14:textId="6810D2D9" w:rsidR="00032733" w:rsidRDefault="00E74590" w:rsidP="00947725">
            <w:pPr>
              <w:pStyle w:val="Tabletext0"/>
            </w:pPr>
            <w:r>
              <w:t>*</w:t>
            </w:r>
            <w:r w:rsidR="00032733">
              <w:t>47</w:t>
            </w:r>
            <w:r w:rsidR="00D4095A">
              <w:t>/43</w:t>
            </w:r>
            <w:r w:rsidR="00032733">
              <w:t xml:space="preserve"> (109%)</w:t>
            </w:r>
          </w:p>
        </w:tc>
      </w:tr>
    </w:tbl>
    <w:p w14:paraId="6042291B" w14:textId="2B7B5A10" w:rsidR="00032733" w:rsidRDefault="00E74590" w:rsidP="00E74590">
      <w:pPr>
        <w:pStyle w:val="TableFooter"/>
      </w:pPr>
      <w:r>
        <w:t>*An individual patient may have more than one informative variant, and a single variant may be informative across more than one domain so the total may exceed 100%</w:t>
      </w:r>
    </w:p>
    <w:p w14:paraId="5FB810BE" w14:textId="3A40E169" w:rsidR="00032733" w:rsidRDefault="00032733" w:rsidP="00032733">
      <w:pPr>
        <w:pStyle w:val="Caption"/>
      </w:pPr>
      <w:bookmarkStart w:id="30" w:name="_Ref111719650"/>
      <w:r>
        <w:t xml:space="preserve">Table </w:t>
      </w:r>
      <w:fldSimple w:instr=" SEQ Table \* ARABIC ">
        <w:r w:rsidR="00A165AD">
          <w:rPr>
            <w:noProof/>
          </w:rPr>
          <w:t>13</w:t>
        </w:r>
      </w:fldSimple>
      <w:bookmarkEnd w:id="30"/>
      <w:r>
        <w:t xml:space="preserve"> Clinical impact of Tier 1 or 2 variants identified in NGS </w:t>
      </w:r>
      <w:r w:rsidR="00954636">
        <w:t xml:space="preserve">52-gene </w:t>
      </w:r>
      <w:r>
        <w:t>panel testing of patients</w:t>
      </w:r>
      <w:r w:rsidR="00845C05">
        <w:t xml:space="preserve"> under the age of 26 years</w:t>
      </w:r>
      <w:r>
        <w:t xml:space="preserve"> with acute leukaemia (myeloid or lymphoid) </w:t>
      </w:r>
    </w:p>
    <w:tbl>
      <w:tblPr>
        <w:tblStyle w:val="TableGrid"/>
        <w:tblW w:w="5000" w:type="pct"/>
        <w:tblLook w:val="04A0" w:firstRow="1" w:lastRow="0" w:firstColumn="1" w:lastColumn="0" w:noHBand="0" w:noVBand="1"/>
      </w:tblPr>
      <w:tblGrid>
        <w:gridCol w:w="6167"/>
        <w:gridCol w:w="2849"/>
      </w:tblGrid>
      <w:tr w:rsidR="00032733" w14:paraId="12845EAB" w14:textId="77777777" w:rsidTr="00C54181">
        <w:tc>
          <w:tcPr>
            <w:tcW w:w="3420" w:type="pct"/>
          </w:tcPr>
          <w:p w14:paraId="33672E54" w14:textId="6CA3767D" w:rsidR="00032733" w:rsidRDefault="00032733" w:rsidP="00947725">
            <w:pPr>
              <w:pStyle w:val="Tabletext0"/>
            </w:pPr>
            <w:r>
              <w:rPr>
                <w:rFonts w:cs="Calibri"/>
                <w:b/>
                <w:bCs/>
                <w:color w:val="000000"/>
                <w:lang w:eastAsia="en-GB"/>
              </w:rPr>
              <w:t>Vicente-Garces</w:t>
            </w:r>
            <w:r w:rsidR="009334C9">
              <w:rPr>
                <w:rFonts w:cs="Calibri"/>
                <w:b/>
                <w:bCs/>
                <w:color w:val="000000"/>
                <w:lang w:eastAsia="en-GB"/>
              </w:rPr>
              <w:t xml:space="preserve"> et al</w:t>
            </w:r>
            <w:r w:rsidR="00E8694D">
              <w:rPr>
                <w:rFonts w:cs="Calibri"/>
                <w:b/>
                <w:bCs/>
                <w:color w:val="000000"/>
                <w:lang w:eastAsia="en-GB"/>
              </w:rPr>
              <w:t xml:space="preserve"> (2022)</w:t>
            </w:r>
            <w:r w:rsidR="00D241BD">
              <w:rPr>
                <w:rFonts w:cs="Calibri"/>
                <w:b/>
                <w:bCs/>
                <w:color w:val="000000"/>
                <w:lang w:eastAsia="en-GB"/>
              </w:rPr>
              <w:t xml:space="preserve"> </w:t>
            </w:r>
            <w:r w:rsidRPr="00522D64">
              <w:rPr>
                <w:rFonts w:cs="Calibri"/>
                <w:b/>
                <w:bCs/>
                <w:color w:val="000000"/>
                <w:lang w:eastAsia="en-GB"/>
              </w:rPr>
              <w:t xml:space="preserve">NGS </w:t>
            </w:r>
            <w:r w:rsidR="00A169D6">
              <w:rPr>
                <w:rFonts w:cs="Calibri"/>
                <w:b/>
                <w:bCs/>
                <w:color w:val="000000"/>
                <w:lang w:eastAsia="en-GB"/>
              </w:rPr>
              <w:t xml:space="preserve">52-gene </w:t>
            </w:r>
            <w:r w:rsidRPr="00522D64">
              <w:rPr>
                <w:rFonts w:cs="Calibri"/>
                <w:b/>
                <w:bCs/>
                <w:color w:val="000000"/>
                <w:lang w:eastAsia="en-GB"/>
              </w:rPr>
              <w:t xml:space="preserve">panel testing </w:t>
            </w:r>
            <w:r w:rsidR="00B73B34">
              <w:rPr>
                <w:rFonts w:cs="Calibri"/>
                <w:b/>
                <w:bCs/>
                <w:color w:val="000000"/>
                <w:lang w:eastAsia="en-GB"/>
              </w:rPr>
              <w:t>after other diagnostic tests</w:t>
            </w:r>
          </w:p>
        </w:tc>
        <w:tc>
          <w:tcPr>
            <w:tcW w:w="1580" w:type="pct"/>
          </w:tcPr>
          <w:p w14:paraId="1869162C" w14:textId="77777777" w:rsidR="00032733" w:rsidRDefault="00032733" w:rsidP="00947725">
            <w:pPr>
              <w:pStyle w:val="Tabletext0"/>
              <w:rPr>
                <w:rFonts w:cs="Calibri"/>
                <w:b/>
                <w:bCs/>
                <w:color w:val="000000"/>
                <w:lang w:eastAsia="en-GB"/>
              </w:rPr>
            </w:pPr>
            <w:r>
              <w:rPr>
                <w:rFonts w:cs="Calibri"/>
                <w:b/>
                <w:bCs/>
                <w:color w:val="000000"/>
                <w:lang w:eastAsia="en-GB"/>
              </w:rPr>
              <w:t>Number of patients (% of all patients)</w:t>
            </w:r>
          </w:p>
        </w:tc>
      </w:tr>
      <w:tr w:rsidR="00032733" w14:paraId="45C5844A" w14:textId="77777777" w:rsidTr="00C54181">
        <w:tc>
          <w:tcPr>
            <w:tcW w:w="3420" w:type="pct"/>
          </w:tcPr>
          <w:p w14:paraId="7B3080F0" w14:textId="77777777" w:rsidR="00032733" w:rsidRDefault="00032733" w:rsidP="00947725">
            <w:pPr>
              <w:pStyle w:val="Tabletext0"/>
            </w:pPr>
            <w:r>
              <w:t>Number of patients tested</w:t>
            </w:r>
          </w:p>
        </w:tc>
        <w:tc>
          <w:tcPr>
            <w:tcW w:w="1580" w:type="pct"/>
          </w:tcPr>
          <w:p w14:paraId="0ECF6795" w14:textId="77777777" w:rsidR="00032733" w:rsidRDefault="00032733" w:rsidP="00947725">
            <w:pPr>
              <w:pStyle w:val="Tabletext0"/>
            </w:pPr>
            <w:r>
              <w:t>76</w:t>
            </w:r>
          </w:p>
        </w:tc>
      </w:tr>
      <w:tr w:rsidR="00032733" w14:paraId="38AC807B" w14:textId="77777777" w:rsidTr="00C54181">
        <w:tc>
          <w:tcPr>
            <w:tcW w:w="3420" w:type="pct"/>
          </w:tcPr>
          <w:p w14:paraId="4570D776" w14:textId="77777777" w:rsidR="00032733" w:rsidRPr="004E5A71" w:rsidRDefault="00032733" w:rsidP="00947725">
            <w:pPr>
              <w:pStyle w:val="Tabletext0"/>
            </w:pPr>
            <w:r w:rsidRPr="004E5A71">
              <w:t>Samples with ≥1 clinically significant variant</w:t>
            </w:r>
          </w:p>
        </w:tc>
        <w:tc>
          <w:tcPr>
            <w:tcW w:w="1580" w:type="pct"/>
          </w:tcPr>
          <w:p w14:paraId="150695C6" w14:textId="77777777" w:rsidR="00032733" w:rsidRDefault="00032733" w:rsidP="00947725">
            <w:pPr>
              <w:pStyle w:val="Tabletext0"/>
            </w:pPr>
            <w:r>
              <w:t>52 (68%)</w:t>
            </w:r>
          </w:p>
        </w:tc>
      </w:tr>
      <w:tr w:rsidR="00032733" w14:paraId="6EE14DD5" w14:textId="77777777" w:rsidTr="00C54181">
        <w:tc>
          <w:tcPr>
            <w:tcW w:w="3420" w:type="pct"/>
          </w:tcPr>
          <w:p w14:paraId="4CC9C753" w14:textId="77777777" w:rsidR="00032733" w:rsidRDefault="00032733" w:rsidP="00947725">
            <w:pPr>
              <w:pStyle w:val="Tabletext0"/>
            </w:pPr>
            <w:r>
              <w:t>Patient where diagnosis refined</w:t>
            </w:r>
          </w:p>
        </w:tc>
        <w:tc>
          <w:tcPr>
            <w:tcW w:w="1580" w:type="pct"/>
          </w:tcPr>
          <w:p w14:paraId="73F0906B" w14:textId="77777777" w:rsidR="00032733" w:rsidRDefault="00032733" w:rsidP="00947725">
            <w:pPr>
              <w:pStyle w:val="Tabletext0"/>
            </w:pPr>
            <w:r>
              <w:t>31 (41%)</w:t>
            </w:r>
          </w:p>
        </w:tc>
      </w:tr>
      <w:tr w:rsidR="00032733" w14:paraId="5C661C51" w14:textId="77777777" w:rsidTr="00C54181">
        <w:tc>
          <w:tcPr>
            <w:tcW w:w="3420" w:type="pct"/>
          </w:tcPr>
          <w:p w14:paraId="5473D30C" w14:textId="77777777" w:rsidR="00032733" w:rsidRDefault="00032733" w:rsidP="00947725">
            <w:pPr>
              <w:pStyle w:val="Tabletext0"/>
            </w:pPr>
            <w:r>
              <w:t xml:space="preserve">Patients receiving prognostic information </w:t>
            </w:r>
          </w:p>
        </w:tc>
        <w:tc>
          <w:tcPr>
            <w:tcW w:w="1580" w:type="pct"/>
          </w:tcPr>
          <w:p w14:paraId="7A745822" w14:textId="77777777" w:rsidR="00032733" w:rsidRDefault="00032733" w:rsidP="00947725">
            <w:pPr>
              <w:pStyle w:val="Tabletext0"/>
            </w:pPr>
            <w:r>
              <w:t>53 (70%)</w:t>
            </w:r>
          </w:p>
        </w:tc>
      </w:tr>
      <w:tr w:rsidR="00032733" w14:paraId="33F1AE35" w14:textId="77777777" w:rsidTr="00C54181">
        <w:tc>
          <w:tcPr>
            <w:tcW w:w="3420" w:type="pct"/>
          </w:tcPr>
          <w:p w14:paraId="545934F4" w14:textId="77777777" w:rsidR="00032733" w:rsidRDefault="00032733" w:rsidP="00947725">
            <w:pPr>
              <w:pStyle w:val="Tabletext0"/>
            </w:pPr>
            <w:r>
              <w:t>Patients with potential germline variant detected</w:t>
            </w:r>
          </w:p>
        </w:tc>
        <w:tc>
          <w:tcPr>
            <w:tcW w:w="1580" w:type="pct"/>
          </w:tcPr>
          <w:p w14:paraId="7D515332" w14:textId="77777777" w:rsidR="00032733" w:rsidRDefault="00032733" w:rsidP="00947725">
            <w:pPr>
              <w:pStyle w:val="Tabletext0"/>
            </w:pPr>
            <w:r>
              <w:t>5 (6%)</w:t>
            </w:r>
          </w:p>
        </w:tc>
      </w:tr>
      <w:tr w:rsidR="00032733" w14:paraId="4B044841" w14:textId="77777777" w:rsidTr="00C54181">
        <w:tc>
          <w:tcPr>
            <w:tcW w:w="3420" w:type="pct"/>
          </w:tcPr>
          <w:p w14:paraId="59B509A2" w14:textId="77777777" w:rsidR="00032733" w:rsidRDefault="00032733" w:rsidP="00947725">
            <w:pPr>
              <w:pStyle w:val="Tabletext0"/>
            </w:pPr>
            <w:r>
              <w:t>Patients receiving result that identified an approved therapy, off-</w:t>
            </w:r>
            <w:proofErr w:type="gramStart"/>
            <w:r>
              <w:t>label</w:t>
            </w:r>
            <w:proofErr w:type="gramEnd"/>
            <w:r w:rsidRPr="00620FC9">
              <w:t xml:space="preserve"> </w:t>
            </w:r>
            <w:r>
              <w:t>or investigational therapy</w:t>
            </w:r>
          </w:p>
        </w:tc>
        <w:tc>
          <w:tcPr>
            <w:tcW w:w="1580" w:type="pct"/>
          </w:tcPr>
          <w:p w14:paraId="113F78A7" w14:textId="77777777" w:rsidR="00032733" w:rsidRDefault="00032733" w:rsidP="00947725">
            <w:pPr>
              <w:pStyle w:val="Tabletext0"/>
            </w:pPr>
            <w:r>
              <w:t>31 (41%)</w:t>
            </w:r>
          </w:p>
        </w:tc>
      </w:tr>
      <w:tr w:rsidR="00032733" w14:paraId="6A9563A1" w14:textId="77777777" w:rsidTr="00C54181">
        <w:tc>
          <w:tcPr>
            <w:tcW w:w="3420" w:type="pct"/>
          </w:tcPr>
          <w:p w14:paraId="7E54B82E" w14:textId="1ADA081B" w:rsidR="00032733" w:rsidRDefault="00032733" w:rsidP="00947725">
            <w:pPr>
              <w:pStyle w:val="Tabletext0"/>
            </w:pPr>
            <w:r>
              <w:t xml:space="preserve">Number of informative </w:t>
            </w:r>
            <w:r w:rsidR="00E74590">
              <w:t>NGS results</w:t>
            </w:r>
            <w:r>
              <w:t xml:space="preserve"> (diagnostic, prognostic, </w:t>
            </w:r>
            <w:r w:rsidR="00E74590">
              <w:t xml:space="preserve">familial, </w:t>
            </w:r>
            <w:r>
              <w:t xml:space="preserve">predictive) – </w:t>
            </w:r>
            <w:r w:rsidR="0047721A">
              <w:t xml:space="preserve">derived </w:t>
            </w:r>
            <w:r>
              <w:t>from supplementary table 3</w:t>
            </w:r>
          </w:p>
        </w:tc>
        <w:tc>
          <w:tcPr>
            <w:tcW w:w="1580" w:type="pct"/>
          </w:tcPr>
          <w:p w14:paraId="132AC35C" w14:textId="6F4E1C72" w:rsidR="00032733" w:rsidRDefault="007B769F" w:rsidP="00947725">
            <w:pPr>
              <w:pStyle w:val="Tabletext0"/>
            </w:pPr>
            <w:r>
              <w:t>*</w:t>
            </w:r>
            <w:r w:rsidR="00032733">
              <w:t>134 (176%)</w:t>
            </w:r>
          </w:p>
        </w:tc>
      </w:tr>
    </w:tbl>
    <w:p w14:paraId="6DBC1324" w14:textId="47C7A2B8" w:rsidR="00AC0A01" w:rsidRDefault="007B769F" w:rsidP="007B769F">
      <w:pPr>
        <w:pStyle w:val="TableFooter"/>
      </w:pPr>
      <w:r>
        <w:t>*An individual patient may have more than one informative variant, and a single variant may be informative across more than one domain so the total may exceed 100%</w:t>
      </w:r>
    </w:p>
    <w:p w14:paraId="36C7EE74" w14:textId="63B0BE76" w:rsidR="00AC0A01" w:rsidRDefault="00AC0A01" w:rsidP="00AC0A01">
      <w:r>
        <w:t>The studies demonstrate the clinical utility and clinical effectiveness of lymphoid gene panels in the diagnostic process, either after extensive review and</w:t>
      </w:r>
      <w:r w:rsidR="009F5173">
        <w:t xml:space="preserve"> </w:t>
      </w:r>
      <w:r>
        <w:t>prior testing</w:t>
      </w:r>
      <w:r w:rsidR="005C3193">
        <w:t xml:space="preserve"> (Bommier et al, 2021</w:t>
      </w:r>
      <w:r w:rsidR="007F0322">
        <w:t>;</w:t>
      </w:r>
      <w:r w:rsidR="005A1F9E">
        <w:t xml:space="preserve"> see </w:t>
      </w:r>
      <w:r w:rsidR="005A1F9E">
        <w:fldChar w:fldCharType="begin"/>
      </w:r>
      <w:r w:rsidR="005A1F9E">
        <w:instrText xml:space="preserve"> REF _Ref111719582 \h </w:instrText>
      </w:r>
      <w:r w:rsidR="005A1F9E">
        <w:fldChar w:fldCharType="separate"/>
      </w:r>
      <w:r w:rsidR="00A165AD">
        <w:t xml:space="preserve">Table </w:t>
      </w:r>
      <w:r w:rsidR="00A165AD">
        <w:rPr>
          <w:noProof/>
        </w:rPr>
        <w:t>10</w:t>
      </w:r>
      <w:r w:rsidR="005A1F9E">
        <w:fldChar w:fldCharType="end"/>
      </w:r>
      <w:r w:rsidR="005C3193">
        <w:t>)</w:t>
      </w:r>
      <w:r w:rsidR="00D241BD">
        <w:t>;</w:t>
      </w:r>
      <w:r>
        <w:t xml:space="preserve"> or when used upfront as an adjunct in the diagnosis of lymphoid conditions where a substantial proportion will be difficult to diagnose</w:t>
      </w:r>
      <w:r w:rsidR="005C3193">
        <w:t xml:space="preserve"> (Jajosky et al, 2021</w:t>
      </w:r>
      <w:r w:rsidR="005A1F9E">
        <w:t xml:space="preserve">; see </w:t>
      </w:r>
      <w:r w:rsidR="005A1F9E">
        <w:fldChar w:fldCharType="begin"/>
      </w:r>
      <w:r w:rsidR="005A1F9E">
        <w:instrText xml:space="preserve"> REF _Ref111719593 \h </w:instrText>
      </w:r>
      <w:r w:rsidR="005A1F9E">
        <w:fldChar w:fldCharType="separate"/>
      </w:r>
      <w:r w:rsidR="00A165AD">
        <w:t xml:space="preserve">Table </w:t>
      </w:r>
      <w:r w:rsidR="00A165AD">
        <w:rPr>
          <w:noProof/>
        </w:rPr>
        <w:t>11</w:t>
      </w:r>
      <w:r w:rsidR="005A1F9E">
        <w:fldChar w:fldCharType="end"/>
      </w:r>
      <w:r w:rsidR="005C3193">
        <w:t>)</w:t>
      </w:r>
      <w:r>
        <w:t xml:space="preserve"> or to provide additional information over and above conventional testing</w:t>
      </w:r>
      <w:r w:rsidR="005C3193">
        <w:t>, particularly for prognostic</w:t>
      </w:r>
      <w:r w:rsidR="009F5173">
        <w:t>, familial</w:t>
      </w:r>
      <w:r w:rsidR="005C3193">
        <w:t xml:space="preserve"> and predictive purposes (Jajosky et al, 2021; </w:t>
      </w:r>
      <w:r w:rsidR="00E00651">
        <w:t xml:space="preserve">see </w:t>
      </w:r>
      <w:r w:rsidR="005C3193">
        <w:t>Vicente-Garces et al</w:t>
      </w:r>
      <w:r w:rsidR="0019686D">
        <w:t>,</w:t>
      </w:r>
      <w:r w:rsidR="005C3193">
        <w:t xml:space="preserve"> 202</w:t>
      </w:r>
      <w:r w:rsidR="0019686D">
        <w:t>2</w:t>
      </w:r>
      <w:r w:rsidR="005C3193">
        <w:t>)</w:t>
      </w:r>
      <w:r>
        <w:t xml:space="preserve">. The overturning of prior diagnoses of malignancy and </w:t>
      </w:r>
      <w:r w:rsidR="00844A77">
        <w:t>to establish a</w:t>
      </w:r>
      <w:r w:rsidR="001F11BE">
        <w:t xml:space="preserve"> </w:t>
      </w:r>
      <w:r>
        <w:t>definitive diagnosis is evident, regardless of whether it is used earlier</w:t>
      </w:r>
      <w:r w:rsidR="001F11BE">
        <w:t xml:space="preserve"> (Jajosky et al, 2021)</w:t>
      </w:r>
      <w:r>
        <w:t xml:space="preserve"> </w:t>
      </w:r>
      <w:r w:rsidR="001F11BE">
        <w:t>or</w:t>
      </w:r>
      <w:r>
        <w:t xml:space="preserve"> later in the diagnostic process</w:t>
      </w:r>
      <w:r w:rsidR="001F11BE">
        <w:t xml:space="preserve"> (Bommier et al, 2021)</w:t>
      </w:r>
      <w:r>
        <w:t xml:space="preserve">. Furthermore, the detection of a germline variant conferring an increased risk of toxicity with mercaptopurine broadens the clinical claim to include enhanced safety if such genes are included </w:t>
      </w:r>
      <w:r w:rsidR="00844A77">
        <w:t>(Vicente-Garces et al</w:t>
      </w:r>
      <w:r w:rsidR="0012195F">
        <w:t xml:space="preserve">, </w:t>
      </w:r>
      <w:r w:rsidR="00844A77">
        <w:t>2022</w:t>
      </w:r>
      <w:r w:rsidR="007E68C8">
        <w:t xml:space="preserve">; see </w:t>
      </w:r>
      <w:r w:rsidR="007E68C8">
        <w:fldChar w:fldCharType="begin"/>
      </w:r>
      <w:r w:rsidR="007E68C8">
        <w:instrText xml:space="preserve"> REF _Ref111719650 \h </w:instrText>
      </w:r>
      <w:r w:rsidR="007E68C8">
        <w:fldChar w:fldCharType="separate"/>
      </w:r>
      <w:r w:rsidR="00A165AD">
        <w:t xml:space="preserve">Table </w:t>
      </w:r>
      <w:r w:rsidR="00A165AD">
        <w:rPr>
          <w:noProof/>
        </w:rPr>
        <w:t>13</w:t>
      </w:r>
      <w:r w:rsidR="007E68C8">
        <w:fldChar w:fldCharType="end"/>
      </w:r>
      <w:r w:rsidR="00844A77">
        <w:t>)</w:t>
      </w:r>
      <w:r>
        <w:t>- these are not currently proposed but the permissive approach of an advisory candidate gene list does not preclude their inclusion.</w:t>
      </w:r>
    </w:p>
    <w:p w14:paraId="6C8621E5" w14:textId="61DA062E" w:rsidR="005A1F9E" w:rsidRDefault="005A1F9E" w:rsidP="00AC0A01">
      <w:r>
        <w:t>Both Bommier (2021) and Jajosky emphasise the value of NGS panel testing to assist in difficult diagnoses, and Jajosky et al (2021) also demonstrate the value of the prognostic and therapeutic information gained when testing patients with chronic lymphocytic leukaemia - a condition that can be readily diagnosed by other means</w:t>
      </w:r>
      <w:r w:rsidR="007E68C8">
        <w:t xml:space="preserve"> (see </w:t>
      </w:r>
      <w:r w:rsidR="007E68C8">
        <w:fldChar w:fldCharType="begin"/>
      </w:r>
      <w:r w:rsidR="007E68C8">
        <w:instrText xml:space="preserve"> REF _Ref111719671 \h </w:instrText>
      </w:r>
      <w:r w:rsidR="007E68C8">
        <w:fldChar w:fldCharType="separate"/>
      </w:r>
      <w:r w:rsidR="00A165AD">
        <w:t xml:space="preserve">Table </w:t>
      </w:r>
      <w:r w:rsidR="00A165AD">
        <w:rPr>
          <w:noProof/>
        </w:rPr>
        <w:t>12</w:t>
      </w:r>
      <w:r w:rsidR="007E68C8">
        <w:fldChar w:fldCharType="end"/>
      </w:r>
      <w:r w:rsidR="007E68C8">
        <w:t>)</w:t>
      </w:r>
      <w:r>
        <w:t xml:space="preserve">. Vicente-Garces et al (2022) tested patients after all other tests had been completed, and their findings indicate that DNA analysis within NGS panel testing assisted most with prognostic, familial </w:t>
      </w:r>
      <w:proofErr w:type="gramStart"/>
      <w:r>
        <w:t>predisposition</w:t>
      </w:r>
      <w:proofErr w:type="gramEnd"/>
      <w:r>
        <w:t xml:space="preserve"> and therapeutic selection.</w:t>
      </w:r>
    </w:p>
    <w:p w14:paraId="2F13A83E" w14:textId="37C392E6" w:rsidR="00AC0A01" w:rsidRPr="00CE28E3" w:rsidRDefault="00AC0A01" w:rsidP="00AC0A01">
      <w:r w:rsidRPr="00CE28E3">
        <w:lastRenderedPageBreak/>
        <w:t>The use of</w:t>
      </w:r>
      <w:r>
        <w:t xml:space="preserve"> multigene panel testing to characterise variants in suspected haematological malignancies of myeloid</w:t>
      </w:r>
      <w:r w:rsidR="00BD020D">
        <w:t>,</w:t>
      </w:r>
      <w:r>
        <w:t xml:space="preserve"> </w:t>
      </w:r>
      <w:proofErr w:type="gramStart"/>
      <w:r>
        <w:t>lymphoid</w:t>
      </w:r>
      <w:proofErr w:type="gramEnd"/>
      <w:r>
        <w:t xml:space="preserve"> or uncertain lineage </w:t>
      </w:r>
      <w:r w:rsidRPr="00CE28E3">
        <w:t xml:space="preserve">results in </w:t>
      </w:r>
      <w:r>
        <w:t>superior</w:t>
      </w:r>
      <w:r w:rsidRPr="00CE28E3">
        <w:t xml:space="preserve"> effectiveness compared with </w:t>
      </w:r>
      <w:r>
        <w:t>no gene panel testing.</w:t>
      </w:r>
    </w:p>
    <w:p w14:paraId="304CD820" w14:textId="7921B2C1" w:rsidR="009E3B89" w:rsidRDefault="00AC0A01" w:rsidP="009E3B89">
      <w:r w:rsidRPr="00CE28E3">
        <w:t xml:space="preserve">The use of </w:t>
      </w:r>
      <w:r>
        <w:t xml:space="preserve">multigene panel testing to characterise of variants in suspected haematological malignancies of myeloid, </w:t>
      </w:r>
      <w:proofErr w:type="gramStart"/>
      <w:r>
        <w:t>lymphoid</w:t>
      </w:r>
      <w:proofErr w:type="gramEnd"/>
      <w:r>
        <w:t xml:space="preserve"> or uncertain lineage may result in superior </w:t>
      </w:r>
      <w:r w:rsidRPr="00CE28E3">
        <w:t xml:space="preserve">safety compared with </w:t>
      </w:r>
      <w:r>
        <w:t>no gene panel testing.</w:t>
      </w:r>
    </w:p>
    <w:p w14:paraId="0D09C9E4" w14:textId="70BD3646" w:rsidR="00772829" w:rsidRDefault="00C36633" w:rsidP="002A18BE">
      <w:pPr>
        <w:pStyle w:val="Heading2"/>
        <w:numPr>
          <w:ilvl w:val="0"/>
          <w:numId w:val="0"/>
        </w:numPr>
      </w:pPr>
      <w:bookmarkStart w:id="31" w:name="_Toc111754802"/>
      <w:r>
        <w:t>1</w:t>
      </w:r>
      <w:r w:rsidR="00FA4672">
        <w:t>3</w:t>
      </w:r>
      <w:r>
        <w:t>.</w:t>
      </w:r>
      <w:r>
        <w:tab/>
      </w:r>
      <w:r w:rsidR="00772829" w:rsidRPr="00177CFC">
        <w:t>Economic evaluation</w:t>
      </w:r>
      <w:bookmarkEnd w:id="31"/>
    </w:p>
    <w:p w14:paraId="6EAA81EB" w14:textId="1E87D1B2" w:rsidR="008600FF" w:rsidRDefault="00B5320C" w:rsidP="00B5320C">
      <w:r>
        <w:t>The MSAC Executive advised that a pragmatic economic evaluation was required</w:t>
      </w:r>
      <w:r w:rsidR="008600FF">
        <w:t>.</w:t>
      </w:r>
    </w:p>
    <w:p w14:paraId="31DFA849" w14:textId="3208BF34" w:rsidR="00A65A7E" w:rsidRDefault="00A65A7E" w:rsidP="00681C31">
      <w:pPr>
        <w:pStyle w:val="Caption"/>
        <w:tabs>
          <w:tab w:val="left" w:pos="1134"/>
        </w:tabs>
        <w:ind w:left="1134" w:hanging="1134"/>
      </w:pPr>
      <w:bookmarkStart w:id="32" w:name="_Ref69725820"/>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sidR="00A165AD">
        <w:rPr>
          <w:noProof/>
        </w:rPr>
        <w:t>14</w:t>
      </w:r>
      <w:r w:rsidRPr="00CE28E3">
        <w:rPr>
          <w:noProof/>
        </w:rPr>
        <w:fldChar w:fldCharType="end"/>
      </w:r>
      <w:bookmarkEnd w:id="32"/>
      <w:r w:rsidRPr="00CE28E3">
        <w:tab/>
        <w:t>Summary of the economic evaluation</w:t>
      </w:r>
      <w:r w:rsidR="00824F1D">
        <w:t xml:space="preserve">; </w:t>
      </w:r>
      <w:r w:rsidR="00824F1D">
        <w:rPr>
          <w:i/>
          <w:iCs/>
        </w:rPr>
        <w:t>ESC amendments marked up in italics</w:t>
      </w:r>
    </w:p>
    <w:tbl>
      <w:tblPr>
        <w:tblStyle w:val="TableGrid1"/>
        <w:tblW w:w="5000" w:type="pct"/>
        <w:tblLook w:val="04A0" w:firstRow="1" w:lastRow="0" w:firstColumn="1" w:lastColumn="0" w:noHBand="0" w:noVBand="1"/>
      </w:tblPr>
      <w:tblGrid>
        <w:gridCol w:w="2317"/>
        <w:gridCol w:w="6699"/>
      </w:tblGrid>
      <w:tr w:rsidR="00A65A7E" w:rsidRPr="000449D1" w14:paraId="2302DFB7" w14:textId="77777777" w:rsidTr="004033D1">
        <w:trPr>
          <w:cnfStyle w:val="100000000000" w:firstRow="1" w:lastRow="0" w:firstColumn="0" w:lastColumn="0" w:oddVBand="0" w:evenVBand="0" w:oddHBand="0" w:evenHBand="0" w:firstRowFirstColumn="0" w:firstRowLastColumn="0" w:lastRowFirstColumn="0" w:lastRowLastColumn="0"/>
          <w:tblHeader/>
        </w:trPr>
        <w:tc>
          <w:tcPr>
            <w:tcW w:w="1285" w:type="pct"/>
          </w:tcPr>
          <w:p w14:paraId="62288EAB" w14:textId="77777777" w:rsidR="00A65A7E" w:rsidRPr="000449D1" w:rsidRDefault="00A65A7E" w:rsidP="00681C31">
            <w:pPr>
              <w:pStyle w:val="TableHeading"/>
              <w:rPr>
                <w:szCs w:val="20"/>
              </w:rPr>
            </w:pPr>
            <w:r w:rsidRPr="000449D1">
              <w:rPr>
                <w:szCs w:val="20"/>
              </w:rPr>
              <w:t>Component</w:t>
            </w:r>
          </w:p>
        </w:tc>
        <w:tc>
          <w:tcPr>
            <w:tcW w:w="3715" w:type="pct"/>
          </w:tcPr>
          <w:p w14:paraId="48F6114F" w14:textId="77777777" w:rsidR="00A65A7E" w:rsidRPr="000449D1" w:rsidRDefault="00A65A7E" w:rsidP="00681C31">
            <w:pPr>
              <w:pStyle w:val="TableHeading"/>
              <w:rPr>
                <w:szCs w:val="20"/>
              </w:rPr>
            </w:pPr>
            <w:r w:rsidRPr="000449D1">
              <w:rPr>
                <w:szCs w:val="20"/>
              </w:rPr>
              <w:t>Description</w:t>
            </w:r>
          </w:p>
        </w:tc>
      </w:tr>
      <w:tr w:rsidR="00A65A7E" w:rsidRPr="000449D1" w14:paraId="32B2752D" w14:textId="77777777" w:rsidTr="004033D1">
        <w:tc>
          <w:tcPr>
            <w:tcW w:w="1285" w:type="pct"/>
          </w:tcPr>
          <w:p w14:paraId="404D250E" w14:textId="77777777" w:rsidR="00A65A7E" w:rsidRPr="000449D1" w:rsidRDefault="00A65A7E" w:rsidP="00681C31">
            <w:pPr>
              <w:pStyle w:val="TableText"/>
              <w:keepNext/>
              <w:rPr>
                <w:szCs w:val="20"/>
              </w:rPr>
            </w:pPr>
            <w:r w:rsidRPr="000449D1">
              <w:rPr>
                <w:szCs w:val="20"/>
              </w:rPr>
              <w:t>Perspective</w:t>
            </w:r>
          </w:p>
        </w:tc>
        <w:tc>
          <w:tcPr>
            <w:tcW w:w="3715" w:type="pct"/>
          </w:tcPr>
          <w:p w14:paraId="6A935F0D" w14:textId="0B989866" w:rsidR="00A65A7E" w:rsidRPr="000449D1" w:rsidRDefault="00A65A7E" w:rsidP="00681C31">
            <w:pPr>
              <w:pStyle w:val="TableText"/>
              <w:keepNext/>
              <w:rPr>
                <w:szCs w:val="20"/>
              </w:rPr>
            </w:pPr>
            <w:r w:rsidRPr="000449D1">
              <w:rPr>
                <w:szCs w:val="20"/>
              </w:rPr>
              <w:t>Health care system perspective</w:t>
            </w:r>
          </w:p>
        </w:tc>
      </w:tr>
      <w:tr w:rsidR="00A65A7E" w:rsidRPr="000449D1" w14:paraId="6D268F34" w14:textId="77777777" w:rsidTr="004033D1">
        <w:trPr>
          <w:tblHeader/>
        </w:trPr>
        <w:tc>
          <w:tcPr>
            <w:tcW w:w="1285" w:type="pct"/>
          </w:tcPr>
          <w:p w14:paraId="03461811" w14:textId="77777777" w:rsidR="00A65A7E" w:rsidRPr="000449D1" w:rsidRDefault="00A65A7E" w:rsidP="00681C31">
            <w:pPr>
              <w:pStyle w:val="TableText"/>
              <w:keepNext/>
              <w:rPr>
                <w:szCs w:val="20"/>
              </w:rPr>
            </w:pPr>
            <w:r w:rsidRPr="000449D1">
              <w:rPr>
                <w:szCs w:val="20"/>
              </w:rPr>
              <w:t>Population</w:t>
            </w:r>
          </w:p>
        </w:tc>
        <w:tc>
          <w:tcPr>
            <w:tcW w:w="3715" w:type="pct"/>
          </w:tcPr>
          <w:p w14:paraId="3315FA0D" w14:textId="7CF6C811" w:rsidR="00A65A7E" w:rsidRPr="000449D1" w:rsidRDefault="009555F6" w:rsidP="00681C31">
            <w:pPr>
              <w:pStyle w:val="TableText"/>
              <w:keepNext/>
              <w:rPr>
                <w:szCs w:val="20"/>
              </w:rPr>
            </w:pPr>
            <w:r>
              <w:rPr>
                <w:szCs w:val="20"/>
              </w:rPr>
              <w:t>Patients with a suspected initial diagnosis of a haematological malignancy, or with suspected relapse or progression</w:t>
            </w:r>
          </w:p>
        </w:tc>
      </w:tr>
      <w:tr w:rsidR="00A65A7E" w:rsidRPr="000449D1" w14:paraId="2ED3975B" w14:textId="77777777" w:rsidTr="004033D1">
        <w:tc>
          <w:tcPr>
            <w:tcW w:w="1285" w:type="pct"/>
          </w:tcPr>
          <w:p w14:paraId="7B509D7F" w14:textId="5ABEBB88" w:rsidR="00A65A7E" w:rsidRPr="000449D1" w:rsidRDefault="009555F6" w:rsidP="00681C31">
            <w:pPr>
              <w:pStyle w:val="TableText"/>
              <w:keepNext/>
              <w:rPr>
                <w:szCs w:val="20"/>
              </w:rPr>
            </w:pPr>
            <w:r>
              <w:rPr>
                <w:szCs w:val="20"/>
              </w:rPr>
              <w:t>*</w:t>
            </w:r>
            <w:r w:rsidR="00A65A7E" w:rsidRPr="000449D1">
              <w:rPr>
                <w:szCs w:val="20"/>
              </w:rPr>
              <w:t>Prior testing</w:t>
            </w:r>
          </w:p>
        </w:tc>
        <w:tc>
          <w:tcPr>
            <w:tcW w:w="3715" w:type="pct"/>
          </w:tcPr>
          <w:p w14:paraId="15C07C3B" w14:textId="54632F7B" w:rsidR="009555F6" w:rsidRDefault="009555F6" w:rsidP="008600FF">
            <w:pPr>
              <w:pStyle w:val="TableText"/>
              <w:keepNext/>
              <w:rPr>
                <w:szCs w:val="20"/>
              </w:rPr>
            </w:pPr>
            <w:r>
              <w:rPr>
                <w:szCs w:val="20"/>
              </w:rPr>
              <w:t>Any of the following</w:t>
            </w:r>
            <w:r w:rsidR="00824F1D">
              <w:rPr>
                <w:szCs w:val="20"/>
              </w:rPr>
              <w:t xml:space="preserve"> (</w:t>
            </w:r>
            <w:r w:rsidR="002E23B5">
              <w:rPr>
                <w:szCs w:val="20"/>
              </w:rPr>
              <w:t xml:space="preserve">although </w:t>
            </w:r>
            <w:r w:rsidR="00824F1D">
              <w:rPr>
                <w:szCs w:val="20"/>
              </w:rPr>
              <w:t>not included in economic model)</w:t>
            </w:r>
            <w:r>
              <w:rPr>
                <w:szCs w:val="20"/>
              </w:rPr>
              <w:t xml:space="preserve">: </w:t>
            </w:r>
          </w:p>
          <w:p w14:paraId="04022D74" w14:textId="3843A292" w:rsidR="008600FF" w:rsidRPr="008600FF" w:rsidRDefault="008600FF" w:rsidP="008600FF">
            <w:pPr>
              <w:pStyle w:val="TableText"/>
              <w:keepNext/>
              <w:rPr>
                <w:szCs w:val="20"/>
              </w:rPr>
            </w:pPr>
            <w:r w:rsidRPr="008600FF">
              <w:rPr>
                <w:szCs w:val="20"/>
              </w:rPr>
              <w:t>Blood count, film</w:t>
            </w:r>
          </w:p>
          <w:p w14:paraId="62965B35" w14:textId="16077C98" w:rsidR="008600FF" w:rsidRPr="008600FF" w:rsidRDefault="009555F6" w:rsidP="008600FF">
            <w:pPr>
              <w:pStyle w:val="TableText"/>
              <w:keepNext/>
              <w:rPr>
                <w:szCs w:val="20"/>
              </w:rPr>
            </w:pPr>
            <w:r>
              <w:rPr>
                <w:szCs w:val="20"/>
              </w:rPr>
              <w:t>B</w:t>
            </w:r>
            <w:r w:rsidR="008600FF" w:rsidRPr="008600FF">
              <w:rPr>
                <w:szCs w:val="20"/>
              </w:rPr>
              <w:t>iopsy/bone marrow aspirate</w:t>
            </w:r>
          </w:p>
          <w:p w14:paraId="3D35F691" w14:textId="77777777" w:rsidR="008600FF" w:rsidRPr="008600FF" w:rsidRDefault="008600FF" w:rsidP="008600FF">
            <w:pPr>
              <w:pStyle w:val="TableText"/>
              <w:keepNext/>
              <w:rPr>
                <w:szCs w:val="20"/>
              </w:rPr>
            </w:pPr>
            <w:r w:rsidRPr="008600FF">
              <w:rPr>
                <w:szCs w:val="20"/>
              </w:rPr>
              <w:t>Immunophenotyping</w:t>
            </w:r>
          </w:p>
          <w:p w14:paraId="5A40EB3F" w14:textId="77777777" w:rsidR="008600FF" w:rsidRPr="008600FF" w:rsidRDefault="008600FF" w:rsidP="008600FF">
            <w:pPr>
              <w:pStyle w:val="TableText"/>
              <w:keepNext/>
              <w:rPr>
                <w:szCs w:val="20"/>
              </w:rPr>
            </w:pPr>
            <w:r w:rsidRPr="008600FF">
              <w:rPr>
                <w:szCs w:val="20"/>
              </w:rPr>
              <w:t>Cytology</w:t>
            </w:r>
          </w:p>
          <w:p w14:paraId="54832FB5" w14:textId="77777777" w:rsidR="00A65A7E" w:rsidRDefault="008600FF" w:rsidP="00681C31">
            <w:pPr>
              <w:pStyle w:val="TableText"/>
              <w:keepNext/>
              <w:rPr>
                <w:szCs w:val="20"/>
              </w:rPr>
            </w:pPr>
            <w:r w:rsidRPr="008600FF">
              <w:rPr>
                <w:szCs w:val="20"/>
              </w:rPr>
              <w:t>Cytogenetics, single gene testing</w:t>
            </w:r>
          </w:p>
          <w:p w14:paraId="5EB708A5" w14:textId="7A6AC86C" w:rsidR="00824F1D" w:rsidRPr="000449D1" w:rsidRDefault="008600FF" w:rsidP="00681C31">
            <w:pPr>
              <w:pStyle w:val="TableText"/>
              <w:keepNext/>
              <w:rPr>
                <w:szCs w:val="20"/>
              </w:rPr>
            </w:pPr>
            <w:r>
              <w:rPr>
                <w:szCs w:val="20"/>
              </w:rPr>
              <w:t xml:space="preserve">Radiological imaging </w:t>
            </w:r>
            <w:proofErr w:type="gramStart"/>
            <w:r>
              <w:rPr>
                <w:szCs w:val="20"/>
              </w:rPr>
              <w:t>where</w:t>
            </w:r>
            <w:proofErr w:type="gramEnd"/>
            <w:r>
              <w:rPr>
                <w:szCs w:val="20"/>
              </w:rPr>
              <w:t xml:space="preserve"> indicated</w:t>
            </w:r>
          </w:p>
        </w:tc>
      </w:tr>
      <w:tr w:rsidR="00A65A7E" w:rsidRPr="000449D1" w14:paraId="1C8E3120" w14:textId="77777777" w:rsidTr="004033D1">
        <w:tc>
          <w:tcPr>
            <w:tcW w:w="1285" w:type="pct"/>
          </w:tcPr>
          <w:p w14:paraId="066249BD" w14:textId="77777777" w:rsidR="00A65A7E" w:rsidRPr="000449D1" w:rsidRDefault="00A65A7E" w:rsidP="00681C31">
            <w:pPr>
              <w:pStyle w:val="TableText"/>
              <w:keepNext/>
              <w:rPr>
                <w:szCs w:val="20"/>
              </w:rPr>
            </w:pPr>
            <w:r w:rsidRPr="000449D1">
              <w:rPr>
                <w:szCs w:val="20"/>
              </w:rPr>
              <w:t>Comparator</w:t>
            </w:r>
          </w:p>
        </w:tc>
        <w:tc>
          <w:tcPr>
            <w:tcW w:w="3715" w:type="pct"/>
          </w:tcPr>
          <w:p w14:paraId="03B39CAC" w14:textId="6008964C" w:rsidR="00A65A7E" w:rsidRPr="000449D1" w:rsidRDefault="00681C31" w:rsidP="00681C31">
            <w:pPr>
              <w:pStyle w:val="TableText"/>
              <w:keepNext/>
              <w:rPr>
                <w:szCs w:val="20"/>
              </w:rPr>
            </w:pPr>
            <w:r>
              <w:rPr>
                <w:szCs w:val="20"/>
              </w:rPr>
              <w:t>No NGS panel testing</w:t>
            </w:r>
          </w:p>
        </w:tc>
      </w:tr>
      <w:tr w:rsidR="00A65A7E" w:rsidRPr="000449D1" w14:paraId="2FC8D79E" w14:textId="77777777" w:rsidTr="004033D1">
        <w:tc>
          <w:tcPr>
            <w:tcW w:w="1285" w:type="pct"/>
          </w:tcPr>
          <w:p w14:paraId="15FF6CC6" w14:textId="77777777" w:rsidR="00A65A7E" w:rsidRPr="000449D1" w:rsidRDefault="00A65A7E" w:rsidP="00681C31">
            <w:pPr>
              <w:pStyle w:val="TableText"/>
              <w:keepNext/>
              <w:rPr>
                <w:szCs w:val="20"/>
              </w:rPr>
            </w:pPr>
            <w:r w:rsidRPr="000449D1">
              <w:rPr>
                <w:szCs w:val="20"/>
              </w:rPr>
              <w:t>Type(s) of analysis</w:t>
            </w:r>
          </w:p>
        </w:tc>
        <w:tc>
          <w:tcPr>
            <w:tcW w:w="3715" w:type="pct"/>
          </w:tcPr>
          <w:p w14:paraId="02FC9ABC" w14:textId="7E9CB603" w:rsidR="00A65A7E" w:rsidRPr="000449D1" w:rsidRDefault="00681C31" w:rsidP="00681C31">
            <w:pPr>
              <w:pStyle w:val="TableText"/>
              <w:keepNext/>
              <w:rPr>
                <w:szCs w:val="20"/>
              </w:rPr>
            </w:pPr>
            <w:r>
              <w:rPr>
                <w:szCs w:val="20"/>
              </w:rPr>
              <w:t>C</w:t>
            </w:r>
            <w:r w:rsidR="00A65A7E" w:rsidRPr="000449D1">
              <w:rPr>
                <w:szCs w:val="20"/>
              </w:rPr>
              <w:t>ost-effectiveness analysis</w:t>
            </w:r>
          </w:p>
        </w:tc>
      </w:tr>
      <w:tr w:rsidR="00A65A7E" w:rsidRPr="000449D1" w14:paraId="5BE0EC94" w14:textId="77777777" w:rsidTr="004033D1">
        <w:tc>
          <w:tcPr>
            <w:tcW w:w="1285" w:type="pct"/>
          </w:tcPr>
          <w:p w14:paraId="4704A084" w14:textId="77777777" w:rsidR="00A65A7E" w:rsidRPr="00A30BB8" w:rsidRDefault="00A65A7E" w:rsidP="00681C31">
            <w:pPr>
              <w:pStyle w:val="TableText"/>
              <w:keepNext/>
              <w:rPr>
                <w:szCs w:val="20"/>
              </w:rPr>
            </w:pPr>
            <w:r w:rsidRPr="00A30BB8">
              <w:rPr>
                <w:szCs w:val="20"/>
              </w:rPr>
              <w:t>Outcomes</w:t>
            </w:r>
          </w:p>
        </w:tc>
        <w:tc>
          <w:tcPr>
            <w:tcW w:w="3715" w:type="pct"/>
          </w:tcPr>
          <w:p w14:paraId="178EC9D0" w14:textId="4A1A8C2F" w:rsidR="00A65A7E" w:rsidRPr="00A30BB8" w:rsidRDefault="00DD60C1" w:rsidP="00681C31">
            <w:pPr>
              <w:pStyle w:val="TableText"/>
              <w:keepNext/>
              <w:rPr>
                <w:szCs w:val="20"/>
              </w:rPr>
            </w:pPr>
            <w:r w:rsidRPr="00A30BB8">
              <w:t>Diagnostic</w:t>
            </w:r>
            <w:r w:rsidR="008275BE" w:rsidRPr="00A30BB8">
              <w:t xml:space="preserve"> (alter</w:t>
            </w:r>
            <w:r w:rsidR="00090C4C" w:rsidRPr="00A30BB8">
              <w:t>ation</w:t>
            </w:r>
            <w:r w:rsidR="008275BE" w:rsidRPr="00A30BB8">
              <w:t xml:space="preserve"> or refine</w:t>
            </w:r>
            <w:r w:rsidR="00090C4C" w:rsidRPr="00A30BB8">
              <w:t>ment</w:t>
            </w:r>
            <w:r w:rsidR="00A30BB8">
              <w:t>)</w:t>
            </w:r>
            <w:r w:rsidRPr="00A30BB8">
              <w:t>/prognostic/familial predisposition/therapeutic</w:t>
            </w:r>
          </w:p>
        </w:tc>
      </w:tr>
      <w:tr w:rsidR="00A65A7E" w:rsidRPr="000449D1" w14:paraId="37F336E9" w14:textId="77777777" w:rsidTr="004033D1">
        <w:tc>
          <w:tcPr>
            <w:tcW w:w="1285" w:type="pct"/>
          </w:tcPr>
          <w:p w14:paraId="5EE0D68F" w14:textId="77777777" w:rsidR="00A65A7E" w:rsidRPr="000449D1" w:rsidRDefault="00A65A7E" w:rsidP="00681C31">
            <w:pPr>
              <w:pStyle w:val="TableText"/>
              <w:keepNext/>
              <w:rPr>
                <w:szCs w:val="20"/>
              </w:rPr>
            </w:pPr>
            <w:r w:rsidRPr="000449D1">
              <w:rPr>
                <w:szCs w:val="20"/>
              </w:rPr>
              <w:t>Time horizon</w:t>
            </w:r>
          </w:p>
        </w:tc>
        <w:tc>
          <w:tcPr>
            <w:tcW w:w="3715" w:type="pct"/>
          </w:tcPr>
          <w:p w14:paraId="72942242" w14:textId="01110768" w:rsidR="00A65A7E" w:rsidRPr="00222789" w:rsidRDefault="00824F1D" w:rsidP="00681C31">
            <w:pPr>
              <w:pStyle w:val="TableText"/>
              <w:keepNext/>
              <w:rPr>
                <w:i/>
                <w:iCs/>
                <w:szCs w:val="20"/>
              </w:rPr>
            </w:pPr>
            <w:r w:rsidRPr="00222789">
              <w:rPr>
                <w:i/>
                <w:iCs/>
                <w:szCs w:val="20"/>
              </w:rPr>
              <w:t>Time to diagnosis/prognosis/management</w:t>
            </w:r>
          </w:p>
        </w:tc>
      </w:tr>
      <w:tr w:rsidR="00A65A7E" w:rsidRPr="000449D1" w14:paraId="7B0DD29C" w14:textId="77777777" w:rsidTr="004033D1">
        <w:tc>
          <w:tcPr>
            <w:tcW w:w="1285" w:type="pct"/>
          </w:tcPr>
          <w:p w14:paraId="088E6915" w14:textId="77777777" w:rsidR="00A65A7E" w:rsidRPr="000449D1" w:rsidRDefault="00A65A7E" w:rsidP="00681C31">
            <w:pPr>
              <w:pStyle w:val="TableText"/>
              <w:keepNext/>
              <w:rPr>
                <w:szCs w:val="20"/>
              </w:rPr>
            </w:pPr>
            <w:r w:rsidRPr="000449D1">
              <w:rPr>
                <w:szCs w:val="20"/>
              </w:rPr>
              <w:t>Computational method</w:t>
            </w:r>
          </w:p>
        </w:tc>
        <w:tc>
          <w:tcPr>
            <w:tcW w:w="3715" w:type="pct"/>
          </w:tcPr>
          <w:p w14:paraId="5A61F556" w14:textId="45B49C91" w:rsidR="00A65A7E" w:rsidRPr="00222789" w:rsidRDefault="00824F1D" w:rsidP="00681C31">
            <w:pPr>
              <w:pStyle w:val="TableText"/>
              <w:keepNext/>
              <w:rPr>
                <w:i/>
                <w:iCs/>
                <w:szCs w:val="20"/>
              </w:rPr>
            </w:pPr>
            <w:r w:rsidRPr="00222789">
              <w:rPr>
                <w:i/>
                <w:iCs/>
                <w:szCs w:val="20"/>
              </w:rPr>
              <w:t>Decision analytic</w:t>
            </w:r>
            <w:r>
              <w:rPr>
                <w:i/>
                <w:iCs/>
                <w:szCs w:val="20"/>
              </w:rPr>
              <w:t>.</w:t>
            </w:r>
            <w:r w:rsidRPr="00222789">
              <w:rPr>
                <w:i/>
                <w:iCs/>
                <w:szCs w:val="20"/>
              </w:rPr>
              <w:t xml:space="preserve"> No translation of clinical evidence</w:t>
            </w:r>
          </w:p>
        </w:tc>
      </w:tr>
      <w:tr w:rsidR="00A65A7E" w:rsidRPr="000449D1" w14:paraId="7B4D73F2" w14:textId="77777777" w:rsidTr="004033D1">
        <w:tc>
          <w:tcPr>
            <w:tcW w:w="1285" w:type="pct"/>
          </w:tcPr>
          <w:p w14:paraId="5C5599DD" w14:textId="77777777" w:rsidR="00A65A7E" w:rsidRPr="000449D1" w:rsidRDefault="00A65A7E" w:rsidP="00681C31">
            <w:pPr>
              <w:pStyle w:val="TableText"/>
              <w:keepNext/>
              <w:rPr>
                <w:szCs w:val="20"/>
              </w:rPr>
            </w:pPr>
            <w:r w:rsidRPr="000449D1">
              <w:rPr>
                <w:szCs w:val="20"/>
              </w:rPr>
              <w:t>Generation of the base case</w:t>
            </w:r>
          </w:p>
        </w:tc>
        <w:tc>
          <w:tcPr>
            <w:tcW w:w="3715" w:type="pct"/>
          </w:tcPr>
          <w:p w14:paraId="28EF3192" w14:textId="10506853" w:rsidR="00A65A7E" w:rsidRPr="00222789" w:rsidRDefault="00824F1D" w:rsidP="00681C31">
            <w:pPr>
              <w:pStyle w:val="TableText"/>
              <w:keepNext/>
              <w:rPr>
                <w:i/>
                <w:iCs/>
                <w:szCs w:val="20"/>
              </w:rPr>
            </w:pPr>
            <w:r w:rsidRPr="00222789">
              <w:rPr>
                <w:i/>
                <w:iCs/>
                <w:szCs w:val="20"/>
              </w:rPr>
              <w:t>Modelled analysis</w:t>
            </w:r>
            <w:r>
              <w:rPr>
                <w:i/>
                <w:iCs/>
                <w:szCs w:val="20"/>
              </w:rPr>
              <w:t>, separately to distinguish the effect of each of these on the results</w:t>
            </w:r>
          </w:p>
        </w:tc>
      </w:tr>
      <w:tr w:rsidR="00A65A7E" w:rsidRPr="000449D1" w14:paraId="6E00550E" w14:textId="77777777" w:rsidTr="004033D1">
        <w:tc>
          <w:tcPr>
            <w:tcW w:w="1285" w:type="pct"/>
          </w:tcPr>
          <w:p w14:paraId="6565F6CF" w14:textId="77777777" w:rsidR="00A65A7E" w:rsidRPr="000449D1" w:rsidRDefault="00A65A7E" w:rsidP="00681C31">
            <w:pPr>
              <w:pStyle w:val="TableText"/>
              <w:keepNext/>
              <w:rPr>
                <w:szCs w:val="20"/>
              </w:rPr>
            </w:pPr>
            <w:r w:rsidRPr="000449D1">
              <w:rPr>
                <w:szCs w:val="20"/>
              </w:rPr>
              <w:t>Health states</w:t>
            </w:r>
          </w:p>
        </w:tc>
        <w:tc>
          <w:tcPr>
            <w:tcW w:w="3715" w:type="pct"/>
          </w:tcPr>
          <w:p w14:paraId="13BA529F" w14:textId="3D353B3D" w:rsidR="00A65A7E" w:rsidRPr="000449D1" w:rsidRDefault="00681C31" w:rsidP="00681C31">
            <w:pPr>
              <w:pStyle w:val="TableText"/>
              <w:keepNext/>
              <w:rPr>
                <w:szCs w:val="20"/>
              </w:rPr>
            </w:pPr>
            <w:r>
              <w:rPr>
                <w:szCs w:val="20"/>
              </w:rPr>
              <w:t>NA</w:t>
            </w:r>
          </w:p>
        </w:tc>
      </w:tr>
      <w:tr w:rsidR="00A65A7E" w:rsidRPr="000449D1" w14:paraId="35245401" w14:textId="77777777" w:rsidTr="004033D1">
        <w:tc>
          <w:tcPr>
            <w:tcW w:w="1285" w:type="pct"/>
          </w:tcPr>
          <w:p w14:paraId="1DCBFC3D" w14:textId="77777777" w:rsidR="00A65A7E" w:rsidRPr="000449D1" w:rsidRDefault="00A65A7E" w:rsidP="00681C31">
            <w:pPr>
              <w:pStyle w:val="TableText"/>
              <w:keepNext/>
              <w:rPr>
                <w:szCs w:val="20"/>
              </w:rPr>
            </w:pPr>
            <w:r w:rsidRPr="000449D1">
              <w:rPr>
                <w:szCs w:val="20"/>
              </w:rPr>
              <w:t>Cycle length</w:t>
            </w:r>
          </w:p>
        </w:tc>
        <w:tc>
          <w:tcPr>
            <w:tcW w:w="3715" w:type="pct"/>
          </w:tcPr>
          <w:p w14:paraId="35987745" w14:textId="089FEC2C" w:rsidR="00A65A7E" w:rsidRPr="000449D1" w:rsidRDefault="00A65A7E" w:rsidP="00681C31">
            <w:pPr>
              <w:pStyle w:val="TableText"/>
              <w:keepNext/>
              <w:rPr>
                <w:szCs w:val="20"/>
              </w:rPr>
            </w:pPr>
            <w:r>
              <w:rPr>
                <w:szCs w:val="20"/>
              </w:rPr>
              <w:t>NA</w:t>
            </w:r>
          </w:p>
        </w:tc>
      </w:tr>
      <w:tr w:rsidR="00A65A7E" w:rsidRPr="000449D1" w14:paraId="5794DBA1" w14:textId="77777777" w:rsidTr="004033D1">
        <w:tc>
          <w:tcPr>
            <w:tcW w:w="1285" w:type="pct"/>
          </w:tcPr>
          <w:p w14:paraId="4DB77E35" w14:textId="77777777" w:rsidR="00A65A7E" w:rsidRPr="000449D1" w:rsidRDefault="00A65A7E" w:rsidP="00681C31">
            <w:pPr>
              <w:pStyle w:val="TableText"/>
              <w:keepNext/>
              <w:rPr>
                <w:szCs w:val="20"/>
              </w:rPr>
            </w:pPr>
            <w:r w:rsidRPr="000449D1">
              <w:rPr>
                <w:szCs w:val="20"/>
              </w:rPr>
              <w:t>Transition probabilities</w:t>
            </w:r>
          </w:p>
        </w:tc>
        <w:tc>
          <w:tcPr>
            <w:tcW w:w="3715" w:type="pct"/>
          </w:tcPr>
          <w:p w14:paraId="190E6066" w14:textId="4AC1B48A" w:rsidR="00A65A7E" w:rsidRPr="000449D1" w:rsidRDefault="00A65A7E" w:rsidP="00681C31">
            <w:pPr>
              <w:pStyle w:val="TableText"/>
              <w:keepNext/>
              <w:rPr>
                <w:szCs w:val="20"/>
              </w:rPr>
            </w:pPr>
            <w:r>
              <w:rPr>
                <w:szCs w:val="20"/>
              </w:rPr>
              <w:t>NA</w:t>
            </w:r>
          </w:p>
        </w:tc>
      </w:tr>
      <w:tr w:rsidR="00A65A7E" w:rsidRPr="000449D1" w14:paraId="54E407D2" w14:textId="77777777" w:rsidTr="004033D1">
        <w:tc>
          <w:tcPr>
            <w:tcW w:w="1285" w:type="pct"/>
          </w:tcPr>
          <w:p w14:paraId="04BAA0A2" w14:textId="77777777" w:rsidR="00A65A7E" w:rsidRPr="000449D1" w:rsidRDefault="00A65A7E" w:rsidP="00681C31">
            <w:pPr>
              <w:pStyle w:val="TableText"/>
              <w:keepNext/>
              <w:rPr>
                <w:szCs w:val="20"/>
              </w:rPr>
            </w:pPr>
            <w:r w:rsidRPr="000449D1">
              <w:rPr>
                <w:szCs w:val="20"/>
              </w:rPr>
              <w:t>Discount rate</w:t>
            </w:r>
          </w:p>
        </w:tc>
        <w:tc>
          <w:tcPr>
            <w:tcW w:w="3715" w:type="pct"/>
          </w:tcPr>
          <w:p w14:paraId="06B124F9" w14:textId="08716430" w:rsidR="00A65A7E" w:rsidRPr="000449D1" w:rsidRDefault="00A65A7E" w:rsidP="00681C31">
            <w:pPr>
              <w:pStyle w:val="TableText"/>
              <w:keepNext/>
              <w:rPr>
                <w:szCs w:val="20"/>
              </w:rPr>
            </w:pPr>
            <w:r>
              <w:rPr>
                <w:szCs w:val="20"/>
              </w:rPr>
              <w:t>NA</w:t>
            </w:r>
          </w:p>
        </w:tc>
      </w:tr>
      <w:tr w:rsidR="00A65A7E" w:rsidRPr="000449D1" w14:paraId="5A3A0FAC" w14:textId="77777777" w:rsidTr="004033D1">
        <w:tc>
          <w:tcPr>
            <w:tcW w:w="1285" w:type="pct"/>
          </w:tcPr>
          <w:p w14:paraId="4B0CF94D" w14:textId="77777777" w:rsidR="00A65A7E" w:rsidRPr="000449D1" w:rsidRDefault="00A65A7E" w:rsidP="00681C31">
            <w:pPr>
              <w:pStyle w:val="TableText"/>
              <w:keepNext/>
              <w:rPr>
                <w:szCs w:val="20"/>
              </w:rPr>
            </w:pPr>
            <w:r w:rsidRPr="000449D1">
              <w:rPr>
                <w:szCs w:val="20"/>
              </w:rPr>
              <w:t>Software</w:t>
            </w:r>
          </w:p>
        </w:tc>
        <w:tc>
          <w:tcPr>
            <w:tcW w:w="3715" w:type="pct"/>
          </w:tcPr>
          <w:p w14:paraId="4BC4DC08" w14:textId="06ECB461" w:rsidR="00A65A7E" w:rsidRPr="000449D1" w:rsidRDefault="00A65A7E" w:rsidP="00681C31">
            <w:pPr>
              <w:pStyle w:val="TableText"/>
              <w:keepNext/>
              <w:rPr>
                <w:szCs w:val="20"/>
              </w:rPr>
            </w:pPr>
            <w:r w:rsidRPr="000449D1">
              <w:rPr>
                <w:szCs w:val="20"/>
              </w:rPr>
              <w:t>Excel</w:t>
            </w:r>
          </w:p>
        </w:tc>
      </w:tr>
    </w:tbl>
    <w:p w14:paraId="1A49C600" w14:textId="0A7A927E" w:rsidR="00A65A7E" w:rsidRDefault="00A65A7E" w:rsidP="00A30BB8">
      <w:pPr>
        <w:pStyle w:val="Tablenotes"/>
      </w:pPr>
      <w:r>
        <w:t>NA = not applicable</w:t>
      </w:r>
      <w:r w:rsidR="008600FF">
        <w:t>; * will vary according to the malignancy and availability of NGS testing</w:t>
      </w:r>
    </w:p>
    <w:p w14:paraId="41602B45" w14:textId="0D57EBAC" w:rsidR="00CF595B" w:rsidRDefault="0075712D" w:rsidP="00CF595B">
      <w:r>
        <w:t xml:space="preserve">The HTA group has evolved an approach to reflect that NGS testing is many tests within a single test, </w:t>
      </w:r>
      <w:r w:rsidR="0081645E">
        <w:t xml:space="preserve">may have multiple </w:t>
      </w:r>
      <w:r w:rsidR="001B687E">
        <w:t>purposes</w:t>
      </w:r>
      <w:r w:rsidR="0081645E">
        <w:t xml:space="preserve"> </w:t>
      </w:r>
      <w:r>
        <w:t>and therefore can potentially provide multiple informative results of immediate relevance o</w:t>
      </w:r>
      <w:r w:rsidR="00357E9A">
        <w:t>r</w:t>
      </w:r>
      <w:r>
        <w:t xml:space="preserve"> perhaps for future management decisions. </w:t>
      </w:r>
      <w:r w:rsidR="00204476">
        <w:t xml:space="preserve">The </w:t>
      </w:r>
      <w:r w:rsidR="00CF595B">
        <w:t>cost-effectiveness of an NGS panel is an intersection of its ability to identify genetic alterations to diagnose and classify those malignancies according to the WHO diagnostic criteria as well as to identify the individual or clusters of gene variants that predict outcomes</w:t>
      </w:r>
      <w:r w:rsidR="00204476">
        <w:t xml:space="preserve">, familial </w:t>
      </w:r>
      <w:proofErr w:type="gramStart"/>
      <w:r w:rsidR="00204476">
        <w:t>predisposition</w:t>
      </w:r>
      <w:r w:rsidR="0023491B">
        <w:t>s</w:t>
      </w:r>
      <w:proofErr w:type="gramEnd"/>
      <w:r w:rsidR="00204476">
        <w:t xml:space="preserve"> </w:t>
      </w:r>
      <w:r w:rsidR="00CF595B">
        <w:t xml:space="preserve">and direct therapy. The HTA group’s approach has been to assess cost-effectiveness using two approaches that acknowledges the changes to the population in the study, </w:t>
      </w:r>
      <w:proofErr w:type="gramStart"/>
      <w:r w:rsidR="00CF595B">
        <w:t>and also</w:t>
      </w:r>
      <w:proofErr w:type="gramEnd"/>
      <w:r w:rsidR="0023491B">
        <w:t xml:space="preserve"> the</w:t>
      </w:r>
      <w:r w:rsidR="00CF595B">
        <w:t xml:space="preserve"> multiplicity of test purposes and potential to provide results across 4 domains (diagnostic, prognostic, familial predisposition (where reported) and therapeutic) and that there may be more than one informative result in each domain for individual patients (e.g., a clinical trial option and an approved therapy). These results </w:t>
      </w:r>
      <w:r w:rsidR="00CF595B">
        <w:lastRenderedPageBreak/>
        <w:t xml:space="preserve">may inform multiple management decisions over time, </w:t>
      </w:r>
      <w:r w:rsidR="00204476">
        <w:t>representing</w:t>
      </w:r>
      <w:r w:rsidR="00CF595B">
        <w:t xml:space="preserve"> the potential ‘value-add’ of a broader testing approach, particularly compared with a single gene testing strategy.</w:t>
      </w:r>
    </w:p>
    <w:p w14:paraId="2168C4E5" w14:textId="77777777" w:rsidR="00CF595B" w:rsidRDefault="00CF595B" w:rsidP="00CF595B">
      <w:r>
        <w:t>Thus, wherever possible, the cost-effectiveness results are presented in the following analyses as:</w:t>
      </w:r>
    </w:p>
    <w:p w14:paraId="4B563BF7" w14:textId="77777777" w:rsidR="00CF595B" w:rsidRDefault="00CF595B" w:rsidP="00B56755">
      <w:pPr>
        <w:pStyle w:val="ListParagraph"/>
        <w:numPr>
          <w:ilvl w:val="0"/>
          <w:numId w:val="19"/>
        </w:numPr>
      </w:pPr>
      <w:r>
        <w:t xml:space="preserve">alterations as reported in outcomes in terms of numbers of patients with a result that changes thinking or management in each of the 4 domains as </w:t>
      </w:r>
      <w:proofErr w:type="gramStart"/>
      <w:r>
        <w:t>reported;</w:t>
      </w:r>
      <w:proofErr w:type="gramEnd"/>
    </w:p>
    <w:p w14:paraId="4647441A" w14:textId="3E08A27D" w:rsidR="00CF595B" w:rsidRDefault="00CF595B" w:rsidP="00B56755">
      <w:pPr>
        <w:pStyle w:val="ListParagraph"/>
        <w:numPr>
          <w:ilvl w:val="0"/>
          <w:numId w:val="19"/>
        </w:numPr>
      </w:pPr>
      <w:r>
        <w:t>the number of informative outcomes provided by the test overall to acknowledge the depth of information provided, to acknowledge and attach a value where</w:t>
      </w:r>
      <w:r w:rsidR="00A30BB8">
        <w:t>:</w:t>
      </w:r>
    </w:p>
    <w:p w14:paraId="370C7D53" w14:textId="77777777" w:rsidR="00CF595B" w:rsidRDefault="00CF595B" w:rsidP="00B56755">
      <w:pPr>
        <w:pStyle w:val="ListParagraph"/>
        <w:numPr>
          <w:ilvl w:val="1"/>
          <w:numId w:val="19"/>
        </w:numPr>
      </w:pPr>
      <w:r>
        <w:t xml:space="preserve">there may be more than one informative result </w:t>
      </w:r>
      <w:proofErr w:type="gramStart"/>
      <w:r>
        <w:t>in a given</w:t>
      </w:r>
      <w:proofErr w:type="gramEnd"/>
      <w:r>
        <w:t xml:space="preserve"> domain or in a patient that influences their management</w:t>
      </w:r>
    </w:p>
    <w:p w14:paraId="7530B7DC" w14:textId="18DB063F" w:rsidR="00CF595B" w:rsidRDefault="00CF595B" w:rsidP="00B56755">
      <w:pPr>
        <w:pStyle w:val="ListParagraph"/>
        <w:numPr>
          <w:ilvl w:val="1"/>
          <w:numId w:val="19"/>
        </w:numPr>
      </w:pPr>
      <w:r>
        <w:t xml:space="preserve">results may influence management decisions in a multiplicity of ways (e.g., provide choice </w:t>
      </w:r>
      <w:r w:rsidR="004068C8">
        <w:t>by</w:t>
      </w:r>
      <w:r>
        <w:t xml:space="preserve"> identify</w:t>
      </w:r>
      <w:r w:rsidR="004068C8">
        <w:t>ing</w:t>
      </w:r>
      <w:r>
        <w:t xml:space="preserve"> both approved and clinical trial options)</w:t>
      </w:r>
    </w:p>
    <w:p w14:paraId="690A6389" w14:textId="13C1A261" w:rsidR="00CF595B" w:rsidRDefault="00CF595B" w:rsidP="00B56755">
      <w:pPr>
        <w:pStyle w:val="ListParagraph"/>
        <w:numPr>
          <w:ilvl w:val="1"/>
          <w:numId w:val="19"/>
        </w:numPr>
      </w:pPr>
      <w:r>
        <w:t xml:space="preserve">results influence treatment in an ongoing way beyond the immediate decisions and may be used for later decision-making </w:t>
      </w:r>
      <w:r w:rsidR="009042F7">
        <w:t>e.g.</w:t>
      </w:r>
      <w:r>
        <w:t>, subsequent lines of therapy</w:t>
      </w:r>
      <w:r w:rsidR="006E0DEB">
        <w:t>.</w:t>
      </w:r>
    </w:p>
    <w:p w14:paraId="4E997F45" w14:textId="77777777" w:rsidR="00CF595B" w:rsidRDefault="00CF595B" w:rsidP="00CF595B">
      <w:r>
        <w:t>Additional considerations are whether this approach allows an efficient assessment of the malignancy which would otherwise result in extensive serial testing, which may not be possible, feasible or currently available for some rarer malignancies</w:t>
      </w:r>
    </w:p>
    <w:p w14:paraId="30F7BAF1" w14:textId="7BB21021" w:rsidR="00CF595B" w:rsidRDefault="00CF595B" w:rsidP="00CF595B">
      <w:r w:rsidRPr="006D7AD8">
        <w:t>Where the test yields more than one informative result in an individual patient, there is seldom sufficient granularity to determine this for the individual patients</w:t>
      </w:r>
      <w:r w:rsidR="0081645E">
        <w:t xml:space="preserve"> in the publications assessed</w:t>
      </w:r>
      <w:r w:rsidRPr="006D7AD8">
        <w:t>. T</w:t>
      </w:r>
      <w:r>
        <w:t>h</w:t>
      </w:r>
      <w:r w:rsidRPr="006D7AD8">
        <w:t>er</w:t>
      </w:r>
      <w:r>
        <w:t>e</w:t>
      </w:r>
      <w:r w:rsidRPr="006D7AD8">
        <w:t xml:space="preserve">fore, a simplistic approach has been adopted of adding together those results considered informative in each domain to present a net outcome of the results that are informative. The number of patients tested will influence this so that is retained as a denominator – this yields a value assessment of the cost per informative result rather than cost per reported change in management. </w:t>
      </w:r>
      <w:r>
        <w:t xml:space="preserve">Weighting of the value of the individual results is not possible and some of the reported options are not presented in sufficient detail to evaluate or consider for the Australian context. However, this approach aims to address </w:t>
      </w:r>
      <w:r w:rsidRPr="003C2BCA">
        <w:t xml:space="preserve">that limiting the presentation to a single patient receiving a single benefit underestimates the value of the </w:t>
      </w:r>
      <w:proofErr w:type="gramStart"/>
      <w:r w:rsidRPr="003C2BCA">
        <w:t>test, when</w:t>
      </w:r>
      <w:proofErr w:type="gramEnd"/>
      <w:r w:rsidRPr="003C2BCA">
        <w:t xml:space="preserve"> multiple results </w:t>
      </w:r>
      <w:r>
        <w:t>are likely to</w:t>
      </w:r>
      <w:r w:rsidRPr="003C2BCA">
        <w:t xml:space="preserve"> have informed that outcome.</w:t>
      </w:r>
    </w:p>
    <w:p w14:paraId="4C0EB171" w14:textId="7192A203" w:rsidR="00C37609" w:rsidRDefault="00C56FC7" w:rsidP="00CF595B">
      <w:r>
        <w:t>It would be valuable to evolve a weighting scale for the value of a certain test result. In the lymphoid NGS panel studies in particular, malignant diagnoses were often overturned</w:t>
      </w:r>
      <w:r w:rsidR="00E31C69">
        <w:t>,</w:t>
      </w:r>
      <w:r>
        <w:t xml:space="preserve"> which is a critical change. This will only be represented as a single change in management in a single patient – the value of an outcome like that, particularly where there may not be niche specialists would be diluted if the test were used often where there was uncertainty – but that may be its value.</w:t>
      </w:r>
    </w:p>
    <w:p w14:paraId="0E861A30" w14:textId="41D15E79" w:rsidR="00C56FC7" w:rsidRDefault="00C37609" w:rsidP="00CF595B">
      <w:r>
        <w:t>The following tables correspond with the studies above</w:t>
      </w:r>
      <w:r w:rsidR="00C56FC7">
        <w:t xml:space="preserve"> and present the cost-effectiveness analyses corresponding to the clinical effectiveness data.</w:t>
      </w:r>
    </w:p>
    <w:p w14:paraId="7F76F9A6" w14:textId="6BA8C733" w:rsidR="00177CFC" w:rsidRDefault="00177CFC" w:rsidP="00CF595B">
      <w:r>
        <w:t>The value of NGS testing is not always related to the diagnostic outcome – the value of NGS testing for myeloid malignancies is evident from the substantial change in prognosis and treatment options with somatic variants of clinical significance.</w:t>
      </w:r>
      <w:r w:rsidR="00397DFB">
        <w:t xml:space="preserve"> These analyses are likely to underestimate the benefit because the IPSS-M which integrates molecular findings into a prognostic score for </w:t>
      </w:r>
      <w:r w:rsidR="009042F7">
        <w:t>patients</w:t>
      </w:r>
      <w:r w:rsidR="00397DFB">
        <w:t xml:space="preserve"> with MDS has dramatically altered risk stratification, was only published last month.</w:t>
      </w:r>
    </w:p>
    <w:p w14:paraId="680A9843" w14:textId="61831B96" w:rsidR="00397DFB" w:rsidRDefault="00397DFB" w:rsidP="00CF595B">
      <w:r>
        <w:t xml:space="preserve">Few studies reported germline variants and test outcomes – these were included by Carbonell (2019) and Vicente-Garces, and both influenced management including offering a bone marrow transplant to one </w:t>
      </w:r>
      <w:r w:rsidR="00B8466E">
        <w:t>patient</w:t>
      </w:r>
      <w:r>
        <w:t xml:space="preserve"> </w:t>
      </w:r>
      <w:r w:rsidR="00DB1EE1">
        <w:t>who</w:t>
      </w:r>
      <w:r w:rsidR="00C169DD">
        <w:t xml:space="preserve"> </w:t>
      </w:r>
      <w:r w:rsidR="00DB1EE1">
        <w:t xml:space="preserve">would have otherwise </w:t>
      </w:r>
      <w:r w:rsidR="00C169DD">
        <w:t xml:space="preserve">received no treatment, </w:t>
      </w:r>
      <w:r w:rsidR="00B8466E">
        <w:t xml:space="preserve">due to the poor prognosis </w:t>
      </w:r>
      <w:r w:rsidR="00BC25D8">
        <w:t>associated</w:t>
      </w:r>
      <w:r w:rsidR="00B8466E">
        <w:t xml:space="preserve"> with MDS </w:t>
      </w:r>
      <w:r w:rsidR="00BC25D8">
        <w:t>harbouring</w:t>
      </w:r>
      <w:r w:rsidR="00B8466E">
        <w:t xml:space="preserve"> germline variants, </w:t>
      </w:r>
      <w:r w:rsidR="006077C0">
        <w:t xml:space="preserve">(Carbonell, 2019) </w:t>
      </w:r>
      <w:r w:rsidR="00B8466E">
        <w:t xml:space="preserve">as well as </w:t>
      </w:r>
      <w:r>
        <w:t>screening</w:t>
      </w:r>
      <w:r w:rsidR="00B8466E">
        <w:t xml:space="preserve"> </w:t>
      </w:r>
      <w:r>
        <w:t>family members</w:t>
      </w:r>
      <w:r w:rsidR="00DD6121">
        <w:t xml:space="preserve"> as potential donors and for their own personal risk assessment and management</w:t>
      </w:r>
      <w:r>
        <w:t>.</w:t>
      </w:r>
    </w:p>
    <w:p w14:paraId="18222BEA" w14:textId="1596D9BE" w:rsidR="00347507" w:rsidRDefault="005B33D7" w:rsidP="00CF595B">
      <w:r>
        <w:t xml:space="preserve">The clinical context is </w:t>
      </w:r>
      <w:proofErr w:type="gramStart"/>
      <w:r>
        <w:t>critical</w:t>
      </w:r>
      <w:proofErr w:type="gramEnd"/>
      <w:r>
        <w:t xml:space="preserve"> and t</w:t>
      </w:r>
      <w:r w:rsidR="0000366F">
        <w:t xml:space="preserve">his is particularly evident in the analyses for Bommier (2021) where extensive prior testing was done and </w:t>
      </w:r>
      <w:r>
        <w:t xml:space="preserve">NGS testing was only ordered when central review </w:t>
      </w:r>
      <w:r w:rsidR="0000366F">
        <w:t xml:space="preserve">expert pathologists required it to resolve </w:t>
      </w:r>
      <w:r w:rsidR="00173EB5">
        <w:t>residual</w:t>
      </w:r>
      <w:r w:rsidR="0000366F">
        <w:t xml:space="preserve"> diagnostic uncertainty – in less skilled hands, the diagnostic yield would be higher. The value of a correct diagnosis is not captured within the</w:t>
      </w:r>
      <w:r w:rsidR="00EE3A15">
        <w:t>se</w:t>
      </w:r>
      <w:r w:rsidR="0000366F">
        <w:t xml:space="preserve"> </w:t>
      </w:r>
      <w:r w:rsidR="0000366F">
        <w:lastRenderedPageBreak/>
        <w:t>analyses.</w:t>
      </w:r>
      <w:r>
        <w:t xml:space="preserve"> These authors are </w:t>
      </w:r>
      <w:proofErr w:type="gramStart"/>
      <w:r>
        <w:t>pathologists</w:t>
      </w:r>
      <w:proofErr w:type="gramEnd"/>
      <w:r>
        <w:t xml:space="preserve"> and </w:t>
      </w:r>
      <w:r w:rsidR="00EE3A15">
        <w:t>the focus of the study was</w:t>
      </w:r>
      <w:r>
        <w:t xml:space="preserve"> the change in diagnostic rate so any other benefits or informative results would not have been captured.</w:t>
      </w:r>
    </w:p>
    <w:p w14:paraId="572C0639" w14:textId="34FF8099" w:rsidR="00BF034F" w:rsidRDefault="00BF034F" w:rsidP="00CF595B">
      <w:r>
        <w:t xml:space="preserve">The incorporation of all </w:t>
      </w:r>
      <w:proofErr w:type="gramStart"/>
      <w:r>
        <w:t>variants</w:t>
      </w:r>
      <w:proofErr w:type="gramEnd"/>
      <w:r>
        <w:t xml:space="preserve"> providing information is evident in the analyses for Jajosky (2021) where patients received NGS testing as a routine investigation. The value proposition for CLL is different when the array of possible outcomes </w:t>
      </w:r>
      <w:proofErr w:type="gramStart"/>
      <w:r>
        <w:t>are</w:t>
      </w:r>
      <w:proofErr w:type="gramEnd"/>
      <w:r>
        <w:t xml:space="preserve"> considered given these inform prognosis and treatment options, but are not required in most instances for a diagnosis.</w:t>
      </w:r>
    </w:p>
    <w:p w14:paraId="48F53909" w14:textId="2123F492" w:rsidR="00BF034F" w:rsidRDefault="00BF034F" w:rsidP="00CF595B">
      <w:r>
        <w:t xml:space="preserve">The cumulative yield was difficult to ascertain in most studies as it was not necessarily reported </w:t>
      </w:r>
      <w:r w:rsidR="007F0402">
        <w:t>the proportion of</w:t>
      </w:r>
      <w:r>
        <w:t xml:space="preserve"> patients received results that informed diagnostic, prognosis, familial </w:t>
      </w:r>
      <w:proofErr w:type="gramStart"/>
      <w:r>
        <w:t>predisposition</w:t>
      </w:r>
      <w:proofErr w:type="gramEnd"/>
      <w:r>
        <w:t xml:space="preserve"> </w:t>
      </w:r>
      <w:r w:rsidR="007F0402">
        <w:t>and</w:t>
      </w:r>
      <w:r>
        <w:t xml:space="preserve"> therapeutic options. Most of these studies reported those domains independently.</w:t>
      </w:r>
    </w:p>
    <w:p w14:paraId="2A1B7B7F" w14:textId="6605965C" w:rsidR="00C56FC7" w:rsidRDefault="00C56FC7" w:rsidP="00993BFC">
      <w:pPr>
        <w:pStyle w:val="Heading3"/>
      </w:pPr>
      <w:bookmarkStart w:id="33" w:name="_Toc111754803"/>
      <w:r>
        <w:t xml:space="preserve">Myeloid </w:t>
      </w:r>
      <w:r w:rsidR="00E15697">
        <w:t>NGS panel</w:t>
      </w:r>
      <w:bookmarkEnd w:id="33"/>
    </w:p>
    <w:p w14:paraId="7F66375C" w14:textId="41D049ED" w:rsidR="005748DF" w:rsidRDefault="00970460" w:rsidP="005748DF">
      <w:r>
        <w:t>With the publication of the summaries for the upcoming WHO HAEM5 and the IPSS-M prognostic model for MDS in June 2022 which incorporate molecular test outcomes into the diagnosis</w:t>
      </w:r>
      <w:r w:rsidR="001B55EB">
        <w:t>/classification</w:t>
      </w:r>
      <w:r>
        <w:t xml:space="preserve"> and prognosis,</w:t>
      </w:r>
      <w:r w:rsidR="001B55EB">
        <w:t xml:space="preserve"> </w:t>
      </w:r>
      <w:r w:rsidR="00124F45">
        <w:t>respectively</w:t>
      </w:r>
      <w:r>
        <w:t xml:space="preserve"> it is likely the following studies underestimate the change in diagnosis (alteration and refinement) and prognosis with NGS panel testing. </w:t>
      </w:r>
      <w:r w:rsidR="00F1790D">
        <w:t>Thus, the cost-effectiveness is likely to be greater with NGS panel testing for these domains and where they form part of a composite assessment of total benefit.</w:t>
      </w:r>
    </w:p>
    <w:p w14:paraId="6EB0ED59" w14:textId="1000C689" w:rsidR="00574A67" w:rsidRPr="005748DF" w:rsidRDefault="00574A67" w:rsidP="005748DF">
      <w:r>
        <w:t xml:space="preserve">The economic evaluation presents results per study, using the </w:t>
      </w:r>
      <w:r w:rsidR="00FD12C0" w:rsidRPr="00FD12C0">
        <w:t>MSAC supported fee of $1,100 for DNA and RNA testing</w:t>
      </w:r>
      <w:r w:rsidR="00FD12C0">
        <w:t xml:space="preserve"> (upper estimate of cost-effectiveness).</w:t>
      </w:r>
    </w:p>
    <w:p w14:paraId="47144F0E" w14:textId="77777777" w:rsidR="00CF0F58" w:rsidRDefault="00CF0F58" w:rsidP="00C46E06">
      <w:pPr>
        <w:pStyle w:val="Heading5"/>
        <w:spacing w:before="240"/>
      </w:pPr>
      <w:r>
        <w:t>Patel et al 2021 Use of an NGS myeloid panel prior to cytogenetic/other genetic testing</w:t>
      </w:r>
    </w:p>
    <w:p w14:paraId="27AF2A23" w14:textId="71C1171D" w:rsidR="00CF0F58" w:rsidRDefault="00CF0F58" w:rsidP="00C46E06">
      <w:pPr>
        <w:pStyle w:val="Caption"/>
        <w:spacing w:before="0"/>
      </w:pPr>
      <w:bookmarkStart w:id="34" w:name="_Ref109746366"/>
      <w:r>
        <w:t xml:space="preserve">Table </w:t>
      </w:r>
      <w:fldSimple w:instr=" SEQ Table \* ARABIC ">
        <w:r w:rsidR="00A165AD">
          <w:rPr>
            <w:noProof/>
          </w:rPr>
          <w:t>15</w:t>
        </w:r>
      </w:fldSimple>
      <w:bookmarkEnd w:id="34"/>
      <w:r w:rsidRPr="006E4A05">
        <w:t xml:space="preserve"> </w:t>
      </w:r>
      <w:r w:rsidRPr="001544CA">
        <w:t>Cost</w:t>
      </w:r>
      <w:r>
        <w:t>-</w:t>
      </w:r>
      <w:r w:rsidRPr="001544CA">
        <w:t>effectiveness of NGS testing with a myeloid panel in patients with a suspected haematological malignancy</w:t>
      </w:r>
      <w:r w:rsidR="00FD12C0">
        <w:t xml:space="preserve"> per outcomes reported in Patel et al (2021)</w:t>
      </w:r>
      <w:r w:rsidRPr="001544CA">
        <w:t xml:space="preserve"> </w:t>
      </w:r>
      <w:r w:rsidR="00FD12C0">
        <w:t xml:space="preserve">at the </w:t>
      </w:r>
      <w:r w:rsidR="00FD12C0" w:rsidRPr="0017335F">
        <w:t>MSAC supported fee of $1,100 for DNA and RNA testing</w:t>
      </w:r>
    </w:p>
    <w:tbl>
      <w:tblPr>
        <w:tblStyle w:val="TableGrid"/>
        <w:tblW w:w="8926" w:type="dxa"/>
        <w:tblLayout w:type="fixed"/>
        <w:tblLook w:val="04A0" w:firstRow="1" w:lastRow="0" w:firstColumn="1" w:lastColumn="0" w:noHBand="0" w:noVBand="1"/>
      </w:tblPr>
      <w:tblGrid>
        <w:gridCol w:w="2263"/>
        <w:gridCol w:w="1665"/>
        <w:gridCol w:w="1666"/>
        <w:gridCol w:w="1666"/>
        <w:gridCol w:w="1666"/>
      </w:tblGrid>
      <w:tr w:rsidR="00CF0F58" w:rsidRPr="00196912" w14:paraId="2B008932" w14:textId="77777777" w:rsidTr="005A0FB8">
        <w:trPr>
          <w:trHeight w:val="859"/>
          <w:tblHeader/>
        </w:trPr>
        <w:tc>
          <w:tcPr>
            <w:tcW w:w="2263" w:type="dxa"/>
            <w:hideMark/>
          </w:tcPr>
          <w:p w14:paraId="1F669486" w14:textId="77777777" w:rsidR="004E1555" w:rsidRDefault="004E1555" w:rsidP="004E1555">
            <w:pPr>
              <w:pStyle w:val="In-tableHeading"/>
            </w:pPr>
            <w:r>
              <w:t>Patel et al (2021)</w:t>
            </w:r>
          </w:p>
          <w:p w14:paraId="05F04F3E" w14:textId="3D5CAABA" w:rsidR="00CF0F58" w:rsidRPr="001544CA" w:rsidRDefault="004E1555" w:rsidP="004E1555">
            <w:pPr>
              <w:pStyle w:val="In-tableHeading"/>
            </w:pPr>
            <w:r w:rsidRPr="001544CA">
              <w:t>NGS panel testing before cytogenetic/other genetic testing</w:t>
            </w:r>
          </w:p>
        </w:tc>
        <w:tc>
          <w:tcPr>
            <w:tcW w:w="1665" w:type="dxa"/>
            <w:hideMark/>
          </w:tcPr>
          <w:p w14:paraId="43F3322B" w14:textId="77777777" w:rsidR="000F723E" w:rsidRDefault="000F723E" w:rsidP="000F723E">
            <w:pPr>
              <w:pStyle w:val="In-tableHeading"/>
            </w:pPr>
            <w:r w:rsidRPr="001544CA">
              <w:t>3</w:t>
            </w:r>
            <w:r>
              <w:t>7-gene NGS panel</w:t>
            </w:r>
          </w:p>
          <w:p w14:paraId="6F1CBEC9" w14:textId="6E837382" w:rsidR="00CF0F58" w:rsidRPr="001544CA" w:rsidRDefault="00CF0F58" w:rsidP="00947725">
            <w:pPr>
              <w:pStyle w:val="In-tableHeading"/>
            </w:pPr>
          </w:p>
        </w:tc>
        <w:tc>
          <w:tcPr>
            <w:tcW w:w="1666" w:type="dxa"/>
            <w:hideMark/>
          </w:tcPr>
          <w:p w14:paraId="3CD006E0" w14:textId="77777777" w:rsidR="00CF0F58" w:rsidRPr="001544CA" w:rsidRDefault="00CF0F58" w:rsidP="00947725">
            <w:pPr>
              <w:pStyle w:val="In-tableHeading"/>
            </w:pPr>
            <w:r w:rsidRPr="001544CA">
              <w:t>Comparator</w:t>
            </w:r>
          </w:p>
          <w:p w14:paraId="13A4A1E9" w14:textId="77777777" w:rsidR="00CF0F58" w:rsidRPr="001544CA" w:rsidRDefault="00CF0F58" w:rsidP="00947725">
            <w:pPr>
              <w:pStyle w:val="In-tableHeading"/>
            </w:pPr>
            <w:r w:rsidRPr="001544CA">
              <w:t>(</w:t>
            </w:r>
            <w:proofErr w:type="gramStart"/>
            <w:r w:rsidRPr="001544CA">
              <w:t>no</w:t>
            </w:r>
            <w:proofErr w:type="gramEnd"/>
            <w:r w:rsidRPr="001544CA">
              <w:t xml:space="preserve"> NGS testing)</w:t>
            </w:r>
          </w:p>
        </w:tc>
        <w:tc>
          <w:tcPr>
            <w:tcW w:w="1666" w:type="dxa"/>
            <w:hideMark/>
          </w:tcPr>
          <w:p w14:paraId="2DE415A7" w14:textId="77777777" w:rsidR="00CF0F58" w:rsidRPr="001544CA" w:rsidRDefault="00CF0F58" w:rsidP="00947725">
            <w:pPr>
              <w:pStyle w:val="In-tableHeading"/>
            </w:pPr>
            <w:r w:rsidRPr="001544CA">
              <w:t>Increment</w:t>
            </w:r>
          </w:p>
        </w:tc>
        <w:tc>
          <w:tcPr>
            <w:tcW w:w="1666" w:type="dxa"/>
            <w:hideMark/>
          </w:tcPr>
          <w:p w14:paraId="221F6F60" w14:textId="05ECB383" w:rsidR="00CF0F58" w:rsidRPr="0017335F" w:rsidRDefault="00A7562A" w:rsidP="00947725">
            <w:pPr>
              <w:pStyle w:val="In-tableHeading"/>
            </w:pPr>
            <w:r w:rsidRPr="0017335F">
              <w:t>MSAC supported fee of $1,</w:t>
            </w:r>
            <w:r w:rsidR="008430C2" w:rsidRPr="0017335F">
              <w:t>100</w:t>
            </w:r>
            <w:r w:rsidR="0017335F" w:rsidRPr="0017335F">
              <w:t xml:space="preserve"> for DNA and RNA testing</w:t>
            </w:r>
          </w:p>
        </w:tc>
      </w:tr>
      <w:tr w:rsidR="005437E7" w:rsidRPr="00196912" w14:paraId="7DAB73AD" w14:textId="77777777" w:rsidTr="005A0FB8">
        <w:trPr>
          <w:trHeight w:val="317"/>
        </w:trPr>
        <w:tc>
          <w:tcPr>
            <w:tcW w:w="2263" w:type="dxa"/>
            <w:hideMark/>
          </w:tcPr>
          <w:p w14:paraId="4E9C1C67" w14:textId="77777777" w:rsidR="005437E7" w:rsidRPr="00196912" w:rsidRDefault="005437E7" w:rsidP="00ED7C6F">
            <w:pPr>
              <w:pStyle w:val="Tabletext0"/>
            </w:pPr>
            <w:r w:rsidRPr="00196912">
              <w:t>Cost of testing</w:t>
            </w:r>
          </w:p>
        </w:tc>
        <w:tc>
          <w:tcPr>
            <w:tcW w:w="1665" w:type="dxa"/>
            <w:vAlign w:val="center"/>
            <w:hideMark/>
          </w:tcPr>
          <w:p w14:paraId="55FA8212" w14:textId="64AF62E2" w:rsidR="005437E7" w:rsidRPr="0017335F" w:rsidRDefault="00816480" w:rsidP="005437E7">
            <w:pPr>
              <w:spacing w:before="0" w:after="0"/>
              <w:rPr>
                <w:rFonts w:ascii="Arial Narrow" w:hAnsi="Arial Narrow" w:cs="Calibri"/>
                <w:color w:val="000000"/>
                <w:sz w:val="20"/>
                <w:szCs w:val="20"/>
              </w:rPr>
            </w:pPr>
            <w:r w:rsidRPr="005A0FB8">
              <w:rPr>
                <w:rFonts w:ascii="Arial Narrow" w:hAnsi="Arial Narrow" w:cs="Calibri"/>
                <w:color w:val="000000"/>
                <w:sz w:val="20"/>
                <w:szCs w:val="20"/>
              </w:rPr>
              <w:t>$1,100</w:t>
            </w:r>
          </w:p>
        </w:tc>
        <w:tc>
          <w:tcPr>
            <w:tcW w:w="1666" w:type="dxa"/>
            <w:vAlign w:val="center"/>
            <w:hideMark/>
          </w:tcPr>
          <w:p w14:paraId="065CC08A" w14:textId="38D677F3" w:rsidR="005437E7" w:rsidRPr="0017335F" w:rsidRDefault="00993BFC" w:rsidP="005437E7">
            <w:pPr>
              <w:spacing w:before="0" w:after="0"/>
              <w:rPr>
                <w:rFonts w:ascii="Arial Narrow" w:hAnsi="Arial Narrow" w:cs="Calibri"/>
                <w:color w:val="000000"/>
                <w:sz w:val="20"/>
                <w:szCs w:val="20"/>
              </w:rPr>
            </w:pPr>
            <w:r w:rsidRPr="0017335F">
              <w:rPr>
                <w:rFonts w:ascii="Arial Narrow" w:hAnsi="Arial Narrow" w:cs="Calibri"/>
                <w:color w:val="000000"/>
                <w:sz w:val="20"/>
                <w:szCs w:val="20"/>
              </w:rPr>
              <w:t>$</w:t>
            </w:r>
            <w:r w:rsidR="005437E7" w:rsidRPr="0017335F">
              <w:rPr>
                <w:rFonts w:ascii="Arial Narrow" w:hAnsi="Arial Narrow" w:cs="Calibri"/>
                <w:color w:val="000000"/>
                <w:sz w:val="20"/>
                <w:szCs w:val="20"/>
              </w:rPr>
              <w:t>0</w:t>
            </w:r>
          </w:p>
        </w:tc>
        <w:tc>
          <w:tcPr>
            <w:tcW w:w="1666" w:type="dxa"/>
            <w:vAlign w:val="center"/>
            <w:hideMark/>
          </w:tcPr>
          <w:p w14:paraId="2F531300" w14:textId="77777777" w:rsidR="005437E7" w:rsidRPr="00113262" w:rsidRDefault="00816480" w:rsidP="005437E7">
            <w:pPr>
              <w:spacing w:before="0" w:after="0"/>
              <w:rPr>
                <w:rFonts w:ascii="Arial Narrow" w:hAnsi="Arial Narrow"/>
                <w:color w:val="000000"/>
                <w:sz w:val="20"/>
              </w:rPr>
            </w:pPr>
            <w:r w:rsidRPr="005A0FB8">
              <w:rPr>
                <w:rFonts w:ascii="Arial Narrow" w:hAnsi="Arial Narrow" w:cs="Calibri"/>
                <w:color w:val="000000"/>
                <w:sz w:val="20"/>
                <w:szCs w:val="20"/>
              </w:rPr>
              <w:t>$</w:t>
            </w:r>
            <w:r w:rsidRPr="00113262">
              <w:rPr>
                <w:rFonts w:ascii="Arial Narrow" w:hAnsi="Arial Narrow" w:cs="Calibri"/>
                <w:color w:val="000000"/>
                <w:sz w:val="20"/>
                <w:szCs w:val="20"/>
              </w:rPr>
              <w:t>1,100</w:t>
            </w:r>
          </w:p>
        </w:tc>
        <w:tc>
          <w:tcPr>
            <w:tcW w:w="1666" w:type="dxa"/>
            <w:vAlign w:val="center"/>
            <w:hideMark/>
          </w:tcPr>
          <w:p w14:paraId="210CA891" w14:textId="5890CAD8" w:rsidR="005437E7" w:rsidRPr="0017335F" w:rsidRDefault="005437E7" w:rsidP="005437E7">
            <w:pPr>
              <w:spacing w:before="0" w:after="0"/>
              <w:rPr>
                <w:rFonts w:ascii="Arial Narrow" w:hAnsi="Arial Narrow" w:cs="Calibri"/>
                <w:color w:val="000000"/>
                <w:sz w:val="20"/>
                <w:szCs w:val="20"/>
              </w:rPr>
            </w:pPr>
            <w:r w:rsidRPr="0017335F">
              <w:rPr>
                <w:rFonts w:ascii="Arial Narrow" w:hAnsi="Arial Narrow" w:cs="Calibri"/>
                <w:color w:val="000000"/>
                <w:sz w:val="20"/>
                <w:szCs w:val="20"/>
              </w:rPr>
              <w:t> </w:t>
            </w:r>
            <w:r w:rsidR="00ED7C6F" w:rsidRPr="0017335F">
              <w:rPr>
                <w:rFonts w:ascii="Arial Narrow" w:hAnsi="Arial Narrow" w:cs="Calibri"/>
                <w:color w:val="000000"/>
                <w:sz w:val="20"/>
                <w:szCs w:val="20"/>
              </w:rPr>
              <w:t>-</w:t>
            </w:r>
          </w:p>
        </w:tc>
      </w:tr>
      <w:tr w:rsidR="000943CD" w:rsidRPr="00196912" w14:paraId="60C85453" w14:textId="77777777" w:rsidTr="005A0FB8">
        <w:trPr>
          <w:trHeight w:val="541"/>
        </w:trPr>
        <w:tc>
          <w:tcPr>
            <w:tcW w:w="2263" w:type="dxa"/>
            <w:hideMark/>
          </w:tcPr>
          <w:p w14:paraId="3581AC1C" w14:textId="5B3C8138" w:rsidR="000943CD" w:rsidRPr="00196912" w:rsidRDefault="000943CD" w:rsidP="000943CD">
            <w:pPr>
              <w:pStyle w:val="Tabletext0"/>
            </w:pPr>
            <w:r w:rsidRPr="00196912">
              <w:t>P</w:t>
            </w:r>
            <w:r>
              <w:t>roportion of p</w:t>
            </w:r>
            <w:r w:rsidRPr="00196912">
              <w:t>atients with NGS result that altered their diagnosis per 2016 WHO classification</w:t>
            </w:r>
          </w:p>
        </w:tc>
        <w:tc>
          <w:tcPr>
            <w:tcW w:w="1665" w:type="dxa"/>
            <w:vAlign w:val="center"/>
            <w:hideMark/>
          </w:tcPr>
          <w:p w14:paraId="4AB4762D" w14:textId="68FAA012"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0.017</w:t>
            </w:r>
          </w:p>
        </w:tc>
        <w:tc>
          <w:tcPr>
            <w:tcW w:w="1666" w:type="dxa"/>
            <w:vAlign w:val="center"/>
            <w:hideMark/>
          </w:tcPr>
          <w:p w14:paraId="08268B8C" w14:textId="556D3026"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 </w:t>
            </w:r>
          </w:p>
        </w:tc>
        <w:tc>
          <w:tcPr>
            <w:tcW w:w="1666" w:type="dxa"/>
            <w:vAlign w:val="center"/>
            <w:hideMark/>
          </w:tcPr>
          <w:p w14:paraId="49C41C40" w14:textId="6CD2A96F"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0.017</w:t>
            </w:r>
          </w:p>
        </w:tc>
        <w:tc>
          <w:tcPr>
            <w:tcW w:w="1666" w:type="dxa"/>
            <w:vAlign w:val="center"/>
            <w:hideMark/>
          </w:tcPr>
          <w:p w14:paraId="037CAB68" w14:textId="27AAD263" w:rsidR="000943CD" w:rsidRPr="0017335F" w:rsidRDefault="00A7562A" w:rsidP="000943CD">
            <w:pPr>
              <w:spacing w:before="0" w:after="0"/>
              <w:rPr>
                <w:rFonts w:ascii="Arial Narrow" w:hAnsi="Arial Narrow" w:cs="Calibri"/>
                <w:color w:val="000000"/>
                <w:sz w:val="20"/>
                <w:szCs w:val="20"/>
              </w:rPr>
            </w:pPr>
            <w:r w:rsidRPr="0017335F">
              <w:rPr>
                <w:rFonts w:ascii="Arial Narrow" w:hAnsi="Arial Narrow" w:cs="Calibri"/>
                <w:color w:val="000000"/>
                <w:sz w:val="20"/>
                <w:szCs w:val="20"/>
              </w:rPr>
              <w:t>$6</w:t>
            </w:r>
            <w:r w:rsidR="007916A7" w:rsidRPr="0017335F">
              <w:rPr>
                <w:rFonts w:ascii="Arial Narrow" w:hAnsi="Arial Narrow" w:cs="Calibri"/>
                <w:color w:val="000000"/>
                <w:sz w:val="20"/>
                <w:szCs w:val="20"/>
              </w:rPr>
              <w:t>2,</w:t>
            </w:r>
            <w:r w:rsidR="008430C2" w:rsidRPr="0017335F">
              <w:rPr>
                <w:rFonts w:ascii="Arial Narrow" w:hAnsi="Arial Narrow" w:cs="Calibri"/>
                <w:color w:val="000000"/>
                <w:sz w:val="20"/>
                <w:szCs w:val="20"/>
              </w:rPr>
              <w:t>883</w:t>
            </w:r>
            <w:r w:rsidRPr="0017335F">
              <w:rPr>
                <w:rFonts w:ascii="Arial Narrow" w:hAnsi="Arial Narrow" w:cs="Calibri"/>
                <w:color w:val="000000"/>
                <w:sz w:val="20"/>
                <w:szCs w:val="20"/>
              </w:rPr>
              <w:t>)</w:t>
            </w:r>
          </w:p>
        </w:tc>
      </w:tr>
      <w:tr w:rsidR="000943CD" w:rsidRPr="00196912" w14:paraId="07A4989E" w14:textId="77777777" w:rsidTr="005A0FB8">
        <w:trPr>
          <w:trHeight w:val="541"/>
        </w:trPr>
        <w:tc>
          <w:tcPr>
            <w:tcW w:w="2263" w:type="dxa"/>
            <w:hideMark/>
          </w:tcPr>
          <w:p w14:paraId="0057E00E" w14:textId="4EA9DFD1" w:rsidR="000943CD" w:rsidRPr="00196912" w:rsidRDefault="00ED7C6F" w:rsidP="000943CD">
            <w:pPr>
              <w:spacing w:before="0" w:after="0"/>
              <w:rPr>
                <w:rFonts w:ascii="Arial Narrow" w:hAnsi="Arial Narrow" w:cs="Calibri"/>
                <w:color w:val="000000"/>
                <w:sz w:val="20"/>
                <w:szCs w:val="20"/>
              </w:rPr>
            </w:pPr>
            <w:r w:rsidRPr="00ED7C6F">
              <w:rPr>
                <w:rFonts w:ascii="Arial Narrow" w:hAnsi="Arial Narrow" w:cs="Calibri"/>
                <w:color w:val="000000"/>
                <w:sz w:val="20"/>
                <w:szCs w:val="20"/>
              </w:rPr>
              <w:t>Proportion of patients</w:t>
            </w:r>
            <w:r w:rsidR="000943CD" w:rsidRPr="00196912">
              <w:rPr>
                <w:rFonts w:ascii="Arial Narrow" w:hAnsi="Arial Narrow" w:cs="Calibri"/>
                <w:color w:val="000000"/>
                <w:sz w:val="20"/>
                <w:szCs w:val="20"/>
              </w:rPr>
              <w:t xml:space="preserve"> with NGS result that subclassified their diagnosis per 2016 WHO classification</w:t>
            </w:r>
          </w:p>
        </w:tc>
        <w:tc>
          <w:tcPr>
            <w:tcW w:w="1665" w:type="dxa"/>
            <w:vAlign w:val="center"/>
            <w:hideMark/>
          </w:tcPr>
          <w:p w14:paraId="463B1BC7" w14:textId="17F742CB"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0.076</w:t>
            </w:r>
          </w:p>
        </w:tc>
        <w:tc>
          <w:tcPr>
            <w:tcW w:w="1666" w:type="dxa"/>
            <w:vAlign w:val="center"/>
            <w:hideMark/>
          </w:tcPr>
          <w:p w14:paraId="64A57EF4" w14:textId="10B5687F"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 </w:t>
            </w:r>
          </w:p>
        </w:tc>
        <w:tc>
          <w:tcPr>
            <w:tcW w:w="1666" w:type="dxa"/>
            <w:vAlign w:val="center"/>
            <w:hideMark/>
          </w:tcPr>
          <w:p w14:paraId="3C0440D1" w14:textId="68F764FB"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0.076</w:t>
            </w:r>
          </w:p>
        </w:tc>
        <w:tc>
          <w:tcPr>
            <w:tcW w:w="1666" w:type="dxa"/>
            <w:vAlign w:val="center"/>
            <w:hideMark/>
          </w:tcPr>
          <w:p w14:paraId="0A37542A" w14:textId="29CE71CE" w:rsidR="000943CD" w:rsidRPr="0017335F" w:rsidRDefault="00AF0C3D" w:rsidP="000943CD">
            <w:pPr>
              <w:spacing w:before="0" w:after="0"/>
              <w:rPr>
                <w:rFonts w:ascii="Arial Narrow" w:hAnsi="Arial Narrow" w:cs="Calibri"/>
                <w:color w:val="000000"/>
                <w:sz w:val="20"/>
                <w:szCs w:val="20"/>
              </w:rPr>
            </w:pPr>
            <w:r w:rsidRPr="0017335F">
              <w:rPr>
                <w:rFonts w:ascii="Arial Narrow" w:hAnsi="Arial Narrow" w:cs="Calibri"/>
                <w:color w:val="000000"/>
                <w:sz w:val="20"/>
                <w:szCs w:val="20"/>
              </w:rPr>
              <w:t>$14,4</w:t>
            </w:r>
            <w:r w:rsidR="008430C2" w:rsidRPr="0017335F">
              <w:rPr>
                <w:rFonts w:ascii="Arial Narrow" w:hAnsi="Arial Narrow" w:cs="Calibri"/>
                <w:color w:val="000000"/>
                <w:sz w:val="20"/>
                <w:szCs w:val="20"/>
              </w:rPr>
              <w:t>512</w:t>
            </w:r>
          </w:p>
        </w:tc>
      </w:tr>
      <w:tr w:rsidR="000943CD" w:rsidRPr="00196912" w14:paraId="3473B9DB" w14:textId="77777777" w:rsidTr="005A0FB8">
        <w:trPr>
          <w:trHeight w:val="541"/>
        </w:trPr>
        <w:tc>
          <w:tcPr>
            <w:tcW w:w="2263" w:type="dxa"/>
            <w:hideMark/>
          </w:tcPr>
          <w:p w14:paraId="507F9234" w14:textId="7C378961" w:rsidR="000943CD" w:rsidRPr="00196912" w:rsidRDefault="00ED7C6F" w:rsidP="000943CD">
            <w:pPr>
              <w:spacing w:before="0" w:after="0"/>
              <w:rPr>
                <w:rFonts w:ascii="Arial Narrow" w:hAnsi="Arial Narrow" w:cs="Calibri"/>
                <w:color w:val="000000"/>
                <w:sz w:val="20"/>
                <w:szCs w:val="20"/>
              </w:rPr>
            </w:pPr>
            <w:r w:rsidRPr="00ED7C6F">
              <w:rPr>
                <w:rFonts w:ascii="Arial Narrow" w:hAnsi="Arial Narrow" w:cs="Calibri"/>
                <w:color w:val="000000"/>
                <w:sz w:val="20"/>
                <w:szCs w:val="20"/>
              </w:rPr>
              <w:t>Proportion of patients</w:t>
            </w:r>
            <w:r w:rsidR="000943CD" w:rsidRPr="00196912">
              <w:rPr>
                <w:rFonts w:ascii="Arial Narrow" w:hAnsi="Arial Narrow" w:cs="Calibri"/>
                <w:color w:val="000000"/>
                <w:sz w:val="20"/>
                <w:szCs w:val="20"/>
              </w:rPr>
              <w:t xml:space="preserve"> with NGS result that altered or subclassified their diagnosis per 2016 WHO classification</w:t>
            </w:r>
          </w:p>
        </w:tc>
        <w:tc>
          <w:tcPr>
            <w:tcW w:w="1665" w:type="dxa"/>
            <w:vAlign w:val="center"/>
            <w:hideMark/>
          </w:tcPr>
          <w:p w14:paraId="4918C68E" w14:textId="7F3B8314"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0.093</w:t>
            </w:r>
          </w:p>
        </w:tc>
        <w:tc>
          <w:tcPr>
            <w:tcW w:w="1666" w:type="dxa"/>
            <w:vAlign w:val="center"/>
            <w:hideMark/>
          </w:tcPr>
          <w:p w14:paraId="5686247B" w14:textId="02AB8239"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 </w:t>
            </w:r>
          </w:p>
        </w:tc>
        <w:tc>
          <w:tcPr>
            <w:tcW w:w="1666" w:type="dxa"/>
            <w:vAlign w:val="center"/>
            <w:hideMark/>
          </w:tcPr>
          <w:p w14:paraId="733255ED" w14:textId="25D94E73"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0.093</w:t>
            </w:r>
          </w:p>
        </w:tc>
        <w:tc>
          <w:tcPr>
            <w:tcW w:w="1666" w:type="dxa"/>
            <w:vAlign w:val="center"/>
            <w:hideMark/>
          </w:tcPr>
          <w:p w14:paraId="6D175DBB" w14:textId="677EDC8D" w:rsidR="000943CD" w:rsidRPr="0017335F" w:rsidRDefault="00AF0C3D" w:rsidP="000943CD">
            <w:pPr>
              <w:spacing w:before="0" w:after="0"/>
              <w:rPr>
                <w:rFonts w:ascii="Arial Narrow" w:hAnsi="Arial Narrow" w:cs="Calibri"/>
                <w:color w:val="000000"/>
                <w:sz w:val="20"/>
                <w:szCs w:val="20"/>
              </w:rPr>
            </w:pPr>
            <w:r w:rsidRPr="0017335F">
              <w:rPr>
                <w:rFonts w:ascii="Arial Narrow" w:hAnsi="Arial Narrow" w:cs="Calibri"/>
                <w:color w:val="000000"/>
                <w:sz w:val="20"/>
                <w:szCs w:val="20"/>
              </w:rPr>
              <w:t>$11,7</w:t>
            </w:r>
            <w:r w:rsidR="008430C2" w:rsidRPr="0017335F">
              <w:rPr>
                <w:rFonts w:ascii="Arial Narrow" w:hAnsi="Arial Narrow" w:cs="Calibri"/>
                <w:color w:val="000000"/>
                <w:sz w:val="20"/>
                <w:szCs w:val="20"/>
              </w:rPr>
              <w:t>91</w:t>
            </w:r>
          </w:p>
        </w:tc>
      </w:tr>
      <w:tr w:rsidR="000943CD" w:rsidRPr="00196912" w14:paraId="21FEC9C8" w14:textId="77777777" w:rsidTr="005A0FB8">
        <w:trPr>
          <w:trHeight w:val="317"/>
        </w:trPr>
        <w:tc>
          <w:tcPr>
            <w:tcW w:w="2263" w:type="dxa"/>
            <w:hideMark/>
          </w:tcPr>
          <w:p w14:paraId="56ADE830" w14:textId="7B1DDBB8" w:rsidR="000943CD" w:rsidRPr="00196912" w:rsidRDefault="000943CD" w:rsidP="000943CD">
            <w:pPr>
              <w:pStyle w:val="TableText"/>
            </w:pPr>
            <w:r w:rsidRPr="00ED7C6F">
              <w:t xml:space="preserve">Proportion of patients </w:t>
            </w:r>
            <w:r w:rsidRPr="00196912">
              <w:t xml:space="preserve">where NGS results alter prognosis </w:t>
            </w:r>
          </w:p>
        </w:tc>
        <w:tc>
          <w:tcPr>
            <w:tcW w:w="1665" w:type="dxa"/>
            <w:vAlign w:val="center"/>
            <w:hideMark/>
          </w:tcPr>
          <w:p w14:paraId="68B16D46" w14:textId="5F876A61"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0.615</w:t>
            </w:r>
          </w:p>
        </w:tc>
        <w:tc>
          <w:tcPr>
            <w:tcW w:w="1666" w:type="dxa"/>
            <w:vAlign w:val="center"/>
            <w:hideMark/>
          </w:tcPr>
          <w:p w14:paraId="79BA0F96" w14:textId="1B17E603"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 </w:t>
            </w:r>
          </w:p>
        </w:tc>
        <w:tc>
          <w:tcPr>
            <w:tcW w:w="1666" w:type="dxa"/>
            <w:vAlign w:val="center"/>
            <w:hideMark/>
          </w:tcPr>
          <w:p w14:paraId="71F4E2AD" w14:textId="3EB01FC5"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0.615</w:t>
            </w:r>
          </w:p>
        </w:tc>
        <w:tc>
          <w:tcPr>
            <w:tcW w:w="1666" w:type="dxa"/>
            <w:vAlign w:val="center"/>
            <w:hideMark/>
          </w:tcPr>
          <w:p w14:paraId="5AA90A58" w14:textId="5D3F1A78" w:rsidR="000943CD" w:rsidRPr="0017335F" w:rsidRDefault="00AF0C3D" w:rsidP="000943CD">
            <w:pPr>
              <w:spacing w:before="0" w:after="0"/>
              <w:rPr>
                <w:rFonts w:ascii="Arial Narrow" w:hAnsi="Arial Narrow" w:cs="Calibri"/>
                <w:color w:val="000000"/>
                <w:sz w:val="20"/>
                <w:szCs w:val="20"/>
              </w:rPr>
            </w:pPr>
            <w:r w:rsidRPr="0017335F">
              <w:rPr>
                <w:rFonts w:ascii="Arial Narrow" w:hAnsi="Arial Narrow" w:cs="Calibri"/>
                <w:color w:val="000000"/>
                <w:sz w:val="20"/>
                <w:szCs w:val="20"/>
              </w:rPr>
              <w:t>$1,7</w:t>
            </w:r>
            <w:r w:rsidR="008430C2" w:rsidRPr="0017335F">
              <w:rPr>
                <w:rFonts w:ascii="Arial Narrow" w:hAnsi="Arial Narrow" w:cs="Calibri"/>
                <w:color w:val="000000"/>
                <w:sz w:val="20"/>
                <w:szCs w:val="20"/>
              </w:rPr>
              <w:t>88</w:t>
            </w:r>
          </w:p>
        </w:tc>
      </w:tr>
      <w:tr w:rsidR="000943CD" w:rsidRPr="00196912" w14:paraId="70441D30" w14:textId="77777777" w:rsidTr="005A0FB8">
        <w:trPr>
          <w:trHeight w:val="317"/>
        </w:trPr>
        <w:tc>
          <w:tcPr>
            <w:tcW w:w="2263" w:type="dxa"/>
            <w:hideMark/>
          </w:tcPr>
          <w:p w14:paraId="468FC224" w14:textId="01CA5AB9" w:rsidR="000943CD" w:rsidRPr="00196912" w:rsidRDefault="000943CD" w:rsidP="000943CD">
            <w:pPr>
              <w:pStyle w:val="TableText"/>
            </w:pPr>
            <w:r w:rsidRPr="00196912">
              <w:t>P</w:t>
            </w:r>
            <w:r>
              <w:t>roportion of p</w:t>
            </w:r>
            <w:r w:rsidRPr="00196912">
              <w:t xml:space="preserve">atients </w:t>
            </w:r>
            <w:r>
              <w:t>where i</w:t>
            </w:r>
            <w:r w:rsidRPr="00196912">
              <w:t xml:space="preserve">nitial treatment </w:t>
            </w:r>
            <w:r>
              <w:t xml:space="preserve">commenced then </w:t>
            </w:r>
            <w:r w:rsidRPr="00196912">
              <w:t>changed once NGS results available</w:t>
            </w:r>
          </w:p>
        </w:tc>
        <w:tc>
          <w:tcPr>
            <w:tcW w:w="1665" w:type="dxa"/>
            <w:vAlign w:val="center"/>
            <w:hideMark/>
          </w:tcPr>
          <w:p w14:paraId="1417B9AB" w14:textId="1501252C"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0.350</w:t>
            </w:r>
          </w:p>
        </w:tc>
        <w:tc>
          <w:tcPr>
            <w:tcW w:w="1666" w:type="dxa"/>
            <w:vAlign w:val="center"/>
            <w:hideMark/>
          </w:tcPr>
          <w:p w14:paraId="6D3A9FBF" w14:textId="6FA6AC4B"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 </w:t>
            </w:r>
          </w:p>
        </w:tc>
        <w:tc>
          <w:tcPr>
            <w:tcW w:w="1666" w:type="dxa"/>
            <w:vAlign w:val="center"/>
            <w:hideMark/>
          </w:tcPr>
          <w:p w14:paraId="7D0F5F4A" w14:textId="213C9EAF"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0.350</w:t>
            </w:r>
          </w:p>
        </w:tc>
        <w:tc>
          <w:tcPr>
            <w:tcW w:w="1666" w:type="dxa"/>
            <w:vAlign w:val="center"/>
            <w:hideMark/>
          </w:tcPr>
          <w:p w14:paraId="51C7924B" w14:textId="7B199255" w:rsidR="000943CD" w:rsidRPr="0017335F" w:rsidRDefault="00AF0C3D" w:rsidP="000943CD">
            <w:pPr>
              <w:spacing w:before="0" w:after="0"/>
              <w:rPr>
                <w:rFonts w:ascii="Arial Narrow" w:hAnsi="Arial Narrow" w:cs="Calibri"/>
                <w:color w:val="000000"/>
                <w:sz w:val="20"/>
                <w:szCs w:val="20"/>
              </w:rPr>
            </w:pPr>
            <w:r w:rsidRPr="0017335F">
              <w:rPr>
                <w:rFonts w:ascii="Arial Narrow" w:hAnsi="Arial Narrow" w:cs="Calibri"/>
                <w:color w:val="000000"/>
                <w:sz w:val="20"/>
                <w:szCs w:val="20"/>
              </w:rPr>
              <w:t>$3,1</w:t>
            </w:r>
            <w:r w:rsidR="008430C2" w:rsidRPr="0017335F">
              <w:rPr>
                <w:rFonts w:ascii="Arial Narrow" w:hAnsi="Arial Narrow" w:cs="Calibri"/>
                <w:color w:val="000000"/>
                <w:sz w:val="20"/>
                <w:szCs w:val="20"/>
              </w:rPr>
              <w:t>45</w:t>
            </w:r>
          </w:p>
        </w:tc>
      </w:tr>
      <w:tr w:rsidR="000943CD" w:rsidRPr="00196912" w14:paraId="77A4351B" w14:textId="77777777" w:rsidTr="005A0FB8">
        <w:trPr>
          <w:trHeight w:val="317"/>
        </w:trPr>
        <w:tc>
          <w:tcPr>
            <w:tcW w:w="2263" w:type="dxa"/>
            <w:hideMark/>
          </w:tcPr>
          <w:p w14:paraId="0020A165" w14:textId="68653173" w:rsidR="000943CD" w:rsidRPr="00196912" w:rsidRDefault="00ED7C6F" w:rsidP="000943CD">
            <w:pPr>
              <w:spacing w:before="0" w:after="0"/>
              <w:rPr>
                <w:rFonts w:ascii="Arial Narrow" w:hAnsi="Arial Narrow" w:cs="Calibri"/>
                <w:color w:val="000000"/>
                <w:sz w:val="20"/>
                <w:szCs w:val="20"/>
              </w:rPr>
            </w:pPr>
            <w:r w:rsidRPr="00ED7C6F">
              <w:rPr>
                <w:rFonts w:ascii="Arial Narrow" w:hAnsi="Arial Narrow" w:cs="Calibri"/>
                <w:color w:val="000000"/>
                <w:sz w:val="20"/>
                <w:szCs w:val="20"/>
              </w:rPr>
              <w:t xml:space="preserve">Proportion of </w:t>
            </w:r>
            <w:r w:rsidR="000943CD">
              <w:rPr>
                <w:rFonts w:ascii="Arial Narrow" w:hAnsi="Arial Narrow" w:cs="Calibri"/>
                <w:color w:val="000000"/>
                <w:sz w:val="20"/>
                <w:szCs w:val="20"/>
              </w:rPr>
              <w:t xml:space="preserve">all </w:t>
            </w:r>
            <w:r w:rsidRPr="00ED7C6F">
              <w:rPr>
                <w:rFonts w:ascii="Arial Narrow" w:hAnsi="Arial Narrow" w:cs="Calibri"/>
                <w:color w:val="000000"/>
                <w:sz w:val="20"/>
                <w:szCs w:val="20"/>
              </w:rPr>
              <w:t>patients</w:t>
            </w:r>
            <w:r w:rsidR="000943CD" w:rsidRPr="00196912">
              <w:rPr>
                <w:rFonts w:ascii="Arial Narrow" w:hAnsi="Arial Narrow" w:cs="Calibri"/>
                <w:color w:val="000000"/>
                <w:sz w:val="20"/>
                <w:szCs w:val="20"/>
              </w:rPr>
              <w:t xml:space="preserve"> where treatment offered changed by NGS result (initial or HSCT)</w:t>
            </w:r>
          </w:p>
        </w:tc>
        <w:tc>
          <w:tcPr>
            <w:tcW w:w="1665" w:type="dxa"/>
            <w:vAlign w:val="center"/>
            <w:hideMark/>
          </w:tcPr>
          <w:p w14:paraId="7EDC42FB" w14:textId="43597FEC"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0.350</w:t>
            </w:r>
          </w:p>
        </w:tc>
        <w:tc>
          <w:tcPr>
            <w:tcW w:w="1666" w:type="dxa"/>
            <w:vAlign w:val="center"/>
            <w:hideMark/>
          </w:tcPr>
          <w:p w14:paraId="6302863A" w14:textId="3C3AA1A4"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 </w:t>
            </w:r>
          </w:p>
        </w:tc>
        <w:tc>
          <w:tcPr>
            <w:tcW w:w="1666" w:type="dxa"/>
            <w:vAlign w:val="center"/>
            <w:hideMark/>
          </w:tcPr>
          <w:p w14:paraId="72E44EA3" w14:textId="7C25D9CE"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0.350</w:t>
            </w:r>
          </w:p>
        </w:tc>
        <w:tc>
          <w:tcPr>
            <w:tcW w:w="1666" w:type="dxa"/>
            <w:vAlign w:val="center"/>
            <w:hideMark/>
          </w:tcPr>
          <w:p w14:paraId="3BA9AED0" w14:textId="64BC11BF" w:rsidR="000943CD" w:rsidRPr="0017335F" w:rsidRDefault="00AF0C3D" w:rsidP="000943CD">
            <w:pPr>
              <w:spacing w:before="0" w:after="0"/>
              <w:rPr>
                <w:rFonts w:ascii="Arial Narrow" w:hAnsi="Arial Narrow" w:cs="Calibri"/>
                <w:color w:val="000000"/>
                <w:sz w:val="20"/>
                <w:szCs w:val="20"/>
              </w:rPr>
            </w:pPr>
            <w:r w:rsidRPr="0017335F">
              <w:rPr>
                <w:rFonts w:ascii="Arial Narrow" w:hAnsi="Arial Narrow" w:cs="Calibri"/>
                <w:color w:val="000000"/>
                <w:sz w:val="20"/>
                <w:szCs w:val="20"/>
              </w:rPr>
              <w:t>$3,1</w:t>
            </w:r>
            <w:r w:rsidR="008430C2" w:rsidRPr="0017335F">
              <w:rPr>
                <w:rFonts w:ascii="Arial Narrow" w:hAnsi="Arial Narrow" w:cs="Calibri"/>
                <w:color w:val="000000"/>
                <w:sz w:val="20"/>
                <w:szCs w:val="20"/>
              </w:rPr>
              <w:t>44</w:t>
            </w:r>
          </w:p>
        </w:tc>
      </w:tr>
      <w:tr w:rsidR="000943CD" w:rsidRPr="00196912" w14:paraId="69627745" w14:textId="77777777" w:rsidTr="005A0FB8">
        <w:trPr>
          <w:trHeight w:val="317"/>
        </w:trPr>
        <w:tc>
          <w:tcPr>
            <w:tcW w:w="2263" w:type="dxa"/>
            <w:hideMark/>
          </w:tcPr>
          <w:p w14:paraId="71963AF3" w14:textId="5F98FD67" w:rsidR="000943CD" w:rsidRPr="00196912" w:rsidRDefault="000943CD" w:rsidP="000943CD">
            <w:pPr>
              <w:pStyle w:val="Tabletext0"/>
            </w:pPr>
            <w:r w:rsidRPr="00196912">
              <w:lastRenderedPageBreak/>
              <w:t>Number of treatment decisions altered by NGS result (initial or HSCT)</w:t>
            </w:r>
            <w:r>
              <w:t>/total population</w:t>
            </w:r>
          </w:p>
        </w:tc>
        <w:tc>
          <w:tcPr>
            <w:tcW w:w="1665" w:type="dxa"/>
            <w:vAlign w:val="center"/>
            <w:hideMark/>
          </w:tcPr>
          <w:p w14:paraId="2B607D15" w14:textId="586E2FDC"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0.423</w:t>
            </w:r>
          </w:p>
        </w:tc>
        <w:tc>
          <w:tcPr>
            <w:tcW w:w="1666" w:type="dxa"/>
            <w:vAlign w:val="center"/>
            <w:hideMark/>
          </w:tcPr>
          <w:p w14:paraId="2FAB4B66" w14:textId="25377D98"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 </w:t>
            </w:r>
          </w:p>
        </w:tc>
        <w:tc>
          <w:tcPr>
            <w:tcW w:w="1666" w:type="dxa"/>
            <w:vAlign w:val="center"/>
            <w:hideMark/>
          </w:tcPr>
          <w:p w14:paraId="59784771" w14:textId="4B729E81"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0.423</w:t>
            </w:r>
          </w:p>
        </w:tc>
        <w:tc>
          <w:tcPr>
            <w:tcW w:w="1666" w:type="dxa"/>
            <w:vAlign w:val="center"/>
            <w:hideMark/>
          </w:tcPr>
          <w:p w14:paraId="7659AD83" w14:textId="7C7DDB55" w:rsidR="000943CD" w:rsidRPr="0017335F" w:rsidRDefault="00AF0C3D" w:rsidP="000943CD">
            <w:pPr>
              <w:spacing w:before="0" w:after="0"/>
              <w:rPr>
                <w:rFonts w:ascii="Arial Narrow" w:hAnsi="Arial Narrow" w:cs="Calibri"/>
                <w:color w:val="000000"/>
                <w:sz w:val="20"/>
                <w:szCs w:val="20"/>
              </w:rPr>
            </w:pPr>
            <w:r w:rsidRPr="0017335F">
              <w:rPr>
                <w:rFonts w:ascii="Arial Narrow" w:hAnsi="Arial Narrow" w:cs="Calibri"/>
                <w:color w:val="000000"/>
                <w:sz w:val="20"/>
                <w:szCs w:val="20"/>
              </w:rPr>
              <w:t>$2,</w:t>
            </w:r>
            <w:r w:rsidR="008430C2" w:rsidRPr="0017335F">
              <w:rPr>
                <w:rFonts w:ascii="Arial Narrow" w:hAnsi="Arial Narrow" w:cs="Calibri"/>
                <w:color w:val="000000"/>
                <w:sz w:val="20"/>
                <w:szCs w:val="20"/>
              </w:rPr>
              <w:t>602</w:t>
            </w:r>
          </w:p>
        </w:tc>
      </w:tr>
      <w:tr w:rsidR="000943CD" w:rsidRPr="00196912" w14:paraId="10179CF7" w14:textId="77777777" w:rsidTr="005A0FB8">
        <w:trPr>
          <w:trHeight w:val="523"/>
        </w:trPr>
        <w:tc>
          <w:tcPr>
            <w:tcW w:w="2263" w:type="dxa"/>
            <w:hideMark/>
          </w:tcPr>
          <w:p w14:paraId="01867580" w14:textId="0CA3121C" w:rsidR="000943CD" w:rsidRPr="00196912" w:rsidRDefault="00ED7C6F" w:rsidP="000943CD">
            <w:pPr>
              <w:spacing w:before="0" w:after="0"/>
              <w:rPr>
                <w:rFonts w:ascii="Arial Narrow" w:hAnsi="Arial Narrow" w:cs="Calibri"/>
                <w:color w:val="000000"/>
                <w:sz w:val="20"/>
                <w:szCs w:val="20"/>
              </w:rPr>
            </w:pPr>
            <w:r w:rsidRPr="00ED7C6F">
              <w:rPr>
                <w:rFonts w:ascii="Arial Narrow" w:hAnsi="Arial Narrow" w:cs="Calibri"/>
                <w:color w:val="000000"/>
                <w:sz w:val="20"/>
                <w:szCs w:val="20"/>
              </w:rPr>
              <w:t>Proportion of patients</w:t>
            </w:r>
            <w:r w:rsidR="000943CD" w:rsidRPr="00196912">
              <w:rPr>
                <w:rFonts w:ascii="Arial Narrow" w:hAnsi="Arial Narrow" w:cs="Calibri"/>
                <w:color w:val="000000"/>
                <w:sz w:val="20"/>
                <w:szCs w:val="20"/>
              </w:rPr>
              <w:t xml:space="preserve"> receiving a result that altered diagnosis incl subclassification, prognosis and/or treatment</w:t>
            </w:r>
          </w:p>
        </w:tc>
        <w:tc>
          <w:tcPr>
            <w:tcW w:w="1665" w:type="dxa"/>
            <w:vAlign w:val="center"/>
            <w:hideMark/>
          </w:tcPr>
          <w:p w14:paraId="1E566467" w14:textId="1FD440F9"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0.711</w:t>
            </w:r>
          </w:p>
        </w:tc>
        <w:tc>
          <w:tcPr>
            <w:tcW w:w="1666" w:type="dxa"/>
            <w:vAlign w:val="center"/>
            <w:hideMark/>
          </w:tcPr>
          <w:p w14:paraId="73568009" w14:textId="53719E38"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 </w:t>
            </w:r>
          </w:p>
        </w:tc>
        <w:tc>
          <w:tcPr>
            <w:tcW w:w="1666" w:type="dxa"/>
            <w:vAlign w:val="center"/>
            <w:hideMark/>
          </w:tcPr>
          <w:p w14:paraId="587ABC96" w14:textId="7C365934" w:rsidR="000943CD" w:rsidRPr="00196912" w:rsidRDefault="000943CD" w:rsidP="000943CD">
            <w:pPr>
              <w:spacing w:before="0" w:after="0"/>
              <w:rPr>
                <w:rFonts w:ascii="Arial Narrow" w:hAnsi="Arial Narrow" w:cs="Calibri"/>
                <w:color w:val="000000"/>
                <w:sz w:val="20"/>
                <w:szCs w:val="20"/>
              </w:rPr>
            </w:pPr>
            <w:r>
              <w:rPr>
                <w:rFonts w:ascii="Arial Narrow" w:hAnsi="Arial Narrow" w:cs="Calibri"/>
                <w:color w:val="000000"/>
                <w:sz w:val="20"/>
                <w:szCs w:val="20"/>
              </w:rPr>
              <w:t>0.711</w:t>
            </w:r>
          </w:p>
        </w:tc>
        <w:tc>
          <w:tcPr>
            <w:tcW w:w="1666" w:type="dxa"/>
            <w:vAlign w:val="center"/>
            <w:hideMark/>
          </w:tcPr>
          <w:p w14:paraId="77A1AA85" w14:textId="7DCA2994" w:rsidR="000943CD" w:rsidRPr="0017335F" w:rsidRDefault="00AF0C3D" w:rsidP="000943CD">
            <w:pPr>
              <w:spacing w:before="0" w:after="0"/>
              <w:rPr>
                <w:rFonts w:ascii="Arial Narrow" w:hAnsi="Arial Narrow" w:cs="Calibri"/>
                <w:color w:val="000000"/>
                <w:sz w:val="20"/>
                <w:szCs w:val="20"/>
              </w:rPr>
            </w:pPr>
            <w:r w:rsidRPr="0017335F">
              <w:rPr>
                <w:rFonts w:ascii="Arial Narrow" w:hAnsi="Arial Narrow" w:cs="Calibri"/>
                <w:color w:val="000000"/>
                <w:sz w:val="20"/>
                <w:szCs w:val="20"/>
              </w:rPr>
              <w:t>$1,5</w:t>
            </w:r>
            <w:r w:rsidR="008430C2" w:rsidRPr="0017335F">
              <w:rPr>
                <w:rFonts w:ascii="Arial Narrow" w:hAnsi="Arial Narrow" w:cs="Calibri"/>
                <w:color w:val="000000"/>
                <w:sz w:val="20"/>
                <w:szCs w:val="20"/>
              </w:rPr>
              <w:t>46</w:t>
            </w:r>
          </w:p>
        </w:tc>
      </w:tr>
    </w:tbl>
    <w:p w14:paraId="2AE8697B" w14:textId="626527FE" w:rsidR="005A0FB8" w:rsidRDefault="005A0FB8" w:rsidP="00647581">
      <w:pPr>
        <w:pStyle w:val="TableFooter"/>
      </w:pPr>
      <w:r>
        <w:t>Source DCAR calculations was updated based on MSAC’s advice</w:t>
      </w:r>
    </w:p>
    <w:p w14:paraId="7527645D" w14:textId="50320B4D" w:rsidR="00DC4F7F" w:rsidRDefault="000D6834" w:rsidP="00647581">
      <w:pPr>
        <w:pStyle w:val="TableFooter"/>
      </w:pPr>
      <w:r>
        <w:t>*An individual patient may have more than one informative variant, and a single variant may be informative across more than one domain so the total may exceed 100%</w:t>
      </w:r>
    </w:p>
    <w:p w14:paraId="6AB592D0" w14:textId="103F9E27" w:rsidR="00DC4F7F" w:rsidRDefault="00DC4F7F" w:rsidP="00DC4F7F">
      <w:r>
        <w:t>The small proportion</w:t>
      </w:r>
      <w:r w:rsidR="00AE718D">
        <w:t xml:space="preserve"> (just under 2%)</w:t>
      </w:r>
      <w:r>
        <w:t xml:space="preserve"> of patients who had a complete change in their diagnosis has resulted in a large ICER for this domain, although </w:t>
      </w:r>
      <w:r w:rsidR="00206420">
        <w:t>the ICER decreases</w:t>
      </w:r>
      <w:r>
        <w:t xml:space="preserve"> when refinements of the diagnosis based on detect</w:t>
      </w:r>
      <w:r w:rsidR="00AE718D">
        <w:t>i</w:t>
      </w:r>
      <w:r>
        <w:t xml:space="preserve">on of gene variants are included. </w:t>
      </w:r>
      <w:r w:rsidR="00AE718D">
        <w:t xml:space="preserve">The ICER for the alteration/refinement in diagnosis in the studies by Patel and Carbonell et al (2019) below are similar which supports that this is a robust finding. </w:t>
      </w:r>
      <w:r>
        <w:t>This reflects that the absolute changes in diagnosis are uncommon as the clinic</w:t>
      </w:r>
      <w:r w:rsidR="007E68A8">
        <w:t>al</w:t>
      </w:r>
      <w:r>
        <w:t xml:space="preserve"> characteristics</w:t>
      </w:r>
      <w:r w:rsidR="007E68A8">
        <w:t xml:space="preserve"> and morphological analysis</w:t>
      </w:r>
      <w:r>
        <w:t xml:space="preserve"> </w:t>
      </w:r>
      <w:r w:rsidR="00AE718D">
        <w:t>in m</w:t>
      </w:r>
      <w:r w:rsidR="00B012B3">
        <w:t>ost</w:t>
      </w:r>
      <w:r w:rsidR="00AE718D">
        <w:t xml:space="preserve"> cases </w:t>
      </w:r>
      <w:r w:rsidR="00DE4FC7">
        <w:t>can broadly categorise</w:t>
      </w:r>
      <w:r w:rsidR="00AE718D">
        <w:t xml:space="preserve"> myeloid </w:t>
      </w:r>
      <w:proofErr w:type="gramStart"/>
      <w:r w:rsidR="00AE718D">
        <w:t>malignancies, but</w:t>
      </w:r>
      <w:proofErr w:type="gramEnd"/>
      <w:r w:rsidR="00AE718D">
        <w:t xml:space="preserve"> are insufficient to fully characterise the condition. </w:t>
      </w:r>
      <w:r>
        <w:t xml:space="preserve"> </w:t>
      </w:r>
      <w:r w:rsidR="00AE718D">
        <w:t xml:space="preserve">Nonetheless, </w:t>
      </w:r>
      <w:r w:rsidR="007D4D55">
        <w:t xml:space="preserve">the context is important, and </w:t>
      </w:r>
      <w:r w:rsidR="00AE718D">
        <w:t xml:space="preserve">overturning a diagnosis of a haematological cancer is a </w:t>
      </w:r>
      <w:r w:rsidR="001D4D3E">
        <w:t>critical</w:t>
      </w:r>
      <w:r w:rsidR="00AE718D">
        <w:t xml:space="preserve"> benefit to the patient </w:t>
      </w:r>
      <w:r w:rsidR="001D4D3E">
        <w:t>and potentially represents a significant benefit to</w:t>
      </w:r>
      <w:r w:rsidR="00AE718D">
        <w:t xml:space="preserve"> the healthcare system. With </w:t>
      </w:r>
      <w:r w:rsidR="00D5388D">
        <w:t xml:space="preserve">the changes in </w:t>
      </w:r>
      <w:r w:rsidR="00AE718D">
        <w:t>WHO HAEM5, refinements in the diagnosis will be much more common as there are many new entities defined by genetic changes, particularly those associated with germline variants.</w:t>
      </w:r>
    </w:p>
    <w:p w14:paraId="5353AD7F" w14:textId="5CEE6CD0" w:rsidR="00CF0F58" w:rsidRDefault="00CF0F58" w:rsidP="00CF0F58">
      <w:pPr>
        <w:pStyle w:val="Heading5"/>
      </w:pPr>
      <w:r>
        <w:t>Carbonell et al 2019 Use of a myeloid NGS panel after cytogenetic testing</w:t>
      </w:r>
      <w:r w:rsidR="00347507">
        <w:t xml:space="preserve"> </w:t>
      </w:r>
    </w:p>
    <w:p w14:paraId="624090A4" w14:textId="4C2B966B" w:rsidR="00CF0F58" w:rsidRDefault="00CF0F58" w:rsidP="00CF0F58">
      <w:pPr>
        <w:pStyle w:val="Caption"/>
      </w:pPr>
      <w:r>
        <w:t xml:space="preserve">Table </w:t>
      </w:r>
      <w:fldSimple w:instr=" SEQ Table \* ARABIC ">
        <w:r w:rsidR="00A165AD">
          <w:rPr>
            <w:noProof/>
          </w:rPr>
          <w:t>16</w:t>
        </w:r>
      </w:fldSimple>
      <w:r w:rsidRPr="00872436">
        <w:t xml:space="preserve"> </w:t>
      </w:r>
      <w:r w:rsidRPr="001544CA">
        <w:t xml:space="preserve">Cost effectiveness of NGS testing with a myeloid panel in patients with a suspected haematological malignancy per </w:t>
      </w:r>
      <w:r w:rsidR="00FD12C0">
        <w:t xml:space="preserve">outcomes reported in </w:t>
      </w:r>
      <w:r>
        <w:t>Carbonell et al</w:t>
      </w:r>
      <w:r w:rsidRPr="001544CA">
        <w:t xml:space="preserve"> (20</w:t>
      </w:r>
      <w:r>
        <w:t>19</w:t>
      </w:r>
      <w:r w:rsidRPr="001544CA">
        <w:t>)</w:t>
      </w:r>
      <w:r>
        <w:t xml:space="preserve"> </w:t>
      </w:r>
      <w:r w:rsidR="00FD12C0">
        <w:t xml:space="preserve">at the </w:t>
      </w:r>
      <w:r w:rsidR="00FD12C0" w:rsidRPr="0017335F">
        <w:t>MSAC supported fee of $1,100 for DNA and RNA testing</w:t>
      </w:r>
    </w:p>
    <w:tbl>
      <w:tblPr>
        <w:tblStyle w:val="TableGrid1"/>
        <w:tblW w:w="5000" w:type="pct"/>
        <w:tblLook w:val="04A0" w:firstRow="1" w:lastRow="0" w:firstColumn="1" w:lastColumn="0" w:noHBand="0" w:noVBand="1"/>
      </w:tblPr>
      <w:tblGrid>
        <w:gridCol w:w="3566"/>
        <w:gridCol w:w="1311"/>
        <w:gridCol w:w="1203"/>
        <w:gridCol w:w="1203"/>
        <w:gridCol w:w="1733"/>
      </w:tblGrid>
      <w:tr w:rsidR="00CF0F58" w14:paraId="3B37BC7C" w14:textId="77777777" w:rsidTr="005A0FB8">
        <w:trPr>
          <w:cnfStyle w:val="100000000000" w:firstRow="1" w:lastRow="0" w:firstColumn="0" w:lastColumn="0" w:oddVBand="0" w:evenVBand="0" w:oddHBand="0" w:evenHBand="0" w:firstRowFirstColumn="0" w:firstRowLastColumn="0" w:lastRowFirstColumn="0" w:lastRowLastColumn="0"/>
          <w:trHeight w:val="1167"/>
        </w:trPr>
        <w:tc>
          <w:tcPr>
            <w:tcW w:w="1978" w:type="pct"/>
            <w:shd w:val="clear" w:color="auto" w:fill="auto"/>
            <w:vAlign w:val="center"/>
            <w:hideMark/>
          </w:tcPr>
          <w:p w14:paraId="61F9BFBD" w14:textId="793D3CCC" w:rsidR="00CF0F58" w:rsidRDefault="004E1555" w:rsidP="00947725">
            <w:pPr>
              <w:spacing w:before="0" w:after="0"/>
              <w:rPr>
                <w:rFonts w:ascii="Arial Narrow" w:hAnsi="Arial Narrow" w:cs="Calibri"/>
                <w:b/>
                <w:bCs/>
                <w:color w:val="000000"/>
                <w:szCs w:val="20"/>
              </w:rPr>
            </w:pPr>
            <w:r>
              <w:rPr>
                <w:rFonts w:ascii="Arial Narrow" w:hAnsi="Arial Narrow" w:cs="Calibri"/>
                <w:b/>
                <w:bCs/>
                <w:color w:val="000000"/>
                <w:szCs w:val="20"/>
              </w:rPr>
              <w:t>Carbonell et al (2019) NGS panel testing of myeloid neoplasms after cytogenetic testing</w:t>
            </w:r>
          </w:p>
        </w:tc>
        <w:tc>
          <w:tcPr>
            <w:tcW w:w="727" w:type="pct"/>
            <w:shd w:val="clear" w:color="auto" w:fill="auto"/>
            <w:vAlign w:val="center"/>
            <w:hideMark/>
          </w:tcPr>
          <w:p w14:paraId="631E1EFE" w14:textId="77777777" w:rsidR="000F723E" w:rsidRDefault="000F723E" w:rsidP="000F723E">
            <w:pPr>
              <w:pStyle w:val="In-tableHeading"/>
            </w:pPr>
            <w:r>
              <w:t>54-gene NGS panel</w:t>
            </w:r>
          </w:p>
          <w:p w14:paraId="681E177E" w14:textId="3689E4DF" w:rsidR="00CF0F58" w:rsidRDefault="00CF0F58" w:rsidP="00947725">
            <w:pPr>
              <w:spacing w:before="0" w:after="0"/>
              <w:jc w:val="center"/>
              <w:rPr>
                <w:rFonts w:ascii="Arial Narrow" w:hAnsi="Arial Narrow" w:cs="Calibri"/>
                <w:b/>
                <w:bCs/>
                <w:color w:val="000000"/>
                <w:szCs w:val="20"/>
              </w:rPr>
            </w:pPr>
          </w:p>
        </w:tc>
        <w:tc>
          <w:tcPr>
            <w:tcW w:w="667" w:type="pct"/>
            <w:shd w:val="clear" w:color="auto" w:fill="auto"/>
            <w:vAlign w:val="center"/>
            <w:hideMark/>
          </w:tcPr>
          <w:p w14:paraId="65783CF9" w14:textId="41065CC7" w:rsidR="00CF0F58" w:rsidRDefault="00CF0F58" w:rsidP="00947725">
            <w:pPr>
              <w:jc w:val="center"/>
              <w:rPr>
                <w:rFonts w:ascii="Arial Narrow" w:hAnsi="Arial Narrow" w:cs="Calibri"/>
                <w:b/>
                <w:bCs/>
                <w:color w:val="000000"/>
                <w:szCs w:val="20"/>
              </w:rPr>
            </w:pPr>
            <w:r>
              <w:rPr>
                <w:rFonts w:ascii="Arial Narrow" w:hAnsi="Arial Narrow" w:cs="Calibri"/>
                <w:b/>
                <w:bCs/>
                <w:color w:val="000000"/>
                <w:szCs w:val="20"/>
              </w:rPr>
              <w:t>Comparator (no NGS)</w:t>
            </w:r>
          </w:p>
        </w:tc>
        <w:tc>
          <w:tcPr>
            <w:tcW w:w="667" w:type="pct"/>
            <w:shd w:val="clear" w:color="auto" w:fill="auto"/>
            <w:vAlign w:val="center"/>
            <w:hideMark/>
          </w:tcPr>
          <w:p w14:paraId="50C8147E" w14:textId="77777777" w:rsidR="00CF0F58" w:rsidRDefault="00CF0F58" w:rsidP="00947725">
            <w:pPr>
              <w:jc w:val="center"/>
              <w:rPr>
                <w:rFonts w:ascii="Arial Narrow" w:hAnsi="Arial Narrow" w:cs="Calibri"/>
                <w:b/>
                <w:bCs/>
                <w:color w:val="000000"/>
                <w:szCs w:val="20"/>
              </w:rPr>
            </w:pPr>
            <w:r>
              <w:rPr>
                <w:rFonts w:ascii="Arial Narrow" w:hAnsi="Arial Narrow" w:cs="Calibri"/>
                <w:b/>
                <w:bCs/>
                <w:color w:val="000000"/>
                <w:szCs w:val="20"/>
              </w:rPr>
              <w:t>Increment</w:t>
            </w:r>
          </w:p>
        </w:tc>
        <w:tc>
          <w:tcPr>
            <w:tcW w:w="962" w:type="pct"/>
            <w:shd w:val="clear" w:color="auto" w:fill="auto"/>
            <w:vAlign w:val="center"/>
            <w:hideMark/>
          </w:tcPr>
          <w:p w14:paraId="26C6FF2A" w14:textId="60C1C4DC" w:rsidR="00CF0F58" w:rsidRPr="0017335F" w:rsidRDefault="0017335F" w:rsidP="00947725">
            <w:pPr>
              <w:jc w:val="center"/>
              <w:rPr>
                <w:rFonts w:ascii="Arial Narrow" w:hAnsi="Arial Narrow" w:cs="Calibri"/>
                <w:b/>
                <w:bCs/>
                <w:color w:val="000000"/>
                <w:szCs w:val="20"/>
              </w:rPr>
            </w:pPr>
            <w:r w:rsidRPr="0017335F">
              <w:rPr>
                <w:rFonts w:ascii="Arial Narrow" w:hAnsi="Arial Narrow" w:cs="Calibri"/>
                <w:b/>
                <w:bCs/>
                <w:color w:val="000000"/>
                <w:szCs w:val="20"/>
              </w:rPr>
              <w:t>MSAC supported fee of $1,100 for DNA and RNA testing</w:t>
            </w:r>
          </w:p>
        </w:tc>
      </w:tr>
      <w:tr w:rsidR="005437E7" w14:paraId="22468AC0" w14:textId="77777777" w:rsidTr="005A0FB8">
        <w:trPr>
          <w:trHeight w:val="340"/>
        </w:trPr>
        <w:tc>
          <w:tcPr>
            <w:tcW w:w="1978" w:type="pct"/>
            <w:shd w:val="clear" w:color="auto" w:fill="auto"/>
            <w:vAlign w:val="center"/>
            <w:hideMark/>
          </w:tcPr>
          <w:p w14:paraId="6446ACCC" w14:textId="77777777" w:rsidR="005437E7" w:rsidRDefault="005437E7" w:rsidP="005437E7">
            <w:pPr>
              <w:jc w:val="left"/>
              <w:rPr>
                <w:rFonts w:ascii="Arial Narrow" w:hAnsi="Arial Narrow" w:cs="Calibri"/>
                <w:color w:val="000000"/>
                <w:szCs w:val="20"/>
              </w:rPr>
            </w:pPr>
            <w:r>
              <w:rPr>
                <w:rFonts w:ascii="Arial Narrow" w:hAnsi="Arial Narrow" w:cs="Calibri"/>
                <w:color w:val="000000"/>
                <w:szCs w:val="20"/>
              </w:rPr>
              <w:t>Cost of testing</w:t>
            </w:r>
          </w:p>
        </w:tc>
        <w:tc>
          <w:tcPr>
            <w:tcW w:w="727" w:type="pct"/>
            <w:shd w:val="clear" w:color="auto" w:fill="auto"/>
            <w:vAlign w:val="center"/>
            <w:hideMark/>
          </w:tcPr>
          <w:p w14:paraId="06600074" w14:textId="04AA132D" w:rsidR="005437E7" w:rsidRPr="0017335F" w:rsidRDefault="002E6C2E" w:rsidP="005437E7">
            <w:pPr>
              <w:jc w:val="center"/>
              <w:rPr>
                <w:rFonts w:ascii="Arial Narrow" w:hAnsi="Arial Narrow" w:cs="Calibri"/>
                <w:color w:val="000000"/>
                <w:szCs w:val="20"/>
              </w:rPr>
            </w:pPr>
            <w:r w:rsidRPr="0017335F">
              <w:rPr>
                <w:rFonts w:ascii="Arial Narrow" w:hAnsi="Arial Narrow" w:cs="Calibri"/>
                <w:color w:val="000000"/>
                <w:szCs w:val="20"/>
              </w:rPr>
              <w:t>$1,100</w:t>
            </w:r>
            <w:r w:rsidR="005437E7" w:rsidRPr="0017335F">
              <w:rPr>
                <w:rFonts w:ascii="Arial Narrow" w:hAnsi="Arial Narrow" w:cs="Calibri"/>
                <w:color w:val="000000"/>
                <w:szCs w:val="20"/>
              </w:rPr>
              <w:t xml:space="preserve"> </w:t>
            </w:r>
          </w:p>
        </w:tc>
        <w:tc>
          <w:tcPr>
            <w:tcW w:w="667" w:type="pct"/>
            <w:shd w:val="clear" w:color="auto" w:fill="auto"/>
            <w:vAlign w:val="center"/>
            <w:hideMark/>
          </w:tcPr>
          <w:p w14:paraId="2BFE1CA9" w14:textId="2B5535C3" w:rsidR="005437E7" w:rsidRPr="0017335F" w:rsidRDefault="003C1F8F" w:rsidP="005437E7">
            <w:pPr>
              <w:jc w:val="center"/>
              <w:rPr>
                <w:rFonts w:ascii="Arial Narrow" w:hAnsi="Arial Narrow" w:cs="Calibri"/>
                <w:color w:val="000000"/>
                <w:szCs w:val="20"/>
              </w:rPr>
            </w:pPr>
            <w:r w:rsidRPr="0017335F">
              <w:rPr>
                <w:rFonts w:ascii="Arial Narrow" w:hAnsi="Arial Narrow" w:cs="Calibri"/>
                <w:color w:val="000000"/>
                <w:szCs w:val="20"/>
              </w:rPr>
              <w:t>$</w:t>
            </w:r>
            <w:r w:rsidR="005437E7" w:rsidRPr="0017335F">
              <w:rPr>
                <w:rFonts w:ascii="Arial Narrow" w:hAnsi="Arial Narrow" w:cs="Calibri"/>
                <w:color w:val="000000"/>
                <w:szCs w:val="20"/>
              </w:rPr>
              <w:t>0</w:t>
            </w:r>
          </w:p>
        </w:tc>
        <w:tc>
          <w:tcPr>
            <w:tcW w:w="667" w:type="pct"/>
            <w:shd w:val="clear" w:color="auto" w:fill="auto"/>
            <w:vAlign w:val="center"/>
            <w:hideMark/>
          </w:tcPr>
          <w:p w14:paraId="4E9E53EA" w14:textId="0BAE645E" w:rsidR="002E6C2E" w:rsidRPr="0017335F" w:rsidRDefault="002E6C2E" w:rsidP="005437E7">
            <w:pPr>
              <w:jc w:val="center"/>
              <w:rPr>
                <w:rFonts w:ascii="Arial Narrow" w:hAnsi="Arial Narrow" w:cs="Calibri"/>
                <w:color w:val="000000"/>
                <w:szCs w:val="20"/>
              </w:rPr>
            </w:pPr>
            <w:r w:rsidRPr="0017335F">
              <w:rPr>
                <w:rFonts w:ascii="Arial Narrow" w:hAnsi="Arial Narrow" w:cs="Calibri"/>
                <w:color w:val="000000"/>
                <w:szCs w:val="20"/>
              </w:rPr>
              <w:t>$1,100</w:t>
            </w:r>
          </w:p>
        </w:tc>
        <w:tc>
          <w:tcPr>
            <w:tcW w:w="962" w:type="pct"/>
            <w:shd w:val="clear" w:color="auto" w:fill="auto"/>
            <w:vAlign w:val="center"/>
            <w:hideMark/>
          </w:tcPr>
          <w:p w14:paraId="2B060DA7" w14:textId="6C343EAC" w:rsidR="005437E7" w:rsidRPr="0017335F" w:rsidRDefault="005437E7" w:rsidP="005437E7">
            <w:pPr>
              <w:jc w:val="center"/>
              <w:rPr>
                <w:rFonts w:ascii="Arial Narrow" w:hAnsi="Arial Narrow" w:cs="Calibri"/>
                <w:color w:val="000000"/>
                <w:szCs w:val="20"/>
              </w:rPr>
            </w:pPr>
            <w:r w:rsidRPr="0017335F">
              <w:rPr>
                <w:rFonts w:ascii="Arial Narrow" w:hAnsi="Arial Narrow" w:cs="Calibri"/>
                <w:color w:val="000000"/>
                <w:szCs w:val="20"/>
              </w:rPr>
              <w:t> </w:t>
            </w:r>
            <w:r w:rsidR="003C1F8F" w:rsidRPr="0017335F">
              <w:rPr>
                <w:rFonts w:ascii="Arial Narrow" w:hAnsi="Arial Narrow" w:cs="Calibri"/>
                <w:color w:val="000000"/>
                <w:szCs w:val="20"/>
              </w:rPr>
              <w:t>-</w:t>
            </w:r>
          </w:p>
        </w:tc>
      </w:tr>
      <w:tr w:rsidR="005437E7" w14:paraId="0303C784" w14:textId="77777777" w:rsidTr="005A0FB8">
        <w:trPr>
          <w:trHeight w:val="340"/>
        </w:trPr>
        <w:tc>
          <w:tcPr>
            <w:tcW w:w="1978" w:type="pct"/>
            <w:shd w:val="clear" w:color="auto" w:fill="auto"/>
            <w:vAlign w:val="center"/>
            <w:hideMark/>
          </w:tcPr>
          <w:p w14:paraId="07459B61" w14:textId="77777777" w:rsidR="005437E7" w:rsidRPr="00EA6692" w:rsidRDefault="005437E7" w:rsidP="005437E7">
            <w:pPr>
              <w:jc w:val="left"/>
              <w:rPr>
                <w:rFonts w:ascii="Arial Narrow" w:hAnsi="Arial Narrow" w:cs="Calibri"/>
                <w:b/>
                <w:bCs/>
                <w:color w:val="000000"/>
                <w:szCs w:val="20"/>
              </w:rPr>
            </w:pPr>
            <w:r w:rsidRPr="00EA6692">
              <w:rPr>
                <w:rFonts w:ascii="Arial Narrow" w:hAnsi="Arial Narrow" w:cs="Calibri"/>
                <w:b/>
                <w:bCs/>
                <w:color w:val="000000"/>
                <w:szCs w:val="20"/>
              </w:rPr>
              <w:t>Effectiveness measures at initial diagnosis</w:t>
            </w:r>
          </w:p>
        </w:tc>
        <w:tc>
          <w:tcPr>
            <w:tcW w:w="727" w:type="pct"/>
            <w:shd w:val="clear" w:color="auto" w:fill="auto"/>
            <w:vAlign w:val="center"/>
            <w:hideMark/>
          </w:tcPr>
          <w:p w14:paraId="1466917D" w14:textId="4509D14D" w:rsidR="005437E7" w:rsidRDefault="005437E7" w:rsidP="005437E7">
            <w:pPr>
              <w:jc w:val="center"/>
              <w:rPr>
                <w:rFonts w:ascii="Arial Narrow" w:hAnsi="Arial Narrow" w:cs="Calibri"/>
                <w:color w:val="000000"/>
                <w:szCs w:val="20"/>
              </w:rPr>
            </w:pPr>
            <w:r>
              <w:rPr>
                <w:rFonts w:ascii="Arial Narrow" w:hAnsi="Arial Narrow" w:cs="Calibri"/>
                <w:color w:val="000000"/>
                <w:szCs w:val="20"/>
              </w:rPr>
              <w:t> </w:t>
            </w:r>
          </w:p>
        </w:tc>
        <w:tc>
          <w:tcPr>
            <w:tcW w:w="667" w:type="pct"/>
            <w:shd w:val="clear" w:color="auto" w:fill="auto"/>
            <w:vAlign w:val="center"/>
            <w:hideMark/>
          </w:tcPr>
          <w:p w14:paraId="3DE81332" w14:textId="77777777" w:rsidR="005437E7" w:rsidRDefault="005437E7" w:rsidP="005437E7">
            <w:pPr>
              <w:jc w:val="center"/>
              <w:rPr>
                <w:rFonts w:ascii="Arial Narrow" w:hAnsi="Arial Narrow" w:cs="Calibri"/>
                <w:color w:val="000000"/>
                <w:szCs w:val="20"/>
              </w:rPr>
            </w:pPr>
            <w:r>
              <w:rPr>
                <w:rFonts w:ascii="Arial Narrow" w:hAnsi="Arial Narrow" w:cs="Calibri"/>
                <w:color w:val="000000"/>
                <w:szCs w:val="20"/>
              </w:rPr>
              <w:t> </w:t>
            </w:r>
          </w:p>
        </w:tc>
        <w:tc>
          <w:tcPr>
            <w:tcW w:w="667" w:type="pct"/>
            <w:shd w:val="clear" w:color="auto" w:fill="auto"/>
            <w:vAlign w:val="center"/>
            <w:hideMark/>
          </w:tcPr>
          <w:p w14:paraId="0B353424" w14:textId="77777777" w:rsidR="005437E7" w:rsidRDefault="005437E7" w:rsidP="005437E7">
            <w:pPr>
              <w:rPr>
                <w:rFonts w:ascii="Arial Narrow" w:hAnsi="Arial Narrow" w:cs="Calibri"/>
                <w:color w:val="000000"/>
                <w:szCs w:val="20"/>
              </w:rPr>
            </w:pPr>
            <w:r>
              <w:rPr>
                <w:rFonts w:ascii="Arial Narrow" w:hAnsi="Arial Narrow" w:cs="Calibri"/>
                <w:color w:val="000000"/>
                <w:szCs w:val="20"/>
              </w:rPr>
              <w:t> </w:t>
            </w:r>
          </w:p>
        </w:tc>
        <w:tc>
          <w:tcPr>
            <w:tcW w:w="962" w:type="pct"/>
            <w:shd w:val="clear" w:color="auto" w:fill="auto"/>
            <w:vAlign w:val="center"/>
            <w:hideMark/>
          </w:tcPr>
          <w:p w14:paraId="131E0DCA" w14:textId="77777777" w:rsidR="005437E7" w:rsidRPr="0017335F" w:rsidRDefault="005437E7" w:rsidP="005437E7">
            <w:pPr>
              <w:rPr>
                <w:rFonts w:ascii="Arial Narrow" w:hAnsi="Arial Narrow" w:cs="Calibri"/>
                <w:color w:val="000000"/>
                <w:szCs w:val="20"/>
              </w:rPr>
            </w:pPr>
            <w:r w:rsidRPr="0017335F">
              <w:rPr>
                <w:rFonts w:ascii="Arial Narrow" w:hAnsi="Arial Narrow" w:cs="Calibri"/>
                <w:color w:val="000000"/>
                <w:szCs w:val="20"/>
              </w:rPr>
              <w:t> </w:t>
            </w:r>
          </w:p>
        </w:tc>
      </w:tr>
      <w:tr w:rsidR="000943CD" w14:paraId="15EF419F" w14:textId="77777777" w:rsidTr="005A0FB8">
        <w:trPr>
          <w:trHeight w:val="340"/>
        </w:trPr>
        <w:tc>
          <w:tcPr>
            <w:tcW w:w="1978" w:type="pct"/>
            <w:shd w:val="clear" w:color="auto" w:fill="auto"/>
            <w:vAlign w:val="center"/>
            <w:hideMark/>
          </w:tcPr>
          <w:p w14:paraId="4309D138" w14:textId="5D7B4688" w:rsidR="000943CD" w:rsidRDefault="000943CD" w:rsidP="000943CD">
            <w:pPr>
              <w:jc w:val="left"/>
              <w:rPr>
                <w:rFonts w:ascii="Arial Narrow" w:hAnsi="Arial Narrow" w:cs="Calibri"/>
                <w:color w:val="000000"/>
                <w:szCs w:val="20"/>
              </w:rPr>
            </w:pPr>
            <w:r>
              <w:rPr>
                <w:rFonts w:ascii="Arial Narrow" w:hAnsi="Arial Narrow" w:cs="Calibri"/>
                <w:color w:val="000000"/>
                <w:szCs w:val="20"/>
              </w:rPr>
              <w:t xml:space="preserve">Proportion of patients where NGS identified ≥1 clinically significant variants </w:t>
            </w:r>
          </w:p>
        </w:tc>
        <w:tc>
          <w:tcPr>
            <w:tcW w:w="727" w:type="pct"/>
            <w:shd w:val="clear" w:color="auto" w:fill="auto"/>
            <w:vAlign w:val="center"/>
            <w:hideMark/>
          </w:tcPr>
          <w:p w14:paraId="6AAC2903" w14:textId="2E283E7A"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0.843</w:t>
            </w:r>
          </w:p>
        </w:tc>
        <w:tc>
          <w:tcPr>
            <w:tcW w:w="667" w:type="pct"/>
            <w:shd w:val="clear" w:color="auto" w:fill="auto"/>
            <w:vAlign w:val="center"/>
            <w:hideMark/>
          </w:tcPr>
          <w:p w14:paraId="69AE367F" w14:textId="77777777"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w:t>
            </w:r>
          </w:p>
        </w:tc>
        <w:tc>
          <w:tcPr>
            <w:tcW w:w="667" w:type="pct"/>
            <w:shd w:val="clear" w:color="auto" w:fill="auto"/>
            <w:vAlign w:val="center"/>
            <w:hideMark/>
          </w:tcPr>
          <w:p w14:paraId="5B6DA13E" w14:textId="3660CAEE"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0.843</w:t>
            </w:r>
          </w:p>
        </w:tc>
        <w:tc>
          <w:tcPr>
            <w:tcW w:w="962" w:type="pct"/>
            <w:shd w:val="clear" w:color="auto" w:fill="auto"/>
            <w:vAlign w:val="center"/>
            <w:hideMark/>
          </w:tcPr>
          <w:p w14:paraId="17CFB213" w14:textId="5BCB0EF2" w:rsidR="000943CD" w:rsidRPr="0017335F" w:rsidRDefault="00AF0C3D" w:rsidP="000943CD">
            <w:pPr>
              <w:jc w:val="center"/>
              <w:rPr>
                <w:rFonts w:ascii="Arial Narrow" w:hAnsi="Arial Narrow" w:cs="Calibri"/>
                <w:color w:val="000000"/>
                <w:szCs w:val="20"/>
              </w:rPr>
            </w:pPr>
            <w:r w:rsidRPr="0017335F">
              <w:rPr>
                <w:rFonts w:ascii="Arial Narrow" w:hAnsi="Arial Narrow" w:cs="Calibri"/>
                <w:color w:val="000000"/>
                <w:szCs w:val="20"/>
              </w:rPr>
              <w:t>$1,</w:t>
            </w:r>
            <w:r w:rsidR="008430C2" w:rsidRPr="0017335F">
              <w:rPr>
                <w:rFonts w:ascii="Arial Narrow" w:hAnsi="Arial Narrow" w:cs="Calibri"/>
                <w:color w:val="000000"/>
                <w:szCs w:val="20"/>
              </w:rPr>
              <w:t>305</w:t>
            </w:r>
          </w:p>
        </w:tc>
      </w:tr>
      <w:tr w:rsidR="000943CD" w14:paraId="56EE9EC2" w14:textId="77777777" w:rsidTr="005A0FB8">
        <w:trPr>
          <w:trHeight w:val="580"/>
        </w:trPr>
        <w:tc>
          <w:tcPr>
            <w:tcW w:w="1978" w:type="pct"/>
            <w:shd w:val="clear" w:color="auto" w:fill="auto"/>
            <w:vAlign w:val="center"/>
            <w:hideMark/>
          </w:tcPr>
          <w:p w14:paraId="16B52584" w14:textId="0A28A79E" w:rsidR="000943CD" w:rsidRDefault="000943CD" w:rsidP="000943CD">
            <w:pPr>
              <w:jc w:val="left"/>
              <w:rPr>
                <w:rFonts w:ascii="Arial Narrow" w:hAnsi="Arial Narrow" w:cs="Calibri"/>
                <w:color w:val="000000"/>
                <w:szCs w:val="20"/>
              </w:rPr>
            </w:pPr>
            <w:r>
              <w:rPr>
                <w:rFonts w:ascii="Arial Narrow" w:hAnsi="Arial Narrow" w:cs="Calibri"/>
                <w:color w:val="000000"/>
                <w:szCs w:val="20"/>
              </w:rPr>
              <w:t>Proportion of patients with NGS result that altered or refined/confirmed their diagnosis per 2016 WHO classification</w:t>
            </w:r>
          </w:p>
        </w:tc>
        <w:tc>
          <w:tcPr>
            <w:tcW w:w="727" w:type="pct"/>
            <w:shd w:val="clear" w:color="auto" w:fill="auto"/>
            <w:vAlign w:val="center"/>
            <w:hideMark/>
          </w:tcPr>
          <w:p w14:paraId="3E6CE7A2" w14:textId="47B9367E"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0.058</w:t>
            </w:r>
          </w:p>
        </w:tc>
        <w:tc>
          <w:tcPr>
            <w:tcW w:w="667" w:type="pct"/>
            <w:shd w:val="clear" w:color="auto" w:fill="auto"/>
            <w:vAlign w:val="center"/>
            <w:hideMark/>
          </w:tcPr>
          <w:p w14:paraId="72FF11E8" w14:textId="77777777"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w:t>
            </w:r>
          </w:p>
        </w:tc>
        <w:tc>
          <w:tcPr>
            <w:tcW w:w="667" w:type="pct"/>
            <w:shd w:val="clear" w:color="auto" w:fill="auto"/>
            <w:vAlign w:val="center"/>
            <w:hideMark/>
          </w:tcPr>
          <w:p w14:paraId="3E5EEC3D" w14:textId="08AB151A"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0.058</w:t>
            </w:r>
          </w:p>
        </w:tc>
        <w:tc>
          <w:tcPr>
            <w:tcW w:w="962" w:type="pct"/>
            <w:shd w:val="clear" w:color="auto" w:fill="auto"/>
            <w:vAlign w:val="center"/>
            <w:hideMark/>
          </w:tcPr>
          <w:p w14:paraId="5A99BCD8" w14:textId="28AC906C" w:rsidR="000943CD" w:rsidRPr="0017335F" w:rsidRDefault="00AF0C3D" w:rsidP="000943CD">
            <w:pPr>
              <w:jc w:val="center"/>
              <w:rPr>
                <w:rFonts w:ascii="Arial Narrow" w:hAnsi="Arial Narrow" w:cs="Calibri"/>
                <w:color w:val="000000"/>
                <w:szCs w:val="20"/>
              </w:rPr>
            </w:pPr>
            <w:r w:rsidRPr="0017335F">
              <w:rPr>
                <w:rFonts w:ascii="Arial Narrow" w:hAnsi="Arial Narrow" w:cs="Calibri"/>
                <w:color w:val="000000"/>
                <w:szCs w:val="20"/>
              </w:rPr>
              <w:t>$1</w:t>
            </w:r>
            <w:r w:rsidR="008430C2" w:rsidRPr="0017335F">
              <w:rPr>
                <w:rFonts w:ascii="Arial Narrow" w:hAnsi="Arial Narrow" w:cs="Calibri"/>
                <w:color w:val="000000"/>
                <w:szCs w:val="20"/>
              </w:rPr>
              <w:t>9,014</w:t>
            </w:r>
          </w:p>
        </w:tc>
      </w:tr>
      <w:tr w:rsidR="000943CD" w14:paraId="4B8C8460" w14:textId="77777777" w:rsidTr="005A0FB8">
        <w:trPr>
          <w:trHeight w:val="580"/>
        </w:trPr>
        <w:tc>
          <w:tcPr>
            <w:tcW w:w="1978" w:type="pct"/>
            <w:shd w:val="clear" w:color="auto" w:fill="auto"/>
            <w:vAlign w:val="center"/>
            <w:hideMark/>
          </w:tcPr>
          <w:p w14:paraId="1B4D4EB9" w14:textId="767923E9" w:rsidR="000943CD" w:rsidRDefault="000943CD" w:rsidP="000943CD">
            <w:pPr>
              <w:jc w:val="left"/>
              <w:rPr>
                <w:rFonts w:ascii="Arial Narrow" w:hAnsi="Arial Narrow" w:cs="Calibri"/>
                <w:color w:val="000000"/>
                <w:szCs w:val="20"/>
              </w:rPr>
            </w:pPr>
            <w:r>
              <w:rPr>
                <w:rFonts w:ascii="Arial Narrow" w:hAnsi="Arial Narrow" w:cs="Calibri"/>
                <w:color w:val="000000"/>
                <w:szCs w:val="20"/>
              </w:rPr>
              <w:t>Proportion of patients where NGS results reclassified prior classification of prognostic group differently using ELN system (AML) or PMF MIPSS</w:t>
            </w:r>
          </w:p>
        </w:tc>
        <w:tc>
          <w:tcPr>
            <w:tcW w:w="727" w:type="pct"/>
            <w:shd w:val="clear" w:color="auto" w:fill="auto"/>
            <w:vAlign w:val="center"/>
            <w:hideMark/>
          </w:tcPr>
          <w:p w14:paraId="7FD1C54D" w14:textId="01EA96E5"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0.132</w:t>
            </w:r>
          </w:p>
        </w:tc>
        <w:tc>
          <w:tcPr>
            <w:tcW w:w="667" w:type="pct"/>
            <w:shd w:val="clear" w:color="auto" w:fill="auto"/>
            <w:vAlign w:val="center"/>
            <w:hideMark/>
          </w:tcPr>
          <w:p w14:paraId="2D8B20B9" w14:textId="77777777"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w:t>
            </w:r>
          </w:p>
        </w:tc>
        <w:tc>
          <w:tcPr>
            <w:tcW w:w="667" w:type="pct"/>
            <w:shd w:val="clear" w:color="auto" w:fill="auto"/>
            <w:vAlign w:val="center"/>
            <w:hideMark/>
          </w:tcPr>
          <w:p w14:paraId="4D731586" w14:textId="2F149EFA"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0.132</w:t>
            </w:r>
          </w:p>
        </w:tc>
        <w:tc>
          <w:tcPr>
            <w:tcW w:w="962" w:type="pct"/>
            <w:shd w:val="clear" w:color="auto" w:fill="auto"/>
            <w:vAlign w:val="center"/>
            <w:hideMark/>
          </w:tcPr>
          <w:p w14:paraId="530D97FC" w14:textId="745382CD" w:rsidR="000943CD" w:rsidRPr="0017335F" w:rsidRDefault="00AF0C3D" w:rsidP="000943CD">
            <w:pPr>
              <w:jc w:val="center"/>
              <w:rPr>
                <w:rFonts w:ascii="Arial Narrow" w:hAnsi="Arial Narrow" w:cs="Calibri"/>
                <w:color w:val="000000"/>
                <w:szCs w:val="20"/>
              </w:rPr>
            </w:pPr>
            <w:r w:rsidRPr="0017335F">
              <w:rPr>
                <w:rFonts w:ascii="Arial Narrow" w:hAnsi="Arial Narrow" w:cs="Calibri"/>
                <w:color w:val="000000"/>
                <w:szCs w:val="20"/>
              </w:rPr>
              <w:t>$8,</w:t>
            </w:r>
            <w:r w:rsidR="008430C2" w:rsidRPr="0017335F">
              <w:rPr>
                <w:rFonts w:ascii="Arial Narrow" w:hAnsi="Arial Narrow" w:cs="Calibri"/>
                <w:color w:val="000000"/>
                <w:szCs w:val="20"/>
              </w:rPr>
              <w:t>319</w:t>
            </w:r>
          </w:p>
        </w:tc>
      </w:tr>
      <w:tr w:rsidR="000943CD" w14:paraId="0AC53293" w14:textId="77777777" w:rsidTr="005A0FB8">
        <w:trPr>
          <w:trHeight w:val="340"/>
        </w:trPr>
        <w:tc>
          <w:tcPr>
            <w:tcW w:w="1978" w:type="pct"/>
            <w:shd w:val="clear" w:color="auto" w:fill="auto"/>
            <w:vAlign w:val="center"/>
            <w:hideMark/>
          </w:tcPr>
          <w:p w14:paraId="68BF2AF1" w14:textId="2908765F" w:rsidR="000943CD" w:rsidRDefault="000943CD" w:rsidP="000943CD">
            <w:pPr>
              <w:jc w:val="left"/>
              <w:rPr>
                <w:rFonts w:ascii="Arial Narrow" w:hAnsi="Arial Narrow" w:cs="Calibri"/>
                <w:color w:val="000000"/>
                <w:szCs w:val="20"/>
              </w:rPr>
            </w:pPr>
            <w:r>
              <w:rPr>
                <w:rFonts w:ascii="Arial Narrow" w:hAnsi="Arial Narrow" w:cs="Calibri"/>
                <w:color w:val="000000"/>
                <w:szCs w:val="20"/>
              </w:rPr>
              <w:lastRenderedPageBreak/>
              <w:t xml:space="preserve">Proportion of patients in whom somatic test identified potential germline variant </w:t>
            </w:r>
          </w:p>
        </w:tc>
        <w:tc>
          <w:tcPr>
            <w:tcW w:w="727" w:type="pct"/>
            <w:shd w:val="clear" w:color="auto" w:fill="auto"/>
            <w:vAlign w:val="center"/>
            <w:hideMark/>
          </w:tcPr>
          <w:p w14:paraId="08DF581D" w14:textId="0F8A6547"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0.174</w:t>
            </w:r>
          </w:p>
        </w:tc>
        <w:tc>
          <w:tcPr>
            <w:tcW w:w="667" w:type="pct"/>
            <w:shd w:val="clear" w:color="auto" w:fill="auto"/>
            <w:vAlign w:val="center"/>
            <w:hideMark/>
          </w:tcPr>
          <w:p w14:paraId="7B440DF9" w14:textId="77777777"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w:t>
            </w:r>
          </w:p>
        </w:tc>
        <w:tc>
          <w:tcPr>
            <w:tcW w:w="667" w:type="pct"/>
            <w:shd w:val="clear" w:color="auto" w:fill="auto"/>
            <w:vAlign w:val="center"/>
            <w:hideMark/>
          </w:tcPr>
          <w:p w14:paraId="7CD9078F" w14:textId="0320E5BB"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0.174</w:t>
            </w:r>
          </w:p>
        </w:tc>
        <w:tc>
          <w:tcPr>
            <w:tcW w:w="962" w:type="pct"/>
            <w:shd w:val="clear" w:color="auto" w:fill="auto"/>
            <w:vAlign w:val="center"/>
            <w:hideMark/>
          </w:tcPr>
          <w:p w14:paraId="2D03EDC4" w14:textId="0CD004FF" w:rsidR="000943CD" w:rsidRPr="0017335F" w:rsidRDefault="00AF0C3D" w:rsidP="000943CD">
            <w:pPr>
              <w:jc w:val="center"/>
              <w:rPr>
                <w:rFonts w:ascii="Arial Narrow" w:hAnsi="Arial Narrow" w:cs="Calibri"/>
                <w:color w:val="000000"/>
                <w:szCs w:val="20"/>
              </w:rPr>
            </w:pPr>
            <w:r w:rsidRPr="0017335F">
              <w:rPr>
                <w:rFonts w:ascii="Arial Narrow" w:hAnsi="Arial Narrow" w:cs="Calibri"/>
                <w:color w:val="000000"/>
                <w:szCs w:val="20"/>
              </w:rPr>
              <w:t>$6,</w:t>
            </w:r>
            <w:r w:rsidR="008430C2" w:rsidRPr="0017335F">
              <w:rPr>
                <w:rFonts w:ascii="Arial Narrow" w:hAnsi="Arial Narrow" w:cs="Calibri"/>
                <w:color w:val="000000"/>
                <w:szCs w:val="20"/>
              </w:rPr>
              <w:t>338</w:t>
            </w:r>
          </w:p>
        </w:tc>
      </w:tr>
      <w:tr w:rsidR="000943CD" w14:paraId="016F9A53" w14:textId="77777777" w:rsidTr="005A0FB8">
        <w:trPr>
          <w:trHeight w:val="340"/>
        </w:trPr>
        <w:tc>
          <w:tcPr>
            <w:tcW w:w="1978" w:type="pct"/>
            <w:shd w:val="clear" w:color="auto" w:fill="auto"/>
            <w:vAlign w:val="center"/>
            <w:hideMark/>
          </w:tcPr>
          <w:p w14:paraId="4A31F7FC" w14:textId="77B62C5C" w:rsidR="000943CD" w:rsidRDefault="000943CD" w:rsidP="000943CD">
            <w:pPr>
              <w:jc w:val="left"/>
              <w:rPr>
                <w:rFonts w:ascii="Arial Narrow" w:hAnsi="Arial Narrow" w:cs="Calibri"/>
                <w:color w:val="000000"/>
                <w:szCs w:val="20"/>
              </w:rPr>
            </w:pPr>
            <w:r>
              <w:rPr>
                <w:rFonts w:ascii="Arial Narrow" w:hAnsi="Arial Narrow" w:cs="Calibri"/>
                <w:color w:val="000000"/>
                <w:szCs w:val="20"/>
              </w:rPr>
              <w:t>Proportion of patients in whom germline pathogenic variant identified</w:t>
            </w:r>
          </w:p>
        </w:tc>
        <w:tc>
          <w:tcPr>
            <w:tcW w:w="727" w:type="pct"/>
            <w:shd w:val="clear" w:color="auto" w:fill="auto"/>
            <w:vAlign w:val="center"/>
            <w:hideMark/>
          </w:tcPr>
          <w:p w14:paraId="7A035C6E" w14:textId="2346214B"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0.176</w:t>
            </w:r>
          </w:p>
        </w:tc>
        <w:tc>
          <w:tcPr>
            <w:tcW w:w="667" w:type="pct"/>
            <w:shd w:val="clear" w:color="auto" w:fill="auto"/>
            <w:vAlign w:val="center"/>
            <w:hideMark/>
          </w:tcPr>
          <w:p w14:paraId="6DFDD8A7" w14:textId="77777777"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w:t>
            </w:r>
          </w:p>
        </w:tc>
        <w:tc>
          <w:tcPr>
            <w:tcW w:w="667" w:type="pct"/>
            <w:shd w:val="clear" w:color="auto" w:fill="auto"/>
            <w:vAlign w:val="center"/>
            <w:hideMark/>
          </w:tcPr>
          <w:p w14:paraId="3E6D5FB3" w14:textId="1BFADE90"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0.176</w:t>
            </w:r>
          </w:p>
        </w:tc>
        <w:tc>
          <w:tcPr>
            <w:tcW w:w="962" w:type="pct"/>
            <w:shd w:val="clear" w:color="auto" w:fill="auto"/>
            <w:vAlign w:val="center"/>
            <w:hideMark/>
          </w:tcPr>
          <w:p w14:paraId="04FD3890" w14:textId="39112524" w:rsidR="000943CD" w:rsidRPr="0017335F" w:rsidRDefault="00AF0C3D" w:rsidP="000943CD">
            <w:pPr>
              <w:jc w:val="center"/>
              <w:rPr>
                <w:rFonts w:ascii="Arial Narrow" w:hAnsi="Arial Narrow" w:cs="Calibri"/>
                <w:color w:val="000000"/>
                <w:szCs w:val="20"/>
              </w:rPr>
            </w:pPr>
            <w:r w:rsidRPr="0017335F">
              <w:rPr>
                <w:rFonts w:ascii="Arial Narrow" w:hAnsi="Arial Narrow" w:cs="Calibri"/>
                <w:color w:val="000000"/>
                <w:szCs w:val="20"/>
              </w:rPr>
              <w:t>$6,</w:t>
            </w:r>
            <w:r w:rsidR="008430C2" w:rsidRPr="0017335F">
              <w:rPr>
                <w:rFonts w:ascii="Arial Narrow" w:hAnsi="Arial Narrow" w:cs="Calibri"/>
                <w:color w:val="000000"/>
                <w:szCs w:val="20"/>
              </w:rPr>
              <w:t>233</w:t>
            </w:r>
          </w:p>
        </w:tc>
      </w:tr>
      <w:tr w:rsidR="000943CD" w14:paraId="1ED59EE3" w14:textId="77777777" w:rsidTr="005A0FB8">
        <w:trPr>
          <w:trHeight w:val="340"/>
        </w:trPr>
        <w:tc>
          <w:tcPr>
            <w:tcW w:w="1978" w:type="pct"/>
            <w:shd w:val="clear" w:color="auto" w:fill="auto"/>
            <w:vAlign w:val="center"/>
            <w:hideMark/>
          </w:tcPr>
          <w:p w14:paraId="3180037F" w14:textId="3BD0589A" w:rsidR="000943CD" w:rsidRDefault="000943CD" w:rsidP="000943CD">
            <w:pPr>
              <w:jc w:val="left"/>
              <w:rPr>
                <w:rFonts w:ascii="Arial Narrow" w:hAnsi="Arial Narrow" w:cs="Calibri"/>
                <w:color w:val="000000"/>
                <w:szCs w:val="20"/>
              </w:rPr>
            </w:pPr>
            <w:r>
              <w:rPr>
                <w:rFonts w:ascii="Arial Narrow" w:hAnsi="Arial Narrow" w:cs="Calibri"/>
                <w:color w:val="000000"/>
                <w:szCs w:val="20"/>
              </w:rPr>
              <w:t>Proportion of patients eligible for clinical trial based on NGS results</w:t>
            </w:r>
          </w:p>
        </w:tc>
        <w:tc>
          <w:tcPr>
            <w:tcW w:w="727" w:type="pct"/>
            <w:shd w:val="clear" w:color="auto" w:fill="auto"/>
            <w:vAlign w:val="center"/>
            <w:hideMark/>
          </w:tcPr>
          <w:p w14:paraId="1712F276" w14:textId="1C2632FF"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0.364</w:t>
            </w:r>
          </w:p>
        </w:tc>
        <w:tc>
          <w:tcPr>
            <w:tcW w:w="667" w:type="pct"/>
            <w:shd w:val="clear" w:color="auto" w:fill="auto"/>
            <w:vAlign w:val="center"/>
            <w:hideMark/>
          </w:tcPr>
          <w:p w14:paraId="4CEC573F" w14:textId="77777777"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w:t>
            </w:r>
          </w:p>
        </w:tc>
        <w:tc>
          <w:tcPr>
            <w:tcW w:w="667" w:type="pct"/>
            <w:shd w:val="clear" w:color="auto" w:fill="auto"/>
            <w:vAlign w:val="center"/>
            <w:hideMark/>
          </w:tcPr>
          <w:p w14:paraId="21DBDAD3" w14:textId="61D298D5"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0.364</w:t>
            </w:r>
          </w:p>
        </w:tc>
        <w:tc>
          <w:tcPr>
            <w:tcW w:w="962" w:type="pct"/>
            <w:shd w:val="clear" w:color="auto" w:fill="auto"/>
            <w:vAlign w:val="center"/>
            <w:hideMark/>
          </w:tcPr>
          <w:p w14:paraId="0A66A506" w14:textId="1D594AD6" w:rsidR="000943CD" w:rsidRPr="0017335F" w:rsidRDefault="00AF0C3D" w:rsidP="000943CD">
            <w:pPr>
              <w:jc w:val="center"/>
              <w:rPr>
                <w:rFonts w:ascii="Arial Narrow" w:hAnsi="Arial Narrow" w:cs="Calibri"/>
                <w:color w:val="000000"/>
                <w:szCs w:val="20"/>
              </w:rPr>
            </w:pPr>
            <w:r w:rsidRPr="0017335F">
              <w:rPr>
                <w:rFonts w:ascii="Arial Narrow" w:hAnsi="Arial Narrow" w:cs="Calibri"/>
                <w:color w:val="000000"/>
                <w:szCs w:val="20"/>
              </w:rPr>
              <w:t>$3,0</w:t>
            </w:r>
            <w:r w:rsidR="008430C2" w:rsidRPr="0017335F">
              <w:rPr>
                <w:rFonts w:ascii="Arial Narrow" w:hAnsi="Arial Narrow" w:cs="Calibri"/>
                <w:color w:val="000000"/>
                <w:szCs w:val="20"/>
              </w:rPr>
              <w:t>25</w:t>
            </w:r>
          </w:p>
        </w:tc>
      </w:tr>
      <w:tr w:rsidR="000943CD" w14:paraId="6880BC5A" w14:textId="77777777" w:rsidTr="005A0FB8">
        <w:trPr>
          <w:trHeight w:val="340"/>
        </w:trPr>
        <w:tc>
          <w:tcPr>
            <w:tcW w:w="1978" w:type="pct"/>
            <w:shd w:val="clear" w:color="auto" w:fill="auto"/>
            <w:vAlign w:val="center"/>
            <w:hideMark/>
          </w:tcPr>
          <w:p w14:paraId="043D3DCA" w14:textId="6A82A1FC" w:rsidR="000943CD" w:rsidRPr="00347507" w:rsidRDefault="000943CD" w:rsidP="000943CD">
            <w:pPr>
              <w:jc w:val="left"/>
              <w:rPr>
                <w:rFonts w:ascii="Arial Narrow" w:hAnsi="Arial Narrow" w:cs="Calibri"/>
                <w:b/>
                <w:bCs/>
                <w:color w:val="000000"/>
                <w:szCs w:val="20"/>
              </w:rPr>
            </w:pPr>
            <w:r w:rsidRPr="00481655">
              <w:rPr>
                <w:rFonts w:ascii="Arial Narrow" w:hAnsi="Arial Narrow" w:cs="Calibri"/>
                <w:b/>
                <w:bCs/>
                <w:color w:val="000000"/>
                <w:szCs w:val="20"/>
              </w:rPr>
              <w:t xml:space="preserve">Effectiveness measures at relapse (compared with </w:t>
            </w:r>
            <w:r>
              <w:rPr>
                <w:rFonts w:ascii="Arial Narrow" w:hAnsi="Arial Narrow" w:cs="Calibri"/>
                <w:b/>
                <w:bCs/>
                <w:color w:val="000000"/>
                <w:szCs w:val="20"/>
              </w:rPr>
              <w:t xml:space="preserve">initial </w:t>
            </w:r>
            <w:r w:rsidRPr="00481655">
              <w:rPr>
                <w:rFonts w:ascii="Arial Narrow" w:hAnsi="Arial Narrow" w:cs="Calibri"/>
                <w:b/>
                <w:bCs/>
                <w:color w:val="000000"/>
                <w:szCs w:val="20"/>
              </w:rPr>
              <w:t>diagnosis)</w:t>
            </w:r>
          </w:p>
        </w:tc>
        <w:tc>
          <w:tcPr>
            <w:tcW w:w="727" w:type="pct"/>
            <w:shd w:val="clear" w:color="auto" w:fill="auto"/>
            <w:vAlign w:val="center"/>
            <w:hideMark/>
          </w:tcPr>
          <w:p w14:paraId="3C782142" w14:textId="7D43696B" w:rsidR="000943CD" w:rsidRDefault="000943CD" w:rsidP="000943CD">
            <w:pPr>
              <w:jc w:val="center"/>
              <w:rPr>
                <w:rFonts w:ascii="Arial Narrow" w:hAnsi="Arial Narrow" w:cs="Calibri"/>
                <w:color w:val="000000"/>
                <w:szCs w:val="20"/>
              </w:rPr>
            </w:pPr>
            <w:r>
              <w:rPr>
                <w:rFonts w:ascii="Arial Narrow" w:hAnsi="Arial Narrow" w:cs="Calibri"/>
                <w:color w:val="000000"/>
                <w:szCs w:val="20"/>
              </w:rPr>
              <w:t> </w:t>
            </w:r>
          </w:p>
        </w:tc>
        <w:tc>
          <w:tcPr>
            <w:tcW w:w="667" w:type="pct"/>
            <w:shd w:val="clear" w:color="auto" w:fill="auto"/>
            <w:vAlign w:val="center"/>
            <w:hideMark/>
          </w:tcPr>
          <w:p w14:paraId="67A0C7A0" w14:textId="77777777" w:rsidR="000943CD" w:rsidRDefault="000943CD" w:rsidP="000943CD">
            <w:pPr>
              <w:jc w:val="center"/>
              <w:rPr>
                <w:rFonts w:ascii="Arial Narrow" w:hAnsi="Arial Narrow" w:cs="Calibri"/>
                <w:color w:val="000000"/>
                <w:szCs w:val="20"/>
              </w:rPr>
            </w:pPr>
            <w:r>
              <w:rPr>
                <w:rFonts w:ascii="Arial Narrow" w:hAnsi="Arial Narrow" w:cs="Calibri"/>
                <w:color w:val="000000"/>
                <w:szCs w:val="20"/>
              </w:rPr>
              <w:t> </w:t>
            </w:r>
          </w:p>
        </w:tc>
        <w:tc>
          <w:tcPr>
            <w:tcW w:w="667" w:type="pct"/>
            <w:shd w:val="clear" w:color="auto" w:fill="auto"/>
            <w:vAlign w:val="center"/>
            <w:hideMark/>
          </w:tcPr>
          <w:p w14:paraId="1E173F7C" w14:textId="77777777" w:rsidR="000943CD" w:rsidRDefault="000943CD" w:rsidP="000943CD">
            <w:pPr>
              <w:jc w:val="center"/>
              <w:rPr>
                <w:rFonts w:ascii="Arial Narrow" w:hAnsi="Arial Narrow" w:cs="Calibri"/>
                <w:color w:val="000000"/>
                <w:szCs w:val="20"/>
              </w:rPr>
            </w:pPr>
            <w:r>
              <w:rPr>
                <w:rFonts w:ascii="Arial Narrow" w:hAnsi="Arial Narrow" w:cs="Calibri"/>
                <w:color w:val="000000"/>
                <w:szCs w:val="20"/>
              </w:rPr>
              <w:t> </w:t>
            </w:r>
          </w:p>
        </w:tc>
        <w:tc>
          <w:tcPr>
            <w:tcW w:w="962" w:type="pct"/>
            <w:shd w:val="clear" w:color="auto" w:fill="auto"/>
            <w:vAlign w:val="center"/>
            <w:hideMark/>
          </w:tcPr>
          <w:p w14:paraId="7CEB4346" w14:textId="62874ECA" w:rsidR="000943CD" w:rsidRPr="0017335F" w:rsidRDefault="000943CD" w:rsidP="000943CD">
            <w:pPr>
              <w:jc w:val="center"/>
              <w:rPr>
                <w:rFonts w:ascii="Arial Narrow" w:hAnsi="Arial Narrow" w:cs="Calibri"/>
                <w:color w:val="000000"/>
                <w:szCs w:val="20"/>
              </w:rPr>
            </w:pPr>
            <w:r w:rsidRPr="0017335F">
              <w:rPr>
                <w:rFonts w:ascii="Arial Narrow" w:hAnsi="Arial Narrow" w:cs="Calibri"/>
                <w:color w:val="000000"/>
                <w:szCs w:val="20"/>
              </w:rPr>
              <w:t>$0</w:t>
            </w:r>
          </w:p>
        </w:tc>
      </w:tr>
      <w:tr w:rsidR="000943CD" w14:paraId="1F787D01" w14:textId="77777777" w:rsidTr="005A0FB8">
        <w:trPr>
          <w:trHeight w:val="340"/>
        </w:trPr>
        <w:tc>
          <w:tcPr>
            <w:tcW w:w="1978" w:type="pct"/>
            <w:tcBorders>
              <w:bottom w:val="single" w:sz="4" w:space="0" w:color="auto"/>
            </w:tcBorders>
            <w:shd w:val="clear" w:color="auto" w:fill="auto"/>
            <w:vAlign w:val="center"/>
            <w:hideMark/>
          </w:tcPr>
          <w:p w14:paraId="2DC6C680" w14:textId="0EA23940" w:rsidR="000943CD" w:rsidRDefault="000943CD" w:rsidP="000943CD">
            <w:pPr>
              <w:jc w:val="left"/>
              <w:rPr>
                <w:rFonts w:ascii="Arial Narrow" w:hAnsi="Arial Narrow" w:cs="Calibri"/>
                <w:color w:val="000000"/>
                <w:szCs w:val="20"/>
              </w:rPr>
            </w:pPr>
            <w:r>
              <w:rPr>
                <w:rFonts w:ascii="Arial Narrow" w:hAnsi="Arial Narrow" w:cs="Calibri"/>
                <w:color w:val="000000"/>
                <w:szCs w:val="20"/>
              </w:rPr>
              <w:t>Proportion of patients with change of variant expression (gain, loss, both)</w:t>
            </w:r>
          </w:p>
        </w:tc>
        <w:tc>
          <w:tcPr>
            <w:tcW w:w="727" w:type="pct"/>
            <w:tcBorders>
              <w:bottom w:val="single" w:sz="4" w:space="0" w:color="auto"/>
            </w:tcBorders>
            <w:shd w:val="clear" w:color="auto" w:fill="auto"/>
            <w:vAlign w:val="center"/>
            <w:hideMark/>
          </w:tcPr>
          <w:p w14:paraId="3DB9F55E" w14:textId="04BF4D9E"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0.600</w:t>
            </w:r>
          </w:p>
        </w:tc>
        <w:tc>
          <w:tcPr>
            <w:tcW w:w="667" w:type="pct"/>
            <w:tcBorders>
              <w:bottom w:val="single" w:sz="4" w:space="0" w:color="auto"/>
            </w:tcBorders>
            <w:shd w:val="clear" w:color="auto" w:fill="auto"/>
            <w:vAlign w:val="center"/>
            <w:hideMark/>
          </w:tcPr>
          <w:p w14:paraId="2206DAF6" w14:textId="48836319"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w:t>
            </w:r>
          </w:p>
        </w:tc>
        <w:tc>
          <w:tcPr>
            <w:tcW w:w="667" w:type="pct"/>
            <w:tcBorders>
              <w:bottom w:val="single" w:sz="4" w:space="0" w:color="auto"/>
            </w:tcBorders>
            <w:shd w:val="clear" w:color="auto" w:fill="auto"/>
            <w:vAlign w:val="center"/>
            <w:hideMark/>
          </w:tcPr>
          <w:p w14:paraId="7C0AD19A" w14:textId="30A5BDD3"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0.600</w:t>
            </w:r>
          </w:p>
        </w:tc>
        <w:tc>
          <w:tcPr>
            <w:tcW w:w="962" w:type="pct"/>
            <w:tcBorders>
              <w:bottom w:val="single" w:sz="4" w:space="0" w:color="auto"/>
            </w:tcBorders>
            <w:shd w:val="clear" w:color="auto" w:fill="auto"/>
            <w:vAlign w:val="center"/>
            <w:hideMark/>
          </w:tcPr>
          <w:p w14:paraId="4617F0AA" w14:textId="73D20B23" w:rsidR="000943CD" w:rsidRPr="0017335F" w:rsidRDefault="00AF0C3D" w:rsidP="000943CD">
            <w:pPr>
              <w:jc w:val="center"/>
              <w:rPr>
                <w:rFonts w:ascii="Arial Narrow" w:hAnsi="Arial Narrow" w:cs="Calibri"/>
                <w:color w:val="000000"/>
                <w:szCs w:val="20"/>
              </w:rPr>
            </w:pPr>
            <w:r w:rsidRPr="0017335F">
              <w:rPr>
                <w:rFonts w:ascii="Arial Narrow" w:hAnsi="Arial Narrow" w:cs="Calibri"/>
                <w:color w:val="000000"/>
                <w:szCs w:val="20"/>
              </w:rPr>
              <w:t>$1,822</w:t>
            </w:r>
          </w:p>
        </w:tc>
      </w:tr>
      <w:tr w:rsidR="000943CD" w14:paraId="282B74CD" w14:textId="77777777" w:rsidTr="005A0FB8">
        <w:trPr>
          <w:trHeight w:val="320"/>
        </w:trPr>
        <w:tc>
          <w:tcPr>
            <w:tcW w:w="1978" w:type="pct"/>
            <w:tcBorders>
              <w:bottom w:val="single" w:sz="4" w:space="0" w:color="auto"/>
            </w:tcBorders>
            <w:shd w:val="clear" w:color="auto" w:fill="auto"/>
            <w:vAlign w:val="center"/>
            <w:hideMark/>
          </w:tcPr>
          <w:p w14:paraId="6C6061A2" w14:textId="07E568F0" w:rsidR="000943CD" w:rsidRDefault="000943CD" w:rsidP="000943CD">
            <w:pPr>
              <w:jc w:val="left"/>
              <w:rPr>
                <w:rFonts w:ascii="Arial Narrow" w:hAnsi="Arial Narrow" w:cs="Calibri"/>
                <w:color w:val="000000"/>
                <w:szCs w:val="20"/>
              </w:rPr>
            </w:pPr>
            <w:r>
              <w:rPr>
                <w:rFonts w:ascii="Arial Narrow" w:hAnsi="Arial Narrow" w:cs="Calibri"/>
                <w:color w:val="000000"/>
                <w:szCs w:val="20"/>
              </w:rPr>
              <w:t>Proportion of patients with change in treatment target at relapse likely to influence therapy</w:t>
            </w:r>
          </w:p>
        </w:tc>
        <w:tc>
          <w:tcPr>
            <w:tcW w:w="727" w:type="pct"/>
            <w:tcBorders>
              <w:bottom w:val="single" w:sz="4" w:space="0" w:color="auto"/>
            </w:tcBorders>
            <w:shd w:val="clear" w:color="auto" w:fill="auto"/>
            <w:vAlign w:val="center"/>
            <w:hideMark/>
          </w:tcPr>
          <w:p w14:paraId="488E6EA0" w14:textId="4E9CBABB"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0.200</w:t>
            </w:r>
          </w:p>
        </w:tc>
        <w:tc>
          <w:tcPr>
            <w:tcW w:w="667" w:type="pct"/>
            <w:tcBorders>
              <w:bottom w:val="single" w:sz="4" w:space="0" w:color="auto"/>
            </w:tcBorders>
            <w:shd w:val="clear" w:color="auto" w:fill="auto"/>
            <w:vAlign w:val="center"/>
            <w:hideMark/>
          </w:tcPr>
          <w:p w14:paraId="1B36C3D3" w14:textId="3C7821E1"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w:t>
            </w:r>
          </w:p>
        </w:tc>
        <w:tc>
          <w:tcPr>
            <w:tcW w:w="667" w:type="pct"/>
            <w:tcBorders>
              <w:bottom w:val="single" w:sz="4" w:space="0" w:color="auto"/>
            </w:tcBorders>
            <w:shd w:val="clear" w:color="auto" w:fill="auto"/>
            <w:vAlign w:val="center"/>
            <w:hideMark/>
          </w:tcPr>
          <w:p w14:paraId="1F032502" w14:textId="30257FB6" w:rsidR="000943CD" w:rsidRDefault="000943CD" w:rsidP="000943CD">
            <w:pPr>
              <w:jc w:val="center"/>
              <w:rPr>
                <w:rFonts w:ascii="Arial Narrow" w:hAnsi="Arial Narrow" w:cs="Calibri"/>
                <w:color w:val="000000"/>
                <w:szCs w:val="20"/>
              </w:rPr>
            </w:pPr>
            <w:r>
              <w:rPr>
                <w:rFonts w:ascii="Arial Narrow" w:hAnsi="Arial Narrow" w:cs="Calibri"/>
                <w:color w:val="000000"/>
                <w:szCs w:val="20"/>
              </w:rPr>
              <w:t>0.200</w:t>
            </w:r>
          </w:p>
        </w:tc>
        <w:tc>
          <w:tcPr>
            <w:tcW w:w="962" w:type="pct"/>
            <w:tcBorders>
              <w:bottom w:val="single" w:sz="4" w:space="0" w:color="auto"/>
            </w:tcBorders>
            <w:shd w:val="clear" w:color="auto" w:fill="auto"/>
            <w:vAlign w:val="center"/>
            <w:hideMark/>
          </w:tcPr>
          <w:p w14:paraId="56AF8FC6" w14:textId="66E7093A" w:rsidR="000943CD" w:rsidRPr="0017335F" w:rsidRDefault="00AF0C3D" w:rsidP="000943CD">
            <w:pPr>
              <w:jc w:val="center"/>
              <w:rPr>
                <w:rFonts w:ascii="Arial Narrow" w:hAnsi="Arial Narrow" w:cs="Calibri"/>
                <w:color w:val="000000"/>
                <w:szCs w:val="20"/>
              </w:rPr>
            </w:pPr>
            <w:r w:rsidRPr="0017335F">
              <w:rPr>
                <w:rFonts w:ascii="Arial Narrow" w:hAnsi="Arial Narrow" w:cs="Calibri"/>
                <w:color w:val="000000"/>
                <w:szCs w:val="20"/>
              </w:rPr>
              <w:t>$5,</w:t>
            </w:r>
            <w:r w:rsidR="008430C2" w:rsidRPr="0017335F">
              <w:rPr>
                <w:rFonts w:ascii="Arial Narrow" w:hAnsi="Arial Narrow" w:cs="Calibri"/>
                <w:color w:val="000000"/>
                <w:szCs w:val="20"/>
              </w:rPr>
              <w:t>500</w:t>
            </w:r>
          </w:p>
        </w:tc>
      </w:tr>
    </w:tbl>
    <w:p w14:paraId="7018195C" w14:textId="0E5C779B" w:rsidR="005A0FB8" w:rsidRDefault="005A0FB8" w:rsidP="00CF0F58">
      <w:pPr>
        <w:pStyle w:val="TableFooter"/>
      </w:pPr>
      <w:r>
        <w:t>Source DCAR calculations was updated based on MSAC’s advice</w:t>
      </w:r>
    </w:p>
    <w:p w14:paraId="7509F382" w14:textId="4F61A587" w:rsidR="00CF0F58" w:rsidRDefault="000D6834" w:rsidP="00CF0F58">
      <w:pPr>
        <w:pStyle w:val="TableFooter"/>
      </w:pPr>
      <w:r>
        <w:t>*An individual patient may have more than one informative variant, and a single variant may be informative across more than one domain so the total may exceed 100%</w:t>
      </w:r>
    </w:p>
    <w:p w14:paraId="19CFC6ED" w14:textId="26582F60" w:rsidR="00CF0F58" w:rsidRDefault="00CF0F58" w:rsidP="00CF0F58">
      <w:pPr>
        <w:pStyle w:val="Heading5"/>
      </w:pPr>
      <w:r>
        <w:t>Rosenthal et al (2021) Use of an NGS panel test with outcomes reported as standalone test</w:t>
      </w:r>
    </w:p>
    <w:p w14:paraId="201E34BE" w14:textId="2E0A109F" w:rsidR="001464E3" w:rsidRDefault="001464E3" w:rsidP="001464E3">
      <w:r>
        <w:t>This study was carried out by a commercial service and the clinical information appears to be derived from the information supplied with request for testing. As such, it is likely to be very limited and the findings from NGS cannot be integrated into the clinic</w:t>
      </w:r>
      <w:r w:rsidR="00562E61">
        <w:t>o</w:t>
      </w:r>
      <w:r>
        <w:t xml:space="preserve">pathological context to provide information about the impact on either the diagnosis or prognosis nor the suitability of any therapies identified. </w:t>
      </w:r>
      <w:r w:rsidR="00F9551C">
        <w:t xml:space="preserve">It is unclear whether the test provider had any role beyond performing the NGS testing. </w:t>
      </w:r>
      <w:r>
        <w:t>This, however, is potentially how some services could be provided and reported, if the provider is not part of a multidisciplinary team delivering results that are discussed with the treating team.</w:t>
      </w:r>
    </w:p>
    <w:p w14:paraId="33A88CB2" w14:textId="0FF1A37D" w:rsidR="00F9551C" w:rsidRPr="001464E3" w:rsidRDefault="00F9551C" w:rsidP="001464E3">
      <w:r>
        <w:t>The HTA group considers the findings of diagnostic variants and prognostic variants and any parameters where these are included should be interpreted with caution.</w:t>
      </w:r>
    </w:p>
    <w:p w14:paraId="3E88AF99" w14:textId="415E8719" w:rsidR="00CF0F58" w:rsidRDefault="00CF0F58" w:rsidP="00CF0F58">
      <w:pPr>
        <w:pStyle w:val="Caption"/>
      </w:pPr>
      <w:r>
        <w:t xml:space="preserve">Table </w:t>
      </w:r>
      <w:fldSimple w:instr=" SEQ Table \* ARABIC ">
        <w:r w:rsidR="00A165AD">
          <w:rPr>
            <w:noProof/>
          </w:rPr>
          <w:t>17</w:t>
        </w:r>
      </w:fldSimple>
      <w:r w:rsidRPr="00BB3BD8">
        <w:t xml:space="preserve"> </w:t>
      </w:r>
      <w:r w:rsidRPr="001544CA">
        <w:t>Cost</w:t>
      </w:r>
      <w:r>
        <w:t>-</w:t>
      </w:r>
      <w:r w:rsidRPr="001544CA">
        <w:t>effectiveness of NGS testing with a myeloid panel in patients with a suspected haematological malignancy per</w:t>
      </w:r>
      <w:r w:rsidR="00FD12C0">
        <w:t xml:space="preserve"> outcomes reported in</w:t>
      </w:r>
      <w:r w:rsidRPr="001544CA">
        <w:t xml:space="preserve"> </w:t>
      </w:r>
      <w:r w:rsidR="00FD12C0">
        <w:t xml:space="preserve">Rosenthal et al (2021) at the </w:t>
      </w:r>
      <w:r w:rsidR="00FD12C0" w:rsidRPr="0017335F">
        <w:t>MSAC supported fee of $1,100 for DNA and RNA testing</w:t>
      </w:r>
    </w:p>
    <w:tbl>
      <w:tblPr>
        <w:tblStyle w:val="TableGrid"/>
        <w:tblW w:w="0" w:type="auto"/>
        <w:tblLook w:val="04A0" w:firstRow="1" w:lastRow="0" w:firstColumn="1" w:lastColumn="0" w:noHBand="0" w:noVBand="1"/>
      </w:tblPr>
      <w:tblGrid>
        <w:gridCol w:w="3886"/>
        <w:gridCol w:w="1033"/>
        <w:gridCol w:w="1146"/>
        <w:gridCol w:w="1311"/>
        <w:gridCol w:w="1640"/>
      </w:tblGrid>
      <w:tr w:rsidR="00CF0F58" w:rsidRPr="0044448D" w14:paraId="7B6D3DA9" w14:textId="77777777" w:rsidTr="005A0FB8">
        <w:trPr>
          <w:tblHeader/>
        </w:trPr>
        <w:tc>
          <w:tcPr>
            <w:tcW w:w="3886" w:type="dxa"/>
          </w:tcPr>
          <w:p w14:paraId="1CC56118" w14:textId="53A4241E" w:rsidR="00CF0F58" w:rsidRPr="0044448D" w:rsidRDefault="00EA6692" w:rsidP="00947725">
            <w:pPr>
              <w:rPr>
                <w:rFonts w:ascii="Arial Narrow" w:hAnsi="Arial Narrow"/>
                <w:b/>
                <w:bCs/>
                <w:sz w:val="20"/>
                <w:szCs w:val="20"/>
              </w:rPr>
            </w:pPr>
            <w:r>
              <w:rPr>
                <w:rFonts w:ascii="Arial Narrow" w:hAnsi="Arial Narrow"/>
                <w:b/>
                <w:bCs/>
                <w:sz w:val="20"/>
                <w:szCs w:val="20"/>
              </w:rPr>
              <w:t>Rosenthal et al (2021) NGS panel testing detection rates as part of work-up</w:t>
            </w:r>
          </w:p>
        </w:tc>
        <w:tc>
          <w:tcPr>
            <w:tcW w:w="1033" w:type="dxa"/>
          </w:tcPr>
          <w:p w14:paraId="5B2A8765" w14:textId="17E61131" w:rsidR="00CF0F58" w:rsidRPr="0044448D" w:rsidRDefault="000F723E" w:rsidP="00947725">
            <w:pPr>
              <w:pStyle w:val="Tabletext0"/>
              <w:jc w:val="center"/>
              <w:rPr>
                <w:b/>
                <w:bCs/>
              </w:rPr>
            </w:pPr>
            <w:r>
              <w:rPr>
                <w:b/>
                <w:bCs/>
              </w:rPr>
              <w:t>47-gene NGS panel</w:t>
            </w:r>
          </w:p>
        </w:tc>
        <w:tc>
          <w:tcPr>
            <w:tcW w:w="1146" w:type="dxa"/>
          </w:tcPr>
          <w:p w14:paraId="5D9E72AB" w14:textId="77777777" w:rsidR="0045406B" w:rsidRDefault="00CD713A" w:rsidP="00947725">
            <w:pPr>
              <w:pStyle w:val="Tabletext0"/>
              <w:jc w:val="center"/>
              <w:rPr>
                <w:rFonts w:cs="Calibri"/>
                <w:b/>
                <w:bCs/>
                <w:color w:val="000000"/>
              </w:rPr>
            </w:pPr>
            <w:r>
              <w:rPr>
                <w:rFonts w:cs="Calibri"/>
                <w:b/>
                <w:bCs/>
                <w:color w:val="000000"/>
              </w:rPr>
              <w:t xml:space="preserve">Comparator </w:t>
            </w:r>
          </w:p>
          <w:p w14:paraId="099917F2" w14:textId="2CAE7BDD" w:rsidR="00CF0F58" w:rsidRPr="0044448D" w:rsidRDefault="00CD713A" w:rsidP="00947725">
            <w:pPr>
              <w:pStyle w:val="Tabletext0"/>
              <w:jc w:val="center"/>
              <w:rPr>
                <w:b/>
                <w:bCs/>
              </w:rPr>
            </w:pPr>
            <w:r>
              <w:rPr>
                <w:rFonts w:cs="Calibri"/>
                <w:b/>
                <w:bCs/>
                <w:color w:val="000000"/>
              </w:rPr>
              <w:t>(</w:t>
            </w:r>
            <w:proofErr w:type="gramStart"/>
            <w:r>
              <w:rPr>
                <w:rFonts w:cs="Calibri"/>
                <w:b/>
                <w:bCs/>
                <w:color w:val="000000"/>
              </w:rPr>
              <w:t>no</w:t>
            </w:r>
            <w:proofErr w:type="gramEnd"/>
            <w:r>
              <w:rPr>
                <w:rFonts w:cs="Calibri"/>
                <w:b/>
                <w:bCs/>
                <w:color w:val="000000"/>
              </w:rPr>
              <w:t xml:space="preserve"> NGS)</w:t>
            </w:r>
          </w:p>
        </w:tc>
        <w:tc>
          <w:tcPr>
            <w:tcW w:w="1311" w:type="dxa"/>
          </w:tcPr>
          <w:p w14:paraId="513841C1" w14:textId="77777777" w:rsidR="00CF0F58" w:rsidRPr="0044448D" w:rsidRDefault="00CF0F58" w:rsidP="00947725">
            <w:pPr>
              <w:pStyle w:val="Tabletext0"/>
              <w:jc w:val="center"/>
              <w:rPr>
                <w:b/>
                <w:bCs/>
              </w:rPr>
            </w:pPr>
            <w:r w:rsidRPr="0044448D">
              <w:rPr>
                <w:b/>
                <w:bCs/>
              </w:rPr>
              <w:t>Increment</w:t>
            </w:r>
          </w:p>
        </w:tc>
        <w:tc>
          <w:tcPr>
            <w:tcW w:w="1640" w:type="dxa"/>
          </w:tcPr>
          <w:p w14:paraId="763F74B5" w14:textId="6B8BD460" w:rsidR="00CF0F58" w:rsidRPr="00AF0C3D" w:rsidRDefault="0017335F" w:rsidP="00947725">
            <w:pPr>
              <w:pStyle w:val="Tabletext0"/>
              <w:jc w:val="center"/>
              <w:rPr>
                <w:b/>
                <w:bCs/>
              </w:rPr>
            </w:pPr>
            <w:r w:rsidRPr="0017335F">
              <w:rPr>
                <w:rFonts w:cs="Calibri"/>
                <w:b/>
                <w:bCs/>
                <w:color w:val="000000"/>
              </w:rPr>
              <w:t>MSAC supported fee of $1,100 for DNA and RNA testing</w:t>
            </w:r>
          </w:p>
        </w:tc>
      </w:tr>
      <w:tr w:rsidR="005437E7" w:rsidRPr="0044448D" w14:paraId="7739A857" w14:textId="77777777" w:rsidTr="005A0FB8">
        <w:tc>
          <w:tcPr>
            <w:tcW w:w="3886" w:type="dxa"/>
          </w:tcPr>
          <w:p w14:paraId="28E36A9E" w14:textId="77777777" w:rsidR="005437E7" w:rsidRPr="0044448D" w:rsidRDefault="005437E7" w:rsidP="005437E7">
            <w:pPr>
              <w:pStyle w:val="Tabletext0"/>
              <w:jc w:val="left"/>
            </w:pPr>
            <w:r w:rsidRPr="0044448D">
              <w:t>Cost of testing</w:t>
            </w:r>
          </w:p>
        </w:tc>
        <w:tc>
          <w:tcPr>
            <w:tcW w:w="1033" w:type="dxa"/>
            <w:vAlign w:val="center"/>
          </w:tcPr>
          <w:p w14:paraId="377DEA5E" w14:textId="6E5F67E6" w:rsidR="002E6C2E" w:rsidRPr="0017335F" w:rsidRDefault="002E6C2E" w:rsidP="005437E7">
            <w:pPr>
              <w:pStyle w:val="Tabletext0"/>
              <w:jc w:val="center"/>
            </w:pPr>
            <w:r w:rsidRPr="0017335F">
              <w:rPr>
                <w:rFonts w:cs="Calibri"/>
                <w:color w:val="000000"/>
              </w:rPr>
              <w:t>$1,100</w:t>
            </w:r>
          </w:p>
        </w:tc>
        <w:tc>
          <w:tcPr>
            <w:tcW w:w="1146" w:type="dxa"/>
            <w:vAlign w:val="center"/>
          </w:tcPr>
          <w:p w14:paraId="7494F01D" w14:textId="77777777" w:rsidR="005437E7" w:rsidRPr="0017335F" w:rsidRDefault="005437E7" w:rsidP="005437E7">
            <w:pPr>
              <w:pStyle w:val="Tabletext0"/>
              <w:jc w:val="center"/>
            </w:pPr>
            <w:r w:rsidRPr="0017335F">
              <w:rPr>
                <w:rFonts w:cs="Calibri"/>
                <w:color w:val="000000"/>
              </w:rPr>
              <w:t>0</w:t>
            </w:r>
          </w:p>
        </w:tc>
        <w:tc>
          <w:tcPr>
            <w:tcW w:w="1311" w:type="dxa"/>
            <w:vAlign w:val="center"/>
          </w:tcPr>
          <w:p w14:paraId="10CC6BD1" w14:textId="5D21DAAA" w:rsidR="005437E7" w:rsidRPr="0017335F" w:rsidRDefault="002E6C2E" w:rsidP="005437E7">
            <w:pPr>
              <w:pStyle w:val="Tabletext0"/>
              <w:jc w:val="center"/>
            </w:pPr>
            <w:r w:rsidRPr="0017335F">
              <w:rPr>
                <w:rFonts w:cs="Calibri"/>
                <w:color w:val="000000"/>
              </w:rPr>
              <w:t xml:space="preserve">$1,100 </w:t>
            </w:r>
            <w:r w:rsidR="005437E7" w:rsidRPr="0017335F">
              <w:rPr>
                <w:rFonts w:cs="Calibri"/>
                <w:color w:val="000000"/>
              </w:rPr>
              <w:t xml:space="preserve"> </w:t>
            </w:r>
          </w:p>
        </w:tc>
        <w:tc>
          <w:tcPr>
            <w:tcW w:w="1640" w:type="dxa"/>
            <w:vAlign w:val="center"/>
          </w:tcPr>
          <w:p w14:paraId="0D50FE55" w14:textId="778D407F" w:rsidR="005437E7" w:rsidRPr="0044448D" w:rsidRDefault="005437E7" w:rsidP="005437E7">
            <w:pPr>
              <w:pStyle w:val="Tabletext0"/>
              <w:jc w:val="center"/>
            </w:pPr>
            <w:r>
              <w:rPr>
                <w:rFonts w:cs="Calibri"/>
                <w:color w:val="000000"/>
              </w:rPr>
              <w:t> </w:t>
            </w:r>
            <w:r w:rsidR="0045406B">
              <w:rPr>
                <w:rFonts w:cs="Calibri"/>
                <w:color w:val="000000"/>
              </w:rPr>
              <w:t>-</w:t>
            </w:r>
          </w:p>
        </w:tc>
      </w:tr>
      <w:tr w:rsidR="005437E7" w:rsidRPr="0044448D" w14:paraId="553B8FD8" w14:textId="77777777" w:rsidTr="00947725">
        <w:tc>
          <w:tcPr>
            <w:tcW w:w="9016" w:type="dxa"/>
            <w:gridSpan w:val="5"/>
          </w:tcPr>
          <w:p w14:paraId="79FC0AE9" w14:textId="77777777" w:rsidR="005437E7" w:rsidRPr="0044448D" w:rsidRDefault="005437E7" w:rsidP="005437E7">
            <w:pPr>
              <w:pStyle w:val="Tabletext0"/>
              <w:jc w:val="left"/>
              <w:rPr>
                <w:i/>
                <w:iCs/>
              </w:rPr>
            </w:pPr>
            <w:r w:rsidRPr="0044448D">
              <w:rPr>
                <w:i/>
                <w:iCs/>
              </w:rPr>
              <w:t>Effectiveness measures:</w:t>
            </w:r>
          </w:p>
        </w:tc>
      </w:tr>
      <w:tr w:rsidR="000943CD" w:rsidRPr="0044448D" w14:paraId="7D756285" w14:textId="77777777" w:rsidTr="005A0FB8">
        <w:tc>
          <w:tcPr>
            <w:tcW w:w="3886" w:type="dxa"/>
          </w:tcPr>
          <w:p w14:paraId="690A2D67" w14:textId="2C47EA23" w:rsidR="000943CD" w:rsidRPr="0044448D" w:rsidRDefault="000943CD" w:rsidP="000943CD">
            <w:pPr>
              <w:pStyle w:val="Tabletext0"/>
              <w:jc w:val="left"/>
            </w:pPr>
            <w:r>
              <w:t>Proportion of patients receiving a result ‘of diagnostic significance’</w:t>
            </w:r>
          </w:p>
        </w:tc>
        <w:tc>
          <w:tcPr>
            <w:tcW w:w="1033" w:type="dxa"/>
            <w:vAlign w:val="center"/>
          </w:tcPr>
          <w:p w14:paraId="467CC3C0" w14:textId="2F4741AD" w:rsidR="000943CD" w:rsidRPr="0044448D" w:rsidRDefault="000943CD" w:rsidP="000943CD">
            <w:pPr>
              <w:pStyle w:val="Tabletext0"/>
              <w:jc w:val="center"/>
            </w:pPr>
            <w:r>
              <w:rPr>
                <w:rFonts w:cs="Calibri"/>
                <w:color w:val="000000"/>
              </w:rPr>
              <w:t>0.364</w:t>
            </w:r>
          </w:p>
        </w:tc>
        <w:tc>
          <w:tcPr>
            <w:tcW w:w="1146" w:type="dxa"/>
            <w:vAlign w:val="center"/>
          </w:tcPr>
          <w:p w14:paraId="3B6E75D7" w14:textId="0CE3B87A" w:rsidR="000943CD" w:rsidRPr="0044448D" w:rsidRDefault="000943CD" w:rsidP="000943CD">
            <w:pPr>
              <w:pStyle w:val="Tabletext0"/>
              <w:jc w:val="center"/>
            </w:pPr>
          </w:p>
        </w:tc>
        <w:tc>
          <w:tcPr>
            <w:tcW w:w="1311" w:type="dxa"/>
            <w:vAlign w:val="center"/>
          </w:tcPr>
          <w:p w14:paraId="17AB91D3" w14:textId="7BC3FC6D" w:rsidR="000943CD" w:rsidRPr="0044448D" w:rsidRDefault="000943CD" w:rsidP="000943CD">
            <w:pPr>
              <w:pStyle w:val="Tabletext0"/>
              <w:jc w:val="center"/>
            </w:pPr>
            <w:r>
              <w:rPr>
                <w:rFonts w:cs="Calibri"/>
                <w:color w:val="000000"/>
              </w:rPr>
              <w:t>0.364</w:t>
            </w:r>
          </w:p>
        </w:tc>
        <w:tc>
          <w:tcPr>
            <w:tcW w:w="1640" w:type="dxa"/>
            <w:vAlign w:val="center"/>
          </w:tcPr>
          <w:p w14:paraId="2C060187" w14:textId="28F8CD88" w:rsidR="000943CD" w:rsidRPr="0017335F" w:rsidRDefault="00AF0C3D" w:rsidP="000943CD">
            <w:pPr>
              <w:pStyle w:val="Tabletext0"/>
              <w:jc w:val="center"/>
            </w:pPr>
            <w:r w:rsidRPr="0017335F">
              <w:rPr>
                <w:rFonts w:cs="Calibri"/>
                <w:color w:val="000000"/>
              </w:rPr>
              <w:t>$3,0</w:t>
            </w:r>
            <w:r w:rsidR="008430C2" w:rsidRPr="0017335F">
              <w:rPr>
                <w:rFonts w:cs="Calibri"/>
                <w:color w:val="000000"/>
              </w:rPr>
              <w:t>19</w:t>
            </w:r>
          </w:p>
        </w:tc>
      </w:tr>
      <w:tr w:rsidR="000943CD" w:rsidRPr="0044448D" w14:paraId="123FBF06" w14:textId="77777777" w:rsidTr="005A0FB8">
        <w:tc>
          <w:tcPr>
            <w:tcW w:w="3886" w:type="dxa"/>
          </w:tcPr>
          <w:p w14:paraId="1B51774A" w14:textId="62116AE5" w:rsidR="000943CD" w:rsidRPr="0044448D" w:rsidRDefault="000943CD" w:rsidP="000943CD">
            <w:pPr>
              <w:pStyle w:val="Tabletext0"/>
              <w:jc w:val="left"/>
            </w:pPr>
            <w:r>
              <w:t>Proportion of patients receiving an NGS result of prognostic significance</w:t>
            </w:r>
          </w:p>
        </w:tc>
        <w:tc>
          <w:tcPr>
            <w:tcW w:w="1033" w:type="dxa"/>
            <w:vAlign w:val="center"/>
          </w:tcPr>
          <w:p w14:paraId="1F5A05CF" w14:textId="71CCB167" w:rsidR="000943CD" w:rsidRPr="0044448D" w:rsidRDefault="000943CD" w:rsidP="000943CD">
            <w:pPr>
              <w:pStyle w:val="Tabletext0"/>
              <w:jc w:val="center"/>
            </w:pPr>
            <w:r>
              <w:rPr>
                <w:rFonts w:cs="Calibri"/>
                <w:color w:val="000000"/>
              </w:rPr>
              <w:t>0.346</w:t>
            </w:r>
          </w:p>
        </w:tc>
        <w:tc>
          <w:tcPr>
            <w:tcW w:w="1146" w:type="dxa"/>
            <w:vAlign w:val="center"/>
          </w:tcPr>
          <w:p w14:paraId="5B9DAB51" w14:textId="4472D6A4" w:rsidR="000943CD" w:rsidRPr="0044448D" w:rsidRDefault="000943CD" w:rsidP="000943CD">
            <w:pPr>
              <w:pStyle w:val="Tabletext0"/>
              <w:jc w:val="center"/>
            </w:pPr>
          </w:p>
        </w:tc>
        <w:tc>
          <w:tcPr>
            <w:tcW w:w="1311" w:type="dxa"/>
            <w:vAlign w:val="center"/>
          </w:tcPr>
          <w:p w14:paraId="4AC22974" w14:textId="32021FC6" w:rsidR="000943CD" w:rsidRPr="0044448D" w:rsidRDefault="000943CD" w:rsidP="000943CD">
            <w:pPr>
              <w:pStyle w:val="Tabletext0"/>
              <w:jc w:val="center"/>
            </w:pPr>
            <w:r>
              <w:rPr>
                <w:rFonts w:cs="Calibri"/>
                <w:color w:val="000000"/>
              </w:rPr>
              <w:t>0.346</w:t>
            </w:r>
          </w:p>
        </w:tc>
        <w:tc>
          <w:tcPr>
            <w:tcW w:w="1640" w:type="dxa"/>
            <w:vAlign w:val="center"/>
          </w:tcPr>
          <w:p w14:paraId="15BD179E" w14:textId="03AE09DE" w:rsidR="000943CD" w:rsidRPr="0017335F" w:rsidRDefault="00AF0C3D" w:rsidP="000943CD">
            <w:pPr>
              <w:pStyle w:val="Tabletext0"/>
              <w:jc w:val="center"/>
            </w:pPr>
            <w:r w:rsidRPr="0017335F">
              <w:rPr>
                <w:rFonts w:cs="Calibri"/>
                <w:color w:val="000000"/>
              </w:rPr>
              <w:t>$3,1</w:t>
            </w:r>
            <w:r w:rsidR="008430C2" w:rsidRPr="0017335F">
              <w:rPr>
                <w:rFonts w:cs="Calibri"/>
                <w:color w:val="000000"/>
              </w:rPr>
              <w:t>76</w:t>
            </w:r>
          </w:p>
        </w:tc>
      </w:tr>
      <w:tr w:rsidR="000943CD" w:rsidRPr="0044448D" w14:paraId="0979E79D" w14:textId="77777777" w:rsidTr="005A0FB8">
        <w:tc>
          <w:tcPr>
            <w:tcW w:w="3886" w:type="dxa"/>
          </w:tcPr>
          <w:p w14:paraId="32900C9E" w14:textId="72A8D73D" w:rsidR="000943CD" w:rsidRPr="003C0FCA" w:rsidRDefault="000943CD" w:rsidP="000943CD">
            <w:pPr>
              <w:pStyle w:val="Tabletext0"/>
              <w:jc w:val="left"/>
              <w:rPr>
                <w:vertAlign w:val="superscript"/>
              </w:rPr>
            </w:pPr>
            <w:r>
              <w:t>Proportion of patients receiving a result that identified an approved therapeutic target or regimen</w:t>
            </w:r>
          </w:p>
        </w:tc>
        <w:tc>
          <w:tcPr>
            <w:tcW w:w="1033" w:type="dxa"/>
            <w:vAlign w:val="center"/>
          </w:tcPr>
          <w:p w14:paraId="5B40CF28" w14:textId="30466053" w:rsidR="000943CD" w:rsidRDefault="000943CD" w:rsidP="000943CD">
            <w:pPr>
              <w:pStyle w:val="Tabletext0"/>
              <w:jc w:val="center"/>
            </w:pPr>
            <w:r>
              <w:rPr>
                <w:rFonts w:cs="Calibri"/>
                <w:color w:val="000000"/>
              </w:rPr>
              <w:t>0.061</w:t>
            </w:r>
          </w:p>
        </w:tc>
        <w:tc>
          <w:tcPr>
            <w:tcW w:w="1146" w:type="dxa"/>
            <w:vAlign w:val="center"/>
          </w:tcPr>
          <w:p w14:paraId="60580F7D" w14:textId="4B0B08CB" w:rsidR="000943CD" w:rsidRDefault="000943CD" w:rsidP="000943CD">
            <w:pPr>
              <w:pStyle w:val="Tabletext0"/>
              <w:jc w:val="center"/>
            </w:pPr>
          </w:p>
        </w:tc>
        <w:tc>
          <w:tcPr>
            <w:tcW w:w="1311" w:type="dxa"/>
            <w:vAlign w:val="center"/>
          </w:tcPr>
          <w:p w14:paraId="2D572612" w14:textId="3E21A82A" w:rsidR="000943CD" w:rsidRPr="0044448D" w:rsidRDefault="000943CD" w:rsidP="000943CD">
            <w:pPr>
              <w:pStyle w:val="Tabletext0"/>
              <w:jc w:val="center"/>
            </w:pPr>
            <w:r>
              <w:rPr>
                <w:rFonts w:cs="Calibri"/>
                <w:color w:val="000000"/>
              </w:rPr>
              <w:t>0.061</w:t>
            </w:r>
          </w:p>
        </w:tc>
        <w:tc>
          <w:tcPr>
            <w:tcW w:w="1640" w:type="dxa"/>
            <w:vAlign w:val="center"/>
          </w:tcPr>
          <w:p w14:paraId="035C5D74" w14:textId="04EE437B" w:rsidR="000943CD" w:rsidRPr="0017335F" w:rsidRDefault="00AF0C3D" w:rsidP="000943CD">
            <w:pPr>
              <w:pStyle w:val="Tabletext0"/>
              <w:jc w:val="center"/>
            </w:pPr>
            <w:r w:rsidRPr="0017335F">
              <w:rPr>
                <w:rFonts w:cs="Calibri"/>
                <w:color w:val="000000"/>
              </w:rPr>
              <w:t>$17,</w:t>
            </w:r>
            <w:r w:rsidR="008430C2" w:rsidRPr="0017335F">
              <w:rPr>
                <w:rFonts w:cs="Calibri"/>
                <w:color w:val="000000"/>
              </w:rPr>
              <w:t>923</w:t>
            </w:r>
          </w:p>
        </w:tc>
      </w:tr>
      <w:tr w:rsidR="000943CD" w:rsidRPr="0044448D" w14:paraId="5F6A385C" w14:textId="77777777" w:rsidTr="005A0FB8">
        <w:tc>
          <w:tcPr>
            <w:tcW w:w="3886" w:type="dxa"/>
          </w:tcPr>
          <w:p w14:paraId="24B7158E" w14:textId="3E1F5F1B" w:rsidR="000943CD" w:rsidRPr="00512733" w:rsidRDefault="000943CD" w:rsidP="000943CD">
            <w:pPr>
              <w:pStyle w:val="Tabletext0"/>
              <w:jc w:val="left"/>
            </w:pPr>
            <w:r>
              <w:t>Proportion of patients receiving a result that identified an approved or off-label target</w:t>
            </w:r>
          </w:p>
        </w:tc>
        <w:tc>
          <w:tcPr>
            <w:tcW w:w="1033" w:type="dxa"/>
            <w:vAlign w:val="center"/>
          </w:tcPr>
          <w:p w14:paraId="1EC29FCF" w14:textId="30AD2332" w:rsidR="000943CD" w:rsidRDefault="000943CD" w:rsidP="000943CD">
            <w:pPr>
              <w:pStyle w:val="Tabletext0"/>
              <w:jc w:val="center"/>
            </w:pPr>
            <w:r>
              <w:rPr>
                <w:rFonts w:cs="Calibri"/>
                <w:color w:val="000000"/>
              </w:rPr>
              <w:t>0.275</w:t>
            </w:r>
          </w:p>
        </w:tc>
        <w:tc>
          <w:tcPr>
            <w:tcW w:w="1146" w:type="dxa"/>
            <w:vAlign w:val="center"/>
          </w:tcPr>
          <w:p w14:paraId="2B799D05" w14:textId="3C35C5DA" w:rsidR="000943CD" w:rsidRDefault="000943CD" w:rsidP="000943CD">
            <w:pPr>
              <w:pStyle w:val="Tabletext0"/>
              <w:jc w:val="center"/>
            </w:pPr>
          </w:p>
        </w:tc>
        <w:tc>
          <w:tcPr>
            <w:tcW w:w="1311" w:type="dxa"/>
            <w:vAlign w:val="center"/>
          </w:tcPr>
          <w:p w14:paraId="738993F7" w14:textId="3E857175" w:rsidR="000943CD" w:rsidRPr="0044448D" w:rsidRDefault="000943CD" w:rsidP="000943CD">
            <w:pPr>
              <w:pStyle w:val="Tabletext0"/>
              <w:jc w:val="center"/>
            </w:pPr>
            <w:r>
              <w:rPr>
                <w:rFonts w:cs="Calibri"/>
                <w:color w:val="000000"/>
              </w:rPr>
              <w:t>0.275</w:t>
            </w:r>
          </w:p>
        </w:tc>
        <w:tc>
          <w:tcPr>
            <w:tcW w:w="1640" w:type="dxa"/>
            <w:vAlign w:val="center"/>
          </w:tcPr>
          <w:p w14:paraId="7FFE720C" w14:textId="33AEE071" w:rsidR="000943CD" w:rsidRPr="0017335F" w:rsidRDefault="00AF0C3D" w:rsidP="000943CD">
            <w:pPr>
              <w:pStyle w:val="Tabletext0"/>
              <w:jc w:val="center"/>
            </w:pPr>
            <w:r w:rsidRPr="0017335F">
              <w:rPr>
                <w:rFonts w:cs="Calibri"/>
                <w:color w:val="000000"/>
              </w:rPr>
              <w:t>$3,9</w:t>
            </w:r>
            <w:r w:rsidR="008430C2" w:rsidRPr="0017335F">
              <w:rPr>
                <w:rFonts w:cs="Calibri"/>
                <w:color w:val="000000"/>
              </w:rPr>
              <w:t>97</w:t>
            </w:r>
          </w:p>
        </w:tc>
      </w:tr>
      <w:tr w:rsidR="000943CD" w:rsidRPr="0044448D" w14:paraId="34AFA2FF" w14:textId="77777777" w:rsidTr="005A0FB8">
        <w:tc>
          <w:tcPr>
            <w:tcW w:w="3886" w:type="dxa"/>
          </w:tcPr>
          <w:p w14:paraId="090100F6" w14:textId="1FA06AE2" w:rsidR="000943CD" w:rsidRDefault="000943CD" w:rsidP="000943CD">
            <w:pPr>
              <w:pStyle w:val="Tabletext0"/>
              <w:jc w:val="left"/>
            </w:pPr>
            <w:r>
              <w:lastRenderedPageBreak/>
              <w:t>Proportion of patients receiving a result that identified an experimental therapy/clinical trial option</w:t>
            </w:r>
          </w:p>
        </w:tc>
        <w:tc>
          <w:tcPr>
            <w:tcW w:w="1033" w:type="dxa"/>
            <w:vAlign w:val="center"/>
          </w:tcPr>
          <w:p w14:paraId="068E8130" w14:textId="1D8D9372" w:rsidR="000943CD" w:rsidRDefault="000943CD" w:rsidP="000943CD">
            <w:pPr>
              <w:pStyle w:val="Tabletext0"/>
              <w:jc w:val="center"/>
            </w:pPr>
            <w:r>
              <w:rPr>
                <w:rFonts w:cs="Calibri"/>
                <w:color w:val="000000"/>
              </w:rPr>
              <w:t>0.401</w:t>
            </w:r>
          </w:p>
        </w:tc>
        <w:tc>
          <w:tcPr>
            <w:tcW w:w="1146" w:type="dxa"/>
            <w:vAlign w:val="bottom"/>
          </w:tcPr>
          <w:p w14:paraId="23FEBB2C" w14:textId="77777777" w:rsidR="000943CD" w:rsidRDefault="000943CD" w:rsidP="000943CD">
            <w:pPr>
              <w:pStyle w:val="Tabletext0"/>
              <w:jc w:val="center"/>
            </w:pPr>
          </w:p>
        </w:tc>
        <w:tc>
          <w:tcPr>
            <w:tcW w:w="1311" w:type="dxa"/>
            <w:vAlign w:val="center"/>
          </w:tcPr>
          <w:p w14:paraId="7E5F4B51" w14:textId="61B176D6" w:rsidR="000943CD" w:rsidRPr="0044448D" w:rsidRDefault="000943CD" w:rsidP="000943CD">
            <w:pPr>
              <w:pStyle w:val="Tabletext0"/>
              <w:jc w:val="center"/>
            </w:pPr>
            <w:r>
              <w:rPr>
                <w:rFonts w:cs="Calibri"/>
                <w:color w:val="000000"/>
              </w:rPr>
              <w:t>0.401</w:t>
            </w:r>
          </w:p>
        </w:tc>
        <w:tc>
          <w:tcPr>
            <w:tcW w:w="1640" w:type="dxa"/>
            <w:vAlign w:val="center"/>
          </w:tcPr>
          <w:p w14:paraId="28D95571" w14:textId="216D81B8" w:rsidR="000943CD" w:rsidRPr="0017335F" w:rsidRDefault="00AF0C3D" w:rsidP="000943CD">
            <w:pPr>
              <w:pStyle w:val="Tabletext0"/>
              <w:jc w:val="center"/>
            </w:pPr>
            <w:r w:rsidRPr="0017335F">
              <w:rPr>
                <w:rFonts w:cs="Calibri"/>
                <w:color w:val="000000"/>
              </w:rPr>
              <w:t>$2,7</w:t>
            </w:r>
            <w:r w:rsidR="008430C2" w:rsidRPr="0017335F">
              <w:rPr>
                <w:rFonts w:cs="Calibri"/>
                <w:color w:val="000000"/>
              </w:rPr>
              <w:t>44</w:t>
            </w:r>
          </w:p>
        </w:tc>
      </w:tr>
      <w:tr w:rsidR="000943CD" w:rsidRPr="0044448D" w14:paraId="4302D173" w14:textId="77777777" w:rsidTr="005A0FB8">
        <w:tc>
          <w:tcPr>
            <w:tcW w:w="3886" w:type="dxa"/>
          </w:tcPr>
          <w:p w14:paraId="510CED66" w14:textId="6F25A8A4" w:rsidR="000943CD" w:rsidRPr="0044448D" w:rsidRDefault="000943CD" w:rsidP="000943CD">
            <w:pPr>
              <w:pStyle w:val="Tabletext0"/>
              <w:jc w:val="left"/>
            </w:pPr>
            <w:r w:rsidRPr="003C0FCA">
              <w:rPr>
                <w:vertAlign w:val="superscript"/>
              </w:rPr>
              <w:t>#</w:t>
            </w:r>
            <w:r>
              <w:t>NGS variant detection that identified any potentially therapeutic target or regimen/total population</w:t>
            </w:r>
          </w:p>
        </w:tc>
        <w:tc>
          <w:tcPr>
            <w:tcW w:w="1033" w:type="dxa"/>
            <w:vAlign w:val="center"/>
          </w:tcPr>
          <w:p w14:paraId="77FC36F2" w14:textId="4737D14F" w:rsidR="000943CD" w:rsidRPr="0044448D" w:rsidRDefault="000943CD" w:rsidP="000943CD">
            <w:pPr>
              <w:pStyle w:val="Tabletext0"/>
              <w:jc w:val="center"/>
            </w:pPr>
            <w:r>
              <w:rPr>
                <w:rFonts w:cs="Calibri"/>
                <w:color w:val="000000"/>
              </w:rPr>
              <w:t>0.676</w:t>
            </w:r>
          </w:p>
        </w:tc>
        <w:tc>
          <w:tcPr>
            <w:tcW w:w="1146" w:type="dxa"/>
            <w:vAlign w:val="bottom"/>
          </w:tcPr>
          <w:p w14:paraId="21D4DA67" w14:textId="77777777" w:rsidR="000943CD" w:rsidRPr="0044448D" w:rsidRDefault="000943CD" w:rsidP="000943CD">
            <w:pPr>
              <w:pStyle w:val="Tabletext0"/>
              <w:jc w:val="center"/>
            </w:pPr>
          </w:p>
        </w:tc>
        <w:tc>
          <w:tcPr>
            <w:tcW w:w="1311" w:type="dxa"/>
            <w:vAlign w:val="center"/>
          </w:tcPr>
          <w:p w14:paraId="7DCB57E3" w14:textId="6C78D4DF" w:rsidR="000943CD" w:rsidRPr="0044448D" w:rsidRDefault="000943CD" w:rsidP="000943CD">
            <w:pPr>
              <w:pStyle w:val="Tabletext0"/>
              <w:jc w:val="center"/>
            </w:pPr>
            <w:r>
              <w:rPr>
                <w:rFonts w:cs="Calibri"/>
                <w:color w:val="000000"/>
              </w:rPr>
              <w:t>0.676</w:t>
            </w:r>
          </w:p>
        </w:tc>
        <w:tc>
          <w:tcPr>
            <w:tcW w:w="1640" w:type="dxa"/>
            <w:vAlign w:val="center"/>
          </w:tcPr>
          <w:p w14:paraId="7CF7A1B0" w14:textId="62871A5B" w:rsidR="000943CD" w:rsidRPr="0017335F" w:rsidRDefault="00AF0C3D" w:rsidP="000943CD">
            <w:pPr>
              <w:pStyle w:val="Tabletext0"/>
              <w:jc w:val="center"/>
            </w:pPr>
            <w:r w:rsidRPr="0017335F">
              <w:rPr>
                <w:rFonts w:cs="Calibri"/>
                <w:color w:val="000000"/>
              </w:rPr>
              <w:t>$1,6</w:t>
            </w:r>
            <w:r w:rsidR="007139D1" w:rsidRPr="0017335F">
              <w:rPr>
                <w:rFonts w:cs="Calibri"/>
                <w:color w:val="000000"/>
              </w:rPr>
              <w:t>27</w:t>
            </w:r>
          </w:p>
        </w:tc>
      </w:tr>
      <w:tr w:rsidR="000943CD" w:rsidRPr="0044448D" w14:paraId="663D0B92" w14:textId="77777777" w:rsidTr="005A0FB8">
        <w:tc>
          <w:tcPr>
            <w:tcW w:w="3886" w:type="dxa"/>
          </w:tcPr>
          <w:p w14:paraId="5E2A1400" w14:textId="7E3B555B" w:rsidR="000943CD" w:rsidRPr="0044448D" w:rsidRDefault="000943CD" w:rsidP="000943CD">
            <w:pPr>
              <w:pStyle w:val="Tabletext0"/>
              <w:jc w:val="left"/>
            </w:pPr>
            <w:r>
              <w:t xml:space="preserve">Proportion of patients receiving a result that altered diagnosis or prognosis, </w:t>
            </w:r>
            <w:proofErr w:type="gramStart"/>
            <w:r>
              <w:t>refined</w:t>
            </w:r>
            <w:proofErr w:type="gramEnd"/>
            <w:r>
              <w:t xml:space="preserve"> or confirmed diagnosis or identified a potentially therapeutic target or regimen</w:t>
            </w:r>
          </w:p>
        </w:tc>
        <w:tc>
          <w:tcPr>
            <w:tcW w:w="1033" w:type="dxa"/>
            <w:vAlign w:val="center"/>
          </w:tcPr>
          <w:p w14:paraId="0F4E1B12" w14:textId="2F2DE837" w:rsidR="000943CD" w:rsidRPr="0044448D" w:rsidRDefault="000943CD" w:rsidP="000943CD">
            <w:pPr>
              <w:pStyle w:val="Tabletext0"/>
              <w:jc w:val="center"/>
            </w:pPr>
            <w:r>
              <w:rPr>
                <w:rFonts w:cs="Calibri"/>
                <w:color w:val="000000"/>
              </w:rPr>
              <w:t>0.517</w:t>
            </w:r>
          </w:p>
        </w:tc>
        <w:tc>
          <w:tcPr>
            <w:tcW w:w="1146" w:type="dxa"/>
            <w:vAlign w:val="center"/>
          </w:tcPr>
          <w:p w14:paraId="42713790" w14:textId="4B3F7DF8" w:rsidR="000943CD" w:rsidRPr="0044448D" w:rsidRDefault="000943CD" w:rsidP="000943CD">
            <w:pPr>
              <w:pStyle w:val="Tabletext0"/>
              <w:jc w:val="center"/>
            </w:pPr>
          </w:p>
        </w:tc>
        <w:tc>
          <w:tcPr>
            <w:tcW w:w="1311" w:type="dxa"/>
            <w:vAlign w:val="center"/>
          </w:tcPr>
          <w:p w14:paraId="0C6D67BB" w14:textId="65961802" w:rsidR="000943CD" w:rsidRPr="0044448D" w:rsidRDefault="000943CD" w:rsidP="000943CD">
            <w:pPr>
              <w:pStyle w:val="Tabletext0"/>
              <w:jc w:val="center"/>
            </w:pPr>
            <w:r>
              <w:rPr>
                <w:rFonts w:cs="Calibri"/>
                <w:color w:val="000000"/>
              </w:rPr>
              <w:t>0.517</w:t>
            </w:r>
          </w:p>
        </w:tc>
        <w:tc>
          <w:tcPr>
            <w:tcW w:w="1640" w:type="dxa"/>
            <w:vAlign w:val="center"/>
          </w:tcPr>
          <w:p w14:paraId="5C31314C" w14:textId="554FBA50" w:rsidR="000943CD" w:rsidRPr="0017335F" w:rsidRDefault="00AF0C3D" w:rsidP="000943CD">
            <w:pPr>
              <w:pStyle w:val="Tabletext0"/>
              <w:jc w:val="center"/>
            </w:pPr>
            <w:r w:rsidRPr="0017335F">
              <w:rPr>
                <w:rFonts w:cs="Calibri"/>
                <w:color w:val="000000"/>
              </w:rPr>
              <w:t>$2,1</w:t>
            </w:r>
            <w:r w:rsidR="007139D1" w:rsidRPr="0017335F">
              <w:rPr>
                <w:rFonts w:cs="Calibri"/>
                <w:color w:val="000000"/>
              </w:rPr>
              <w:t>26</w:t>
            </w:r>
          </w:p>
        </w:tc>
      </w:tr>
    </w:tbl>
    <w:p w14:paraId="240AB21A" w14:textId="6AF836F8" w:rsidR="005A0FB8" w:rsidRDefault="005A0FB8" w:rsidP="00F60AC2">
      <w:pPr>
        <w:pStyle w:val="TableFooter"/>
      </w:pPr>
      <w:r>
        <w:t>Source DCAR calculations was updated based on MSAC’s advice</w:t>
      </w:r>
    </w:p>
    <w:p w14:paraId="067E7A19" w14:textId="416392FC" w:rsidR="000D6834" w:rsidRDefault="000D6834" w:rsidP="000D6834">
      <w:pPr>
        <w:pStyle w:val="Tablenotes"/>
      </w:pPr>
      <w:r>
        <w:t># Sum of patients with a result informing options for an approved targeted therapy, off-label targeted therapy or experimental therapy – a single patient may receive more than one informative result or change</w:t>
      </w:r>
    </w:p>
    <w:p w14:paraId="2D65DB1D" w14:textId="6192B3A3" w:rsidR="009E7C1C" w:rsidRDefault="000D6834" w:rsidP="000D6834">
      <w:pPr>
        <w:pStyle w:val="Tablenotes"/>
      </w:pPr>
      <w:r>
        <w:t>*Sum of patients with a change in diagnosis, prognosis, treatment with approved therapies – a single patient may receive more than one informative result or change, and a single variant may inform more than one domain</w:t>
      </w:r>
    </w:p>
    <w:p w14:paraId="000E7EED" w14:textId="065C3F61" w:rsidR="009E7C1C" w:rsidRDefault="009E7C1C" w:rsidP="009E7C1C">
      <w:pPr>
        <w:pStyle w:val="Heading4"/>
      </w:pPr>
      <w:r>
        <w:t>Summary and comments on cost-effectiveness of a myeloid panel</w:t>
      </w:r>
    </w:p>
    <w:p w14:paraId="3B8A4682" w14:textId="42BFB488" w:rsidR="00032B4F" w:rsidRPr="00032B4F" w:rsidRDefault="009E7C1C" w:rsidP="00032B4F">
      <w:r>
        <w:t xml:space="preserve">The findings of a lower ICER where prognostic and predictive information are </w:t>
      </w:r>
      <w:r w:rsidR="00E80D89">
        <w:t xml:space="preserve">generated by NGS panel testing indicates the </w:t>
      </w:r>
      <w:r w:rsidR="004E19AD">
        <w:t>value</w:t>
      </w:r>
      <w:r w:rsidR="00E80D89">
        <w:t xml:space="preserve"> of this testing is to </w:t>
      </w:r>
      <w:r w:rsidR="004E19AD">
        <w:t>alter/</w:t>
      </w:r>
      <w:r w:rsidR="00E80D89">
        <w:t xml:space="preserve">refine the diagnosis in a small proportion but contribute significantly to the </w:t>
      </w:r>
      <w:r w:rsidR="004E19AD">
        <w:t>risk stratification</w:t>
      </w:r>
      <w:r w:rsidR="00E652F3">
        <w:t xml:space="preserve"> and</w:t>
      </w:r>
      <w:r w:rsidR="004E19AD">
        <w:t xml:space="preserve"> </w:t>
      </w:r>
      <w:r w:rsidR="00E80D89">
        <w:t>management decisions</w:t>
      </w:r>
      <w:r w:rsidR="00E652F3">
        <w:t xml:space="preserve"> for a significant proportion of the patients tested</w:t>
      </w:r>
      <w:r w:rsidR="004E19AD">
        <w:t xml:space="preserve">. The high ICER for the diagnostic informative results </w:t>
      </w:r>
      <w:r w:rsidR="00E652F3">
        <w:t>-</w:t>
      </w:r>
      <w:r w:rsidR="004E19AD">
        <w:t xml:space="preserve"> likely be lower following early publications based on the WHO HAEM5</w:t>
      </w:r>
      <w:r w:rsidR="00E652F3">
        <w:t xml:space="preserve"> - should be interpreted in context as an alteration in the diagnosis </w:t>
      </w:r>
      <w:proofErr w:type="gramStart"/>
      <w:r w:rsidR="00E652F3">
        <w:t>absolutely fundamental</w:t>
      </w:r>
      <w:proofErr w:type="gramEnd"/>
      <w:r w:rsidR="00E652F3">
        <w:t xml:space="preserve"> to the correct management of the patient’s condition. </w:t>
      </w:r>
      <w:r w:rsidR="00BB138C">
        <w:t xml:space="preserve">This </w:t>
      </w:r>
      <w:r w:rsidR="00E652F3">
        <w:t>demonstrates</w:t>
      </w:r>
      <w:r w:rsidR="00BB138C">
        <w:t xml:space="preserve"> that NGS is </w:t>
      </w:r>
      <w:r w:rsidR="00E652F3">
        <w:t>a</w:t>
      </w:r>
      <w:r w:rsidR="00BB138C">
        <w:t xml:space="preserve"> technology </w:t>
      </w:r>
      <w:r w:rsidR="00E652F3">
        <w:t xml:space="preserve">that should be integrated alongside other clinicopathological findings, </w:t>
      </w:r>
      <w:r w:rsidR="00BB138C">
        <w:t xml:space="preserve">not </w:t>
      </w:r>
      <w:r w:rsidR="00E652F3">
        <w:t xml:space="preserve">be viewed as a </w:t>
      </w:r>
      <w:r w:rsidR="00BB138C">
        <w:t xml:space="preserve">standalone </w:t>
      </w:r>
      <w:r w:rsidR="00E652F3">
        <w:t>test. The range of ICERs also indicate</w:t>
      </w:r>
      <w:r w:rsidR="004E19AD">
        <w:t xml:space="preserve"> that the value of NGS panel testing should be considered across all domains</w:t>
      </w:r>
      <w:r w:rsidR="0096395A">
        <w:t xml:space="preserve"> as patient often have more than one clinically significant variant, and the variant may affect more than one domain</w:t>
      </w:r>
      <w:r w:rsidR="004E19AD">
        <w:t xml:space="preserve">. The findings from these studies underrepresent the value of detecting familial </w:t>
      </w:r>
      <w:r w:rsidR="00E20386">
        <w:t>pathogenic variants</w:t>
      </w:r>
      <w:r w:rsidR="004E19AD">
        <w:t xml:space="preserve"> which was only followed up and reported in one study (Carbonell et al, 2019).</w:t>
      </w:r>
      <w:r w:rsidR="00E20386">
        <w:t xml:space="preserve"> However, this is currently not proposed and there is no MBS item for further investigation of any potential germline variants, nor any cascade testing for families of probands (other than for </w:t>
      </w:r>
      <w:r w:rsidR="00E20386" w:rsidRPr="00E20386">
        <w:rPr>
          <w:i/>
          <w:iCs/>
        </w:rPr>
        <w:t>TP53</w:t>
      </w:r>
      <w:r w:rsidR="00E20386">
        <w:rPr>
          <w:i/>
          <w:iCs/>
        </w:rPr>
        <w:t>).</w:t>
      </w:r>
      <w:bookmarkStart w:id="35" w:name="_Toc111754804"/>
      <w:r w:rsidR="00032B4F">
        <w:br w:type="page"/>
      </w:r>
    </w:p>
    <w:p w14:paraId="517B3CE9" w14:textId="25369F4E" w:rsidR="00CF0F58" w:rsidRDefault="00CF0F58" w:rsidP="00CF0F58">
      <w:pPr>
        <w:pStyle w:val="Heading3"/>
      </w:pPr>
      <w:r>
        <w:lastRenderedPageBreak/>
        <w:t xml:space="preserve">Lymphoid </w:t>
      </w:r>
      <w:r w:rsidR="00E15697">
        <w:t>NGS</w:t>
      </w:r>
      <w:r w:rsidR="00B5043E">
        <w:t xml:space="preserve"> </w:t>
      </w:r>
      <w:r>
        <w:t>panel</w:t>
      </w:r>
      <w:bookmarkEnd w:id="35"/>
    </w:p>
    <w:p w14:paraId="7FDC9A85" w14:textId="77777777" w:rsidR="00CF0F58" w:rsidRDefault="00CF0F58" w:rsidP="00CF0F58">
      <w:pPr>
        <w:pStyle w:val="Heading5"/>
      </w:pPr>
      <w:r>
        <w:t>Bommier et al 2021 Cost-effectiveness of lymphoid NGS panel to resolve diagnostic uncertainty for suspected lymphoma after expert review, prior testing</w:t>
      </w:r>
    </w:p>
    <w:p w14:paraId="40AB8003" w14:textId="6EAB6620" w:rsidR="00CF0F58" w:rsidRDefault="00CF0F58" w:rsidP="00CF0F58">
      <w:pPr>
        <w:pStyle w:val="Caption"/>
      </w:pPr>
      <w:r>
        <w:t xml:space="preserve">Table </w:t>
      </w:r>
      <w:fldSimple w:instr=" SEQ Table \* ARABIC ">
        <w:r w:rsidR="00A165AD">
          <w:rPr>
            <w:noProof/>
          </w:rPr>
          <w:t>18</w:t>
        </w:r>
      </w:fldSimple>
      <w:r w:rsidRPr="00DA2871">
        <w:t xml:space="preserve"> </w:t>
      </w:r>
      <w:r>
        <w:t>Cost-effectiveness analysis of an NGS lymphoid panel used to diagnose patients where there is uncertainty after expert review</w:t>
      </w:r>
      <w:r w:rsidR="00FD12C0">
        <w:t xml:space="preserve"> (as per outcomes reported in Bommier et al 2021)</w:t>
      </w:r>
      <w:r>
        <w:t xml:space="preserve"> </w:t>
      </w:r>
      <w:r w:rsidR="00FD12C0">
        <w:t xml:space="preserve">at the </w:t>
      </w:r>
      <w:r w:rsidR="00FD12C0" w:rsidRPr="0017335F">
        <w:t>MSAC supported fee of $1,100 for DNA and RNA testing</w:t>
      </w:r>
      <w:r w:rsidR="00FD12C0" w:rsidDel="00FD12C0">
        <w:t xml:space="preserve"> </w:t>
      </w:r>
    </w:p>
    <w:tbl>
      <w:tblPr>
        <w:tblStyle w:val="TableGrid"/>
        <w:tblW w:w="0" w:type="auto"/>
        <w:tblLook w:val="04A0" w:firstRow="1" w:lastRow="0" w:firstColumn="1" w:lastColumn="0" w:noHBand="0" w:noVBand="1"/>
      </w:tblPr>
      <w:tblGrid>
        <w:gridCol w:w="3230"/>
        <w:gridCol w:w="1529"/>
        <w:gridCol w:w="1334"/>
        <w:gridCol w:w="1311"/>
        <w:gridCol w:w="1612"/>
      </w:tblGrid>
      <w:tr w:rsidR="00CF0F58" w:rsidRPr="0044448D" w14:paraId="162AE738" w14:textId="77777777" w:rsidTr="005A0FB8">
        <w:tc>
          <w:tcPr>
            <w:tcW w:w="3230" w:type="dxa"/>
          </w:tcPr>
          <w:p w14:paraId="0E5AC105" w14:textId="77777777" w:rsidR="00CF0F58" w:rsidRPr="0044448D" w:rsidRDefault="00CF0F58" w:rsidP="00947725">
            <w:pPr>
              <w:rPr>
                <w:rFonts w:ascii="Arial Narrow" w:hAnsi="Arial Narrow"/>
                <w:b/>
                <w:bCs/>
                <w:sz w:val="20"/>
                <w:szCs w:val="20"/>
              </w:rPr>
            </w:pPr>
            <w:r>
              <w:rPr>
                <w:rFonts w:ascii="Arial Narrow" w:hAnsi="Arial Narrow"/>
                <w:b/>
                <w:bCs/>
                <w:sz w:val="20"/>
                <w:szCs w:val="20"/>
              </w:rPr>
              <w:t>Bommier et al (2021) NGS panel after other tests, expert review</w:t>
            </w:r>
          </w:p>
        </w:tc>
        <w:tc>
          <w:tcPr>
            <w:tcW w:w="1529" w:type="dxa"/>
          </w:tcPr>
          <w:p w14:paraId="4AAB8CB2" w14:textId="08D073E9" w:rsidR="00CF0F58" w:rsidRPr="0044448D" w:rsidRDefault="00F2322A" w:rsidP="00947725">
            <w:pPr>
              <w:pStyle w:val="Tabletext0"/>
              <w:jc w:val="center"/>
              <w:rPr>
                <w:b/>
                <w:bCs/>
              </w:rPr>
            </w:pPr>
            <w:r>
              <w:rPr>
                <w:b/>
                <w:bCs/>
              </w:rPr>
              <w:t>46-gene NGS panel</w:t>
            </w:r>
          </w:p>
        </w:tc>
        <w:tc>
          <w:tcPr>
            <w:tcW w:w="1334" w:type="dxa"/>
          </w:tcPr>
          <w:p w14:paraId="32416520" w14:textId="4E7EDC83" w:rsidR="00CF0F58" w:rsidRPr="0044448D" w:rsidRDefault="00CD713A" w:rsidP="00947725">
            <w:pPr>
              <w:pStyle w:val="Tabletext0"/>
              <w:jc w:val="center"/>
              <w:rPr>
                <w:b/>
                <w:bCs/>
              </w:rPr>
            </w:pPr>
            <w:r>
              <w:rPr>
                <w:rFonts w:cs="Calibri"/>
                <w:b/>
                <w:bCs/>
                <w:color w:val="000000"/>
              </w:rPr>
              <w:t>Comparator (no NGS testing)</w:t>
            </w:r>
          </w:p>
        </w:tc>
        <w:tc>
          <w:tcPr>
            <w:tcW w:w="1311" w:type="dxa"/>
          </w:tcPr>
          <w:p w14:paraId="11D15C03" w14:textId="77777777" w:rsidR="00CF0F58" w:rsidRPr="0044448D" w:rsidRDefault="00CF0F58" w:rsidP="00947725">
            <w:pPr>
              <w:pStyle w:val="Tabletext0"/>
              <w:jc w:val="center"/>
              <w:rPr>
                <w:b/>
                <w:bCs/>
              </w:rPr>
            </w:pPr>
            <w:r w:rsidRPr="0044448D">
              <w:rPr>
                <w:b/>
                <w:bCs/>
              </w:rPr>
              <w:t>Increment</w:t>
            </w:r>
          </w:p>
        </w:tc>
        <w:tc>
          <w:tcPr>
            <w:tcW w:w="1612" w:type="dxa"/>
          </w:tcPr>
          <w:p w14:paraId="27C39B56" w14:textId="339C5B87" w:rsidR="00CF0F58" w:rsidRPr="00AF0C3D" w:rsidRDefault="0017335F" w:rsidP="00947725">
            <w:pPr>
              <w:pStyle w:val="Tabletext0"/>
              <w:jc w:val="center"/>
              <w:rPr>
                <w:b/>
                <w:bCs/>
              </w:rPr>
            </w:pPr>
            <w:r w:rsidRPr="0017335F">
              <w:rPr>
                <w:rFonts w:cs="Calibri"/>
                <w:b/>
                <w:bCs/>
                <w:color w:val="000000"/>
              </w:rPr>
              <w:t>MSAC supported fee of $1,100 for DNA and RNA testing</w:t>
            </w:r>
          </w:p>
        </w:tc>
      </w:tr>
      <w:tr w:rsidR="00B904D2" w:rsidRPr="0044448D" w14:paraId="4A523921" w14:textId="77777777" w:rsidTr="005A0FB8">
        <w:tc>
          <w:tcPr>
            <w:tcW w:w="3230" w:type="dxa"/>
          </w:tcPr>
          <w:p w14:paraId="06F512EF" w14:textId="77777777" w:rsidR="00B904D2" w:rsidRPr="0044448D" w:rsidRDefault="00B904D2" w:rsidP="00B904D2">
            <w:pPr>
              <w:pStyle w:val="Tabletext0"/>
              <w:jc w:val="left"/>
            </w:pPr>
            <w:r w:rsidRPr="0044448D">
              <w:t>Cost of testing</w:t>
            </w:r>
          </w:p>
        </w:tc>
        <w:tc>
          <w:tcPr>
            <w:tcW w:w="1529" w:type="dxa"/>
          </w:tcPr>
          <w:p w14:paraId="02E40829" w14:textId="10700876" w:rsidR="002E6C2E" w:rsidRPr="0017335F" w:rsidRDefault="002E6C2E" w:rsidP="00B904D2">
            <w:pPr>
              <w:pStyle w:val="Tabletext0"/>
              <w:jc w:val="center"/>
            </w:pPr>
            <w:r w:rsidRPr="0017335F">
              <w:rPr>
                <w:rFonts w:cs="Calibri"/>
                <w:color w:val="000000"/>
              </w:rPr>
              <w:t>$1,100</w:t>
            </w:r>
          </w:p>
        </w:tc>
        <w:tc>
          <w:tcPr>
            <w:tcW w:w="1334" w:type="dxa"/>
          </w:tcPr>
          <w:p w14:paraId="0119BC41" w14:textId="4FC93398" w:rsidR="00B904D2" w:rsidRPr="0017335F" w:rsidRDefault="00F2322A" w:rsidP="00B904D2">
            <w:pPr>
              <w:pStyle w:val="Tabletext0"/>
              <w:jc w:val="center"/>
            </w:pPr>
            <w:r w:rsidRPr="0017335F">
              <w:t>$</w:t>
            </w:r>
            <w:r w:rsidR="00B904D2" w:rsidRPr="0017335F">
              <w:t>0</w:t>
            </w:r>
          </w:p>
        </w:tc>
        <w:tc>
          <w:tcPr>
            <w:tcW w:w="1311" w:type="dxa"/>
          </w:tcPr>
          <w:p w14:paraId="5357B54C" w14:textId="3501561C" w:rsidR="002E6C2E" w:rsidRPr="0017335F" w:rsidRDefault="002E6C2E" w:rsidP="00B904D2">
            <w:pPr>
              <w:pStyle w:val="Tabletext0"/>
              <w:jc w:val="center"/>
            </w:pPr>
            <w:r w:rsidRPr="0017335F">
              <w:rPr>
                <w:rFonts w:cs="Calibri"/>
                <w:color w:val="000000"/>
              </w:rPr>
              <w:t>$1,100</w:t>
            </w:r>
          </w:p>
        </w:tc>
        <w:tc>
          <w:tcPr>
            <w:tcW w:w="1612" w:type="dxa"/>
          </w:tcPr>
          <w:p w14:paraId="66D31179" w14:textId="7DED11ED" w:rsidR="00B904D2" w:rsidRPr="0044448D" w:rsidRDefault="0045406B" w:rsidP="00B904D2">
            <w:pPr>
              <w:pStyle w:val="Tabletext0"/>
              <w:jc w:val="center"/>
            </w:pPr>
            <w:r>
              <w:t>-</w:t>
            </w:r>
          </w:p>
        </w:tc>
      </w:tr>
      <w:tr w:rsidR="00B904D2" w:rsidRPr="0044448D" w14:paraId="2C9F5D36" w14:textId="77777777" w:rsidTr="00947725">
        <w:tc>
          <w:tcPr>
            <w:tcW w:w="9016" w:type="dxa"/>
            <w:gridSpan w:val="5"/>
          </w:tcPr>
          <w:p w14:paraId="4F668F96" w14:textId="77777777" w:rsidR="00B904D2" w:rsidRPr="0044448D" w:rsidRDefault="00B904D2" w:rsidP="00B904D2">
            <w:pPr>
              <w:pStyle w:val="Tabletext0"/>
              <w:jc w:val="left"/>
              <w:rPr>
                <w:i/>
                <w:iCs/>
              </w:rPr>
            </w:pPr>
            <w:r w:rsidRPr="0044448D">
              <w:rPr>
                <w:i/>
                <w:iCs/>
              </w:rPr>
              <w:t>Effectiveness measures:</w:t>
            </w:r>
          </w:p>
        </w:tc>
      </w:tr>
      <w:tr w:rsidR="00BA3B66" w:rsidRPr="0044448D" w14:paraId="23768CDA" w14:textId="77777777" w:rsidTr="005A0FB8">
        <w:tc>
          <w:tcPr>
            <w:tcW w:w="3230" w:type="dxa"/>
          </w:tcPr>
          <w:p w14:paraId="78C7B3C9" w14:textId="67A4BED2" w:rsidR="00BA3B66" w:rsidRPr="0044448D" w:rsidRDefault="00BA3B66" w:rsidP="00BA3B66">
            <w:pPr>
              <w:pStyle w:val="Tabletext0"/>
              <w:jc w:val="left"/>
            </w:pPr>
            <w:r>
              <w:t>Proportion of patients with a change in diagnosis</w:t>
            </w:r>
          </w:p>
        </w:tc>
        <w:tc>
          <w:tcPr>
            <w:tcW w:w="1529" w:type="dxa"/>
            <w:vAlign w:val="center"/>
          </w:tcPr>
          <w:p w14:paraId="204917B0" w14:textId="539AD001" w:rsidR="00BA3B66" w:rsidRPr="0044448D" w:rsidRDefault="00BA3B66" w:rsidP="00BA3B66">
            <w:pPr>
              <w:pStyle w:val="Tabletext0"/>
              <w:jc w:val="center"/>
            </w:pPr>
            <w:r>
              <w:rPr>
                <w:rFonts w:cs="Calibri"/>
                <w:color w:val="000000"/>
              </w:rPr>
              <w:t>0.105</w:t>
            </w:r>
          </w:p>
        </w:tc>
        <w:tc>
          <w:tcPr>
            <w:tcW w:w="1334" w:type="dxa"/>
            <w:vAlign w:val="center"/>
          </w:tcPr>
          <w:p w14:paraId="2F1E838B" w14:textId="7EFEB4A2" w:rsidR="00BA3B66" w:rsidRPr="0044448D" w:rsidRDefault="00BA3B66" w:rsidP="00BA3B66">
            <w:pPr>
              <w:pStyle w:val="Tabletext0"/>
              <w:jc w:val="center"/>
            </w:pPr>
            <w:r>
              <w:rPr>
                <w:rFonts w:cs="Calibri"/>
                <w:color w:val="000000"/>
              </w:rPr>
              <w:t>0</w:t>
            </w:r>
          </w:p>
        </w:tc>
        <w:tc>
          <w:tcPr>
            <w:tcW w:w="1311" w:type="dxa"/>
            <w:vAlign w:val="center"/>
          </w:tcPr>
          <w:p w14:paraId="40A945B6" w14:textId="0DAF8214" w:rsidR="00BA3B66" w:rsidRPr="0044448D" w:rsidRDefault="00BA3B66" w:rsidP="00BA3B66">
            <w:pPr>
              <w:pStyle w:val="Tabletext0"/>
              <w:jc w:val="center"/>
            </w:pPr>
            <w:r>
              <w:rPr>
                <w:rFonts w:cs="Calibri"/>
                <w:color w:val="000000"/>
              </w:rPr>
              <w:t>0.105</w:t>
            </w:r>
          </w:p>
        </w:tc>
        <w:tc>
          <w:tcPr>
            <w:tcW w:w="1612" w:type="dxa"/>
            <w:vAlign w:val="center"/>
          </w:tcPr>
          <w:p w14:paraId="38E42545" w14:textId="32EF7D7A" w:rsidR="00BA3B66" w:rsidRPr="0017335F" w:rsidRDefault="00AF0C3D" w:rsidP="00BA3B66">
            <w:pPr>
              <w:pStyle w:val="Tabletext0"/>
              <w:jc w:val="center"/>
            </w:pPr>
            <w:r w:rsidRPr="0017335F">
              <w:rPr>
                <w:rFonts w:cs="Calibri"/>
                <w:color w:val="000000"/>
              </w:rPr>
              <w:t>$10,4</w:t>
            </w:r>
            <w:r w:rsidR="007139D1" w:rsidRPr="0017335F">
              <w:rPr>
                <w:rFonts w:cs="Calibri"/>
                <w:color w:val="000000"/>
              </w:rPr>
              <w:t>96</w:t>
            </w:r>
          </w:p>
        </w:tc>
      </w:tr>
      <w:tr w:rsidR="00BA3B66" w:rsidRPr="0044448D" w14:paraId="69B66C92" w14:textId="77777777" w:rsidTr="005A0FB8">
        <w:tc>
          <w:tcPr>
            <w:tcW w:w="3230" w:type="dxa"/>
          </w:tcPr>
          <w:p w14:paraId="1606574C" w14:textId="550FEC75" w:rsidR="00BA3B66" w:rsidRPr="0044448D" w:rsidRDefault="00BA3B66" w:rsidP="00BA3B66">
            <w:pPr>
              <w:pStyle w:val="Tabletext0"/>
              <w:jc w:val="left"/>
            </w:pPr>
            <w:r>
              <w:t xml:space="preserve">Proportion of patients where NGS </w:t>
            </w:r>
            <w:r w:rsidRPr="00620FC9">
              <w:t xml:space="preserve">strengthened the suspected histological diagnosis </w:t>
            </w:r>
          </w:p>
        </w:tc>
        <w:tc>
          <w:tcPr>
            <w:tcW w:w="1529" w:type="dxa"/>
            <w:vAlign w:val="center"/>
          </w:tcPr>
          <w:p w14:paraId="0C4FB8C2" w14:textId="127AB8EF" w:rsidR="00BA3B66" w:rsidRPr="0044448D" w:rsidRDefault="00BA3B66" w:rsidP="00BA3B66">
            <w:pPr>
              <w:pStyle w:val="Tabletext0"/>
              <w:jc w:val="center"/>
            </w:pPr>
            <w:r>
              <w:rPr>
                <w:rFonts w:cs="Calibri"/>
                <w:color w:val="000000"/>
              </w:rPr>
              <w:t>0.629</w:t>
            </w:r>
          </w:p>
        </w:tc>
        <w:tc>
          <w:tcPr>
            <w:tcW w:w="1334" w:type="dxa"/>
            <w:vAlign w:val="center"/>
          </w:tcPr>
          <w:p w14:paraId="696F9C27" w14:textId="14491EB9" w:rsidR="00BA3B66" w:rsidRPr="0044448D" w:rsidRDefault="00BA3B66" w:rsidP="00BA3B66">
            <w:pPr>
              <w:pStyle w:val="Tabletext0"/>
              <w:jc w:val="center"/>
            </w:pPr>
            <w:r>
              <w:rPr>
                <w:rFonts w:cs="Calibri"/>
                <w:color w:val="000000"/>
              </w:rPr>
              <w:t>0</w:t>
            </w:r>
          </w:p>
        </w:tc>
        <w:tc>
          <w:tcPr>
            <w:tcW w:w="1311" w:type="dxa"/>
            <w:vAlign w:val="center"/>
          </w:tcPr>
          <w:p w14:paraId="79C66E6A" w14:textId="46BCCF18" w:rsidR="00BA3B66" w:rsidRPr="0044448D" w:rsidRDefault="00BA3B66" w:rsidP="00BA3B66">
            <w:pPr>
              <w:pStyle w:val="Tabletext0"/>
              <w:jc w:val="center"/>
            </w:pPr>
            <w:r>
              <w:rPr>
                <w:rFonts w:cs="Calibri"/>
                <w:color w:val="000000"/>
              </w:rPr>
              <w:t>0.629</w:t>
            </w:r>
          </w:p>
        </w:tc>
        <w:tc>
          <w:tcPr>
            <w:tcW w:w="1612" w:type="dxa"/>
            <w:vAlign w:val="center"/>
          </w:tcPr>
          <w:p w14:paraId="4C86C813" w14:textId="65997B8D" w:rsidR="00BA3B66" w:rsidRPr="0017335F" w:rsidRDefault="00AF0C3D" w:rsidP="00BA3B66">
            <w:pPr>
              <w:pStyle w:val="Tabletext0"/>
              <w:jc w:val="center"/>
            </w:pPr>
            <w:r w:rsidRPr="0017335F">
              <w:rPr>
                <w:rFonts w:cs="Calibri"/>
                <w:color w:val="000000"/>
              </w:rPr>
              <w:t>$1,7</w:t>
            </w:r>
            <w:r w:rsidR="007139D1" w:rsidRPr="0017335F">
              <w:rPr>
                <w:rFonts w:cs="Calibri"/>
                <w:color w:val="000000"/>
              </w:rPr>
              <w:t>49</w:t>
            </w:r>
          </w:p>
        </w:tc>
      </w:tr>
      <w:tr w:rsidR="00BA3B66" w:rsidRPr="0044448D" w14:paraId="225CE990" w14:textId="77777777" w:rsidTr="005A0FB8">
        <w:tc>
          <w:tcPr>
            <w:tcW w:w="3230" w:type="dxa"/>
          </w:tcPr>
          <w:p w14:paraId="16701DEB" w14:textId="15271642" w:rsidR="00BA3B66" w:rsidRPr="003C0FCA" w:rsidRDefault="00BA3B66" w:rsidP="00BA3B66">
            <w:pPr>
              <w:pStyle w:val="Tabletext0"/>
              <w:jc w:val="left"/>
              <w:rPr>
                <w:vertAlign w:val="superscript"/>
              </w:rPr>
            </w:pPr>
            <w:r>
              <w:t>Proportion of patients with change or confirmation/strengthening of diagnosis</w:t>
            </w:r>
          </w:p>
        </w:tc>
        <w:tc>
          <w:tcPr>
            <w:tcW w:w="1529" w:type="dxa"/>
            <w:vAlign w:val="center"/>
          </w:tcPr>
          <w:p w14:paraId="66388408" w14:textId="42D0FCD6" w:rsidR="00BA3B66" w:rsidRDefault="00BA3B66" w:rsidP="00BA3B66">
            <w:pPr>
              <w:pStyle w:val="Tabletext0"/>
              <w:jc w:val="center"/>
            </w:pPr>
            <w:r>
              <w:rPr>
                <w:rFonts w:cs="Calibri"/>
                <w:color w:val="000000"/>
              </w:rPr>
              <w:t>0.734</w:t>
            </w:r>
          </w:p>
        </w:tc>
        <w:tc>
          <w:tcPr>
            <w:tcW w:w="1334" w:type="dxa"/>
            <w:vAlign w:val="center"/>
          </w:tcPr>
          <w:p w14:paraId="212E0192" w14:textId="66E61E6A" w:rsidR="00BA3B66" w:rsidRDefault="00BA3B66" w:rsidP="00BA3B66">
            <w:pPr>
              <w:pStyle w:val="Tabletext0"/>
              <w:jc w:val="center"/>
            </w:pPr>
            <w:r>
              <w:rPr>
                <w:rFonts w:cs="Calibri"/>
                <w:color w:val="000000"/>
              </w:rPr>
              <w:t> </w:t>
            </w:r>
          </w:p>
        </w:tc>
        <w:tc>
          <w:tcPr>
            <w:tcW w:w="1311" w:type="dxa"/>
            <w:vAlign w:val="center"/>
          </w:tcPr>
          <w:p w14:paraId="7CFF0FA2" w14:textId="4CA73B14" w:rsidR="00BA3B66" w:rsidRPr="0044448D" w:rsidRDefault="00BA3B66" w:rsidP="00BA3B66">
            <w:pPr>
              <w:pStyle w:val="Tabletext0"/>
              <w:jc w:val="center"/>
            </w:pPr>
            <w:r>
              <w:rPr>
                <w:rFonts w:cs="Calibri"/>
                <w:color w:val="000000"/>
              </w:rPr>
              <w:t>0.734</w:t>
            </w:r>
          </w:p>
        </w:tc>
        <w:tc>
          <w:tcPr>
            <w:tcW w:w="1612" w:type="dxa"/>
            <w:vAlign w:val="center"/>
          </w:tcPr>
          <w:p w14:paraId="6007B2A2" w14:textId="6A79E6E4" w:rsidR="00BA3B66" w:rsidRPr="0017335F" w:rsidRDefault="00AF0C3D" w:rsidP="00BA3B66">
            <w:pPr>
              <w:pStyle w:val="Tabletext0"/>
              <w:jc w:val="center"/>
            </w:pPr>
            <w:r w:rsidRPr="0017335F">
              <w:rPr>
                <w:rFonts w:cs="Calibri"/>
                <w:color w:val="000000"/>
              </w:rPr>
              <w:t>$1,49</w:t>
            </w:r>
            <w:r w:rsidR="007139D1" w:rsidRPr="0017335F">
              <w:rPr>
                <w:rFonts w:cs="Calibri"/>
                <w:color w:val="000000"/>
              </w:rPr>
              <w:t>9</w:t>
            </w:r>
          </w:p>
        </w:tc>
      </w:tr>
      <w:tr w:rsidR="00BA3B66" w:rsidRPr="0044448D" w14:paraId="5AECE351" w14:textId="77777777" w:rsidTr="005A0FB8">
        <w:tc>
          <w:tcPr>
            <w:tcW w:w="3230" w:type="dxa"/>
          </w:tcPr>
          <w:p w14:paraId="617904B0" w14:textId="2E662C68" w:rsidR="00BA3B66" w:rsidRPr="00512733" w:rsidRDefault="00BA3B66" w:rsidP="00BA3B66">
            <w:pPr>
              <w:pStyle w:val="Tabletext0"/>
              <w:jc w:val="left"/>
            </w:pPr>
            <w:r>
              <w:t>Proportion of patients where the management altered where change in diagnosis</w:t>
            </w:r>
          </w:p>
        </w:tc>
        <w:tc>
          <w:tcPr>
            <w:tcW w:w="1529" w:type="dxa"/>
            <w:vAlign w:val="center"/>
          </w:tcPr>
          <w:p w14:paraId="7AB5C9CC" w14:textId="72E83C5E" w:rsidR="00BA3B66" w:rsidRDefault="00BA3B66" w:rsidP="00BA3B66">
            <w:pPr>
              <w:pStyle w:val="Tabletext0"/>
              <w:jc w:val="center"/>
            </w:pPr>
            <w:r>
              <w:rPr>
                <w:rFonts w:cs="Calibri"/>
                <w:color w:val="000000"/>
              </w:rPr>
              <w:t>0.083</w:t>
            </w:r>
          </w:p>
        </w:tc>
        <w:tc>
          <w:tcPr>
            <w:tcW w:w="1334" w:type="dxa"/>
            <w:vAlign w:val="center"/>
          </w:tcPr>
          <w:p w14:paraId="2B0B8C99" w14:textId="69DB483C" w:rsidR="00BA3B66" w:rsidRDefault="00BA3B66" w:rsidP="00BA3B66">
            <w:pPr>
              <w:pStyle w:val="Tabletext0"/>
              <w:jc w:val="center"/>
            </w:pPr>
            <w:r>
              <w:rPr>
                <w:rFonts w:cs="Calibri"/>
                <w:color w:val="000000"/>
              </w:rPr>
              <w:t> </w:t>
            </w:r>
          </w:p>
        </w:tc>
        <w:tc>
          <w:tcPr>
            <w:tcW w:w="1311" w:type="dxa"/>
            <w:vAlign w:val="center"/>
          </w:tcPr>
          <w:p w14:paraId="751D9C3A" w14:textId="6E62478F" w:rsidR="00BA3B66" w:rsidRPr="0044448D" w:rsidRDefault="00BA3B66" w:rsidP="00BA3B66">
            <w:pPr>
              <w:pStyle w:val="Tabletext0"/>
              <w:jc w:val="center"/>
            </w:pPr>
            <w:r>
              <w:rPr>
                <w:rFonts w:cs="Calibri"/>
                <w:color w:val="000000"/>
              </w:rPr>
              <w:t>0.083</w:t>
            </w:r>
          </w:p>
        </w:tc>
        <w:tc>
          <w:tcPr>
            <w:tcW w:w="1612" w:type="dxa"/>
            <w:vAlign w:val="center"/>
          </w:tcPr>
          <w:p w14:paraId="0BFF4453" w14:textId="491EE860" w:rsidR="00BA3B66" w:rsidRPr="0017335F" w:rsidRDefault="00AF0C3D" w:rsidP="00BA3B66">
            <w:pPr>
              <w:pStyle w:val="Tabletext0"/>
              <w:jc w:val="center"/>
            </w:pPr>
            <w:r w:rsidRPr="0017335F">
              <w:rPr>
                <w:rFonts w:cs="Calibri"/>
                <w:color w:val="000000"/>
              </w:rPr>
              <w:t>$13,</w:t>
            </w:r>
            <w:r w:rsidR="007139D1" w:rsidRPr="0017335F">
              <w:rPr>
                <w:rFonts w:cs="Calibri"/>
                <w:color w:val="000000"/>
              </w:rPr>
              <w:t>258</w:t>
            </w:r>
          </w:p>
        </w:tc>
      </w:tr>
      <w:tr w:rsidR="00BA3B66" w:rsidRPr="0044448D" w14:paraId="4F73DEEF" w14:textId="77777777" w:rsidTr="005A0FB8">
        <w:tc>
          <w:tcPr>
            <w:tcW w:w="3230" w:type="dxa"/>
          </w:tcPr>
          <w:p w14:paraId="4CD978FC" w14:textId="5DB0240B" w:rsidR="00BA3B66" w:rsidRDefault="00BA3B66" w:rsidP="00BA3B66">
            <w:pPr>
              <w:pStyle w:val="Tabletext0"/>
              <w:jc w:val="left"/>
            </w:pPr>
            <w:r>
              <w:t>Proportion of patients with confirmed exclusion of malignancy where residual uncertainty</w:t>
            </w:r>
          </w:p>
        </w:tc>
        <w:tc>
          <w:tcPr>
            <w:tcW w:w="1529" w:type="dxa"/>
            <w:vAlign w:val="center"/>
          </w:tcPr>
          <w:p w14:paraId="4E033E3A" w14:textId="42D9DD3B" w:rsidR="00BA3B66" w:rsidRDefault="00BA3B66" w:rsidP="00BA3B66">
            <w:pPr>
              <w:pStyle w:val="Tabletext0"/>
              <w:jc w:val="center"/>
            </w:pPr>
            <w:r>
              <w:rPr>
                <w:rFonts w:cs="Calibri"/>
                <w:color w:val="000000"/>
              </w:rPr>
              <w:t>0.079</w:t>
            </w:r>
          </w:p>
        </w:tc>
        <w:tc>
          <w:tcPr>
            <w:tcW w:w="1334" w:type="dxa"/>
            <w:vAlign w:val="center"/>
          </w:tcPr>
          <w:p w14:paraId="6D771960" w14:textId="63CC31B6" w:rsidR="00BA3B66" w:rsidRDefault="00BA3B66" w:rsidP="00BA3B66">
            <w:pPr>
              <w:pStyle w:val="Tabletext0"/>
              <w:jc w:val="center"/>
            </w:pPr>
            <w:r>
              <w:rPr>
                <w:rFonts w:cs="Calibri"/>
                <w:color w:val="000000"/>
              </w:rPr>
              <w:t> </w:t>
            </w:r>
          </w:p>
        </w:tc>
        <w:tc>
          <w:tcPr>
            <w:tcW w:w="1311" w:type="dxa"/>
            <w:vAlign w:val="center"/>
          </w:tcPr>
          <w:p w14:paraId="0D155DB5" w14:textId="190C1719" w:rsidR="00BA3B66" w:rsidRPr="0044448D" w:rsidRDefault="00BA3B66" w:rsidP="00BA3B66">
            <w:pPr>
              <w:pStyle w:val="Tabletext0"/>
              <w:jc w:val="center"/>
            </w:pPr>
            <w:r>
              <w:rPr>
                <w:rFonts w:cs="Calibri"/>
                <w:color w:val="000000"/>
              </w:rPr>
              <w:t>0.079</w:t>
            </w:r>
          </w:p>
        </w:tc>
        <w:tc>
          <w:tcPr>
            <w:tcW w:w="1612" w:type="dxa"/>
            <w:vAlign w:val="center"/>
          </w:tcPr>
          <w:p w14:paraId="07B8968A" w14:textId="510B9B99" w:rsidR="00BA3B66" w:rsidRPr="0017335F" w:rsidRDefault="00AF0C3D" w:rsidP="00BA3B66">
            <w:pPr>
              <w:pStyle w:val="Tabletext0"/>
              <w:jc w:val="center"/>
            </w:pPr>
            <w:r w:rsidRPr="0017335F">
              <w:rPr>
                <w:rFonts w:cs="Calibri"/>
                <w:color w:val="000000"/>
              </w:rPr>
              <w:t>$13,9</w:t>
            </w:r>
            <w:r w:rsidR="007139D1" w:rsidRPr="0017335F">
              <w:rPr>
                <w:rFonts w:cs="Calibri"/>
                <w:color w:val="000000"/>
              </w:rPr>
              <w:t>94</w:t>
            </w:r>
          </w:p>
        </w:tc>
      </w:tr>
    </w:tbl>
    <w:p w14:paraId="30318635" w14:textId="64A24CA7" w:rsidR="005A0FB8" w:rsidRDefault="005A0FB8" w:rsidP="00F60AC2">
      <w:pPr>
        <w:pStyle w:val="TableFooter"/>
      </w:pPr>
      <w:r>
        <w:t>Source DCAR calculations was updated based on MSAC’s advice</w:t>
      </w:r>
    </w:p>
    <w:p w14:paraId="44CF9158" w14:textId="43084AFC" w:rsidR="00CF0F58" w:rsidRDefault="00CF0F58" w:rsidP="00CF0F58">
      <w:pPr>
        <w:pStyle w:val="Heading5"/>
      </w:pPr>
      <w:r>
        <w:t>Jajosky et al 2021 Cost-effectiveness of routine NGS testing of patients with suspected low-grade lymphoproliferative disorders, including 16 patients where other tests likely to be inconclusive</w:t>
      </w:r>
    </w:p>
    <w:p w14:paraId="5F93F6E0" w14:textId="455D19B8" w:rsidR="00CF0F58" w:rsidRDefault="00CF0F58" w:rsidP="00CF0F58">
      <w:pPr>
        <w:pStyle w:val="Caption"/>
      </w:pPr>
      <w:r>
        <w:t xml:space="preserve">Table </w:t>
      </w:r>
      <w:fldSimple w:instr=" SEQ Table \* ARABIC ">
        <w:r w:rsidR="00A165AD">
          <w:rPr>
            <w:noProof/>
          </w:rPr>
          <w:t>19</w:t>
        </w:r>
      </w:fldSimple>
      <w:r w:rsidRPr="002959E8">
        <w:t xml:space="preserve"> </w:t>
      </w:r>
      <w:r>
        <w:t>Cost-effectiveness analysis of an NGS lymphoid panel used routinely to diagnose patients with a low-grade lymphoproliferative disorder including those unlikely to be diagnosed with conventional testing</w:t>
      </w:r>
      <w:r w:rsidR="00FD12C0">
        <w:t xml:space="preserve"> (as per outcomes reported in Jajosky et al 2021) at the </w:t>
      </w:r>
      <w:r w:rsidR="00FD12C0" w:rsidRPr="0017335F">
        <w:t>MSAC supported fee of $1,100 for DNA and RNA testing</w:t>
      </w:r>
    </w:p>
    <w:tbl>
      <w:tblPr>
        <w:tblStyle w:val="TableGrid"/>
        <w:tblW w:w="5000" w:type="pct"/>
        <w:tblLook w:val="04A0" w:firstRow="1" w:lastRow="0" w:firstColumn="1" w:lastColumn="0" w:noHBand="0" w:noVBand="1"/>
      </w:tblPr>
      <w:tblGrid>
        <w:gridCol w:w="3599"/>
        <w:gridCol w:w="1311"/>
        <w:gridCol w:w="1217"/>
        <w:gridCol w:w="1311"/>
        <w:gridCol w:w="1578"/>
      </w:tblGrid>
      <w:tr w:rsidR="00CD713A" w14:paraId="3B40947F" w14:textId="77777777" w:rsidTr="005A0FB8">
        <w:tc>
          <w:tcPr>
            <w:tcW w:w="1996" w:type="pct"/>
          </w:tcPr>
          <w:p w14:paraId="4A72DBDF" w14:textId="191FB8C3" w:rsidR="00CD713A" w:rsidRDefault="00CD713A" w:rsidP="00CD713A">
            <w:pPr>
              <w:pStyle w:val="Tabletext0"/>
            </w:pPr>
            <w:r>
              <w:rPr>
                <w:rFonts w:cs="Calibri"/>
                <w:b/>
                <w:bCs/>
                <w:color w:val="000000"/>
                <w:lang w:eastAsia="en-GB"/>
              </w:rPr>
              <w:t>Jajosky et al (2021)</w:t>
            </w:r>
            <w:r w:rsidRPr="00522D64">
              <w:rPr>
                <w:rFonts w:cs="Calibri"/>
                <w:b/>
                <w:bCs/>
                <w:color w:val="000000"/>
                <w:lang w:eastAsia="en-GB"/>
              </w:rPr>
              <w:t xml:space="preserve"> </w:t>
            </w:r>
            <w:r w:rsidR="008B599D" w:rsidRPr="00522D64">
              <w:rPr>
                <w:rFonts w:cs="Calibri"/>
                <w:b/>
                <w:bCs/>
                <w:color w:val="000000"/>
                <w:lang w:eastAsia="en-GB"/>
              </w:rPr>
              <w:t xml:space="preserve">NGS </w:t>
            </w:r>
            <w:r w:rsidR="008B599D">
              <w:rPr>
                <w:rFonts w:cs="Calibri"/>
                <w:b/>
                <w:bCs/>
                <w:color w:val="000000"/>
                <w:lang w:eastAsia="en-GB"/>
              </w:rPr>
              <w:t xml:space="preserve">Routine </w:t>
            </w:r>
            <w:r w:rsidR="008B599D" w:rsidRPr="00522D64">
              <w:rPr>
                <w:rFonts w:cs="Calibri"/>
                <w:b/>
                <w:bCs/>
                <w:color w:val="000000"/>
                <w:lang w:eastAsia="en-GB"/>
              </w:rPr>
              <w:t xml:space="preserve">panel testing </w:t>
            </w:r>
            <w:r w:rsidR="008B599D">
              <w:rPr>
                <w:rFonts w:cs="Calibri"/>
                <w:b/>
                <w:bCs/>
                <w:color w:val="000000"/>
                <w:lang w:eastAsia="en-GB"/>
              </w:rPr>
              <w:t>as part of initial work-up</w:t>
            </w:r>
          </w:p>
        </w:tc>
        <w:tc>
          <w:tcPr>
            <w:tcW w:w="727" w:type="pct"/>
            <w:vAlign w:val="center"/>
          </w:tcPr>
          <w:p w14:paraId="3369D474" w14:textId="179E9357" w:rsidR="00CD713A" w:rsidRDefault="00F2322A" w:rsidP="00CD713A">
            <w:pPr>
              <w:pStyle w:val="Tabletext0"/>
              <w:rPr>
                <w:rFonts w:cs="Calibri"/>
                <w:b/>
                <w:bCs/>
                <w:color w:val="000000"/>
                <w:lang w:eastAsia="en-GB"/>
              </w:rPr>
            </w:pPr>
            <w:r>
              <w:rPr>
                <w:b/>
                <w:bCs/>
              </w:rPr>
              <w:t>31-gene NGS panel</w:t>
            </w:r>
          </w:p>
        </w:tc>
        <w:tc>
          <w:tcPr>
            <w:tcW w:w="675" w:type="pct"/>
            <w:vAlign w:val="center"/>
          </w:tcPr>
          <w:p w14:paraId="7E0822D4" w14:textId="4545D372" w:rsidR="00CD713A" w:rsidRDefault="00CD713A" w:rsidP="00CD713A">
            <w:pPr>
              <w:pStyle w:val="Tabletext0"/>
              <w:rPr>
                <w:rFonts w:cs="Calibri"/>
                <w:b/>
                <w:bCs/>
                <w:color w:val="000000"/>
                <w:lang w:eastAsia="en-GB"/>
              </w:rPr>
            </w:pPr>
            <w:r>
              <w:rPr>
                <w:rFonts w:cs="Calibri"/>
                <w:b/>
                <w:bCs/>
                <w:color w:val="000000"/>
              </w:rPr>
              <w:t>Comparator (no NGS)</w:t>
            </w:r>
          </w:p>
        </w:tc>
        <w:tc>
          <w:tcPr>
            <w:tcW w:w="727" w:type="pct"/>
            <w:vAlign w:val="center"/>
          </w:tcPr>
          <w:p w14:paraId="192D242A" w14:textId="77777777" w:rsidR="00CD713A" w:rsidRDefault="00CD713A" w:rsidP="00CD713A">
            <w:pPr>
              <w:pStyle w:val="Tabletext0"/>
              <w:rPr>
                <w:rFonts w:cs="Calibri"/>
                <w:b/>
                <w:bCs/>
                <w:color w:val="000000"/>
                <w:lang w:eastAsia="en-GB"/>
              </w:rPr>
            </w:pPr>
            <w:r>
              <w:rPr>
                <w:rFonts w:cs="Calibri"/>
                <w:b/>
                <w:bCs/>
                <w:color w:val="000000"/>
              </w:rPr>
              <w:t>Increment</w:t>
            </w:r>
          </w:p>
        </w:tc>
        <w:tc>
          <w:tcPr>
            <w:tcW w:w="875" w:type="pct"/>
            <w:vAlign w:val="center"/>
          </w:tcPr>
          <w:p w14:paraId="73D1308D" w14:textId="71CEFFBC" w:rsidR="00CD713A" w:rsidRPr="00AF0C3D" w:rsidRDefault="00C7361F" w:rsidP="00CD713A">
            <w:pPr>
              <w:pStyle w:val="Tabletext0"/>
              <w:rPr>
                <w:rFonts w:cs="Calibri"/>
                <w:b/>
                <w:bCs/>
                <w:color w:val="000000"/>
                <w:lang w:eastAsia="en-GB"/>
              </w:rPr>
            </w:pPr>
            <w:r w:rsidRPr="0017335F">
              <w:rPr>
                <w:rFonts w:cs="Calibri"/>
                <w:b/>
                <w:bCs/>
                <w:color w:val="000000"/>
              </w:rPr>
              <w:t>MSAC supported fee of $1,100 for DNA and RNA testing</w:t>
            </w:r>
          </w:p>
        </w:tc>
      </w:tr>
      <w:tr w:rsidR="00CD713A" w14:paraId="0B3D923A" w14:textId="77777777" w:rsidTr="005A0FB8">
        <w:tc>
          <w:tcPr>
            <w:tcW w:w="1996" w:type="pct"/>
          </w:tcPr>
          <w:p w14:paraId="378DAEF8" w14:textId="77777777" w:rsidR="00CD713A" w:rsidRDefault="00CD713A" w:rsidP="00CD713A">
            <w:pPr>
              <w:pStyle w:val="Tabletext0"/>
            </w:pPr>
            <w:r w:rsidRPr="0044448D">
              <w:t>Cost of testing</w:t>
            </w:r>
          </w:p>
        </w:tc>
        <w:tc>
          <w:tcPr>
            <w:tcW w:w="727" w:type="pct"/>
          </w:tcPr>
          <w:p w14:paraId="517E29F9" w14:textId="04915163" w:rsidR="002E6C2E" w:rsidRPr="00C7361F" w:rsidRDefault="002E6C2E" w:rsidP="00CD713A">
            <w:pPr>
              <w:pStyle w:val="Tabletext0"/>
            </w:pPr>
            <w:r w:rsidRPr="00C7361F">
              <w:rPr>
                <w:rFonts w:cs="Calibri"/>
                <w:color w:val="000000"/>
              </w:rPr>
              <w:t>$1,100</w:t>
            </w:r>
          </w:p>
        </w:tc>
        <w:tc>
          <w:tcPr>
            <w:tcW w:w="675" w:type="pct"/>
            <w:vAlign w:val="center"/>
          </w:tcPr>
          <w:p w14:paraId="701D130A" w14:textId="3C49BA84" w:rsidR="00CD713A" w:rsidRPr="00C7361F" w:rsidRDefault="00CD713A" w:rsidP="00CD713A">
            <w:pPr>
              <w:pStyle w:val="Tabletext0"/>
            </w:pPr>
            <w:r w:rsidRPr="00C7361F">
              <w:rPr>
                <w:rFonts w:cs="Calibri"/>
                <w:color w:val="000000"/>
              </w:rPr>
              <w:t> $0</w:t>
            </w:r>
          </w:p>
        </w:tc>
        <w:tc>
          <w:tcPr>
            <w:tcW w:w="727" w:type="pct"/>
          </w:tcPr>
          <w:p w14:paraId="267061D1" w14:textId="56DBCFEC" w:rsidR="002E6C2E" w:rsidRPr="00C7361F" w:rsidRDefault="002E6C2E" w:rsidP="00CD713A">
            <w:pPr>
              <w:pStyle w:val="Tabletext0"/>
            </w:pPr>
            <w:r w:rsidRPr="00C7361F">
              <w:rPr>
                <w:rFonts w:cs="Calibri"/>
                <w:color w:val="000000"/>
              </w:rPr>
              <w:t>$1,100</w:t>
            </w:r>
          </w:p>
        </w:tc>
        <w:tc>
          <w:tcPr>
            <w:tcW w:w="875" w:type="pct"/>
          </w:tcPr>
          <w:p w14:paraId="40655A14" w14:textId="7E5EC3FF" w:rsidR="00CD713A" w:rsidRDefault="0045406B" w:rsidP="00CD713A">
            <w:pPr>
              <w:pStyle w:val="Tabletext0"/>
            </w:pPr>
            <w:r>
              <w:t>-</w:t>
            </w:r>
          </w:p>
        </w:tc>
      </w:tr>
      <w:tr w:rsidR="00B904D2" w14:paraId="3B95DCA2" w14:textId="77777777" w:rsidTr="005A0FB8">
        <w:tc>
          <w:tcPr>
            <w:tcW w:w="1996" w:type="pct"/>
          </w:tcPr>
          <w:p w14:paraId="541F7032" w14:textId="77777777" w:rsidR="00B904D2" w:rsidRDefault="00B904D2" w:rsidP="00B904D2">
            <w:pPr>
              <w:pStyle w:val="Tabletext0"/>
            </w:pPr>
            <w:r w:rsidRPr="0044448D">
              <w:rPr>
                <w:i/>
                <w:iCs/>
              </w:rPr>
              <w:t>Effectiveness measures:</w:t>
            </w:r>
          </w:p>
        </w:tc>
        <w:tc>
          <w:tcPr>
            <w:tcW w:w="727" w:type="pct"/>
          </w:tcPr>
          <w:p w14:paraId="551FFFAF" w14:textId="77777777" w:rsidR="00B904D2" w:rsidRDefault="00B904D2" w:rsidP="00B904D2">
            <w:pPr>
              <w:pStyle w:val="Tabletext0"/>
            </w:pPr>
          </w:p>
        </w:tc>
        <w:tc>
          <w:tcPr>
            <w:tcW w:w="675" w:type="pct"/>
          </w:tcPr>
          <w:p w14:paraId="47A0CE64" w14:textId="77777777" w:rsidR="00B904D2" w:rsidRDefault="00B904D2" w:rsidP="00B904D2">
            <w:pPr>
              <w:pStyle w:val="Tabletext0"/>
            </w:pPr>
          </w:p>
        </w:tc>
        <w:tc>
          <w:tcPr>
            <w:tcW w:w="727" w:type="pct"/>
          </w:tcPr>
          <w:p w14:paraId="7F1AA8CB" w14:textId="77777777" w:rsidR="00B904D2" w:rsidRDefault="00B904D2" w:rsidP="00B904D2">
            <w:pPr>
              <w:pStyle w:val="Tabletext0"/>
            </w:pPr>
          </w:p>
        </w:tc>
        <w:tc>
          <w:tcPr>
            <w:tcW w:w="875" w:type="pct"/>
          </w:tcPr>
          <w:p w14:paraId="3CCA651D" w14:textId="77777777" w:rsidR="00B904D2" w:rsidRDefault="00B904D2" w:rsidP="00B904D2">
            <w:pPr>
              <w:pStyle w:val="Tabletext0"/>
            </w:pPr>
          </w:p>
        </w:tc>
      </w:tr>
      <w:tr w:rsidR="00BA3B66" w14:paraId="2514FEED" w14:textId="77777777" w:rsidTr="005A0FB8">
        <w:tc>
          <w:tcPr>
            <w:tcW w:w="1996" w:type="pct"/>
          </w:tcPr>
          <w:p w14:paraId="7F3DF72F" w14:textId="79F85ADB" w:rsidR="00BA3B66" w:rsidRDefault="00BA3B66" w:rsidP="00BA3B66">
            <w:pPr>
              <w:pStyle w:val="Tabletext0"/>
            </w:pPr>
            <w:r>
              <w:t>Proportion of patients with ≥1 clinically significant variant</w:t>
            </w:r>
          </w:p>
        </w:tc>
        <w:tc>
          <w:tcPr>
            <w:tcW w:w="727" w:type="pct"/>
            <w:vAlign w:val="center"/>
          </w:tcPr>
          <w:p w14:paraId="0740B918" w14:textId="3A86621A" w:rsidR="00BA3B66" w:rsidRDefault="00BA3B66" w:rsidP="00BA3B66">
            <w:pPr>
              <w:pStyle w:val="Tabletext0"/>
            </w:pPr>
            <w:r>
              <w:rPr>
                <w:rFonts w:cs="Calibri"/>
                <w:color w:val="000000"/>
              </w:rPr>
              <w:t>0.626</w:t>
            </w:r>
          </w:p>
        </w:tc>
        <w:tc>
          <w:tcPr>
            <w:tcW w:w="675" w:type="pct"/>
            <w:vAlign w:val="center"/>
          </w:tcPr>
          <w:p w14:paraId="59097A4D" w14:textId="3189F80B" w:rsidR="00BA3B66" w:rsidRDefault="00BA3B66" w:rsidP="00BA3B66">
            <w:pPr>
              <w:pStyle w:val="Tabletext0"/>
            </w:pPr>
            <w:r>
              <w:rPr>
                <w:rFonts w:cs="Calibri"/>
                <w:color w:val="000000"/>
              </w:rPr>
              <w:t> </w:t>
            </w:r>
          </w:p>
        </w:tc>
        <w:tc>
          <w:tcPr>
            <w:tcW w:w="727" w:type="pct"/>
            <w:vAlign w:val="center"/>
          </w:tcPr>
          <w:p w14:paraId="5BA5B8BC" w14:textId="5B896E86" w:rsidR="00BA3B66" w:rsidRDefault="00BA3B66" w:rsidP="00BA3B66">
            <w:pPr>
              <w:pStyle w:val="Tabletext0"/>
            </w:pPr>
            <w:r>
              <w:rPr>
                <w:rFonts w:cs="Calibri"/>
                <w:color w:val="000000"/>
              </w:rPr>
              <w:t>0.626</w:t>
            </w:r>
          </w:p>
        </w:tc>
        <w:tc>
          <w:tcPr>
            <w:tcW w:w="875" w:type="pct"/>
            <w:vAlign w:val="center"/>
          </w:tcPr>
          <w:p w14:paraId="7FACD930" w14:textId="633013E0" w:rsidR="00BA3B66" w:rsidRPr="00C7361F" w:rsidRDefault="0002580C" w:rsidP="00BA3B66">
            <w:pPr>
              <w:pStyle w:val="Tabletext0"/>
            </w:pPr>
            <w:r w:rsidRPr="00C7361F">
              <w:rPr>
                <w:rFonts w:cs="Calibri"/>
                <w:color w:val="000000"/>
              </w:rPr>
              <w:t>$1,7</w:t>
            </w:r>
            <w:r w:rsidR="007139D1" w:rsidRPr="00C7361F">
              <w:rPr>
                <w:rFonts w:cs="Calibri"/>
                <w:color w:val="000000"/>
              </w:rPr>
              <w:t>58</w:t>
            </w:r>
          </w:p>
        </w:tc>
      </w:tr>
      <w:tr w:rsidR="00BA3B66" w14:paraId="7E209E59" w14:textId="77777777" w:rsidTr="005A0FB8">
        <w:tc>
          <w:tcPr>
            <w:tcW w:w="1996" w:type="pct"/>
          </w:tcPr>
          <w:p w14:paraId="31848092" w14:textId="0AE131A0" w:rsidR="00BA3B66" w:rsidRDefault="00BA3B66" w:rsidP="00BA3B66">
            <w:pPr>
              <w:pStyle w:val="Tabletext0"/>
            </w:pPr>
            <w:r>
              <w:t>* Proportion of patients receiving a diagnosis where not previously possible</w:t>
            </w:r>
          </w:p>
        </w:tc>
        <w:tc>
          <w:tcPr>
            <w:tcW w:w="727" w:type="pct"/>
            <w:vAlign w:val="center"/>
          </w:tcPr>
          <w:p w14:paraId="43453CE7" w14:textId="403DD75A" w:rsidR="00BA3B66" w:rsidRDefault="00BA3B66" w:rsidP="00BA3B66">
            <w:pPr>
              <w:pStyle w:val="Tabletext0"/>
            </w:pPr>
            <w:r>
              <w:rPr>
                <w:rFonts w:cs="Calibri"/>
                <w:color w:val="000000"/>
              </w:rPr>
              <w:t>0.625</w:t>
            </w:r>
          </w:p>
        </w:tc>
        <w:tc>
          <w:tcPr>
            <w:tcW w:w="675" w:type="pct"/>
            <w:vAlign w:val="center"/>
          </w:tcPr>
          <w:p w14:paraId="523E37EB" w14:textId="5C7D74ED" w:rsidR="00BA3B66" w:rsidRDefault="00BA3B66" w:rsidP="00BA3B66">
            <w:pPr>
              <w:pStyle w:val="Tabletext0"/>
            </w:pPr>
            <w:r>
              <w:rPr>
                <w:rFonts w:cs="Calibri"/>
                <w:color w:val="000000"/>
              </w:rPr>
              <w:t> </w:t>
            </w:r>
          </w:p>
        </w:tc>
        <w:tc>
          <w:tcPr>
            <w:tcW w:w="727" w:type="pct"/>
            <w:vAlign w:val="center"/>
          </w:tcPr>
          <w:p w14:paraId="37F40F95" w14:textId="72D16490" w:rsidR="00BA3B66" w:rsidRDefault="00BA3B66" w:rsidP="00BA3B66">
            <w:pPr>
              <w:pStyle w:val="Tabletext0"/>
            </w:pPr>
            <w:r>
              <w:rPr>
                <w:rFonts w:cs="Calibri"/>
                <w:color w:val="000000"/>
              </w:rPr>
              <w:t>0.625</w:t>
            </w:r>
          </w:p>
        </w:tc>
        <w:tc>
          <w:tcPr>
            <w:tcW w:w="875" w:type="pct"/>
            <w:vAlign w:val="center"/>
          </w:tcPr>
          <w:p w14:paraId="29069F79" w14:textId="09B36CE8" w:rsidR="00BA3B66" w:rsidRPr="00C7361F" w:rsidRDefault="0002580C" w:rsidP="00BA3B66">
            <w:pPr>
              <w:pStyle w:val="Tabletext0"/>
            </w:pPr>
            <w:r w:rsidRPr="00C7361F">
              <w:rPr>
                <w:rFonts w:cs="Calibri"/>
                <w:color w:val="000000"/>
              </w:rPr>
              <w:t>$1,7</w:t>
            </w:r>
            <w:r w:rsidR="007139D1" w:rsidRPr="00C7361F">
              <w:rPr>
                <w:rFonts w:cs="Calibri"/>
                <w:color w:val="000000"/>
              </w:rPr>
              <w:t>60</w:t>
            </w:r>
          </w:p>
        </w:tc>
      </w:tr>
      <w:tr w:rsidR="00BA3B66" w14:paraId="208F3EA9" w14:textId="77777777" w:rsidTr="005A0FB8">
        <w:tc>
          <w:tcPr>
            <w:tcW w:w="1996" w:type="pct"/>
          </w:tcPr>
          <w:p w14:paraId="4467C1C8" w14:textId="46F2B728" w:rsidR="00BA3B66" w:rsidRDefault="00BA3B66" w:rsidP="00BA3B66">
            <w:pPr>
              <w:pStyle w:val="Tabletext0"/>
            </w:pPr>
            <w:r>
              <w:t>Proportion of patients where diagnosis assisted (new or increased certainty)</w:t>
            </w:r>
          </w:p>
        </w:tc>
        <w:tc>
          <w:tcPr>
            <w:tcW w:w="727" w:type="pct"/>
            <w:vAlign w:val="center"/>
          </w:tcPr>
          <w:p w14:paraId="5B81DC76" w14:textId="71656763" w:rsidR="00BA3B66" w:rsidRDefault="00BA3B66" w:rsidP="00BA3B66">
            <w:pPr>
              <w:pStyle w:val="Tabletext0"/>
            </w:pPr>
            <w:r>
              <w:rPr>
                <w:rFonts w:cs="Calibri"/>
                <w:color w:val="000000"/>
              </w:rPr>
              <w:t>0.252</w:t>
            </w:r>
          </w:p>
        </w:tc>
        <w:tc>
          <w:tcPr>
            <w:tcW w:w="675" w:type="pct"/>
            <w:vAlign w:val="center"/>
          </w:tcPr>
          <w:p w14:paraId="1FF38DA9" w14:textId="5404874C" w:rsidR="00BA3B66" w:rsidRDefault="00BA3B66" w:rsidP="00BA3B66">
            <w:pPr>
              <w:pStyle w:val="Tabletext0"/>
            </w:pPr>
            <w:r>
              <w:rPr>
                <w:rFonts w:cs="Calibri"/>
                <w:color w:val="000000"/>
              </w:rPr>
              <w:t> </w:t>
            </w:r>
          </w:p>
        </w:tc>
        <w:tc>
          <w:tcPr>
            <w:tcW w:w="727" w:type="pct"/>
            <w:vAlign w:val="center"/>
          </w:tcPr>
          <w:p w14:paraId="5D8E4A5C" w14:textId="1475527A" w:rsidR="00BA3B66" w:rsidRDefault="00BA3B66" w:rsidP="00BA3B66">
            <w:pPr>
              <w:pStyle w:val="Tabletext0"/>
            </w:pPr>
            <w:r>
              <w:rPr>
                <w:rFonts w:cs="Calibri"/>
                <w:color w:val="000000"/>
              </w:rPr>
              <w:t>0.252</w:t>
            </w:r>
          </w:p>
        </w:tc>
        <w:tc>
          <w:tcPr>
            <w:tcW w:w="875" w:type="pct"/>
            <w:vAlign w:val="center"/>
          </w:tcPr>
          <w:p w14:paraId="36C78D94" w14:textId="4009CE42" w:rsidR="00BA3B66" w:rsidRPr="00C7361F" w:rsidRDefault="0002580C" w:rsidP="00BA3B66">
            <w:pPr>
              <w:pStyle w:val="Tabletext0"/>
            </w:pPr>
            <w:r w:rsidRPr="00C7361F">
              <w:rPr>
                <w:rFonts w:cs="Calibri"/>
                <w:color w:val="000000"/>
              </w:rPr>
              <w:t>$4,3</w:t>
            </w:r>
            <w:r w:rsidR="007139D1" w:rsidRPr="00C7361F">
              <w:rPr>
                <w:rFonts w:cs="Calibri"/>
                <w:color w:val="000000"/>
              </w:rPr>
              <w:t>70</w:t>
            </w:r>
          </w:p>
        </w:tc>
      </w:tr>
      <w:tr w:rsidR="00BA3B66" w14:paraId="52B9C35E" w14:textId="77777777" w:rsidTr="005A0FB8">
        <w:tc>
          <w:tcPr>
            <w:tcW w:w="1996" w:type="pct"/>
          </w:tcPr>
          <w:p w14:paraId="32638F58" w14:textId="2BD87360" w:rsidR="00BA3B66" w:rsidRDefault="00BA3B66" w:rsidP="00BA3B66">
            <w:pPr>
              <w:pStyle w:val="Tabletext0"/>
            </w:pPr>
            <w:r>
              <w:t xml:space="preserve">Proportion of patients receiving prognostic information </w:t>
            </w:r>
          </w:p>
        </w:tc>
        <w:tc>
          <w:tcPr>
            <w:tcW w:w="727" w:type="pct"/>
            <w:vAlign w:val="center"/>
          </w:tcPr>
          <w:p w14:paraId="307EF46B" w14:textId="6D4FB282" w:rsidR="00BA3B66" w:rsidRDefault="00BA3B66" w:rsidP="00BA3B66">
            <w:pPr>
              <w:pStyle w:val="Tabletext0"/>
            </w:pPr>
            <w:r>
              <w:rPr>
                <w:rFonts w:cs="Calibri"/>
                <w:color w:val="000000"/>
              </w:rPr>
              <w:t>0.340</w:t>
            </w:r>
          </w:p>
        </w:tc>
        <w:tc>
          <w:tcPr>
            <w:tcW w:w="675" w:type="pct"/>
            <w:vAlign w:val="center"/>
          </w:tcPr>
          <w:p w14:paraId="1173715C" w14:textId="3D6B5E44" w:rsidR="00BA3B66" w:rsidRDefault="00BA3B66" w:rsidP="00BA3B66">
            <w:pPr>
              <w:pStyle w:val="Tabletext0"/>
            </w:pPr>
            <w:r>
              <w:rPr>
                <w:rFonts w:cs="Calibri"/>
                <w:color w:val="000000"/>
              </w:rPr>
              <w:t> </w:t>
            </w:r>
          </w:p>
        </w:tc>
        <w:tc>
          <w:tcPr>
            <w:tcW w:w="727" w:type="pct"/>
            <w:vAlign w:val="center"/>
          </w:tcPr>
          <w:p w14:paraId="14D08AA6" w14:textId="7A1FDF29" w:rsidR="00BA3B66" w:rsidRDefault="00BA3B66" w:rsidP="00BA3B66">
            <w:pPr>
              <w:pStyle w:val="Tabletext0"/>
            </w:pPr>
            <w:r>
              <w:rPr>
                <w:rFonts w:cs="Calibri"/>
                <w:color w:val="000000"/>
              </w:rPr>
              <w:t>0.340</w:t>
            </w:r>
          </w:p>
        </w:tc>
        <w:tc>
          <w:tcPr>
            <w:tcW w:w="875" w:type="pct"/>
            <w:vAlign w:val="center"/>
          </w:tcPr>
          <w:p w14:paraId="1F63CCF0" w14:textId="10C3403E" w:rsidR="00BA3B66" w:rsidRPr="00C7361F" w:rsidRDefault="0002580C" w:rsidP="00BA3B66">
            <w:pPr>
              <w:pStyle w:val="Tabletext0"/>
            </w:pPr>
            <w:r w:rsidRPr="00C7361F">
              <w:rPr>
                <w:rFonts w:cs="Calibri"/>
                <w:color w:val="000000"/>
              </w:rPr>
              <w:t>$3,2</w:t>
            </w:r>
            <w:r w:rsidR="007139D1" w:rsidRPr="00C7361F">
              <w:rPr>
                <w:rFonts w:cs="Calibri"/>
                <w:color w:val="000000"/>
              </w:rPr>
              <w:t>34</w:t>
            </w:r>
          </w:p>
        </w:tc>
      </w:tr>
      <w:tr w:rsidR="00BA3B66" w14:paraId="3822880D" w14:textId="77777777" w:rsidTr="005A0FB8">
        <w:tc>
          <w:tcPr>
            <w:tcW w:w="1996" w:type="pct"/>
          </w:tcPr>
          <w:p w14:paraId="3B88BF1F" w14:textId="02D7774C" w:rsidR="00BA3B66" w:rsidRDefault="00BA3B66" w:rsidP="00BA3B66">
            <w:pPr>
              <w:pStyle w:val="Tabletext0"/>
            </w:pPr>
            <w:r>
              <w:lastRenderedPageBreak/>
              <w:t>Proportion of patients receiving result identifying an approved therapy</w:t>
            </w:r>
            <w:r w:rsidRPr="00620FC9">
              <w:t xml:space="preserve"> </w:t>
            </w:r>
          </w:p>
        </w:tc>
        <w:tc>
          <w:tcPr>
            <w:tcW w:w="727" w:type="pct"/>
            <w:vAlign w:val="center"/>
          </w:tcPr>
          <w:p w14:paraId="0818D72A" w14:textId="1468760A" w:rsidR="00BA3B66" w:rsidRDefault="00BA3B66" w:rsidP="00BA3B66">
            <w:pPr>
              <w:pStyle w:val="Tabletext0"/>
            </w:pPr>
            <w:r>
              <w:rPr>
                <w:rFonts w:cs="Calibri"/>
                <w:color w:val="000000"/>
              </w:rPr>
              <w:t>0.184</w:t>
            </w:r>
          </w:p>
        </w:tc>
        <w:tc>
          <w:tcPr>
            <w:tcW w:w="675" w:type="pct"/>
            <w:vAlign w:val="center"/>
          </w:tcPr>
          <w:p w14:paraId="3C032400" w14:textId="3E242059" w:rsidR="00BA3B66" w:rsidRDefault="00BA3B66" w:rsidP="00BA3B66">
            <w:pPr>
              <w:pStyle w:val="Tabletext0"/>
            </w:pPr>
            <w:r>
              <w:rPr>
                <w:rFonts w:cs="Calibri"/>
                <w:color w:val="000000"/>
              </w:rPr>
              <w:t> </w:t>
            </w:r>
          </w:p>
        </w:tc>
        <w:tc>
          <w:tcPr>
            <w:tcW w:w="727" w:type="pct"/>
            <w:vAlign w:val="center"/>
          </w:tcPr>
          <w:p w14:paraId="5F88E140" w14:textId="2B01ED30" w:rsidR="00BA3B66" w:rsidRDefault="00BA3B66" w:rsidP="00BA3B66">
            <w:pPr>
              <w:pStyle w:val="Tabletext0"/>
            </w:pPr>
            <w:r>
              <w:rPr>
                <w:rFonts w:cs="Calibri"/>
                <w:color w:val="000000"/>
              </w:rPr>
              <w:t>0.184</w:t>
            </w:r>
          </w:p>
        </w:tc>
        <w:tc>
          <w:tcPr>
            <w:tcW w:w="875" w:type="pct"/>
            <w:vAlign w:val="center"/>
          </w:tcPr>
          <w:p w14:paraId="21363882" w14:textId="0A2ED228" w:rsidR="00BA3B66" w:rsidRPr="00C7361F" w:rsidRDefault="0002580C" w:rsidP="00BA3B66">
            <w:pPr>
              <w:pStyle w:val="Tabletext0"/>
            </w:pPr>
            <w:r w:rsidRPr="00C7361F">
              <w:rPr>
                <w:rFonts w:cs="Calibri"/>
                <w:color w:val="000000"/>
              </w:rPr>
              <w:t>$5,9</w:t>
            </w:r>
            <w:r w:rsidR="007139D1" w:rsidRPr="00C7361F">
              <w:rPr>
                <w:rFonts w:cs="Calibri"/>
                <w:color w:val="000000"/>
              </w:rPr>
              <w:t>89</w:t>
            </w:r>
          </w:p>
        </w:tc>
      </w:tr>
      <w:tr w:rsidR="00BA3B66" w14:paraId="479DF29B" w14:textId="77777777" w:rsidTr="005A0FB8">
        <w:tc>
          <w:tcPr>
            <w:tcW w:w="1996" w:type="pct"/>
          </w:tcPr>
          <w:p w14:paraId="1FCA36BD" w14:textId="1F4190A6" w:rsidR="00BA3B66" w:rsidRDefault="00BA3B66" w:rsidP="00BA3B66">
            <w:pPr>
              <w:pStyle w:val="Tabletext0"/>
            </w:pPr>
            <w:r>
              <w:t>Proportion of patients receiving result identifying an off-label or investigational therapy</w:t>
            </w:r>
          </w:p>
        </w:tc>
        <w:tc>
          <w:tcPr>
            <w:tcW w:w="727" w:type="pct"/>
            <w:vAlign w:val="center"/>
          </w:tcPr>
          <w:p w14:paraId="2BA2A63C" w14:textId="69F15DD7" w:rsidR="00BA3B66" w:rsidRDefault="00BA3B66" w:rsidP="00BA3B66">
            <w:pPr>
              <w:pStyle w:val="Tabletext0"/>
            </w:pPr>
            <w:r>
              <w:rPr>
                <w:rFonts w:cs="Calibri"/>
                <w:color w:val="000000"/>
              </w:rPr>
              <w:t>0.177</w:t>
            </w:r>
          </w:p>
        </w:tc>
        <w:tc>
          <w:tcPr>
            <w:tcW w:w="675" w:type="pct"/>
            <w:vAlign w:val="center"/>
          </w:tcPr>
          <w:p w14:paraId="19D020C5" w14:textId="711886DD" w:rsidR="00BA3B66" w:rsidRDefault="00BA3B66" w:rsidP="00BA3B66">
            <w:pPr>
              <w:pStyle w:val="Tabletext0"/>
            </w:pPr>
            <w:r>
              <w:rPr>
                <w:rFonts w:cs="Calibri"/>
                <w:color w:val="000000"/>
              </w:rPr>
              <w:t> </w:t>
            </w:r>
          </w:p>
        </w:tc>
        <w:tc>
          <w:tcPr>
            <w:tcW w:w="727" w:type="pct"/>
            <w:vAlign w:val="center"/>
          </w:tcPr>
          <w:p w14:paraId="6085D84B" w14:textId="336FB593" w:rsidR="00BA3B66" w:rsidRDefault="00BA3B66" w:rsidP="00BA3B66">
            <w:pPr>
              <w:pStyle w:val="Tabletext0"/>
            </w:pPr>
            <w:r>
              <w:rPr>
                <w:rFonts w:cs="Calibri"/>
                <w:color w:val="000000"/>
              </w:rPr>
              <w:t>0.177</w:t>
            </w:r>
          </w:p>
        </w:tc>
        <w:tc>
          <w:tcPr>
            <w:tcW w:w="875" w:type="pct"/>
            <w:vAlign w:val="center"/>
          </w:tcPr>
          <w:p w14:paraId="09C78DF7" w14:textId="465583D0" w:rsidR="00BA3B66" w:rsidRPr="00C7361F" w:rsidRDefault="0002580C" w:rsidP="00BA3B66">
            <w:pPr>
              <w:pStyle w:val="Tabletext0"/>
            </w:pPr>
            <w:r w:rsidRPr="00C7361F">
              <w:rPr>
                <w:rFonts w:cs="Calibri"/>
                <w:color w:val="000000"/>
              </w:rPr>
              <w:t>$6,</w:t>
            </w:r>
            <w:r w:rsidR="007139D1" w:rsidRPr="00C7361F">
              <w:rPr>
                <w:rFonts w:cs="Calibri"/>
                <w:color w:val="000000"/>
              </w:rPr>
              <w:t>219</w:t>
            </w:r>
          </w:p>
        </w:tc>
      </w:tr>
      <w:tr w:rsidR="00BA3B66" w14:paraId="678B9DDD" w14:textId="77777777" w:rsidTr="005A0FB8">
        <w:tc>
          <w:tcPr>
            <w:tcW w:w="1996" w:type="pct"/>
          </w:tcPr>
          <w:p w14:paraId="1170EECA" w14:textId="701C426B" w:rsidR="00BA3B66" w:rsidRDefault="00BA3B66" w:rsidP="00BA3B66">
            <w:pPr>
              <w:pStyle w:val="Tabletext0"/>
            </w:pPr>
            <w:r>
              <w:t>Proportion of patients receiving a result and management altered where change in diagnosis</w:t>
            </w:r>
          </w:p>
        </w:tc>
        <w:tc>
          <w:tcPr>
            <w:tcW w:w="727" w:type="pct"/>
            <w:vAlign w:val="center"/>
          </w:tcPr>
          <w:p w14:paraId="348583FD" w14:textId="07843878" w:rsidR="00BA3B66" w:rsidRDefault="00BA3B66" w:rsidP="00BA3B66">
            <w:pPr>
              <w:pStyle w:val="Tabletext0"/>
            </w:pPr>
            <w:r>
              <w:rPr>
                <w:rFonts w:cs="Calibri"/>
                <w:color w:val="000000"/>
              </w:rPr>
              <w:t>0.517</w:t>
            </w:r>
          </w:p>
        </w:tc>
        <w:tc>
          <w:tcPr>
            <w:tcW w:w="675" w:type="pct"/>
            <w:vAlign w:val="center"/>
          </w:tcPr>
          <w:p w14:paraId="01255B21" w14:textId="51F4D114" w:rsidR="00BA3B66" w:rsidRDefault="00BA3B66" w:rsidP="00BA3B66">
            <w:pPr>
              <w:pStyle w:val="Tabletext0"/>
            </w:pPr>
            <w:r>
              <w:rPr>
                <w:rFonts w:cs="Calibri"/>
                <w:color w:val="000000"/>
              </w:rPr>
              <w:t> </w:t>
            </w:r>
          </w:p>
        </w:tc>
        <w:tc>
          <w:tcPr>
            <w:tcW w:w="727" w:type="pct"/>
            <w:vAlign w:val="center"/>
          </w:tcPr>
          <w:p w14:paraId="1125A8C7" w14:textId="50544E11" w:rsidR="00BA3B66" w:rsidRDefault="00BA3B66" w:rsidP="00BA3B66">
            <w:pPr>
              <w:pStyle w:val="Tabletext0"/>
            </w:pPr>
            <w:r>
              <w:rPr>
                <w:rFonts w:cs="Calibri"/>
                <w:color w:val="000000"/>
              </w:rPr>
              <w:t>0.517</w:t>
            </w:r>
          </w:p>
        </w:tc>
        <w:tc>
          <w:tcPr>
            <w:tcW w:w="875" w:type="pct"/>
            <w:vAlign w:val="center"/>
          </w:tcPr>
          <w:p w14:paraId="6CC89F13" w14:textId="55A2D47D" w:rsidR="00BA3B66" w:rsidRPr="00C7361F" w:rsidRDefault="0002580C" w:rsidP="00BA3B66">
            <w:pPr>
              <w:pStyle w:val="Tabletext0"/>
            </w:pPr>
            <w:r w:rsidRPr="00C7361F">
              <w:rPr>
                <w:rFonts w:cs="Calibri"/>
                <w:color w:val="000000"/>
              </w:rPr>
              <w:t>$2,1</w:t>
            </w:r>
            <w:r w:rsidR="007139D1" w:rsidRPr="00C7361F">
              <w:rPr>
                <w:rFonts w:cs="Calibri"/>
                <w:color w:val="000000"/>
              </w:rPr>
              <w:t>28</w:t>
            </w:r>
          </w:p>
        </w:tc>
      </w:tr>
    </w:tbl>
    <w:p w14:paraId="419A3038" w14:textId="3D99741D" w:rsidR="005A0FB8" w:rsidRDefault="005A0FB8" w:rsidP="00624B27">
      <w:pPr>
        <w:pStyle w:val="TableFooter"/>
      </w:pPr>
      <w:r>
        <w:t>Source DCAR calculations was updated based on MSAC’s advice</w:t>
      </w:r>
    </w:p>
    <w:p w14:paraId="4899D6EA" w14:textId="4FAD2CBD" w:rsidR="00CF0F58" w:rsidRDefault="00624B27" w:rsidP="00624B27">
      <w:pPr>
        <w:pStyle w:val="TableFooter"/>
      </w:pPr>
      <w:r>
        <w:t>* 10/16 patients were given a diagnosis where this was not previously possible</w:t>
      </w:r>
    </w:p>
    <w:p w14:paraId="50D69B49" w14:textId="77777777" w:rsidR="00CF0F58" w:rsidRDefault="00CF0F58" w:rsidP="00CF0F58">
      <w:pPr>
        <w:pStyle w:val="Heading5"/>
      </w:pPr>
      <w:r>
        <w:t xml:space="preserve">Jajosky et al 2021 Routine NGS panel testing of samples </w:t>
      </w:r>
      <w:proofErr w:type="gramStart"/>
      <w:r>
        <w:t>where</w:t>
      </w:r>
      <w:proofErr w:type="gramEnd"/>
      <w:r>
        <w:t xml:space="preserve"> suspected chronic lymphocytic leukaemia </w:t>
      </w:r>
    </w:p>
    <w:p w14:paraId="40375A9C" w14:textId="457344E3" w:rsidR="00CF0F58" w:rsidRDefault="00CF0F58" w:rsidP="00CF0F58">
      <w:pPr>
        <w:pStyle w:val="Caption"/>
      </w:pPr>
      <w:r>
        <w:t xml:space="preserve">Table </w:t>
      </w:r>
      <w:fldSimple w:instr=" SEQ Table \* ARABIC ">
        <w:r w:rsidR="00A165AD">
          <w:rPr>
            <w:noProof/>
          </w:rPr>
          <w:t>20</w:t>
        </w:r>
      </w:fldSimple>
      <w:r w:rsidRPr="00A024B9">
        <w:t xml:space="preserve"> </w:t>
      </w:r>
      <w:r>
        <w:t>Cost-effectiveness analysis of an NGS lymphoid panel used routinely in patients with chronic lymphocytic leukaemia</w:t>
      </w:r>
      <w:r w:rsidR="00A165AD">
        <w:t xml:space="preserve"> (as per outcomes reported in Jajosky et al 2021)</w:t>
      </w:r>
      <w:r>
        <w:t xml:space="preserve"> </w:t>
      </w:r>
      <w:r w:rsidR="00FD12C0">
        <w:t xml:space="preserve">at the </w:t>
      </w:r>
      <w:r w:rsidR="00FD12C0" w:rsidRPr="0017335F">
        <w:t>MSAC supported fee of $1,100 for DNA and RNA testing</w:t>
      </w:r>
    </w:p>
    <w:tbl>
      <w:tblPr>
        <w:tblStyle w:val="TableGrid"/>
        <w:tblW w:w="5000" w:type="pct"/>
        <w:tblLook w:val="04A0" w:firstRow="1" w:lastRow="0" w:firstColumn="1" w:lastColumn="0" w:noHBand="0" w:noVBand="1"/>
      </w:tblPr>
      <w:tblGrid>
        <w:gridCol w:w="3609"/>
        <w:gridCol w:w="1352"/>
        <w:gridCol w:w="1352"/>
        <w:gridCol w:w="1053"/>
        <w:gridCol w:w="1650"/>
      </w:tblGrid>
      <w:tr w:rsidR="00CD713A" w14:paraId="6BC2469F" w14:textId="77777777" w:rsidTr="00020E89">
        <w:tc>
          <w:tcPr>
            <w:tcW w:w="2001" w:type="pct"/>
          </w:tcPr>
          <w:p w14:paraId="269BF774" w14:textId="77777777" w:rsidR="00CD713A" w:rsidRDefault="00CD713A" w:rsidP="00020E89">
            <w:pPr>
              <w:pStyle w:val="Tabletext0"/>
              <w:keepNext/>
            </w:pPr>
            <w:r>
              <w:rPr>
                <w:rFonts w:cs="Calibri"/>
                <w:b/>
                <w:bCs/>
                <w:color w:val="000000"/>
                <w:lang w:eastAsia="en-GB"/>
              </w:rPr>
              <w:t>Jajosky et al 2021</w:t>
            </w:r>
            <w:r w:rsidRPr="00522D64">
              <w:rPr>
                <w:rFonts w:cs="Calibri"/>
                <w:b/>
                <w:bCs/>
                <w:color w:val="000000"/>
                <w:lang w:eastAsia="en-GB"/>
              </w:rPr>
              <w:t xml:space="preserve"> NGS panel testing</w:t>
            </w:r>
            <w:r>
              <w:rPr>
                <w:rFonts w:cs="Calibri"/>
                <w:b/>
                <w:bCs/>
                <w:color w:val="000000"/>
                <w:lang w:eastAsia="en-GB"/>
              </w:rPr>
              <w:t xml:space="preserve"> </w:t>
            </w:r>
            <w:r w:rsidRPr="000511D7">
              <w:rPr>
                <w:b/>
                <w:bCs/>
              </w:rPr>
              <w:t>Chronic lymphocytic leukaemia</w:t>
            </w:r>
          </w:p>
        </w:tc>
        <w:tc>
          <w:tcPr>
            <w:tcW w:w="750" w:type="pct"/>
            <w:vAlign w:val="center"/>
          </w:tcPr>
          <w:p w14:paraId="4870DC61" w14:textId="29A4ACE0" w:rsidR="00CD713A" w:rsidRDefault="00F2322A" w:rsidP="00020E89">
            <w:pPr>
              <w:pStyle w:val="Tabletext0"/>
              <w:keepNext/>
              <w:rPr>
                <w:rFonts w:cs="Calibri"/>
                <w:b/>
                <w:bCs/>
                <w:color w:val="000000"/>
                <w:lang w:eastAsia="en-GB"/>
              </w:rPr>
            </w:pPr>
            <w:r>
              <w:rPr>
                <w:rFonts w:cs="Calibri"/>
                <w:b/>
                <w:bCs/>
                <w:color w:val="000000"/>
              </w:rPr>
              <w:t>31-gene NGS panel</w:t>
            </w:r>
          </w:p>
        </w:tc>
        <w:tc>
          <w:tcPr>
            <w:tcW w:w="750" w:type="pct"/>
            <w:vAlign w:val="center"/>
          </w:tcPr>
          <w:p w14:paraId="2CC35AC5" w14:textId="4A0A4539" w:rsidR="00CD713A" w:rsidRDefault="00CD713A" w:rsidP="00020E89">
            <w:pPr>
              <w:pStyle w:val="Tabletext0"/>
              <w:keepNext/>
              <w:rPr>
                <w:rFonts w:cs="Calibri"/>
                <w:b/>
                <w:bCs/>
                <w:color w:val="000000"/>
                <w:lang w:eastAsia="en-GB"/>
              </w:rPr>
            </w:pPr>
            <w:r>
              <w:rPr>
                <w:rFonts w:cs="Calibri"/>
                <w:b/>
                <w:bCs/>
                <w:color w:val="000000"/>
              </w:rPr>
              <w:t>Comparator (no NGS)</w:t>
            </w:r>
          </w:p>
        </w:tc>
        <w:tc>
          <w:tcPr>
            <w:tcW w:w="584" w:type="pct"/>
            <w:vAlign w:val="center"/>
          </w:tcPr>
          <w:p w14:paraId="5D7DEFC3" w14:textId="77777777" w:rsidR="00CD713A" w:rsidRDefault="00CD713A" w:rsidP="00020E89">
            <w:pPr>
              <w:pStyle w:val="Tabletext0"/>
              <w:keepNext/>
              <w:rPr>
                <w:rFonts w:cs="Calibri"/>
                <w:b/>
                <w:bCs/>
                <w:color w:val="000000"/>
                <w:lang w:eastAsia="en-GB"/>
              </w:rPr>
            </w:pPr>
            <w:r>
              <w:rPr>
                <w:rFonts w:cs="Calibri"/>
                <w:b/>
                <w:bCs/>
                <w:color w:val="000000"/>
              </w:rPr>
              <w:t>Increment</w:t>
            </w:r>
          </w:p>
        </w:tc>
        <w:tc>
          <w:tcPr>
            <w:tcW w:w="915" w:type="pct"/>
            <w:vAlign w:val="center"/>
          </w:tcPr>
          <w:p w14:paraId="4363EE85" w14:textId="4D5FC650" w:rsidR="00CD713A" w:rsidRPr="00AF0C3D" w:rsidRDefault="00C7361F" w:rsidP="00020E89">
            <w:pPr>
              <w:pStyle w:val="Tabletext0"/>
              <w:keepNext/>
              <w:rPr>
                <w:rFonts w:cs="Calibri"/>
                <w:b/>
                <w:bCs/>
                <w:color w:val="000000"/>
                <w:lang w:eastAsia="en-GB"/>
              </w:rPr>
            </w:pPr>
            <w:r w:rsidRPr="0017335F">
              <w:rPr>
                <w:rFonts w:cs="Calibri"/>
                <w:b/>
                <w:bCs/>
                <w:color w:val="000000"/>
              </w:rPr>
              <w:t>MSAC supported fee of $1,100 for DNA and RNA testing</w:t>
            </w:r>
          </w:p>
        </w:tc>
      </w:tr>
      <w:tr w:rsidR="00A97CD4" w14:paraId="43DD652A" w14:textId="77777777" w:rsidTr="00020E89">
        <w:tc>
          <w:tcPr>
            <w:tcW w:w="2001" w:type="pct"/>
          </w:tcPr>
          <w:p w14:paraId="5440C42A" w14:textId="22225BB8" w:rsidR="00A97CD4" w:rsidRDefault="00F15618" w:rsidP="00020E89">
            <w:pPr>
              <w:pStyle w:val="Tabletext0"/>
              <w:keepNext/>
            </w:pPr>
            <w:r>
              <w:t>Cost of testing</w:t>
            </w:r>
          </w:p>
        </w:tc>
        <w:tc>
          <w:tcPr>
            <w:tcW w:w="750" w:type="pct"/>
            <w:vAlign w:val="center"/>
          </w:tcPr>
          <w:p w14:paraId="53B26349" w14:textId="6E47D682" w:rsidR="002E6C2E" w:rsidRPr="005A0FB8" w:rsidRDefault="002E6C2E" w:rsidP="00020E89">
            <w:pPr>
              <w:pStyle w:val="Tabletext0"/>
              <w:keepNext/>
              <w:rPr>
                <w:rFonts w:cs="Calibri"/>
                <w:color w:val="000000"/>
              </w:rPr>
            </w:pPr>
            <w:r w:rsidRPr="005A0FB8">
              <w:rPr>
                <w:rFonts w:cs="Calibri"/>
                <w:color w:val="000000"/>
              </w:rPr>
              <w:t>$1,100</w:t>
            </w:r>
          </w:p>
        </w:tc>
        <w:tc>
          <w:tcPr>
            <w:tcW w:w="750" w:type="pct"/>
            <w:vAlign w:val="center"/>
          </w:tcPr>
          <w:p w14:paraId="7D97D42A" w14:textId="06C117EA" w:rsidR="00A97CD4" w:rsidRPr="005A0FB8" w:rsidRDefault="00A97CD4" w:rsidP="00020E89">
            <w:pPr>
              <w:pStyle w:val="Tabletext0"/>
              <w:keepNext/>
              <w:rPr>
                <w:rFonts w:cs="Calibri"/>
                <w:color w:val="000000"/>
              </w:rPr>
            </w:pPr>
            <w:r w:rsidRPr="005A0FB8">
              <w:rPr>
                <w:rFonts w:cs="Calibri"/>
                <w:color w:val="000000"/>
              </w:rPr>
              <w:t> $0</w:t>
            </w:r>
          </w:p>
        </w:tc>
        <w:tc>
          <w:tcPr>
            <w:tcW w:w="584" w:type="pct"/>
            <w:vAlign w:val="center"/>
          </w:tcPr>
          <w:p w14:paraId="44B337A2" w14:textId="54FD2533" w:rsidR="002E6C2E" w:rsidRPr="005A0FB8" w:rsidRDefault="002E6C2E" w:rsidP="00020E89">
            <w:pPr>
              <w:pStyle w:val="Tabletext0"/>
              <w:keepNext/>
              <w:rPr>
                <w:rFonts w:cs="Calibri"/>
                <w:color w:val="000000"/>
              </w:rPr>
            </w:pPr>
            <w:r w:rsidRPr="005A0FB8">
              <w:rPr>
                <w:rFonts w:cs="Calibri"/>
                <w:color w:val="000000"/>
              </w:rPr>
              <w:t>$1,100</w:t>
            </w:r>
          </w:p>
        </w:tc>
        <w:tc>
          <w:tcPr>
            <w:tcW w:w="915" w:type="pct"/>
            <w:vAlign w:val="center"/>
          </w:tcPr>
          <w:p w14:paraId="2A6A1CBE" w14:textId="079664A0" w:rsidR="00A97CD4" w:rsidRDefault="00A97CD4" w:rsidP="00020E89">
            <w:pPr>
              <w:pStyle w:val="Tabletext0"/>
              <w:keepNext/>
              <w:rPr>
                <w:rFonts w:cs="Calibri"/>
                <w:color w:val="000000"/>
              </w:rPr>
            </w:pPr>
            <w:r>
              <w:rPr>
                <w:rFonts w:cs="Calibri"/>
                <w:color w:val="000000"/>
              </w:rPr>
              <w:t> </w:t>
            </w:r>
            <w:r w:rsidR="0045406B">
              <w:rPr>
                <w:rFonts w:cs="Calibri"/>
                <w:color w:val="000000"/>
              </w:rPr>
              <w:t>-</w:t>
            </w:r>
          </w:p>
        </w:tc>
      </w:tr>
      <w:tr w:rsidR="00BA3B66" w14:paraId="09DD42FA" w14:textId="77777777" w:rsidTr="00020E89">
        <w:tc>
          <w:tcPr>
            <w:tcW w:w="2001" w:type="pct"/>
          </w:tcPr>
          <w:p w14:paraId="171C2798" w14:textId="418B1A44" w:rsidR="00BA3B66" w:rsidRDefault="00BA3B66" w:rsidP="00BA3B66">
            <w:pPr>
              <w:pStyle w:val="Tabletext0"/>
            </w:pPr>
            <w:r>
              <w:t>Proportion of patients with ≥1 clinically significant variant</w:t>
            </w:r>
          </w:p>
        </w:tc>
        <w:tc>
          <w:tcPr>
            <w:tcW w:w="750" w:type="pct"/>
            <w:vAlign w:val="center"/>
          </w:tcPr>
          <w:p w14:paraId="2E27A000" w14:textId="56762CAD" w:rsidR="00BA3B66" w:rsidRDefault="00BA3B66" w:rsidP="00BA3B66">
            <w:pPr>
              <w:pStyle w:val="Tabletext0"/>
            </w:pPr>
            <w:r>
              <w:rPr>
                <w:rFonts w:cs="Calibri"/>
                <w:color w:val="000000"/>
              </w:rPr>
              <w:t>0.651</w:t>
            </w:r>
          </w:p>
        </w:tc>
        <w:tc>
          <w:tcPr>
            <w:tcW w:w="750" w:type="pct"/>
            <w:vAlign w:val="center"/>
          </w:tcPr>
          <w:p w14:paraId="4131F92A" w14:textId="2FEE1FB6" w:rsidR="00BA3B66" w:rsidRDefault="00BA3B66" w:rsidP="00BA3B66">
            <w:pPr>
              <w:pStyle w:val="Tabletext0"/>
            </w:pPr>
            <w:r>
              <w:rPr>
                <w:rFonts w:cs="Calibri"/>
                <w:color w:val="000000"/>
              </w:rPr>
              <w:t> </w:t>
            </w:r>
          </w:p>
        </w:tc>
        <w:tc>
          <w:tcPr>
            <w:tcW w:w="584" w:type="pct"/>
            <w:vAlign w:val="center"/>
          </w:tcPr>
          <w:p w14:paraId="35309FF1" w14:textId="7DD35BB0" w:rsidR="00BA3B66" w:rsidRDefault="00BA3B66" w:rsidP="00BA3B66">
            <w:pPr>
              <w:pStyle w:val="Tabletext0"/>
            </w:pPr>
            <w:r>
              <w:rPr>
                <w:rFonts w:cs="Calibri"/>
                <w:color w:val="000000"/>
              </w:rPr>
              <w:t>0.651</w:t>
            </w:r>
          </w:p>
        </w:tc>
        <w:tc>
          <w:tcPr>
            <w:tcW w:w="915" w:type="pct"/>
            <w:vAlign w:val="center"/>
          </w:tcPr>
          <w:p w14:paraId="2574B8AB" w14:textId="45711DE4" w:rsidR="00BA3B66" w:rsidRPr="005A0FB8" w:rsidRDefault="0002580C" w:rsidP="00BA3B66">
            <w:pPr>
              <w:pStyle w:val="Tabletext0"/>
            </w:pPr>
            <w:r w:rsidRPr="005A0FB8">
              <w:rPr>
                <w:rFonts w:cs="Calibri"/>
                <w:color w:val="000000"/>
              </w:rPr>
              <w:t>$1,</w:t>
            </w:r>
            <w:r w:rsidR="007139D1" w:rsidRPr="005A0FB8">
              <w:rPr>
                <w:rFonts w:cs="Calibri"/>
                <w:color w:val="000000"/>
              </w:rPr>
              <w:t>89</w:t>
            </w:r>
            <w:r w:rsidRPr="005A0FB8">
              <w:rPr>
                <w:rFonts w:cs="Calibri"/>
                <w:color w:val="000000"/>
              </w:rPr>
              <w:t>9</w:t>
            </w:r>
          </w:p>
        </w:tc>
      </w:tr>
      <w:tr w:rsidR="00BA3B66" w14:paraId="69A2AA3F" w14:textId="77777777" w:rsidTr="00020E89">
        <w:tc>
          <w:tcPr>
            <w:tcW w:w="2001" w:type="pct"/>
          </w:tcPr>
          <w:p w14:paraId="085F35E8" w14:textId="2B2DE80D" w:rsidR="00BA3B66" w:rsidRDefault="00BA3B66" w:rsidP="00BA3B66">
            <w:pPr>
              <w:pStyle w:val="Tabletext0"/>
            </w:pPr>
            <w:r>
              <w:t>Proportion of patients receiving a change in diagnosis</w:t>
            </w:r>
          </w:p>
        </w:tc>
        <w:tc>
          <w:tcPr>
            <w:tcW w:w="750" w:type="pct"/>
            <w:vAlign w:val="center"/>
          </w:tcPr>
          <w:p w14:paraId="47A3CAE4" w14:textId="5CC904A8" w:rsidR="00BA3B66" w:rsidRDefault="00BA3B66" w:rsidP="00BA3B66">
            <w:pPr>
              <w:pStyle w:val="Tabletext0"/>
            </w:pPr>
            <w:r>
              <w:rPr>
                <w:rFonts w:cs="Calibri"/>
                <w:color w:val="000000"/>
              </w:rPr>
              <w:t>0.000</w:t>
            </w:r>
          </w:p>
        </w:tc>
        <w:tc>
          <w:tcPr>
            <w:tcW w:w="750" w:type="pct"/>
            <w:vAlign w:val="center"/>
          </w:tcPr>
          <w:p w14:paraId="71AB5CD9" w14:textId="5F7037B8" w:rsidR="00BA3B66" w:rsidRDefault="00BA3B66" w:rsidP="00BA3B66">
            <w:pPr>
              <w:pStyle w:val="Tabletext0"/>
            </w:pPr>
            <w:r>
              <w:rPr>
                <w:rFonts w:cs="Calibri"/>
                <w:color w:val="000000"/>
              </w:rPr>
              <w:t> </w:t>
            </w:r>
          </w:p>
        </w:tc>
        <w:tc>
          <w:tcPr>
            <w:tcW w:w="584" w:type="pct"/>
            <w:vAlign w:val="center"/>
          </w:tcPr>
          <w:p w14:paraId="5615F0BC" w14:textId="4B800022" w:rsidR="00BA3B66" w:rsidRDefault="00BA3B66" w:rsidP="00BA3B66">
            <w:pPr>
              <w:pStyle w:val="Tabletext0"/>
            </w:pPr>
            <w:r>
              <w:rPr>
                <w:rFonts w:cs="Calibri"/>
                <w:color w:val="000000"/>
              </w:rPr>
              <w:t>0.000</w:t>
            </w:r>
          </w:p>
        </w:tc>
        <w:tc>
          <w:tcPr>
            <w:tcW w:w="915" w:type="pct"/>
            <w:vAlign w:val="center"/>
          </w:tcPr>
          <w:p w14:paraId="22C13889" w14:textId="204A3E0C" w:rsidR="00BA3B66" w:rsidRPr="005A0FB8" w:rsidRDefault="00BA3B66" w:rsidP="00BA3B66">
            <w:pPr>
              <w:pStyle w:val="Tabletext0"/>
            </w:pPr>
            <w:r w:rsidRPr="005A0FB8">
              <w:rPr>
                <w:rFonts w:cs="Calibri"/>
                <w:color w:val="000000"/>
              </w:rPr>
              <w:t>N/A</w:t>
            </w:r>
          </w:p>
        </w:tc>
      </w:tr>
      <w:tr w:rsidR="00BA3B66" w14:paraId="61F408D1" w14:textId="77777777" w:rsidTr="00020E89">
        <w:tc>
          <w:tcPr>
            <w:tcW w:w="2001" w:type="pct"/>
          </w:tcPr>
          <w:p w14:paraId="206A21DC" w14:textId="0188B33E" w:rsidR="00BA3B66" w:rsidRDefault="00BA3B66" w:rsidP="00BA3B66">
            <w:pPr>
              <w:pStyle w:val="Tabletext0"/>
            </w:pPr>
            <w:r>
              <w:t xml:space="preserve">Proportion of patients receiving prognostic information </w:t>
            </w:r>
          </w:p>
        </w:tc>
        <w:tc>
          <w:tcPr>
            <w:tcW w:w="750" w:type="pct"/>
            <w:vAlign w:val="center"/>
          </w:tcPr>
          <w:p w14:paraId="22A1A8C6" w14:textId="70CB7738" w:rsidR="00BA3B66" w:rsidRDefault="00BA3B66" w:rsidP="00BA3B66">
            <w:pPr>
              <w:pStyle w:val="Tabletext0"/>
            </w:pPr>
            <w:r>
              <w:rPr>
                <w:rFonts w:cs="Calibri"/>
                <w:color w:val="000000"/>
              </w:rPr>
              <w:t>0.628</w:t>
            </w:r>
          </w:p>
        </w:tc>
        <w:tc>
          <w:tcPr>
            <w:tcW w:w="750" w:type="pct"/>
            <w:vAlign w:val="center"/>
          </w:tcPr>
          <w:p w14:paraId="2ED48215" w14:textId="2B247498" w:rsidR="00BA3B66" w:rsidRDefault="00BA3B66" w:rsidP="00BA3B66">
            <w:pPr>
              <w:pStyle w:val="Tabletext0"/>
            </w:pPr>
            <w:r>
              <w:rPr>
                <w:rFonts w:cs="Calibri"/>
                <w:color w:val="000000"/>
              </w:rPr>
              <w:t> </w:t>
            </w:r>
          </w:p>
        </w:tc>
        <w:tc>
          <w:tcPr>
            <w:tcW w:w="584" w:type="pct"/>
            <w:vAlign w:val="center"/>
          </w:tcPr>
          <w:p w14:paraId="298F246A" w14:textId="158B893D" w:rsidR="00BA3B66" w:rsidRDefault="00BA3B66" w:rsidP="00BA3B66">
            <w:pPr>
              <w:pStyle w:val="Tabletext0"/>
            </w:pPr>
            <w:r>
              <w:rPr>
                <w:rFonts w:cs="Calibri"/>
                <w:color w:val="000000"/>
              </w:rPr>
              <w:t>0.628</w:t>
            </w:r>
          </w:p>
        </w:tc>
        <w:tc>
          <w:tcPr>
            <w:tcW w:w="915" w:type="pct"/>
            <w:vAlign w:val="center"/>
          </w:tcPr>
          <w:p w14:paraId="7374C69A" w14:textId="2DE09D31" w:rsidR="00BA3B66" w:rsidRPr="005A0FB8" w:rsidRDefault="0002580C" w:rsidP="00BA3B66">
            <w:pPr>
              <w:pStyle w:val="Tabletext0"/>
            </w:pPr>
            <w:r w:rsidRPr="005A0FB8">
              <w:rPr>
                <w:rFonts w:cs="Calibri"/>
                <w:color w:val="000000"/>
              </w:rPr>
              <w:t>$1,7</w:t>
            </w:r>
            <w:r w:rsidR="007139D1" w:rsidRPr="005A0FB8">
              <w:rPr>
                <w:rFonts w:cs="Calibri"/>
                <w:color w:val="000000"/>
              </w:rPr>
              <w:t>52</w:t>
            </w:r>
          </w:p>
        </w:tc>
      </w:tr>
      <w:tr w:rsidR="00BA3B66" w14:paraId="2E5AEBC8" w14:textId="77777777" w:rsidTr="00020E89">
        <w:tc>
          <w:tcPr>
            <w:tcW w:w="2001" w:type="pct"/>
          </w:tcPr>
          <w:p w14:paraId="6A0311F7" w14:textId="64B231BB" w:rsidR="00BA3B66" w:rsidRDefault="00BA3B66" w:rsidP="00BA3B66">
            <w:pPr>
              <w:pStyle w:val="Tabletext0"/>
            </w:pPr>
            <w:r>
              <w:t xml:space="preserve">Proportion of patients receiving result directing therapy </w:t>
            </w:r>
          </w:p>
        </w:tc>
        <w:tc>
          <w:tcPr>
            <w:tcW w:w="750" w:type="pct"/>
            <w:vAlign w:val="center"/>
          </w:tcPr>
          <w:p w14:paraId="12D51AFB" w14:textId="79A80809" w:rsidR="00BA3B66" w:rsidRDefault="00BA3B66" w:rsidP="00BA3B66">
            <w:pPr>
              <w:pStyle w:val="Tabletext0"/>
            </w:pPr>
            <w:r>
              <w:rPr>
                <w:rFonts w:cs="Calibri"/>
                <w:color w:val="000000"/>
              </w:rPr>
              <w:t>0.140</w:t>
            </w:r>
          </w:p>
        </w:tc>
        <w:tc>
          <w:tcPr>
            <w:tcW w:w="750" w:type="pct"/>
            <w:vAlign w:val="center"/>
          </w:tcPr>
          <w:p w14:paraId="1478D864" w14:textId="187ED205" w:rsidR="00BA3B66" w:rsidRDefault="00BA3B66" w:rsidP="00BA3B66">
            <w:pPr>
              <w:pStyle w:val="Tabletext0"/>
            </w:pPr>
            <w:r>
              <w:rPr>
                <w:rFonts w:cs="Calibri"/>
                <w:color w:val="000000"/>
              </w:rPr>
              <w:t> </w:t>
            </w:r>
          </w:p>
        </w:tc>
        <w:tc>
          <w:tcPr>
            <w:tcW w:w="584" w:type="pct"/>
            <w:vAlign w:val="center"/>
          </w:tcPr>
          <w:p w14:paraId="7B12398F" w14:textId="786D5AA1" w:rsidR="00BA3B66" w:rsidRDefault="00BA3B66" w:rsidP="00BA3B66">
            <w:pPr>
              <w:pStyle w:val="Tabletext0"/>
            </w:pPr>
            <w:r>
              <w:rPr>
                <w:rFonts w:cs="Calibri"/>
                <w:color w:val="000000"/>
              </w:rPr>
              <w:t>0.140</w:t>
            </w:r>
          </w:p>
        </w:tc>
        <w:tc>
          <w:tcPr>
            <w:tcW w:w="915" w:type="pct"/>
            <w:vAlign w:val="center"/>
          </w:tcPr>
          <w:p w14:paraId="05371CDD" w14:textId="56A1ECD3" w:rsidR="00BA3B66" w:rsidRPr="005A0FB8" w:rsidRDefault="0002580C" w:rsidP="00BA3B66">
            <w:pPr>
              <w:pStyle w:val="Tabletext0"/>
            </w:pPr>
            <w:r w:rsidRPr="005A0FB8">
              <w:rPr>
                <w:rFonts w:cs="Calibri"/>
                <w:color w:val="000000"/>
              </w:rPr>
              <w:t>$7,8</w:t>
            </w:r>
            <w:r w:rsidR="007139D1" w:rsidRPr="005A0FB8">
              <w:rPr>
                <w:rFonts w:cs="Calibri"/>
                <w:color w:val="000000"/>
              </w:rPr>
              <w:t>83</w:t>
            </w:r>
          </w:p>
        </w:tc>
      </w:tr>
      <w:tr w:rsidR="00BA3B66" w14:paraId="7B0B6B6B" w14:textId="77777777" w:rsidTr="00020E89">
        <w:tc>
          <w:tcPr>
            <w:tcW w:w="2001" w:type="pct"/>
          </w:tcPr>
          <w:p w14:paraId="7114128C" w14:textId="3874EB1E" w:rsidR="00BA3B66" w:rsidRDefault="00BA3B66" w:rsidP="00BA3B66">
            <w:pPr>
              <w:pStyle w:val="Tabletext0"/>
            </w:pPr>
            <w:r>
              <w:t>Proportion of patients receiving result identified an investigational therapy</w:t>
            </w:r>
          </w:p>
        </w:tc>
        <w:tc>
          <w:tcPr>
            <w:tcW w:w="750" w:type="pct"/>
            <w:vAlign w:val="center"/>
          </w:tcPr>
          <w:p w14:paraId="2A187C39" w14:textId="4A13CA8D" w:rsidR="00BA3B66" w:rsidRDefault="00BA3B66" w:rsidP="00BA3B66">
            <w:pPr>
              <w:pStyle w:val="Tabletext0"/>
            </w:pPr>
            <w:r>
              <w:rPr>
                <w:rFonts w:cs="Calibri"/>
                <w:color w:val="000000"/>
              </w:rPr>
              <w:t>0.326</w:t>
            </w:r>
          </w:p>
        </w:tc>
        <w:tc>
          <w:tcPr>
            <w:tcW w:w="750" w:type="pct"/>
            <w:vAlign w:val="center"/>
          </w:tcPr>
          <w:p w14:paraId="086257D3" w14:textId="00547DF5" w:rsidR="00BA3B66" w:rsidRDefault="00BA3B66" w:rsidP="00BA3B66">
            <w:pPr>
              <w:pStyle w:val="Tabletext0"/>
            </w:pPr>
            <w:r>
              <w:rPr>
                <w:rFonts w:cs="Calibri"/>
                <w:color w:val="000000"/>
              </w:rPr>
              <w:t> </w:t>
            </w:r>
          </w:p>
        </w:tc>
        <w:tc>
          <w:tcPr>
            <w:tcW w:w="584" w:type="pct"/>
            <w:vAlign w:val="center"/>
          </w:tcPr>
          <w:p w14:paraId="3FCFE736" w14:textId="393412ED" w:rsidR="00BA3B66" w:rsidRDefault="00BA3B66" w:rsidP="00BA3B66">
            <w:pPr>
              <w:pStyle w:val="Tabletext0"/>
            </w:pPr>
            <w:r>
              <w:rPr>
                <w:rFonts w:cs="Calibri"/>
                <w:color w:val="000000"/>
              </w:rPr>
              <w:t>0.326</w:t>
            </w:r>
          </w:p>
        </w:tc>
        <w:tc>
          <w:tcPr>
            <w:tcW w:w="915" w:type="pct"/>
            <w:vAlign w:val="center"/>
          </w:tcPr>
          <w:p w14:paraId="25E5C6E1" w14:textId="5D322495" w:rsidR="00BA3B66" w:rsidRPr="005A0FB8" w:rsidRDefault="0002580C" w:rsidP="00BA3B66">
            <w:pPr>
              <w:pStyle w:val="Tabletext0"/>
            </w:pPr>
            <w:r w:rsidRPr="005A0FB8">
              <w:rPr>
                <w:rFonts w:cs="Calibri"/>
                <w:color w:val="000000"/>
              </w:rPr>
              <w:t>$3,3</w:t>
            </w:r>
            <w:r w:rsidR="007139D1" w:rsidRPr="005A0FB8">
              <w:rPr>
                <w:rFonts w:cs="Calibri"/>
                <w:color w:val="000000"/>
              </w:rPr>
              <w:t>79</w:t>
            </w:r>
          </w:p>
        </w:tc>
      </w:tr>
    </w:tbl>
    <w:p w14:paraId="33A54662" w14:textId="51E16A05" w:rsidR="005A0FB8" w:rsidRDefault="005A0FB8" w:rsidP="00F60AC2">
      <w:pPr>
        <w:pStyle w:val="TableFooter"/>
      </w:pPr>
      <w:r>
        <w:t>Source DCAR calculations was updated based on MSAC’s advice</w:t>
      </w:r>
    </w:p>
    <w:p w14:paraId="5E4EF224" w14:textId="62F38795" w:rsidR="00030DC6" w:rsidRDefault="00030DC6" w:rsidP="00030DC6">
      <w:pPr>
        <w:pStyle w:val="Heading5"/>
      </w:pPr>
      <w:r w:rsidRPr="00030DC6">
        <w:t xml:space="preserve">Vicente-Garces et al 2022 NGS testing in children, </w:t>
      </w:r>
      <w:proofErr w:type="gramStart"/>
      <w:r w:rsidRPr="00030DC6">
        <w:t>adolescents</w:t>
      </w:r>
      <w:proofErr w:type="gramEnd"/>
      <w:r w:rsidRPr="00030DC6">
        <w:t xml:space="preserve"> and young adults with acute leukaemia</w:t>
      </w:r>
    </w:p>
    <w:p w14:paraId="40B2E1BC" w14:textId="298AC157" w:rsidR="00D024DD" w:rsidRPr="00D024DD" w:rsidRDefault="00030DC6" w:rsidP="00D024DD">
      <w:r>
        <w:t xml:space="preserve">In this analysis, the testing was performed after other </w:t>
      </w:r>
      <w:proofErr w:type="gramStart"/>
      <w:r>
        <w:t>testing</w:t>
      </w:r>
      <w:proofErr w:type="gramEnd"/>
      <w:r>
        <w:t xml:space="preserve"> and it is likely that the reported detection of variants may have been greater if the testing had been done </w:t>
      </w:r>
      <w:r w:rsidR="00A97CD4">
        <w:t>during the diagnostic work-up (and may have reduced use of other genetic tests)</w:t>
      </w:r>
      <w:r>
        <w:t>.</w:t>
      </w:r>
      <w:r w:rsidR="00D024DD">
        <w:br w:type="page"/>
      </w:r>
    </w:p>
    <w:p w14:paraId="248F43A8" w14:textId="72945CA4" w:rsidR="00030DC6" w:rsidRDefault="00030DC6" w:rsidP="00030DC6">
      <w:pPr>
        <w:pStyle w:val="Caption"/>
      </w:pPr>
      <w:r>
        <w:lastRenderedPageBreak/>
        <w:t xml:space="preserve">Table </w:t>
      </w:r>
      <w:fldSimple w:instr=" SEQ Table \* ARABIC ">
        <w:r w:rsidR="00A165AD">
          <w:rPr>
            <w:noProof/>
          </w:rPr>
          <w:t>21</w:t>
        </w:r>
      </w:fldSimple>
      <w:r w:rsidRPr="002E0BFE">
        <w:t xml:space="preserve"> </w:t>
      </w:r>
      <w:r>
        <w:t>Cost-effectiveness analysis of an NGS lymphoid panel used after other testing in paediatric and young adults with acute leukaemia</w:t>
      </w:r>
      <w:r w:rsidR="00A165AD">
        <w:t xml:space="preserve"> (as per outcomes reported in Vincente-Garces 2022) at the </w:t>
      </w:r>
      <w:r w:rsidR="00A165AD" w:rsidRPr="0017335F">
        <w:t>MSAC supported fee of $1,100 for DNA and RNA testing</w:t>
      </w:r>
    </w:p>
    <w:tbl>
      <w:tblPr>
        <w:tblStyle w:val="TableGrid"/>
        <w:tblW w:w="5000" w:type="pct"/>
        <w:tblLook w:val="04A0" w:firstRow="1" w:lastRow="0" w:firstColumn="1" w:lastColumn="0" w:noHBand="0" w:noVBand="1"/>
      </w:tblPr>
      <w:tblGrid>
        <w:gridCol w:w="3380"/>
        <w:gridCol w:w="1359"/>
        <w:gridCol w:w="1358"/>
        <w:gridCol w:w="1311"/>
        <w:gridCol w:w="1608"/>
      </w:tblGrid>
      <w:tr w:rsidR="00F201D0" w14:paraId="1E010453" w14:textId="77777777" w:rsidTr="005A0FB8">
        <w:trPr>
          <w:tblHeader/>
        </w:trPr>
        <w:tc>
          <w:tcPr>
            <w:tcW w:w="1874" w:type="pct"/>
          </w:tcPr>
          <w:p w14:paraId="272342C0" w14:textId="77777777" w:rsidR="00F201D0" w:rsidRDefault="00F201D0" w:rsidP="00F201D0">
            <w:pPr>
              <w:pStyle w:val="Tabletext0"/>
            </w:pPr>
            <w:r>
              <w:rPr>
                <w:rFonts w:cs="Calibri"/>
                <w:b/>
                <w:bCs/>
                <w:color w:val="000000"/>
                <w:lang w:eastAsia="en-GB"/>
              </w:rPr>
              <w:t>Vicente-Garces 2022</w:t>
            </w:r>
            <w:r w:rsidRPr="00522D64">
              <w:rPr>
                <w:rFonts w:cs="Calibri"/>
                <w:b/>
                <w:bCs/>
                <w:color w:val="000000"/>
                <w:lang w:eastAsia="en-GB"/>
              </w:rPr>
              <w:t xml:space="preserve"> NGS panel testing</w:t>
            </w:r>
            <w:r>
              <w:rPr>
                <w:rFonts w:cs="Calibri"/>
                <w:b/>
                <w:bCs/>
                <w:color w:val="000000"/>
                <w:lang w:eastAsia="en-GB"/>
              </w:rPr>
              <w:t xml:space="preserve"> after other testing in </w:t>
            </w:r>
            <w:r>
              <w:rPr>
                <w:b/>
                <w:bCs/>
                <w:color w:val="000000"/>
              </w:rPr>
              <w:t>a</w:t>
            </w:r>
            <w:r>
              <w:rPr>
                <w:b/>
                <w:bCs/>
              </w:rPr>
              <w:t>cute leukaemia</w:t>
            </w:r>
          </w:p>
        </w:tc>
        <w:tc>
          <w:tcPr>
            <w:tcW w:w="753" w:type="pct"/>
            <w:vAlign w:val="center"/>
          </w:tcPr>
          <w:p w14:paraId="0EC47481" w14:textId="52430AB2" w:rsidR="00F201D0" w:rsidRDefault="00B55FB6" w:rsidP="00F201D0">
            <w:pPr>
              <w:pStyle w:val="Tabletext0"/>
              <w:rPr>
                <w:rFonts w:cs="Calibri"/>
                <w:b/>
                <w:bCs/>
                <w:color w:val="000000"/>
                <w:lang w:eastAsia="en-GB"/>
              </w:rPr>
            </w:pPr>
            <w:r>
              <w:rPr>
                <w:rFonts w:cs="Calibri"/>
                <w:b/>
                <w:bCs/>
                <w:color w:val="000000"/>
              </w:rPr>
              <w:t>52-gene NGS panel</w:t>
            </w:r>
          </w:p>
        </w:tc>
        <w:tc>
          <w:tcPr>
            <w:tcW w:w="753" w:type="pct"/>
            <w:vAlign w:val="center"/>
          </w:tcPr>
          <w:p w14:paraId="21B6278C" w14:textId="4F56E74F" w:rsidR="00F201D0" w:rsidRDefault="00F201D0" w:rsidP="00F201D0">
            <w:pPr>
              <w:pStyle w:val="Tabletext0"/>
              <w:rPr>
                <w:rFonts w:cs="Calibri"/>
                <w:b/>
                <w:bCs/>
                <w:color w:val="000000"/>
                <w:lang w:eastAsia="en-GB"/>
              </w:rPr>
            </w:pPr>
            <w:r>
              <w:rPr>
                <w:rFonts w:cs="Calibri"/>
                <w:b/>
                <w:bCs/>
                <w:color w:val="000000"/>
              </w:rPr>
              <w:t>Comparator (no NGS)</w:t>
            </w:r>
          </w:p>
        </w:tc>
        <w:tc>
          <w:tcPr>
            <w:tcW w:w="727" w:type="pct"/>
            <w:vAlign w:val="center"/>
          </w:tcPr>
          <w:p w14:paraId="6417DF8D" w14:textId="77777777" w:rsidR="00F201D0" w:rsidRDefault="00F201D0" w:rsidP="00F201D0">
            <w:pPr>
              <w:pStyle w:val="Tabletext0"/>
              <w:rPr>
                <w:rFonts w:cs="Calibri"/>
                <w:b/>
                <w:bCs/>
                <w:color w:val="000000"/>
                <w:lang w:eastAsia="en-GB"/>
              </w:rPr>
            </w:pPr>
            <w:r>
              <w:rPr>
                <w:rFonts w:cs="Calibri"/>
                <w:b/>
                <w:bCs/>
                <w:color w:val="000000"/>
              </w:rPr>
              <w:t>Increment</w:t>
            </w:r>
          </w:p>
        </w:tc>
        <w:tc>
          <w:tcPr>
            <w:tcW w:w="892" w:type="pct"/>
            <w:vAlign w:val="center"/>
          </w:tcPr>
          <w:p w14:paraId="02E81F2F" w14:textId="5F2B7033" w:rsidR="00F201D0" w:rsidRPr="00AF0C3D" w:rsidRDefault="005A0FB8" w:rsidP="00F201D0">
            <w:pPr>
              <w:pStyle w:val="Tabletext0"/>
              <w:rPr>
                <w:rFonts w:cs="Calibri"/>
                <w:b/>
                <w:bCs/>
                <w:color w:val="000000"/>
                <w:lang w:eastAsia="en-GB"/>
              </w:rPr>
            </w:pPr>
            <w:r w:rsidRPr="0017335F">
              <w:rPr>
                <w:rFonts w:cs="Calibri"/>
                <w:b/>
                <w:bCs/>
                <w:color w:val="000000"/>
              </w:rPr>
              <w:t>MSAC supported fee of $1,100 for DNA and RNA testing</w:t>
            </w:r>
          </w:p>
        </w:tc>
      </w:tr>
      <w:tr w:rsidR="00B55FB6" w14:paraId="5251CB03" w14:textId="77777777" w:rsidTr="005A0FB8">
        <w:tc>
          <w:tcPr>
            <w:tcW w:w="1874" w:type="pct"/>
            <w:vAlign w:val="center"/>
          </w:tcPr>
          <w:p w14:paraId="280FAB1D" w14:textId="180273A0" w:rsidR="00B55FB6" w:rsidRDefault="00B55FB6" w:rsidP="00B55FB6">
            <w:pPr>
              <w:pStyle w:val="Tabletext0"/>
            </w:pPr>
            <w:r>
              <w:rPr>
                <w:rFonts w:cs="Calibri"/>
                <w:color w:val="000000"/>
              </w:rPr>
              <w:t>Cost of testing</w:t>
            </w:r>
          </w:p>
        </w:tc>
        <w:tc>
          <w:tcPr>
            <w:tcW w:w="753" w:type="pct"/>
            <w:vAlign w:val="center"/>
          </w:tcPr>
          <w:p w14:paraId="7C244289" w14:textId="59CBDE22" w:rsidR="002E6C2E" w:rsidRPr="005A0FB8" w:rsidRDefault="002E6C2E" w:rsidP="00B55FB6">
            <w:pPr>
              <w:pStyle w:val="Tabletext0"/>
            </w:pPr>
            <w:r w:rsidRPr="005A0FB8">
              <w:rPr>
                <w:rFonts w:cs="Calibri"/>
                <w:color w:val="000000"/>
              </w:rPr>
              <w:t>$1,100</w:t>
            </w:r>
          </w:p>
        </w:tc>
        <w:tc>
          <w:tcPr>
            <w:tcW w:w="753" w:type="pct"/>
            <w:vAlign w:val="center"/>
          </w:tcPr>
          <w:p w14:paraId="16197B28" w14:textId="7ED3B0FB" w:rsidR="00B55FB6" w:rsidRPr="005A0FB8" w:rsidRDefault="00B55FB6" w:rsidP="00B55FB6">
            <w:pPr>
              <w:pStyle w:val="Tabletext0"/>
            </w:pPr>
            <w:r w:rsidRPr="005A0FB8">
              <w:rPr>
                <w:rFonts w:cs="Calibri"/>
                <w:color w:val="000000"/>
              </w:rPr>
              <w:t> $0</w:t>
            </w:r>
          </w:p>
        </w:tc>
        <w:tc>
          <w:tcPr>
            <w:tcW w:w="727" w:type="pct"/>
            <w:vAlign w:val="center"/>
          </w:tcPr>
          <w:p w14:paraId="6A966AE5" w14:textId="4456551D" w:rsidR="002E6C2E" w:rsidRPr="005A0FB8" w:rsidRDefault="002E6C2E" w:rsidP="00B55FB6">
            <w:pPr>
              <w:pStyle w:val="Tabletext0"/>
            </w:pPr>
            <w:r w:rsidRPr="005A0FB8">
              <w:rPr>
                <w:rFonts w:cs="Calibri"/>
                <w:color w:val="000000"/>
              </w:rPr>
              <w:t>$1,100</w:t>
            </w:r>
          </w:p>
        </w:tc>
        <w:tc>
          <w:tcPr>
            <w:tcW w:w="892" w:type="pct"/>
            <w:vAlign w:val="center"/>
          </w:tcPr>
          <w:p w14:paraId="278FCA54" w14:textId="4BBF6D51" w:rsidR="00B55FB6" w:rsidRDefault="00B55FB6" w:rsidP="00B55FB6">
            <w:pPr>
              <w:pStyle w:val="Tabletext0"/>
            </w:pPr>
            <w:r>
              <w:rPr>
                <w:rFonts w:cs="Calibri"/>
                <w:color w:val="000000"/>
              </w:rPr>
              <w:t> </w:t>
            </w:r>
            <w:r w:rsidR="0045406B">
              <w:rPr>
                <w:rFonts w:cs="Calibri"/>
                <w:color w:val="000000"/>
              </w:rPr>
              <w:t>-</w:t>
            </w:r>
          </w:p>
        </w:tc>
      </w:tr>
      <w:tr w:rsidR="00BA3B66" w14:paraId="600FF3FE" w14:textId="77777777" w:rsidTr="005A0FB8">
        <w:tc>
          <w:tcPr>
            <w:tcW w:w="1874" w:type="pct"/>
          </w:tcPr>
          <w:p w14:paraId="26E60B68" w14:textId="5E1ACA94" w:rsidR="00BA3B66" w:rsidRDefault="00BA3B66" w:rsidP="00BA3B66">
            <w:pPr>
              <w:pStyle w:val="Tabletext0"/>
            </w:pPr>
            <w:r>
              <w:t>Proportion of patients with ≥1 clinically significant variant</w:t>
            </w:r>
          </w:p>
        </w:tc>
        <w:tc>
          <w:tcPr>
            <w:tcW w:w="753" w:type="pct"/>
            <w:vAlign w:val="center"/>
          </w:tcPr>
          <w:p w14:paraId="62505C09" w14:textId="5ECD917A" w:rsidR="00BA3B66" w:rsidRDefault="00BA3B66" w:rsidP="00BA3B66">
            <w:pPr>
              <w:pStyle w:val="Tabletext0"/>
            </w:pPr>
            <w:r>
              <w:rPr>
                <w:rFonts w:cs="Calibri"/>
                <w:color w:val="000000"/>
              </w:rPr>
              <w:t>0.684</w:t>
            </w:r>
          </w:p>
        </w:tc>
        <w:tc>
          <w:tcPr>
            <w:tcW w:w="753" w:type="pct"/>
            <w:vAlign w:val="center"/>
          </w:tcPr>
          <w:p w14:paraId="3FE7BB82" w14:textId="0C8702F0" w:rsidR="00BA3B66" w:rsidRDefault="00BA3B66" w:rsidP="00BA3B66">
            <w:pPr>
              <w:pStyle w:val="Tabletext0"/>
            </w:pPr>
          </w:p>
        </w:tc>
        <w:tc>
          <w:tcPr>
            <w:tcW w:w="727" w:type="pct"/>
            <w:vAlign w:val="center"/>
          </w:tcPr>
          <w:p w14:paraId="381135D4" w14:textId="0887CF84" w:rsidR="00BA3B66" w:rsidRDefault="00BA3B66" w:rsidP="00BA3B66">
            <w:pPr>
              <w:pStyle w:val="Tabletext0"/>
            </w:pPr>
            <w:r>
              <w:rPr>
                <w:rFonts w:cs="Calibri"/>
                <w:color w:val="000000"/>
              </w:rPr>
              <w:t>0.684</w:t>
            </w:r>
          </w:p>
        </w:tc>
        <w:tc>
          <w:tcPr>
            <w:tcW w:w="892" w:type="pct"/>
            <w:vAlign w:val="center"/>
          </w:tcPr>
          <w:p w14:paraId="074AEA6C" w14:textId="75983F28" w:rsidR="00BA3B66" w:rsidRPr="005A0FB8" w:rsidRDefault="0002580C" w:rsidP="00BA3B66">
            <w:pPr>
              <w:pStyle w:val="Tabletext0"/>
            </w:pPr>
            <w:r w:rsidRPr="005A0FB8">
              <w:rPr>
                <w:rFonts w:cs="Calibri"/>
                <w:color w:val="000000"/>
              </w:rPr>
              <w:t>$1,</w:t>
            </w:r>
            <w:r w:rsidR="007139D1" w:rsidRPr="005A0FB8">
              <w:rPr>
                <w:rFonts w:cs="Calibri"/>
                <w:color w:val="000000"/>
              </w:rPr>
              <w:t>608</w:t>
            </w:r>
          </w:p>
        </w:tc>
      </w:tr>
      <w:tr w:rsidR="00BA3B66" w14:paraId="664B5D87" w14:textId="77777777" w:rsidTr="005A0FB8">
        <w:tc>
          <w:tcPr>
            <w:tcW w:w="1874" w:type="pct"/>
          </w:tcPr>
          <w:p w14:paraId="5F105168" w14:textId="0A34AF6F" w:rsidR="00BA3B66" w:rsidRDefault="00BA3B66" w:rsidP="00BA3B66">
            <w:pPr>
              <w:pStyle w:val="Tabletext0"/>
            </w:pPr>
            <w:r>
              <w:t>Proportion of patients receiving a change/refinement in diagnosis</w:t>
            </w:r>
          </w:p>
        </w:tc>
        <w:tc>
          <w:tcPr>
            <w:tcW w:w="753" w:type="pct"/>
            <w:vAlign w:val="center"/>
          </w:tcPr>
          <w:p w14:paraId="100FDF79" w14:textId="316C6EF1" w:rsidR="00BA3B66" w:rsidRDefault="00BA3B66" w:rsidP="00BA3B66">
            <w:pPr>
              <w:pStyle w:val="Tabletext0"/>
            </w:pPr>
            <w:r>
              <w:rPr>
                <w:rFonts w:cs="Calibri"/>
                <w:color w:val="000000"/>
              </w:rPr>
              <w:t>0.408</w:t>
            </w:r>
          </w:p>
        </w:tc>
        <w:tc>
          <w:tcPr>
            <w:tcW w:w="753" w:type="pct"/>
            <w:vAlign w:val="center"/>
          </w:tcPr>
          <w:p w14:paraId="4BFCCC85" w14:textId="2CAA846E" w:rsidR="00BA3B66" w:rsidRDefault="00BA3B66" w:rsidP="00BA3B66">
            <w:pPr>
              <w:pStyle w:val="Tabletext0"/>
            </w:pPr>
          </w:p>
        </w:tc>
        <w:tc>
          <w:tcPr>
            <w:tcW w:w="727" w:type="pct"/>
            <w:vAlign w:val="center"/>
          </w:tcPr>
          <w:p w14:paraId="3C3EE08F" w14:textId="203409E0" w:rsidR="00BA3B66" w:rsidRDefault="00BA3B66" w:rsidP="00BA3B66">
            <w:pPr>
              <w:pStyle w:val="Tabletext0"/>
            </w:pPr>
            <w:r>
              <w:rPr>
                <w:rFonts w:cs="Calibri"/>
                <w:color w:val="000000"/>
              </w:rPr>
              <w:t>0.408</w:t>
            </w:r>
          </w:p>
        </w:tc>
        <w:tc>
          <w:tcPr>
            <w:tcW w:w="892" w:type="pct"/>
            <w:vAlign w:val="center"/>
          </w:tcPr>
          <w:p w14:paraId="5339AA69" w14:textId="12997BC7" w:rsidR="00BA3B66" w:rsidRPr="005A0FB8" w:rsidRDefault="0002580C" w:rsidP="00BA3B66">
            <w:pPr>
              <w:pStyle w:val="Tabletext0"/>
            </w:pPr>
            <w:r w:rsidRPr="005A0FB8">
              <w:rPr>
                <w:rFonts w:cs="Calibri"/>
                <w:color w:val="000000"/>
              </w:rPr>
              <w:t>$2,6</w:t>
            </w:r>
            <w:r w:rsidR="007139D1" w:rsidRPr="005A0FB8">
              <w:rPr>
                <w:rFonts w:cs="Calibri"/>
                <w:color w:val="000000"/>
              </w:rPr>
              <w:t>97</w:t>
            </w:r>
          </w:p>
        </w:tc>
      </w:tr>
      <w:tr w:rsidR="00BA3B66" w14:paraId="7DE8FB4D" w14:textId="77777777" w:rsidTr="005A0FB8">
        <w:tc>
          <w:tcPr>
            <w:tcW w:w="1874" w:type="pct"/>
          </w:tcPr>
          <w:p w14:paraId="744FE6A5" w14:textId="47472610" w:rsidR="00BA3B66" w:rsidRDefault="00BA3B66" w:rsidP="00BA3B66">
            <w:pPr>
              <w:pStyle w:val="Tabletext0"/>
            </w:pPr>
            <w:r>
              <w:t xml:space="preserve">Proportion of patients receiving prognostic information </w:t>
            </w:r>
          </w:p>
        </w:tc>
        <w:tc>
          <w:tcPr>
            <w:tcW w:w="753" w:type="pct"/>
            <w:vAlign w:val="center"/>
          </w:tcPr>
          <w:p w14:paraId="385049A5" w14:textId="438E8220" w:rsidR="00BA3B66" w:rsidRDefault="00BA3B66" w:rsidP="00BA3B66">
            <w:pPr>
              <w:pStyle w:val="Tabletext0"/>
            </w:pPr>
            <w:r>
              <w:rPr>
                <w:rFonts w:cs="Calibri"/>
                <w:color w:val="000000"/>
              </w:rPr>
              <w:t>0.697</w:t>
            </w:r>
          </w:p>
        </w:tc>
        <w:tc>
          <w:tcPr>
            <w:tcW w:w="753" w:type="pct"/>
            <w:vAlign w:val="center"/>
          </w:tcPr>
          <w:p w14:paraId="7B260299" w14:textId="7581288D" w:rsidR="00BA3B66" w:rsidRDefault="00BA3B66" w:rsidP="00BA3B66">
            <w:pPr>
              <w:pStyle w:val="Tabletext0"/>
            </w:pPr>
          </w:p>
        </w:tc>
        <w:tc>
          <w:tcPr>
            <w:tcW w:w="727" w:type="pct"/>
            <w:vAlign w:val="center"/>
          </w:tcPr>
          <w:p w14:paraId="7C3EA89B" w14:textId="30862603" w:rsidR="00BA3B66" w:rsidRDefault="00BA3B66" w:rsidP="00BA3B66">
            <w:pPr>
              <w:pStyle w:val="Tabletext0"/>
            </w:pPr>
            <w:r>
              <w:rPr>
                <w:rFonts w:cs="Calibri"/>
                <w:color w:val="000000"/>
              </w:rPr>
              <w:t>0.697</w:t>
            </w:r>
          </w:p>
        </w:tc>
        <w:tc>
          <w:tcPr>
            <w:tcW w:w="892" w:type="pct"/>
            <w:vAlign w:val="center"/>
          </w:tcPr>
          <w:p w14:paraId="0AD73A6C" w14:textId="2B0AC9AC" w:rsidR="00BA3B66" w:rsidRPr="005A0FB8" w:rsidRDefault="0002580C" w:rsidP="00BA3B66">
            <w:pPr>
              <w:pStyle w:val="Tabletext0"/>
            </w:pPr>
            <w:r w:rsidRPr="005A0FB8">
              <w:rPr>
                <w:rFonts w:cs="Calibri"/>
                <w:color w:val="000000"/>
              </w:rPr>
              <w:t>$1,</w:t>
            </w:r>
            <w:r w:rsidR="007139D1" w:rsidRPr="005A0FB8">
              <w:rPr>
                <w:rFonts w:cs="Calibri"/>
                <w:color w:val="000000"/>
              </w:rPr>
              <w:t>577</w:t>
            </w:r>
          </w:p>
        </w:tc>
      </w:tr>
      <w:tr w:rsidR="00BA3B66" w14:paraId="48A4DA8D" w14:textId="77777777" w:rsidTr="005A0FB8">
        <w:tc>
          <w:tcPr>
            <w:tcW w:w="1874" w:type="pct"/>
          </w:tcPr>
          <w:p w14:paraId="6DFDB068" w14:textId="0842B062" w:rsidR="00BA3B66" w:rsidRDefault="00BA3B66" w:rsidP="00BA3B66">
            <w:pPr>
              <w:pStyle w:val="Tabletext0"/>
            </w:pPr>
            <w:r>
              <w:t>Proportion of patients where germline variant identified</w:t>
            </w:r>
          </w:p>
        </w:tc>
        <w:tc>
          <w:tcPr>
            <w:tcW w:w="753" w:type="pct"/>
            <w:vAlign w:val="center"/>
          </w:tcPr>
          <w:p w14:paraId="3865744D" w14:textId="662D6871" w:rsidR="00BA3B66" w:rsidRDefault="00BA3B66" w:rsidP="00BA3B66">
            <w:pPr>
              <w:pStyle w:val="Tabletext0"/>
            </w:pPr>
            <w:r>
              <w:rPr>
                <w:rFonts w:cs="Calibri"/>
                <w:color w:val="000000"/>
              </w:rPr>
              <w:t>0.066</w:t>
            </w:r>
          </w:p>
        </w:tc>
        <w:tc>
          <w:tcPr>
            <w:tcW w:w="753" w:type="pct"/>
            <w:vAlign w:val="center"/>
          </w:tcPr>
          <w:p w14:paraId="272B84D1" w14:textId="10A06CF8" w:rsidR="00BA3B66" w:rsidRDefault="00BA3B66" w:rsidP="00BA3B66">
            <w:pPr>
              <w:pStyle w:val="Tabletext0"/>
            </w:pPr>
          </w:p>
        </w:tc>
        <w:tc>
          <w:tcPr>
            <w:tcW w:w="727" w:type="pct"/>
            <w:vAlign w:val="center"/>
          </w:tcPr>
          <w:p w14:paraId="4B930D68" w14:textId="507C2B39" w:rsidR="00BA3B66" w:rsidRDefault="00BA3B66" w:rsidP="00BA3B66">
            <w:pPr>
              <w:pStyle w:val="Tabletext0"/>
            </w:pPr>
            <w:r>
              <w:rPr>
                <w:rFonts w:cs="Calibri"/>
                <w:color w:val="000000"/>
              </w:rPr>
              <w:t>0.066</w:t>
            </w:r>
          </w:p>
        </w:tc>
        <w:tc>
          <w:tcPr>
            <w:tcW w:w="892" w:type="pct"/>
            <w:vAlign w:val="center"/>
          </w:tcPr>
          <w:p w14:paraId="6376338F" w14:textId="19208881" w:rsidR="00BA3B66" w:rsidRPr="005A0FB8" w:rsidRDefault="0002580C" w:rsidP="00BA3B66">
            <w:pPr>
              <w:pStyle w:val="Tabletext0"/>
            </w:pPr>
            <w:r w:rsidRPr="005A0FB8">
              <w:rPr>
                <w:rFonts w:cs="Calibri"/>
                <w:color w:val="000000"/>
              </w:rPr>
              <w:t>$16,</w:t>
            </w:r>
            <w:r w:rsidR="00383299" w:rsidRPr="005A0FB8">
              <w:rPr>
                <w:rFonts w:cs="Calibri"/>
                <w:color w:val="000000"/>
              </w:rPr>
              <w:t>720</w:t>
            </w:r>
          </w:p>
        </w:tc>
      </w:tr>
      <w:tr w:rsidR="00BA3B66" w14:paraId="15399272" w14:textId="77777777" w:rsidTr="005A0FB8">
        <w:tc>
          <w:tcPr>
            <w:tcW w:w="1874" w:type="pct"/>
          </w:tcPr>
          <w:p w14:paraId="776138BF" w14:textId="0BADC734" w:rsidR="00BA3B66" w:rsidRDefault="00BA3B66" w:rsidP="00BA3B66">
            <w:pPr>
              <w:pStyle w:val="Tabletext0"/>
            </w:pPr>
            <w:r>
              <w:t xml:space="preserve">Proportion of patients receiving result directing therapy </w:t>
            </w:r>
          </w:p>
        </w:tc>
        <w:tc>
          <w:tcPr>
            <w:tcW w:w="753" w:type="pct"/>
            <w:vAlign w:val="center"/>
          </w:tcPr>
          <w:p w14:paraId="67CAFC4F" w14:textId="12E48D8D" w:rsidR="00BA3B66" w:rsidRDefault="00BA3B66" w:rsidP="00BA3B66">
            <w:pPr>
              <w:pStyle w:val="Tabletext0"/>
            </w:pPr>
            <w:r>
              <w:rPr>
                <w:rFonts w:cs="Calibri"/>
                <w:color w:val="000000"/>
              </w:rPr>
              <w:t>0.408</w:t>
            </w:r>
          </w:p>
        </w:tc>
        <w:tc>
          <w:tcPr>
            <w:tcW w:w="753" w:type="pct"/>
            <w:vAlign w:val="center"/>
          </w:tcPr>
          <w:p w14:paraId="713E4587" w14:textId="5190929C" w:rsidR="00BA3B66" w:rsidRDefault="00BA3B66" w:rsidP="00BA3B66">
            <w:pPr>
              <w:pStyle w:val="Tabletext0"/>
            </w:pPr>
          </w:p>
        </w:tc>
        <w:tc>
          <w:tcPr>
            <w:tcW w:w="727" w:type="pct"/>
            <w:vAlign w:val="center"/>
          </w:tcPr>
          <w:p w14:paraId="7CFE3C48" w14:textId="33217BB6" w:rsidR="00BA3B66" w:rsidRDefault="00BA3B66" w:rsidP="00BA3B66">
            <w:pPr>
              <w:pStyle w:val="Tabletext0"/>
            </w:pPr>
            <w:r>
              <w:rPr>
                <w:rFonts w:cs="Calibri"/>
                <w:color w:val="000000"/>
              </w:rPr>
              <w:t>0.408</w:t>
            </w:r>
          </w:p>
        </w:tc>
        <w:tc>
          <w:tcPr>
            <w:tcW w:w="892" w:type="pct"/>
            <w:vAlign w:val="center"/>
          </w:tcPr>
          <w:p w14:paraId="405B9A41" w14:textId="5CF7B77C" w:rsidR="00BA3B66" w:rsidRPr="005A0FB8" w:rsidRDefault="0002580C" w:rsidP="00BA3B66">
            <w:pPr>
              <w:pStyle w:val="Tabletext0"/>
            </w:pPr>
            <w:r w:rsidRPr="005A0FB8">
              <w:rPr>
                <w:rFonts w:cs="Calibri"/>
                <w:color w:val="000000"/>
              </w:rPr>
              <w:t>$2,6</w:t>
            </w:r>
            <w:r w:rsidR="00383299" w:rsidRPr="005A0FB8">
              <w:rPr>
                <w:rFonts w:cs="Calibri"/>
                <w:color w:val="000000"/>
              </w:rPr>
              <w:t>97</w:t>
            </w:r>
          </w:p>
        </w:tc>
      </w:tr>
    </w:tbl>
    <w:p w14:paraId="16247ABB" w14:textId="77B409F1" w:rsidR="005A0FB8" w:rsidRDefault="005A0FB8" w:rsidP="00F60AC2">
      <w:pPr>
        <w:pStyle w:val="TableFooter"/>
      </w:pPr>
      <w:r>
        <w:t>Source DCAR calculations was updated based on MSAC’s advice</w:t>
      </w:r>
    </w:p>
    <w:p w14:paraId="36510580" w14:textId="5290C00C" w:rsidR="00D9421D" w:rsidRDefault="00D9421D" w:rsidP="00D9421D">
      <w:pPr>
        <w:pStyle w:val="Heading4"/>
      </w:pPr>
      <w:r>
        <w:t>Summary and comments on cost-effectiveness of a myeloid panel</w:t>
      </w:r>
    </w:p>
    <w:p w14:paraId="5E6A0625" w14:textId="090E034D" w:rsidR="00CF0F58" w:rsidRDefault="00D9421D" w:rsidP="00CF0F58">
      <w:r>
        <w:t xml:space="preserve">NGS testing critically supports pathologists to establish the correct diagnosis, whether used initially (Jajosky et al, 2021) or if uncertainty remains after all other tests and reviews (Bommier et al, 2021). The invaluable role of the prognostic and predictive impact for the management of CLL is clearly demonstrated by Jajosky et al (2021) and patients cannot be managed appropriately without knowing the </w:t>
      </w:r>
      <w:r w:rsidR="00994693">
        <w:t xml:space="preserve">variant </w:t>
      </w:r>
      <w:r>
        <w:t xml:space="preserve">status of genes such as </w:t>
      </w:r>
      <w:r w:rsidRPr="00D9421D">
        <w:rPr>
          <w:i/>
          <w:iCs/>
        </w:rPr>
        <w:t>TP53</w:t>
      </w:r>
      <w:r>
        <w:t xml:space="preserve">. </w:t>
      </w:r>
      <w:r w:rsidR="00140B4F">
        <w:t>The potential to identify therapeutic options is clearly demonstrated in all three studies, as is the overall contribution across all the domains. Patients may receive informative results across multiple domains</w:t>
      </w:r>
      <w:r w:rsidR="002A0F66">
        <w:t>, and Vicente-Garces (2022) identified the potential to detect familial predisposition affecting cancer risk and the safe use of medicines</w:t>
      </w:r>
      <w:r w:rsidR="00140B4F">
        <w:t>.</w:t>
      </w:r>
    </w:p>
    <w:p w14:paraId="25AE2BAC" w14:textId="6D94F403" w:rsidR="00772829" w:rsidRPr="00CE28E3" w:rsidRDefault="00C36633" w:rsidP="002A18BE">
      <w:pPr>
        <w:pStyle w:val="Heading2"/>
        <w:numPr>
          <w:ilvl w:val="0"/>
          <w:numId w:val="0"/>
        </w:numPr>
      </w:pPr>
      <w:bookmarkStart w:id="36" w:name="_Toc111754805"/>
      <w:r>
        <w:t>1</w:t>
      </w:r>
      <w:r w:rsidR="00FA4672">
        <w:t>4</w:t>
      </w:r>
      <w:r>
        <w:t>.</w:t>
      </w:r>
      <w:r>
        <w:tab/>
      </w:r>
      <w:r w:rsidR="00772829" w:rsidRPr="00A6693F">
        <w:t>Financial/budgetary impacts</w:t>
      </w:r>
      <w:bookmarkEnd w:id="36"/>
    </w:p>
    <w:p w14:paraId="7A7DE596" w14:textId="609E1D4F" w:rsidR="00D428B9" w:rsidRDefault="00A6693F" w:rsidP="00240E17">
      <w:r>
        <w:t xml:space="preserve">An epidemiological </w:t>
      </w:r>
      <w:r w:rsidR="00D428B9" w:rsidRPr="00330A0A">
        <w:t xml:space="preserve">approach </w:t>
      </w:r>
      <w:r>
        <w:t xml:space="preserve">was </w:t>
      </w:r>
      <w:r w:rsidR="00D428B9" w:rsidRPr="00330A0A">
        <w:t>used to estimate the uptake of the proposed technology</w:t>
      </w:r>
      <w:r w:rsidR="00C57FC9">
        <w:t xml:space="preserve">, and the proportion of testing known in terms of </w:t>
      </w:r>
      <w:proofErr w:type="gramStart"/>
      <w:r w:rsidR="00C57FC9">
        <w:t>myeloid:lymphoid</w:t>
      </w:r>
      <w:proofErr w:type="gramEnd"/>
      <w:r w:rsidR="00C57FC9">
        <w:t xml:space="preserve"> panel testing ratio plus the out-of-hospital testing rate are known as this </w:t>
      </w:r>
      <w:r>
        <w:t>is already established</w:t>
      </w:r>
      <w:r w:rsidR="00C57FC9">
        <w:t xml:space="preserve"> as the standard of care</w:t>
      </w:r>
      <w:r>
        <w:t xml:space="preserve"> for some Australian patients.</w:t>
      </w:r>
    </w:p>
    <w:p w14:paraId="2CD7539D" w14:textId="64AB8226" w:rsidR="004B759A" w:rsidRPr="00330A0A" w:rsidRDefault="004B759A" w:rsidP="00240E17">
      <w:r>
        <w:t>The data presented in the following tables for ‘</w:t>
      </w:r>
      <w:r w:rsidRPr="002E6C2E">
        <w:t>Number of people who receive NGS panel test (includes incident and prevalent population)</w:t>
      </w:r>
      <w:r>
        <w:t>’ represents an estimate of the sum of patients to be tested with either the myeloid panel test or the lymphoid panel test.</w:t>
      </w:r>
      <w:r w:rsidR="008C260D">
        <w:t xml:space="preserve"> The </w:t>
      </w:r>
      <w:r w:rsidR="008C260D">
        <w:rPr>
          <w:color w:val="000000" w:themeColor="text1"/>
        </w:rPr>
        <w:t xml:space="preserve">Peter MacCallum Cancer Centre advised the </w:t>
      </w:r>
      <w:r w:rsidR="008C260D">
        <w:t xml:space="preserve">HTA group </w:t>
      </w:r>
      <w:r w:rsidR="008C260D">
        <w:rPr>
          <w:color w:val="000000" w:themeColor="text1"/>
        </w:rPr>
        <w:t>that it tests</w:t>
      </w:r>
      <w:r w:rsidR="008C260D">
        <w:rPr>
          <w:rFonts w:cs="Calibri"/>
        </w:rPr>
        <w:t xml:space="preserve"> 5,000-6,000 samples a year of which the breakdown is probably 70% myeloid/30% lymphoid. </w:t>
      </w:r>
      <w:r w:rsidR="00044C60" w:rsidRPr="00044C60">
        <w:rPr>
          <w:rFonts w:cs="Calibri"/>
        </w:rPr>
        <w:t xml:space="preserve">Given the earlier estimate that 5000 tests were performed at the Peter MacCallum Cancer Centre in 2021, and that this is the only reported site to offer a lymphoid panel, this suggests that these figures are from that centre. This clearly indicates that the myeloid panel is used more frequently (although myeloid malignancies account for only 25% of all haematological cancers), especially as this was the only testing offered at other sites. </w:t>
      </w:r>
      <w:r w:rsidR="008C260D">
        <w:rPr>
          <w:rFonts w:cs="Calibri"/>
        </w:rPr>
        <w:t xml:space="preserve">This percentage breakdown can be used to inform the likely utilisation of the two new MBS items, AAAA for NGS testing with a myeloid panel and BBBB for NGS testing with a lymphoid panel. </w:t>
      </w:r>
    </w:p>
    <w:p w14:paraId="4FE2390F" w14:textId="19E894C1" w:rsidR="0072578A" w:rsidRDefault="00D428B9" w:rsidP="00330A0A">
      <w:r w:rsidRPr="00CE28E3">
        <w:t xml:space="preserve">The financial implications to the </w:t>
      </w:r>
      <w:r w:rsidR="00A6693F">
        <w:t>MBS</w:t>
      </w:r>
      <w:r w:rsidRPr="00CE28E3">
        <w:t xml:space="preserve"> resulting from the proposed listing of </w:t>
      </w:r>
      <w:r w:rsidR="00A6693F">
        <w:t xml:space="preserve">NGS panel testing for the characterisation of </w:t>
      </w:r>
      <w:r w:rsidR="00240E17">
        <w:t>haematological malignancies</w:t>
      </w:r>
      <w:r w:rsidRPr="00CE28E3">
        <w:t xml:space="preserve"> are summarised </w:t>
      </w:r>
      <w:r w:rsidR="00574A67">
        <w:t>below</w:t>
      </w:r>
      <w:r w:rsidR="00DA6C44">
        <w:t>.</w:t>
      </w:r>
    </w:p>
    <w:p w14:paraId="2707D98E" w14:textId="2646F7F9" w:rsidR="00713099" w:rsidRDefault="00B72BA8" w:rsidP="00B72BA8">
      <w:bookmarkStart w:id="37" w:name="_Hlk68276814"/>
      <w:proofErr w:type="gramStart"/>
      <w:r>
        <w:lastRenderedPageBreak/>
        <w:t>All of</w:t>
      </w:r>
      <w:proofErr w:type="gramEnd"/>
      <w:r>
        <w:t xml:space="preserve"> the following tables are based on the 85% benefit incorporating the Greatest Permissible Gap</w:t>
      </w:r>
      <w:r w:rsidR="0065325D">
        <w:t xml:space="preserve"> (GPG)</w:t>
      </w:r>
      <w:r>
        <w:t>.</w:t>
      </w:r>
      <w:r w:rsidR="0065325D">
        <w:t xml:space="preserve"> </w:t>
      </w:r>
      <w:r w:rsidR="00574A67">
        <w:t>However, t</w:t>
      </w:r>
      <w:r w:rsidR="0065325D" w:rsidRPr="0046019B">
        <w:t>he GPG is indexed annually on 1 November in line with the Consumer Price Index (CPI) (June quarter)</w:t>
      </w:r>
      <w:r w:rsidR="0065325D">
        <w:t>, resulting in a reduction of the 85% benefit each year. For example, the 85% benefit used in Table 2</w:t>
      </w:r>
      <w:r w:rsidR="00574A67">
        <w:t>2</w:t>
      </w:r>
      <w:r w:rsidR="0065325D">
        <w:t xml:space="preserve"> will become $8</w:t>
      </w:r>
      <w:r w:rsidR="00574A67">
        <w:t xml:space="preserve">34.70 </w:t>
      </w:r>
      <w:r w:rsidR="0065325D">
        <w:t>from 1 November 2022 and will reduce again by a currently unknown amount, the following year</w:t>
      </w:r>
      <w:r w:rsidR="00713099">
        <w:t>.</w:t>
      </w:r>
    </w:p>
    <w:p w14:paraId="59E71D0F" w14:textId="0BA3E2D4" w:rsidR="00B72BA8" w:rsidRPr="00EC5853" w:rsidRDefault="00144D9E" w:rsidP="00B72BA8">
      <w:r>
        <w:t>The financial estimates were also calculated</w:t>
      </w:r>
      <w:r w:rsidR="00713099">
        <w:t xml:space="preserve"> based on the </w:t>
      </w:r>
      <w:r>
        <w:t xml:space="preserve">MSAC-supported </w:t>
      </w:r>
      <w:r w:rsidR="00713099">
        <w:t>85% benefit</w:t>
      </w:r>
      <w:r>
        <w:t xml:space="preserve"> ($1,00</w:t>
      </w:r>
      <w:r w:rsidR="00B815BD">
        <w:t>6.80</w:t>
      </w:r>
      <w:r>
        <w:t>)</w:t>
      </w:r>
      <w:r w:rsidR="00713099">
        <w:t xml:space="preserve"> incorporating the GPG of $93.20 from 1 November 2022</w:t>
      </w:r>
      <w:r>
        <w:t xml:space="preserve"> (Table 2</w:t>
      </w:r>
      <w:r w:rsidR="00A165AD">
        <w:t>2</w:t>
      </w:r>
      <w:r>
        <w:t>).</w:t>
      </w:r>
    </w:p>
    <w:p w14:paraId="67B6DF0B" w14:textId="7C44061E" w:rsidR="009D6AF1" w:rsidRDefault="009D6AF1" w:rsidP="009D6AF1">
      <w:pPr>
        <w:pStyle w:val="Caption"/>
      </w:pPr>
      <w:r w:rsidRPr="00B72BA8">
        <w:t xml:space="preserve">Table </w:t>
      </w:r>
      <w:fldSimple w:instr=" SEQ Table \* ARABIC ">
        <w:r w:rsidR="00A165AD">
          <w:rPr>
            <w:noProof/>
          </w:rPr>
          <w:t>22</w:t>
        </w:r>
      </w:fldSimple>
      <w:r w:rsidRPr="00B72BA8">
        <w:t xml:space="preserve"> Net financial implications </w:t>
      </w:r>
      <w:r w:rsidR="00713099">
        <w:t xml:space="preserve">- </w:t>
      </w:r>
      <w:r w:rsidRPr="00F60AC2">
        <w:t>MSAC supported 85% benefit</w:t>
      </w:r>
      <w:r w:rsidR="002E6C2E" w:rsidRPr="00F60AC2">
        <w:t xml:space="preserve"> for DNA and RNA panel testing</w:t>
      </w:r>
      <w:r w:rsidRPr="00F60AC2">
        <w:t xml:space="preserve"> ($1,00</w:t>
      </w:r>
      <w:r w:rsidR="00383299" w:rsidRPr="00F60AC2">
        <w:t>6.80</w:t>
      </w:r>
      <w:r w:rsidR="005752B7" w:rsidRPr="00F60AC2">
        <w:t>)</w:t>
      </w:r>
    </w:p>
    <w:tbl>
      <w:tblPr>
        <w:tblStyle w:val="TableGrid1"/>
        <w:tblW w:w="9341" w:type="dxa"/>
        <w:tblCellMar>
          <w:left w:w="28" w:type="dxa"/>
          <w:right w:w="28" w:type="dxa"/>
        </w:tblCellMar>
        <w:tblLook w:val="04A0" w:firstRow="1" w:lastRow="0" w:firstColumn="1" w:lastColumn="0" w:noHBand="0" w:noVBand="1"/>
      </w:tblPr>
      <w:tblGrid>
        <w:gridCol w:w="2459"/>
        <w:gridCol w:w="1147"/>
        <w:gridCol w:w="1147"/>
        <w:gridCol w:w="1147"/>
        <w:gridCol w:w="1147"/>
        <w:gridCol w:w="1147"/>
        <w:gridCol w:w="1147"/>
      </w:tblGrid>
      <w:tr w:rsidR="00CA11A1" w:rsidRPr="00E976AB" w14:paraId="1D63EDEA" w14:textId="77777777" w:rsidTr="00020E89">
        <w:trPr>
          <w:cnfStyle w:val="100000000000" w:firstRow="1" w:lastRow="0" w:firstColumn="0" w:lastColumn="0" w:oddVBand="0" w:evenVBand="0" w:oddHBand="0" w:evenHBand="0" w:firstRowFirstColumn="0" w:firstRowLastColumn="0" w:lastRowFirstColumn="0" w:lastRowLastColumn="0"/>
          <w:trHeight w:val="340"/>
          <w:tblHeader/>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6319A8" w14:textId="77777777" w:rsidR="00CA11A1" w:rsidRPr="00E976AB" w:rsidRDefault="00CA11A1" w:rsidP="009E1F5B">
            <w:pPr>
              <w:spacing w:before="0" w:after="0"/>
              <w:rPr>
                <w:rFonts w:ascii="Arial Narrow" w:hAnsi="Arial Narrow" w:cs="Calibri"/>
                <w:b/>
                <w:bCs/>
                <w:color w:val="000000"/>
                <w:szCs w:val="20"/>
              </w:rPr>
            </w:pP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5CDBF98E" w14:textId="77777777" w:rsidR="00CA11A1" w:rsidRPr="00E976AB" w:rsidRDefault="00CA11A1" w:rsidP="009E1F5B">
            <w:pPr>
              <w:spacing w:before="0" w:after="0"/>
              <w:jc w:val="right"/>
              <w:rPr>
                <w:rFonts w:ascii="Arial Narrow" w:hAnsi="Arial Narrow" w:cs="Calibri"/>
                <w:b/>
                <w:bCs/>
                <w:color w:val="000000"/>
                <w:szCs w:val="20"/>
              </w:rPr>
            </w:pPr>
            <w:r w:rsidRPr="00E976AB">
              <w:rPr>
                <w:rFonts w:ascii="Arial Narrow" w:hAnsi="Arial Narrow" w:cs="Calibri"/>
                <w:b/>
                <w:bCs/>
                <w:color w:val="000000"/>
                <w:szCs w:val="20"/>
              </w:rPr>
              <w:t>2023</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7E019DE8" w14:textId="77777777" w:rsidR="00CA11A1" w:rsidRPr="00E976AB" w:rsidRDefault="00CA11A1" w:rsidP="009E1F5B">
            <w:pPr>
              <w:spacing w:before="0" w:after="0"/>
              <w:jc w:val="right"/>
              <w:rPr>
                <w:rFonts w:ascii="Arial Narrow" w:hAnsi="Arial Narrow" w:cs="Calibri"/>
                <w:b/>
                <w:bCs/>
                <w:color w:val="000000"/>
                <w:szCs w:val="20"/>
              </w:rPr>
            </w:pPr>
            <w:r w:rsidRPr="00E976AB">
              <w:rPr>
                <w:rFonts w:ascii="Arial Narrow" w:hAnsi="Arial Narrow" w:cs="Calibri"/>
                <w:b/>
                <w:bCs/>
                <w:color w:val="000000"/>
                <w:szCs w:val="20"/>
              </w:rPr>
              <w:t>2024</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1F13BC54" w14:textId="77777777" w:rsidR="00CA11A1" w:rsidRPr="00E976AB" w:rsidRDefault="00CA11A1" w:rsidP="009E1F5B">
            <w:pPr>
              <w:spacing w:before="0" w:after="0"/>
              <w:jc w:val="right"/>
              <w:rPr>
                <w:rFonts w:ascii="Arial Narrow" w:hAnsi="Arial Narrow" w:cs="Calibri"/>
                <w:b/>
                <w:bCs/>
                <w:color w:val="000000"/>
                <w:szCs w:val="20"/>
              </w:rPr>
            </w:pPr>
            <w:r w:rsidRPr="00E976AB">
              <w:rPr>
                <w:rFonts w:ascii="Arial Narrow" w:hAnsi="Arial Narrow" w:cs="Calibri"/>
                <w:b/>
                <w:bCs/>
                <w:color w:val="000000"/>
                <w:szCs w:val="20"/>
              </w:rPr>
              <w:t>2025</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532C9D7C" w14:textId="77777777" w:rsidR="00CA11A1" w:rsidRPr="00E976AB" w:rsidRDefault="00CA11A1" w:rsidP="009E1F5B">
            <w:pPr>
              <w:spacing w:before="0" w:after="0"/>
              <w:jc w:val="right"/>
              <w:rPr>
                <w:rFonts w:ascii="Arial Narrow" w:hAnsi="Arial Narrow" w:cs="Calibri"/>
                <w:b/>
                <w:bCs/>
                <w:color w:val="000000"/>
                <w:szCs w:val="20"/>
              </w:rPr>
            </w:pPr>
            <w:r w:rsidRPr="00E976AB">
              <w:rPr>
                <w:rFonts w:ascii="Arial Narrow" w:hAnsi="Arial Narrow" w:cs="Calibri"/>
                <w:b/>
                <w:bCs/>
                <w:color w:val="000000"/>
                <w:szCs w:val="20"/>
              </w:rPr>
              <w:t>2026</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71A27603" w14:textId="77777777" w:rsidR="00CA11A1" w:rsidRPr="00E976AB" w:rsidRDefault="00CA11A1" w:rsidP="009E1F5B">
            <w:pPr>
              <w:spacing w:before="0" w:after="0"/>
              <w:jc w:val="right"/>
              <w:rPr>
                <w:rFonts w:ascii="Arial Narrow" w:hAnsi="Arial Narrow" w:cs="Calibri"/>
                <w:b/>
                <w:bCs/>
                <w:color w:val="000000"/>
                <w:szCs w:val="20"/>
              </w:rPr>
            </w:pPr>
            <w:r w:rsidRPr="00E976AB">
              <w:rPr>
                <w:rFonts w:ascii="Arial Narrow" w:hAnsi="Arial Narrow" w:cs="Calibri"/>
                <w:b/>
                <w:bCs/>
                <w:color w:val="000000"/>
                <w:szCs w:val="20"/>
              </w:rPr>
              <w:t>2027</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00963460" w14:textId="77777777" w:rsidR="00CA11A1" w:rsidRPr="00E976AB" w:rsidRDefault="00CA11A1" w:rsidP="009E1F5B">
            <w:pPr>
              <w:spacing w:before="0" w:after="0"/>
              <w:jc w:val="right"/>
              <w:rPr>
                <w:rFonts w:ascii="Arial Narrow" w:hAnsi="Arial Narrow" w:cs="Calibri"/>
                <w:b/>
                <w:bCs/>
                <w:color w:val="000000"/>
                <w:szCs w:val="20"/>
              </w:rPr>
            </w:pPr>
            <w:r w:rsidRPr="00E976AB">
              <w:rPr>
                <w:rFonts w:ascii="Arial Narrow" w:hAnsi="Arial Narrow" w:cs="Calibri"/>
                <w:b/>
                <w:bCs/>
                <w:color w:val="000000"/>
                <w:szCs w:val="20"/>
              </w:rPr>
              <w:t>2028</w:t>
            </w:r>
          </w:p>
        </w:tc>
      </w:tr>
      <w:tr w:rsidR="00CA11A1" w:rsidRPr="00E976AB" w14:paraId="42A5F131" w14:textId="77777777" w:rsidTr="00020E89">
        <w:trPr>
          <w:trHeight w:val="133"/>
        </w:trPr>
        <w:tc>
          <w:tcPr>
            <w:tcW w:w="934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DAAF5D7" w14:textId="384C083D" w:rsidR="00CA11A1" w:rsidRPr="00E976AB" w:rsidRDefault="00CA11A1" w:rsidP="009E1F5B">
            <w:pPr>
              <w:spacing w:before="0" w:after="0"/>
              <w:rPr>
                <w:rFonts w:ascii="Arial Narrow" w:hAnsi="Arial Narrow" w:cs="Calibri"/>
                <w:b/>
                <w:bCs/>
                <w:color w:val="000000"/>
                <w:szCs w:val="20"/>
              </w:rPr>
            </w:pPr>
            <w:r w:rsidRPr="00E976AB">
              <w:rPr>
                <w:rFonts w:ascii="Arial Narrow" w:hAnsi="Arial Narrow" w:cs="Calibri"/>
                <w:b/>
                <w:bCs/>
                <w:color w:val="000000"/>
                <w:szCs w:val="20"/>
              </w:rPr>
              <w:t>Estimated use and cost of the proposed health technology</w:t>
            </w:r>
            <w:r>
              <w:rPr>
                <w:rFonts w:ascii="Arial Narrow" w:hAnsi="Arial Narrow" w:cs="Calibri"/>
                <w:b/>
                <w:bCs/>
                <w:color w:val="000000"/>
                <w:szCs w:val="20"/>
              </w:rPr>
              <w:t xml:space="preserve"> at </w:t>
            </w:r>
            <w:r w:rsidRPr="00CA11A1">
              <w:rPr>
                <w:rFonts w:ascii="Arial Narrow" w:hAnsi="Arial Narrow" w:cs="Calibri"/>
                <w:b/>
                <w:bCs/>
                <w:color w:val="000000"/>
                <w:szCs w:val="20"/>
              </w:rPr>
              <w:t>MSAC supported 85% benefit ($1,000)</w:t>
            </w:r>
          </w:p>
        </w:tc>
      </w:tr>
      <w:tr w:rsidR="00CA11A1" w:rsidRPr="00E976AB" w14:paraId="521BDC9E" w14:textId="77777777" w:rsidTr="00020E89">
        <w:trPr>
          <w:trHeight w:val="448"/>
        </w:trPr>
        <w:tc>
          <w:tcPr>
            <w:tcW w:w="2459" w:type="dxa"/>
            <w:tcBorders>
              <w:top w:val="nil"/>
              <w:left w:val="single" w:sz="8" w:space="0" w:color="auto"/>
              <w:bottom w:val="single" w:sz="8" w:space="0" w:color="auto"/>
              <w:right w:val="single" w:sz="8" w:space="0" w:color="auto"/>
            </w:tcBorders>
            <w:shd w:val="clear" w:color="auto" w:fill="auto"/>
            <w:vAlign w:val="center"/>
            <w:hideMark/>
          </w:tcPr>
          <w:p w14:paraId="7322A9D8" w14:textId="77777777" w:rsidR="00CA11A1" w:rsidRPr="00E976AB" w:rsidRDefault="00CA11A1" w:rsidP="009E1F5B">
            <w:pPr>
              <w:spacing w:before="0" w:after="0"/>
              <w:rPr>
                <w:rFonts w:ascii="Arial Narrow" w:hAnsi="Arial Narrow" w:cs="Calibri"/>
                <w:color w:val="000000"/>
                <w:szCs w:val="20"/>
              </w:rPr>
            </w:pPr>
            <w:r w:rsidRPr="00E976AB">
              <w:rPr>
                <w:rFonts w:ascii="Arial Narrow" w:hAnsi="Arial Narrow" w:cs="Calibri"/>
                <w:color w:val="000000"/>
                <w:szCs w:val="20"/>
              </w:rPr>
              <w:t>Number of people with suspected condition</w:t>
            </w:r>
            <w:r w:rsidRPr="00BD020D">
              <w:rPr>
                <w:rFonts w:ascii="Arial Narrow" w:hAnsi="Arial Narrow" w:cs="Calibri"/>
                <w:color w:val="000000"/>
                <w:szCs w:val="20"/>
              </w:rPr>
              <w:t xml:space="preserve"> or past diagnosis</w:t>
            </w:r>
          </w:p>
        </w:tc>
        <w:tc>
          <w:tcPr>
            <w:tcW w:w="1147" w:type="dxa"/>
            <w:tcBorders>
              <w:top w:val="nil"/>
              <w:left w:val="nil"/>
              <w:bottom w:val="single" w:sz="8" w:space="0" w:color="auto"/>
              <w:right w:val="single" w:sz="8" w:space="0" w:color="auto"/>
            </w:tcBorders>
            <w:shd w:val="clear" w:color="auto" w:fill="auto"/>
            <w:vAlign w:val="center"/>
            <w:hideMark/>
          </w:tcPr>
          <w:p w14:paraId="13DABF1A"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75,595</w:t>
            </w:r>
          </w:p>
        </w:tc>
        <w:tc>
          <w:tcPr>
            <w:tcW w:w="1147" w:type="dxa"/>
            <w:tcBorders>
              <w:top w:val="nil"/>
              <w:left w:val="nil"/>
              <w:bottom w:val="single" w:sz="8" w:space="0" w:color="auto"/>
              <w:right w:val="single" w:sz="8" w:space="0" w:color="auto"/>
            </w:tcBorders>
            <w:shd w:val="clear" w:color="auto" w:fill="auto"/>
            <w:vAlign w:val="center"/>
            <w:hideMark/>
          </w:tcPr>
          <w:p w14:paraId="49E21732"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76,763</w:t>
            </w:r>
          </w:p>
        </w:tc>
        <w:tc>
          <w:tcPr>
            <w:tcW w:w="1147" w:type="dxa"/>
            <w:tcBorders>
              <w:top w:val="nil"/>
              <w:left w:val="nil"/>
              <w:bottom w:val="single" w:sz="8" w:space="0" w:color="auto"/>
              <w:right w:val="single" w:sz="8" w:space="0" w:color="auto"/>
            </w:tcBorders>
            <w:shd w:val="clear" w:color="auto" w:fill="auto"/>
            <w:vAlign w:val="center"/>
            <w:hideMark/>
          </w:tcPr>
          <w:p w14:paraId="01A0AF56"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77,955</w:t>
            </w:r>
          </w:p>
        </w:tc>
        <w:tc>
          <w:tcPr>
            <w:tcW w:w="1147" w:type="dxa"/>
            <w:tcBorders>
              <w:top w:val="nil"/>
              <w:left w:val="nil"/>
              <w:bottom w:val="single" w:sz="8" w:space="0" w:color="auto"/>
              <w:right w:val="single" w:sz="8" w:space="0" w:color="auto"/>
            </w:tcBorders>
            <w:shd w:val="clear" w:color="auto" w:fill="auto"/>
            <w:vAlign w:val="center"/>
            <w:hideMark/>
          </w:tcPr>
          <w:p w14:paraId="0C732560"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79,171</w:t>
            </w:r>
          </w:p>
        </w:tc>
        <w:tc>
          <w:tcPr>
            <w:tcW w:w="1147" w:type="dxa"/>
            <w:tcBorders>
              <w:top w:val="nil"/>
              <w:left w:val="nil"/>
              <w:bottom w:val="single" w:sz="8" w:space="0" w:color="auto"/>
              <w:right w:val="single" w:sz="8" w:space="0" w:color="auto"/>
            </w:tcBorders>
            <w:shd w:val="clear" w:color="auto" w:fill="auto"/>
            <w:vAlign w:val="center"/>
            <w:hideMark/>
          </w:tcPr>
          <w:p w14:paraId="386D9105"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80,413</w:t>
            </w:r>
          </w:p>
        </w:tc>
        <w:tc>
          <w:tcPr>
            <w:tcW w:w="1147" w:type="dxa"/>
            <w:tcBorders>
              <w:top w:val="nil"/>
              <w:left w:val="nil"/>
              <w:bottom w:val="single" w:sz="8" w:space="0" w:color="auto"/>
              <w:right w:val="single" w:sz="8" w:space="0" w:color="auto"/>
            </w:tcBorders>
            <w:shd w:val="clear" w:color="auto" w:fill="auto"/>
            <w:vAlign w:val="center"/>
            <w:hideMark/>
          </w:tcPr>
          <w:p w14:paraId="5E61342F"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81,682</w:t>
            </w:r>
          </w:p>
        </w:tc>
      </w:tr>
      <w:tr w:rsidR="00CA11A1" w:rsidRPr="00E976AB" w14:paraId="39D3A46B" w14:textId="77777777" w:rsidTr="00020E89">
        <w:trPr>
          <w:trHeight w:val="601"/>
        </w:trPr>
        <w:tc>
          <w:tcPr>
            <w:tcW w:w="2459" w:type="dxa"/>
            <w:tcBorders>
              <w:top w:val="nil"/>
              <w:left w:val="single" w:sz="8" w:space="0" w:color="auto"/>
              <w:bottom w:val="single" w:sz="8" w:space="0" w:color="auto"/>
              <w:right w:val="single" w:sz="8" w:space="0" w:color="auto"/>
            </w:tcBorders>
            <w:shd w:val="clear" w:color="auto" w:fill="auto"/>
            <w:vAlign w:val="center"/>
            <w:hideMark/>
          </w:tcPr>
          <w:p w14:paraId="11EB88AC" w14:textId="77777777" w:rsidR="00CA11A1" w:rsidRPr="00E976AB" w:rsidRDefault="00CA11A1" w:rsidP="009E1F5B">
            <w:pPr>
              <w:spacing w:before="0" w:after="0"/>
              <w:rPr>
                <w:rFonts w:ascii="Arial Narrow" w:hAnsi="Arial Narrow" w:cs="Calibri"/>
                <w:color w:val="000000"/>
                <w:szCs w:val="20"/>
              </w:rPr>
            </w:pPr>
            <w:r w:rsidRPr="00E976AB">
              <w:rPr>
                <w:rFonts w:ascii="Arial Narrow" w:hAnsi="Arial Narrow" w:cs="Calibri"/>
                <w:color w:val="000000"/>
                <w:szCs w:val="20"/>
              </w:rPr>
              <w:t>Number of people eligible for NGS panel test</w:t>
            </w:r>
          </w:p>
        </w:tc>
        <w:tc>
          <w:tcPr>
            <w:tcW w:w="1147" w:type="dxa"/>
            <w:tcBorders>
              <w:top w:val="nil"/>
              <w:left w:val="nil"/>
              <w:bottom w:val="single" w:sz="8" w:space="0" w:color="auto"/>
              <w:right w:val="single" w:sz="8" w:space="0" w:color="auto"/>
            </w:tcBorders>
            <w:shd w:val="clear" w:color="auto" w:fill="auto"/>
            <w:vAlign w:val="center"/>
            <w:hideMark/>
          </w:tcPr>
          <w:p w14:paraId="13E6D7D9"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59,131</w:t>
            </w:r>
          </w:p>
        </w:tc>
        <w:tc>
          <w:tcPr>
            <w:tcW w:w="1147" w:type="dxa"/>
            <w:tcBorders>
              <w:top w:val="nil"/>
              <w:left w:val="nil"/>
              <w:bottom w:val="single" w:sz="8" w:space="0" w:color="auto"/>
              <w:right w:val="single" w:sz="8" w:space="0" w:color="auto"/>
            </w:tcBorders>
            <w:shd w:val="clear" w:color="auto" w:fill="auto"/>
            <w:vAlign w:val="center"/>
            <w:hideMark/>
          </w:tcPr>
          <w:p w14:paraId="19F35D80"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60,071</w:t>
            </w:r>
          </w:p>
        </w:tc>
        <w:tc>
          <w:tcPr>
            <w:tcW w:w="1147" w:type="dxa"/>
            <w:tcBorders>
              <w:top w:val="nil"/>
              <w:left w:val="nil"/>
              <w:bottom w:val="single" w:sz="8" w:space="0" w:color="auto"/>
              <w:right w:val="single" w:sz="8" w:space="0" w:color="auto"/>
            </w:tcBorders>
            <w:shd w:val="clear" w:color="auto" w:fill="auto"/>
            <w:vAlign w:val="center"/>
            <w:hideMark/>
          </w:tcPr>
          <w:p w14:paraId="2856BDC9"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61,030</w:t>
            </w:r>
          </w:p>
        </w:tc>
        <w:tc>
          <w:tcPr>
            <w:tcW w:w="1147" w:type="dxa"/>
            <w:tcBorders>
              <w:top w:val="nil"/>
              <w:left w:val="nil"/>
              <w:bottom w:val="single" w:sz="8" w:space="0" w:color="auto"/>
              <w:right w:val="single" w:sz="8" w:space="0" w:color="auto"/>
            </w:tcBorders>
            <w:shd w:val="clear" w:color="auto" w:fill="auto"/>
            <w:vAlign w:val="center"/>
            <w:hideMark/>
          </w:tcPr>
          <w:p w14:paraId="22BB8A09"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62,011</w:t>
            </w:r>
          </w:p>
        </w:tc>
        <w:tc>
          <w:tcPr>
            <w:tcW w:w="1147" w:type="dxa"/>
            <w:tcBorders>
              <w:top w:val="nil"/>
              <w:left w:val="nil"/>
              <w:bottom w:val="single" w:sz="8" w:space="0" w:color="auto"/>
              <w:right w:val="single" w:sz="8" w:space="0" w:color="auto"/>
            </w:tcBorders>
            <w:shd w:val="clear" w:color="auto" w:fill="auto"/>
            <w:vAlign w:val="center"/>
            <w:hideMark/>
          </w:tcPr>
          <w:p w14:paraId="0FAB2FB9"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63,011</w:t>
            </w:r>
          </w:p>
        </w:tc>
        <w:tc>
          <w:tcPr>
            <w:tcW w:w="1147" w:type="dxa"/>
            <w:tcBorders>
              <w:top w:val="nil"/>
              <w:left w:val="nil"/>
              <w:bottom w:val="single" w:sz="8" w:space="0" w:color="auto"/>
              <w:right w:val="single" w:sz="8" w:space="0" w:color="auto"/>
            </w:tcBorders>
            <w:shd w:val="clear" w:color="auto" w:fill="auto"/>
            <w:vAlign w:val="center"/>
            <w:hideMark/>
          </w:tcPr>
          <w:p w14:paraId="35528561"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64,034</w:t>
            </w:r>
          </w:p>
        </w:tc>
      </w:tr>
      <w:tr w:rsidR="00CA11A1" w:rsidRPr="00E976AB" w14:paraId="0F3C4942" w14:textId="77777777" w:rsidTr="00020E89">
        <w:trPr>
          <w:trHeight w:val="60"/>
        </w:trPr>
        <w:tc>
          <w:tcPr>
            <w:tcW w:w="2459" w:type="dxa"/>
            <w:tcBorders>
              <w:top w:val="nil"/>
              <w:left w:val="single" w:sz="8" w:space="0" w:color="auto"/>
              <w:bottom w:val="single" w:sz="8" w:space="0" w:color="auto"/>
              <w:right w:val="single" w:sz="8" w:space="0" w:color="auto"/>
            </w:tcBorders>
            <w:shd w:val="clear" w:color="auto" w:fill="auto"/>
            <w:vAlign w:val="center"/>
            <w:hideMark/>
          </w:tcPr>
          <w:p w14:paraId="07576FF8" w14:textId="77777777" w:rsidR="00CA11A1" w:rsidRPr="00E976AB" w:rsidRDefault="00CA11A1" w:rsidP="009E1F5B">
            <w:pPr>
              <w:spacing w:before="0" w:after="0"/>
              <w:rPr>
                <w:rFonts w:ascii="Arial Narrow" w:hAnsi="Arial Narrow" w:cs="Calibri"/>
                <w:color w:val="000000"/>
                <w:szCs w:val="20"/>
              </w:rPr>
            </w:pPr>
            <w:r w:rsidRPr="00E976AB">
              <w:rPr>
                <w:rFonts w:ascii="Arial Narrow" w:hAnsi="Arial Narrow" w:cs="Calibri"/>
                <w:color w:val="000000"/>
                <w:szCs w:val="20"/>
              </w:rPr>
              <w:t>Number of people who receive NGS panel test</w:t>
            </w:r>
            <w:r>
              <w:rPr>
                <w:rFonts w:ascii="Arial Narrow" w:hAnsi="Arial Narrow" w:cs="Calibri"/>
                <w:color w:val="000000"/>
                <w:szCs w:val="20"/>
              </w:rPr>
              <w:t xml:space="preserve"> </w:t>
            </w:r>
            <w:r w:rsidRPr="00BD020D">
              <w:rPr>
                <w:rFonts w:ascii="Arial Narrow" w:hAnsi="Arial Narrow" w:cs="Calibri"/>
                <w:color w:val="000000"/>
                <w:szCs w:val="20"/>
              </w:rPr>
              <w:t>(includes incident and prevalent population)</w:t>
            </w:r>
          </w:p>
        </w:tc>
        <w:tc>
          <w:tcPr>
            <w:tcW w:w="1147" w:type="dxa"/>
            <w:tcBorders>
              <w:top w:val="nil"/>
              <w:left w:val="nil"/>
              <w:bottom w:val="single" w:sz="8" w:space="0" w:color="auto"/>
              <w:right w:val="single" w:sz="8" w:space="0" w:color="auto"/>
            </w:tcBorders>
            <w:shd w:val="clear" w:color="auto" w:fill="auto"/>
            <w:vAlign w:val="center"/>
            <w:hideMark/>
          </w:tcPr>
          <w:p w14:paraId="406F416E"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10,545</w:t>
            </w:r>
          </w:p>
        </w:tc>
        <w:tc>
          <w:tcPr>
            <w:tcW w:w="1147" w:type="dxa"/>
            <w:tcBorders>
              <w:top w:val="nil"/>
              <w:left w:val="nil"/>
              <w:bottom w:val="single" w:sz="8" w:space="0" w:color="auto"/>
              <w:right w:val="single" w:sz="8" w:space="0" w:color="auto"/>
            </w:tcBorders>
            <w:shd w:val="clear" w:color="auto" w:fill="auto"/>
            <w:vAlign w:val="center"/>
            <w:hideMark/>
          </w:tcPr>
          <w:p w14:paraId="072DE59E"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10,828</w:t>
            </w:r>
          </w:p>
        </w:tc>
        <w:tc>
          <w:tcPr>
            <w:tcW w:w="1147" w:type="dxa"/>
            <w:tcBorders>
              <w:top w:val="nil"/>
              <w:left w:val="nil"/>
              <w:bottom w:val="single" w:sz="8" w:space="0" w:color="auto"/>
              <w:right w:val="single" w:sz="8" w:space="0" w:color="auto"/>
            </w:tcBorders>
            <w:shd w:val="clear" w:color="auto" w:fill="auto"/>
            <w:vAlign w:val="center"/>
            <w:hideMark/>
          </w:tcPr>
          <w:p w14:paraId="06CE8AE9"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11,118</w:t>
            </w:r>
          </w:p>
        </w:tc>
        <w:tc>
          <w:tcPr>
            <w:tcW w:w="1147" w:type="dxa"/>
            <w:tcBorders>
              <w:top w:val="nil"/>
              <w:left w:val="nil"/>
              <w:bottom w:val="single" w:sz="8" w:space="0" w:color="auto"/>
              <w:right w:val="single" w:sz="8" w:space="0" w:color="auto"/>
            </w:tcBorders>
            <w:shd w:val="clear" w:color="auto" w:fill="auto"/>
            <w:vAlign w:val="center"/>
            <w:hideMark/>
          </w:tcPr>
          <w:p w14:paraId="3CB3BC13"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11,417</w:t>
            </w:r>
          </w:p>
        </w:tc>
        <w:tc>
          <w:tcPr>
            <w:tcW w:w="1147" w:type="dxa"/>
            <w:tcBorders>
              <w:top w:val="nil"/>
              <w:left w:val="nil"/>
              <w:bottom w:val="single" w:sz="8" w:space="0" w:color="auto"/>
              <w:right w:val="single" w:sz="8" w:space="0" w:color="auto"/>
            </w:tcBorders>
            <w:shd w:val="clear" w:color="auto" w:fill="auto"/>
            <w:vAlign w:val="center"/>
            <w:hideMark/>
          </w:tcPr>
          <w:p w14:paraId="5642FDEB"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11,725</w:t>
            </w:r>
          </w:p>
        </w:tc>
        <w:tc>
          <w:tcPr>
            <w:tcW w:w="1147" w:type="dxa"/>
            <w:tcBorders>
              <w:top w:val="nil"/>
              <w:left w:val="nil"/>
              <w:bottom w:val="single" w:sz="8" w:space="0" w:color="auto"/>
              <w:right w:val="single" w:sz="8" w:space="0" w:color="auto"/>
            </w:tcBorders>
            <w:shd w:val="clear" w:color="auto" w:fill="auto"/>
            <w:vAlign w:val="center"/>
            <w:hideMark/>
          </w:tcPr>
          <w:p w14:paraId="6313F21E"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12,041</w:t>
            </w:r>
          </w:p>
        </w:tc>
      </w:tr>
      <w:tr w:rsidR="00CA11A1" w:rsidRPr="00E976AB" w14:paraId="27CDB797" w14:textId="77777777" w:rsidTr="00020E89">
        <w:trPr>
          <w:trHeight w:val="455"/>
        </w:trPr>
        <w:tc>
          <w:tcPr>
            <w:tcW w:w="2459" w:type="dxa"/>
            <w:tcBorders>
              <w:top w:val="nil"/>
              <w:left w:val="single" w:sz="8" w:space="0" w:color="auto"/>
              <w:bottom w:val="single" w:sz="8" w:space="0" w:color="auto"/>
              <w:right w:val="single" w:sz="8" w:space="0" w:color="auto"/>
            </w:tcBorders>
            <w:shd w:val="clear" w:color="auto" w:fill="auto"/>
            <w:vAlign w:val="center"/>
            <w:hideMark/>
          </w:tcPr>
          <w:p w14:paraId="16D33315" w14:textId="77777777" w:rsidR="00CA11A1" w:rsidRPr="00E976AB" w:rsidRDefault="00CA11A1" w:rsidP="009E1F5B">
            <w:pPr>
              <w:spacing w:before="0" w:after="0"/>
              <w:rPr>
                <w:rFonts w:ascii="Arial Narrow" w:hAnsi="Arial Narrow" w:cs="Calibri"/>
                <w:color w:val="000000"/>
                <w:szCs w:val="20"/>
              </w:rPr>
            </w:pPr>
            <w:r w:rsidRPr="00E976AB">
              <w:rPr>
                <w:rFonts w:ascii="Arial Narrow" w:hAnsi="Arial Narrow" w:cs="Calibri"/>
                <w:color w:val="000000"/>
                <w:szCs w:val="20"/>
              </w:rPr>
              <w:t>Cost to the MBS (with appropriate copayments excluded)</w:t>
            </w:r>
          </w:p>
        </w:tc>
        <w:tc>
          <w:tcPr>
            <w:tcW w:w="1147" w:type="dxa"/>
            <w:tcBorders>
              <w:top w:val="nil"/>
              <w:left w:val="nil"/>
              <w:bottom w:val="single" w:sz="8" w:space="0" w:color="auto"/>
              <w:right w:val="single" w:sz="8" w:space="0" w:color="auto"/>
            </w:tcBorders>
            <w:shd w:val="clear" w:color="auto" w:fill="auto"/>
            <w:vAlign w:val="center"/>
            <w:hideMark/>
          </w:tcPr>
          <w:p w14:paraId="3F5B78C2" w14:textId="6A594860" w:rsidR="00CA11A1" w:rsidRPr="00CA11A1" w:rsidRDefault="00CA11A1" w:rsidP="009E1F5B">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w:t>
            </w:r>
            <w:r w:rsidR="00383299">
              <w:rPr>
                <w:rFonts w:ascii="Arial Narrow" w:hAnsi="Arial Narrow" w:cs="Calibri"/>
                <w:i/>
                <w:iCs/>
                <w:color w:val="000000"/>
                <w:szCs w:val="20"/>
              </w:rPr>
              <w:t>10,616706</w:t>
            </w:r>
          </w:p>
        </w:tc>
        <w:tc>
          <w:tcPr>
            <w:tcW w:w="1147" w:type="dxa"/>
            <w:tcBorders>
              <w:top w:val="nil"/>
              <w:left w:val="nil"/>
              <w:bottom w:val="single" w:sz="8" w:space="0" w:color="auto"/>
              <w:right w:val="single" w:sz="8" w:space="0" w:color="auto"/>
            </w:tcBorders>
            <w:shd w:val="clear" w:color="auto" w:fill="auto"/>
            <w:vAlign w:val="center"/>
            <w:hideMark/>
          </w:tcPr>
          <w:p w14:paraId="333472EF" w14:textId="3CFF05EA" w:rsidR="00CA11A1" w:rsidRPr="00CA11A1" w:rsidRDefault="00CA11A1" w:rsidP="009E1F5B">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w:t>
            </w:r>
            <w:r w:rsidR="00383299">
              <w:rPr>
                <w:rFonts w:ascii="Arial Narrow" w:hAnsi="Arial Narrow" w:cs="Calibri"/>
                <w:i/>
                <w:iCs/>
                <w:color w:val="000000"/>
                <w:szCs w:val="20"/>
              </w:rPr>
              <w:t>10,901,630</w:t>
            </w:r>
          </w:p>
        </w:tc>
        <w:tc>
          <w:tcPr>
            <w:tcW w:w="1147" w:type="dxa"/>
            <w:tcBorders>
              <w:top w:val="nil"/>
              <w:left w:val="nil"/>
              <w:bottom w:val="single" w:sz="8" w:space="0" w:color="auto"/>
              <w:right w:val="single" w:sz="8" w:space="0" w:color="auto"/>
            </w:tcBorders>
            <w:shd w:val="clear" w:color="auto" w:fill="auto"/>
            <w:vAlign w:val="center"/>
            <w:hideMark/>
          </w:tcPr>
          <w:p w14:paraId="7E2A0719" w14:textId="54A3A6B2" w:rsidR="00CA11A1" w:rsidRPr="00CA11A1" w:rsidRDefault="00CA11A1" w:rsidP="009E1F5B">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w:t>
            </w:r>
            <w:r w:rsidR="00383299">
              <w:rPr>
                <w:rFonts w:ascii="Arial Narrow" w:hAnsi="Arial Narrow" w:cs="Calibri"/>
                <w:i/>
                <w:iCs/>
                <w:color w:val="000000"/>
                <w:szCs w:val="20"/>
              </w:rPr>
              <w:t>11,139,602</w:t>
            </w:r>
          </w:p>
        </w:tc>
        <w:tc>
          <w:tcPr>
            <w:tcW w:w="1147" w:type="dxa"/>
            <w:tcBorders>
              <w:top w:val="nil"/>
              <w:left w:val="nil"/>
              <w:bottom w:val="single" w:sz="8" w:space="0" w:color="auto"/>
              <w:right w:val="single" w:sz="8" w:space="0" w:color="auto"/>
            </w:tcBorders>
            <w:shd w:val="clear" w:color="auto" w:fill="auto"/>
            <w:vAlign w:val="center"/>
            <w:hideMark/>
          </w:tcPr>
          <w:p w14:paraId="2D5F46D7" w14:textId="4C42B282" w:rsidR="00CA11A1" w:rsidRPr="00CA11A1" w:rsidRDefault="00CA11A1" w:rsidP="009E1F5B">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w:t>
            </w:r>
            <w:r w:rsidR="00383299">
              <w:rPr>
                <w:rFonts w:ascii="Arial Narrow" w:hAnsi="Arial Narrow" w:cs="Calibri"/>
                <w:i/>
                <w:iCs/>
                <w:color w:val="000000"/>
                <w:szCs w:val="20"/>
              </w:rPr>
              <w:t>11,494,636</w:t>
            </w:r>
          </w:p>
        </w:tc>
        <w:tc>
          <w:tcPr>
            <w:tcW w:w="1147" w:type="dxa"/>
            <w:tcBorders>
              <w:top w:val="nil"/>
              <w:left w:val="nil"/>
              <w:bottom w:val="single" w:sz="8" w:space="0" w:color="auto"/>
              <w:right w:val="single" w:sz="8" w:space="0" w:color="auto"/>
            </w:tcBorders>
            <w:shd w:val="clear" w:color="auto" w:fill="auto"/>
            <w:vAlign w:val="center"/>
            <w:hideMark/>
          </w:tcPr>
          <w:p w14:paraId="3B2D6A37" w14:textId="585CD5E5" w:rsidR="00CA11A1" w:rsidRPr="00CA11A1" w:rsidRDefault="00CA11A1" w:rsidP="009E1F5B">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w:t>
            </w:r>
            <w:r w:rsidR="00383299">
              <w:rPr>
                <w:rFonts w:ascii="Arial Narrow" w:hAnsi="Arial Narrow" w:cs="Calibri"/>
                <w:i/>
                <w:iCs/>
                <w:color w:val="000000"/>
                <w:szCs w:val="20"/>
              </w:rPr>
              <w:t>11,804,730</w:t>
            </w:r>
          </w:p>
        </w:tc>
        <w:tc>
          <w:tcPr>
            <w:tcW w:w="1147" w:type="dxa"/>
            <w:tcBorders>
              <w:top w:val="nil"/>
              <w:left w:val="nil"/>
              <w:bottom w:val="single" w:sz="8" w:space="0" w:color="auto"/>
              <w:right w:val="single" w:sz="8" w:space="0" w:color="auto"/>
            </w:tcBorders>
            <w:shd w:val="clear" w:color="auto" w:fill="auto"/>
            <w:vAlign w:val="center"/>
            <w:hideMark/>
          </w:tcPr>
          <w:p w14:paraId="58509E17" w14:textId="48EF406D" w:rsidR="00CA11A1" w:rsidRPr="00CA11A1" w:rsidRDefault="00CA11A1" w:rsidP="009E1F5B">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$1</w:t>
            </w:r>
            <w:r w:rsidR="00383299">
              <w:rPr>
                <w:rFonts w:ascii="Arial Narrow" w:hAnsi="Arial Narrow" w:cs="Calibri"/>
                <w:i/>
                <w:iCs/>
                <w:color w:val="000000"/>
                <w:szCs w:val="20"/>
              </w:rPr>
              <w:t>2,122,879</w:t>
            </w:r>
          </w:p>
        </w:tc>
      </w:tr>
      <w:tr w:rsidR="00CA11A1" w:rsidRPr="00E976AB" w14:paraId="64002842" w14:textId="77777777" w:rsidTr="00020E89">
        <w:trPr>
          <w:trHeight w:val="60"/>
        </w:trPr>
        <w:tc>
          <w:tcPr>
            <w:tcW w:w="934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A08F087" w14:textId="77777777" w:rsidR="00CA11A1" w:rsidRPr="00E976AB" w:rsidRDefault="00CA11A1" w:rsidP="009E1F5B">
            <w:pPr>
              <w:spacing w:before="0" w:after="0"/>
              <w:rPr>
                <w:rFonts w:ascii="Arial Narrow" w:hAnsi="Arial Narrow" w:cs="Calibri"/>
                <w:b/>
                <w:bCs/>
                <w:color w:val="000000"/>
                <w:szCs w:val="20"/>
              </w:rPr>
            </w:pPr>
            <w:r w:rsidRPr="00E976AB">
              <w:rPr>
                <w:rFonts w:ascii="Arial Narrow" w:hAnsi="Arial Narrow" w:cs="Calibri"/>
                <w:b/>
                <w:bCs/>
                <w:color w:val="000000"/>
                <w:szCs w:val="20"/>
              </w:rPr>
              <w:t>Change in use and cost of other health technologies</w:t>
            </w:r>
          </w:p>
        </w:tc>
      </w:tr>
      <w:tr w:rsidR="00CA11A1" w:rsidRPr="00E976AB" w14:paraId="5146C319" w14:textId="77777777" w:rsidTr="00020E89">
        <w:trPr>
          <w:trHeight w:val="644"/>
        </w:trPr>
        <w:tc>
          <w:tcPr>
            <w:tcW w:w="2459" w:type="dxa"/>
            <w:tcBorders>
              <w:top w:val="nil"/>
              <w:left w:val="single" w:sz="8" w:space="0" w:color="auto"/>
              <w:bottom w:val="single" w:sz="8" w:space="0" w:color="auto"/>
              <w:right w:val="single" w:sz="8" w:space="0" w:color="auto"/>
            </w:tcBorders>
            <w:shd w:val="clear" w:color="auto" w:fill="auto"/>
            <w:vAlign w:val="center"/>
            <w:hideMark/>
          </w:tcPr>
          <w:p w14:paraId="7515552C" w14:textId="77777777" w:rsidR="00CA11A1" w:rsidRPr="00E976AB" w:rsidRDefault="00CA11A1" w:rsidP="009E1F5B">
            <w:pPr>
              <w:spacing w:before="0" w:after="0"/>
              <w:rPr>
                <w:rFonts w:ascii="Arial Narrow" w:hAnsi="Arial Narrow" w:cs="Calibri"/>
                <w:color w:val="000000"/>
                <w:szCs w:val="20"/>
              </w:rPr>
            </w:pPr>
            <w:r w:rsidRPr="00E976AB">
              <w:rPr>
                <w:rFonts w:ascii="Arial Narrow" w:hAnsi="Arial Narrow" w:cs="Calibri"/>
                <w:color w:val="000000"/>
                <w:szCs w:val="20"/>
              </w:rPr>
              <w:t>Change in costs to MBS of change in other genetic tests</w:t>
            </w:r>
            <w:r>
              <w:rPr>
                <w:rFonts w:ascii="Arial Narrow" w:hAnsi="Arial Narrow" w:cs="Calibri"/>
                <w:color w:val="000000"/>
                <w:szCs w:val="20"/>
              </w:rPr>
              <w:t>*</w:t>
            </w:r>
            <w:r w:rsidRPr="00E976AB">
              <w:rPr>
                <w:rFonts w:ascii="Arial Narrow" w:hAnsi="Arial Narrow" w:cs="Calibri"/>
                <w:color w:val="000000"/>
                <w:szCs w:val="20"/>
              </w:rPr>
              <w:t xml:space="preserve"> with NGS </w:t>
            </w:r>
          </w:p>
        </w:tc>
        <w:tc>
          <w:tcPr>
            <w:tcW w:w="1147" w:type="dxa"/>
            <w:tcBorders>
              <w:top w:val="nil"/>
              <w:left w:val="nil"/>
              <w:bottom w:val="single" w:sz="8" w:space="0" w:color="auto"/>
              <w:right w:val="single" w:sz="8" w:space="0" w:color="auto"/>
            </w:tcBorders>
            <w:shd w:val="clear" w:color="auto" w:fill="auto"/>
            <w:vAlign w:val="center"/>
            <w:hideMark/>
          </w:tcPr>
          <w:p w14:paraId="4E717A16"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-$3,794,414</w:t>
            </w:r>
          </w:p>
        </w:tc>
        <w:tc>
          <w:tcPr>
            <w:tcW w:w="1147" w:type="dxa"/>
            <w:tcBorders>
              <w:top w:val="nil"/>
              <w:left w:val="nil"/>
              <w:bottom w:val="single" w:sz="8" w:space="0" w:color="auto"/>
              <w:right w:val="single" w:sz="8" w:space="0" w:color="auto"/>
            </w:tcBorders>
            <w:shd w:val="clear" w:color="auto" w:fill="auto"/>
            <w:vAlign w:val="center"/>
            <w:hideMark/>
          </w:tcPr>
          <w:p w14:paraId="726576A1"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-$4,268,716</w:t>
            </w:r>
          </w:p>
        </w:tc>
        <w:tc>
          <w:tcPr>
            <w:tcW w:w="1147" w:type="dxa"/>
            <w:tcBorders>
              <w:top w:val="nil"/>
              <w:left w:val="nil"/>
              <w:bottom w:val="single" w:sz="8" w:space="0" w:color="auto"/>
              <w:right w:val="single" w:sz="8" w:space="0" w:color="auto"/>
            </w:tcBorders>
            <w:shd w:val="clear" w:color="auto" w:fill="auto"/>
            <w:vAlign w:val="center"/>
            <w:hideMark/>
          </w:tcPr>
          <w:p w14:paraId="3984FA1F"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-$4,802,305</w:t>
            </w:r>
          </w:p>
        </w:tc>
        <w:tc>
          <w:tcPr>
            <w:tcW w:w="1147" w:type="dxa"/>
            <w:tcBorders>
              <w:top w:val="nil"/>
              <w:left w:val="nil"/>
              <w:bottom w:val="single" w:sz="8" w:space="0" w:color="auto"/>
              <w:right w:val="single" w:sz="8" w:space="0" w:color="auto"/>
            </w:tcBorders>
            <w:shd w:val="clear" w:color="auto" w:fill="auto"/>
            <w:vAlign w:val="center"/>
            <w:hideMark/>
          </w:tcPr>
          <w:p w14:paraId="3D7C4603"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-$5,402,594</w:t>
            </w:r>
          </w:p>
        </w:tc>
        <w:tc>
          <w:tcPr>
            <w:tcW w:w="1147" w:type="dxa"/>
            <w:tcBorders>
              <w:top w:val="nil"/>
              <w:left w:val="nil"/>
              <w:bottom w:val="single" w:sz="8" w:space="0" w:color="auto"/>
              <w:right w:val="single" w:sz="8" w:space="0" w:color="auto"/>
            </w:tcBorders>
            <w:shd w:val="clear" w:color="auto" w:fill="auto"/>
            <w:vAlign w:val="center"/>
            <w:hideMark/>
          </w:tcPr>
          <w:p w14:paraId="6396B741"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-$6,077,918</w:t>
            </w:r>
          </w:p>
        </w:tc>
        <w:tc>
          <w:tcPr>
            <w:tcW w:w="1147" w:type="dxa"/>
            <w:tcBorders>
              <w:top w:val="nil"/>
              <w:left w:val="nil"/>
              <w:bottom w:val="single" w:sz="8" w:space="0" w:color="auto"/>
              <w:right w:val="single" w:sz="8" w:space="0" w:color="auto"/>
            </w:tcBorders>
            <w:shd w:val="clear" w:color="auto" w:fill="auto"/>
            <w:vAlign w:val="center"/>
            <w:hideMark/>
          </w:tcPr>
          <w:p w14:paraId="28013479" w14:textId="77777777" w:rsidR="00CA11A1" w:rsidRPr="00E976AB" w:rsidRDefault="00CA11A1" w:rsidP="009E1F5B">
            <w:pPr>
              <w:spacing w:before="0" w:after="0"/>
              <w:jc w:val="right"/>
              <w:rPr>
                <w:rFonts w:ascii="Arial Narrow" w:hAnsi="Arial Narrow" w:cs="Calibri"/>
                <w:color w:val="000000"/>
                <w:szCs w:val="20"/>
              </w:rPr>
            </w:pPr>
            <w:r>
              <w:rPr>
                <w:rFonts w:ascii="Arial Narrow" w:hAnsi="Arial Narrow" w:cs="Calibri"/>
                <w:color w:val="000000"/>
                <w:szCs w:val="20"/>
              </w:rPr>
              <w:t>-$6,837,658</w:t>
            </w:r>
          </w:p>
        </w:tc>
      </w:tr>
      <w:tr w:rsidR="00CA11A1" w:rsidRPr="00E976AB" w14:paraId="6E02AE85" w14:textId="77777777" w:rsidTr="00020E89">
        <w:trPr>
          <w:trHeight w:val="275"/>
        </w:trPr>
        <w:tc>
          <w:tcPr>
            <w:tcW w:w="2459" w:type="dxa"/>
            <w:tcBorders>
              <w:top w:val="nil"/>
              <w:left w:val="single" w:sz="8" w:space="0" w:color="auto"/>
              <w:bottom w:val="single" w:sz="8" w:space="0" w:color="auto"/>
              <w:right w:val="single" w:sz="8" w:space="0" w:color="auto"/>
            </w:tcBorders>
            <w:shd w:val="clear" w:color="auto" w:fill="auto"/>
            <w:vAlign w:val="center"/>
            <w:hideMark/>
          </w:tcPr>
          <w:p w14:paraId="22B77851" w14:textId="77777777" w:rsidR="00CA11A1" w:rsidRPr="00E976AB" w:rsidRDefault="00CA11A1" w:rsidP="00CA11A1">
            <w:pPr>
              <w:spacing w:before="0" w:after="0"/>
              <w:rPr>
                <w:rFonts w:ascii="Arial Narrow" w:hAnsi="Arial Narrow" w:cs="Calibri"/>
                <w:b/>
                <w:bCs/>
                <w:color w:val="000000"/>
                <w:szCs w:val="20"/>
              </w:rPr>
            </w:pPr>
            <w:r w:rsidRPr="00E976AB">
              <w:rPr>
                <w:rFonts w:ascii="Arial Narrow" w:hAnsi="Arial Narrow" w:cs="Calibri"/>
                <w:b/>
                <w:bCs/>
                <w:color w:val="000000"/>
                <w:szCs w:val="20"/>
              </w:rPr>
              <w:t>Net financial impact to the MBS</w:t>
            </w:r>
          </w:p>
        </w:tc>
        <w:tc>
          <w:tcPr>
            <w:tcW w:w="1147" w:type="dxa"/>
            <w:tcBorders>
              <w:top w:val="nil"/>
              <w:left w:val="nil"/>
              <w:bottom w:val="single" w:sz="8" w:space="0" w:color="auto"/>
              <w:right w:val="single" w:sz="8" w:space="0" w:color="auto"/>
            </w:tcBorders>
            <w:shd w:val="clear" w:color="auto" w:fill="auto"/>
            <w:vAlign w:val="center"/>
            <w:hideMark/>
          </w:tcPr>
          <w:p w14:paraId="738F73EB" w14:textId="7EC0C92B" w:rsidR="00CA11A1" w:rsidRPr="00CA11A1" w:rsidRDefault="00CA11A1" w:rsidP="00CA11A1">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$6,</w:t>
            </w:r>
            <w:r w:rsidR="00383299">
              <w:rPr>
                <w:rFonts w:ascii="Arial Narrow" w:hAnsi="Arial Narrow" w:cs="Calibri"/>
                <w:i/>
                <w:iCs/>
                <w:color w:val="000000"/>
                <w:szCs w:val="20"/>
              </w:rPr>
              <w:t>822,292</w:t>
            </w:r>
          </w:p>
        </w:tc>
        <w:tc>
          <w:tcPr>
            <w:tcW w:w="1147" w:type="dxa"/>
            <w:tcBorders>
              <w:top w:val="nil"/>
              <w:left w:val="nil"/>
              <w:bottom w:val="single" w:sz="8" w:space="0" w:color="auto"/>
              <w:right w:val="single" w:sz="8" w:space="0" w:color="auto"/>
            </w:tcBorders>
            <w:shd w:val="clear" w:color="auto" w:fill="auto"/>
            <w:vAlign w:val="center"/>
            <w:hideMark/>
          </w:tcPr>
          <w:p w14:paraId="615EFCEC" w14:textId="70170C24" w:rsidR="00CA11A1" w:rsidRPr="00CA11A1" w:rsidRDefault="00CA11A1" w:rsidP="00CA11A1">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$6,</w:t>
            </w:r>
            <w:r w:rsidR="00383299">
              <w:rPr>
                <w:rFonts w:ascii="Arial Narrow" w:hAnsi="Arial Narrow" w:cs="Calibri"/>
                <w:i/>
                <w:iCs/>
                <w:color w:val="000000"/>
                <w:szCs w:val="20"/>
              </w:rPr>
              <w:t>632914</w:t>
            </w:r>
          </w:p>
        </w:tc>
        <w:tc>
          <w:tcPr>
            <w:tcW w:w="1147" w:type="dxa"/>
            <w:tcBorders>
              <w:top w:val="nil"/>
              <w:left w:val="nil"/>
              <w:bottom w:val="single" w:sz="8" w:space="0" w:color="auto"/>
              <w:right w:val="single" w:sz="8" w:space="0" w:color="auto"/>
            </w:tcBorders>
            <w:shd w:val="clear" w:color="auto" w:fill="auto"/>
            <w:vAlign w:val="center"/>
            <w:hideMark/>
          </w:tcPr>
          <w:p w14:paraId="1419E1FF" w14:textId="72B0F7A0" w:rsidR="00CA11A1" w:rsidRPr="00CA11A1" w:rsidRDefault="00CA11A1" w:rsidP="00CA11A1">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$6,</w:t>
            </w:r>
            <w:r w:rsidR="00383299">
              <w:rPr>
                <w:rFonts w:ascii="Arial Narrow" w:hAnsi="Arial Narrow" w:cs="Calibri"/>
                <w:i/>
                <w:iCs/>
                <w:color w:val="000000"/>
                <w:szCs w:val="20"/>
              </w:rPr>
              <w:t>391,297</w:t>
            </w:r>
          </w:p>
        </w:tc>
        <w:tc>
          <w:tcPr>
            <w:tcW w:w="1147" w:type="dxa"/>
            <w:tcBorders>
              <w:top w:val="nil"/>
              <w:left w:val="nil"/>
              <w:bottom w:val="single" w:sz="8" w:space="0" w:color="auto"/>
              <w:right w:val="single" w:sz="8" w:space="0" w:color="auto"/>
            </w:tcBorders>
            <w:shd w:val="clear" w:color="auto" w:fill="auto"/>
            <w:vAlign w:val="center"/>
            <w:hideMark/>
          </w:tcPr>
          <w:p w14:paraId="3FFFBB91" w14:textId="744EBED5" w:rsidR="00CA11A1" w:rsidRPr="00CA11A1" w:rsidRDefault="00CA11A1" w:rsidP="00CA11A1">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$6,0</w:t>
            </w:r>
            <w:r w:rsidR="00383299">
              <w:rPr>
                <w:rFonts w:ascii="Arial Narrow" w:hAnsi="Arial Narrow" w:cs="Calibri"/>
                <w:i/>
                <w:iCs/>
                <w:color w:val="000000"/>
                <w:szCs w:val="20"/>
              </w:rPr>
              <w:t>92,042</w:t>
            </w:r>
          </w:p>
        </w:tc>
        <w:tc>
          <w:tcPr>
            <w:tcW w:w="1147" w:type="dxa"/>
            <w:tcBorders>
              <w:top w:val="nil"/>
              <w:left w:val="nil"/>
              <w:bottom w:val="single" w:sz="8" w:space="0" w:color="auto"/>
              <w:right w:val="single" w:sz="8" w:space="0" w:color="auto"/>
            </w:tcBorders>
            <w:shd w:val="clear" w:color="auto" w:fill="auto"/>
            <w:vAlign w:val="center"/>
            <w:hideMark/>
          </w:tcPr>
          <w:p w14:paraId="50CB91E6" w14:textId="23CF52AE" w:rsidR="00CA11A1" w:rsidRPr="00CA11A1" w:rsidRDefault="00CA11A1" w:rsidP="00CA11A1">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$5,</w:t>
            </w:r>
            <w:r w:rsidR="00383299">
              <w:rPr>
                <w:rFonts w:ascii="Arial Narrow" w:hAnsi="Arial Narrow" w:cs="Calibri"/>
                <w:i/>
                <w:iCs/>
                <w:color w:val="000000"/>
                <w:szCs w:val="20"/>
              </w:rPr>
              <w:t>726,812</w:t>
            </w:r>
          </w:p>
        </w:tc>
        <w:tc>
          <w:tcPr>
            <w:tcW w:w="1147" w:type="dxa"/>
            <w:tcBorders>
              <w:top w:val="nil"/>
              <w:left w:val="nil"/>
              <w:bottom w:val="single" w:sz="8" w:space="0" w:color="auto"/>
              <w:right w:val="single" w:sz="8" w:space="0" w:color="auto"/>
            </w:tcBorders>
            <w:shd w:val="clear" w:color="auto" w:fill="auto"/>
            <w:vAlign w:val="center"/>
            <w:hideMark/>
          </w:tcPr>
          <w:p w14:paraId="2CA917CC" w14:textId="7EF10974" w:rsidR="00CA11A1" w:rsidRPr="00CA11A1" w:rsidRDefault="00CA11A1" w:rsidP="00CA11A1">
            <w:pPr>
              <w:spacing w:before="0" w:after="0"/>
              <w:jc w:val="right"/>
              <w:rPr>
                <w:rFonts w:ascii="Arial Narrow" w:hAnsi="Arial Narrow" w:cs="Calibri"/>
                <w:i/>
                <w:iCs/>
                <w:color w:val="000000"/>
                <w:szCs w:val="20"/>
              </w:rPr>
            </w:pPr>
            <w:r w:rsidRPr="00CA11A1">
              <w:rPr>
                <w:rFonts w:ascii="Arial Narrow" w:hAnsi="Arial Narrow" w:cs="Calibri"/>
                <w:i/>
                <w:iCs/>
                <w:color w:val="000000"/>
                <w:szCs w:val="20"/>
              </w:rPr>
              <w:t>$5,2</w:t>
            </w:r>
            <w:r w:rsidR="00383299">
              <w:rPr>
                <w:rFonts w:ascii="Arial Narrow" w:hAnsi="Arial Narrow" w:cs="Calibri"/>
                <w:i/>
                <w:iCs/>
                <w:color w:val="000000"/>
                <w:szCs w:val="20"/>
              </w:rPr>
              <w:t>85,221</w:t>
            </w:r>
          </w:p>
        </w:tc>
      </w:tr>
    </w:tbl>
    <w:p w14:paraId="27FF7C4C" w14:textId="13780187" w:rsidR="005A0FB8" w:rsidRDefault="005A0FB8" w:rsidP="00CA11A1">
      <w:pPr>
        <w:pStyle w:val="TableFooter"/>
      </w:pPr>
      <w:r>
        <w:t>Source DCAR calculations was updated based on MSAC’s advice</w:t>
      </w:r>
    </w:p>
    <w:p w14:paraId="77EE141B" w14:textId="63EA20F6" w:rsidR="00CA11A1" w:rsidRDefault="00CA11A1" w:rsidP="00CA11A1">
      <w:pPr>
        <w:pStyle w:val="TableFooter"/>
      </w:pPr>
      <w:r>
        <w:t>Out-of-hospital testing rate 70% for myeloid malignancies, 90% for lymphoid malignancies</w:t>
      </w:r>
    </w:p>
    <w:p w14:paraId="03865051" w14:textId="77777777" w:rsidR="00CA11A1" w:rsidRDefault="00CA11A1" w:rsidP="00CA11A1">
      <w:pPr>
        <w:pStyle w:val="TableFooter"/>
      </w:pPr>
      <w:r w:rsidRPr="00F73F2B">
        <w:t>*</w:t>
      </w:r>
      <w:r>
        <w:t>MBS Items</w:t>
      </w:r>
      <w:r w:rsidRPr="000E1E3E">
        <w:t xml:space="preserve"> 73290, 73326, 73314, </w:t>
      </w:r>
      <w:r>
        <w:t xml:space="preserve">73343, </w:t>
      </w:r>
      <w:r w:rsidRPr="000E1E3E">
        <w:t>73364, 73365, 73366, 73367, 73368, 73369 and 77370</w:t>
      </w:r>
    </w:p>
    <w:p w14:paraId="764BD005" w14:textId="31A8050C" w:rsidR="009D6AF1" w:rsidRDefault="00CA11A1" w:rsidP="00B72BA8">
      <w:pPr>
        <w:pStyle w:val="TableFooter"/>
      </w:pPr>
      <w:r>
        <w:t>**Estimated testing rate at 50% testing rate for incident population and 5% per annum for prevalent population and all where malignancy excluded</w:t>
      </w:r>
    </w:p>
    <w:p w14:paraId="7838A9FF" w14:textId="06142121" w:rsidR="00772829" w:rsidRPr="00CE28E3" w:rsidRDefault="00C36633" w:rsidP="002A18BE">
      <w:pPr>
        <w:pStyle w:val="Heading2"/>
        <w:numPr>
          <w:ilvl w:val="0"/>
          <w:numId w:val="0"/>
        </w:numPr>
      </w:pPr>
      <w:bookmarkStart w:id="38" w:name="_Toc111754806"/>
      <w:bookmarkEnd w:id="37"/>
      <w:r>
        <w:t>1</w:t>
      </w:r>
      <w:r w:rsidR="00FA4672">
        <w:t>5</w:t>
      </w:r>
      <w:r>
        <w:t>.</w:t>
      </w:r>
      <w:r>
        <w:tab/>
      </w:r>
      <w:r w:rsidR="00772829" w:rsidRPr="00624B27">
        <w:t xml:space="preserve">Other relevant </w:t>
      </w:r>
      <w:r w:rsidR="00FA5766" w:rsidRPr="00624B27">
        <w:t>information</w:t>
      </w:r>
      <w:bookmarkEnd w:id="38"/>
    </w:p>
    <w:p w14:paraId="30DE9625" w14:textId="4EE8CFA5" w:rsidR="00772829" w:rsidRDefault="00E976AB" w:rsidP="00DF39E9">
      <w:pPr>
        <w:pStyle w:val="Instructionaltext"/>
        <w:rPr>
          <w:color w:val="000000" w:themeColor="text1"/>
        </w:rPr>
      </w:pPr>
      <w:r w:rsidRPr="00E976AB">
        <w:rPr>
          <w:color w:val="000000" w:themeColor="text1"/>
        </w:rPr>
        <w:t>Nil.</w:t>
      </w:r>
    </w:p>
    <w:p w14:paraId="5399A8CF" w14:textId="77777777" w:rsidR="00FA4672" w:rsidRPr="008A2C9F" w:rsidRDefault="00FA4672" w:rsidP="00FA4672">
      <w:pPr>
        <w:pStyle w:val="Heading2"/>
        <w:numPr>
          <w:ilvl w:val="0"/>
          <w:numId w:val="0"/>
        </w:numPr>
      </w:pPr>
      <w:r>
        <w:t>16.</w:t>
      </w:r>
      <w:r>
        <w:tab/>
        <w:t>Key issues from ESC to MSAC</w:t>
      </w:r>
    </w:p>
    <w:tbl>
      <w:tblPr>
        <w:tblStyle w:val="TableGrid"/>
        <w:tblW w:w="9209" w:type="dxa"/>
        <w:tblInd w:w="-147" w:type="dxa"/>
        <w:tblLook w:val="04A0" w:firstRow="1" w:lastRow="0" w:firstColumn="1" w:lastColumn="0" w:noHBand="0" w:noVBand="1"/>
      </w:tblPr>
      <w:tblGrid>
        <w:gridCol w:w="9209"/>
      </w:tblGrid>
      <w:tr w:rsidR="00FA4672" w:rsidRPr="00525765" w14:paraId="6D577A61" w14:textId="77777777" w:rsidTr="009E1F5B">
        <w:tc>
          <w:tcPr>
            <w:tcW w:w="9209" w:type="dxa"/>
          </w:tcPr>
          <w:p w14:paraId="6A395DC6" w14:textId="77777777" w:rsidR="00FA4672" w:rsidRPr="00525765" w:rsidRDefault="00FA4672" w:rsidP="009E1F5B">
            <w:pPr>
              <w:spacing w:before="240" w:after="240"/>
              <w:rPr>
                <w:rFonts w:eastAsia="Calibri"/>
                <w:b/>
                <w:bCs/>
                <w:sz w:val="24"/>
              </w:rPr>
            </w:pPr>
            <w:bookmarkStart w:id="39" w:name="_Hlk69734340"/>
            <w:r w:rsidRPr="00525765">
              <w:rPr>
                <w:rFonts w:eastAsia="Calibri"/>
                <w:b/>
                <w:bCs/>
                <w:sz w:val="24"/>
              </w:rPr>
              <w:t>Main issues for MSAC consideration</w:t>
            </w:r>
          </w:p>
          <w:p w14:paraId="35CF74AF" w14:textId="77777777" w:rsidR="00FA4672" w:rsidRDefault="00FA4672" w:rsidP="009E1F5B">
            <w:pPr>
              <w:rPr>
                <w:rFonts w:eastAsia="Calibri"/>
                <w:b/>
              </w:rPr>
            </w:pPr>
            <w:r w:rsidRPr="00525765">
              <w:rPr>
                <w:rFonts w:eastAsia="Calibri"/>
                <w:b/>
              </w:rPr>
              <w:t>Clinical issues:</w:t>
            </w:r>
          </w:p>
          <w:p w14:paraId="72BC2BCC" w14:textId="77777777" w:rsidR="00FA4672" w:rsidRPr="00EB2E08" w:rsidRDefault="00FA4672" w:rsidP="009E1F5B">
            <w:pPr>
              <w:ind w:left="113" w:hanging="113"/>
              <w:rPr>
                <w:rFonts w:eastAsia="Calibri"/>
                <w:bCs/>
              </w:rPr>
            </w:pPr>
            <w:r>
              <w:rPr>
                <w:rFonts w:eastAsia="Calibri"/>
                <w:bCs/>
              </w:rPr>
              <w:t>Clinical effectiveness and safety</w:t>
            </w:r>
            <w:r w:rsidRPr="00EB2E08">
              <w:rPr>
                <w:rFonts w:eastAsia="Calibri"/>
                <w:bCs/>
              </w:rPr>
              <w:t xml:space="preserve"> </w:t>
            </w:r>
            <w:r w:rsidRPr="00EB2E08">
              <w:rPr>
                <w:rFonts w:eastAsia="Calibri"/>
              </w:rPr>
              <w:t>–</w:t>
            </w:r>
            <w:r w:rsidRPr="00EB2E08">
              <w:rPr>
                <w:rFonts w:eastAsia="Calibri"/>
                <w:bCs/>
              </w:rPr>
              <w:t xml:space="preserve"> The evidence from several case series studies predominantly at moderate risk of bias demonstrated that NGS panel testing </w:t>
            </w:r>
            <w:r>
              <w:rPr>
                <w:rFonts w:eastAsia="Calibri"/>
                <w:bCs/>
              </w:rPr>
              <w:t xml:space="preserve">has </w:t>
            </w:r>
            <w:r w:rsidRPr="00EB2E08">
              <w:rPr>
                <w:rFonts w:eastAsia="Calibri"/>
                <w:bCs/>
              </w:rPr>
              <w:t>superior</w:t>
            </w:r>
            <w:r>
              <w:rPr>
                <w:rFonts w:eastAsia="Calibri"/>
                <w:bCs/>
              </w:rPr>
              <w:t xml:space="preserve"> effectiveness and non-inferior safety</w:t>
            </w:r>
            <w:r w:rsidRPr="00EB2E08">
              <w:rPr>
                <w:rFonts w:eastAsia="Calibri"/>
                <w:bCs/>
              </w:rPr>
              <w:t xml:space="preserve"> compared with no NGS panel testing</w:t>
            </w:r>
            <w:r>
              <w:rPr>
                <w:rFonts w:eastAsia="Calibri"/>
                <w:bCs/>
              </w:rPr>
              <w:t xml:space="preserve"> </w:t>
            </w:r>
            <w:r>
              <w:t xml:space="preserve">in suspected haematological malignancies of myeloid, </w:t>
            </w:r>
            <w:proofErr w:type="gramStart"/>
            <w:r>
              <w:t>lymphoid</w:t>
            </w:r>
            <w:proofErr w:type="gramEnd"/>
            <w:r>
              <w:t xml:space="preserve"> or uncertain lineage </w:t>
            </w:r>
            <w:r w:rsidRPr="00CE28E3">
              <w:t>results</w:t>
            </w:r>
            <w:r w:rsidRPr="00EB2E08">
              <w:rPr>
                <w:rFonts w:eastAsia="Calibri"/>
                <w:bCs/>
              </w:rPr>
              <w:t xml:space="preserve">. Molecular testing in addition to other haematological testing is </w:t>
            </w:r>
            <w:r>
              <w:rPr>
                <w:rFonts w:eastAsia="Calibri"/>
                <w:bCs/>
              </w:rPr>
              <w:t xml:space="preserve">now </w:t>
            </w:r>
            <w:r w:rsidRPr="00EB2E08">
              <w:rPr>
                <w:rFonts w:eastAsia="Calibri"/>
                <w:bCs/>
              </w:rPr>
              <w:t xml:space="preserve">a standard requirement to </w:t>
            </w:r>
            <w:r>
              <w:rPr>
                <w:rFonts w:eastAsia="Calibri"/>
                <w:bCs/>
              </w:rPr>
              <w:t xml:space="preserve">accurately </w:t>
            </w:r>
            <w:r w:rsidRPr="00EB2E08">
              <w:rPr>
                <w:rFonts w:eastAsia="Calibri"/>
                <w:bCs/>
              </w:rPr>
              <w:t xml:space="preserve">diagnose </w:t>
            </w:r>
            <w:r>
              <w:rPr>
                <w:rFonts w:eastAsia="Calibri"/>
                <w:bCs/>
              </w:rPr>
              <w:t xml:space="preserve">and comprehensively characterise </w:t>
            </w:r>
            <w:r w:rsidRPr="00EB2E08">
              <w:rPr>
                <w:rFonts w:eastAsia="Calibri"/>
                <w:bCs/>
              </w:rPr>
              <w:t>many haematological malignancies</w:t>
            </w:r>
            <w:r>
              <w:rPr>
                <w:rFonts w:eastAsia="Calibri"/>
                <w:bCs/>
              </w:rPr>
              <w:t>, and to exclude some other differential diagnoses</w:t>
            </w:r>
            <w:r w:rsidRPr="00EB2E08">
              <w:rPr>
                <w:rFonts w:eastAsia="Calibri"/>
                <w:bCs/>
              </w:rPr>
              <w:t>.</w:t>
            </w:r>
          </w:p>
          <w:p w14:paraId="37E9233A" w14:textId="77777777" w:rsidR="00FA4672" w:rsidRPr="00EB2E08" w:rsidRDefault="00FA4672" w:rsidP="009E1F5B">
            <w:pPr>
              <w:ind w:left="113" w:hanging="113"/>
              <w:rPr>
                <w:rFonts w:eastAsia="Calibri"/>
                <w:bCs/>
              </w:rPr>
            </w:pPr>
            <w:r>
              <w:rPr>
                <w:rFonts w:eastAsia="Calibri"/>
                <w:bCs/>
              </w:rPr>
              <w:t>Germline variants and test outcomes</w:t>
            </w:r>
            <w:r w:rsidRPr="00EB2E08">
              <w:rPr>
                <w:rFonts w:eastAsia="Calibri"/>
                <w:bCs/>
              </w:rPr>
              <w:t xml:space="preserve"> </w:t>
            </w:r>
            <w:r w:rsidRPr="00EB2E08">
              <w:rPr>
                <w:rFonts w:eastAsia="Calibri"/>
              </w:rPr>
              <w:t xml:space="preserve">– </w:t>
            </w:r>
            <w:r w:rsidRPr="00EB2E08">
              <w:rPr>
                <w:rFonts w:eastAsia="Calibri"/>
                <w:bCs/>
              </w:rPr>
              <w:t>The main safety</w:t>
            </w:r>
            <w:r>
              <w:rPr>
                <w:rFonts w:eastAsia="Calibri"/>
                <w:bCs/>
              </w:rPr>
              <w:t xml:space="preserve"> </w:t>
            </w:r>
            <w:r w:rsidRPr="00824F1D">
              <w:rPr>
                <w:rFonts w:eastAsia="Calibri"/>
                <w:bCs/>
              </w:rPr>
              <w:t xml:space="preserve">and effectiveness </w:t>
            </w:r>
            <w:r w:rsidRPr="00EB2E08">
              <w:rPr>
                <w:rFonts w:eastAsia="Calibri"/>
                <w:bCs/>
              </w:rPr>
              <w:t xml:space="preserve">issue is the unintended identification of germline variants. The Applicant has acknowledged the need for an additional </w:t>
            </w:r>
            <w:r w:rsidRPr="00EB2E08">
              <w:rPr>
                <w:rFonts w:eastAsia="Calibri"/>
                <w:bCs/>
              </w:rPr>
              <w:lastRenderedPageBreak/>
              <w:t>application to evaluate germline testing. Although outside the intent of this application</w:t>
            </w:r>
            <w:r>
              <w:rPr>
                <w:rFonts w:eastAsia="Calibri"/>
                <w:bCs/>
              </w:rPr>
              <w:t xml:space="preserve"> for somatic NGS panel testing</w:t>
            </w:r>
            <w:r w:rsidRPr="00EB2E08">
              <w:rPr>
                <w:rFonts w:eastAsia="Calibri"/>
                <w:bCs/>
              </w:rPr>
              <w:t>, MSAC may wish to consider whether a generic MBS items for cascade testing for blood relatives, and identification of somatic versus germline variants be created to allow predictive testing given the rate of expansion of clinically relevant pathogenic/likely pathogenic variants being identified across all malignancies.</w:t>
            </w:r>
          </w:p>
          <w:p w14:paraId="05F93420" w14:textId="77777777" w:rsidR="00FA4672" w:rsidRPr="00EB2E08" w:rsidRDefault="00FA4672" w:rsidP="009E1F5B">
            <w:pPr>
              <w:ind w:left="113" w:hanging="113"/>
              <w:rPr>
                <w:rFonts w:eastAsia="Calibri"/>
                <w:bCs/>
              </w:rPr>
            </w:pPr>
            <w:r w:rsidRPr="00EB2E08">
              <w:rPr>
                <w:rFonts w:eastAsia="Calibri"/>
                <w:bCs/>
              </w:rPr>
              <w:t xml:space="preserve">MBS item panel size and test methodology </w:t>
            </w:r>
            <w:r w:rsidRPr="00EB2E08">
              <w:rPr>
                <w:rFonts w:eastAsia="Calibri"/>
              </w:rPr>
              <w:t xml:space="preserve">– </w:t>
            </w:r>
            <w:r w:rsidRPr="00EB2E08">
              <w:rPr>
                <w:rFonts w:eastAsia="Calibri"/>
                <w:bCs/>
              </w:rPr>
              <w:t>The optimal panel size or composition is not described given the changing evidence base</w:t>
            </w:r>
            <w:r>
              <w:rPr>
                <w:rFonts w:eastAsia="Calibri"/>
                <w:bCs/>
              </w:rPr>
              <w:t>. The panel size and composition will need to be sufficient for testing of common and rare forms of haematological malignancy</w:t>
            </w:r>
            <w:r w:rsidRPr="00EB2E08">
              <w:rPr>
                <w:rFonts w:eastAsia="Calibri"/>
                <w:bCs/>
              </w:rPr>
              <w:t xml:space="preserve">. However, the panel size is almost certain to increase in the </w:t>
            </w:r>
            <w:proofErr w:type="gramStart"/>
            <w:r w:rsidRPr="00EB2E08">
              <w:rPr>
                <w:rFonts w:eastAsia="Calibri"/>
                <w:bCs/>
              </w:rPr>
              <w:t>future, and</w:t>
            </w:r>
            <w:proofErr w:type="gramEnd"/>
            <w:r w:rsidRPr="00EB2E08">
              <w:rPr>
                <w:rFonts w:eastAsia="Calibri"/>
                <w:bCs/>
              </w:rPr>
              <w:t xml:space="preserve"> will likely require RNA analysis as well as DNA. </w:t>
            </w:r>
          </w:p>
          <w:p w14:paraId="4451711D" w14:textId="77777777" w:rsidR="00FA4672" w:rsidRDefault="00FA4672" w:rsidP="00B56755">
            <w:pPr>
              <w:pStyle w:val="ListParagraph"/>
              <w:numPr>
                <w:ilvl w:val="0"/>
                <w:numId w:val="26"/>
              </w:numPr>
              <w:rPr>
                <w:rFonts w:eastAsia="Calibri"/>
                <w:bCs/>
              </w:rPr>
            </w:pPr>
            <w:r>
              <w:rPr>
                <w:rFonts w:eastAsia="Calibri"/>
                <w:bCs/>
              </w:rPr>
              <w:t>It was reiterated that the WHO Classification includes genes which have been confirmed to have diagnostic and/or prognostic, and/or predictive utility. This Classification is proposed by the Applicant as the reference for determining the panel composition.</w:t>
            </w:r>
          </w:p>
          <w:p w14:paraId="036D35F0" w14:textId="77777777" w:rsidR="00FA4672" w:rsidRDefault="00FA4672" w:rsidP="00B56755">
            <w:pPr>
              <w:pStyle w:val="ListParagraph"/>
              <w:numPr>
                <w:ilvl w:val="0"/>
                <w:numId w:val="26"/>
              </w:numPr>
              <w:rPr>
                <w:rFonts w:eastAsia="Calibri"/>
                <w:bCs/>
              </w:rPr>
            </w:pPr>
            <w:r>
              <w:rPr>
                <w:rFonts w:eastAsia="Calibri"/>
                <w:bCs/>
              </w:rPr>
              <w:t>Genes with established clinical utility, but not included in the WHO Classification, have been identified by the Assessment Group</w:t>
            </w:r>
          </w:p>
          <w:p w14:paraId="0FBAE7D8" w14:textId="7839E749" w:rsidR="00FA4672" w:rsidRPr="00EB2E08" w:rsidRDefault="00FA4672" w:rsidP="00B56755">
            <w:pPr>
              <w:pStyle w:val="ListParagraph"/>
              <w:numPr>
                <w:ilvl w:val="0"/>
                <w:numId w:val="26"/>
              </w:numPr>
              <w:rPr>
                <w:rFonts w:eastAsia="Calibri"/>
                <w:bCs/>
              </w:rPr>
            </w:pPr>
            <w:r w:rsidRPr="00C87C51">
              <w:rPr>
                <w:rFonts w:eastAsia="Calibri"/>
                <w:bCs/>
              </w:rPr>
              <w:t>Currently, identifying a</w:t>
            </w:r>
            <w:r>
              <w:rPr>
                <w:rFonts w:eastAsia="Calibri"/>
                <w:bCs/>
              </w:rPr>
              <w:t xml:space="preserve"> maximal </w:t>
            </w:r>
            <w:r w:rsidRPr="00C87C51">
              <w:rPr>
                <w:rFonts w:eastAsia="Calibri"/>
                <w:bCs/>
              </w:rPr>
              <w:t>panel</w:t>
            </w:r>
            <w:r>
              <w:rPr>
                <w:rFonts w:eastAsia="Calibri"/>
                <w:bCs/>
              </w:rPr>
              <w:t xml:space="preserve"> composition</w:t>
            </w:r>
            <w:r w:rsidRPr="00C87C51">
              <w:rPr>
                <w:rFonts w:eastAsia="Calibri"/>
                <w:bCs/>
              </w:rPr>
              <w:t xml:space="preserve"> is not critical, although there should be a minimum requirement for </w:t>
            </w:r>
            <w:r>
              <w:rPr>
                <w:rFonts w:eastAsia="Calibri"/>
                <w:bCs/>
              </w:rPr>
              <w:t>genes with established clinical utility</w:t>
            </w:r>
            <w:r w:rsidRPr="00C87C51">
              <w:rPr>
                <w:rFonts w:eastAsia="Calibri"/>
                <w:bCs/>
              </w:rPr>
              <w:t xml:space="preserve"> to be included. This </w:t>
            </w:r>
            <w:r>
              <w:rPr>
                <w:rFonts w:eastAsia="Calibri"/>
                <w:bCs/>
              </w:rPr>
              <w:t>may</w:t>
            </w:r>
            <w:r w:rsidRPr="00C87C51">
              <w:rPr>
                <w:rFonts w:eastAsia="Calibri"/>
                <w:bCs/>
              </w:rPr>
              <w:t xml:space="preserve"> vary by clinical setting (</w:t>
            </w:r>
            <w:proofErr w:type="gramStart"/>
            <w:r w:rsidRPr="00C87C51">
              <w:rPr>
                <w:rFonts w:eastAsia="Calibri"/>
                <w:bCs/>
              </w:rPr>
              <w:t>e.g.</w:t>
            </w:r>
            <w:proofErr w:type="gramEnd"/>
            <w:r w:rsidRPr="00C87C51">
              <w:rPr>
                <w:rFonts w:eastAsia="Calibri"/>
                <w:bCs/>
              </w:rPr>
              <w:t> </w:t>
            </w:r>
            <w:r>
              <w:rPr>
                <w:rFonts w:eastAsia="Calibri"/>
                <w:bCs/>
              </w:rPr>
              <w:t>children and young adults</w:t>
            </w:r>
            <w:r w:rsidRPr="00C87C51">
              <w:rPr>
                <w:rFonts w:eastAsia="Calibri"/>
                <w:bCs/>
              </w:rPr>
              <w:t xml:space="preserve"> vs</w:t>
            </w:r>
            <w:r>
              <w:rPr>
                <w:rFonts w:eastAsia="Calibri"/>
                <w:bCs/>
              </w:rPr>
              <w:t>.</w:t>
            </w:r>
            <w:r w:rsidRPr="00C87C51">
              <w:rPr>
                <w:rFonts w:eastAsia="Calibri"/>
                <w:bCs/>
              </w:rPr>
              <w:t xml:space="preserve"> adult). There are currently no local guidelines or Australian data to inform these key </w:t>
            </w:r>
            <w:r>
              <w:rPr>
                <w:rFonts w:eastAsia="Calibri"/>
                <w:bCs/>
              </w:rPr>
              <w:t>genes</w:t>
            </w:r>
            <w:r w:rsidRPr="00C87C51">
              <w:rPr>
                <w:rFonts w:eastAsia="Calibri"/>
                <w:bCs/>
              </w:rPr>
              <w:t>, but MSAC may wish to align them with WHO diagnostic guidelines and other recognised expert guidance about prognosis and management options</w:t>
            </w:r>
            <w:r>
              <w:rPr>
                <w:rFonts w:eastAsia="Calibri"/>
                <w:bCs/>
              </w:rPr>
              <w:t xml:space="preserve">, noting </w:t>
            </w:r>
            <w:r w:rsidRPr="007449BE">
              <w:rPr>
                <w:rFonts w:eastAsia="Calibri"/>
                <w:bCs/>
              </w:rPr>
              <w:t>the WHO guideline</w:t>
            </w:r>
            <w:r>
              <w:rPr>
                <w:rFonts w:eastAsia="Calibri"/>
                <w:bCs/>
              </w:rPr>
              <w:t xml:space="preserve"> was </w:t>
            </w:r>
            <w:r w:rsidRPr="007449BE">
              <w:rPr>
                <w:rFonts w:eastAsia="Calibri"/>
                <w:bCs/>
              </w:rPr>
              <w:t xml:space="preserve">updated 6 years </w:t>
            </w:r>
            <w:r>
              <w:rPr>
                <w:rFonts w:eastAsia="Calibri"/>
                <w:bCs/>
              </w:rPr>
              <w:t xml:space="preserve">after the previous </w:t>
            </w:r>
            <w:r w:rsidRPr="007449BE">
              <w:rPr>
                <w:rFonts w:eastAsia="Calibri"/>
                <w:bCs/>
              </w:rPr>
              <w:t>version</w:t>
            </w:r>
            <w:r>
              <w:rPr>
                <w:rFonts w:eastAsia="Calibri"/>
                <w:bCs/>
              </w:rPr>
              <w:t>.</w:t>
            </w:r>
          </w:p>
          <w:p w14:paraId="105D1107" w14:textId="606AD4AD" w:rsidR="00FA4672" w:rsidRPr="00EB2E08" w:rsidRDefault="00FA4672" w:rsidP="009E1F5B">
            <w:pPr>
              <w:ind w:left="113" w:hanging="113"/>
              <w:rPr>
                <w:rFonts w:eastAsia="Calibri"/>
                <w:bCs/>
              </w:rPr>
            </w:pPr>
            <w:r>
              <w:rPr>
                <w:rFonts w:eastAsia="Calibri"/>
                <w:bCs/>
              </w:rPr>
              <w:t xml:space="preserve">Implementation </w:t>
            </w:r>
            <w:r w:rsidRPr="00EB2E08">
              <w:rPr>
                <w:rFonts w:eastAsia="Calibri"/>
              </w:rPr>
              <w:t>–</w:t>
            </w:r>
            <w:r>
              <w:rPr>
                <w:rFonts w:eastAsia="Calibri"/>
                <w:bCs/>
              </w:rPr>
              <w:t xml:space="preserve"> </w:t>
            </w:r>
            <w:r w:rsidRPr="00EB2E08">
              <w:rPr>
                <w:rFonts w:eastAsia="Calibri"/>
                <w:bCs/>
              </w:rPr>
              <w:t>MSAC may wish to consider a test directory to define the minimum gene list and as a reference for updating the panel as new variants are identified.</w:t>
            </w:r>
          </w:p>
          <w:p w14:paraId="5D62FEED" w14:textId="77777777" w:rsidR="00FA4672" w:rsidRPr="00EB2E08" w:rsidRDefault="00FA4672" w:rsidP="009E1F5B">
            <w:pPr>
              <w:ind w:left="113" w:hanging="113"/>
              <w:rPr>
                <w:rFonts w:eastAsia="Calibri"/>
                <w:bCs/>
              </w:rPr>
            </w:pPr>
            <w:r w:rsidRPr="00EB2E08">
              <w:rPr>
                <w:rFonts w:eastAsia="Calibri"/>
                <w:bCs/>
              </w:rPr>
              <w:t xml:space="preserve">MBS item fee justification </w:t>
            </w:r>
            <w:r w:rsidRPr="00EB2E08">
              <w:rPr>
                <w:rFonts w:eastAsia="Calibri"/>
              </w:rPr>
              <w:t>–</w:t>
            </w:r>
            <w:r w:rsidRPr="00EB2E08">
              <w:rPr>
                <w:rFonts w:eastAsia="Calibri"/>
                <w:bCs/>
              </w:rPr>
              <w:t xml:space="preserve"> the fee for a next-generation sequencing (NGS) panel of genes with established clinical utility will depend on the size of the panel and the complexity of the tests (depending on the clinical context). MSAC may wish to review the proposed fee ($927.90) to ensure it is futureproofed.</w:t>
            </w:r>
          </w:p>
          <w:p w14:paraId="39DAAB94" w14:textId="77777777" w:rsidR="00FA4672" w:rsidRDefault="00FA4672" w:rsidP="009E1F5B">
            <w:pPr>
              <w:keepNext/>
              <w:ind w:left="113" w:hanging="113"/>
              <w:rPr>
                <w:rFonts w:eastAsia="Calibri"/>
                <w:bCs/>
              </w:rPr>
            </w:pPr>
            <w:r>
              <w:rPr>
                <w:rFonts w:eastAsia="Calibri"/>
                <w:bCs/>
              </w:rPr>
              <w:t xml:space="preserve">Equity in access to NGS panel testing </w:t>
            </w:r>
            <w:r w:rsidRPr="00EB2E08">
              <w:rPr>
                <w:rFonts w:eastAsia="Calibri"/>
              </w:rPr>
              <w:t>–</w:t>
            </w:r>
            <w:r>
              <w:rPr>
                <w:rFonts w:eastAsia="Calibri"/>
                <w:bCs/>
              </w:rPr>
              <w:t xml:space="preserve"> is currently limited and predominantly only funded by philanthropy.</w:t>
            </w:r>
          </w:p>
          <w:p w14:paraId="14F532AC" w14:textId="77777777" w:rsidR="00FA4672" w:rsidRDefault="00FA4672" w:rsidP="009E1F5B">
            <w:pPr>
              <w:keepNext/>
              <w:rPr>
                <w:rFonts w:eastAsia="Calibri"/>
                <w:b/>
              </w:rPr>
            </w:pPr>
            <w:r w:rsidRPr="00525765">
              <w:rPr>
                <w:rFonts w:eastAsia="Calibri"/>
                <w:b/>
              </w:rPr>
              <w:t>Economic issues:</w:t>
            </w:r>
          </w:p>
          <w:p w14:paraId="1DA5A529" w14:textId="7C21A446" w:rsidR="00FA4672" w:rsidRPr="00EB710E" w:rsidRDefault="00FA4672" w:rsidP="00B56755">
            <w:pPr>
              <w:keepNext/>
              <w:numPr>
                <w:ilvl w:val="0"/>
                <w:numId w:val="25"/>
              </w:numPr>
              <w:rPr>
                <w:rFonts w:eastAsia="Calibri"/>
                <w:bCs/>
              </w:rPr>
            </w:pPr>
            <w:r>
              <w:rPr>
                <w:rFonts w:eastAsia="Calibri"/>
                <w:bCs/>
              </w:rPr>
              <w:t xml:space="preserve">The ICERs presented are consistent with the approach taken in other somatic gene panel applications considered by MSAC, which reflect the multiplicity of test purpose. </w:t>
            </w:r>
            <w:r w:rsidRPr="0089247D">
              <w:rPr>
                <w:rFonts w:eastAsia="Calibri"/>
                <w:bCs/>
              </w:rPr>
              <w:t xml:space="preserve">However, </w:t>
            </w:r>
            <w:r w:rsidRPr="00EB710E">
              <w:rPr>
                <w:rFonts w:eastAsia="Calibri"/>
                <w:bCs/>
              </w:rPr>
              <w:t>the ICERs are not likely to be overly informative for MSAC decision-making due to the heterogenous and potentially overlapping populations,</w:t>
            </w:r>
            <w:r>
              <w:rPr>
                <w:rFonts w:eastAsia="Calibri"/>
                <w:bCs/>
              </w:rPr>
              <w:t xml:space="preserve"> </w:t>
            </w:r>
            <w:r w:rsidRPr="0089247D">
              <w:rPr>
                <w:rFonts w:eastAsia="Calibri"/>
                <w:bCs/>
              </w:rPr>
              <w:t>the lack of synthesised evidence,</w:t>
            </w:r>
            <w:r>
              <w:rPr>
                <w:rFonts w:eastAsia="Calibri"/>
                <w:bCs/>
              </w:rPr>
              <w:t xml:space="preserve"> </w:t>
            </w:r>
            <w:r>
              <w:t>and the lack of direct comparative evidence for the use of single gene tests and gene panels.</w:t>
            </w:r>
          </w:p>
          <w:p w14:paraId="76BDE3F8" w14:textId="77777777" w:rsidR="00FA4672" w:rsidRDefault="00FA4672" w:rsidP="009E1F5B">
            <w:pPr>
              <w:keepNext/>
              <w:rPr>
                <w:rFonts w:eastAsia="Calibri"/>
                <w:b/>
              </w:rPr>
            </w:pPr>
            <w:r w:rsidRPr="00525765">
              <w:rPr>
                <w:rFonts w:eastAsia="Calibri"/>
                <w:b/>
              </w:rPr>
              <w:t>Financial issues:</w:t>
            </w:r>
          </w:p>
          <w:p w14:paraId="6DDF8545" w14:textId="77777777" w:rsidR="00FA4672" w:rsidRDefault="00FA4672" w:rsidP="00B56755">
            <w:pPr>
              <w:pStyle w:val="ListParagraph"/>
              <w:keepNext/>
              <w:numPr>
                <w:ilvl w:val="0"/>
                <w:numId w:val="27"/>
              </w:numPr>
              <w:ind w:left="357" w:hanging="357"/>
              <w:rPr>
                <w:rFonts w:eastAsia="Calibri"/>
                <w:bCs/>
              </w:rPr>
            </w:pPr>
            <w:r w:rsidRPr="00C87C51">
              <w:rPr>
                <w:rFonts w:eastAsia="Calibri"/>
                <w:bCs/>
              </w:rPr>
              <w:t>The proposed utilisation (50% of patients with suspected haematological malignancy) may be underestimated, thus underestimating the financial impact. There may be cost offsets due to this testing replacing other types of tests, and more appropriate use of therapeutics. However, the estimated cost offsets are highly uncertain, as they are based on data from a single centre in Victoria.</w:t>
            </w:r>
          </w:p>
          <w:p w14:paraId="3308A2BA" w14:textId="77777777" w:rsidR="00FA4672" w:rsidRPr="00DF7727" w:rsidRDefault="00FA4672" w:rsidP="00B56755">
            <w:pPr>
              <w:pStyle w:val="ListParagraph"/>
              <w:keepNext/>
              <w:numPr>
                <w:ilvl w:val="0"/>
                <w:numId w:val="27"/>
              </w:numPr>
              <w:ind w:left="357" w:hanging="357"/>
            </w:pPr>
            <w:r>
              <w:rPr>
                <w:rFonts w:eastAsia="Calibri"/>
                <w:bCs/>
              </w:rPr>
              <w:t xml:space="preserve">The net total cost of NGS-based gene panel testing for approximately 10,000 individuals in Year 1 is estimated to be $5.1m, which reduces to $3.3m at Year 6 (estimate of 12,000 patients) due to the reduction in the prevalent pool of patients who may require testing, and assumption regarding the extent of cost offsets being </w:t>
            </w:r>
            <w:proofErr w:type="gramStart"/>
            <w:r>
              <w:rPr>
                <w:rFonts w:eastAsia="Calibri"/>
                <w:bCs/>
              </w:rPr>
              <w:t>similar to</w:t>
            </w:r>
            <w:proofErr w:type="gramEnd"/>
            <w:r>
              <w:rPr>
                <w:rFonts w:eastAsia="Calibri"/>
                <w:bCs/>
              </w:rPr>
              <w:t xml:space="preserve"> current V</w:t>
            </w:r>
            <w:r>
              <w:t>ictorian utilisation data, which is currently philanthropically funded.</w:t>
            </w:r>
          </w:p>
        </w:tc>
      </w:tr>
    </w:tbl>
    <w:bookmarkEnd w:id="39"/>
    <w:p w14:paraId="7FE4A7D5" w14:textId="77777777" w:rsidR="00FA4672" w:rsidRDefault="00FA4672" w:rsidP="00FA4672">
      <w:pPr>
        <w:keepNext/>
        <w:keepLines/>
        <w:rPr>
          <w:rStyle w:val="Strong"/>
        </w:rPr>
      </w:pPr>
      <w:r w:rsidRPr="00194327">
        <w:rPr>
          <w:rStyle w:val="Strong"/>
        </w:rPr>
        <w:lastRenderedPageBreak/>
        <w:t>ESC discussion</w:t>
      </w:r>
    </w:p>
    <w:p w14:paraId="020780EE" w14:textId="77777777" w:rsidR="00FA4672" w:rsidRDefault="00FA4672" w:rsidP="00FA4672">
      <w:pPr>
        <w:keepNext/>
        <w:keepLines/>
      </w:pPr>
      <w:r w:rsidRPr="00624E42">
        <w:t xml:space="preserve">ESC noted that this application from the </w:t>
      </w:r>
      <w:r w:rsidRPr="00464468">
        <w:t xml:space="preserve">Royal College of Pathologists of Australasia </w:t>
      </w:r>
      <w:r>
        <w:t>(</w:t>
      </w:r>
      <w:r w:rsidRPr="00624E42">
        <w:t>RCPA</w:t>
      </w:r>
      <w:r>
        <w:t>)</w:t>
      </w:r>
      <w:r w:rsidRPr="00624E42">
        <w:t xml:space="preserve"> was for Medicare Benefits Schedule </w:t>
      </w:r>
      <w:r>
        <w:t xml:space="preserve">(MBS) </w:t>
      </w:r>
      <w:r w:rsidRPr="00624E42">
        <w:t xml:space="preserve">listing of </w:t>
      </w:r>
      <w:r>
        <w:t xml:space="preserve">next-generation sequencing (NGS) gene panel </w:t>
      </w:r>
      <w:r w:rsidRPr="00624E42">
        <w:t>testing for variants associated with haematological malignancies to establish a definitive diagnosis</w:t>
      </w:r>
      <w:r>
        <w:t xml:space="preserve"> that cannot be established by conventional testing alone.</w:t>
      </w:r>
    </w:p>
    <w:p w14:paraId="74E9E953" w14:textId="77777777" w:rsidR="00FA4672" w:rsidRDefault="00FA4672" w:rsidP="00FA4672">
      <w:r>
        <w:t xml:space="preserve">ESC noted that haematological malignancies are a broad group of cancers, and the numerous subtypes, that include </w:t>
      </w:r>
      <w:r w:rsidRPr="00591976">
        <w:t xml:space="preserve">myelodysplastic syndromes, myeloproliferative neoplasms, </w:t>
      </w:r>
      <w:r>
        <w:t>myelofibrosis</w:t>
      </w:r>
      <w:r w:rsidRPr="00591976">
        <w:t>, acute/chronic leukaemia</w:t>
      </w:r>
      <w:r>
        <w:t>s</w:t>
      </w:r>
      <w:r w:rsidRPr="00591976">
        <w:t>, myeloma</w:t>
      </w:r>
      <w:r>
        <w:t>s and</w:t>
      </w:r>
      <w:r w:rsidRPr="00591976">
        <w:t xml:space="preserve"> Hodgkin/non-Hodgkin lymphoma</w:t>
      </w:r>
      <w:r>
        <w:t>s. ESC noted that the Ratified PICO simplified the testing for the eligible conditions to cancers of myeloid or lymphoid origin, but that nearly all haematological malignancies are encompassed by the application,  including some m</w:t>
      </w:r>
      <w:r w:rsidRPr="00BB66D4">
        <w:t>yeloproliferative disorder</w:t>
      </w:r>
      <w:r>
        <w:t xml:space="preserve">s for which there are other existing MBS items , for example: MBS item 73399 characterisation of variants in at least 20 genes including  </w:t>
      </w:r>
      <w:r w:rsidRPr="00C37046">
        <w:t>Janus kinase 2</w:t>
      </w:r>
      <w:r>
        <w:t xml:space="preserve"> (</w:t>
      </w:r>
      <w:r>
        <w:rPr>
          <w:i/>
          <w:iCs/>
        </w:rPr>
        <w:t>JAK</w:t>
      </w:r>
      <w:r w:rsidRPr="004838D3">
        <w:rPr>
          <w:i/>
          <w:iCs/>
        </w:rPr>
        <w:t>2</w:t>
      </w:r>
      <w:r>
        <w:rPr>
          <w:i/>
          <w:iCs/>
        </w:rPr>
        <w:t xml:space="preserve">), </w:t>
      </w:r>
      <w:r>
        <w:t>calreticulin (</w:t>
      </w:r>
      <w:r>
        <w:rPr>
          <w:i/>
          <w:iCs/>
        </w:rPr>
        <w:t xml:space="preserve">CALR) </w:t>
      </w:r>
      <w:r w:rsidRPr="00C37046">
        <w:t>and</w:t>
      </w:r>
      <w:r>
        <w:rPr>
          <w:i/>
          <w:iCs/>
        </w:rPr>
        <w:t xml:space="preserve"> </w:t>
      </w:r>
      <w:r w:rsidRPr="00C37046">
        <w:t>myeloproliferative leukaemia</w:t>
      </w:r>
      <w:r>
        <w:rPr>
          <w:i/>
          <w:iCs/>
        </w:rPr>
        <w:t xml:space="preserve"> (MPL)</w:t>
      </w:r>
      <w:r>
        <w:t xml:space="preserve"> testing in primary myelofibrosis; </w:t>
      </w:r>
      <w:hyperlink r:id="rId23" w:history="1">
        <w:r w:rsidRPr="00DB4080">
          <w:rPr>
            <w:rStyle w:val="Hyperlink"/>
          </w:rPr>
          <w:t>PSD 1532</w:t>
        </w:r>
      </w:hyperlink>
      <w:r>
        <w:t>).</w:t>
      </w:r>
    </w:p>
    <w:p w14:paraId="4CA8FE34" w14:textId="77777777" w:rsidR="00FA4672" w:rsidRDefault="00FA4672" w:rsidP="00FA4672">
      <w:pPr>
        <w:rPr>
          <w:highlight w:val="yellow"/>
        </w:rPr>
      </w:pPr>
      <w:r>
        <w:t>ESC noted that the categorisation of the broad range of diseases is making it increasingly difficult to define, diagnose and treat haematological malignancies without molecular testing, and that the fif</w:t>
      </w:r>
      <w:r w:rsidRPr="00236B5C">
        <w:t xml:space="preserve">th edition of the World Health Organization </w:t>
      </w:r>
      <w:r>
        <w:t xml:space="preserve">(WHO) </w:t>
      </w:r>
      <w:r w:rsidRPr="00236B5C">
        <w:t xml:space="preserve">Classification </w:t>
      </w:r>
      <w:r w:rsidRPr="00A15C9C">
        <w:t>of Haematolymphoid Tumours 2022</w:t>
      </w:r>
      <w:r>
        <w:t xml:space="preserve"> recommends molecular testing for establishing a comprehensive diagnosis</w:t>
      </w:r>
      <w:r w:rsidRPr="00A15C9C">
        <w:t>. ESC noted that</w:t>
      </w:r>
      <w:r>
        <w:t>,</w:t>
      </w:r>
      <w:r w:rsidRPr="00A15C9C">
        <w:t xml:space="preserve"> </w:t>
      </w:r>
      <w:r>
        <w:t xml:space="preserve">in August 2019, </w:t>
      </w:r>
      <w:r w:rsidRPr="00A15C9C">
        <w:t>MSAC supported</w:t>
      </w:r>
      <w:r>
        <w:t xml:space="preserve"> </w:t>
      </w:r>
      <w:r w:rsidRPr="00A15C9C">
        <w:t xml:space="preserve">genetic testing for diagnosing a </w:t>
      </w:r>
      <w:r>
        <w:t>limited</w:t>
      </w:r>
      <w:r w:rsidRPr="00A15C9C">
        <w:t xml:space="preserve"> number of lymphoid neoplasms, and for prognostic testing in patients with myeloma</w:t>
      </w:r>
      <w:r>
        <w:t xml:space="preserve"> (</w:t>
      </w:r>
      <w:hyperlink r:id="rId24" w:history="1">
        <w:r>
          <w:rPr>
            <w:rStyle w:val="Hyperlink"/>
          </w:rPr>
          <w:t>PSD 1526</w:t>
        </w:r>
      </w:hyperlink>
      <w:r w:rsidRPr="004838D3">
        <w:t>)</w:t>
      </w:r>
      <w:r w:rsidRPr="00A15C9C">
        <w:t>.</w:t>
      </w:r>
    </w:p>
    <w:p w14:paraId="0A2CF4C6" w14:textId="77777777" w:rsidR="00FA4672" w:rsidRDefault="00FA4672" w:rsidP="00FA4672">
      <w:r w:rsidRPr="009A5999">
        <w:t xml:space="preserve">ESC noted that </w:t>
      </w:r>
      <w:r>
        <w:t xml:space="preserve">from the targeted consultation </w:t>
      </w:r>
      <w:r w:rsidRPr="009A5999">
        <w:t>several organisations supported the application</w:t>
      </w:r>
      <w:r>
        <w:t>. Respondents stated that</w:t>
      </w:r>
      <w:r w:rsidRPr="009A5999">
        <w:t xml:space="preserve"> genetic testing for these types of malignancies is now standard of care. As a result, </w:t>
      </w:r>
      <w:r>
        <w:t xml:space="preserve">respondents claimed that </w:t>
      </w:r>
      <w:r w:rsidRPr="009A5999">
        <w:t xml:space="preserve">there </w:t>
      </w:r>
      <w:r>
        <w:t>would be</w:t>
      </w:r>
      <w:r w:rsidRPr="009A5999">
        <w:t xml:space="preserve"> equity and access issues</w:t>
      </w:r>
      <w:r>
        <w:t xml:space="preserve"> if this testing is not publicly funded</w:t>
      </w:r>
      <w:r w:rsidRPr="009A5999">
        <w:t>.</w:t>
      </w:r>
      <w:r>
        <w:t xml:space="preserve"> Consultation feedback also considered that the proposed fee ($800) </w:t>
      </w:r>
      <w:r w:rsidRPr="009A5999">
        <w:t>was too low</w:t>
      </w:r>
      <w:r>
        <w:t xml:space="preserve"> (but did not propose an alternative). However, the Departmental-contracted assessment report (DCAR) proposed a revised fee of $927.90 based on expert opinion which was confirmed by the applicant in the pre-ESC response.  ESC noted that this fee was calculated as $840 plus the Greatest Permissible Gap (GPG) and is broadly consistent with the fee proposed for the glioblastoma 25-gene panel (</w:t>
      </w:r>
      <w:hyperlink r:id="rId25" w:history="1">
        <w:r w:rsidRPr="00970BE2">
          <w:rPr>
            <w:rStyle w:val="Hyperlink"/>
          </w:rPr>
          <w:t>PSD 1709</w:t>
        </w:r>
      </w:hyperlink>
      <w:r>
        <w:t>)</w:t>
      </w:r>
      <w:r w:rsidRPr="009A5999">
        <w:t>.</w:t>
      </w:r>
      <w:r>
        <w:t xml:space="preserve"> However, ESC noted that the Department is currently establishing a genetic test fee matrix to guide future decisions on fees for proposed MBS </w:t>
      </w:r>
      <w:r w:rsidRPr="00020527">
        <w:t>items. MSAC may wish to consider the fee to ensure it is appropriate</w:t>
      </w:r>
      <w:r>
        <w:t xml:space="preserve"> based on the proposed panel composition</w:t>
      </w:r>
      <w:r w:rsidRPr="00020527">
        <w:t>.</w:t>
      </w:r>
    </w:p>
    <w:p w14:paraId="79B70846" w14:textId="3B424410" w:rsidR="00FA4672" w:rsidRPr="00D56C17" w:rsidRDefault="00FA4672" w:rsidP="00FA4672">
      <w:pPr>
        <w:rPr>
          <w:rFonts w:ascii="Calibri" w:hAnsi="Calibri"/>
          <w:szCs w:val="22"/>
          <w:lang w:eastAsia="en-AU"/>
        </w:rPr>
      </w:pPr>
      <w:r>
        <w:t>ESC discussed consumer issues such as whether testing may identify variants that may occur at varying frequencies across different groups of patients according to their demographic origin. ESC queried whether data on this were available from the current testing done in Peter MacCallum Cancer Centre in Victoria.</w:t>
      </w:r>
    </w:p>
    <w:p w14:paraId="7DC5560B" w14:textId="77777777" w:rsidR="00FA4672" w:rsidRDefault="00FA4672" w:rsidP="00FA4672">
      <w:r w:rsidRPr="009A5999">
        <w:t>ESC not</w:t>
      </w:r>
      <w:r>
        <w:t>e</w:t>
      </w:r>
      <w:r w:rsidRPr="009A5999">
        <w:t>d</w:t>
      </w:r>
      <w:r>
        <w:t xml:space="preserve"> the clinical management algorithms include other MBS-funded clinical investigations such as blood counts, biopsy and bone marrow aspirate, and some single gene testing. The NGS panel would be used as clinically necessary, depending on the suspected malignancy and clinical context. Although the genetic testing would provide a definite comprehensive diagnosis (</w:t>
      </w:r>
      <w:proofErr w:type="gramStart"/>
      <w:r>
        <w:t>i.e.</w:t>
      </w:r>
      <w:proofErr w:type="gramEnd"/>
      <w:r>
        <w:t xml:space="preserve"> confirmation of suspected diagnosis, refinement of a diagnosis or refute the diagnosis of a malignant condition), it will, if based on the WHO Classification additionally provide prognostic value and identify targeted treatment or management change. The proposed test is not to be used for measurable residual disease monitoring.</w:t>
      </w:r>
    </w:p>
    <w:p w14:paraId="1682E480" w14:textId="77777777" w:rsidR="00FA4672" w:rsidRDefault="00FA4672" w:rsidP="00FA4672">
      <w:r>
        <w:t>ESC noted that, consistent with PASC, that the comparator is no NGS panel testing.</w:t>
      </w:r>
    </w:p>
    <w:p w14:paraId="3684C9C2" w14:textId="77777777" w:rsidR="00FA4672" w:rsidRDefault="00FA4672" w:rsidP="00FA4672">
      <w:r>
        <w:t xml:space="preserve">Other diagnostic options include </w:t>
      </w:r>
      <w:r w:rsidRPr="00EC262E">
        <w:t>morphology, flow cytometry, cytogenetics</w:t>
      </w:r>
      <w:r>
        <w:t xml:space="preserve">, individual molecular </w:t>
      </w:r>
      <w:proofErr w:type="gramStart"/>
      <w:r>
        <w:t>tests</w:t>
      </w:r>
      <w:proofErr w:type="gramEnd"/>
      <w:r>
        <w:t xml:space="preserve"> and</w:t>
      </w:r>
      <w:r w:rsidRPr="00EC262E">
        <w:t xml:space="preserve"> fluorescence in situ hybridisation (FISH</w:t>
      </w:r>
      <w:r>
        <w:t>).  These tests provide a working diagnosis of a haematological malignancy. ESC noted the sequential nature of this testing delays diagnosis and therapy, contributing to patient anxiety. ESC noted that there may be some cost offsets related to the replacement of existing MBS items for these tests, and that these were considered by the DCAR in the modelled budget impact.</w:t>
      </w:r>
    </w:p>
    <w:p w14:paraId="1F3CE75A" w14:textId="77777777" w:rsidR="00FA4672" w:rsidRDefault="00FA4672" w:rsidP="00FA4672">
      <w:r>
        <w:lastRenderedPageBreak/>
        <w:t>ESC noted that the proposed MBS item descriptor is for either a myeloid or lymphoid somatic NGS panel of at least 25 genes, with a separate minimum gene composition for each.  ESC noted that the number of genes is certain to increase as more relevant genes are identified, and that the descriptor and fee may need to be reconsidered in the future. ESC advised that a test directory and mechanism for updating the genes included on the panel would be necessary. ESC noted that the DCAR added g</w:t>
      </w:r>
      <w:r w:rsidRPr="0089247D">
        <w:t>enes with established clinical utility, but not included in the WHO Classification</w:t>
      </w:r>
      <w:r>
        <w:t>. ESC considered that it was not critical to identify an exact and universal myeloid or lymphoid gene panel as the clinical context may differ (</w:t>
      </w:r>
      <w:proofErr w:type="gramStart"/>
      <w:r>
        <w:t>e.g.</w:t>
      </w:r>
      <w:proofErr w:type="gramEnd"/>
      <w:r>
        <w:t xml:space="preserve"> infant/paediatric- versus adult-onset conditions), although a minimum requirement for key variants should be included. ESC noted that there are no local guidelines or Australian data to inform such a list of key variants, but that the WHO diagnostic criteria and other expert guidance (</w:t>
      </w:r>
      <w:proofErr w:type="gramStart"/>
      <w:r>
        <w:t>e.g.</w:t>
      </w:r>
      <w:proofErr w:type="gramEnd"/>
      <w:r>
        <w:t xml:space="preserve"> </w:t>
      </w:r>
      <w:r w:rsidRPr="002565E8">
        <w:t>European LeukemiaNet</w:t>
      </w:r>
      <w:r>
        <w:t xml:space="preserve">, </w:t>
      </w:r>
      <w:r w:rsidRPr="002565E8">
        <w:t>National Comprehensive Cancer Network</w:t>
      </w:r>
      <w:r>
        <w:t xml:space="preserve">, </w:t>
      </w:r>
      <w:r w:rsidRPr="002565E8">
        <w:t>NHS England</w:t>
      </w:r>
      <w:r>
        <w:t>) could be used to ascertain the minimum panel genes</w:t>
      </w:r>
      <w:r w:rsidRPr="002565E8">
        <w:t xml:space="preserve"> </w:t>
      </w:r>
      <w:r>
        <w:t>for prognosis and treatment selection. ESC noted that future variants would likely require RNA analysis in addition to DNA analysis.</w:t>
      </w:r>
    </w:p>
    <w:p w14:paraId="7E84334B" w14:textId="77777777" w:rsidR="00FA4672" w:rsidRDefault="00FA4672" w:rsidP="00FA4672">
      <w:r>
        <w:t xml:space="preserve">ESC considered that an NGS virtual panel was more suitable than whole genome sequencing (WGS) for this type of testing, as WGS would yield much unnecessary data and prolong the turnaround time for the test (already 3–4 weeks), thus delaying patient diagnosis, </w:t>
      </w:r>
      <w:proofErr w:type="gramStart"/>
      <w:r>
        <w:t>prognostication</w:t>
      </w:r>
      <w:proofErr w:type="gramEnd"/>
      <w:r>
        <w:t xml:space="preserve"> or management change.</w:t>
      </w:r>
    </w:p>
    <w:p w14:paraId="30B0CF04" w14:textId="77777777" w:rsidR="00FA4672" w:rsidRDefault="00FA4672" w:rsidP="00FA4672">
      <w:r>
        <w:t>ESC discussed including the phrase “clinically suspected” and queried whether it could lead to leakage to a broader population, noting that the proposed test would not be used in patients where the diagnosis can be categorically determined by other tests. Although ESC considered the scope of testing to be uncertain, it concluded that haematologists are unlikely to order the testing unnecessarily when there are other prior tests that are more suitable for diagnosing the conditions not covered by this testing.</w:t>
      </w:r>
    </w:p>
    <w:p w14:paraId="0A028F38" w14:textId="77777777" w:rsidR="00FA4672" w:rsidRDefault="00FA4672" w:rsidP="00FA4672">
      <w:r>
        <w:t>ESC suggested the following amendments (in italics and strikethrough) to the proposed revised MBS descriptor in the pre-ESC response:</w:t>
      </w:r>
    </w:p>
    <w:p w14:paraId="1F3D04C1" w14:textId="77777777" w:rsidR="00FA4672" w:rsidRDefault="00FA4672" w:rsidP="00FA4672">
      <w:pPr>
        <w:pStyle w:val="Quote"/>
        <w:rPr>
          <w:color w:val="FF0000"/>
        </w:rPr>
      </w:pPr>
      <w:bookmarkStart w:id="40" w:name="_Hlk117342749"/>
      <w:r w:rsidRPr="00074881">
        <w:t xml:space="preserve">Characterisation of </w:t>
      </w:r>
      <w:r w:rsidRPr="00824F1D">
        <w:rPr>
          <w:strike/>
        </w:rPr>
        <w:t>gene</w:t>
      </w:r>
      <w:r w:rsidRPr="00074881">
        <w:t xml:space="preserve"> variant(s), </w:t>
      </w:r>
      <w:r>
        <w:rPr>
          <w:i/>
          <w:iCs/>
        </w:rPr>
        <w:t xml:space="preserve">in a panel of at least 25 genes, </w:t>
      </w:r>
      <w:r w:rsidRPr="00074881">
        <w:t xml:space="preserve">requested by a specialist or consultant physician, </w:t>
      </w:r>
      <w:r w:rsidRPr="00824F1D">
        <w:rPr>
          <w:i/>
          <w:iCs/>
        </w:rPr>
        <w:t>to determine the diagnosis, prognosis and</w:t>
      </w:r>
      <w:r>
        <w:rPr>
          <w:i/>
          <w:iCs/>
        </w:rPr>
        <w:t>/or</w:t>
      </w:r>
      <w:r w:rsidRPr="00824F1D">
        <w:rPr>
          <w:i/>
          <w:iCs/>
        </w:rPr>
        <w:t xml:space="preserve"> management of </w:t>
      </w:r>
      <w:r w:rsidRPr="00824F1D">
        <w:rPr>
          <w:strike/>
        </w:rPr>
        <w:t>in</w:t>
      </w:r>
      <w:r w:rsidRPr="00074881">
        <w:t xml:space="preserve"> a patient presenting with a </w:t>
      </w:r>
      <w:r>
        <w:rPr>
          <w:i/>
          <w:iCs/>
        </w:rPr>
        <w:t xml:space="preserve">clinically suspected </w:t>
      </w:r>
      <w:r w:rsidRPr="00074881">
        <w:t>haematological malignancy of</w:t>
      </w:r>
      <w:r>
        <w:t>:</w:t>
      </w:r>
      <w:r w:rsidRPr="00074881">
        <w:t xml:space="preserve"> myeloid origin</w:t>
      </w:r>
      <w:r>
        <w:t xml:space="preserve"> (Item number AAAA); lymphoid origin (Item number BBBB)</w:t>
      </w:r>
      <w:r w:rsidRPr="00074881">
        <w:t xml:space="preserve"> </w:t>
      </w:r>
      <w:r w:rsidRPr="00824F1D">
        <w:rPr>
          <w:strike/>
        </w:rPr>
        <w:t>that includes at least 25 genes from the exemplar list</w:t>
      </w:r>
      <w:r w:rsidRPr="00074881">
        <w:t>.</w:t>
      </w:r>
    </w:p>
    <w:p w14:paraId="02EC1671" w14:textId="77777777" w:rsidR="00FA4672" w:rsidRDefault="00FA4672" w:rsidP="00FA4672">
      <w:pPr>
        <w:pStyle w:val="Quote"/>
      </w:pPr>
      <w:r>
        <w:t xml:space="preserve">Applicable once per diagnostic episode at </w:t>
      </w:r>
      <w:r w:rsidRPr="00824F1D">
        <w:rPr>
          <w:strike/>
        </w:rPr>
        <w:t xml:space="preserve">initial </w:t>
      </w:r>
      <w:r>
        <w:t xml:space="preserve">diagnosis, </w:t>
      </w:r>
      <w:r w:rsidRPr="00824F1D">
        <w:rPr>
          <w:i/>
          <w:iCs/>
        </w:rPr>
        <w:t>disease progression</w:t>
      </w:r>
      <w:r>
        <w:t xml:space="preserve"> or </w:t>
      </w:r>
      <w:r w:rsidRPr="00824F1D">
        <w:rPr>
          <w:strike/>
        </w:rPr>
        <w:t xml:space="preserve">at disease </w:t>
      </w:r>
      <w:r>
        <w:t>relapse</w:t>
      </w:r>
    </w:p>
    <w:bookmarkEnd w:id="40"/>
    <w:p w14:paraId="3625949D" w14:textId="6B59AC3B" w:rsidR="00FA4672" w:rsidRDefault="00FA4672" w:rsidP="00FA4672">
      <w:r>
        <w:t>ESC noted that a small number of patients covered by MBS item 73399 may develop secondary myelofibrosis and may need genetic testing which would be in the scope of the proposed MBS items.</w:t>
      </w:r>
    </w:p>
    <w:p w14:paraId="5AC32147" w14:textId="77777777" w:rsidR="00FA4672" w:rsidRDefault="00FA4672" w:rsidP="00FA4672">
      <w:r>
        <w:t xml:space="preserve">ESC noted that the DCAR’s clinical effectiveness and safety data came from three studies comprising prospective and retrospective case series for the myeloid panel, and three studies comprising retrospective case series for the lymphoid panel. ESC acknowledged the DCAR’s concerns of limited generalisability of the study by Pillonel et al (2020) in lymphoid malignancies (due to the larger panel size of 68 genes than the proposed minimum panel size of </w:t>
      </w:r>
      <w:r w:rsidRPr="00BA30CB">
        <w:rPr>
          <w:rFonts w:cstheme="minorHAnsi"/>
          <w:color w:val="000000" w:themeColor="text1"/>
        </w:rPr>
        <w:t>at least 25 genes</w:t>
      </w:r>
      <w:r>
        <w:t xml:space="preserve"> in MBS item BBBB) but considered, on balance, this study was also relevant for MSAC’s consideration (see Table 6). Overall, ESC noted most of the case series had moderate risk of bias.</w:t>
      </w:r>
    </w:p>
    <w:p w14:paraId="0AE09443" w14:textId="77777777" w:rsidR="00FA4672" w:rsidRDefault="00FA4672" w:rsidP="00FA4672">
      <w:r>
        <w:t xml:space="preserve">ESC considered the </w:t>
      </w:r>
      <w:r w:rsidRPr="00824F1D">
        <w:t>main safety and effectiveness issue</w:t>
      </w:r>
      <w:r w:rsidRPr="002565E8">
        <w:t xml:space="preserve"> to be </w:t>
      </w:r>
      <w:r>
        <w:t xml:space="preserve">the identification of </w:t>
      </w:r>
      <w:r w:rsidRPr="002565E8">
        <w:t>incidental germline variants that may impact family members;</w:t>
      </w:r>
      <w:r>
        <w:t xml:space="preserve"> w</w:t>
      </w:r>
      <w:r w:rsidRPr="00312A18">
        <w:t>ith increased somatic testing, potential germline variants will be identified, and these have implications for the safety and efficacy of medicines, transplant donor screening, familial risk identification and management</w:t>
      </w:r>
      <w:r>
        <w:t xml:space="preserve">. ESC noted that where heritable variants are identified, cascade testing was out of scope for this application, and suggested that </w:t>
      </w:r>
      <w:r w:rsidRPr="00312A18">
        <w:t>MSAC may wish to consider whether a generic MBS item for cascade testing for blood relatives be created to allow predictive testing given the rate of expansion of clinically relevant pathogenic/likely pathogenic variants being identified across all malignancies</w:t>
      </w:r>
      <w:r>
        <w:t xml:space="preserve">, but to date </w:t>
      </w:r>
      <w:r>
        <w:lastRenderedPageBreak/>
        <w:t xml:space="preserve">no evidence has been assessed to support these tests. Any identified germline variants may also adversely impact bone marrow donor status. </w:t>
      </w:r>
      <w:r w:rsidRPr="002565E8">
        <w:t>ESC agreed with consultation feedback that systems that include genetic counselling and informed consent should be in place for such testing. ESC considered that a</w:t>
      </w:r>
      <w:r>
        <w:t xml:space="preserve"> too-small panel may miss some very rare diagnoses which </w:t>
      </w:r>
      <w:r w:rsidRPr="002565E8">
        <w:t>may also be a safety issue. However, ESC considered</w:t>
      </w:r>
      <w:r>
        <w:t xml:space="preserve"> the benefits to likely outweigh any safety issues.</w:t>
      </w:r>
    </w:p>
    <w:p w14:paraId="64A47E4B" w14:textId="6A3147DF" w:rsidR="00FA4672" w:rsidRPr="009A5999" w:rsidRDefault="00FA4672" w:rsidP="00FA4672">
      <w:r>
        <w:t xml:space="preserve">ESC agreed with the clinical claim of superior effectiveness compared with no NGS panel testing, as the NGS panel testing demonstrated it provides diagnostic, </w:t>
      </w:r>
      <w:proofErr w:type="gramStart"/>
      <w:r>
        <w:t>prognostic</w:t>
      </w:r>
      <w:proofErr w:type="gramEnd"/>
      <w:r>
        <w:t xml:space="preserve"> and treatment decision-making information. In particular, the study by Pillonel et al (2020) supported genetic testing for lymphoid diagnosis but used a much larger gene panel size of 68 genes. However, ESC considered that this demonstrated the resolution of diagnostic challenges, as there are several subtypes of some malignancies. For example, in lymphoid malignancies there are no </w:t>
      </w:r>
      <w:r w:rsidRPr="00C271C6">
        <w:t xml:space="preserve">core set of genes </w:t>
      </w:r>
      <w:r>
        <w:t xml:space="preserve">that </w:t>
      </w:r>
      <w:r w:rsidRPr="00C271C6">
        <w:t>can be identified/readily defined as these are diverse, heterogeneous conditions and a large panel is required to differentiate between the conditions efficiently</w:t>
      </w:r>
      <w:r>
        <w:t>.</w:t>
      </w:r>
    </w:p>
    <w:p w14:paraId="158DE6AE" w14:textId="77777777" w:rsidR="00FA4672" w:rsidRPr="00824F1D" w:rsidRDefault="00FA4672" w:rsidP="00FA4672">
      <w:pPr>
        <w:rPr>
          <w:rFonts w:eastAsia="Calibri"/>
          <w:bCs/>
        </w:rPr>
      </w:pPr>
      <w:r>
        <w:t>ESC noted that the economic evaluation was a simple cost-effectiveness analysis (see Table 14). ESC noted the resulting incremental cost-effectiveness ratios (ICERs) ranged from about $700 to about $53,000 per change in diagnosis (see Tables 15–21), noting that the genes in the WHO Classification do not just have diagnostic utility. The ICERs presented reflect the multiplicity of the proposed testing, which estimates for other utilities (</w:t>
      </w:r>
      <w:proofErr w:type="gramStart"/>
      <w:r>
        <w:t>i.e.</w:t>
      </w:r>
      <w:proofErr w:type="gramEnd"/>
      <w:r>
        <w:t xml:space="preserve"> prognostic value and/or predictive value, beyond diagnostic utility) being lower than that described for diagnosis alone.</w:t>
      </w:r>
      <w:r w:rsidRPr="001B1E9D">
        <w:t xml:space="preserve"> </w:t>
      </w:r>
      <w:r>
        <w:t xml:space="preserve"> ESC also noted that the results were more favourable when considered across multiple domains (diagnosis, prognosis, </w:t>
      </w:r>
      <w:proofErr w:type="gramStart"/>
      <w:r>
        <w:t>treatment</w:t>
      </w:r>
      <w:proofErr w:type="gramEnd"/>
      <w:r>
        <w:t xml:space="preserve"> and management) with ICERs ranging from $526</w:t>
      </w:r>
      <w:r w:rsidRPr="00AC1FF9">
        <w:t>–</w:t>
      </w:r>
      <w:r>
        <w:t xml:space="preserve">$849 per informative result.  Despite the approach of the economics being </w:t>
      </w:r>
      <w:r w:rsidRPr="001B1E9D">
        <w:t>consistent with other somatic gene panel applications considered by MSAC</w:t>
      </w:r>
      <w:r>
        <w:t>, ESC advised that, in this case, the ICERs were of limited value for decision-making due to the very heterogenous and potentially overlapping populations</w:t>
      </w:r>
      <w:r>
        <w:rPr>
          <w:rFonts w:eastAsia="Calibri"/>
          <w:bCs/>
        </w:rPr>
        <w:t xml:space="preserve"> and </w:t>
      </w:r>
      <w:r w:rsidRPr="00C87C51">
        <w:rPr>
          <w:rFonts w:eastAsia="Calibri"/>
          <w:bCs/>
        </w:rPr>
        <w:t>the lack of synthesised evidence</w:t>
      </w:r>
      <w:r>
        <w:rPr>
          <w:rFonts w:eastAsia="Calibri"/>
          <w:bCs/>
        </w:rPr>
        <w:t xml:space="preserve">. ESC also considered other limitations </w:t>
      </w:r>
      <w:proofErr w:type="gramStart"/>
      <w:r>
        <w:rPr>
          <w:rFonts w:eastAsia="Calibri"/>
          <w:bCs/>
        </w:rPr>
        <w:t>were:</w:t>
      </w:r>
      <w:proofErr w:type="gramEnd"/>
      <w:r>
        <w:rPr>
          <w:rFonts w:eastAsia="Calibri"/>
          <w:bCs/>
        </w:rPr>
        <w:t xml:space="preserve"> </w:t>
      </w:r>
      <w:r>
        <w:t>the lack of direct comparative evidence for cumulative yield from other existing genetic tests (e.g. single gene tests and gene panels), although these may also be performed as prior tests both in the intervention and comparator arm; and</w:t>
      </w:r>
      <w:r>
        <w:rPr>
          <w:rFonts w:eastAsia="Calibri"/>
          <w:bCs/>
        </w:rPr>
        <w:t xml:space="preserve"> </w:t>
      </w:r>
      <w:r>
        <w:t>the estimation of the cost of the comparator to be zero. ESC considered the cost of the comparator would depend on the clinical context which is complicated due to the heterogenous patient population; however, a pragmatic approach would suggest the costs of any comparative profiling would be considerable.</w:t>
      </w:r>
    </w:p>
    <w:p w14:paraId="7FD7561B" w14:textId="5C93D9E1" w:rsidR="00FA4672" w:rsidRDefault="00FA4672" w:rsidP="00FA4672">
      <w:r>
        <w:t>ESC noted that an epidemiological approach (incidence and prevalence of blood cancer data from the Australian Institute for Health and Welfare) was used to estimate utilisation. This included proportions of myeloid (20%) and lymphoid (70%) lineage and “other” (10%), but ESC noted that these are likely to require different testing rates.)</w:t>
      </w:r>
      <w:r w:rsidDel="00CB3B99">
        <w:t xml:space="preserve"> </w:t>
      </w:r>
      <w:r>
        <w:t xml:space="preserve">ESC noted a key source of uncertainty in the estimation of the budget impact was the assumption that 50% of people with haematological malignancies would be eligible for testing and access NGS panel testing based on the applicant’s clinical judgment. ESC queried whether this assumption was based on data from the </w:t>
      </w:r>
      <w:r w:rsidRPr="00D90EC4">
        <w:t>Peter MacCallum Cancer Centre</w:t>
      </w:r>
      <w:r>
        <w:t xml:space="preserve"> (Victoria), where genetic panel testing has been philanthropically reimbursed. Although data were collected from a large cohort of approximately 5,000 patients, ESC noted that there could be state-by-state variation in utilisation, making the 50% estimate uncertain. ESC agreed that using a 3.1% growth in incidence population and 1% growth in prevalence population, as done in the DCAR, was appropriate. ESC agreed with the DCAR that 5% repeat testing in the prevalent population is reasonable.  However, ESC questioned whether the 5% of the prevalent population and 1.65% of those who were ruled out having a malignancy by expert opinion were included in the original 50% utilisation </w:t>
      </w:r>
      <w:r w:rsidR="008350AF">
        <w:t>estimate but</w:t>
      </w:r>
      <w:r>
        <w:t xml:space="preserve"> advised that this is not of great concern if the 50% estimate is already uncertain. The lymphoma registry was established in 2016 and, since then, only 10% of patients have been reported to have received molecular testing; ESC queried if there was underreporting in this data analysis.  Overall, </w:t>
      </w:r>
      <w:bookmarkStart w:id="41" w:name="_Hlk117419383"/>
      <w:r>
        <w:t>ESC considered the applicant’s assumption of a 50% testing population to be highly uncertain and likely an underestimate</w:t>
      </w:r>
      <w:bookmarkEnd w:id="41"/>
      <w:r>
        <w:t xml:space="preserve">. </w:t>
      </w:r>
      <w:bookmarkStart w:id="42" w:name="_Hlk117420138"/>
      <w:r>
        <w:t xml:space="preserve">These uncertainties may result in demand that is nearly double the current utilisation estimates, although there may be capacity constraints in performing NGS testing </w:t>
      </w:r>
      <w:bookmarkEnd w:id="42"/>
      <w:r>
        <w:t>more broadly. ESC noted the pre-ESC response that the prevalent population will decrease over time as testing becomes more accessible.</w:t>
      </w:r>
    </w:p>
    <w:p w14:paraId="030F5328" w14:textId="77777777" w:rsidR="00FA4672" w:rsidRDefault="00FA4672" w:rsidP="00FA4672">
      <w:r>
        <w:lastRenderedPageBreak/>
        <w:t>ESC noted the estimated financial impact (85% rebate=$840 accounting for the GPG), including cost offsets, was $5.2 million in Year 1 to $3.3 million in Year 6 (see Table 22). ESC noted the cost offsets were due to the replacement of some existing MBS-reimbursed tests (</w:t>
      </w:r>
      <w:proofErr w:type="gramStart"/>
      <w:r>
        <w:t>e.g.</w:t>
      </w:r>
      <w:proofErr w:type="gramEnd"/>
      <w:r>
        <w:t xml:space="preserve"> single gene tests), including those described in MSAC PSDs for applications 1526 and 1532. However, ESC considered the extent of cost offsets were highly uncertain as the DCAR assumed that all utilisation is related to current testing patterns in Victoria, and it was shown that there are inconsistent state-by-state usage trends.</w:t>
      </w:r>
    </w:p>
    <w:p w14:paraId="7DF5D70E" w14:textId="77777777" w:rsidR="00FA4672" w:rsidRDefault="00FA4672" w:rsidP="00FA4672">
      <w:r>
        <w:t>ESC noted that laboratory workload, reporting, and quality assurance may become an issue if listed, especially for the lymphoid cancers. However, ESC considered that laboratories would likely expand to include the necessary testing given the accepted place of genetic testing in informing a comprehensive diagnosis. Associated services such as genetic counselling may also be affected by the introduction of the test, particularly once expanded to include germline variants.</w:t>
      </w:r>
    </w:p>
    <w:p w14:paraId="5B4836C3" w14:textId="77777777" w:rsidR="00FA4672" w:rsidRPr="0038753E" w:rsidRDefault="00FA4672" w:rsidP="00FA4672">
      <w:r>
        <w:t>ESC also noted that there is a need for a diagnostic test registry in Australia; work on this is currently underway.</w:t>
      </w:r>
    </w:p>
    <w:p w14:paraId="147CEE40" w14:textId="15BB54BB" w:rsidR="00FA4672" w:rsidRDefault="00FA4672" w:rsidP="00FA4672">
      <w:pPr>
        <w:pStyle w:val="Heading2"/>
        <w:numPr>
          <w:ilvl w:val="0"/>
          <w:numId w:val="0"/>
        </w:numPr>
      </w:pPr>
      <w:r>
        <w:t>17.</w:t>
      </w:r>
      <w:r>
        <w:tab/>
        <w:t>Applicant comments on MSAC’s Public Summary Document</w:t>
      </w:r>
    </w:p>
    <w:p w14:paraId="4EAE5217" w14:textId="42F9485C" w:rsidR="009E1F5B" w:rsidRDefault="009E1F5B" w:rsidP="009E1F5B">
      <w:r w:rsidRPr="009E1F5B">
        <w:t xml:space="preserve">The College’s Working Party would like to express their delight in MSAC approving public funding </w:t>
      </w:r>
      <w:r>
        <w:t>g</w:t>
      </w:r>
      <w:r w:rsidRPr="009E1F5B">
        <w:t xml:space="preserve">enetic testing for variants associated with haematological </w:t>
      </w:r>
      <w:proofErr w:type="gramStart"/>
      <w:r w:rsidRPr="009E1F5B">
        <w:t>malignancies, and</w:t>
      </w:r>
      <w:proofErr w:type="gramEnd"/>
      <w:r w:rsidRPr="009E1F5B">
        <w:t xml:space="preserve"> would like to take this opportunity to thank the Department for its assistance throughout the assessment process. The College and Fellows have </w:t>
      </w:r>
      <w:r w:rsidR="00E80073">
        <w:t>only minor</w:t>
      </w:r>
      <w:r w:rsidRPr="009E1F5B">
        <w:t xml:space="preserve"> comments to make on the PSD for Application 1</w:t>
      </w:r>
      <w:r w:rsidR="00E80073">
        <w:t>684</w:t>
      </w:r>
      <w:r w:rsidRPr="009E1F5B">
        <w:t>.</w:t>
      </w:r>
    </w:p>
    <w:p w14:paraId="61283E50" w14:textId="5721FCEA" w:rsidR="00E80073" w:rsidRDefault="00E80073" w:rsidP="009E1F5B">
      <w:r>
        <w:t xml:space="preserve">Firstly, the College would like to reiterate that </w:t>
      </w:r>
      <w:r w:rsidRPr="00E80073">
        <w:t xml:space="preserve">an optimal panel size or composition </w:t>
      </w:r>
      <w:r>
        <w:t>wa</w:t>
      </w:r>
      <w:r w:rsidRPr="00E80073">
        <w:t xml:space="preserve">s not described </w:t>
      </w:r>
      <w:r>
        <w:t xml:space="preserve">in the application </w:t>
      </w:r>
      <w:r w:rsidRPr="00E80073">
        <w:t>given the changing evidence base</w:t>
      </w:r>
      <w:r>
        <w:t xml:space="preserve">, with the </w:t>
      </w:r>
      <w:r w:rsidRPr="00E80073">
        <w:t xml:space="preserve">proposed minimum of 25 genes </w:t>
      </w:r>
      <w:r>
        <w:t>being</w:t>
      </w:r>
      <w:r w:rsidRPr="00E80073">
        <w:t xml:space="preserve"> intended to be agnostic to a specific list of genes </w:t>
      </w:r>
      <w:proofErr w:type="gramStart"/>
      <w:r w:rsidRPr="00E80073">
        <w:t>in order to</w:t>
      </w:r>
      <w:proofErr w:type="gramEnd"/>
      <w:r w:rsidRPr="00E80073">
        <w:t xml:space="preserve"> future-proof the item </w:t>
      </w:r>
      <w:r>
        <w:t>given that</w:t>
      </w:r>
      <w:r w:rsidRPr="00E80073">
        <w:t xml:space="preserve"> relevant genes change over time.</w:t>
      </w:r>
      <w:r>
        <w:t xml:space="preserve"> Selection of genes will depend </w:t>
      </w:r>
      <w:r w:rsidRPr="00E80073">
        <w:t>on clinical presentation and clinician/pathologist judgement.</w:t>
      </w:r>
      <w:r>
        <w:t xml:space="preserve"> T</w:t>
      </w:r>
      <w:r w:rsidRPr="00E80073">
        <w:t>he application referenced the WHO classification of haematological malignancies used by clinicians and pathologists to classify and manage patients</w:t>
      </w:r>
      <w:r>
        <w:t>; however</w:t>
      </w:r>
      <w:r w:rsidRPr="00E80073">
        <w:t>, the Department may wish to reference NHS England’s National Genomic Test Directory for Cancer, which specifies genomic tests by the technology by which they are available, and the patients who will be eligible to access to a test.</w:t>
      </w:r>
    </w:p>
    <w:p w14:paraId="078E7337" w14:textId="120F080E" w:rsidR="00E80073" w:rsidRPr="009E1F5B" w:rsidRDefault="00B33546" w:rsidP="009E1F5B">
      <w:r>
        <w:t xml:space="preserve">In closing, whilst germline testing did not form part of this current application due to the complexity of including somatic and germline variant testing, the College </w:t>
      </w:r>
      <w:r w:rsidR="00F36EC0">
        <w:t>would be</w:t>
      </w:r>
      <w:r>
        <w:t xml:space="preserve"> largely supportive </w:t>
      </w:r>
      <w:r w:rsidR="00F36EC0">
        <w:t xml:space="preserve">of an application for </w:t>
      </w:r>
      <w:r w:rsidR="00F36EC0" w:rsidRPr="00B33546">
        <w:t>cascade testing for heritable variants</w:t>
      </w:r>
      <w:r w:rsidR="00F36EC0">
        <w:t>.</w:t>
      </w:r>
    </w:p>
    <w:p w14:paraId="23B180C3" w14:textId="77777777" w:rsidR="00FA4672" w:rsidRDefault="00FA4672" w:rsidP="00FA4672">
      <w:pPr>
        <w:pStyle w:val="Heading2"/>
        <w:numPr>
          <w:ilvl w:val="0"/>
          <w:numId w:val="0"/>
        </w:numPr>
      </w:pPr>
      <w:r>
        <w:t>18.</w:t>
      </w:r>
      <w:r>
        <w:tab/>
        <w:t>Further information on MSAC</w:t>
      </w:r>
    </w:p>
    <w:p w14:paraId="1F5064D7" w14:textId="7642B95C" w:rsidR="00FA4672" w:rsidRPr="00032B4F" w:rsidRDefault="00FA4672" w:rsidP="00032B4F">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26" w:tooltip="Link to the MSAC website" w:history="1">
        <w:r w:rsidRPr="00F309FA">
          <w:rPr>
            <w:rStyle w:val="Hyperlink"/>
            <w:rFonts w:ascii="Franklin Gothic Book" w:hAnsi="Franklin Gothic Book"/>
            <w:b w:val="0"/>
            <w:bCs/>
            <w:i w:val="0"/>
            <w:iCs/>
            <w:sz w:val="22"/>
          </w:rPr>
          <w:t>visit the MSAC website</w:t>
        </w:r>
      </w:hyperlink>
    </w:p>
    <w:sectPr w:rsidR="00FA4672" w:rsidRPr="00032B4F" w:rsidSect="0038753E">
      <w:footerReference w:type="even" r:id="rId27"/>
      <w:footerReference w:type="default" r:id="rId28"/>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85FB" w14:textId="77777777" w:rsidR="009E1F5B" w:rsidRDefault="009E1F5B" w:rsidP="00B62DF2">
      <w:r>
        <w:separator/>
      </w:r>
    </w:p>
  </w:endnote>
  <w:endnote w:type="continuationSeparator" w:id="0">
    <w:p w14:paraId="2317BD67" w14:textId="77777777" w:rsidR="009E1F5B" w:rsidRDefault="009E1F5B" w:rsidP="00B62DF2">
      <w:r>
        <w:continuationSeparator/>
      </w:r>
    </w:p>
  </w:endnote>
  <w:endnote w:type="continuationNotice" w:id="1">
    <w:p w14:paraId="38CDDFCB" w14:textId="77777777" w:rsidR="009E1F5B" w:rsidRDefault="009E1F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251974"/>
      <w:docPartObj>
        <w:docPartGallery w:val="Page Numbers (Bottom of Page)"/>
        <w:docPartUnique/>
      </w:docPartObj>
    </w:sdtPr>
    <w:sdtEndPr>
      <w:rPr>
        <w:noProof/>
      </w:rPr>
    </w:sdtEndPr>
    <w:sdtContent>
      <w:p w14:paraId="2A3DF2F6" w14:textId="737E952F" w:rsidR="009E1F5B" w:rsidRDefault="009E1F5B" w:rsidP="008267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06900"/>
      <w:docPartObj>
        <w:docPartGallery w:val="Page Numbers (Bottom of Page)"/>
        <w:docPartUnique/>
      </w:docPartObj>
    </w:sdtPr>
    <w:sdtEndPr>
      <w:rPr>
        <w:noProof/>
      </w:rPr>
    </w:sdtEndPr>
    <w:sdtContent>
      <w:p w14:paraId="5A137FC5" w14:textId="261F19C1" w:rsidR="009E1F5B" w:rsidRDefault="009E1F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5C0E46" w14:textId="77777777" w:rsidR="009E1F5B" w:rsidRDefault="009E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25A8" w14:textId="77777777" w:rsidR="009E1F5B" w:rsidRDefault="009E1F5B" w:rsidP="00B62DF2">
      <w:r>
        <w:separator/>
      </w:r>
    </w:p>
  </w:footnote>
  <w:footnote w:type="continuationSeparator" w:id="0">
    <w:p w14:paraId="3EBFE5C9" w14:textId="77777777" w:rsidR="009E1F5B" w:rsidRDefault="009E1F5B" w:rsidP="00B62DF2">
      <w:r>
        <w:continuationSeparator/>
      </w:r>
    </w:p>
  </w:footnote>
  <w:footnote w:type="continuationNotice" w:id="1">
    <w:p w14:paraId="2510DD36" w14:textId="77777777" w:rsidR="009E1F5B" w:rsidRDefault="009E1F5B">
      <w:pPr>
        <w:spacing w:before="0" w:after="0"/>
      </w:pPr>
    </w:p>
  </w:footnote>
  <w:footnote w:id="2">
    <w:p w14:paraId="6A60E152" w14:textId="7A08B15F" w:rsidR="009E1F5B" w:rsidRDefault="009E1F5B" w:rsidP="00E45237">
      <w:pPr>
        <w:pStyle w:val="FootnoteText"/>
      </w:pPr>
      <w:r>
        <w:rPr>
          <w:rStyle w:val="FootnoteReference"/>
        </w:rPr>
        <w:footnoteRef/>
      </w:r>
      <w:r>
        <w:t xml:space="preserve"> </w:t>
      </w:r>
      <w:hyperlink r:id="rId1" w:history="1">
        <w:r w:rsidRPr="00813214">
          <w:rPr>
            <w:rStyle w:val="Hyperlink"/>
          </w:rPr>
          <w:t>https://panelapp.agha.umccr.org</w:t>
        </w:r>
      </w:hyperlink>
      <w:r>
        <w:t xml:space="preserve"> accessed 12 June 2022</w:t>
      </w:r>
    </w:p>
  </w:footnote>
  <w:footnote w:id="3">
    <w:p w14:paraId="21B0F396" w14:textId="37862C3B" w:rsidR="009E1F5B" w:rsidRDefault="009E1F5B" w:rsidP="00C5416A">
      <w:pPr>
        <w:pStyle w:val="FootnoteText"/>
        <w:jc w:val="left"/>
      </w:pPr>
      <w:r>
        <w:rPr>
          <w:rStyle w:val="FootnoteReference"/>
        </w:rPr>
        <w:footnoteRef/>
      </w:r>
      <w:r>
        <w:t xml:space="preserve"> </w:t>
      </w:r>
      <w:hyperlink r:id="rId2" w:history="1">
        <w:r w:rsidRPr="00DA6977">
          <w:rPr>
            <w:rStyle w:val="Hyperlink"/>
          </w:rPr>
          <w:t>https://www.mayocliniclabs.com/~/media/it-mmfiles/special-instructions/Targeted_Genes_Interrogated_by_OncoHeme_Next-Generation_Sequencing.pdf</w:t>
        </w:r>
      </w:hyperlink>
      <w:r>
        <w:t xml:space="preserve"> accessed 12 June 2022</w:t>
      </w:r>
    </w:p>
  </w:footnote>
  <w:footnote w:id="4">
    <w:p w14:paraId="5789EF29" w14:textId="6B99F04D" w:rsidR="009E1F5B" w:rsidRDefault="009E1F5B" w:rsidP="00611C7A">
      <w:pPr>
        <w:pStyle w:val="FootnoteText"/>
      </w:pPr>
      <w:r>
        <w:rPr>
          <w:rStyle w:val="FootnoteReference"/>
        </w:rPr>
        <w:footnoteRef/>
      </w:r>
      <w:r>
        <w:t xml:space="preserve"> </w:t>
      </w:r>
      <w:r>
        <w:fldChar w:fldCharType="begin"/>
      </w:r>
      <w:r>
        <w:instrText xml:space="preserve"> ADDIN EN.CITE &lt;EndNote&gt;&lt;Cite&gt;&lt;Author&gt;Tawana&lt;/Author&gt;&lt;Year&gt;2022&lt;/Year&gt;&lt;RecNum&gt;226&lt;/RecNum&gt;&lt;DisplayText&gt;1.&amp;#x9;Tawana K, Brown AL, Churpek JE. Integrating germline variant assessment into routine clinical practice for myelodysplastic syndrome and acute myeloid leukaemia: current strategies and challenges. British Journal of Haematology. 2022;196(6):1293-310.&lt;/DisplayText&gt;&lt;record&gt;&lt;rec-number&gt;226&lt;/rec-number&gt;&lt;foreign-keys&gt;&lt;key app="EN" db-id="e59x25rzq0x9a8edpv8vf5d6asx0ddpepvs0" timestamp="1655708265" guid="e830fb1b-bf9e-42d2-b6f3-4cb971140d08"&gt;226&lt;/key&gt;&lt;/foreign-keys&gt;&lt;ref-type name="Journal Article"&gt;17&lt;/ref-type&gt;&lt;contributors&gt;&lt;authors&gt;&lt;author&gt;Tawana, Kiran&lt;/author&gt;&lt;author&gt;Brown, Anna L.&lt;/author&gt;&lt;author&gt;Churpek, Jane E.&lt;/author&gt;&lt;/authors&gt;&lt;/contributors&gt;&lt;titles&gt;&lt;title&gt;Integrating germline variant assessment into routine clinical practice for myelodysplastic syndrome and acute myeloid leukaemia: current strategies and challenges&lt;/title&gt;&lt;secondary-title&gt;British Journal of Haematology&lt;/secondary-title&gt;&lt;/titles&gt;&lt;periodical&gt;&lt;full-title&gt;British Journal of Haematology&lt;/full-title&gt;&lt;/periodical&gt;&lt;pages&gt;1293-1310&lt;/pages&gt;&lt;volume&gt;196&lt;/volume&gt;&lt;number&gt;6&lt;/number&gt;&lt;dates&gt;&lt;year&gt;2022&lt;/year&gt;&lt;/dates&gt;&lt;isbn&gt;0007-1048&lt;/isbn&gt;&lt;urls&gt;&lt;related-urls&gt;&lt;url&gt;https://onlinelibrary.wiley.com/doi/abs/10.1111/bjh.17855&lt;/url&gt;&lt;/related-urls&gt;&lt;/urls&gt;&lt;electronic-resource-num&gt;https://doi.org/10.1111/bjh.17855&lt;/electronic-resource-num&gt;&lt;/record&gt;&lt;/Cite&gt;&lt;/EndNote&gt;</w:instrText>
      </w:r>
      <w:r>
        <w:fldChar w:fldCharType="separate"/>
      </w:r>
      <w:r>
        <w:rPr>
          <w:noProof/>
        </w:rPr>
        <w:t>1.</w:t>
      </w:r>
      <w:r>
        <w:rPr>
          <w:noProof/>
        </w:rPr>
        <w:tab/>
        <w:t>Tawana K, Brown AL, Churpek JE. Integrating germline variant assessment into routine clinical practice for myelodysplastic syndrome and acute myeloid leukaemia: current strategies and challenges. British Journal of Haematology. 2022;196(6):1293-310.</w:t>
      </w:r>
      <w:r>
        <w:fldChar w:fldCharType="end"/>
      </w:r>
    </w:p>
  </w:footnote>
  <w:footnote w:id="5">
    <w:p w14:paraId="185686E3" w14:textId="38B0260A" w:rsidR="009E1F5B" w:rsidRDefault="009E1F5B" w:rsidP="00206C0C">
      <w:pPr>
        <w:pStyle w:val="FootnoteText"/>
      </w:pPr>
      <w:r>
        <w:rPr>
          <w:rStyle w:val="FootnoteReference"/>
        </w:rPr>
        <w:footnoteRef/>
      </w:r>
      <w:r>
        <w:t xml:space="preserve"> </w:t>
      </w:r>
      <w:r>
        <w:fldChar w:fldCharType="begin">
          <w:fldData xml:space="preserve">PEVuZE5vdGU+PENpdGU+PEF1dGhvcj5TaW5naGFsPC9BdXRob3I+PFllYXI+MjAyMTwvWWVhcj48
UmVjTnVtPjIyNTwvUmVjTnVtPjxEaXNwbGF5VGV4dD4yLiYjeDk7U2luZ2hhbCBELCBIYWhuIENO
LCBGZXVyc3RlaW4gUywgV2VlIExZQSwgTW9tYSBMLCBLdXR5bmEgTU0sIGV0IGFsLiBUYXJnZXRl
ZCBnZW5lIHBhbmVscyBpZGVudGlmeSBhIGhpZ2ggZnJlcXVlbmN5IG9mIHBhdGhvZ2VuaWMgZ2Vy
bWxpbmUgdmFyaWFudHMgaW4gcGF0aWVudHMgZGlhZ25vc2VkIHdpdGggYSBoZW1hdG9sb2dpY2Fs
IG1hbGlnbmFuY3kgYW5kIGF0IGxlYXN0IG9uZSBvdGhlciBpbmRlcGVuZGVudCBjYW5jZXIuIExl
dWtlbWlhLiAyMDIxOzM1KDExKTozMjQ1LTU2LjwvRGlzcGxheVRleHQ+PHJlY29yZD48cmVjLW51
bWJlcj4yMjU8L3JlYy1udW1iZXI+PGZvcmVpZ24ta2V5cz48a2V5IGFwcD0iRU4iIGRiLWlkPSJl
NTl4MjVyenEweDlhOGVkcHY4dmY1ZDZhc3gwZGRwZXB2czAiIHRpbWVzdGFtcD0iMTY1NTcwNzg2
NSIgZ3VpZD0iODE5YTEzNDYtMWU4OS00MjNmLTlmY2QtN2RiOTlmNzQ1MGRlIj4yMjU8L2tleT48
L2ZvcmVpZ24ta2V5cz48cmVmLXR5cGUgbmFtZT0iSm91cm5hbCBBcnRpY2xlIj4xNzwvcmVmLXR5
cGU+PGNvbnRyaWJ1dG9ycz48YXV0aG9ycz48YXV0aG9yPlNpbmdoYWwsIEQuPC9hdXRob3I+PGF1
dGhvcj5IYWhuLCBDLiBOLjwvYXV0aG9yPjxhdXRob3I+RmV1cnN0ZWluLCBTLjwvYXV0aG9yPjxh
dXRob3I+V2VlLCBMLiBZLiBBLjwvYXV0aG9yPjxhdXRob3I+TW9tYSwgTC48L2F1dGhvcj48YXV0
aG9yPkt1dHluYSwgTS4gTS48L2F1dGhvcj48YXV0aG9yPkNoaGV0cmksIFIuPC9hdXRob3I+PGF1
dGhvcj5Fc2hyYWdoaSwgTC48L2F1dGhvcj48YXV0aG9yPlNjaHJlaWJlciwgQS4gVy48L2F1dGhv
cj48YXV0aG9yPkZlbmcsIEouPC9hdXRob3I+PGF1dGhvcj5XYW5nLCBQLiBQLjwvYXV0aG9yPjxh
dXRob3I+QmFiaWMsIE0uPC9hdXRob3I+PGF1dGhvcj5QYXJrZXIsIFcuIFQuPC9hdXRob3I+PGF1
dGhvcj5HYW8sIFMuPC9hdXRob3I+PGF1dGhvcj5Nb29yZSwgUy48L2F1dGhvcj48YXV0aG9yPkRh
cywgUy48L2F1dGhvcj48YXV0aG9yPlRob21hcywgRC48L2F1dGhvcj48YXV0aG9yPlBhdHRuYWlr
LCBTLjwvYXV0aG9yPjxhdXRob3I+QnJvd24sIEEuIEwuPC9hdXRob3I+PGF1dGhvcj5EJmFwb3M7
QW5kcmVhLCBSLiBKLjwvYXV0aG9yPjxhdXRob3I+UG9wbGF3c2tpLCBOLiBLLjwvYXV0aG9yPjxh
dXRob3I+VGhvbWFzLCBELjwvYXV0aG9yPjxhdXRob3I+U2NvdHQsIEguIFMuPC9hdXRob3I+PGF1
dGhvcj5Hb2RsZXksIEwuIEEuPC9hdXRob3I+PGF1dGhvcj5IaXdhc2UsIEQuIEsuPC9hdXRob3I+
PC9hdXRob3JzPjwvY29udHJpYnV0b3JzPjxhdXRoLWFkZHJlc3M+QWRlbGFpZGUgTWVkaWNhbCBT
Y2hvb2wsIFVuaXZlcnNpdHkgb2YgQWRlbGFpZGUsIEFkZWxhaWRlLCBTQSwgQXVzdHJhbGlhLiYj
eEQ7RGVwYXJ0bWVudCBvZiBIYWVtYXRvbG9neSwgUm95YWwgQWRlbGFpZGUgSG9zcGl0YWwsIENl
bnRyYWwgQWRlbGFpZGUgTG9jYWwgSGVhbHRoIE5ldHdvcmsgQWRlbGFpZGUsIEFkZWxhaWRlLCBT
QSwgQXVzdHJhbGlhLiYjeEQ7Q2FuY2VyIFRoZW1lLCBTb3V0aCBBdXN0cmFsaWFuIEhlYWx0aCBh
bmQgTWVkaWNhbCBSZXNlYXJjaCBJbnN0aXR1dGUsIEFkZWxhaWRlLCBTQSwgQXVzdHJhbGlhLiYj
eEQ7RGVwYXJ0bWVudCBvZiBHZW5ldGljcyBhbmQgTW9sZWN1bGFyIFBhdGhvbG9neSwgQ2VudHJl
IGZvciBDYW5jZXIgQmlvbG9neSwgU0EgUGF0aG9sb2d5LCBBZGVsYWlkZSwgU0EsIEF1c3RyYWxp
YS4mI3hEO0NsaW5pY2FsIGFuZCBIZWFsdGggU2NpZW5jZXMsIFVuaXZlcnNpdHkgb2YgU291dGgg
QXVzdHJhbGlhLCBBZGVsYWlkZSwgU0EsIEF1c3RyYWxpYS4mI3hEO1NlY3Rpb24gb2YgSGVtYXRv
bG9neS9PbmNvbG9neSwgRGVwYXJ0bWVudCBvZiBNZWRpY2luZSwgVGhlIFVuaXZlcnNpdHkgb2Yg
Q2hpY2FnbywgQ2hpY2FnbywgSUwsIFVTQS4mI3hEO0F1c3RyYWxpYW4gQ2FuY2VyIFJlc2VhcmNo
IEZvdW5kYXRpb24gQ2FuY2VyIEdlbm9taWNzIEZhY2lsaXR5LCBDZW50cmUgZm9yIENhbmNlciBC
aW9sb2d5LCBTQSBQYXRob2xvZ3ksIEFkZWxhaWRlLCBTQSwgQXVzdHJhbGlhLiYjeEQ7U2Nob29s
IG9mIE1vbGVjdWxhciBhbmQgQmlvbG9naWNhbCBTY2llbmNlcywgVW5pdmVyc2l0eSBvZiBBZGVs
YWlkZSwgQWRlbGFpZGUsIFNBLCBBdXN0cmFsaWEuJiN4RDtEZXBhcnRtZW50IG9mIEh1bWFuIEdl
bmV0aWNzLCBUaGUgVW5pdmVyc2l0eSBvZiBDaGljYWdvLCBDaGljYWdvLCBJTCwgVVNBLiYjeEQ7
VGhlIEtpbmdob3JuIENhbmNlciBDZW50cmUsIEdhcnZhbiBJbnN0aXR1dGUgb2YgTWVkaWNhbCBS
ZXNlYXJjaCwgRGFybGluZ2h1cnN0LCBOU1csIEF1c3RyYWxpYS4mI3hEO09NSUNPOiBBdXN0cmFs
aWFuIEdlbm9taWMgQ2FuY2VyIE1lZGljaW5lIENlbnRyZSwgRGFybGluZ2h1cnN0LCBOU1csIEF1
c3RyYWxpYS4mI3hEO1N0IFZpbmNlbnQmYXBvcztzIENsaW5pY2FsIFNjaG9vbCwgRmFjdWx0eSBv
ZiBNZWRpY2luZSwgVW5pdmVyc2l0eSBvZiBOZXcgU291dGggV2FsZXMsIERhcmxpbmdodXJzdCwg
TlNXLCBBdXN0cmFsaWEuJiN4RDtBZHVsdCBHZW5ldGljcyBVbml0LCBSb3lhbCBBZGVsYWlkZSBI
b3NwaXRhbCwgQ2VudHJhbCBBZGVsYWlkZSBMb2NhbCBIZWFsdGggTmV0d29yaywgQWRlbGFpZGUs
IFNBLCBBdXN0cmFsaWEuJiN4RDtTZWN0aW9uIG9mIEhlbWF0b2xvZ3kvT25jb2xvZ3ksIERlcGFy
dG1lbnQgb2YgTWVkaWNpbmUsIFRoZSBVbml2ZXJzaXR5IG9mIENoaWNhZ28sIENoaWNhZ28sIElM
LCBVU0EuIGxnb2RsZXlAbWVkaWNpbmUuYnNkLnVjaGljYWdvLmVkdS4mI3hEO0RlcGFydG1lbnQg
b2YgSHVtYW4gR2VuZXRpY3MsIFRoZSBVbml2ZXJzaXR5IG9mIENoaWNhZ28sIENoaWNhZ28sIElM
LCBVU0EuIGxnb2RsZXlAbWVkaWNpbmUuYnNkLnVjaGljYWdvLmVkdS4mI3hEO0FkZWxhaWRlIE1l
ZGljYWwgU2Nob29sLCBVbml2ZXJzaXR5IG9mIEFkZWxhaWRlLCBBZGVsYWlkZSwgU0EsIEF1c3Ry
YWxpYS4gZGV2ZW5kcmEuaGl3YXNlQHNhLmdvdi5hdS4mI3hEO0RlcGFydG1lbnQgb2YgSGFlbWF0
b2xvZ3ksIFJveWFsIEFkZWxhaWRlIEhvc3BpdGFsLCBDZW50cmFsIEFkZWxhaWRlIExvY2FsIEhl
YWx0aCBOZXR3b3JrIEFkZWxhaWRlLCBBZGVsYWlkZSwgU0EsIEF1c3RyYWxpYS4gZGV2ZW5kcmEu
aGl3YXNlQHNhLmdvdi5hdS4mI3hEO0NhbmNlciBUaGVtZSwgU291dGggQXVzdHJhbGlhbiBIZWFs
dGggYW5kIE1lZGljYWwgUmVzZWFyY2ggSW5zdGl0dXRlLCBBZGVsYWlkZSwgU0EsIEF1c3RyYWxp
YS4gZGV2ZW5kcmEuaGl3YXNlQHNhLmdvdi5hdS48L2F1dGgtYWRkcmVzcz48dGl0bGVzPjx0aXRs
ZT5UYXJnZXRlZCBnZW5lIHBhbmVscyBpZGVudGlmeSBhIGhpZ2ggZnJlcXVlbmN5IG9mIHBhdGhv
Z2VuaWMgZ2VybWxpbmUgdmFyaWFudHMgaW4gcGF0aWVudHMgZGlhZ25vc2VkIHdpdGggYSBoZW1h
dG9sb2dpY2FsIG1hbGlnbmFuY3kgYW5kIGF0IGxlYXN0IG9uZSBvdGhlciBpbmRlcGVuZGVudCBj
YW5jZXI8L3RpdGxlPjxzZWNvbmRhcnktdGl0bGU+TGV1a2VtaWE8L3NlY29uZGFyeS10aXRsZT48
L3RpdGxlcz48cGVyaW9kaWNhbD48ZnVsbC10aXRsZT5MZXVrZW1pYTwvZnVsbC10aXRsZT48L3Bl
cmlvZGljYWw+PHBhZ2VzPjMyNDUtMzI1NjwvcGFnZXM+PHZvbHVtZT4zNTwvdm9sdW1lPjxudW1i
ZXI+MTE8L251bWJlcj48ZWRpdGlvbj4yMDIxMDQxMzwvZWRpdGlvbj48a2V5d29yZHM+PGtleXdv
cmQ+QWRvbGVzY2VudDwva2V5d29yZD48a2V5d29yZD5BZHVsdDwva2V5d29yZD48a2V5d29yZD5B
Z2VkPC9rZXl3b3JkPjxrZXl3b3JkPkFnZWQsIDgwIGFuZCBvdmVyPC9rZXl3b3JkPjxrZXl3b3Jk
PkJSQ0ExIFByb3RlaW4vKmdlbmV0aWNzPC9rZXl3b3JkPjxrZXl3b3JkPkJSQ0EyIFByb3RlaW4v
KmdlbmV0aWNzPC9rZXl3b3JkPjxrZXl3b3JkPkJpb21hcmtlcnMsIFR1bW9yLypnZW5ldGljczwv
a2V5d29yZD48a2V5d29yZD5GZW1hbGU8L2tleXdvcmQ+PGtleXdvcmQ+Rm9sbG93LVVwIFN0dWRp
ZXM8L2tleXdvcmQ+PGtleXdvcmQ+R2VuZXRpYyBQcmVkaXNwb3NpdGlvbiB0byBEaXNlYXNlPC9r
ZXl3b3JkPjxrZXl3b3JkPipHZXJtLUxpbmUgTXV0YXRpb248L2tleXdvcmQ+PGtleXdvcmQ+SGVt
YXRvbG9naWMgTmVvcGxhc21zL2VwaWRlbWlvbG9neS9nZW5ldGljcy8qcGF0aG9sb2d5PC9rZXl3
b3JkPjxrZXl3b3JkPkh1bWFuczwva2V5d29yZD48a2V5d29yZD5NYWxlPC9rZXl3b3JkPjxrZXl3
b3JkPk1pZGRsZSBBZ2VkPC9rZXl3b3JkPjxrZXl3b3JkPk5lb3BsYXNtcy9lcGlkZW1pb2xvZ3kv
Z2VuZXRpY3MvKnBhdGhvbG9neTwva2V5d29yZD48a2V5d29yZD5Qcm9nbm9zaXM8L2tleXdvcmQ+
PGtleXdvcmQ+UmV0cm9zcGVjdGl2ZSBTdHVkaWVzPC9rZXl3b3JkPjxrZXl3b3JkPlR1bW9yIFN1
cHByZXNzb3IgUHJvdGVpbiBwNTMvKmdlbmV0aWNzPC9rZXl3b3JkPjxrZXl3b3JkPlVuaXRlZCBT
dGF0ZXMvZXBpZGVtaW9sb2d5PC9rZXl3b3JkPjxrZXl3b3JkPllvdW5nIEFkdWx0PC9rZXl3b3Jk
Pjwva2V5d29yZHM+PGRhdGVzPjx5ZWFyPjIwMjE8L3llYXI+PHB1Yi1kYXRlcz48ZGF0ZT5Ob3Y8
L2RhdGU+PC9wdWItZGF0ZXM+PC9kYXRlcz48aXNibj4wODg3LTY5MjQ8L2lzYm4+PGFjY2Vzc2lv
bi1udW0+MzM4NTAyOTk8L2FjY2Vzc2lvbi1udW0+PHVybHM+PC91cmxzPjxlbGVjdHJvbmljLXJl
c291cmNlLW51bT4xMC4xMDM4L3M0MTM3NS0wMjEtMDEyNDYtdzwvZWxlY3Ryb25pYy1yZXNvdXJj
ZS1udW0+PHJlbW90ZS1kYXRhYmFzZS1wcm92aWRlcj5OTE08L3JlbW90ZS1kYXRhYmFzZS1wcm92
aWRlcj48bGFuZ3VhZ2U+ZW5nPC9sYW5ndWFnZT48L3JlY29yZD48L0NpdGU+PC9FbmROb3RlPgB=
</w:fldData>
        </w:fldChar>
      </w:r>
      <w:r>
        <w:instrText xml:space="preserve"> ADDIN EN.CITE </w:instrText>
      </w:r>
      <w:r>
        <w:fldChar w:fldCharType="begin">
          <w:fldData xml:space="preserve">PEVuZE5vdGU+PENpdGU+PEF1dGhvcj5TaW5naGFsPC9BdXRob3I+PFllYXI+MjAyMTwvWWVhcj48
UmVjTnVtPjIyNTwvUmVjTnVtPjxEaXNwbGF5VGV4dD4yLiYjeDk7U2luZ2hhbCBELCBIYWhuIENO
LCBGZXVyc3RlaW4gUywgV2VlIExZQSwgTW9tYSBMLCBLdXR5bmEgTU0sIGV0IGFsLiBUYXJnZXRl
ZCBnZW5lIHBhbmVscyBpZGVudGlmeSBhIGhpZ2ggZnJlcXVlbmN5IG9mIHBhdGhvZ2VuaWMgZ2Vy
bWxpbmUgdmFyaWFudHMgaW4gcGF0aWVudHMgZGlhZ25vc2VkIHdpdGggYSBoZW1hdG9sb2dpY2Fs
IG1hbGlnbmFuY3kgYW5kIGF0IGxlYXN0IG9uZSBvdGhlciBpbmRlcGVuZGVudCBjYW5jZXIuIExl
dWtlbWlhLiAyMDIxOzM1KDExKTozMjQ1LTU2LjwvRGlzcGxheVRleHQ+PHJlY29yZD48cmVjLW51
bWJlcj4yMjU8L3JlYy1udW1iZXI+PGZvcmVpZ24ta2V5cz48a2V5IGFwcD0iRU4iIGRiLWlkPSJl
NTl4MjVyenEweDlhOGVkcHY4dmY1ZDZhc3gwZGRwZXB2czAiIHRpbWVzdGFtcD0iMTY1NTcwNzg2
NSIgZ3VpZD0iODE5YTEzNDYtMWU4OS00MjNmLTlmY2QtN2RiOTlmNzQ1MGRlIj4yMjU8L2tleT48
L2ZvcmVpZ24ta2V5cz48cmVmLXR5cGUgbmFtZT0iSm91cm5hbCBBcnRpY2xlIj4xNzwvcmVmLXR5
cGU+PGNvbnRyaWJ1dG9ycz48YXV0aG9ycz48YXV0aG9yPlNpbmdoYWwsIEQuPC9hdXRob3I+PGF1
dGhvcj5IYWhuLCBDLiBOLjwvYXV0aG9yPjxhdXRob3I+RmV1cnN0ZWluLCBTLjwvYXV0aG9yPjxh
dXRob3I+V2VlLCBMLiBZLiBBLjwvYXV0aG9yPjxhdXRob3I+TW9tYSwgTC48L2F1dGhvcj48YXV0
aG9yPkt1dHluYSwgTS4gTS48L2F1dGhvcj48YXV0aG9yPkNoaGV0cmksIFIuPC9hdXRob3I+PGF1
dGhvcj5Fc2hyYWdoaSwgTC48L2F1dGhvcj48YXV0aG9yPlNjaHJlaWJlciwgQS4gVy48L2F1dGhv
cj48YXV0aG9yPkZlbmcsIEouPC9hdXRob3I+PGF1dGhvcj5XYW5nLCBQLiBQLjwvYXV0aG9yPjxh
dXRob3I+QmFiaWMsIE0uPC9hdXRob3I+PGF1dGhvcj5QYXJrZXIsIFcuIFQuPC9hdXRob3I+PGF1
dGhvcj5HYW8sIFMuPC9hdXRob3I+PGF1dGhvcj5Nb29yZSwgUy48L2F1dGhvcj48YXV0aG9yPkRh
cywgUy48L2F1dGhvcj48YXV0aG9yPlRob21hcywgRC48L2F1dGhvcj48YXV0aG9yPlBhdHRuYWlr
LCBTLjwvYXV0aG9yPjxhdXRob3I+QnJvd24sIEEuIEwuPC9hdXRob3I+PGF1dGhvcj5EJmFwb3M7
QW5kcmVhLCBSLiBKLjwvYXV0aG9yPjxhdXRob3I+UG9wbGF3c2tpLCBOLiBLLjwvYXV0aG9yPjxh
dXRob3I+VGhvbWFzLCBELjwvYXV0aG9yPjxhdXRob3I+U2NvdHQsIEguIFMuPC9hdXRob3I+PGF1
dGhvcj5Hb2RsZXksIEwuIEEuPC9hdXRob3I+PGF1dGhvcj5IaXdhc2UsIEQuIEsuPC9hdXRob3I+
PC9hdXRob3JzPjwvY29udHJpYnV0b3JzPjxhdXRoLWFkZHJlc3M+QWRlbGFpZGUgTWVkaWNhbCBT
Y2hvb2wsIFVuaXZlcnNpdHkgb2YgQWRlbGFpZGUsIEFkZWxhaWRlLCBTQSwgQXVzdHJhbGlhLiYj
eEQ7RGVwYXJ0bWVudCBvZiBIYWVtYXRvbG9neSwgUm95YWwgQWRlbGFpZGUgSG9zcGl0YWwsIENl
bnRyYWwgQWRlbGFpZGUgTG9jYWwgSGVhbHRoIE5ldHdvcmsgQWRlbGFpZGUsIEFkZWxhaWRlLCBT
QSwgQXVzdHJhbGlhLiYjeEQ7Q2FuY2VyIFRoZW1lLCBTb3V0aCBBdXN0cmFsaWFuIEhlYWx0aCBh
bmQgTWVkaWNhbCBSZXNlYXJjaCBJbnN0aXR1dGUsIEFkZWxhaWRlLCBTQSwgQXVzdHJhbGlhLiYj
eEQ7RGVwYXJ0bWVudCBvZiBHZW5ldGljcyBhbmQgTW9sZWN1bGFyIFBhdGhvbG9neSwgQ2VudHJl
IGZvciBDYW5jZXIgQmlvbG9neSwgU0EgUGF0aG9sb2d5LCBBZGVsYWlkZSwgU0EsIEF1c3RyYWxp
YS4mI3hEO0NsaW5pY2FsIGFuZCBIZWFsdGggU2NpZW5jZXMsIFVuaXZlcnNpdHkgb2YgU291dGgg
QXVzdHJhbGlhLCBBZGVsYWlkZSwgU0EsIEF1c3RyYWxpYS4mI3hEO1NlY3Rpb24gb2YgSGVtYXRv
bG9neS9PbmNvbG9neSwgRGVwYXJ0bWVudCBvZiBNZWRpY2luZSwgVGhlIFVuaXZlcnNpdHkgb2Yg
Q2hpY2FnbywgQ2hpY2FnbywgSUwsIFVTQS4mI3hEO0F1c3RyYWxpYW4gQ2FuY2VyIFJlc2VhcmNo
IEZvdW5kYXRpb24gQ2FuY2VyIEdlbm9taWNzIEZhY2lsaXR5LCBDZW50cmUgZm9yIENhbmNlciBC
aW9sb2d5LCBTQSBQYXRob2xvZ3ksIEFkZWxhaWRlLCBTQSwgQXVzdHJhbGlhLiYjeEQ7U2Nob29s
IG9mIE1vbGVjdWxhciBhbmQgQmlvbG9naWNhbCBTY2llbmNlcywgVW5pdmVyc2l0eSBvZiBBZGVs
YWlkZSwgQWRlbGFpZGUsIFNBLCBBdXN0cmFsaWEuJiN4RDtEZXBhcnRtZW50IG9mIEh1bWFuIEdl
bmV0aWNzLCBUaGUgVW5pdmVyc2l0eSBvZiBDaGljYWdvLCBDaGljYWdvLCBJTCwgVVNBLiYjeEQ7
VGhlIEtpbmdob3JuIENhbmNlciBDZW50cmUsIEdhcnZhbiBJbnN0aXR1dGUgb2YgTWVkaWNhbCBS
ZXNlYXJjaCwgRGFybGluZ2h1cnN0LCBOU1csIEF1c3RyYWxpYS4mI3hEO09NSUNPOiBBdXN0cmFs
aWFuIEdlbm9taWMgQ2FuY2VyIE1lZGljaW5lIENlbnRyZSwgRGFybGluZ2h1cnN0LCBOU1csIEF1
c3RyYWxpYS4mI3hEO1N0IFZpbmNlbnQmYXBvcztzIENsaW5pY2FsIFNjaG9vbCwgRmFjdWx0eSBv
ZiBNZWRpY2luZSwgVW5pdmVyc2l0eSBvZiBOZXcgU291dGggV2FsZXMsIERhcmxpbmdodXJzdCwg
TlNXLCBBdXN0cmFsaWEuJiN4RDtBZHVsdCBHZW5ldGljcyBVbml0LCBSb3lhbCBBZGVsYWlkZSBI
b3NwaXRhbCwgQ2VudHJhbCBBZGVsYWlkZSBMb2NhbCBIZWFsdGggTmV0d29yaywgQWRlbGFpZGUs
IFNBLCBBdXN0cmFsaWEuJiN4RDtTZWN0aW9uIG9mIEhlbWF0b2xvZ3kvT25jb2xvZ3ksIERlcGFy
dG1lbnQgb2YgTWVkaWNpbmUsIFRoZSBVbml2ZXJzaXR5IG9mIENoaWNhZ28sIENoaWNhZ28sIElM
LCBVU0EuIGxnb2RsZXlAbWVkaWNpbmUuYnNkLnVjaGljYWdvLmVkdS4mI3hEO0RlcGFydG1lbnQg
b2YgSHVtYW4gR2VuZXRpY3MsIFRoZSBVbml2ZXJzaXR5IG9mIENoaWNhZ28sIENoaWNhZ28sIElM
LCBVU0EuIGxnb2RsZXlAbWVkaWNpbmUuYnNkLnVjaGljYWdvLmVkdS4mI3hEO0FkZWxhaWRlIE1l
ZGljYWwgU2Nob29sLCBVbml2ZXJzaXR5IG9mIEFkZWxhaWRlLCBBZGVsYWlkZSwgU0EsIEF1c3Ry
YWxpYS4gZGV2ZW5kcmEuaGl3YXNlQHNhLmdvdi5hdS4mI3hEO0RlcGFydG1lbnQgb2YgSGFlbWF0
b2xvZ3ksIFJveWFsIEFkZWxhaWRlIEhvc3BpdGFsLCBDZW50cmFsIEFkZWxhaWRlIExvY2FsIEhl
YWx0aCBOZXR3b3JrIEFkZWxhaWRlLCBBZGVsYWlkZSwgU0EsIEF1c3RyYWxpYS4gZGV2ZW5kcmEu
aGl3YXNlQHNhLmdvdi5hdS4mI3hEO0NhbmNlciBUaGVtZSwgU291dGggQXVzdHJhbGlhbiBIZWFs
dGggYW5kIE1lZGljYWwgUmVzZWFyY2ggSW5zdGl0dXRlLCBBZGVsYWlkZSwgU0EsIEF1c3RyYWxp
YS4gZGV2ZW5kcmEuaGl3YXNlQHNhLmdvdi5hdS48L2F1dGgtYWRkcmVzcz48dGl0bGVzPjx0aXRs
ZT5UYXJnZXRlZCBnZW5lIHBhbmVscyBpZGVudGlmeSBhIGhpZ2ggZnJlcXVlbmN5IG9mIHBhdGhv
Z2VuaWMgZ2VybWxpbmUgdmFyaWFudHMgaW4gcGF0aWVudHMgZGlhZ25vc2VkIHdpdGggYSBoZW1h
dG9sb2dpY2FsIG1hbGlnbmFuY3kgYW5kIGF0IGxlYXN0IG9uZSBvdGhlciBpbmRlcGVuZGVudCBj
YW5jZXI8L3RpdGxlPjxzZWNvbmRhcnktdGl0bGU+TGV1a2VtaWE8L3NlY29uZGFyeS10aXRsZT48
L3RpdGxlcz48cGVyaW9kaWNhbD48ZnVsbC10aXRsZT5MZXVrZW1pYTwvZnVsbC10aXRsZT48L3Bl
cmlvZGljYWw+PHBhZ2VzPjMyNDUtMzI1NjwvcGFnZXM+PHZvbHVtZT4zNTwvdm9sdW1lPjxudW1i
ZXI+MTE8L251bWJlcj48ZWRpdGlvbj4yMDIxMDQxMzwvZWRpdGlvbj48a2V5d29yZHM+PGtleXdv
cmQ+QWRvbGVzY2VudDwva2V5d29yZD48a2V5d29yZD5BZHVsdDwva2V5d29yZD48a2V5d29yZD5B
Z2VkPC9rZXl3b3JkPjxrZXl3b3JkPkFnZWQsIDgwIGFuZCBvdmVyPC9rZXl3b3JkPjxrZXl3b3Jk
PkJSQ0ExIFByb3RlaW4vKmdlbmV0aWNzPC9rZXl3b3JkPjxrZXl3b3JkPkJSQ0EyIFByb3RlaW4v
KmdlbmV0aWNzPC9rZXl3b3JkPjxrZXl3b3JkPkJpb21hcmtlcnMsIFR1bW9yLypnZW5ldGljczwv
a2V5d29yZD48a2V5d29yZD5GZW1hbGU8L2tleXdvcmQ+PGtleXdvcmQ+Rm9sbG93LVVwIFN0dWRp
ZXM8L2tleXdvcmQ+PGtleXdvcmQ+R2VuZXRpYyBQcmVkaXNwb3NpdGlvbiB0byBEaXNlYXNlPC9r
ZXl3b3JkPjxrZXl3b3JkPipHZXJtLUxpbmUgTXV0YXRpb248L2tleXdvcmQ+PGtleXdvcmQ+SGVt
YXRvbG9naWMgTmVvcGxhc21zL2VwaWRlbWlvbG9neS9nZW5ldGljcy8qcGF0aG9sb2d5PC9rZXl3
b3JkPjxrZXl3b3JkPkh1bWFuczwva2V5d29yZD48a2V5d29yZD5NYWxlPC9rZXl3b3JkPjxrZXl3
b3JkPk1pZGRsZSBBZ2VkPC9rZXl3b3JkPjxrZXl3b3JkPk5lb3BsYXNtcy9lcGlkZW1pb2xvZ3kv
Z2VuZXRpY3MvKnBhdGhvbG9neTwva2V5d29yZD48a2V5d29yZD5Qcm9nbm9zaXM8L2tleXdvcmQ+
PGtleXdvcmQ+UmV0cm9zcGVjdGl2ZSBTdHVkaWVzPC9rZXl3b3JkPjxrZXl3b3JkPlR1bW9yIFN1
cHByZXNzb3IgUHJvdGVpbiBwNTMvKmdlbmV0aWNzPC9rZXl3b3JkPjxrZXl3b3JkPlVuaXRlZCBT
dGF0ZXMvZXBpZGVtaW9sb2d5PC9rZXl3b3JkPjxrZXl3b3JkPllvdW5nIEFkdWx0PC9rZXl3b3Jk
Pjwva2V5d29yZHM+PGRhdGVzPjx5ZWFyPjIwMjE8L3llYXI+PHB1Yi1kYXRlcz48ZGF0ZT5Ob3Y8
L2RhdGU+PC9wdWItZGF0ZXM+PC9kYXRlcz48aXNibj4wODg3LTY5MjQ8L2lzYm4+PGFjY2Vzc2lv
bi1udW0+MzM4NTAyOTk8L2FjY2Vzc2lvbi1udW0+PHVybHM+PC91cmxzPjxlbGVjdHJvbmljLXJl
c291cmNlLW51bT4xMC4xMDM4L3M0MTM3NS0wMjEtMDEyNDYtdzwvZWxlY3Ryb25pYy1yZXNvdXJj
ZS1udW0+PHJlbW90ZS1kYXRhYmFzZS1wcm92aWRlcj5OTE08L3JlbW90ZS1kYXRhYmFzZS1wcm92
aWRlcj48bGFuZ3VhZ2U+ZW5nPC9sYW5ndWFnZT48L3JlY29yZD48L0NpdGU+PC9FbmROb3RlPgB=
</w:fldData>
        </w:fldChar>
      </w:r>
      <w:r>
        <w:instrText xml:space="preserve"> ADDIN EN.CITE.DATA </w:instrText>
      </w:r>
      <w:r>
        <w:fldChar w:fldCharType="end"/>
      </w:r>
      <w:r>
        <w:fldChar w:fldCharType="separate"/>
      </w:r>
      <w:r>
        <w:rPr>
          <w:noProof/>
        </w:rPr>
        <w:t>2.</w:t>
      </w:r>
      <w:r>
        <w:rPr>
          <w:noProof/>
        </w:rPr>
        <w:tab/>
        <w:t>Singhal D, Hahn CN, Feurstein S, Wee LYA, Moma L, Kutyna MM, et al. Targeted gene panels identify a high frequency of pathogenic germline variants in patients diagnosed with a hematological malignancy and at least one other independent cancer. Leukemia. 2021;35(11):3245-56.</w:t>
      </w:r>
      <w:r>
        <w:fldChar w:fldCharType="end"/>
      </w:r>
    </w:p>
  </w:footnote>
  <w:footnote w:id="6">
    <w:p w14:paraId="4C2E5BEC" w14:textId="74FA6A82" w:rsidR="00DD5DE9" w:rsidRDefault="00DD5DE9">
      <w:pPr>
        <w:pStyle w:val="FootnoteText"/>
      </w:pPr>
      <w:r>
        <w:rPr>
          <w:rStyle w:val="FootnoteReference"/>
        </w:rPr>
        <w:footnoteRef/>
      </w:r>
      <w:r>
        <w:t xml:space="preserve"> </w:t>
      </w:r>
      <w:r w:rsidRPr="00DD5DE9">
        <w:t xml:space="preserve">  The applicant advised that experience at the Peter MacC</w:t>
      </w:r>
      <w:r w:rsidR="001D709B">
        <w:t>a</w:t>
      </w:r>
      <w:r w:rsidRPr="00DD5DE9">
        <w:t>llum</w:t>
      </w:r>
      <w:r w:rsidR="001D709B">
        <w:t xml:space="preserve"> Centre</w:t>
      </w:r>
      <w:r w:rsidRPr="00DD5DE9">
        <w:t xml:space="preserve"> has shown that mutations in </w:t>
      </w:r>
      <w:r w:rsidRPr="00B7318F">
        <w:rPr>
          <w:i/>
          <w:iCs/>
        </w:rPr>
        <w:t>DDX41</w:t>
      </w:r>
      <w:r w:rsidRPr="00DD5DE9">
        <w:t xml:space="preserve"> are more common than </w:t>
      </w:r>
      <w:r w:rsidRPr="00B7318F">
        <w:rPr>
          <w:i/>
          <w:iCs/>
        </w:rPr>
        <w:t>RUNX1</w:t>
      </w:r>
    </w:p>
  </w:footnote>
  <w:footnote w:id="7">
    <w:p w14:paraId="282A8DD9" w14:textId="77777777" w:rsidR="009E1F5B" w:rsidRDefault="009E1F5B" w:rsidP="00015CDE">
      <w:pPr>
        <w:pStyle w:val="FootnoteText"/>
      </w:pPr>
      <w:r>
        <w:rPr>
          <w:rStyle w:val="FootnoteReference"/>
        </w:rPr>
        <w:footnoteRef/>
      </w:r>
      <w:r>
        <w:t xml:space="preserve"> </w:t>
      </w:r>
      <w:r>
        <w:fldChar w:fldCharType="begin"/>
      </w:r>
      <w:r>
        <w:instrText xml:space="preserve"> ADDIN EN.CITE &lt;EndNote&gt;&lt;Cite&gt;&lt;Author&gt;Hahn&lt;/Author&gt;&lt;Year&gt;2019&lt;/Year&gt;&lt;RecNum&gt;227&lt;/RecNum&gt;&lt;DisplayText&gt;3.&amp;#x9;Hahn CN, Babic M, Brautigan PJ, Venugopal P, Phillips K, Dobbins J, et al. Australian Familial Haematological Cancer Study - Findings from 15 Years of Aggregated Clinical, Genomic and Transcriptomic Data. Blood. 2019;134:1439.&lt;/DisplayText&gt;&lt;record&gt;&lt;rec-number&gt;227&lt;/rec-number&gt;&lt;foreign-keys&gt;&lt;key app="EN" db-id="e59x25rzq0x9a8edpv8vf5d6asx0ddpepvs0" timestamp="1655763253" guid="d008045e-fd4f-4ec8-8d98-2d882b575001"&gt;227&lt;/key&gt;&lt;/foreign-keys&gt;&lt;ref-type name="Journal Article"&gt;17&lt;/ref-type&gt;&lt;contributors&gt;&lt;authors&gt;&lt;author&gt;Hahn, Christopher N.&lt;/author&gt;&lt;author&gt;Babic, Milena&lt;/author&gt;&lt;author&gt;Brautigan, Peter J.&lt;/author&gt;&lt;author&gt;Venugopal, Parvathy&lt;/author&gt;&lt;author&gt;Phillips, Kerry&lt;/author&gt;&lt;author&gt;Dobbins, Julia&lt;/author&gt;&lt;author&gt;Arts, Peer&lt;/author&gt;&lt;author&gt;Wee, Amilia&lt;/author&gt;&lt;author&gt;Singhal, Deepak&lt;/author&gt;&lt;author&gt;Hiwase, Devendra K.&lt;/author&gt;&lt;author&gt;Feng, Jinghua&lt;/author&gt;&lt;author&gt;Schreiber, Andreas W.&lt;/author&gt;&lt;author&gt;D&amp;apos;Andrea, Richard J.&lt;/author&gt;&lt;author&gt;Poplawski, Nicola&lt;/author&gt;&lt;author&gt;Brown, Anna L.&lt;/author&gt;&lt;author&gt;Scott, Hamish S.&lt;/author&gt;&lt;/authors&gt;&lt;/contributors&gt;&lt;titles&gt;&lt;title&gt;Australian Familial Haematological Cancer Study - Findings from 15 Years of Aggregated Clinical, Genomic and Transcriptomic Data&lt;/title&gt;&lt;secondary-title&gt;Blood&lt;/secondary-title&gt;&lt;/titles&gt;&lt;periodical&gt;&lt;full-title&gt;Blood&lt;/full-title&gt;&lt;/periodical&gt;&lt;pages&gt;1439&lt;/pages&gt;&lt;volume&gt;134&lt;/volume&gt;&lt;dates&gt;&lt;year&gt;2019&lt;/year&gt;&lt;pub-dates&gt;&lt;date&gt;2019/11/13/&lt;/date&gt;&lt;/pub-dates&gt;&lt;/dates&gt;&lt;isbn&gt;0006-4971&lt;/isbn&gt;&lt;urls&gt;&lt;related-urls&gt;&lt;url&gt;https://www.sciencedirect.com/science/article/pii/S0006497118593563&lt;/url&gt;&lt;/related-urls&gt;&lt;/urls&gt;&lt;electronic-resource-num&gt;https://doi.org/10.1182/blood-2019-131686&lt;/electronic-resource-num&gt;&lt;/record&gt;&lt;/Cite&gt;&lt;/EndNote&gt;</w:instrText>
      </w:r>
      <w:r>
        <w:fldChar w:fldCharType="separate"/>
      </w:r>
      <w:r>
        <w:rPr>
          <w:noProof/>
        </w:rPr>
        <w:t>3.</w:t>
      </w:r>
      <w:r>
        <w:rPr>
          <w:noProof/>
        </w:rPr>
        <w:tab/>
        <w:t>Hahn CN, Babic M, Brautigan PJ, Venugopal P, Phillips K, Dobbins J, et al. Australian Familial Haematological Cancer Study - Findings from 15 Years of Aggregated Clinical, Genomic and Transcriptomic Data. Blood. 2019;134:1439.</w:t>
      </w:r>
      <w:r>
        <w:fldChar w:fldCharType="end"/>
      </w:r>
    </w:p>
  </w:footnote>
  <w:footnote w:id="8">
    <w:p w14:paraId="039076B5" w14:textId="77777777" w:rsidR="009E1F5B" w:rsidRDefault="009E1F5B" w:rsidP="00015CDE">
      <w:pPr>
        <w:pStyle w:val="FootnoteText"/>
      </w:pPr>
      <w:r>
        <w:rPr>
          <w:rStyle w:val="FootnoteReference"/>
        </w:rPr>
        <w:footnoteRef/>
      </w:r>
      <w:r>
        <w:t xml:space="preserve"> </w:t>
      </w:r>
      <w:r>
        <w:fldChar w:fldCharType="begin"/>
      </w:r>
      <w:r>
        <w:instrText xml:space="preserve"> ADDIN EN.CITE &lt;EndNote&gt;&lt;Cite&gt;&lt;Author&gt;DeZern&lt;/Author&gt;&lt;Year&gt;2022&lt;/Year&gt;&lt;RecNum&gt;228&lt;/RecNum&gt;&lt;DisplayText&gt;4.&amp;#x9;DeZern AE, Dalton WB. How low risk are low risk myelodysplastic syndromes? Expert Review of Hematology. 2022;15(1):15-24.&lt;/DisplayText&gt;&lt;record&gt;&lt;rec-number&gt;228&lt;/rec-number&gt;&lt;foreign-keys&gt;&lt;key app="EN" db-id="e59x25rzq0x9a8edpv8vf5d6asx0ddpepvs0" timestamp="1655781968" guid="f5f4d78a-cf68-4101-8cca-21caf84dc84f"&gt;228&lt;/key&gt;&lt;/foreign-keys&gt;&lt;ref-type name="Journal Article"&gt;17&lt;/ref-type&gt;&lt;contributors&gt;&lt;authors&gt;&lt;author&gt;DeZern, Amy E.&lt;/author&gt;&lt;author&gt;Dalton, William Brian&lt;/author&gt;&lt;/authors&gt;&lt;/contributors&gt;&lt;titles&gt;&lt;title&gt;How low risk are low risk myelodysplastic syndromes?&lt;/title&gt;&lt;secondary-title&gt;Expert Review of Hematology&lt;/secondary-title&gt;&lt;/titles&gt;&lt;periodical&gt;&lt;full-title&gt;Expert Review of Hematology&lt;/full-title&gt;&lt;/periodical&gt;&lt;pages&gt;15-24&lt;/pages&gt;&lt;volume&gt;15&lt;/volume&gt;&lt;number&gt;1&lt;/number&gt;&lt;dates&gt;&lt;year&gt;2022&lt;/year&gt;&lt;pub-dates&gt;&lt;date&gt;2022/01/02&lt;/date&gt;&lt;/pub-dates&gt;&lt;/dates&gt;&lt;publisher&gt;Taylor &amp;amp; Francis&lt;/publisher&gt;&lt;isbn&gt;1747-4086&lt;/isbn&gt;&lt;urls&gt;&lt;related-urls&gt;&lt;url&gt;https://doi.org/10.1080/17474086.2022.2029698&lt;/url&gt;&lt;/related-urls&gt;&lt;/urls&gt;&lt;electronic-resource-num&gt;10.1080/17474086.2022.2029698&lt;/electronic-resource-num&gt;&lt;/record&gt;&lt;/Cite&gt;&lt;/EndNote&gt;</w:instrText>
      </w:r>
      <w:r>
        <w:fldChar w:fldCharType="separate"/>
      </w:r>
      <w:r>
        <w:rPr>
          <w:noProof/>
        </w:rPr>
        <w:t>4.</w:t>
      </w:r>
      <w:r>
        <w:rPr>
          <w:noProof/>
        </w:rPr>
        <w:tab/>
        <w:t>DeZern AE, Dalton WB. How low risk are low risk myelodysplastic syndromes? Expert Review of Hematology. 2022;15(1):15-24.</w:t>
      </w:r>
      <w:r>
        <w:fldChar w:fldCharType="end"/>
      </w:r>
    </w:p>
  </w:footnote>
  <w:footnote w:id="9">
    <w:p w14:paraId="7415719F" w14:textId="5EC024E6" w:rsidR="009E1F5B" w:rsidRDefault="009E1F5B">
      <w:pPr>
        <w:pStyle w:val="FootnoteText"/>
      </w:pPr>
      <w:r>
        <w:rPr>
          <w:rStyle w:val="FootnoteReference"/>
        </w:rPr>
        <w:footnoteRef/>
      </w:r>
      <w:r>
        <w:t xml:space="preserve"> </w:t>
      </w:r>
      <w:r>
        <w:fldChar w:fldCharType="begin">
          <w:fldData xml:space="preserve">PEVuZE5vdGU+PENpdGU+PEF1dGhvcj5TdWpvYmVydDwvQXV0aG9yPjxZZWFyPjIwMTk8L1llYXI+
PFJlY051bT40ODwvUmVjTnVtPjxEaXNwbGF5VGV4dD41LiYjeDk7U3Vqb2JlcnQgUCwgTGUgQnJp
cyBZLCBkZSBMZXZhbCBMLCBHcm9zIEEsIE1lcmxpbyBKUCwgUGFzdG9yZXQgQywgZXQgYWwuIFRo
ZSBOZWVkIGZvciBhIENvbnNlbnN1cyBOZXh0LWdlbmVyYXRpb24gU2VxdWVuY2luZyBQYW5lbCBm
b3IgTWF0dXJlIEx5bXBob2lkIE1hbGlnbmFuY2llcy4gSGVtYXNwaGVyZS4gMjAxOTszKDEpOmUx
NjkuPC9EaXNwbGF5VGV4dD48cmVjb3JkPjxyZWMtbnVtYmVyPjQ4PC9yZWMtbnVtYmVyPjxmb3Jl
aWduLWtleXM+PGtleSBhcHA9IkVOIiBkYi1pZD0iZTU5eDI1cnpxMHg5YThlZHB2OHZmNWQ2YXN4
MGRkcGVwdnMwIiB0aW1lc3RhbXA9IjE2NDk4MzEzNTUiIGd1aWQ9ImU2MzJhYThjLWZmNTgtNGQ5
NS1hZmRiLTQxY2VkYzhlNTJiYyI+NDg8L2tleT48L2ZvcmVpZ24ta2V5cz48cmVmLXR5cGUgbmFt
ZT0iSm91cm5hbCBBcnRpY2xlIj4xNzwvcmVmLXR5cGU+PGNvbnRyaWJ1dG9ycz48YXV0aG9ycz48
YXV0aG9yPlN1am9iZXJ0LCBQLjwvYXV0aG9yPjxhdXRob3I+TGUgQnJpcywgWS48L2F1dGhvcj48
YXV0aG9yPmRlIExldmFsLCBMLjwvYXV0aG9yPjxhdXRob3I+R3JvcywgQS48L2F1dGhvcj48YXV0
aG9yPk1lcmxpbywgSi4gUC48L2F1dGhvcj48YXV0aG9yPlBhc3RvcmV0LCBDLjwvYXV0aG9yPjxh
dXRob3I+SHVldCwgUy48L2F1dGhvcj48YXV0aG9yPlNhcmtvenksIEMuPC9hdXRob3I+PGF1dGhv
cj5EYXZpLCBGLjwvYXV0aG9yPjxhdXRob3I+Q2FsbGFuYW4sIE0uPC9hdXRob3I+PGF1dGhvcj5U
aGllYmxlbW9udCwgQy48L2F1dGhvcj48YXV0aG9yPlNpYm9uLCBELjwvYXV0aG9yPjxhdXRob3I+
QXNuYWZpLCBWLjwvYXV0aG9yPjxhdXRob3I+UHJldWRob21tZSwgQy48L2F1dGhvcj48YXV0aG9y
PkdhdWxhcmQsIFAuPC9hdXRob3I+PGF1dGhvcj5KYXJkaW4sIEYuPC9hdXRob3I+PGF1dGhvcj5T
YWxsZXMsIEcuPC9hdXRob3I+PGF1dGhvcj5NYWNpbnR5cmUsIEUuPC9hdXRob3I+PC9hdXRob3Jz
PjwvY29udHJpYnV0b3JzPjxhdXRoLWFkZHJlc3M+SG9zcGljZXMgQ2l2aWxzIGRlIEx5b24sIFNl
cnZpY2UgZCZhcG9zO0jDqW1hdG9sb2dpZSBCaW9sb2dpcXVlLCBQaWVycmUgQsOpbml0ZSwgRnJh
bmNlLiYjeEQ7SU5TRVJNMTA1MiwgQ05SUyA1Mjg2LCBVbml2ZXJzaXTDqSBDbGF1ZGUgQmVybmFy
ZCwgRmFjdWx0w6kgZGUgTcOpZGVjaW5lIEx5b24tU3VkIENoYXJsZXMgTcOpcmlldXgsIFVuaXZl
cnNpdMOpIGRlIEx5b24sIFBpZXJyZSBCw6luaXRlLCBGcmFuY2UuJiN4RDtTZXJ2aWNlIGQmYXBv
cztIw6ltYXRvbG9naWUgQmlvbG9naXF1ZSwgQ2VudHJlIEhvc3BpdGFsaWVyIFVuaXZlcnNpdGFp
cmUgZGUgTmFudGVzLCBGcmFuY2UuJiN4RDtDUkNJTkEsIElOU0VSTSwgQ05SUywgVW5pdmVyc2l0
w6kgZGUgTmFudGVzLCBVbml2ZXJzaXTDqSBkJmFwb3M7QW5nZXJzLCBOYW50ZXMsIEZyYW5jZS4m
I3hEO0luc3RpdHV0IGRlIFBhdGhvbG9naWUsIEjDtHBpdGFsIFVuaXZlcnNpdGFpcmUgZGUgTGF1
c2FubmUgKENIVVYpLCBMYXVzYW5uZSwgU3Vpc3NlLiYjeEQ7Q0hVIGRlIEJvcmRlYXV4IGV0IFVu
aXZlcnNpdMOpIGRlIEJvcmRlYXV4LCBJTlNFUk0gVSAxMDUzLCBCb3JkZWF1eCwgRnJhbmNlLiYj
eEQ7TGFib3JhdG9pcmUgZCZhcG9zO0jDqW1hdG9sb2dpZSwgUMO0bGUgZGUgQmlvbG9naWUsIENI
VSBSZW5uZXM7IElOU0VSTSwgVU1SIFUxMjM2LCBVbml2ZXJzaXTDqSBSZW5uZXMxLCBSZW5uZXMs
IEZyYW5jZS4mI3hEO1VuaXZlcnNpdMOpIGRlIEx5b24sIFVuaXZlcnNpdMOpIEx5b24gMSwgRmFj
dWx0w6kgZGUgUGhhcm1hY2llIFJvY2tlZmVsbGVyLCA2OTM3MyBMeW9uIENlZGV4LCBGcmFuY2Uu
JiN4RDtIb3NwaWNlcyBDaXZpbHMgZGUgTHlvbiwgU2VydmljZSBkJmFwb3M7SMOpbWF0b2xvZ2ll
IENsaW5pcXVlLCBQaWVycmUgQsOpbml0ZSwgRnJhbmNlLiYjeEQ7QVAtSFAsIEjDtHBpdGFsIFBp
dGnDqS1TYWxww6p0cmnDqHJlLCBTZXJ2aWNlIGQmYXBvcztIw6ltYXRvbG9naWUgQmlvbG9naXF1
ZSwgZXQgU29yYm9ubmUgVW5pdmVyc2l0w6ksIFVNUi1TIDExMzgsIFBhcmlzLCBGcmFuY2UuJiN4
RDtJTlNFUk0gMTIwOSwgQ05SUyBVTVIgNTMwOSwgVW5pdmVyc2l0ZSBHcmVub2JsZS1BbHBlcywg
SW5zdGl0dXQgUG91ciBsJmFwb3M7QXZhbmNlZSBkZXMgQmlvc2NpZW5jZXMsIEdyZW5vYmxlLCBG
cmFuY2UuJiN4RDtDZW50cmUgZCZhcG9zO0lubm92YXRpb24gZW4gR2VuZXRpcXVlIGV0IEVwaWdl
bmV0aXF1ZSBPbmNvLUhlbWF0b2xvZ2lxdWUsIENlbnRyZSBIb3NwaXRhbGllciBkZSBEaWpvbi1C
b3VyZ29nbmUsIERpam9uLCBGcmFuY2UuJiN4RDtBUC1IUCwgSMO0cGl0YWwgU2FpbnQtTG91aXMs
IEjDqW1hdG8tT25jb2xvZ2llLCBQYXJpcywgRnJhbmNlLiYjeEQ7RGlkZXJvdCBVbml2ZXJzaXTD
qSwgU29yYm9ubmUgUGFyaXMtQ2l0w6ksIFBhcmlzLCBGcmFuY2UuJiN4RDtEZXNjYXJ0ZXMgVW5p
dmVyc2l0w6ksIFBhcmlzLCBGcmFuY2UuJiN4RDtTZXJ2aWNlIGQmYXBvcztIw6ltYXRvbG9naWUg
QWR1bHRlcywgSMO0cGl0YWwgTmVja2VyLUVuZmFudHMgTWFsYWRlcywgQVAtSFAsIFVuaXZlcnNp
dMOpIFBhcmlzIERlc2NhcnRlcy1Tb3Jib25uZSBQYXJpcyBDaXTDqSwgSW5zdGl0dXQgSW1hZ2lu
ZSwgUGFyaXMsIEZyYW5jZS4mI3hEO0FQSFAgTmVja2VyIEVuZmFudHMgTWFsYWRlcywgVW5pdmVy
c2l0w6kgUGFyaXMgRGVzY2FydGVzLCBJbnN0aXR1dCBOZWNrZXItRW5mYW50cyBNYWxhZGVzIChJ
TkVNKSBldCBJTlNFUk0gVU1SIDExNTEsIFBhcmlzLCBGcmFuY2UuJiN4RDtVbml2ZXJzaXTDqSBM
aWxsZSwgSW5zZXJtLCBDSFUgTGlsbGUsIFVNUi1TIDExNzItSlBBcmMtQ2VudHJlIGRlIFJlY2hl
cmNoZSBKZWFuLVBpZXJyZSBBdWJlcnQgTmV1cm9zY2llbmNlcyBldCBDYW5jZXIsIExpbGxlLCBG
cmFuY2UuJiN4RDtBc3Npc3RhbmNlIFB1YmxpcXVlLUjDtHBpdGF1eCBkZSBQYXJpcywgQ0hVIEhl
bnJpIE1vbmRvciwgRMOpcGFydGVtZW50IGRlIFBhdGhvbG9naWUsIENyw6l0ZWlsLCBGcmFuY2Uu
JiN4RDtJTlNFUk0gVTk1NSDDiXF1aXBlIDksIFVuaXZlcnNpdMOpIFBhcmlzIEVzdCwgQ3LDqXRl
aWwsIEZyYW5jZS4mI3hEO0TDqXBhcnRlbWVudCBkJmFwb3M7SMOpbWF0b2xvZ2llIENsaW5pcXVl
IGV0IElOU0VSTSBVMTI0NSwgQ2VudHJlIEhlbnJpIEJlY3F1ZXJlbCwgUm91ZW4sIEZyYW5jZS48
L2F1dGgtYWRkcmVzcz48dGl0bGVzPjx0aXRsZT5UaGUgTmVlZCBmb3IgYSBDb25zZW5zdXMgTmV4
dC1nZW5lcmF0aW9uIFNlcXVlbmNpbmcgUGFuZWwgZm9yIE1hdHVyZSBMeW1waG9pZCBNYWxpZ25h
bmNpZXM8L3RpdGxlPjxzZWNvbmRhcnktdGl0bGU+SGVtYXNwaGVyZTwvc2Vjb25kYXJ5LXRpdGxl
PjwvdGl0bGVzPjxwZXJpb2RpY2FsPjxmdWxsLXRpdGxlPkhlbWFzcGhlcmU8L2Z1bGwtdGl0bGU+
PC9wZXJpb2RpY2FsPjxwYWdlcz5lMTY5PC9wYWdlcz48dm9sdW1lPjM8L3ZvbHVtZT48bnVtYmVy
PjE8L251bWJlcj48ZWRpdGlvbj4yMDE4MTIyNzwvZWRpdGlvbj48ZGF0ZXM+PHllYXI+MjAxOTwv
eWVhcj48cHViLWRhdGVzPjxkYXRlPkZlYjwvZGF0ZT48L3B1Yi1kYXRlcz48L2RhdGVzPjxpc2Ju
PjI1NzItOTI0MTwvaXNibj48YWNjZXNzaW9uLW51bT4zMTcyMzgwODwvYWNjZXNzaW9uLW51bT48
dXJscz48cmVsYXRlZC11cmxzPjx1cmw+aHR0cHM6Ly9oYWwtdW5pdi1yZW5uZXMxLmFyY2hpdmVz
LW91dmVydGVzLmZyL2hhbC0wMjM5NzM5OS9kb2N1bWVudDwvdXJsPjwvcmVsYXRlZC11cmxzPjwv
dXJscz48Y3VzdG9tMj5QTUM2NzQ1OTM2PC9jdXN0b20yPjxlbGVjdHJvbmljLXJlc291cmNlLW51
bT4xMC4xMDk3L2hzOS4wMDAwMDAwMDAwMDAwMTY5PC9lbGVjdHJvbmljLXJlc291cmNlLW51bT48
cmVtb3RlLWRhdGFiYXNlLXByb3ZpZGVyPk5MTTwvcmVtb3RlLWRhdGFiYXNlLXByb3ZpZGVyPjxs
YW5ndWFnZT5lbmc8L2xhbmd1YWdlPjwvcmVjb3JkPjwvQ2l0ZT48L0VuZE5vdGU+AG==
</w:fldData>
        </w:fldChar>
      </w:r>
      <w:r>
        <w:instrText xml:space="preserve"> ADDIN EN.CITE </w:instrText>
      </w:r>
      <w:r>
        <w:fldChar w:fldCharType="begin">
          <w:fldData xml:space="preserve">PEVuZE5vdGU+PENpdGU+PEF1dGhvcj5TdWpvYmVydDwvQXV0aG9yPjxZZWFyPjIwMTk8L1llYXI+
PFJlY051bT40ODwvUmVjTnVtPjxEaXNwbGF5VGV4dD41LiYjeDk7U3Vqb2JlcnQgUCwgTGUgQnJp
cyBZLCBkZSBMZXZhbCBMLCBHcm9zIEEsIE1lcmxpbyBKUCwgUGFzdG9yZXQgQywgZXQgYWwuIFRo
ZSBOZWVkIGZvciBhIENvbnNlbnN1cyBOZXh0LWdlbmVyYXRpb24gU2VxdWVuY2luZyBQYW5lbCBm
b3IgTWF0dXJlIEx5bXBob2lkIE1hbGlnbmFuY2llcy4gSGVtYXNwaGVyZS4gMjAxOTszKDEpOmUx
NjkuPC9EaXNwbGF5VGV4dD48cmVjb3JkPjxyZWMtbnVtYmVyPjQ4PC9yZWMtbnVtYmVyPjxmb3Jl
aWduLWtleXM+PGtleSBhcHA9IkVOIiBkYi1pZD0iZTU5eDI1cnpxMHg5YThlZHB2OHZmNWQ2YXN4
MGRkcGVwdnMwIiB0aW1lc3RhbXA9IjE2NDk4MzEzNTUiIGd1aWQ9ImU2MzJhYThjLWZmNTgtNGQ5
NS1hZmRiLTQxY2VkYzhlNTJiYyI+NDg8L2tleT48L2ZvcmVpZ24ta2V5cz48cmVmLXR5cGUgbmFt
ZT0iSm91cm5hbCBBcnRpY2xlIj4xNzwvcmVmLXR5cGU+PGNvbnRyaWJ1dG9ycz48YXV0aG9ycz48
YXV0aG9yPlN1am9iZXJ0LCBQLjwvYXV0aG9yPjxhdXRob3I+TGUgQnJpcywgWS48L2F1dGhvcj48
YXV0aG9yPmRlIExldmFsLCBMLjwvYXV0aG9yPjxhdXRob3I+R3JvcywgQS48L2F1dGhvcj48YXV0
aG9yPk1lcmxpbywgSi4gUC48L2F1dGhvcj48YXV0aG9yPlBhc3RvcmV0LCBDLjwvYXV0aG9yPjxh
dXRob3I+SHVldCwgUy48L2F1dGhvcj48YXV0aG9yPlNhcmtvenksIEMuPC9hdXRob3I+PGF1dGhv
cj5EYXZpLCBGLjwvYXV0aG9yPjxhdXRob3I+Q2FsbGFuYW4sIE0uPC9hdXRob3I+PGF1dGhvcj5U
aGllYmxlbW9udCwgQy48L2F1dGhvcj48YXV0aG9yPlNpYm9uLCBELjwvYXV0aG9yPjxhdXRob3I+
QXNuYWZpLCBWLjwvYXV0aG9yPjxhdXRob3I+UHJldWRob21tZSwgQy48L2F1dGhvcj48YXV0aG9y
PkdhdWxhcmQsIFAuPC9hdXRob3I+PGF1dGhvcj5KYXJkaW4sIEYuPC9hdXRob3I+PGF1dGhvcj5T
YWxsZXMsIEcuPC9hdXRob3I+PGF1dGhvcj5NYWNpbnR5cmUsIEUuPC9hdXRob3I+PC9hdXRob3Jz
PjwvY29udHJpYnV0b3JzPjxhdXRoLWFkZHJlc3M+SG9zcGljZXMgQ2l2aWxzIGRlIEx5b24sIFNl
cnZpY2UgZCZhcG9zO0jDqW1hdG9sb2dpZSBCaW9sb2dpcXVlLCBQaWVycmUgQsOpbml0ZSwgRnJh
bmNlLiYjeEQ7SU5TRVJNMTA1MiwgQ05SUyA1Mjg2LCBVbml2ZXJzaXTDqSBDbGF1ZGUgQmVybmFy
ZCwgRmFjdWx0w6kgZGUgTcOpZGVjaW5lIEx5b24tU3VkIENoYXJsZXMgTcOpcmlldXgsIFVuaXZl
cnNpdMOpIGRlIEx5b24sIFBpZXJyZSBCw6luaXRlLCBGcmFuY2UuJiN4RDtTZXJ2aWNlIGQmYXBv
cztIw6ltYXRvbG9naWUgQmlvbG9naXF1ZSwgQ2VudHJlIEhvc3BpdGFsaWVyIFVuaXZlcnNpdGFp
cmUgZGUgTmFudGVzLCBGcmFuY2UuJiN4RDtDUkNJTkEsIElOU0VSTSwgQ05SUywgVW5pdmVyc2l0
w6kgZGUgTmFudGVzLCBVbml2ZXJzaXTDqSBkJmFwb3M7QW5nZXJzLCBOYW50ZXMsIEZyYW5jZS4m
I3hEO0luc3RpdHV0IGRlIFBhdGhvbG9naWUsIEjDtHBpdGFsIFVuaXZlcnNpdGFpcmUgZGUgTGF1
c2FubmUgKENIVVYpLCBMYXVzYW5uZSwgU3Vpc3NlLiYjeEQ7Q0hVIGRlIEJvcmRlYXV4IGV0IFVu
aXZlcnNpdMOpIGRlIEJvcmRlYXV4LCBJTlNFUk0gVSAxMDUzLCBCb3JkZWF1eCwgRnJhbmNlLiYj
eEQ7TGFib3JhdG9pcmUgZCZhcG9zO0jDqW1hdG9sb2dpZSwgUMO0bGUgZGUgQmlvbG9naWUsIENI
VSBSZW5uZXM7IElOU0VSTSwgVU1SIFUxMjM2LCBVbml2ZXJzaXTDqSBSZW5uZXMxLCBSZW5uZXMs
IEZyYW5jZS4mI3hEO1VuaXZlcnNpdMOpIGRlIEx5b24sIFVuaXZlcnNpdMOpIEx5b24gMSwgRmFj
dWx0w6kgZGUgUGhhcm1hY2llIFJvY2tlZmVsbGVyLCA2OTM3MyBMeW9uIENlZGV4LCBGcmFuY2Uu
JiN4RDtIb3NwaWNlcyBDaXZpbHMgZGUgTHlvbiwgU2VydmljZSBkJmFwb3M7SMOpbWF0b2xvZ2ll
IENsaW5pcXVlLCBQaWVycmUgQsOpbml0ZSwgRnJhbmNlLiYjeEQ7QVAtSFAsIEjDtHBpdGFsIFBp
dGnDqS1TYWxww6p0cmnDqHJlLCBTZXJ2aWNlIGQmYXBvcztIw6ltYXRvbG9naWUgQmlvbG9naXF1
ZSwgZXQgU29yYm9ubmUgVW5pdmVyc2l0w6ksIFVNUi1TIDExMzgsIFBhcmlzLCBGcmFuY2UuJiN4
RDtJTlNFUk0gMTIwOSwgQ05SUyBVTVIgNTMwOSwgVW5pdmVyc2l0ZSBHcmVub2JsZS1BbHBlcywg
SW5zdGl0dXQgUG91ciBsJmFwb3M7QXZhbmNlZSBkZXMgQmlvc2NpZW5jZXMsIEdyZW5vYmxlLCBG
cmFuY2UuJiN4RDtDZW50cmUgZCZhcG9zO0lubm92YXRpb24gZW4gR2VuZXRpcXVlIGV0IEVwaWdl
bmV0aXF1ZSBPbmNvLUhlbWF0b2xvZ2lxdWUsIENlbnRyZSBIb3NwaXRhbGllciBkZSBEaWpvbi1C
b3VyZ29nbmUsIERpam9uLCBGcmFuY2UuJiN4RDtBUC1IUCwgSMO0cGl0YWwgU2FpbnQtTG91aXMs
IEjDqW1hdG8tT25jb2xvZ2llLCBQYXJpcywgRnJhbmNlLiYjeEQ7RGlkZXJvdCBVbml2ZXJzaXTD
qSwgU29yYm9ubmUgUGFyaXMtQ2l0w6ksIFBhcmlzLCBGcmFuY2UuJiN4RDtEZXNjYXJ0ZXMgVW5p
dmVyc2l0w6ksIFBhcmlzLCBGcmFuY2UuJiN4RDtTZXJ2aWNlIGQmYXBvcztIw6ltYXRvbG9naWUg
QWR1bHRlcywgSMO0cGl0YWwgTmVja2VyLUVuZmFudHMgTWFsYWRlcywgQVAtSFAsIFVuaXZlcnNp
dMOpIFBhcmlzIERlc2NhcnRlcy1Tb3Jib25uZSBQYXJpcyBDaXTDqSwgSW5zdGl0dXQgSW1hZ2lu
ZSwgUGFyaXMsIEZyYW5jZS4mI3hEO0FQSFAgTmVja2VyIEVuZmFudHMgTWFsYWRlcywgVW5pdmVy
c2l0w6kgUGFyaXMgRGVzY2FydGVzLCBJbnN0aXR1dCBOZWNrZXItRW5mYW50cyBNYWxhZGVzIChJ
TkVNKSBldCBJTlNFUk0gVU1SIDExNTEsIFBhcmlzLCBGcmFuY2UuJiN4RDtVbml2ZXJzaXTDqSBM
aWxsZSwgSW5zZXJtLCBDSFUgTGlsbGUsIFVNUi1TIDExNzItSlBBcmMtQ2VudHJlIGRlIFJlY2hl
cmNoZSBKZWFuLVBpZXJyZSBBdWJlcnQgTmV1cm9zY2llbmNlcyBldCBDYW5jZXIsIExpbGxlLCBG
cmFuY2UuJiN4RDtBc3Npc3RhbmNlIFB1YmxpcXVlLUjDtHBpdGF1eCBkZSBQYXJpcywgQ0hVIEhl
bnJpIE1vbmRvciwgRMOpcGFydGVtZW50IGRlIFBhdGhvbG9naWUsIENyw6l0ZWlsLCBGcmFuY2Uu
JiN4RDtJTlNFUk0gVTk1NSDDiXF1aXBlIDksIFVuaXZlcnNpdMOpIFBhcmlzIEVzdCwgQ3LDqXRl
aWwsIEZyYW5jZS4mI3hEO0TDqXBhcnRlbWVudCBkJmFwb3M7SMOpbWF0b2xvZ2llIENsaW5pcXVl
IGV0IElOU0VSTSBVMTI0NSwgQ2VudHJlIEhlbnJpIEJlY3F1ZXJlbCwgUm91ZW4sIEZyYW5jZS48
L2F1dGgtYWRkcmVzcz48dGl0bGVzPjx0aXRsZT5UaGUgTmVlZCBmb3IgYSBDb25zZW5zdXMgTmV4
dC1nZW5lcmF0aW9uIFNlcXVlbmNpbmcgUGFuZWwgZm9yIE1hdHVyZSBMeW1waG9pZCBNYWxpZ25h
bmNpZXM8L3RpdGxlPjxzZWNvbmRhcnktdGl0bGU+SGVtYXNwaGVyZTwvc2Vjb25kYXJ5LXRpdGxl
PjwvdGl0bGVzPjxwZXJpb2RpY2FsPjxmdWxsLXRpdGxlPkhlbWFzcGhlcmU8L2Z1bGwtdGl0bGU+
PC9wZXJpb2RpY2FsPjxwYWdlcz5lMTY5PC9wYWdlcz48dm9sdW1lPjM8L3ZvbHVtZT48bnVtYmVy
PjE8L251bWJlcj48ZWRpdGlvbj4yMDE4MTIyNzwvZWRpdGlvbj48ZGF0ZXM+PHllYXI+MjAxOTwv
eWVhcj48cHViLWRhdGVzPjxkYXRlPkZlYjwvZGF0ZT48L3B1Yi1kYXRlcz48L2RhdGVzPjxpc2Ju
PjI1NzItOTI0MTwvaXNibj48YWNjZXNzaW9uLW51bT4zMTcyMzgwODwvYWNjZXNzaW9uLW51bT48
dXJscz48cmVsYXRlZC11cmxzPjx1cmw+aHR0cHM6Ly9oYWwtdW5pdi1yZW5uZXMxLmFyY2hpdmVz
LW91dmVydGVzLmZyL2hhbC0wMjM5NzM5OS9kb2N1bWVudDwvdXJsPjwvcmVsYXRlZC11cmxzPjwv
dXJscz48Y3VzdG9tMj5QTUM2NzQ1OTM2PC9jdXN0b20yPjxlbGVjdHJvbmljLXJlc291cmNlLW51
bT4xMC4xMDk3L2hzOS4wMDAwMDAwMDAwMDAwMTY5PC9lbGVjdHJvbmljLXJlc291cmNlLW51bT48
cmVtb3RlLWRhdGFiYXNlLXByb3ZpZGVyPk5MTTwvcmVtb3RlLWRhdGFiYXNlLXByb3ZpZGVyPjxs
YW5ndWFnZT5lbmc8L2xhbmd1YWdlPjwvcmVjb3JkPjwvQ2l0ZT48L0VuZE5vdGU+AG==
</w:fldData>
        </w:fldChar>
      </w:r>
      <w:r>
        <w:instrText xml:space="preserve"> ADDIN EN.CITE.DATA </w:instrText>
      </w:r>
      <w:r>
        <w:fldChar w:fldCharType="end"/>
      </w:r>
      <w:r>
        <w:fldChar w:fldCharType="separate"/>
      </w:r>
      <w:r>
        <w:rPr>
          <w:noProof/>
        </w:rPr>
        <w:t>5.</w:t>
      </w:r>
      <w:r>
        <w:rPr>
          <w:noProof/>
        </w:rPr>
        <w:tab/>
      </w:r>
      <w:bookmarkStart w:id="13" w:name="_Hlk127448622"/>
      <w:r>
        <w:rPr>
          <w:noProof/>
        </w:rPr>
        <w:t>Sujobert P, Le Bris Y, de Leval L, Gros A, Merlio JP, Pastoret C, et al. The Need for a Consensus Next-generation Sequencing Panel for Mature Lymphoid Malignancies. Hemasphere. 2019;3(1):e169.</w:t>
      </w:r>
      <w:bookmarkEnd w:id="13"/>
      <w:r>
        <w:fldChar w:fldCharType="end"/>
      </w:r>
    </w:p>
  </w:footnote>
  <w:footnote w:id="10">
    <w:p w14:paraId="1EBBFDC4" w14:textId="6156F98A" w:rsidR="009E1F5B" w:rsidRDefault="009E1F5B">
      <w:pPr>
        <w:pStyle w:val="FootnoteText"/>
      </w:pPr>
      <w:r>
        <w:rPr>
          <w:rStyle w:val="FootnoteReference"/>
        </w:rPr>
        <w:footnoteRef/>
      </w:r>
      <w:r>
        <w:t xml:space="preserve"> </w:t>
      </w:r>
      <w:r>
        <w:fldChar w:fldCharType="begin">
          <w:fldData xml:space="preserve">PEVuZE5vdGU+PENpdGU+PEF1dGhvcj5Cb21taWVyPC9BdXRob3I+PFllYXI+MjAyMTwvWWVhcj48
UmVjTnVtPjUyPC9SZWNOdW0+PERpc3BsYXlUZXh0PjYuJiN4OTtCb21taWVyIEMsIE1hdWR1aXQg
QywgRm9udGFpbmUgSiwgQm91cmJvbiBFLCBTdWpvYmVydCBQLCBIdWV0IFMsIGV0IGFsLiBSZWFs
LWxpZmUgdGFyZ2V0ZWQgbmV4dC1nZW5lcmF0aW9uIHNlcXVlbmNpbmcgZm9yIGx5bXBob21hIGRp
YWdub3NpcyBvdmVyIDHCoHllYXIgZnJvbSB0aGUgRnJlbmNoIEx5bXBob21hIE5ldHdvcmsuIEJy
IEogSGFlbWF0b2wuIDIwMjE7MTkzKDYpOjExMTAtMjIuPC9EaXNwbGF5VGV4dD48cmVjb3JkPjxy
ZWMtbnVtYmVyPjUyPC9yZWMtbnVtYmVyPjxmb3JlaWduLWtleXM+PGtleSBhcHA9IkVOIiBkYi1p
ZD0iZTU5eDI1cnpxMHg5YThlZHB2OHZmNWQ2YXN4MGRkcGVwdnMwIiB0aW1lc3RhbXA9IjE2NDk4
MzQ5ODgiIGd1aWQ9IjQzZjdhNzE0LWZkMzEtNDMyNC05MjVmLWNhODlmZjQxNWZlMyI+NTI8L2tl
eT48L2ZvcmVpZ24ta2V5cz48cmVmLXR5cGUgbmFtZT0iSm91cm5hbCBBcnRpY2xlIj4xNzwvcmVm
LXR5cGU+PGNvbnRyaWJ1dG9ycz48YXV0aG9ycz48YXV0aG9yPkJvbW1pZXIsIEMuPC9hdXRob3I+
PGF1dGhvcj5NYXVkdWl0LCBDLjwvYXV0aG9yPjxhdXRob3I+Rm9udGFpbmUsIEouPC9hdXRob3I+
PGF1dGhvcj5Cb3VyYm9uLCBFLjwvYXV0aG9yPjxhdXRob3I+U3Vqb2JlcnQsIFAuPC9hdXRob3I+
PGF1dGhvcj5IdWV0LCBTLjwvYXV0aG9yPjxhdXRob3I+QmFzZWdnaW8sIEwuPC9hdXRob3I+PGF1
dGhvcj5IYXlldHRlLCBTLjwvYXV0aG9yPjxhdXRob3I+TGF1cmVudCwgQy48L2F1dGhvcj48YXV0
aG9yPkJhY2h5LCBFLjwvYXV0aG9yPjxhdXRob3I+R2hlc3F1acOocmVzLCBILjwvYXV0aG9yPjxh
dXRob3I+VGhpZWJsZW1vbnQsIEMuPC9hdXRob3I+PGF1dGhvcj5TYWxsZXMsIEcuPC9hdXRob3I+
PGF1dGhvcj5UcmF2ZXJzZS1HbGVoZW4sIEEuPC9hdXRob3I+PC9hdXRob3JzPjwvY29udHJpYnV0
b3JzPjxhdXRoLWFkZHJlc3M+UGF0aG9sb2d5IERlcGFydG1lbnQsIEhvc3BpY2VzIENpdmlscyBk
ZSBMeW9uLCBDZW50cmUgSG9zcGl0YWxpZXIgTHlvbi1TdWQsIFBpZXJyZS1Cw6luaXRlLCBGcmFu
Y2UuJiN4RDtIYWVtYXRvLW9uY29sb2d5IERlcGFydG1lbnQsIEFzc2lzdGFuY2UgUHVibGlxdWUg
LSBIw7RwaXRhdXggZGUgUGFyaXMsIEjDtHBpdGFsIFNhaW50IExvdWlzLCBQYXJpcywgRnJhbmNl
LiYjeEQ7VW5pdmVyc2l0w6kgZGUgUGFyaXMsIFVuaXZlcnNpdMOpIFBhcmlzIERlc2NhcnRlcywg
UGFyaXMsIEZyYW5jZS4mI3hEO1VuaXZlcnNpdMOpIENsYXVkZSBCZXJuYXJkIEx5b24gMSwgT3Vs
bGlucywgRnJhbmNlLiYjeEQ7SW5zZXJtIFUxMDY1LCBDM00tQ29udHJvbCBvZiBHZW5lIEV4cHJl
c3Npb24sIE5pY2UsIEZyYW5jZS4mI3hEO0hvc3BpY2VzIENpdmlscyBkZSBMeW9uLCBIw7RwaXRh
bCBMeW9uIFN1ZCwgU2VydmljZSBkJmFwb3M7SMOpbWF0b2xvZ2llIEJpb2xvZ2lxdWUsIFBpZXJy
ZS1Cw6luaXRlLCBGcmFuY2UuJiN4RDtQYXRob2xvZ3kgRGVwYXJ0bWVudCwgSW5zdGl0dXQgVW5p
dmVyc2l0YWlyZSBkdSBDYW5jZXItT25jb3DDtGxlLCBDZW50cmUgSG9zcGl0YWxpZXIgZGUgVG91
bG91c2UsIFRvdWxvdXNlLCBGcmFuY2UuJiN4RDtIYWVtYXRvbG9neSBEZXBhcnRtZW50LCBIb3Nw
aWNlcyBDaXZpbHMgZGUgTHlvbiwgQ0hVIEx5b24tU3VkLCBQaWVycmUtQsOpbml0ZSwgRnJhbmNl
LjwvYXV0aC1hZGRyZXNzPjx0aXRsZXM+PHRpdGxlPlJlYWwtbGlmZSB0YXJnZXRlZCBuZXh0LWdl
bmVyYXRpb24gc2VxdWVuY2luZyBmb3IgbHltcGhvbWEgZGlhZ25vc2lzIG92ZXIgMcKgeWVhciBm
cm9tIHRoZSBGcmVuY2ggTHltcGhvbWEgTmV0d29yazwvdGl0bGU+PHNlY29uZGFyeS10aXRsZT5C
ciBKIEhhZW1hdG9sPC9zZWNvbmRhcnktdGl0bGU+PC90aXRsZXM+PHBlcmlvZGljYWw+PGZ1bGwt
dGl0bGU+QnIgSiBIYWVtYXRvbDwvZnVsbC10aXRsZT48L3BlcmlvZGljYWw+PHBhZ2VzPjExMTAt
MTEyMjwvcGFnZXM+PHZvbHVtZT4xOTM8L3ZvbHVtZT48bnVtYmVyPjY8L251bWJlcj48ZWRpdGlv
bj4yMDIxMDMyNTwvZWRpdGlvbj48a2V5d29yZHM+PGtleXdvcmQ+QWdlZDwva2V5d29yZD48a2V5
d29yZD5GZW1hbGU8L2tleXdvcmQ+PGtleXdvcmQ+RnJhbmNlPC9rZXl3b3JkPjxrZXl3b3JkPipI
aWdoLVRocm91Z2hwdXQgTnVjbGVvdGlkZSBTZXF1ZW5jaW5nPC9rZXl3b3JkPjxrZXl3b3JkPkh1
bWFuczwva2V5d29yZD48a2V5d29yZD4qTHltcGhvbWEvZGlhZ25vc2lzL2dlbmV0aWNzPC9rZXl3
b3JkPjxrZXl3b3JkPk1hbGU8L2tleXdvcmQ+PGtleXdvcmQ+TWlkZGxlIEFnZWQ8L2tleXdvcmQ+
PGtleXdvcmQ+KlJlZ2lzdHJpZXM8L2tleXdvcmQ+PGtleXdvcmQ+UmV0cm9zcGVjdGl2ZSBTdHVk
aWVzPC9rZXl3b3JkPjxrZXl3b3JkPipkaWFnbm9zaXM8L2tleXdvcmQ+PGtleXdvcmQ+Kmx5bXBo
b21hPC9rZXl3b3JkPjxrZXl3b3JkPiptb2xlY3VsYXIgYmlvbG9neTwva2V5d29yZD48a2V5d29y
ZD4qbmV4dC1nZW5lcmF0aW9uIHNlcXVlbmNpbmc8L2tleXdvcmQ+PGtleXdvcmQ+KnBhdGhvbG9n
eTwva2V5d29yZD48L2tleXdvcmRzPjxkYXRlcz48eWVhcj4yMDIxPC95ZWFyPjxwdWItZGF0ZXM+
PGRhdGU+SnVuPC9kYXRlPjwvcHViLWRhdGVzPjwvZGF0ZXM+PGlzYm4+MDAwNy0xMDQ4PC9pc2Ju
PjxhY2Nlc3Npb24tbnVtPjMzNzY0NTA3PC9hY2Nlc3Npb24tbnVtPjx1cmxzPjxyZWxhdGVkLXVy
bHM+PHVybD5odHRwczovL29ubGluZWxpYnJhcnkud2lsZXkuY29tL2RvaS8xMC4xMTExL2JqaC4x
NzM5NTwvdXJsPjx1cmw+aHR0cHM6Ly9vbmxpbmVsaWJyYXJ5LndpbGV5LmNvbS9kb2kvcGRmZGly
ZWN0LzEwLjExMTEvYmpoLjE3Mzk1P2Rvd25sb2FkPXRydWU8L3VybD48L3JlbGF0ZWQtdXJscz48
L3VybHM+PGVsZWN0cm9uaWMtcmVzb3VyY2UtbnVtPjEwLjExMTEvYmpoLjE3Mzk1PC9lbGVjdHJv
bmljLXJlc291cmNlLW51bT48cmVtb3RlLWRhdGFiYXNlLXByb3ZpZGVyPk5MTTwvcmVtb3RlLWRh
dGFiYXNlLXByb3ZpZGVyPjxsYW5ndWFnZT5lbmc8L2xhbmd1YWdlPjwvcmVjb3JkPjwvQ2l0ZT48
L0VuZE5vdGU+
</w:fldData>
        </w:fldChar>
      </w:r>
      <w:r>
        <w:instrText xml:space="preserve"> ADDIN EN.CITE </w:instrText>
      </w:r>
      <w:r>
        <w:fldChar w:fldCharType="begin">
          <w:fldData xml:space="preserve">PEVuZE5vdGU+PENpdGU+PEF1dGhvcj5Cb21taWVyPC9BdXRob3I+PFllYXI+MjAyMTwvWWVhcj48
UmVjTnVtPjUyPC9SZWNOdW0+PERpc3BsYXlUZXh0PjYuJiN4OTtCb21taWVyIEMsIE1hdWR1aXQg
QywgRm9udGFpbmUgSiwgQm91cmJvbiBFLCBTdWpvYmVydCBQLCBIdWV0IFMsIGV0IGFsLiBSZWFs
LWxpZmUgdGFyZ2V0ZWQgbmV4dC1nZW5lcmF0aW9uIHNlcXVlbmNpbmcgZm9yIGx5bXBob21hIGRp
YWdub3NpcyBvdmVyIDHCoHllYXIgZnJvbSB0aGUgRnJlbmNoIEx5bXBob21hIE5ldHdvcmsuIEJy
IEogSGFlbWF0b2wuIDIwMjE7MTkzKDYpOjExMTAtMjIuPC9EaXNwbGF5VGV4dD48cmVjb3JkPjxy
ZWMtbnVtYmVyPjUyPC9yZWMtbnVtYmVyPjxmb3JlaWduLWtleXM+PGtleSBhcHA9IkVOIiBkYi1p
ZD0iZTU5eDI1cnpxMHg5YThlZHB2OHZmNWQ2YXN4MGRkcGVwdnMwIiB0aW1lc3RhbXA9IjE2NDk4
MzQ5ODgiIGd1aWQ9IjQzZjdhNzE0LWZkMzEtNDMyNC05MjVmLWNhODlmZjQxNWZlMyI+NTI8L2tl
eT48L2ZvcmVpZ24ta2V5cz48cmVmLXR5cGUgbmFtZT0iSm91cm5hbCBBcnRpY2xlIj4xNzwvcmVm
LXR5cGU+PGNvbnRyaWJ1dG9ycz48YXV0aG9ycz48YXV0aG9yPkJvbW1pZXIsIEMuPC9hdXRob3I+
PGF1dGhvcj5NYXVkdWl0LCBDLjwvYXV0aG9yPjxhdXRob3I+Rm9udGFpbmUsIEouPC9hdXRob3I+
PGF1dGhvcj5Cb3VyYm9uLCBFLjwvYXV0aG9yPjxhdXRob3I+U3Vqb2JlcnQsIFAuPC9hdXRob3I+
PGF1dGhvcj5IdWV0LCBTLjwvYXV0aG9yPjxhdXRob3I+QmFzZWdnaW8sIEwuPC9hdXRob3I+PGF1
dGhvcj5IYXlldHRlLCBTLjwvYXV0aG9yPjxhdXRob3I+TGF1cmVudCwgQy48L2F1dGhvcj48YXV0
aG9yPkJhY2h5LCBFLjwvYXV0aG9yPjxhdXRob3I+R2hlc3F1acOocmVzLCBILjwvYXV0aG9yPjxh
dXRob3I+VGhpZWJsZW1vbnQsIEMuPC9hdXRob3I+PGF1dGhvcj5TYWxsZXMsIEcuPC9hdXRob3I+
PGF1dGhvcj5UcmF2ZXJzZS1HbGVoZW4sIEEuPC9hdXRob3I+PC9hdXRob3JzPjwvY29udHJpYnV0
b3JzPjxhdXRoLWFkZHJlc3M+UGF0aG9sb2d5IERlcGFydG1lbnQsIEhvc3BpY2VzIENpdmlscyBk
ZSBMeW9uLCBDZW50cmUgSG9zcGl0YWxpZXIgTHlvbi1TdWQsIFBpZXJyZS1Cw6luaXRlLCBGcmFu
Y2UuJiN4RDtIYWVtYXRvLW9uY29sb2d5IERlcGFydG1lbnQsIEFzc2lzdGFuY2UgUHVibGlxdWUg
LSBIw7RwaXRhdXggZGUgUGFyaXMsIEjDtHBpdGFsIFNhaW50IExvdWlzLCBQYXJpcywgRnJhbmNl
LiYjeEQ7VW5pdmVyc2l0w6kgZGUgUGFyaXMsIFVuaXZlcnNpdMOpIFBhcmlzIERlc2NhcnRlcywg
UGFyaXMsIEZyYW5jZS4mI3hEO1VuaXZlcnNpdMOpIENsYXVkZSBCZXJuYXJkIEx5b24gMSwgT3Vs
bGlucywgRnJhbmNlLiYjeEQ7SW5zZXJtIFUxMDY1LCBDM00tQ29udHJvbCBvZiBHZW5lIEV4cHJl
c3Npb24sIE5pY2UsIEZyYW5jZS4mI3hEO0hvc3BpY2VzIENpdmlscyBkZSBMeW9uLCBIw7RwaXRh
bCBMeW9uIFN1ZCwgU2VydmljZSBkJmFwb3M7SMOpbWF0b2xvZ2llIEJpb2xvZ2lxdWUsIFBpZXJy
ZS1Cw6luaXRlLCBGcmFuY2UuJiN4RDtQYXRob2xvZ3kgRGVwYXJ0bWVudCwgSW5zdGl0dXQgVW5p
dmVyc2l0YWlyZSBkdSBDYW5jZXItT25jb3DDtGxlLCBDZW50cmUgSG9zcGl0YWxpZXIgZGUgVG91
bG91c2UsIFRvdWxvdXNlLCBGcmFuY2UuJiN4RDtIYWVtYXRvbG9neSBEZXBhcnRtZW50LCBIb3Nw
aWNlcyBDaXZpbHMgZGUgTHlvbiwgQ0hVIEx5b24tU3VkLCBQaWVycmUtQsOpbml0ZSwgRnJhbmNl
LjwvYXV0aC1hZGRyZXNzPjx0aXRsZXM+PHRpdGxlPlJlYWwtbGlmZSB0YXJnZXRlZCBuZXh0LWdl
bmVyYXRpb24gc2VxdWVuY2luZyBmb3IgbHltcGhvbWEgZGlhZ25vc2lzIG92ZXIgMcKgeWVhciBm
cm9tIHRoZSBGcmVuY2ggTHltcGhvbWEgTmV0d29yazwvdGl0bGU+PHNlY29uZGFyeS10aXRsZT5C
ciBKIEhhZW1hdG9sPC9zZWNvbmRhcnktdGl0bGU+PC90aXRsZXM+PHBlcmlvZGljYWw+PGZ1bGwt
dGl0bGU+QnIgSiBIYWVtYXRvbDwvZnVsbC10aXRsZT48L3BlcmlvZGljYWw+PHBhZ2VzPjExMTAt
MTEyMjwvcGFnZXM+PHZvbHVtZT4xOTM8L3ZvbHVtZT48bnVtYmVyPjY8L251bWJlcj48ZWRpdGlv
bj4yMDIxMDMyNTwvZWRpdGlvbj48a2V5d29yZHM+PGtleXdvcmQ+QWdlZDwva2V5d29yZD48a2V5
d29yZD5GZW1hbGU8L2tleXdvcmQ+PGtleXdvcmQ+RnJhbmNlPC9rZXl3b3JkPjxrZXl3b3JkPipI
aWdoLVRocm91Z2hwdXQgTnVjbGVvdGlkZSBTZXF1ZW5jaW5nPC9rZXl3b3JkPjxrZXl3b3JkPkh1
bWFuczwva2V5d29yZD48a2V5d29yZD4qTHltcGhvbWEvZGlhZ25vc2lzL2dlbmV0aWNzPC9rZXl3
b3JkPjxrZXl3b3JkPk1hbGU8L2tleXdvcmQ+PGtleXdvcmQ+TWlkZGxlIEFnZWQ8L2tleXdvcmQ+
PGtleXdvcmQ+KlJlZ2lzdHJpZXM8L2tleXdvcmQ+PGtleXdvcmQ+UmV0cm9zcGVjdGl2ZSBTdHVk
aWVzPC9rZXl3b3JkPjxrZXl3b3JkPipkaWFnbm9zaXM8L2tleXdvcmQ+PGtleXdvcmQ+Kmx5bXBo
b21hPC9rZXl3b3JkPjxrZXl3b3JkPiptb2xlY3VsYXIgYmlvbG9neTwva2V5d29yZD48a2V5d29y
ZD4qbmV4dC1nZW5lcmF0aW9uIHNlcXVlbmNpbmc8L2tleXdvcmQ+PGtleXdvcmQ+KnBhdGhvbG9n
eTwva2V5d29yZD48L2tleXdvcmRzPjxkYXRlcz48eWVhcj4yMDIxPC95ZWFyPjxwdWItZGF0ZXM+
PGRhdGU+SnVuPC9kYXRlPjwvcHViLWRhdGVzPjwvZGF0ZXM+PGlzYm4+MDAwNy0xMDQ4PC9pc2Ju
PjxhY2Nlc3Npb24tbnVtPjMzNzY0NTA3PC9hY2Nlc3Npb24tbnVtPjx1cmxzPjxyZWxhdGVkLXVy
bHM+PHVybD5odHRwczovL29ubGluZWxpYnJhcnkud2lsZXkuY29tL2RvaS8xMC4xMTExL2JqaC4x
NzM5NTwvdXJsPjx1cmw+aHR0cHM6Ly9vbmxpbmVsaWJyYXJ5LndpbGV5LmNvbS9kb2kvcGRmZGly
ZWN0LzEwLjExMTEvYmpoLjE3Mzk1P2Rvd25sb2FkPXRydWU8L3VybD48L3JlbGF0ZWQtdXJscz48
L3VybHM+PGVsZWN0cm9uaWMtcmVzb3VyY2UtbnVtPjEwLjExMTEvYmpoLjE3Mzk1PC9lbGVjdHJv
bmljLXJlc291cmNlLW51bT48cmVtb3RlLWRhdGFiYXNlLXByb3ZpZGVyPk5MTTwvcmVtb3RlLWRh
dGFiYXNlLXByb3ZpZGVyPjxsYW5ndWFnZT5lbmc8L2xhbmd1YWdlPjwvcmVjb3JkPjwvQ2l0ZT48
L0VuZE5vdGU+
</w:fldData>
        </w:fldChar>
      </w:r>
      <w:r>
        <w:instrText xml:space="preserve"> ADDIN EN.CITE.DATA </w:instrText>
      </w:r>
      <w:r>
        <w:fldChar w:fldCharType="end"/>
      </w:r>
      <w:r>
        <w:fldChar w:fldCharType="separate"/>
      </w:r>
      <w:r>
        <w:rPr>
          <w:noProof/>
        </w:rPr>
        <w:t>6.</w:t>
      </w:r>
      <w:r>
        <w:rPr>
          <w:noProof/>
        </w:rPr>
        <w:tab/>
        <w:t>Bommier C, Mauduit C, Fontaine J, Bourbon E, Sujobert P, Huet S, et al. Real-life targeted next-generation sequencing for lymphoma diagnosis over 1 year from the French Lymphoma Network. Br J Haematol. 2021;193(6):1110-22.</w:t>
      </w:r>
      <w:r>
        <w:fldChar w:fldCharType="end"/>
      </w:r>
    </w:p>
  </w:footnote>
  <w:footnote w:id="11">
    <w:p w14:paraId="506D2190" w14:textId="7D0A9CD5" w:rsidR="009E1F5B" w:rsidRDefault="009E1F5B" w:rsidP="00332CDA">
      <w:pPr>
        <w:pStyle w:val="FootnoteText"/>
      </w:pPr>
      <w:r>
        <w:rPr>
          <w:rStyle w:val="FootnoteReference"/>
        </w:rPr>
        <w:footnoteRef/>
      </w:r>
      <w:r>
        <w:t xml:space="preserve"> </w:t>
      </w:r>
      <w:r>
        <w:fldChar w:fldCharType="begin"/>
      </w:r>
      <w:r>
        <w:instrText xml:space="preserve"> ADDIN EN.CITE &lt;EndNote&gt;&lt;Cite&gt;&lt;Author&gt;Kawata&lt;/Author&gt;&lt;Year&gt;2022&lt;/Year&gt;&lt;RecNum&gt;107&lt;/RecNum&gt;&lt;DisplayText&gt;7.&amp;#x9;Kawata E, Hedley BD, Chin-Yee B, Xenocostas A, Lazo-Langner A, Hsia CC, et al. Reducing cytogenetic testing in the era of next generation sequencing: Are we choosing wisely? International Journal of Laboratory Hematology. 2022;44(2):333-41.&lt;/DisplayText&gt;&lt;record&gt;&lt;rec-number&gt;107&lt;/rec-number&gt;&lt;foreign-keys&gt;&lt;key app="EN" db-id="e59x25rzq0x9a8edpv8vf5d6asx0ddpepvs0" timestamp="1650014317" guid="8629cb7f-846a-45f3-8fb8-7d019e634519"&gt;107&lt;/key&gt;&lt;/foreign-keys&gt;&lt;ref-type name="Journal Article"&gt;17&lt;/ref-type&gt;&lt;contributors&gt;&lt;authors&gt;&lt;author&gt;Kawata, Eri&lt;/author&gt;&lt;author&gt;Hedley, Benjamin D.&lt;/author&gt;&lt;author&gt;Chin-Yee, Benjamin&lt;/author&gt;&lt;author&gt;Xenocostas, Anargyros&lt;/author&gt;&lt;author&gt;Lazo-Langner, Alejandro&lt;/author&gt;&lt;author&gt;Hsia, Cyrus C.&lt;/author&gt;&lt;author&gt;Howson-Jan, Kang&lt;/author&gt;&lt;author&gt;Yang, Ping&lt;/author&gt;&lt;author&gt;Levy, Michael A.&lt;/author&gt;&lt;author&gt;Santos, Stephanie&lt;/author&gt;&lt;author&gt;Bhai, Pratibha&lt;/author&gt;&lt;author&gt;Howlett, Christopher&lt;/author&gt;&lt;author&gt;Lin, Hanxin&lt;/author&gt;&lt;author&gt;Kadour, Mike&lt;/author&gt;&lt;author&gt;Sadikovic, Bekim&lt;/author&gt;&lt;author&gt;Chin-Yee, Ian&lt;/author&gt;&lt;/authors&gt;&lt;/contributors&gt;&lt;titles&gt;&lt;title&gt;Reducing cytogenetic testing in the era of next generation sequencing: Are we choosing wisely?&lt;/title&gt;&lt;secondary-title&gt;International Journal of Laboratory Hematology&lt;/secondary-title&gt;&lt;/titles&gt;&lt;periodical&gt;&lt;full-title&gt;International Journal of Laboratory Hematology&lt;/full-title&gt;&lt;/periodical&gt;&lt;pages&gt;333-341&lt;/pages&gt;&lt;volume&gt;44&lt;/volume&gt;&lt;number&gt;2&lt;/number&gt;&lt;dates&gt;&lt;year&gt;2022&lt;/year&gt;&lt;/dates&gt;&lt;isbn&gt;1751-5521&lt;/isbn&gt;&lt;urls&gt;&lt;related-urls&gt;&lt;url&gt;https://onlinelibrary.wiley.com/doi/abs/10.1111/ijlh.13747&lt;/url&gt;&lt;url&gt;https://onlinelibrary.wiley.com/doi/10.1111/ijlh.13747&lt;/url&gt;&lt;/related-urls&gt;&lt;/urls&gt;&lt;electronic-resource-num&gt;https://doi.org/10.1111/ijlh.13747&lt;/electronic-resource-num&gt;&lt;/record&gt;&lt;/Cite&gt;&lt;/EndNote&gt;</w:instrText>
      </w:r>
      <w:r>
        <w:fldChar w:fldCharType="separate"/>
      </w:r>
      <w:r>
        <w:rPr>
          <w:noProof/>
        </w:rPr>
        <w:t>7.</w:t>
      </w:r>
      <w:r>
        <w:rPr>
          <w:noProof/>
        </w:rPr>
        <w:tab/>
        <w:t>Kawata E, Hedley BD, Chin-Yee B, Xenocostas A, Lazo-Langner A, Hsia CC, et al. Reducing cytogenetic testing in the era of next generation sequencing: Are we choosing wisely? International Journal of Laboratory Hematology. 2022;44(2):333-41.</w:t>
      </w:r>
      <w:r>
        <w:fldChar w:fldCharType="end"/>
      </w:r>
    </w:p>
  </w:footnote>
  <w:footnote w:id="12">
    <w:p w14:paraId="4EC2A343" w14:textId="7D45593B" w:rsidR="009E1F5B" w:rsidRDefault="009E1F5B">
      <w:pPr>
        <w:pStyle w:val="FootnoteText"/>
      </w:pPr>
      <w:r>
        <w:rPr>
          <w:rStyle w:val="FootnoteReference"/>
        </w:rPr>
        <w:footnoteRef/>
      </w:r>
      <w:r>
        <w:t xml:space="preserve"> </w:t>
      </w:r>
      <w:r>
        <w:fldChar w:fldCharType="begin">
          <w:fldData xml:space="preserve">PEVuZE5vdGU+PENpdGU+PEF1dGhvcj5DYXJib25lbGw8L0F1dGhvcj48WWVhcj4yMDE5PC9ZZWFy
PjxSZWNOdW0+NDM8L1JlY051bT48RGlzcGxheVRleHQ+OC4mI3g5O0NhcmJvbmVsbCBELCBTdcOh
cmV6LUdvbnrDoWxleiBKLCBDaGljYW5vIE0sIEFuZHLDqXMtWmF5YXMgQywgVHJpdmnDsW8gSkMs
IFJvZHLDrWd1ZXotTWFjw61hcyBHLCBldCBhbC4gTmV4dC1HZW5lcmF0aW9uIFNlcXVlbmNpbmcg
SW1wcm92ZXMgRGlhZ25vc2lzLCBQcm9nbm9zaXMgYW5kIENsaW5pY2FsIE1hbmFnZW1lbnQgb2Yg
TXllbG9pZCBOZW9wbGFzbXMuIENhbmNlcnMgKEJhc2VsKS4gMjAxOTsxMSg5KS48L0Rpc3BsYXlU
ZXh0PjxyZWNvcmQ+PHJlYy1udW1iZXI+NDM8L3JlYy1udW1iZXI+PGZvcmVpZ24ta2V5cz48a2V5
IGFwcD0iRU4iIGRiLWlkPSJlNTl4MjVyenEweDlhOGVkcHY4dmY1ZDZhc3gwZGRwZXB2czAiIHRp
bWVzdGFtcD0iMTY0OTgxMDk1MSIgZ3VpZD0iOWUwYmYyODQtZWI2Yy00NDVkLTgwNmYtYjY1ZDhl
NDdkZTkzIj40Mzwva2V5PjwvZm9yZWlnbi1rZXlzPjxyZWYtdHlwZSBuYW1lPSJKb3VybmFsIEFy
dGljbGUiPjE3PC9yZWYtdHlwZT48Y29udHJpYnV0b3JzPjxhdXRob3JzPjxhdXRob3I+Q2FyYm9u
ZWxsLCBELjwvYXV0aG9yPjxhdXRob3I+U3XDoXJlei1Hb256w6FsZXosIEouPC9hdXRob3I+PGF1
dGhvcj5DaGljYW5vLCBNLjwvYXV0aG9yPjxhdXRob3I+QW5kcsOpcy1aYXlhcywgQy48L2F1dGhv
cj48YXV0aG9yPlRyaXZpw7FvLCBKLiBDLjwvYXV0aG9yPjxhdXRob3I+Um9kcsOtZ3Vlei1NYWPD
rWFzLCBHLjwvYXV0aG9yPjxhdXRob3I+QmFzdG9zLU9yZWlybywgTS48L2F1dGhvcj48YXV0aG9y
PkZvbnQsIFAuPC9hdXRob3I+PGF1dGhvcj5CYWxsZXN0ZXJvcywgTS48L2F1dGhvcj48YXV0aG9y
Pk11w7FpeiwgUC48L2F1dGhvcj48YXV0aG9yPkJhbHNhbG9icmUsIFAuPC9hdXRob3I+PGF1dGhv
cj5Ld29uLCBNLjwvYXV0aG9yPjxhdXRob3I+QW5ndWl0YSwgSi48L2F1dGhvcj48YXV0aG9yPkTD
rWV6LU1hcnTDrW4sIEouIEwuPC9hdXRob3I+PGF1dGhvcj5CdcOxbywgSS48L2F1dGhvcj48YXV0
aG9yPk1hcnTDrW5lei1MYXBlcmNoZSwgQy48L2F1dGhvcj48L2F1dGhvcnM+PC9jb250cmlidXRv
cnM+PGF1dGgtYWRkcmVzcz5EZXBhcnRtZW50IG9mIEhlbWF0b2xvZ3ksIEdyZWdvcmlvIE1hcmHD
scOzbiBHZW5lcmFsIFVuaXZlcnNpdHkgSG9zcGl0YWwsIDI4MDA3IE1hZHJpZCwgU3BhaW4uIGRp
ZWdvLmNhcmJvbmVsbEBpaXNnbS5jb20uJiN4RDtHcmVnb3JpbyBNYXJhw7HDs24gSGVhbHRoIFJl
c2VhcmNoIEluc3RpdHV0ZSAoSWlTR00pLCAyODAwNyBNYWRyaWQsIFNwYWluLiBkaWVnby5jYXJi
b25lbGxAaWlzZ20uY29tLiYjeEQ7R3JlZ29yaW8gTWFyYcOxw7NuIEhlYWx0aCBSZXNlYXJjaCBJ
bnN0aXR1dGUgKElpU0dNKSwgMjgwMDcgTWFkcmlkLCBTcGFpbi4ganVsaWEuc3VhcmV6QGlpc2dt
LmNvbS4mI3hEO0dlbm9taWNzIFVuaXQsIEdyZWdvcmlvIE1hcmHDscOzbiBHZW5lcmFsIFVuaXZl
cnNpdHkgSG9zcGl0YWwsIElpU0dNLCAyODAwNyBNYWRyaWQsIFNwYWluLiBqdWxpYS5zdWFyZXpA
aWlzZ20uY29tLiYjeEQ7RGVwYXJ0bWVudCBvZiBIZW1hdG9sb2d5LCBHcmVnb3JpbyBNYXJhw7HD
s24gR2VuZXJhbCBVbml2ZXJzaXR5IEhvc3BpdGFsLCAyODAwNyBNYWRyaWQsIFNwYWluLiBtYXJp
YS5jaGljYW5vQHNhbHVkLm1hZHJpZC5vcmcuJiN4RDtHcmVnb3JpbyBNYXJhw7HDs24gSGVhbHRo
IFJlc2VhcmNoIEluc3RpdHV0ZSAoSWlTR00pLCAyODAwNyBNYWRyaWQsIFNwYWluLiBtYXJpYS5j
aGljYW5vQHNhbHVkLm1hZHJpZC5vcmcuJiN4RDtHcmVnb3JpbyBNYXJhw7HDs24gSGVhbHRoIFJl
c2VhcmNoIEluc3RpdHV0ZSAoSWlTR00pLCAyODAwNyBNYWRyaWQsIFNwYWluLiBjcmlzdGluYS5h
bmRyZXNAaWlzZ20uY29tLiYjeEQ7R2Vub21pY3MgVW5pdCwgR3JlZ29yaW8gTWFyYcOxw7NuIEdl
bmVyYWwgVW5pdmVyc2l0eSBIb3NwaXRhbCwgSWlTR00sIDI4MDA3IE1hZHJpZCwgU3BhaW4uIGNy
aXN0aW5hLmFuZHJlc0BpaXNnbS5jb20uJiN4RDtTaXN0ZW1hcyBHZW7Ds21pY29zLCA0Njk4MCBW
YWxlbmNpYSwgU3BhaW4uIGpjLnRyaXZpbm9Ac2lzdGVtYXNnZW5vbWljb3MuY29tLiYjeEQ7RGVw
YXJ0bWVudCBvZiBIZW1hdG9sb2d5LCBHcmVnb3JpbyBNYXJhw7HDs24gR2VuZXJhbCBVbml2ZXJz
aXR5IEhvc3BpdGFsLCAyODAwNyBNYWRyaWQsIFNwYWluLiBnYWJyaWVsYS5yb2RyaWd1ZXpAc2Fs
dWQubWFkcmlkLm9yZy4mI3hEO0RlcGFydG1lbnQgb2YgSGVtYXRvbG9neSwgR3JlZ29yaW8gTWFy
YcOxw7NuIEdlbmVyYWwgVW5pdmVyc2l0eSBIb3NwaXRhbCwgMjgwMDcgTWFkcmlkLCBTcGFpbi4g
bWFyaWFuYWJlYXRyaXouYmFzdG9zQHNhbHVkLm1hZHJpZC5vcmcuJiN4RDtHcmVnb3JpbyBNYXJh
w7HDs24gSGVhbHRoIFJlc2VhcmNoIEluc3RpdHV0ZSAoSWlTR00pLCAyODAwNyBNYWRyaWQsIFNw
YWluLiBtYXJpYW5hYmVhdHJpei5iYXN0b3NAc2FsdWQubWFkcmlkLm9yZy4mI3hEO0RlcGFydG1l
bnQgb2YgSGVtYXRvbG9neSwgR3JlZ29yaW8gTWFyYcOxw7NuIEdlbmVyYWwgVW5pdmVyc2l0eSBI
b3NwaXRhbCwgMjgwMDcgTWFkcmlkLCBTcGFpbi4gcGF0cmljaWEuZm9udEBzYWx1ZC5tYWRyaWQu
b3JnLiYjeEQ7R3JlZ29yaW8gTWFyYcOxw7NuIEhlYWx0aCBSZXNlYXJjaCBJbnN0aXR1dGUgKElp
U0dNKSwgMjgwMDcgTWFkcmlkLCBTcGFpbi4gcGF0cmljaWEuZm9udEBzYWx1ZC5tYWRyaWQub3Jn
LiYjeEQ7RGVwYXJ0bWVudCBvZiBIZW1hdG9sb2d5LCBHcmVnb3JpbyBNYXJhw7HDs24gR2VuZXJh
bCBVbml2ZXJzaXR5IEhvc3BpdGFsLCAyODAwNyBNYWRyaWQsIFNwYWluLiBtb25pY2EuYmFsbGVz
dGVyb3NAc2FsdWQubWFkcmlkLm9yZy4mI3hEO0RlcGFydG1lbnQgb2YgSGVtYXRvbG9neSwgR3Jl
Z29yaW8gTWFyYcOxw7NuIEdlbmVyYWwgVW5pdmVyc2l0eSBIb3NwaXRhbCwgMjgwMDcgTWFkcmlk
LCBTcGFpbi4gcGF1bGEubXVuaXpAaWlzZ20uY29tLiYjeEQ7R3JlZ29yaW8gTWFyYcOxw7NuIEhl
YWx0aCBSZXNlYXJjaCBJbnN0aXR1dGUgKElpU0dNKSwgMjgwMDcgTWFkcmlkLCBTcGFpbi4gcGF1
bGEubXVuaXpAaWlzZ20uY29tLiYjeEQ7RGVwYXJ0bWVudCBvZiBIZW1hdG9sb2d5LCBHcmVnb3Jp
byBNYXJhw7HDs24gR2VuZXJhbCBVbml2ZXJzaXR5IEhvc3BpdGFsLCAyODAwNyBNYWRyaWQsIFNw
YWluLiBwYXNjdWFsLmJhbHNhbG9icmVAc2FsdWQubWFkcmlkLm9yZy4mI3hEO0dyZWdvcmlvIE1h
cmHDscOzbiBIZWFsdGggUmVzZWFyY2ggSW5zdGl0dXRlIChJaVNHTSksIDI4MDA3IE1hZHJpZCwg
U3BhaW4uIHBhc2N1YWwuYmFsc2Fsb2JyZUBzYWx1ZC5tYWRyaWQub3JnLiYjeEQ7RGVwYXJ0bWVu
dCBvZiBIZW1hdG9sb2d5LCBHcmVnb3JpbyBNYXJhw7HDs24gR2VuZXJhbCBVbml2ZXJzaXR5IEhv
c3BpdGFsLCAyODAwNyBNYWRyaWQsIFNwYWluLiBtaS5rd29uQHNhbHVkLm1hZHJpZC5vcmcuJiN4
RDtHcmVnb3JpbyBNYXJhw7HDs24gSGVhbHRoIFJlc2VhcmNoIEluc3RpdHV0ZSAoSWlTR00pLCAy
ODAwNyBNYWRyaWQsIFNwYWluLiBtaS5rd29uQHNhbHVkLm1hZHJpZC5vcmcuJiN4RDtEZXBhcnRt
ZW50IG9mIEhlbWF0b2xvZ3ksIEdyZWdvcmlvIE1hcmHDscOzbiBHZW5lcmFsIFVuaXZlcnNpdHkg
SG9zcGl0YWwsIDI4MDA3IE1hZHJpZCwgU3BhaW4uIGphdmllci5hbmd1aXRhQHNhbHVkLm1hZHJp
ZC5vcmcuJiN4RDtHcmVnb3JpbyBNYXJhw7HDs24gSGVhbHRoIFJlc2VhcmNoIEluc3RpdHV0ZSAo
SWlTR00pLCAyODAwNyBNYWRyaWQsIFNwYWluLiBqYXZpZXIuYW5ndWl0YUBzYWx1ZC5tYWRyaWQu
b3JnLiYjeEQ7RGVwYXJ0bWVudCBvZiBIZW1hdG9sb2d5LCBHcmVnb3JpbyBNYXJhw7HDs24gR2Vu
ZXJhbCBVbml2ZXJzaXR5IEhvc3BpdGFsLCAyODAwNyBNYWRyaWQsIFNwYWluLiBqZGllem1Ac2Fs
dWQubWFkcmlkLm9yZy4mI3hEO0dyZWdvcmlvIE1hcmHDscOzbiBIZWFsdGggUmVzZWFyY2ggSW5z
dGl0dXRlIChJaVNHTSksIDI4MDA3IE1hZHJpZCwgU3BhaW4uIGpkaWV6bUBzYWx1ZC5tYWRyaWQu
b3JnLiYjeEQ7RGVwYXJ0bWVudCBvZiBNZWRpY2luZSwgU2Nob29sIG9mIE1lZGljaW5lLCBDb21w
bHV0ZW5zZSBVbml2ZXJzaXR5IG9mIE1hZHJpZCwgMjgwNDAgTWFkcmlkLCBTcGFpbi4gamRpZXpt
QHNhbHVkLm1hZHJpZC5vcmcuJiN4RDtEZXBhcnRtZW50IG9mIEhlbWF0b2xvZ3ksIEdyZWdvcmlv
IE1hcmHDscOzbiBHZW5lcmFsIFVuaXZlcnNpdHkgSG9zcGl0YWwsIDI4MDA3IE1hZHJpZCwgU3Bh
aW4uIGlzbWFlbGJ1bm9AaWlzZ20uY29tLiYjeEQ7R3JlZ29yaW8gTWFyYcOxw7NuIEhlYWx0aCBS
ZXNlYXJjaCBJbnN0aXR1dGUgKElpU0dNKSwgMjgwMDcgTWFkcmlkLCBTcGFpbi4gaXNtYWVsYnVu
b0BpaXNnbS5jb20uJiN4RDtHZW5vbWljcyBVbml0LCBHcmVnb3JpbyBNYXJhw7HDs24gR2VuZXJh
bCBVbml2ZXJzaXR5IEhvc3BpdGFsLCBJaVNHTSwgMjgwMDcgTWFkcmlkLCBTcGFpbi4gaXNtYWVs
YnVub0BpaXNnbS5jb20uJiN4RDtEZXBhcnRtZW50IG9mIEhlbWF0b2xvZ3ksIEdyZWdvcmlvIE1h
cmHDscOzbiBHZW5lcmFsIFVuaXZlcnNpdHkgSG9zcGl0YWwsIDI4MDA3IE1hZHJpZCwgU3BhaW4u
IGNtYXJ0aW5lemxAc2FsdWQubWFkcmlkLm9yZy4mI3hEO0dyZWdvcmlvIE1hcmHDscOzbiBIZWFs
dGggUmVzZWFyY2ggSW5zdGl0dXRlIChJaVNHTSksIDI4MDA3IE1hZHJpZCwgU3BhaW4uIGNtYXJ0
aW5lemxAc2FsdWQubWFkcmlkLm9yZy48L2F1dGgtYWRkcmVzcz48dGl0bGVzPjx0aXRsZT5OZXh0
LUdlbmVyYXRpb24gU2VxdWVuY2luZyBJbXByb3ZlcyBEaWFnbm9zaXMsIFByb2dub3NpcyBhbmQg
Q2xpbmljYWwgTWFuYWdlbWVudCBvZiBNeWVsb2lkIE5lb3BsYXNtczwvdGl0bGU+PHNlY29uZGFy
eS10aXRsZT5DYW5jZXJzIChCYXNlbCk8L3NlY29uZGFyeS10aXRsZT48L3RpdGxlcz48cGVyaW9k
aWNhbD48ZnVsbC10aXRsZT5DYW5jZXJzIChCYXNlbCk8L2Z1bGwtdGl0bGU+PC9wZXJpb2RpY2Fs
Pjx2b2x1bWU+MTE8L3ZvbHVtZT48bnVtYmVyPjk8L251bWJlcj48ZWRpdGlvbj4yMDE5MDkxMzwv
ZWRpdGlvbj48a2V5d29yZHM+PGtleXdvcmQ+TmV4dC1nZW5lcmF0aW9uIHNlcXVlbmNpbmc8L2tl
eXdvcmQ+PGtleXdvcmQ+YWN1dGUgbXllbG9pZCBsZXVrZW1pYTwva2V5d29yZD48a2V5d29yZD5t
eWVsb2lkIG5lb3BsYXNtPC9rZXl3b3JkPjxrZXl3b3JkPnJvdXRpbmUgZGlhZ25vc2lzPC9rZXl3
b3JkPjwva2V5d29yZHM+PGRhdGVzPjx5ZWFyPjIwMTk8L3llYXI+PHB1Yi1kYXRlcz48ZGF0ZT5T
ZXAgMTM8L2RhdGU+PC9wdWItZGF0ZXM+PC9kYXRlcz48aXNibj4yMDcyLTY2OTQgKFByaW50KSYj
eEQ7MjA3Mi02Njk0PC9pc2JuPjxhY2Nlc3Npb24tbnVtPjMxNTQwMjkxPC9hY2Nlc3Npb24tbnVt
Pjx1cmxzPjxyZWxhdGVkLXVybHM+PHVybD5odHRwczovL3d3dy5tZHBpLmNvbS8yMDcyLTY2OTQv
MTEvOS8xMzY0PC91cmw+PC9yZWxhdGVkLXVybHM+PC91cmxzPjxjdXN0b20xPlRoZSBhdXRob3Jz
IGRlY2xhcmUgbm8gY29uZmxpY3Qgb2YgaW50ZXJlc3QuPC9jdXN0b20xPjxjdXN0b20yPlBNQzY3
NzAyMjk8L2N1c3RvbTI+PGVsZWN0cm9uaWMtcmVzb3VyY2UtbnVtPjEwLjMzOTAvY2FuY2VyczEx
MDkxMzY0PC9lbGVjdHJvbmljLXJlc291cmNlLW51bT48cmVtb3RlLWRhdGFiYXNlLXByb3ZpZGVy
Pk5MTTwvcmVtb3RlLWRhdGFiYXNlLXByb3ZpZGVyPjxsYW5ndWFnZT5lbmc8L2xhbmd1YWdlPjwv
cmVjb3JkPjwvQ2l0ZT48L0VuZE5vdGU+
</w:fldData>
        </w:fldChar>
      </w:r>
      <w:r>
        <w:instrText xml:space="preserve"> ADDIN EN.CITE </w:instrText>
      </w:r>
      <w:r>
        <w:fldChar w:fldCharType="begin">
          <w:fldData xml:space="preserve">PEVuZE5vdGU+PENpdGU+PEF1dGhvcj5DYXJib25lbGw8L0F1dGhvcj48WWVhcj4yMDE5PC9ZZWFy
PjxSZWNOdW0+NDM8L1JlY051bT48RGlzcGxheVRleHQ+OC4mI3g5O0NhcmJvbmVsbCBELCBTdcOh
cmV6LUdvbnrDoWxleiBKLCBDaGljYW5vIE0sIEFuZHLDqXMtWmF5YXMgQywgVHJpdmnDsW8gSkMs
IFJvZHLDrWd1ZXotTWFjw61hcyBHLCBldCBhbC4gTmV4dC1HZW5lcmF0aW9uIFNlcXVlbmNpbmcg
SW1wcm92ZXMgRGlhZ25vc2lzLCBQcm9nbm9zaXMgYW5kIENsaW5pY2FsIE1hbmFnZW1lbnQgb2Yg
TXllbG9pZCBOZW9wbGFzbXMuIENhbmNlcnMgKEJhc2VsKS4gMjAxOTsxMSg5KS48L0Rpc3BsYXlU
ZXh0PjxyZWNvcmQ+PHJlYy1udW1iZXI+NDM8L3JlYy1udW1iZXI+PGZvcmVpZ24ta2V5cz48a2V5
IGFwcD0iRU4iIGRiLWlkPSJlNTl4MjVyenEweDlhOGVkcHY4dmY1ZDZhc3gwZGRwZXB2czAiIHRp
bWVzdGFtcD0iMTY0OTgxMDk1MSIgZ3VpZD0iOWUwYmYyODQtZWI2Yy00NDVkLTgwNmYtYjY1ZDhl
NDdkZTkzIj40Mzwva2V5PjwvZm9yZWlnbi1rZXlzPjxyZWYtdHlwZSBuYW1lPSJKb3VybmFsIEFy
dGljbGUiPjE3PC9yZWYtdHlwZT48Y29udHJpYnV0b3JzPjxhdXRob3JzPjxhdXRob3I+Q2FyYm9u
ZWxsLCBELjwvYXV0aG9yPjxhdXRob3I+U3XDoXJlei1Hb256w6FsZXosIEouPC9hdXRob3I+PGF1
dGhvcj5DaGljYW5vLCBNLjwvYXV0aG9yPjxhdXRob3I+QW5kcsOpcy1aYXlhcywgQy48L2F1dGhv
cj48YXV0aG9yPlRyaXZpw7FvLCBKLiBDLjwvYXV0aG9yPjxhdXRob3I+Um9kcsOtZ3Vlei1NYWPD
rWFzLCBHLjwvYXV0aG9yPjxhdXRob3I+QmFzdG9zLU9yZWlybywgTS48L2F1dGhvcj48YXV0aG9y
PkZvbnQsIFAuPC9hdXRob3I+PGF1dGhvcj5CYWxsZXN0ZXJvcywgTS48L2F1dGhvcj48YXV0aG9y
Pk11w7FpeiwgUC48L2F1dGhvcj48YXV0aG9yPkJhbHNhbG9icmUsIFAuPC9hdXRob3I+PGF1dGhv
cj5Ld29uLCBNLjwvYXV0aG9yPjxhdXRob3I+QW5ndWl0YSwgSi48L2F1dGhvcj48YXV0aG9yPkTD
rWV6LU1hcnTDrW4sIEouIEwuPC9hdXRob3I+PGF1dGhvcj5CdcOxbywgSS48L2F1dGhvcj48YXV0
aG9yPk1hcnTDrW5lei1MYXBlcmNoZSwgQy48L2F1dGhvcj48L2F1dGhvcnM+PC9jb250cmlidXRv
cnM+PGF1dGgtYWRkcmVzcz5EZXBhcnRtZW50IG9mIEhlbWF0b2xvZ3ksIEdyZWdvcmlvIE1hcmHD
scOzbiBHZW5lcmFsIFVuaXZlcnNpdHkgSG9zcGl0YWwsIDI4MDA3IE1hZHJpZCwgU3BhaW4uIGRp
ZWdvLmNhcmJvbmVsbEBpaXNnbS5jb20uJiN4RDtHcmVnb3JpbyBNYXJhw7HDs24gSGVhbHRoIFJl
c2VhcmNoIEluc3RpdHV0ZSAoSWlTR00pLCAyODAwNyBNYWRyaWQsIFNwYWluLiBkaWVnby5jYXJi
b25lbGxAaWlzZ20uY29tLiYjeEQ7R3JlZ29yaW8gTWFyYcOxw7NuIEhlYWx0aCBSZXNlYXJjaCBJ
bnN0aXR1dGUgKElpU0dNKSwgMjgwMDcgTWFkcmlkLCBTcGFpbi4ganVsaWEuc3VhcmV6QGlpc2dt
LmNvbS4mI3hEO0dlbm9taWNzIFVuaXQsIEdyZWdvcmlvIE1hcmHDscOzbiBHZW5lcmFsIFVuaXZl
cnNpdHkgSG9zcGl0YWwsIElpU0dNLCAyODAwNyBNYWRyaWQsIFNwYWluLiBqdWxpYS5zdWFyZXpA
aWlzZ20uY29tLiYjeEQ7RGVwYXJ0bWVudCBvZiBIZW1hdG9sb2d5LCBHcmVnb3JpbyBNYXJhw7HD
s24gR2VuZXJhbCBVbml2ZXJzaXR5IEhvc3BpdGFsLCAyODAwNyBNYWRyaWQsIFNwYWluLiBtYXJp
YS5jaGljYW5vQHNhbHVkLm1hZHJpZC5vcmcuJiN4RDtHcmVnb3JpbyBNYXJhw7HDs24gSGVhbHRo
IFJlc2VhcmNoIEluc3RpdHV0ZSAoSWlTR00pLCAyODAwNyBNYWRyaWQsIFNwYWluLiBtYXJpYS5j
aGljYW5vQHNhbHVkLm1hZHJpZC5vcmcuJiN4RDtHcmVnb3JpbyBNYXJhw7HDs24gSGVhbHRoIFJl
c2VhcmNoIEluc3RpdHV0ZSAoSWlTR00pLCAyODAwNyBNYWRyaWQsIFNwYWluLiBjcmlzdGluYS5h
bmRyZXNAaWlzZ20uY29tLiYjeEQ7R2Vub21pY3MgVW5pdCwgR3JlZ29yaW8gTWFyYcOxw7NuIEdl
bmVyYWwgVW5pdmVyc2l0eSBIb3NwaXRhbCwgSWlTR00sIDI4MDA3IE1hZHJpZCwgU3BhaW4uIGNy
aXN0aW5hLmFuZHJlc0BpaXNnbS5jb20uJiN4RDtTaXN0ZW1hcyBHZW7Ds21pY29zLCA0Njk4MCBW
YWxlbmNpYSwgU3BhaW4uIGpjLnRyaXZpbm9Ac2lzdGVtYXNnZW5vbWljb3MuY29tLiYjeEQ7RGVw
YXJ0bWVudCBvZiBIZW1hdG9sb2d5LCBHcmVnb3JpbyBNYXJhw7HDs24gR2VuZXJhbCBVbml2ZXJz
aXR5IEhvc3BpdGFsLCAyODAwNyBNYWRyaWQsIFNwYWluLiBnYWJyaWVsYS5yb2RyaWd1ZXpAc2Fs
dWQubWFkcmlkLm9yZy4mI3hEO0RlcGFydG1lbnQgb2YgSGVtYXRvbG9neSwgR3JlZ29yaW8gTWFy
YcOxw7NuIEdlbmVyYWwgVW5pdmVyc2l0eSBIb3NwaXRhbCwgMjgwMDcgTWFkcmlkLCBTcGFpbi4g
bWFyaWFuYWJlYXRyaXouYmFzdG9zQHNhbHVkLm1hZHJpZC5vcmcuJiN4RDtHcmVnb3JpbyBNYXJh
w7HDs24gSGVhbHRoIFJlc2VhcmNoIEluc3RpdHV0ZSAoSWlTR00pLCAyODAwNyBNYWRyaWQsIFNw
YWluLiBtYXJpYW5hYmVhdHJpei5iYXN0b3NAc2FsdWQubWFkcmlkLm9yZy4mI3hEO0RlcGFydG1l
bnQgb2YgSGVtYXRvbG9neSwgR3JlZ29yaW8gTWFyYcOxw7NuIEdlbmVyYWwgVW5pdmVyc2l0eSBI
b3NwaXRhbCwgMjgwMDcgTWFkcmlkLCBTcGFpbi4gcGF0cmljaWEuZm9udEBzYWx1ZC5tYWRyaWQu
b3JnLiYjeEQ7R3JlZ29yaW8gTWFyYcOxw7NuIEhlYWx0aCBSZXNlYXJjaCBJbnN0aXR1dGUgKElp
U0dNKSwgMjgwMDcgTWFkcmlkLCBTcGFpbi4gcGF0cmljaWEuZm9udEBzYWx1ZC5tYWRyaWQub3Jn
LiYjeEQ7RGVwYXJ0bWVudCBvZiBIZW1hdG9sb2d5LCBHcmVnb3JpbyBNYXJhw7HDs24gR2VuZXJh
bCBVbml2ZXJzaXR5IEhvc3BpdGFsLCAyODAwNyBNYWRyaWQsIFNwYWluLiBtb25pY2EuYmFsbGVz
dGVyb3NAc2FsdWQubWFkcmlkLm9yZy4mI3hEO0RlcGFydG1lbnQgb2YgSGVtYXRvbG9neSwgR3Jl
Z29yaW8gTWFyYcOxw7NuIEdlbmVyYWwgVW5pdmVyc2l0eSBIb3NwaXRhbCwgMjgwMDcgTWFkcmlk
LCBTcGFpbi4gcGF1bGEubXVuaXpAaWlzZ20uY29tLiYjeEQ7R3JlZ29yaW8gTWFyYcOxw7NuIEhl
YWx0aCBSZXNlYXJjaCBJbnN0aXR1dGUgKElpU0dNKSwgMjgwMDcgTWFkcmlkLCBTcGFpbi4gcGF1
bGEubXVuaXpAaWlzZ20uY29tLiYjeEQ7RGVwYXJ0bWVudCBvZiBIZW1hdG9sb2d5LCBHcmVnb3Jp
byBNYXJhw7HDs24gR2VuZXJhbCBVbml2ZXJzaXR5IEhvc3BpdGFsLCAyODAwNyBNYWRyaWQsIFNw
YWluLiBwYXNjdWFsLmJhbHNhbG9icmVAc2FsdWQubWFkcmlkLm9yZy4mI3hEO0dyZWdvcmlvIE1h
cmHDscOzbiBIZWFsdGggUmVzZWFyY2ggSW5zdGl0dXRlIChJaVNHTSksIDI4MDA3IE1hZHJpZCwg
U3BhaW4uIHBhc2N1YWwuYmFsc2Fsb2JyZUBzYWx1ZC5tYWRyaWQub3JnLiYjeEQ7RGVwYXJ0bWVu
dCBvZiBIZW1hdG9sb2d5LCBHcmVnb3JpbyBNYXJhw7HDs24gR2VuZXJhbCBVbml2ZXJzaXR5IEhv
c3BpdGFsLCAyODAwNyBNYWRyaWQsIFNwYWluLiBtaS5rd29uQHNhbHVkLm1hZHJpZC5vcmcuJiN4
RDtHcmVnb3JpbyBNYXJhw7HDs24gSGVhbHRoIFJlc2VhcmNoIEluc3RpdHV0ZSAoSWlTR00pLCAy
ODAwNyBNYWRyaWQsIFNwYWluLiBtaS5rd29uQHNhbHVkLm1hZHJpZC5vcmcuJiN4RDtEZXBhcnRt
ZW50IG9mIEhlbWF0b2xvZ3ksIEdyZWdvcmlvIE1hcmHDscOzbiBHZW5lcmFsIFVuaXZlcnNpdHkg
SG9zcGl0YWwsIDI4MDA3IE1hZHJpZCwgU3BhaW4uIGphdmllci5hbmd1aXRhQHNhbHVkLm1hZHJp
ZC5vcmcuJiN4RDtHcmVnb3JpbyBNYXJhw7HDs24gSGVhbHRoIFJlc2VhcmNoIEluc3RpdHV0ZSAo
SWlTR00pLCAyODAwNyBNYWRyaWQsIFNwYWluLiBqYXZpZXIuYW5ndWl0YUBzYWx1ZC5tYWRyaWQu
b3JnLiYjeEQ7RGVwYXJ0bWVudCBvZiBIZW1hdG9sb2d5LCBHcmVnb3JpbyBNYXJhw7HDs24gR2Vu
ZXJhbCBVbml2ZXJzaXR5IEhvc3BpdGFsLCAyODAwNyBNYWRyaWQsIFNwYWluLiBqZGllem1Ac2Fs
dWQubWFkcmlkLm9yZy4mI3hEO0dyZWdvcmlvIE1hcmHDscOzbiBIZWFsdGggUmVzZWFyY2ggSW5z
dGl0dXRlIChJaVNHTSksIDI4MDA3IE1hZHJpZCwgU3BhaW4uIGpkaWV6bUBzYWx1ZC5tYWRyaWQu
b3JnLiYjeEQ7RGVwYXJ0bWVudCBvZiBNZWRpY2luZSwgU2Nob29sIG9mIE1lZGljaW5lLCBDb21w
bHV0ZW5zZSBVbml2ZXJzaXR5IG9mIE1hZHJpZCwgMjgwNDAgTWFkcmlkLCBTcGFpbi4gamRpZXpt
QHNhbHVkLm1hZHJpZC5vcmcuJiN4RDtEZXBhcnRtZW50IG9mIEhlbWF0b2xvZ3ksIEdyZWdvcmlv
IE1hcmHDscOzbiBHZW5lcmFsIFVuaXZlcnNpdHkgSG9zcGl0YWwsIDI4MDA3IE1hZHJpZCwgU3Bh
aW4uIGlzbWFlbGJ1bm9AaWlzZ20uY29tLiYjeEQ7R3JlZ29yaW8gTWFyYcOxw7NuIEhlYWx0aCBS
ZXNlYXJjaCBJbnN0aXR1dGUgKElpU0dNKSwgMjgwMDcgTWFkcmlkLCBTcGFpbi4gaXNtYWVsYnVu
b0BpaXNnbS5jb20uJiN4RDtHZW5vbWljcyBVbml0LCBHcmVnb3JpbyBNYXJhw7HDs24gR2VuZXJh
bCBVbml2ZXJzaXR5IEhvc3BpdGFsLCBJaVNHTSwgMjgwMDcgTWFkcmlkLCBTcGFpbi4gaXNtYWVs
YnVub0BpaXNnbS5jb20uJiN4RDtEZXBhcnRtZW50IG9mIEhlbWF0b2xvZ3ksIEdyZWdvcmlvIE1h
cmHDscOzbiBHZW5lcmFsIFVuaXZlcnNpdHkgSG9zcGl0YWwsIDI4MDA3IE1hZHJpZCwgU3BhaW4u
IGNtYXJ0aW5lemxAc2FsdWQubWFkcmlkLm9yZy4mI3hEO0dyZWdvcmlvIE1hcmHDscOzbiBIZWFs
dGggUmVzZWFyY2ggSW5zdGl0dXRlIChJaVNHTSksIDI4MDA3IE1hZHJpZCwgU3BhaW4uIGNtYXJ0
aW5lemxAc2FsdWQubWFkcmlkLm9yZy48L2F1dGgtYWRkcmVzcz48dGl0bGVzPjx0aXRsZT5OZXh0
LUdlbmVyYXRpb24gU2VxdWVuY2luZyBJbXByb3ZlcyBEaWFnbm9zaXMsIFByb2dub3NpcyBhbmQg
Q2xpbmljYWwgTWFuYWdlbWVudCBvZiBNeWVsb2lkIE5lb3BsYXNtczwvdGl0bGU+PHNlY29uZGFy
eS10aXRsZT5DYW5jZXJzIChCYXNlbCk8L3NlY29uZGFyeS10aXRsZT48L3RpdGxlcz48cGVyaW9k
aWNhbD48ZnVsbC10aXRsZT5DYW5jZXJzIChCYXNlbCk8L2Z1bGwtdGl0bGU+PC9wZXJpb2RpY2Fs
Pjx2b2x1bWU+MTE8L3ZvbHVtZT48bnVtYmVyPjk8L251bWJlcj48ZWRpdGlvbj4yMDE5MDkxMzwv
ZWRpdGlvbj48a2V5d29yZHM+PGtleXdvcmQ+TmV4dC1nZW5lcmF0aW9uIHNlcXVlbmNpbmc8L2tl
eXdvcmQ+PGtleXdvcmQ+YWN1dGUgbXllbG9pZCBsZXVrZW1pYTwva2V5d29yZD48a2V5d29yZD5t
eWVsb2lkIG5lb3BsYXNtPC9rZXl3b3JkPjxrZXl3b3JkPnJvdXRpbmUgZGlhZ25vc2lzPC9rZXl3
b3JkPjwva2V5d29yZHM+PGRhdGVzPjx5ZWFyPjIwMTk8L3llYXI+PHB1Yi1kYXRlcz48ZGF0ZT5T
ZXAgMTM8L2RhdGU+PC9wdWItZGF0ZXM+PC9kYXRlcz48aXNibj4yMDcyLTY2OTQgKFByaW50KSYj
eEQ7MjA3Mi02Njk0PC9pc2JuPjxhY2Nlc3Npb24tbnVtPjMxNTQwMjkxPC9hY2Nlc3Npb24tbnVt
Pjx1cmxzPjxyZWxhdGVkLXVybHM+PHVybD5odHRwczovL3d3dy5tZHBpLmNvbS8yMDcyLTY2OTQv
MTEvOS8xMzY0PC91cmw+PC9yZWxhdGVkLXVybHM+PC91cmxzPjxjdXN0b20xPlRoZSBhdXRob3Jz
IGRlY2xhcmUgbm8gY29uZmxpY3Qgb2YgaW50ZXJlc3QuPC9jdXN0b20xPjxjdXN0b20yPlBNQzY3
NzAyMjk8L2N1c3RvbTI+PGVsZWN0cm9uaWMtcmVzb3VyY2UtbnVtPjEwLjMzOTAvY2FuY2VyczEx
MDkxMzY0PC9lbGVjdHJvbmljLXJlc291cmNlLW51bT48cmVtb3RlLWRhdGFiYXNlLXByb3ZpZGVy
Pk5MTTwvcmVtb3RlLWRhdGFiYXNlLXByb3ZpZGVyPjxsYW5ndWFnZT5lbmc8L2xhbmd1YWdlPjwv
cmVjb3JkPjwvQ2l0ZT48L0VuZE5vdGU+
</w:fldData>
        </w:fldChar>
      </w:r>
      <w:r>
        <w:instrText xml:space="preserve"> ADDIN EN.CITE.DATA </w:instrText>
      </w:r>
      <w:r>
        <w:fldChar w:fldCharType="end"/>
      </w:r>
      <w:r>
        <w:fldChar w:fldCharType="separate"/>
      </w:r>
      <w:r>
        <w:rPr>
          <w:noProof/>
        </w:rPr>
        <w:t>8.</w:t>
      </w:r>
      <w:r>
        <w:rPr>
          <w:noProof/>
        </w:rPr>
        <w:tab/>
        <w:t>Carbonell D, Suárez-González J, Chicano M, Andrés-Zayas C, Triviño JC, Rodríguez-Macías G, et al. Next-Generation Sequencing Improves Diagnosis, Prognosis and Clinical Management of Myeloid Neoplasms. Cancers (Basel). 2019;11(9).</w:t>
      </w:r>
      <w:r>
        <w:fldChar w:fldCharType="end"/>
      </w:r>
    </w:p>
  </w:footnote>
  <w:footnote w:id="13">
    <w:p w14:paraId="48FF2F1A" w14:textId="77777777" w:rsidR="009E1F5B" w:rsidRDefault="009E1F5B" w:rsidP="005D7ECA">
      <w:pPr>
        <w:pStyle w:val="FootnoteText"/>
      </w:pPr>
      <w:r>
        <w:rPr>
          <w:rStyle w:val="FootnoteReference"/>
        </w:rPr>
        <w:footnoteRef/>
      </w:r>
      <w:r>
        <w:t xml:space="preserve"> </w:t>
      </w:r>
      <w:r>
        <w:fldChar w:fldCharType="begin">
          <w:fldData xml:space="preserve">PEVuZE5vdGU+PENpdGU+PEF1dGhvcj5Ew7ZobmVyPC9BdXRob3I+PFllYXI+MjAxNzwvWWVhcj48
UmVjTnVtPjI3PC9SZWNOdW0+PERpc3BsYXlUZXh0PjkuJiN4OTtEw7ZobmVyIEgsIEVzdGV5IEUs
IEdyaW13YWRlIEQsIEFtYWRvcmkgUywgQXBwZWxiYXVtIEZSLCBCw7xjaG5lciBULCBldCBhbC4g
RGlhZ25vc2lzIGFuZCBtYW5hZ2VtZW50IG9mIEFNTCBpbiBhZHVsdHM6IDIwMTcgRUxOIHJlY29t
bWVuZGF0aW9ucyBmcm9tIGFuIGludGVybmF0aW9uYWwgZXhwZXJ0IHBhbmVsLiBCbG9vZC4gMjAx
NzsxMjkoNCk6NDI0LTQ3LjwvRGlzcGxheVRleHQ+PHJlY29yZD48cmVjLW51bWJlcj4yNzwvcmVj
LW51bWJlcj48Zm9yZWlnbi1rZXlzPjxrZXkgYXBwPSJFTiIgZGItaWQ9ImU1OXgyNXJ6cTB4OWE4
ZWRwdjh2ZjVkNmFzeDBkZHBlcHZzMCIgdGltZXN0YW1wPSIxNjQ5Mzg1MTQ4IiBndWlkPSI1ZGFh
MzExNi0xZTNlLTRiNDQtOGQ3OS1iOTA4OGZkYTYwZTEiPjI3PC9rZXk+PC9mb3JlaWduLWtleXM+
PHJlZi10eXBlIG5hbWU9IkpvdXJuYWwgQXJ0aWNsZSI+MTc8L3JlZi10eXBlPjxjb250cmlidXRv
cnM+PGF1dGhvcnM+PGF1dGhvcj5Ew7ZobmVyLCBILjwvYXV0aG9yPjxhdXRob3I+RXN0ZXksIEUu
PC9hdXRob3I+PGF1dGhvcj5Hcmltd2FkZSwgRC48L2F1dGhvcj48YXV0aG9yPkFtYWRvcmksIFMu
PC9hdXRob3I+PGF1dGhvcj5BcHBlbGJhdW0sIEYuIFIuPC9hdXRob3I+PGF1dGhvcj5Cw7xjaG5l
ciwgVC48L2F1dGhvcj48YXV0aG9yPkRvbWJyZXQsIEguPC9hdXRob3I+PGF1dGhvcj5FYmVydCwg
Qi4gTC48L2F1dGhvcj48YXV0aG9yPkZlbmF1eCwgUC48L2F1dGhvcj48YXV0aG9yPkxhcnNvbiwg
Ui4gQS48L2F1dGhvcj48YXV0aG9yPkxldmluZSwgUi4gTC48L2F1dGhvcj48YXV0aG9yPkxvLUNv
Y28sIEYuPC9hdXRob3I+PGF1dGhvcj5OYW9lLCBULjwvYXV0aG9yPjxhdXRob3I+TmllZGVyd2ll
c2VyLCBELjwvYXV0aG9yPjxhdXRob3I+T3NzZW5rb3BwZWxlLCBHLiBKLjwvYXV0aG9yPjxhdXRo
b3I+U2FueiwgTS48L2F1dGhvcj48YXV0aG9yPlNpZXJyYSwgSi48L2F1dGhvcj48YXV0aG9yPlRh
bGxtYW4sIE0uIFMuPC9hdXRob3I+PGF1dGhvcj5UaWVuLCBILiBGLjwvYXV0aG9yPjxhdXRob3I+
V2VpLCBBLiBILjwvYXV0aG9yPjxhdXRob3I+TMO2d2VuYmVyZywgQi48L2F1dGhvcj48YXV0aG9y
PkJsb29tZmllbGQsIEMuIEQuPC9hdXRob3I+PC9hdXRob3JzPjwvY29udHJpYnV0b3JzPjxhdXRo
LWFkZHJlc3M+RGVwYXJ0bWVudCBvZiBJbnRlcm5hbCBNZWRpY2luZSBJSUksIFVuaXZlcnNpdHkg
b2YgVWxtLCBVbG0sIEdlcm1hbnkuJiN4RDtDbGluaWNhbCBSZXNlYXJjaCBEaXZpc2lvbiwgRnJl
ZCBIdXRjaGluc29uIENhbmNlciBSZXNlYXJjaCBDZW50ZXIsIFNlYXR0bGUsIFdBLiYjeEQ7RGVw
YXJ0bWVudCBvZiBNZWRpY2FsIGFuZCBNb2xlY3VsYXIgR2VuZXRpY3MsIEZhY3VsdHkgb2YgTGlm
ZSBTY2llbmNlcyBhbmQgTWVkaWNpbmUsIEtpbmcmYXBvcztzIENvbGxlZ2UgTG9uZG9uLCBMb25k
b24sIFVuaXRlZCBLaW5nZG9tLiYjeEQ7RGVwYXJ0bWVudCBvZiBCaW9tZWRpY2luZSBhbmQgUHJl
dmVudGlvbiwgVW5pdmVyc2l0w6AgZGkgUm9tYSAmcXVvdDtUb3IgVmVyZ2F0YSwmcXVvdDsgUm9t
ZSwgSXRhbHkuJiN4RDtEZXBhcnRtZW50IG9mIEhlbWF0b2xvZ3kvT25jb2xvZ3ksIFVuaXZlcnNp
dHkgb2YgTcO8bnN0ZXIsIE3DvG5zdGVyLCBHZXJtYW55LiYjeEQ7SW5zdGl0dXQgVW5pdmVyc2l0
YWlyZSBkJmFwb3M7SMOpbWF0b2xvZ2llLCBIw7RwaXRhbCBTYWludC1Mb3VpcywgQXNzaXN0YW5j
ZSBQdWJsaXF1ZS1Iw7RwaXRhdXggZGUgUGFyaXMsIFBhcmlzLCBGcmFuY2UuJiN4RDtEaXZpc2lv
biBvZiBIZW1hdG9sb2d5LCBEZXBhcnRtZW50IG9mIE1lZGljaW5lLCBCcmlnaGFtIGFuZCBXb21l
biZhcG9zO3MgSG9zcGl0YWwsIEhhcnZhcmQgTWVkaWNhbCBTY2hvb2wsIEJvc3RvbiwgTUEuJiN4
RDtTZXJ2aWNlIGQmYXBvcztIw6ltYXRvbG9naWUsIEjDtHBpdGFsIFNhaW50LUxvdWlzLCBQYXJp
cywgRnJhbmNlLiYjeEQ7RGVwYXJ0bWVudCBvZiBNZWRpY2luZSwgVW5pdmVyc2l0eSBvZiBDaGlj
YWdvLCBDaGljYWdvLCBJTC4mI3hEO0xldWtlbWlhIFNlcnZpY2UsIERlcGFydG1lbnQgb2YgTWVk
aWNpbmUsIE1lbW9yaWFsIFNsb2FuIEtldHRlcmluZyBDYW5jZXIgQ2VudGVyLCBOZXcgWW9yaywg
TlkuJiN4RDtOYXRpb25hbCBIb3NwaXRhbCBPcmdhbml6YXRpb24gTmFnb3lhIE1lZGljYWwgQ2Vu
dGVyLCBOYWdveWEsIEphcGFuLiYjeEQ7RGVwYXJ0bWVudCBvZiBIZW1hdG9sb2d5LCBPbmNvbG9n
eSBhbmQgSGVtb3N0YXNpcywgVW5pdmVyc2l0eSBvZiBMZWlwemlnLCBMZWlwemlnLCBHZXJtYW55
LiYjeEQ7RGVwYXJ0bWVudCBvZiBIYWVtYXRvbG9neSwgVnJpamUgVW5pdmVyc2l0ZWl0IFVuaXZl
cnNpdHkgTWVkaWNhbCBDZW50ZXIsIEFtc3RlcmRhbSwgVGhlIE5ldGhlcmxhbmRzLiYjeEQ7RGVw
YXJ0bWVudCBvZiBIZW1hdG9sb2d5LCBVbml2ZXJzaXR5IEhvc3BpdGFsIExhIEZlLCBVbml2ZXJz
aXR5IG9mIFZhbGVuY2lhLCBWYWxlbmNpYSwgU3BhaW4uJiN4RDtIZW1hdG9sb2d5IERlcGFydG1l
bnQsIEhvc3BpdGFsIGRlIGxhIFNhbnRhIENyZXUgaSBTYW50IFBhdSwgSm9zZSBDYXJyZXJhcyBM
ZXVrZW1pYSBSZXNlYXJjaCBJbnN0aXR1dGUsIEJhcmNlbG9uYSwgU3BhaW4uJiN4RDtEaXZpc2lv
biBvZiBIZW1hdG9sb2d5LCBEZXBhcnRtZW50IG9mIEludGVybmFsIE1lZGljaW5lLCBOYXRpb25h
bCBUYWl3YW4gVW5pdmVyc2l0eSBIb3NwaXRhbCwgVGFpcGVpLCBUYWl3YW4uJiN4RDtEZXBhcnRt
ZW50IG9mIENsaW5pY2FsIEhlbWF0b2xvZ3ksIFRoZSBBbGZyZWQgSG9zcGl0YWwsIE1lbGJvdXJu
ZSwgQXVzdHJhbGlhLiYjeEQ7QXVzdHJhbGlhbiBDZW50cmUgZm9yIEJsb29kIERpc2Vhc2VzLCBN
b25hc2ggVW5pdmVyc2l0eSwgTWVsYm91cm5lLCBBdXN0cmFsaWEuJiN4RDtEZXBhcnRtZW50IG9m
IEhlbWF0b2xvZ3ksIEVyYXNtdXMgVW5pdmVyc2l0eSBNZWRpY2FsIENlbnRlciwgUm90dGVyZGFt
LCBUaGUgTmV0aGVybGFuZHM7IGFuZC4mI3hEO1RoZSBPaGlvIFN0YXRlIFVuaXZlcnNpdHkgQ29t
cHJlaGVuc2l2ZSBDYW5jZXIgQ2VudGVyLCBDb2x1bWJ1cywgT0guPC9hdXRoLWFkZHJlc3M+PHRp
dGxlcz48dGl0bGU+RGlhZ25vc2lzIGFuZCBtYW5hZ2VtZW50IG9mIEFNTCBpbiBhZHVsdHM6IDIw
MTcgRUxOIHJlY29tbWVuZGF0aW9ucyBmcm9tIGFuIGludGVybmF0aW9uYWwgZXhwZXJ0IHBhbmVs
PC90aXRsZT48c2Vjb25kYXJ5LXRpdGxlPkJsb29kPC9zZWNvbmRhcnktdGl0bGU+PC90aXRsZXM+
PHBlcmlvZGljYWw+PGZ1bGwtdGl0bGU+Qmxvb2Q8L2Z1bGwtdGl0bGU+PC9wZXJpb2RpY2FsPjxw
YWdlcz40MjQtNDQ3PC9wYWdlcz48dm9sdW1lPjEyOTwvdm9sdW1lPjxudW1iZXI+NDwvbnVtYmVy
PjxlZGl0aW9uPjIwMTYxMTI4PC9lZGl0aW9uPjxrZXl3b3Jkcz48a2V5d29yZD5BZHVsdDwva2V5
d29yZD48a2V5d29yZD5BbnRpbmVvcGxhc3RpYyBBZ2VudHMvKnRoZXJhcGV1dGljIHVzZTwva2V5
d29yZD48a2V5d29yZD5Db25zZW5zdXM8L2tleXdvcmQ+PGtleXdvcmQ+KkRpc2Vhc2UgTWFuYWdl
bWVudDwva2V5d29yZD48a2V5d29yZD5EcnVnIEFkbWluaXN0cmF0aW9uIFNjaGVkdWxlPC9rZXl3
b3JkPjxrZXl3b3JkPkdlbmV0aWMgVGVzdGluZzwva2V5d29yZD48a2V5d29yZD4qSGVtYXRvcG9p
ZXRpYyBTdGVtIENlbGwgVHJhbnNwbGFudGF0aW9uPC9rZXl3b3JkPjxrZXl3b3JkPkh1bWFuczwv
a2V5d29yZD48a2V5d29yZD5JbW11bm9waGVub3R5cGluZzwva2V5d29yZD48a2V5d29yZD5JbnRl
cm5hdGlvbmFsIENvb3BlcmF0aW9uPC9rZXl3b3JkPjxrZXl3b3JkPkxldWtlbWlhLCBNeWVsb2lk
LCBBY3V0ZS9jbGFzc2lmaWNhdGlvbi8qZGlhZ25vc2lzL2dlbmV0aWNzLyp0aGVyYXB5PC9rZXl3
b3JkPjxrZXl3b3JkPk5lb3BsYXNtLCBSZXNpZHVhbDwva2V5d29yZD48a2V5d29yZD5QcmFjdGlj
ZSBHdWlkZWxpbmVzIGFzIFRvcGljPC9rZXl3b3JkPjxrZXl3b3JkPlJpc2sgRmFjdG9yczwva2V5
d29yZD48a2V5d29yZD5UcmFuc3BsYW50YXRpb24sIEF1dG9sb2dvdXM8L2tleXdvcmQ+PGtleXdv
cmQ+VHJlYXRtZW50IE91dGNvbWU8L2tleXdvcmQ+PC9rZXl3b3Jkcz48ZGF0ZXM+PHllYXI+MjAx
NzwveWVhcj48cHViLWRhdGVzPjxkYXRlPkphbiAyNjwvZGF0ZT48L3B1Yi1kYXRlcz48L2RhdGVz
Pjxpc2JuPjAwMDYtNDk3MSAoUHJpbnQpJiN4RDswMDA2LTQ5NzE8L2lzYm4+PGFjY2Vzc2lvbi1u
dW0+Mjc4OTUwNTg8L2FjY2Vzc2lvbi1udW0+PHVybHM+PHJlbGF0ZWQtdXJscz48dXJsPmh0dHBz
Oi8vd2F0ZXJtYXJrLnNpbHZlcmNoYWlyLmNvbS9ibG9vZDczMzE5Ni5wZGY/dG9rZW49QVFFQ0FI
aTIwOEJFNDlPb2FuOWtraFdfRXJjeTdEbTNaTF85Q2YzcWZLQWM0ODV5c2dBQUEtRXdnZ1BkQmdr
cWhraUc5dzBCQndhZ2dnUE9NSUlEeWdJQkFEQ0NBOE1HQ1NxR1NJYjNEUUVIQVRBZUJnbGdoa2dC
WlFNRUFTNHdFUVFNQk1lbnlBUEFUZnU1R2U1WEFnRVFnSUlEbE1zcHhsQjZ1N0tIbndxVy1FamJ6
T3JQVEUxTXZ0OUtGQlhMRjZkTDVsd0NHSUxqcnpwTGFzcTNqUlIxeUpTTnZnTF9xYmlsN0UyZEdo
UjNqMTByZU5TN3U1NWk2WG9kbk9QX3NFOWJQZUd1TnRTYzI4Y2Y4aGExUDNmTHJQNFRmWF9QRjhl
SkY3bFNpeU44eEFlYTdmRGxtaEJ1eTJJS3NMOUx3TEpUZ3RWTzVNdGRnWjV0LVZDMmJyVzdaYmNo
b3dOSXZGVVBIS0xjMEFMZ1VFWmk3aHRKRUk3OUVRZnlvNHN1X2g4WEZ6ajM0Q0lzNC1Vb1RzQThp
Z21MaHFOWjlYcWZmVWN2ZElJUlNHaE9Tb052dWxJYkE2V0lJMnJrT29VU0M2TFZYRW1McmRXUFYz
YWwtdF9JZjNQbXFlRVNHMnRveUpLWDMxLXpBZU9jeE5SYmg4dzBGS0t0c3JnMnZ5WVk5VWZyeHpK
dWxTaWh6Z2dfZ2xIeWtBWkZRNUdtTTdXb0g4UEVwekhwaFFVRlVveGUzYTJVSktMZHBSWElwS1ZR
LTZaWmNUWUIxRGZhekNVZVJYUWQwcWFTN09ITTdvY0JONnZsZkZEQ1paSUNYYXRNRVJqMTkzQzZl
WktBNUZyQ0JSeVl1YlpNc296TTBYWDZwV2E4U3V4WlM1YVk5RTdxaFhoN29kOXA2cDFlM0poQ0VS
UTkwblZQSDI1and5amU2ZDJqT0ptanpDZFJ3dkc3OEtoakFKdUdzdkhzUEdqa2FtRnFIcElHZ2h5
Vkd4ZVc0bDJwSzUxODBwS2FPTk0yMjFlNlhlNnJsMW01RFZ4OU9fS29HelE3WWhoY19hQ05Ld090
MkpoSThJNkhTaGhwMDRER2FaeExVWF9vZXkzb0hDUmNUMG5CdndqYUFyNlJmTkpzX3pENFZYbWRn
NVFyOFZfRmpINkl5bmJfTlpzWVB5X0dZQ2tvR3NIUHhYeEJnMmJjN2ljT2hyeHBEbTVaLUZhWXdY
ZF8tUTFHY3RWUzBGVkktRVJ1eHJkMEphMlhWM2NUTll4bXBEUU9icFJfc3VUOHRFQi1wcURqZVpo
aWRYek9ibk5kYzBtclRWQWNFWlh4QUZJMHlQR1hWWml0ZlZES0k0b2xMbTF3RGpXMUlXdF9JdFRT
OHFjenpoRWJyMzVpeDI5UXItT2ZfYWM5RFhCZnhYZ2s2NUJPVmhFUS15dXZpSTY4TWNDWHFsdzVw
b2M3VVBUWVVreW04dWdxcGl0eWZ5NVlQeHdVcGtNZWtUZ3YyZEhMWUxvQ0wxS3E3N1BBMFliUk9K
S1VFTWk3Y0RDdDl0eG0zMVEzX2lxaEdTRnpVSEgtVlQyTWViOFg2MUMySDhEMXI2anVBTzhKYjh2
OU1Ud1R2cGtDcDZTTndJbWJCMU43aUNKMXNSUkxqUkJMcnp4MFZNMXVpeEpuVFFuUXo0bC1TUnNV
QTQzSk1vUVhYcVVtZXRwcFM3cGlzbFZnVEZVMlZsbzVPdk1jWmlqR2E5b2xsdzBJMkY2MjBiUlNT
Skt5Q1ZrVzRwN3BKTlBWY0w4elF5aGFxb290MlhyNGpQN083NUVTZElWMFRyaFk4cUFQd2lzdmtI
LUpBYjQ8L3VybD48L3JlbGF0ZWQtdXJscz48L3VybHM+PGN1c3RvbTI+UE1DNTI5MTk2NTwvY3Vz
dG9tMj48ZWxlY3Ryb25pYy1yZXNvdXJjZS1udW0+MTAuMTE4Mi9ibG9vZC0yMDE2LTA4LTczMzE5
NjwvZWxlY3Ryb25pYy1yZXNvdXJjZS1udW0+PHJlbW90ZS1kYXRhYmFzZS1wcm92aWRlcj5OTE08
L3JlbW90ZS1kYXRhYmFzZS1wcm92aWRlcj48bGFuZ3VhZ2U+ZW5nPC9sYW5ndWFnZT48L3JlY29y
ZD48L0NpdGU+PC9FbmROb3RlPgB=
</w:fldData>
        </w:fldChar>
      </w:r>
      <w:r>
        <w:instrText xml:space="preserve"> ADDIN EN.CITE </w:instrText>
      </w:r>
      <w:r>
        <w:fldChar w:fldCharType="begin">
          <w:fldData xml:space="preserve">PEVuZE5vdGU+PENpdGU+PEF1dGhvcj5Ew7ZobmVyPC9BdXRob3I+PFllYXI+MjAxNzwvWWVhcj48
UmVjTnVtPjI3PC9SZWNOdW0+PERpc3BsYXlUZXh0PjkuJiN4OTtEw7ZobmVyIEgsIEVzdGV5IEUs
IEdyaW13YWRlIEQsIEFtYWRvcmkgUywgQXBwZWxiYXVtIEZSLCBCw7xjaG5lciBULCBldCBhbC4g
RGlhZ25vc2lzIGFuZCBtYW5hZ2VtZW50IG9mIEFNTCBpbiBhZHVsdHM6IDIwMTcgRUxOIHJlY29t
bWVuZGF0aW9ucyBmcm9tIGFuIGludGVybmF0aW9uYWwgZXhwZXJ0IHBhbmVsLiBCbG9vZC4gMjAx
NzsxMjkoNCk6NDI0LTQ3LjwvRGlzcGxheVRleHQ+PHJlY29yZD48cmVjLW51bWJlcj4yNzwvcmVj
LW51bWJlcj48Zm9yZWlnbi1rZXlzPjxrZXkgYXBwPSJFTiIgZGItaWQ9ImU1OXgyNXJ6cTB4OWE4
ZWRwdjh2ZjVkNmFzeDBkZHBlcHZzMCIgdGltZXN0YW1wPSIxNjQ5Mzg1MTQ4IiBndWlkPSI1ZGFh
MzExNi0xZTNlLTRiNDQtOGQ3OS1iOTA4OGZkYTYwZTEiPjI3PC9rZXk+PC9mb3JlaWduLWtleXM+
PHJlZi10eXBlIG5hbWU9IkpvdXJuYWwgQXJ0aWNsZSI+MTc8L3JlZi10eXBlPjxjb250cmlidXRv
cnM+PGF1dGhvcnM+PGF1dGhvcj5Ew7ZobmVyLCBILjwvYXV0aG9yPjxhdXRob3I+RXN0ZXksIEUu
PC9hdXRob3I+PGF1dGhvcj5Hcmltd2FkZSwgRC48L2F1dGhvcj48YXV0aG9yPkFtYWRvcmksIFMu
PC9hdXRob3I+PGF1dGhvcj5BcHBlbGJhdW0sIEYuIFIuPC9hdXRob3I+PGF1dGhvcj5Cw7xjaG5l
ciwgVC48L2F1dGhvcj48YXV0aG9yPkRvbWJyZXQsIEguPC9hdXRob3I+PGF1dGhvcj5FYmVydCwg
Qi4gTC48L2F1dGhvcj48YXV0aG9yPkZlbmF1eCwgUC48L2F1dGhvcj48YXV0aG9yPkxhcnNvbiwg
Ui4gQS48L2F1dGhvcj48YXV0aG9yPkxldmluZSwgUi4gTC48L2F1dGhvcj48YXV0aG9yPkxvLUNv
Y28sIEYuPC9hdXRob3I+PGF1dGhvcj5OYW9lLCBULjwvYXV0aG9yPjxhdXRob3I+TmllZGVyd2ll
c2VyLCBELjwvYXV0aG9yPjxhdXRob3I+T3NzZW5rb3BwZWxlLCBHLiBKLjwvYXV0aG9yPjxhdXRo
b3I+U2FueiwgTS48L2F1dGhvcj48YXV0aG9yPlNpZXJyYSwgSi48L2F1dGhvcj48YXV0aG9yPlRh
bGxtYW4sIE0uIFMuPC9hdXRob3I+PGF1dGhvcj5UaWVuLCBILiBGLjwvYXV0aG9yPjxhdXRob3I+
V2VpLCBBLiBILjwvYXV0aG9yPjxhdXRob3I+TMO2d2VuYmVyZywgQi48L2F1dGhvcj48YXV0aG9y
PkJsb29tZmllbGQsIEMuIEQuPC9hdXRob3I+PC9hdXRob3JzPjwvY29udHJpYnV0b3JzPjxhdXRo
LWFkZHJlc3M+RGVwYXJ0bWVudCBvZiBJbnRlcm5hbCBNZWRpY2luZSBJSUksIFVuaXZlcnNpdHkg
b2YgVWxtLCBVbG0sIEdlcm1hbnkuJiN4RDtDbGluaWNhbCBSZXNlYXJjaCBEaXZpc2lvbiwgRnJl
ZCBIdXRjaGluc29uIENhbmNlciBSZXNlYXJjaCBDZW50ZXIsIFNlYXR0bGUsIFdBLiYjeEQ7RGVw
YXJ0bWVudCBvZiBNZWRpY2FsIGFuZCBNb2xlY3VsYXIgR2VuZXRpY3MsIEZhY3VsdHkgb2YgTGlm
ZSBTY2llbmNlcyBhbmQgTWVkaWNpbmUsIEtpbmcmYXBvcztzIENvbGxlZ2UgTG9uZG9uLCBMb25k
b24sIFVuaXRlZCBLaW5nZG9tLiYjeEQ7RGVwYXJ0bWVudCBvZiBCaW9tZWRpY2luZSBhbmQgUHJl
dmVudGlvbiwgVW5pdmVyc2l0w6AgZGkgUm9tYSAmcXVvdDtUb3IgVmVyZ2F0YSwmcXVvdDsgUm9t
ZSwgSXRhbHkuJiN4RDtEZXBhcnRtZW50IG9mIEhlbWF0b2xvZ3kvT25jb2xvZ3ksIFVuaXZlcnNp
dHkgb2YgTcO8bnN0ZXIsIE3DvG5zdGVyLCBHZXJtYW55LiYjeEQ7SW5zdGl0dXQgVW5pdmVyc2l0
YWlyZSBkJmFwb3M7SMOpbWF0b2xvZ2llLCBIw7RwaXRhbCBTYWludC1Mb3VpcywgQXNzaXN0YW5j
ZSBQdWJsaXF1ZS1Iw7RwaXRhdXggZGUgUGFyaXMsIFBhcmlzLCBGcmFuY2UuJiN4RDtEaXZpc2lv
biBvZiBIZW1hdG9sb2d5LCBEZXBhcnRtZW50IG9mIE1lZGljaW5lLCBCcmlnaGFtIGFuZCBXb21l
biZhcG9zO3MgSG9zcGl0YWwsIEhhcnZhcmQgTWVkaWNhbCBTY2hvb2wsIEJvc3RvbiwgTUEuJiN4
RDtTZXJ2aWNlIGQmYXBvcztIw6ltYXRvbG9naWUsIEjDtHBpdGFsIFNhaW50LUxvdWlzLCBQYXJp
cywgRnJhbmNlLiYjeEQ7RGVwYXJ0bWVudCBvZiBNZWRpY2luZSwgVW5pdmVyc2l0eSBvZiBDaGlj
YWdvLCBDaGljYWdvLCBJTC4mI3hEO0xldWtlbWlhIFNlcnZpY2UsIERlcGFydG1lbnQgb2YgTWVk
aWNpbmUsIE1lbW9yaWFsIFNsb2FuIEtldHRlcmluZyBDYW5jZXIgQ2VudGVyLCBOZXcgWW9yaywg
TlkuJiN4RDtOYXRpb25hbCBIb3NwaXRhbCBPcmdhbml6YXRpb24gTmFnb3lhIE1lZGljYWwgQ2Vu
dGVyLCBOYWdveWEsIEphcGFuLiYjeEQ7RGVwYXJ0bWVudCBvZiBIZW1hdG9sb2d5LCBPbmNvbG9n
eSBhbmQgSGVtb3N0YXNpcywgVW5pdmVyc2l0eSBvZiBMZWlwemlnLCBMZWlwemlnLCBHZXJtYW55
LiYjeEQ7RGVwYXJ0bWVudCBvZiBIYWVtYXRvbG9neSwgVnJpamUgVW5pdmVyc2l0ZWl0IFVuaXZl
cnNpdHkgTWVkaWNhbCBDZW50ZXIsIEFtc3RlcmRhbSwgVGhlIE5ldGhlcmxhbmRzLiYjeEQ7RGVw
YXJ0bWVudCBvZiBIZW1hdG9sb2d5LCBVbml2ZXJzaXR5IEhvc3BpdGFsIExhIEZlLCBVbml2ZXJz
aXR5IG9mIFZhbGVuY2lhLCBWYWxlbmNpYSwgU3BhaW4uJiN4RDtIZW1hdG9sb2d5IERlcGFydG1l
bnQsIEhvc3BpdGFsIGRlIGxhIFNhbnRhIENyZXUgaSBTYW50IFBhdSwgSm9zZSBDYXJyZXJhcyBM
ZXVrZW1pYSBSZXNlYXJjaCBJbnN0aXR1dGUsIEJhcmNlbG9uYSwgU3BhaW4uJiN4RDtEaXZpc2lv
biBvZiBIZW1hdG9sb2d5LCBEZXBhcnRtZW50IG9mIEludGVybmFsIE1lZGljaW5lLCBOYXRpb25h
bCBUYWl3YW4gVW5pdmVyc2l0eSBIb3NwaXRhbCwgVGFpcGVpLCBUYWl3YW4uJiN4RDtEZXBhcnRt
ZW50IG9mIENsaW5pY2FsIEhlbWF0b2xvZ3ksIFRoZSBBbGZyZWQgSG9zcGl0YWwsIE1lbGJvdXJu
ZSwgQXVzdHJhbGlhLiYjeEQ7QXVzdHJhbGlhbiBDZW50cmUgZm9yIEJsb29kIERpc2Vhc2VzLCBN
b25hc2ggVW5pdmVyc2l0eSwgTWVsYm91cm5lLCBBdXN0cmFsaWEuJiN4RDtEZXBhcnRtZW50IG9m
IEhlbWF0b2xvZ3ksIEVyYXNtdXMgVW5pdmVyc2l0eSBNZWRpY2FsIENlbnRlciwgUm90dGVyZGFt
LCBUaGUgTmV0aGVybGFuZHM7IGFuZC4mI3hEO1RoZSBPaGlvIFN0YXRlIFVuaXZlcnNpdHkgQ29t
cHJlaGVuc2l2ZSBDYW5jZXIgQ2VudGVyLCBDb2x1bWJ1cywgT0guPC9hdXRoLWFkZHJlc3M+PHRp
dGxlcz48dGl0bGU+RGlhZ25vc2lzIGFuZCBtYW5hZ2VtZW50IG9mIEFNTCBpbiBhZHVsdHM6IDIw
MTcgRUxOIHJlY29tbWVuZGF0aW9ucyBmcm9tIGFuIGludGVybmF0aW9uYWwgZXhwZXJ0IHBhbmVs
PC90aXRsZT48c2Vjb25kYXJ5LXRpdGxlPkJsb29kPC9zZWNvbmRhcnktdGl0bGU+PC90aXRsZXM+
PHBlcmlvZGljYWw+PGZ1bGwtdGl0bGU+Qmxvb2Q8L2Z1bGwtdGl0bGU+PC9wZXJpb2RpY2FsPjxw
YWdlcz40MjQtNDQ3PC9wYWdlcz48dm9sdW1lPjEyOTwvdm9sdW1lPjxudW1iZXI+NDwvbnVtYmVy
PjxlZGl0aW9uPjIwMTYxMTI4PC9lZGl0aW9uPjxrZXl3b3Jkcz48a2V5d29yZD5BZHVsdDwva2V5
d29yZD48a2V5d29yZD5BbnRpbmVvcGxhc3RpYyBBZ2VudHMvKnRoZXJhcGV1dGljIHVzZTwva2V5
d29yZD48a2V5d29yZD5Db25zZW5zdXM8L2tleXdvcmQ+PGtleXdvcmQ+KkRpc2Vhc2UgTWFuYWdl
bWVudDwva2V5d29yZD48a2V5d29yZD5EcnVnIEFkbWluaXN0cmF0aW9uIFNjaGVkdWxlPC9rZXl3
b3JkPjxrZXl3b3JkPkdlbmV0aWMgVGVzdGluZzwva2V5d29yZD48a2V5d29yZD4qSGVtYXRvcG9p
ZXRpYyBTdGVtIENlbGwgVHJhbnNwbGFudGF0aW9uPC9rZXl3b3JkPjxrZXl3b3JkPkh1bWFuczwv
a2V5d29yZD48a2V5d29yZD5JbW11bm9waGVub3R5cGluZzwva2V5d29yZD48a2V5d29yZD5JbnRl
cm5hdGlvbmFsIENvb3BlcmF0aW9uPC9rZXl3b3JkPjxrZXl3b3JkPkxldWtlbWlhLCBNeWVsb2lk
LCBBY3V0ZS9jbGFzc2lmaWNhdGlvbi8qZGlhZ25vc2lzL2dlbmV0aWNzLyp0aGVyYXB5PC9rZXl3
b3JkPjxrZXl3b3JkPk5lb3BsYXNtLCBSZXNpZHVhbDwva2V5d29yZD48a2V5d29yZD5QcmFjdGlj
ZSBHdWlkZWxpbmVzIGFzIFRvcGljPC9rZXl3b3JkPjxrZXl3b3JkPlJpc2sgRmFjdG9yczwva2V5
d29yZD48a2V5d29yZD5UcmFuc3BsYW50YXRpb24sIEF1dG9sb2dvdXM8L2tleXdvcmQ+PGtleXdv
cmQ+VHJlYXRtZW50IE91dGNvbWU8L2tleXdvcmQ+PC9rZXl3b3Jkcz48ZGF0ZXM+PHllYXI+MjAx
NzwveWVhcj48cHViLWRhdGVzPjxkYXRlPkphbiAyNjwvZGF0ZT48L3B1Yi1kYXRlcz48L2RhdGVz
Pjxpc2JuPjAwMDYtNDk3MSAoUHJpbnQpJiN4RDswMDA2LTQ5NzE8L2lzYm4+PGFjY2Vzc2lvbi1u
dW0+Mjc4OTUwNTg8L2FjY2Vzc2lvbi1udW0+PHVybHM+PHJlbGF0ZWQtdXJscz48dXJsPmh0dHBz
Oi8vd2F0ZXJtYXJrLnNpbHZlcmNoYWlyLmNvbS9ibG9vZDczMzE5Ni5wZGY/dG9rZW49QVFFQ0FI
aTIwOEJFNDlPb2FuOWtraFdfRXJjeTdEbTNaTF85Q2YzcWZLQWM0ODV5c2dBQUEtRXdnZ1BkQmdr
cWhraUc5dzBCQndhZ2dnUE9NSUlEeWdJQkFEQ0NBOE1HQ1NxR1NJYjNEUUVIQVRBZUJnbGdoa2dC
WlFNRUFTNHdFUVFNQk1lbnlBUEFUZnU1R2U1WEFnRVFnSUlEbE1zcHhsQjZ1N0tIbndxVy1FamJ6
T3JQVEUxTXZ0OUtGQlhMRjZkTDVsd0NHSUxqcnpwTGFzcTNqUlIxeUpTTnZnTF9xYmlsN0UyZEdo
UjNqMTByZU5TN3U1NWk2WG9kbk9QX3NFOWJQZUd1TnRTYzI4Y2Y4aGExUDNmTHJQNFRmWF9QRjhl
SkY3bFNpeU44eEFlYTdmRGxtaEJ1eTJJS3NMOUx3TEpUZ3RWTzVNdGRnWjV0LVZDMmJyVzdaYmNo
b3dOSXZGVVBIS0xjMEFMZ1VFWmk3aHRKRUk3OUVRZnlvNHN1X2g4WEZ6ajM0Q0lzNC1Vb1RzQThp
Z21MaHFOWjlYcWZmVWN2ZElJUlNHaE9Tb052dWxJYkE2V0lJMnJrT29VU0M2TFZYRW1McmRXUFYz
YWwtdF9JZjNQbXFlRVNHMnRveUpLWDMxLXpBZU9jeE5SYmg4dzBGS0t0c3JnMnZ5WVk5VWZyeHpK
dWxTaWh6Z2dfZ2xIeWtBWkZRNUdtTTdXb0g4UEVwekhwaFFVRlVveGUzYTJVSktMZHBSWElwS1ZR
LTZaWmNUWUIxRGZhekNVZVJYUWQwcWFTN09ITTdvY0JONnZsZkZEQ1paSUNYYXRNRVJqMTkzQzZl
WktBNUZyQ0JSeVl1YlpNc296TTBYWDZwV2E4U3V4WlM1YVk5RTdxaFhoN29kOXA2cDFlM0poQ0VS
UTkwblZQSDI1and5amU2ZDJqT0ptanpDZFJ3dkc3OEtoakFKdUdzdkhzUEdqa2FtRnFIcElHZ2h5
Vkd4ZVc0bDJwSzUxODBwS2FPTk0yMjFlNlhlNnJsMW01RFZ4OU9fS29HelE3WWhoY19hQ05Ld090
MkpoSThJNkhTaGhwMDRER2FaeExVWF9vZXkzb0hDUmNUMG5CdndqYUFyNlJmTkpzX3pENFZYbWRn
NVFyOFZfRmpINkl5bmJfTlpzWVB5X0dZQ2tvR3NIUHhYeEJnMmJjN2ljT2hyeHBEbTVaLUZhWXdY
ZF8tUTFHY3RWUzBGVkktRVJ1eHJkMEphMlhWM2NUTll4bXBEUU9icFJfc3VUOHRFQi1wcURqZVpo
aWRYek9ibk5kYzBtclRWQWNFWlh4QUZJMHlQR1hWWml0ZlZES0k0b2xMbTF3RGpXMUlXdF9JdFRT
OHFjenpoRWJyMzVpeDI5UXItT2ZfYWM5RFhCZnhYZ2s2NUJPVmhFUS15dXZpSTY4TWNDWHFsdzVw
b2M3VVBUWVVreW04dWdxcGl0eWZ5NVlQeHdVcGtNZWtUZ3YyZEhMWUxvQ0wxS3E3N1BBMFliUk9K
S1VFTWk3Y0RDdDl0eG0zMVEzX2lxaEdTRnpVSEgtVlQyTWViOFg2MUMySDhEMXI2anVBTzhKYjh2
OU1Ud1R2cGtDcDZTTndJbWJCMU43aUNKMXNSUkxqUkJMcnp4MFZNMXVpeEpuVFFuUXo0bC1TUnNV
QTQzSk1vUVhYcVVtZXRwcFM3cGlzbFZnVEZVMlZsbzVPdk1jWmlqR2E5b2xsdzBJMkY2MjBiUlNT
Skt5Q1ZrVzRwN3BKTlBWY0w4elF5aGFxb290MlhyNGpQN083NUVTZElWMFRyaFk4cUFQd2lzdmtI
LUpBYjQ8L3VybD48L3JlbGF0ZWQtdXJscz48L3VybHM+PGN1c3RvbTI+UE1DNTI5MTk2NTwvY3Vz
dG9tMj48ZWxlY3Ryb25pYy1yZXNvdXJjZS1udW0+MTAuMTE4Mi9ibG9vZC0yMDE2LTA4LTczMzE5
NjwvZWxlY3Ryb25pYy1yZXNvdXJjZS1udW0+PHJlbW90ZS1kYXRhYmFzZS1wcm92aWRlcj5OTE08
L3JlbW90ZS1kYXRhYmFzZS1wcm92aWRlcj48bGFuZ3VhZ2U+ZW5nPC9sYW5ndWFnZT48L3JlY29y
ZD48L0NpdGU+PC9FbmROb3RlPgB=
</w:fldData>
        </w:fldChar>
      </w:r>
      <w:r>
        <w:instrText xml:space="preserve"> ADDIN EN.CITE.DATA </w:instrText>
      </w:r>
      <w:r>
        <w:fldChar w:fldCharType="end"/>
      </w:r>
      <w:r>
        <w:fldChar w:fldCharType="separate"/>
      </w:r>
      <w:r>
        <w:rPr>
          <w:noProof/>
        </w:rPr>
        <w:t>9.</w:t>
      </w:r>
      <w:r>
        <w:rPr>
          <w:noProof/>
        </w:rPr>
        <w:tab/>
        <w:t>Döhner H, Estey E, Grimwade D, Amadori S, Appelbaum FR, Büchner T, et al. Diagnosis and management of AML in adults: 2017 ELN recommendations from an international expert panel. Blood. 2017;129(4):424-47.</w:t>
      </w:r>
      <w:r>
        <w:fldChar w:fldCharType="end"/>
      </w:r>
    </w:p>
  </w:footnote>
  <w:footnote w:id="14">
    <w:p w14:paraId="00BED343" w14:textId="77777777" w:rsidR="009E1F5B" w:rsidRDefault="009E1F5B" w:rsidP="005D7ECA">
      <w:pPr>
        <w:pStyle w:val="FootnoteText"/>
      </w:pPr>
      <w:r>
        <w:rPr>
          <w:rStyle w:val="FootnoteReference"/>
        </w:rPr>
        <w:footnoteRef/>
      </w:r>
      <w:r>
        <w:t xml:space="preserve"> </w:t>
      </w:r>
      <w:r>
        <w:fldChar w:fldCharType="begin">
          <w:fldData xml:space="preserve">PEVuZE5vdGU+PENpdGU+PEF1dGhvcj5CZXJuYXJkPC9BdXRob3I+PFllYXI+MjAyMjwvWWVhcj48
UmVjTnVtPjI0MzwvUmVjTnVtPjxEaXNwbGF5VGV4dD4xMC4mI3g5O0Jlcm5hcmQgRSwgVHVlY2hs
ZXIgSCwgR3JlZW5iZXJnIFBMLCBIYXNzZXJqaWFuIFJQLCBPc3NhIEpFQSwgTmFubnlhIFksIGV0
IGFsLiBNb2xlY3VsYXIgSW50ZXJuYXRpb25hbCBQcm9nbm9zdGljIFNjb3JpbmcgU3lzdGVtIGZv
ciBNeWVsb2R5c3BsYXN0aWMgU3luZHJvbWVzLiBORUpNIEV2aWRlbmNlLiAyMDIyOzEoNyk6RVZJ
RG9hMjIwMDAwOC48L0Rpc3BsYXlUZXh0PjxyZWNvcmQ+PHJlYy1udW1iZXI+MjQzPC9yZWMtbnVt
YmVyPjxmb3JlaWduLWtleXM+PGtleSBhcHA9IkVOIiBkYi1pZD0iZTU5eDI1cnpxMHg5YThlZHB2
OHZmNWQ2YXN4MGRkcGVwdnMwIiB0aW1lc3RhbXA9IjE2NTc0Mjg4MzEiIGd1aWQ9IjM5OWZhZTFm
LWJjMmUtNDE5ZC05NDJhLTZmYjU0MTU4OTQ0OSI+MjQzPC9rZXk+PC9mb3JlaWduLWtleXM+PHJl
Zi10eXBlIG5hbWU9IkpvdXJuYWwgQXJ0aWNsZSI+MTc8L3JlZi10eXBlPjxjb250cmlidXRvcnM+
PGF1dGhvcnM+PGF1dGhvcj5FbHNhIEJlcm5hcmQ8L2F1dGhvcj48YXV0aG9yPkhlaW56IFR1ZWNo
bGVyPC9hdXRob3I+PGF1dGhvcj5QZXRlciBMLiBHcmVlbmJlcmc8L2F1dGhvcj48YXV0aG9yPlJv
YmVydCBQLiBIYXNzZXJqaWFuPC9hdXRob3I+PGF1dGhvcj5KdWFuIEUuIEFyYW5nbyBPc3NhPC9h
dXRob3I+PGF1dGhvcj5ZYXN1aGl0byBOYW5ueWE8L2F1dGhvcj48YXV0aG9yPlNlYW4gTS4gRGV2
bGluPC9hdXRob3I+PGF1dGhvcj5NYXJpYSBDcmVpZ25vdTwvYXV0aG9yPjxhdXRob3I+UGhpbGlw
cGUgUGluZWw8L2F1dGhvcj48YXV0aG9yPkxpbHkgTW9ubmllcjwvYXV0aG9yPjxhdXRob3I+R3Vu
ZXMgR3VuZGVtPC9hdXRob3I+PGF1dGhvcj5KdWFuIFMuIE1lZGluYS1NYXJ0aW5lejwvYXV0aG9y
PjxhdXRob3I+RHlsYW4gRG9tZW5pY288L2F1dGhvcj48YXV0aG9yPk1hcnRpbiBKw6RkZXJzdGVu
PC9hdXRob3I+PGF1dGhvcj5VbHJpY2ggR2VybWluZzwvYXV0aG9yPjxhdXRob3I+R3VpbGxlcm1v
IFNhbno8L2F1dGhvcj48YXV0aG9yPkFyamFuIEEuIHZhbiBkZSBMb29zZHJlY2h0PC9hdXRob3I+
PGF1dGhvcj5PbGl2aWVyIEtvc21pZGVyPC9hdXRob3I+PGF1dGhvcj5NYXRpbGRlIFkuIEZvbGxv
PC9hdXRob3I+PGF1dGhvcj5GZWxpY2l0YXMgVGhvbDwvYXV0aG9yPjxhdXRob3I+THVyZGVzIFph
bW9yYTwvYXV0aG9yPjxhdXRob3I+Um9uYWxkIEYuIFBpbmhlaXJvPC9hdXRob3I+PGF1dGhvcj5B
bmRyZWEgUGVsbGFnYXR0aTwvYXV0aG9yPjxhdXRob3I+SGFyb2xkIEsuIEVsaWFzPC9hdXRob3I+
PGF1dGhvcj5EZXRsZWYgSGFhc2U8L2F1dGhvcj48YXV0aG9yPkNocmlzdGluYSBHYW5zdGVyPC9h
dXRob3I+PGF1dGhvcj5MaW9uZWwgQWRlczwvYXV0aG9yPjxhdXRob3I+TWFnbnVzIFRvYmlhc3Nv
bjwvYXV0aG9yPjxhdXRob3I+TGF1cmEgUGFsb21vPC9hdXRob3I+PGF1dGhvcj5NYXR0ZW8gR2lv
dmFubmkgRGVsbGEgUG9ydGE8L2F1dGhvcj48YXV0aG9yPkFraWZ1bWkgVGFrYW9yaS1Lb25kbzwv
YXV0aG9yPjxhdXRob3I+VGFrYXl1a2kgSXNoaWthd2E8L2F1dGhvcj48YXV0aG9yPlNoaWdlcnUg
Q2hpYmE8L2F1dGhvcj48YXV0aG9yPlNlbmppIEthc2FoYXJhPC9hdXRob3I+PGF1dGhvcj5ZYXN1
c2hpIE1peWF6YWtpPC9hdXRob3I+PGF1dGhvcj5BZ25lcyBWaWFsZTwvYXV0aG9yPjxhdXRob3I+
S2V0eSBIdWJlcm1hbjwvYXV0aG9yPjxhdXRob3I+UGllcnJlIEZlbmF1eDwvYXV0aG9yPjxhdXRo
b3I+TW9uaWthIEJlbGlja292YTwvYXV0aG9yPjxhdXRob3I+TWljaGFlbCBSLiBTYXZvbmE8L2F1
dGhvcj48YXV0aG9yPlZpcmdpbmlhIE0uIEtsaW1lazwvYXV0aG9yPjxhdXRob3I+RmFiaW8gUC4g
Uy4gU2FudG9zPC9hdXRob3I+PGF1dGhvcj5KYWNxdWVsaW5lIEJvdWx0d29vZDwvYXV0aG9yPjxh
dXRob3I+SW9hbm5pcyBLb3RzaWFuaWRpczwvYXV0aG9yPjxhdXRob3I+VmFsZXJpYSBTYW50aW5p
PC9hdXRob3I+PGF1dGhvcj5GcmFuY2VzYyBTb2zDqTwvYXV0aG9yPjxhdXRob3I+VXdlIFBsYXR6
YmVja2VyPC9hdXRob3I+PGF1dGhvcj5NaWNoYWVsIEhldXNlcjwvYXV0aG9yPjxhdXRob3I+UGV0
ZXIgVmFsZW50PC9hdXRob3I+PGF1dGhvcj5LYXp1bWEgT2h5YXNoaWtpPC9hdXRob3I+PGF1dGhv
cj5DYXJsbyBGaW5lbGxpPC9hdXRob3I+PGF1dGhvcj5NYXJpYSBUZXJlc2EgVm9zbzwvYXV0aG9y
PjxhdXRob3I+TGVlLVl1bmcgU2hpaDwvYXV0aG9yPjxhdXRob3I+TWljaGFlbGEgRm9udGVuYXk8
L2F1dGhvcj48YXV0aG9yPkpvb3AgSC4gSmFuc2VuPC9hdXRob3I+PGF1dGhvcj5Kb3PDqSBDZXJ2
ZXJhPC9hdXRob3I+PGF1dGhvcj5Ob3JiZXJ0IEdhdHRlcm1hbm48L2F1dGhvcj48YXV0aG9yPkJl
bmphbWluIEwuIEViZXJ0PC9hdXRob3I+PGF1dGhvcj5SYWZhZWwgQmVqYXI8L2F1dGhvcj48YXV0
aG9yPkx1Y2EgTWFsY292YXRpPC9hdXRob3I+PGF1dGhvcj5NYXJpbyBDYXp6b2xhPC9hdXRob3I+
PGF1dGhvcj5TZWlzaGkgT2dhd2E8L2F1dGhvcj48YXV0aG9yPkV2YSBIZWxsc3Ryw7ZtLUxpbmRi
ZXJnPC9hdXRob3I+PGF1dGhvcj5FbGxpIFBhcGFlbW1hbnVpbDwvYXV0aG9yPjwvYXV0aG9ycz48
L2NvbnRyaWJ1dG9ycz48dGl0bGVzPjx0aXRsZT5Nb2xlY3VsYXIgSW50ZXJuYXRpb25hbCBQcm9n
bm9zdGljIFNjb3JpbmcgU3lzdGVtIGZvciBNeWVsb2R5c3BsYXN0aWMgU3luZHJvbWVzPC90aXRs
ZT48c2Vjb25kYXJ5LXRpdGxlPk5FSk0gRXZpZGVuY2U8L3NlY29uZGFyeS10aXRsZT48L3RpdGxl
cz48cGVyaW9kaWNhbD48ZnVsbC10aXRsZT5ORUpNIEV2aWRlbmNlPC9mdWxsLXRpdGxlPjwvcGVy
aW9kaWNhbD48cGFnZXM+RVZJRG9hMjIwMDAwODwvcGFnZXM+PHZvbHVtZT4xPC92b2x1bWU+PG51
bWJlcj43PC9udW1iZXI+PGRhdGVzPjx5ZWFyPjIwMjI8L3llYXI+PC9kYXRlcz48dXJscz48cmVs
YXRlZC11cmxzPjx1cmw+aHR0cHM6Ly9ldmlkZW5jZS5uZWptLm9yZy9kb2kvYWJzLzEwLjEwNTYv
RVZJRG9hMjIwMDAwOCAlWCBTYW1wbGVzIGZyb20gb3ZlciAyNTAwIHBhdGllbnRzIHdpdGggTURT
IHdlcmUgcHJvZmlsZWQgZm9yIGdlbmUgbXV0YXRpb25zIGFuZCB1c2VkIHRvIGRldmVsb3AgdGhl
IEludGVybmF0aW9uYWwgUHJvZ25vc3RpYyBTY29yaW5nIFN5c3RlbeKAk01vbGVjdWxhciAoSVBT
Uy1NKS4gVFA1M211bHRpaGl0LCBGTFQzIG11dGF0aW9ucywgYW5kIE1MTFBURCB3ZXJlIGlkZW50
aWZpZWQgYXMgdG9wIGdlbmV0aWMgcHJlZGljdG9ycyBvZiBhZHZlcnNlIG91dGNvbWVzLiBJUFNT
LU0gaW1wcm92ZXMgcHJvZ25vc3RpYyBkaXNjcmltaW5hdGlvbiBhY3Jvc3MgYWxsIGNsaW5pY2Fs
IGVuZCBwb2ludHMgdmVyc3VzIHByaW9yIHZlcnNpb25zLjwvdXJsPjwvcmVsYXRlZC11cmxzPjwv
dXJscz48ZWxlY3Ryb25pYy1yZXNvdXJjZS1udW0+ZG9pOjEwLjEwNTYvRVZJRG9hMjIwMDAwODwv
ZWxlY3Ryb25pYy1yZXNvdXJjZS1udW0+PC9yZWNvcmQ+PC9DaXRlPjwvRW5kTm90ZT5=
</w:fldData>
        </w:fldChar>
      </w:r>
      <w:r>
        <w:instrText xml:space="preserve"> ADDIN EN.CITE </w:instrText>
      </w:r>
      <w:r>
        <w:fldChar w:fldCharType="begin">
          <w:fldData xml:space="preserve">PEVuZE5vdGU+PENpdGU+PEF1dGhvcj5CZXJuYXJkPC9BdXRob3I+PFllYXI+MjAyMjwvWWVhcj48
UmVjTnVtPjI0MzwvUmVjTnVtPjxEaXNwbGF5VGV4dD4xMC4mI3g5O0Jlcm5hcmQgRSwgVHVlY2hs
ZXIgSCwgR3JlZW5iZXJnIFBMLCBIYXNzZXJqaWFuIFJQLCBPc3NhIEpFQSwgTmFubnlhIFksIGV0
IGFsLiBNb2xlY3VsYXIgSW50ZXJuYXRpb25hbCBQcm9nbm9zdGljIFNjb3JpbmcgU3lzdGVtIGZv
ciBNeWVsb2R5c3BsYXN0aWMgU3luZHJvbWVzLiBORUpNIEV2aWRlbmNlLiAyMDIyOzEoNyk6RVZJ
RG9hMjIwMDAwOC48L0Rpc3BsYXlUZXh0PjxyZWNvcmQ+PHJlYy1udW1iZXI+MjQzPC9yZWMtbnVt
YmVyPjxmb3JlaWduLWtleXM+PGtleSBhcHA9IkVOIiBkYi1pZD0iZTU5eDI1cnpxMHg5YThlZHB2
OHZmNWQ2YXN4MGRkcGVwdnMwIiB0aW1lc3RhbXA9IjE2NTc0Mjg4MzEiIGd1aWQ9IjM5OWZhZTFm
LWJjMmUtNDE5ZC05NDJhLTZmYjU0MTU4OTQ0OSI+MjQzPC9rZXk+PC9mb3JlaWduLWtleXM+PHJl
Zi10eXBlIG5hbWU9IkpvdXJuYWwgQXJ0aWNsZSI+MTc8L3JlZi10eXBlPjxjb250cmlidXRvcnM+
PGF1dGhvcnM+PGF1dGhvcj5FbHNhIEJlcm5hcmQ8L2F1dGhvcj48YXV0aG9yPkhlaW56IFR1ZWNo
bGVyPC9hdXRob3I+PGF1dGhvcj5QZXRlciBMLiBHcmVlbmJlcmc8L2F1dGhvcj48YXV0aG9yPlJv
YmVydCBQLiBIYXNzZXJqaWFuPC9hdXRob3I+PGF1dGhvcj5KdWFuIEUuIEFyYW5nbyBPc3NhPC9h
dXRob3I+PGF1dGhvcj5ZYXN1aGl0byBOYW5ueWE8L2F1dGhvcj48YXV0aG9yPlNlYW4gTS4gRGV2
bGluPC9hdXRob3I+PGF1dGhvcj5NYXJpYSBDcmVpZ25vdTwvYXV0aG9yPjxhdXRob3I+UGhpbGlw
cGUgUGluZWw8L2F1dGhvcj48YXV0aG9yPkxpbHkgTW9ubmllcjwvYXV0aG9yPjxhdXRob3I+R3Vu
ZXMgR3VuZGVtPC9hdXRob3I+PGF1dGhvcj5KdWFuIFMuIE1lZGluYS1NYXJ0aW5lejwvYXV0aG9y
PjxhdXRob3I+RHlsYW4gRG9tZW5pY288L2F1dGhvcj48YXV0aG9yPk1hcnRpbiBKw6RkZXJzdGVu
PC9hdXRob3I+PGF1dGhvcj5VbHJpY2ggR2VybWluZzwvYXV0aG9yPjxhdXRob3I+R3VpbGxlcm1v
IFNhbno8L2F1dGhvcj48YXV0aG9yPkFyamFuIEEuIHZhbiBkZSBMb29zZHJlY2h0PC9hdXRob3I+
PGF1dGhvcj5PbGl2aWVyIEtvc21pZGVyPC9hdXRob3I+PGF1dGhvcj5NYXRpbGRlIFkuIEZvbGxv
PC9hdXRob3I+PGF1dGhvcj5GZWxpY2l0YXMgVGhvbDwvYXV0aG9yPjxhdXRob3I+THVyZGVzIFph
bW9yYTwvYXV0aG9yPjxhdXRob3I+Um9uYWxkIEYuIFBpbmhlaXJvPC9hdXRob3I+PGF1dGhvcj5B
bmRyZWEgUGVsbGFnYXR0aTwvYXV0aG9yPjxhdXRob3I+SGFyb2xkIEsuIEVsaWFzPC9hdXRob3I+
PGF1dGhvcj5EZXRsZWYgSGFhc2U8L2F1dGhvcj48YXV0aG9yPkNocmlzdGluYSBHYW5zdGVyPC9h
dXRob3I+PGF1dGhvcj5MaW9uZWwgQWRlczwvYXV0aG9yPjxhdXRob3I+TWFnbnVzIFRvYmlhc3Nv
bjwvYXV0aG9yPjxhdXRob3I+TGF1cmEgUGFsb21vPC9hdXRob3I+PGF1dGhvcj5NYXR0ZW8gR2lv
dmFubmkgRGVsbGEgUG9ydGE8L2F1dGhvcj48YXV0aG9yPkFraWZ1bWkgVGFrYW9yaS1Lb25kbzwv
YXV0aG9yPjxhdXRob3I+VGFrYXl1a2kgSXNoaWthd2E8L2F1dGhvcj48YXV0aG9yPlNoaWdlcnUg
Q2hpYmE8L2F1dGhvcj48YXV0aG9yPlNlbmppIEthc2FoYXJhPC9hdXRob3I+PGF1dGhvcj5ZYXN1
c2hpIE1peWF6YWtpPC9hdXRob3I+PGF1dGhvcj5BZ25lcyBWaWFsZTwvYXV0aG9yPjxhdXRob3I+
S2V0eSBIdWJlcm1hbjwvYXV0aG9yPjxhdXRob3I+UGllcnJlIEZlbmF1eDwvYXV0aG9yPjxhdXRo
b3I+TW9uaWthIEJlbGlja292YTwvYXV0aG9yPjxhdXRob3I+TWljaGFlbCBSLiBTYXZvbmE8L2F1
dGhvcj48YXV0aG9yPlZpcmdpbmlhIE0uIEtsaW1lazwvYXV0aG9yPjxhdXRob3I+RmFiaW8gUC4g
Uy4gU2FudG9zPC9hdXRob3I+PGF1dGhvcj5KYWNxdWVsaW5lIEJvdWx0d29vZDwvYXV0aG9yPjxh
dXRob3I+SW9hbm5pcyBLb3RzaWFuaWRpczwvYXV0aG9yPjxhdXRob3I+VmFsZXJpYSBTYW50aW5p
PC9hdXRob3I+PGF1dGhvcj5GcmFuY2VzYyBTb2zDqTwvYXV0aG9yPjxhdXRob3I+VXdlIFBsYXR6
YmVja2VyPC9hdXRob3I+PGF1dGhvcj5NaWNoYWVsIEhldXNlcjwvYXV0aG9yPjxhdXRob3I+UGV0
ZXIgVmFsZW50PC9hdXRob3I+PGF1dGhvcj5LYXp1bWEgT2h5YXNoaWtpPC9hdXRob3I+PGF1dGhv
cj5DYXJsbyBGaW5lbGxpPC9hdXRob3I+PGF1dGhvcj5NYXJpYSBUZXJlc2EgVm9zbzwvYXV0aG9y
PjxhdXRob3I+TGVlLVl1bmcgU2hpaDwvYXV0aG9yPjxhdXRob3I+TWljaGFlbGEgRm9udGVuYXk8
L2F1dGhvcj48YXV0aG9yPkpvb3AgSC4gSmFuc2VuPC9hdXRob3I+PGF1dGhvcj5Kb3PDqSBDZXJ2
ZXJhPC9hdXRob3I+PGF1dGhvcj5Ob3JiZXJ0IEdhdHRlcm1hbm48L2F1dGhvcj48YXV0aG9yPkJl
bmphbWluIEwuIEViZXJ0PC9hdXRob3I+PGF1dGhvcj5SYWZhZWwgQmVqYXI8L2F1dGhvcj48YXV0
aG9yPkx1Y2EgTWFsY292YXRpPC9hdXRob3I+PGF1dGhvcj5NYXJpbyBDYXp6b2xhPC9hdXRob3I+
PGF1dGhvcj5TZWlzaGkgT2dhd2E8L2F1dGhvcj48YXV0aG9yPkV2YSBIZWxsc3Ryw7ZtLUxpbmRi
ZXJnPC9hdXRob3I+PGF1dGhvcj5FbGxpIFBhcGFlbW1hbnVpbDwvYXV0aG9yPjwvYXV0aG9ycz48
L2NvbnRyaWJ1dG9ycz48dGl0bGVzPjx0aXRsZT5Nb2xlY3VsYXIgSW50ZXJuYXRpb25hbCBQcm9n
bm9zdGljIFNjb3JpbmcgU3lzdGVtIGZvciBNeWVsb2R5c3BsYXN0aWMgU3luZHJvbWVzPC90aXRs
ZT48c2Vjb25kYXJ5LXRpdGxlPk5FSk0gRXZpZGVuY2U8L3NlY29uZGFyeS10aXRsZT48L3RpdGxl
cz48cGVyaW9kaWNhbD48ZnVsbC10aXRsZT5ORUpNIEV2aWRlbmNlPC9mdWxsLXRpdGxlPjwvcGVy
aW9kaWNhbD48cGFnZXM+RVZJRG9hMjIwMDAwODwvcGFnZXM+PHZvbHVtZT4xPC92b2x1bWU+PG51
bWJlcj43PC9udW1iZXI+PGRhdGVzPjx5ZWFyPjIwMjI8L3llYXI+PC9kYXRlcz48dXJscz48cmVs
YXRlZC11cmxzPjx1cmw+aHR0cHM6Ly9ldmlkZW5jZS5uZWptLm9yZy9kb2kvYWJzLzEwLjEwNTYv
RVZJRG9hMjIwMDAwOCAlWCBTYW1wbGVzIGZyb20gb3ZlciAyNTAwIHBhdGllbnRzIHdpdGggTURT
IHdlcmUgcHJvZmlsZWQgZm9yIGdlbmUgbXV0YXRpb25zIGFuZCB1c2VkIHRvIGRldmVsb3AgdGhl
IEludGVybmF0aW9uYWwgUHJvZ25vc3RpYyBTY29yaW5nIFN5c3RlbeKAk01vbGVjdWxhciAoSVBT
Uy1NKS4gVFA1M211bHRpaGl0LCBGTFQzIG11dGF0aW9ucywgYW5kIE1MTFBURCB3ZXJlIGlkZW50
aWZpZWQgYXMgdG9wIGdlbmV0aWMgcHJlZGljdG9ycyBvZiBhZHZlcnNlIG91dGNvbWVzLiBJUFNT
LU0gaW1wcm92ZXMgcHJvZ25vc3RpYyBkaXNjcmltaW5hdGlvbiBhY3Jvc3MgYWxsIGNsaW5pY2Fs
IGVuZCBwb2ludHMgdmVyc3VzIHByaW9yIHZlcnNpb25zLjwvdXJsPjwvcmVsYXRlZC11cmxzPjwv
dXJscz48ZWxlY3Ryb25pYy1yZXNvdXJjZS1udW0+ZG9pOjEwLjEwNTYvRVZJRG9hMjIwMDAwODwv
ZWxlY3Ryb25pYy1yZXNvdXJjZS1udW0+PC9yZWNvcmQ+PC9DaXRlPjwvRW5kTm90ZT5=
</w:fldData>
        </w:fldChar>
      </w:r>
      <w:r>
        <w:instrText xml:space="preserve"> ADDIN EN.CITE.DATA </w:instrText>
      </w:r>
      <w:r>
        <w:fldChar w:fldCharType="end"/>
      </w:r>
      <w:r>
        <w:fldChar w:fldCharType="separate"/>
      </w:r>
      <w:r>
        <w:rPr>
          <w:noProof/>
        </w:rPr>
        <w:t>10.</w:t>
      </w:r>
      <w:r>
        <w:rPr>
          <w:noProof/>
        </w:rPr>
        <w:tab/>
        <w:t>Bernard E, Tuechler H, Greenberg PL, Hasserjian RP, Ossa JEA, Nannya Y, et al. Molecular International Prognostic Scoring System for Myelodysplastic Syndromes. NEJM Evidence. 2022;1(7):EVIDoa2200008.</w:t>
      </w:r>
      <w:r>
        <w:fldChar w:fldCharType="end"/>
      </w:r>
    </w:p>
  </w:footnote>
  <w:footnote w:id="15">
    <w:p w14:paraId="6A83F111" w14:textId="4AB18E89" w:rsidR="009E1F5B" w:rsidRDefault="009E1F5B" w:rsidP="00B4015D">
      <w:pPr>
        <w:pStyle w:val="FootnoteText"/>
      </w:pPr>
      <w:r>
        <w:rPr>
          <w:rStyle w:val="FootnoteReference"/>
        </w:rPr>
        <w:footnoteRef/>
      </w:r>
      <w:r>
        <w:t xml:space="preserve"> </w:t>
      </w:r>
      <w:r>
        <w:fldChar w:fldCharType="begin">
          <w:fldData xml:space="preserve">PEVuZE5vdGU+PENpdGU+PEF1dGhvcj5LaG91cnk8L0F1dGhvcj48WWVhcj4yMDIyPC9ZZWFyPjxS
ZWNOdW0+MjY5PC9SZWNOdW0+PERpc3BsYXlUZXh0PjExLiYjeDk7S2hvdXJ5IEpELCBTb2xhcnkg
RSwgQWJsYSBPLCBBa2thcmkgWSwgQWxhZ2dpbyBSLCBBcHBlcmxleSBKRiwgZXQgYWwuIFRoZSA1
dGggZWRpdGlvbiBvZiB0aGUgV29ybGQgSGVhbHRoIE9yZ2FuaXphdGlvbiBDbGFzc2lmaWNhdGlv
biBvZiBIYWVtYXRvbHltcGhvaWQgVHVtb3VyczogTXllbG9pZCBhbmQgSGlzdGlvY3l0aWMvRGVu
ZHJpdGljwqBOZW9wbGFzbXMuIExldWtlbWlhLiAyMDIyOzM2KDcpOjE3MDMtMTkuPC9EaXNwbGF5
VGV4dD48cmVjb3JkPjxyZWMtbnVtYmVyPjI2OTwvcmVjLW51bWJlcj48Zm9yZWlnbi1rZXlzPjxr
ZXkgYXBwPSJFTiIgZGItaWQ9ImU1OXgyNXJ6cTB4OWE4ZWRwdjh2ZjVkNmFzeDBkZHBlcHZzMCIg
dGltZXN0YW1wPSIxNjU4MTEyNzA4IiBndWlkPSIyYjM1MTFhZi1lOTZhLTQ4ODctOTA2Yi04MGQ3
NDhkNWRkYjgiPjI2OTwva2V5PjwvZm9yZWlnbi1rZXlzPjxyZWYtdHlwZSBuYW1lPSJKb3VybmFs
IEFydGljbGUiPjE3PC9yZWYtdHlwZT48Y29udHJpYnV0b3JzPjxhdXRob3JzPjxhdXRob3I+S2hv
dXJ5LCBKb3NlcGggRC48L2F1dGhvcj48YXV0aG9yPlNvbGFyeSwgRXJpYzwvYXV0aG9yPjxhdXRo
b3I+QWJsYSwgT3Vzc2FtYTwvYXV0aG9yPjxhdXRob3I+QWtrYXJpLCBZYXNzbWluZTwvYXV0aG9y
PjxhdXRob3I+QWxhZ2dpbywgUml0YTwvYXV0aG9yPjxhdXRob3I+QXBwZXJsZXksIEphbmUgRi48
L2F1dGhvcj48YXV0aG9yPkJlamFyLCBSYWZhZWw8L2F1dGhvcj48YXV0aG9yPkJlcnRpLCBFbWls
aW88L2F1dGhvcj48YXV0aG9yPkJ1c3F1ZSwgTGFtYmVydDwvYXV0aG9yPjxhdXRob3I+Q2hhbiwg
Sm9obiBLLiBDLjwvYXV0aG9yPjxhdXRob3I+Q2hlbiwgV2VpbmE8L2F1dGhvcj48YXV0aG9yPkNo
ZW4sIFh1ZXlhbjwvYXV0aG9yPjxhdXRob3I+Q2huZywgV2VlLUpvbzwvYXV0aG9yPjxhdXRob3I+
Q2hvaSwgSm9obiBLLjwvYXV0aG9yPjxhdXRob3I+Q29sbWVuZXJvLCBJc2FiZWw8L2F1dGhvcj48
YXV0aG9yPkNvdXBsYW5kLCBTYXJhaCBFLjwvYXV0aG9yPjxhdXRob3I+Q3Jvc3MsIE5pY2hvbGFz
IEMuIFAuPC9hdXRob3I+PGF1dGhvcj5EZSBKb25nLCBEYXBobmU8L2F1dGhvcj48YXV0aG9yPkVs
Z2hldGFueSwgTS4gVGFyZWs8L2F1dGhvcj48YXV0aG9yPlRha2FoYXNoaSwgRW1pa288L2F1dGhv
cj48YXV0aG9yPkVtaWxlLCBKZWFuLUZyYW5jb2lzPC9hdXRob3I+PGF1dGhvcj5GZXJyeSwgSnVk
aXRoPC9hdXRob3I+PGF1dGhvcj5Gb2dlbHN0cmFuZCwgTGluZGE8L2F1dGhvcj48YXV0aG9yPkZv
bnRlbmF5LCBNaWNoYWVsYTwvYXV0aG9yPjxhdXRob3I+R2VybWluZywgVWxyaWNoPC9hdXRob3I+
PGF1dGhvcj5HdWpyYWwsIFN1bWVldDwvYXV0aG9yPjxhdXRob3I+SGFmZXJsYWNoLCBUb3JzdGVu
PC9hdXRob3I+PGF1dGhvcj5IYXJyaXNvbiwgQ2xhaXJlPC9hdXRob3I+PGF1dGhvcj5Ib2RnZSwg
SmVubmVsbGUgQy48L2F1dGhvcj48YXV0aG9yPkh1LCBTaGltaW48L2F1dGhvcj48YXV0aG9yPkph
bnNlbiwgSm9vcCBILjwvYXV0aG9yPjxhdXRob3I+S2FuYWdhbC1TaGFtYW5uYSwgUmFzaG1pPC9h
dXRob3I+PGF1dGhvcj5LYW50YXJqaWFuLCBIYWdvcCBNLjwvYXV0aG9yPjxhdXRob3I+S3JhdHos
IENocmlzdGlhbiBQLjwvYXV0aG9yPjxhdXRob3I+TGksIFhpYW8tUWl1PC9hdXRob3I+PGF1dGhv
cj5MaW0sIE1lZ2FuIFMuPC9hdXRob3I+PGF1dGhvcj5Mb2ViLCBLZWl0aDwvYXV0aG9yPjxhdXRo
b3I+TG9naGF2aSwgU2FuYW08L2F1dGhvcj48YXV0aG9yPk1hcmNvZ2xpZXNlLCBBbmRyZWE8L2F1
dGhvcj48YXV0aG9yPk1lc2hpbmNoaSwgU29oZWlsPC9hdXRob3I+PGF1dGhvcj5NaWNoYWVscywg
UGhpbGxpcDwvYXV0aG9yPjxhdXRob3I+TmFyZXNoLCBLaWtrZXJpIE4uPC9hdXRob3I+PGF1dGhv
cj5OYXRrdW5hbSwgWWFzb2RoYTwvYXV0aG9yPjxhdXRob3I+TmVqYXRpLCBSZXphPC9hdXRob3I+
PGF1dGhvcj5PdHQsIEdlcm1hbjwvYXV0aG9yPjxhdXRob3I+UGFkcm9uLCBFcmljPC9hdXRob3I+
PGF1dGhvcj5QYXRlbCwgS2V5dXIgUC48L2F1dGhvcj48YXV0aG9yPlBhdGthciwgTmlraGlsPC9h
dXRob3I+PGF1dGhvcj5QaWNhcnNpYywgSmVubmlmZXI8L2F1dGhvcj48YXV0aG9yPlBsYXR6YmVj
a2VyLCBVd2U8L2F1dGhvcj48YXV0aG9yPlJvYmVydHMsIElyZW5lPC9hdXRob3I+PGF1dGhvcj5T
Y2h1aCwgQW5uYTwvYXV0aG9yPjxhdXRob3I+U2V3ZWxsLCBXaWxsaWFtPC9hdXRob3I+PGF1dGhv
cj5TaWViZXJ0LCBSZWluZXI8L2F1dGhvcj48YXV0aG9yPlRlbWJoYXJlLCBQcmFzaGFudDwvYXV0
aG9yPjxhdXRob3I+VHluZXIsIEplZmZyZXk8L2F1dGhvcj48YXV0aG9yPlZlcnN0b3ZzZWssIFNy
ZGFuPC9hdXRob3I+PGF1dGhvcj5XYW5nLCBXZWk8L2F1dGhvcj48YXV0aG9yPldvb2QsIEJyZW50
PC9hdXRob3I+PGF1dGhvcj5YaWFvLCBXZW5iaW48L2F1dGhvcj48YXV0aG9yPllldW5nLCBDZWNp
bGlhPC9hdXRob3I+PGF1dGhvcj5Ib2NoaGF1cywgQW5kcmVhczwvYXV0aG9yPjwvYXV0aG9ycz48
L2NvbnRyaWJ1dG9ycz48dGl0bGVzPjx0aXRsZT5UaGUgNXRoIGVkaXRpb24gb2YgdGhlIFdvcmxk
IEhlYWx0aCBPcmdhbml6YXRpb24gQ2xhc3NpZmljYXRpb24gb2YgSGFlbWF0b2x5bXBob2lkIFR1
bW91cnM6IE15ZWxvaWQgYW5kIEhpc3Rpb2N5dGljL0RlbmRyaXRpY8KgTmVvcGxhc21zPC90aXRs
ZT48c2Vjb25kYXJ5LXRpdGxlPkxldWtlbWlhPC9zZWNvbmRhcnktdGl0bGU+PC90aXRsZXM+PHBl
cmlvZGljYWw+PGZ1bGwtdGl0bGU+TGV1a2VtaWE8L2Z1bGwtdGl0bGU+PC9wZXJpb2RpY2FsPjxw
YWdlcz4xNzAzLTE3MTk8L3BhZ2VzPjx2b2x1bWU+MzY8L3ZvbHVtZT48bnVtYmVyPjc8L251bWJl
cj48ZGF0ZXM+PHllYXI+MjAyMjwveWVhcj48cHViLWRhdGVzPjxkYXRlPjIwMjIvMDcvMDE8L2Rh
dGU+PC9wdWItZGF0ZXM+PC9kYXRlcz48aXNibj4xNDc2LTU1NTE8L2lzYm4+PHVybHM+PHJlbGF0
ZWQtdXJscz48dXJsPmh0dHBzOi8vZG9pLm9yZy8xMC4xMDM4L3M0MTM3NS0wMjItMDE2MTMtMTwv
dXJsPjwvcmVsYXRlZC11cmxzPjwvdXJscz48ZWxlY3Ryb25pYy1yZXNvdXJjZS1udW0+MTAuMTAz
OC9zNDEzNzUtMDIyLTAxNjEzLTE8L2VsZWN0cm9uaWMtcmVzb3VyY2UtbnVtPjwvcmVjb3JkPjwv
Q2l0ZT48L0VuZE5vdGU+
</w:fldData>
        </w:fldChar>
      </w:r>
      <w:r>
        <w:instrText xml:space="preserve"> ADDIN EN.CITE </w:instrText>
      </w:r>
      <w:r>
        <w:fldChar w:fldCharType="begin">
          <w:fldData xml:space="preserve">PEVuZE5vdGU+PENpdGU+PEF1dGhvcj5LaG91cnk8L0F1dGhvcj48WWVhcj4yMDIyPC9ZZWFyPjxS
ZWNOdW0+MjY5PC9SZWNOdW0+PERpc3BsYXlUZXh0PjExLiYjeDk7S2hvdXJ5IEpELCBTb2xhcnkg
RSwgQWJsYSBPLCBBa2thcmkgWSwgQWxhZ2dpbyBSLCBBcHBlcmxleSBKRiwgZXQgYWwuIFRoZSA1
dGggZWRpdGlvbiBvZiB0aGUgV29ybGQgSGVhbHRoIE9yZ2FuaXphdGlvbiBDbGFzc2lmaWNhdGlv
biBvZiBIYWVtYXRvbHltcGhvaWQgVHVtb3VyczogTXllbG9pZCBhbmQgSGlzdGlvY3l0aWMvRGVu
ZHJpdGljwqBOZW9wbGFzbXMuIExldWtlbWlhLiAyMDIyOzM2KDcpOjE3MDMtMTkuPC9EaXNwbGF5
VGV4dD48cmVjb3JkPjxyZWMtbnVtYmVyPjI2OTwvcmVjLW51bWJlcj48Zm9yZWlnbi1rZXlzPjxr
ZXkgYXBwPSJFTiIgZGItaWQ9ImU1OXgyNXJ6cTB4OWE4ZWRwdjh2ZjVkNmFzeDBkZHBlcHZzMCIg
dGltZXN0YW1wPSIxNjU4MTEyNzA4IiBndWlkPSIyYjM1MTFhZi1lOTZhLTQ4ODctOTA2Yi04MGQ3
NDhkNWRkYjgiPjI2OTwva2V5PjwvZm9yZWlnbi1rZXlzPjxyZWYtdHlwZSBuYW1lPSJKb3VybmFs
IEFydGljbGUiPjE3PC9yZWYtdHlwZT48Y29udHJpYnV0b3JzPjxhdXRob3JzPjxhdXRob3I+S2hv
dXJ5LCBKb3NlcGggRC48L2F1dGhvcj48YXV0aG9yPlNvbGFyeSwgRXJpYzwvYXV0aG9yPjxhdXRo
b3I+QWJsYSwgT3Vzc2FtYTwvYXV0aG9yPjxhdXRob3I+QWtrYXJpLCBZYXNzbWluZTwvYXV0aG9y
PjxhdXRob3I+QWxhZ2dpbywgUml0YTwvYXV0aG9yPjxhdXRob3I+QXBwZXJsZXksIEphbmUgRi48
L2F1dGhvcj48YXV0aG9yPkJlamFyLCBSYWZhZWw8L2F1dGhvcj48YXV0aG9yPkJlcnRpLCBFbWls
aW88L2F1dGhvcj48YXV0aG9yPkJ1c3F1ZSwgTGFtYmVydDwvYXV0aG9yPjxhdXRob3I+Q2hhbiwg
Sm9obiBLLiBDLjwvYXV0aG9yPjxhdXRob3I+Q2hlbiwgV2VpbmE8L2F1dGhvcj48YXV0aG9yPkNo
ZW4sIFh1ZXlhbjwvYXV0aG9yPjxhdXRob3I+Q2huZywgV2VlLUpvbzwvYXV0aG9yPjxhdXRob3I+
Q2hvaSwgSm9obiBLLjwvYXV0aG9yPjxhdXRob3I+Q29sbWVuZXJvLCBJc2FiZWw8L2F1dGhvcj48
YXV0aG9yPkNvdXBsYW5kLCBTYXJhaCBFLjwvYXV0aG9yPjxhdXRob3I+Q3Jvc3MsIE5pY2hvbGFz
IEMuIFAuPC9hdXRob3I+PGF1dGhvcj5EZSBKb25nLCBEYXBobmU8L2F1dGhvcj48YXV0aG9yPkVs
Z2hldGFueSwgTS4gVGFyZWs8L2F1dGhvcj48YXV0aG9yPlRha2FoYXNoaSwgRW1pa288L2F1dGhv
cj48YXV0aG9yPkVtaWxlLCBKZWFuLUZyYW5jb2lzPC9hdXRob3I+PGF1dGhvcj5GZXJyeSwgSnVk
aXRoPC9hdXRob3I+PGF1dGhvcj5Gb2dlbHN0cmFuZCwgTGluZGE8L2F1dGhvcj48YXV0aG9yPkZv
bnRlbmF5LCBNaWNoYWVsYTwvYXV0aG9yPjxhdXRob3I+R2VybWluZywgVWxyaWNoPC9hdXRob3I+
PGF1dGhvcj5HdWpyYWwsIFN1bWVldDwvYXV0aG9yPjxhdXRob3I+SGFmZXJsYWNoLCBUb3JzdGVu
PC9hdXRob3I+PGF1dGhvcj5IYXJyaXNvbiwgQ2xhaXJlPC9hdXRob3I+PGF1dGhvcj5Ib2RnZSwg
SmVubmVsbGUgQy48L2F1dGhvcj48YXV0aG9yPkh1LCBTaGltaW48L2F1dGhvcj48YXV0aG9yPkph
bnNlbiwgSm9vcCBILjwvYXV0aG9yPjxhdXRob3I+S2FuYWdhbC1TaGFtYW5uYSwgUmFzaG1pPC9h
dXRob3I+PGF1dGhvcj5LYW50YXJqaWFuLCBIYWdvcCBNLjwvYXV0aG9yPjxhdXRob3I+S3JhdHos
IENocmlzdGlhbiBQLjwvYXV0aG9yPjxhdXRob3I+TGksIFhpYW8tUWl1PC9hdXRob3I+PGF1dGhv
cj5MaW0sIE1lZ2FuIFMuPC9hdXRob3I+PGF1dGhvcj5Mb2ViLCBLZWl0aDwvYXV0aG9yPjxhdXRo
b3I+TG9naGF2aSwgU2FuYW08L2F1dGhvcj48YXV0aG9yPk1hcmNvZ2xpZXNlLCBBbmRyZWE8L2F1
dGhvcj48YXV0aG9yPk1lc2hpbmNoaSwgU29oZWlsPC9hdXRob3I+PGF1dGhvcj5NaWNoYWVscywg
UGhpbGxpcDwvYXV0aG9yPjxhdXRob3I+TmFyZXNoLCBLaWtrZXJpIE4uPC9hdXRob3I+PGF1dGhv
cj5OYXRrdW5hbSwgWWFzb2RoYTwvYXV0aG9yPjxhdXRob3I+TmVqYXRpLCBSZXphPC9hdXRob3I+
PGF1dGhvcj5PdHQsIEdlcm1hbjwvYXV0aG9yPjxhdXRob3I+UGFkcm9uLCBFcmljPC9hdXRob3I+
PGF1dGhvcj5QYXRlbCwgS2V5dXIgUC48L2F1dGhvcj48YXV0aG9yPlBhdGthciwgTmlraGlsPC9h
dXRob3I+PGF1dGhvcj5QaWNhcnNpYywgSmVubmlmZXI8L2F1dGhvcj48YXV0aG9yPlBsYXR6YmVj
a2VyLCBVd2U8L2F1dGhvcj48YXV0aG9yPlJvYmVydHMsIElyZW5lPC9hdXRob3I+PGF1dGhvcj5T
Y2h1aCwgQW5uYTwvYXV0aG9yPjxhdXRob3I+U2V3ZWxsLCBXaWxsaWFtPC9hdXRob3I+PGF1dGhv
cj5TaWViZXJ0LCBSZWluZXI8L2F1dGhvcj48YXV0aG9yPlRlbWJoYXJlLCBQcmFzaGFudDwvYXV0
aG9yPjxhdXRob3I+VHluZXIsIEplZmZyZXk8L2F1dGhvcj48YXV0aG9yPlZlcnN0b3ZzZWssIFNy
ZGFuPC9hdXRob3I+PGF1dGhvcj5XYW5nLCBXZWk8L2F1dGhvcj48YXV0aG9yPldvb2QsIEJyZW50
PC9hdXRob3I+PGF1dGhvcj5YaWFvLCBXZW5iaW48L2F1dGhvcj48YXV0aG9yPllldW5nLCBDZWNp
bGlhPC9hdXRob3I+PGF1dGhvcj5Ib2NoaGF1cywgQW5kcmVhczwvYXV0aG9yPjwvYXV0aG9ycz48
L2NvbnRyaWJ1dG9ycz48dGl0bGVzPjx0aXRsZT5UaGUgNXRoIGVkaXRpb24gb2YgdGhlIFdvcmxk
IEhlYWx0aCBPcmdhbml6YXRpb24gQ2xhc3NpZmljYXRpb24gb2YgSGFlbWF0b2x5bXBob2lkIFR1
bW91cnM6IE15ZWxvaWQgYW5kIEhpc3Rpb2N5dGljL0RlbmRyaXRpY8KgTmVvcGxhc21zPC90aXRs
ZT48c2Vjb25kYXJ5LXRpdGxlPkxldWtlbWlhPC9zZWNvbmRhcnktdGl0bGU+PC90aXRsZXM+PHBl
cmlvZGljYWw+PGZ1bGwtdGl0bGU+TGV1a2VtaWE8L2Z1bGwtdGl0bGU+PC9wZXJpb2RpY2FsPjxw
YWdlcz4xNzAzLTE3MTk8L3BhZ2VzPjx2b2x1bWU+MzY8L3ZvbHVtZT48bnVtYmVyPjc8L251bWJl
cj48ZGF0ZXM+PHllYXI+MjAyMjwveWVhcj48cHViLWRhdGVzPjxkYXRlPjIwMjIvMDcvMDE8L2Rh
dGU+PC9wdWItZGF0ZXM+PC9kYXRlcz48aXNibj4xNDc2LTU1NTE8L2lzYm4+PHVybHM+PHJlbGF0
ZWQtdXJscz48dXJsPmh0dHBzOi8vZG9pLm9yZy8xMC4xMDM4L3M0MTM3NS0wMjItMDE2MTMtMTwv
dXJsPjwvcmVsYXRlZC11cmxzPjwvdXJscz48ZWxlY3Ryb25pYy1yZXNvdXJjZS1udW0+MTAuMTAz
OC9zNDEzNzUtMDIyLTAxNjEzLTE8L2VsZWN0cm9uaWMtcmVzb3VyY2UtbnVtPjwvcmVjb3JkPjwv
Q2l0ZT48L0VuZE5vdGU+
</w:fldData>
        </w:fldChar>
      </w:r>
      <w:r>
        <w:instrText xml:space="preserve"> ADDIN EN.CITE.DATA </w:instrText>
      </w:r>
      <w:r>
        <w:fldChar w:fldCharType="end"/>
      </w:r>
      <w:r>
        <w:fldChar w:fldCharType="separate"/>
      </w:r>
      <w:r>
        <w:rPr>
          <w:noProof/>
        </w:rPr>
        <w:t>11.</w:t>
      </w:r>
      <w:r>
        <w:rPr>
          <w:noProof/>
        </w:rPr>
        <w:tab/>
        <w:t>Khoury JD, Solary E, Abla O, Akkari Y, Alaggio R, Apperley JF, et al. The 5th edition of the World Health Organization Classification of Haematolymphoid Tumours: Myeloid and Histiocytic/Dendritic Neoplasms. Leukemia. 2022;36(7):1703-19.</w:t>
      </w:r>
      <w:r>
        <w:fldChar w:fldCharType="end"/>
      </w:r>
    </w:p>
  </w:footnote>
  <w:footnote w:id="16">
    <w:p w14:paraId="62C4036C" w14:textId="1C5E070B" w:rsidR="009E1F5B" w:rsidRDefault="009E1F5B" w:rsidP="00B4015D">
      <w:pPr>
        <w:pStyle w:val="FootnoteText"/>
      </w:pPr>
      <w:r>
        <w:rPr>
          <w:rStyle w:val="FootnoteReference"/>
        </w:rPr>
        <w:footnoteRef/>
      </w:r>
      <w:r>
        <w:t xml:space="preserve"> </w:t>
      </w:r>
      <w:r>
        <w:fldChar w:fldCharType="begin">
          <w:fldData xml:space="preserve">PEVuZE5vdGU+PENpdGU+PEF1dGhvcj5CZXJuYXJkPC9BdXRob3I+PFllYXI+MjAyMjwvWWVhcj48
UmVjTnVtPjI0MzwvUmVjTnVtPjxEaXNwbGF5VGV4dD4xMC4mI3g5O0Jlcm5hcmQgRSwgVHVlY2hs
ZXIgSCwgR3JlZW5iZXJnIFBMLCBIYXNzZXJqaWFuIFJQLCBPc3NhIEpFQSwgTmFubnlhIFksIGV0
IGFsLiBNb2xlY3VsYXIgSW50ZXJuYXRpb25hbCBQcm9nbm9zdGljIFNjb3JpbmcgU3lzdGVtIGZv
ciBNeWVsb2R5c3BsYXN0aWMgU3luZHJvbWVzLiBORUpNIEV2aWRlbmNlLiAyMDIyOzEoNyk6RVZJ
RG9hMjIwMDAwOC48L0Rpc3BsYXlUZXh0PjxyZWNvcmQ+PHJlYy1udW1iZXI+MjQzPC9yZWMtbnVt
YmVyPjxmb3JlaWduLWtleXM+PGtleSBhcHA9IkVOIiBkYi1pZD0iZTU5eDI1cnpxMHg5YThlZHB2
OHZmNWQ2YXN4MGRkcGVwdnMwIiB0aW1lc3RhbXA9IjE2NTc0Mjg4MzEiIGd1aWQ9IjM5OWZhZTFm
LWJjMmUtNDE5ZC05NDJhLTZmYjU0MTU4OTQ0OSI+MjQzPC9rZXk+PC9mb3JlaWduLWtleXM+PHJl
Zi10eXBlIG5hbWU9IkpvdXJuYWwgQXJ0aWNsZSI+MTc8L3JlZi10eXBlPjxjb250cmlidXRvcnM+
PGF1dGhvcnM+PGF1dGhvcj5FbHNhIEJlcm5hcmQ8L2F1dGhvcj48YXV0aG9yPkhlaW56IFR1ZWNo
bGVyPC9hdXRob3I+PGF1dGhvcj5QZXRlciBMLiBHcmVlbmJlcmc8L2F1dGhvcj48YXV0aG9yPlJv
YmVydCBQLiBIYXNzZXJqaWFuPC9hdXRob3I+PGF1dGhvcj5KdWFuIEUuIEFyYW5nbyBPc3NhPC9h
dXRob3I+PGF1dGhvcj5ZYXN1aGl0byBOYW5ueWE8L2F1dGhvcj48YXV0aG9yPlNlYW4gTS4gRGV2
bGluPC9hdXRob3I+PGF1dGhvcj5NYXJpYSBDcmVpZ25vdTwvYXV0aG9yPjxhdXRob3I+UGhpbGlw
cGUgUGluZWw8L2F1dGhvcj48YXV0aG9yPkxpbHkgTW9ubmllcjwvYXV0aG9yPjxhdXRob3I+R3Vu
ZXMgR3VuZGVtPC9hdXRob3I+PGF1dGhvcj5KdWFuIFMuIE1lZGluYS1NYXJ0aW5lejwvYXV0aG9y
PjxhdXRob3I+RHlsYW4gRG9tZW5pY288L2F1dGhvcj48YXV0aG9yPk1hcnRpbiBKw6RkZXJzdGVu
PC9hdXRob3I+PGF1dGhvcj5VbHJpY2ggR2VybWluZzwvYXV0aG9yPjxhdXRob3I+R3VpbGxlcm1v
IFNhbno8L2F1dGhvcj48YXV0aG9yPkFyamFuIEEuIHZhbiBkZSBMb29zZHJlY2h0PC9hdXRob3I+
PGF1dGhvcj5PbGl2aWVyIEtvc21pZGVyPC9hdXRob3I+PGF1dGhvcj5NYXRpbGRlIFkuIEZvbGxv
PC9hdXRob3I+PGF1dGhvcj5GZWxpY2l0YXMgVGhvbDwvYXV0aG9yPjxhdXRob3I+THVyZGVzIFph
bW9yYTwvYXV0aG9yPjxhdXRob3I+Um9uYWxkIEYuIFBpbmhlaXJvPC9hdXRob3I+PGF1dGhvcj5B
bmRyZWEgUGVsbGFnYXR0aTwvYXV0aG9yPjxhdXRob3I+SGFyb2xkIEsuIEVsaWFzPC9hdXRob3I+
PGF1dGhvcj5EZXRsZWYgSGFhc2U8L2F1dGhvcj48YXV0aG9yPkNocmlzdGluYSBHYW5zdGVyPC9h
dXRob3I+PGF1dGhvcj5MaW9uZWwgQWRlczwvYXV0aG9yPjxhdXRob3I+TWFnbnVzIFRvYmlhc3Nv
bjwvYXV0aG9yPjxhdXRob3I+TGF1cmEgUGFsb21vPC9hdXRob3I+PGF1dGhvcj5NYXR0ZW8gR2lv
dmFubmkgRGVsbGEgUG9ydGE8L2F1dGhvcj48YXV0aG9yPkFraWZ1bWkgVGFrYW9yaS1Lb25kbzwv
YXV0aG9yPjxhdXRob3I+VGFrYXl1a2kgSXNoaWthd2E8L2F1dGhvcj48YXV0aG9yPlNoaWdlcnUg
Q2hpYmE8L2F1dGhvcj48YXV0aG9yPlNlbmppIEthc2FoYXJhPC9hdXRob3I+PGF1dGhvcj5ZYXN1
c2hpIE1peWF6YWtpPC9hdXRob3I+PGF1dGhvcj5BZ25lcyBWaWFsZTwvYXV0aG9yPjxhdXRob3I+
S2V0eSBIdWJlcm1hbjwvYXV0aG9yPjxhdXRob3I+UGllcnJlIEZlbmF1eDwvYXV0aG9yPjxhdXRo
b3I+TW9uaWthIEJlbGlja292YTwvYXV0aG9yPjxhdXRob3I+TWljaGFlbCBSLiBTYXZvbmE8L2F1
dGhvcj48YXV0aG9yPlZpcmdpbmlhIE0uIEtsaW1lazwvYXV0aG9yPjxhdXRob3I+RmFiaW8gUC4g
Uy4gU2FudG9zPC9hdXRob3I+PGF1dGhvcj5KYWNxdWVsaW5lIEJvdWx0d29vZDwvYXV0aG9yPjxh
dXRob3I+SW9hbm5pcyBLb3RzaWFuaWRpczwvYXV0aG9yPjxhdXRob3I+VmFsZXJpYSBTYW50aW5p
PC9hdXRob3I+PGF1dGhvcj5GcmFuY2VzYyBTb2zDqTwvYXV0aG9yPjxhdXRob3I+VXdlIFBsYXR6
YmVja2VyPC9hdXRob3I+PGF1dGhvcj5NaWNoYWVsIEhldXNlcjwvYXV0aG9yPjxhdXRob3I+UGV0
ZXIgVmFsZW50PC9hdXRob3I+PGF1dGhvcj5LYXp1bWEgT2h5YXNoaWtpPC9hdXRob3I+PGF1dGhv
cj5DYXJsbyBGaW5lbGxpPC9hdXRob3I+PGF1dGhvcj5NYXJpYSBUZXJlc2EgVm9zbzwvYXV0aG9y
PjxhdXRob3I+TGVlLVl1bmcgU2hpaDwvYXV0aG9yPjxhdXRob3I+TWljaGFlbGEgRm9udGVuYXk8
L2F1dGhvcj48YXV0aG9yPkpvb3AgSC4gSmFuc2VuPC9hdXRob3I+PGF1dGhvcj5Kb3PDqSBDZXJ2
ZXJhPC9hdXRob3I+PGF1dGhvcj5Ob3JiZXJ0IEdhdHRlcm1hbm48L2F1dGhvcj48YXV0aG9yPkJl
bmphbWluIEwuIEViZXJ0PC9hdXRob3I+PGF1dGhvcj5SYWZhZWwgQmVqYXI8L2F1dGhvcj48YXV0
aG9yPkx1Y2EgTWFsY292YXRpPC9hdXRob3I+PGF1dGhvcj5NYXJpbyBDYXp6b2xhPC9hdXRob3I+
PGF1dGhvcj5TZWlzaGkgT2dhd2E8L2F1dGhvcj48YXV0aG9yPkV2YSBIZWxsc3Ryw7ZtLUxpbmRi
ZXJnPC9hdXRob3I+PGF1dGhvcj5FbGxpIFBhcGFlbW1hbnVpbDwvYXV0aG9yPjwvYXV0aG9ycz48
L2NvbnRyaWJ1dG9ycz48dGl0bGVzPjx0aXRsZT5Nb2xlY3VsYXIgSW50ZXJuYXRpb25hbCBQcm9n
bm9zdGljIFNjb3JpbmcgU3lzdGVtIGZvciBNeWVsb2R5c3BsYXN0aWMgU3luZHJvbWVzPC90aXRs
ZT48c2Vjb25kYXJ5LXRpdGxlPk5FSk0gRXZpZGVuY2U8L3NlY29uZGFyeS10aXRsZT48L3RpdGxl
cz48cGVyaW9kaWNhbD48ZnVsbC10aXRsZT5ORUpNIEV2aWRlbmNlPC9mdWxsLXRpdGxlPjwvcGVy
aW9kaWNhbD48cGFnZXM+RVZJRG9hMjIwMDAwODwvcGFnZXM+PHZvbHVtZT4xPC92b2x1bWU+PG51
bWJlcj43PC9udW1iZXI+PGRhdGVzPjx5ZWFyPjIwMjI8L3llYXI+PC9kYXRlcz48dXJscz48cmVs
YXRlZC11cmxzPjx1cmw+aHR0cHM6Ly9ldmlkZW5jZS5uZWptLm9yZy9kb2kvYWJzLzEwLjEwNTYv
RVZJRG9hMjIwMDAwOCAlWCBTYW1wbGVzIGZyb20gb3ZlciAyNTAwIHBhdGllbnRzIHdpdGggTURT
IHdlcmUgcHJvZmlsZWQgZm9yIGdlbmUgbXV0YXRpb25zIGFuZCB1c2VkIHRvIGRldmVsb3AgdGhl
IEludGVybmF0aW9uYWwgUHJvZ25vc3RpYyBTY29yaW5nIFN5c3RlbeKAk01vbGVjdWxhciAoSVBT
Uy1NKS4gVFA1M211bHRpaGl0LCBGTFQzIG11dGF0aW9ucywgYW5kIE1MTFBURCB3ZXJlIGlkZW50
aWZpZWQgYXMgdG9wIGdlbmV0aWMgcHJlZGljdG9ycyBvZiBhZHZlcnNlIG91dGNvbWVzLiBJUFNT
LU0gaW1wcm92ZXMgcHJvZ25vc3RpYyBkaXNjcmltaW5hdGlvbiBhY3Jvc3MgYWxsIGNsaW5pY2Fs
IGVuZCBwb2ludHMgdmVyc3VzIHByaW9yIHZlcnNpb25zLjwvdXJsPjwvcmVsYXRlZC11cmxzPjwv
dXJscz48ZWxlY3Ryb25pYy1yZXNvdXJjZS1udW0+ZG9pOjEwLjEwNTYvRVZJRG9hMjIwMDAwODwv
ZWxlY3Ryb25pYy1yZXNvdXJjZS1udW0+PC9yZWNvcmQ+PC9DaXRlPjwvRW5kTm90ZT5=
</w:fldData>
        </w:fldChar>
      </w:r>
      <w:r>
        <w:instrText xml:space="preserve"> ADDIN EN.CITE </w:instrText>
      </w:r>
      <w:r>
        <w:fldChar w:fldCharType="begin">
          <w:fldData xml:space="preserve">PEVuZE5vdGU+PENpdGU+PEF1dGhvcj5CZXJuYXJkPC9BdXRob3I+PFllYXI+MjAyMjwvWWVhcj48
UmVjTnVtPjI0MzwvUmVjTnVtPjxEaXNwbGF5VGV4dD4xMC4mI3g5O0Jlcm5hcmQgRSwgVHVlY2hs
ZXIgSCwgR3JlZW5iZXJnIFBMLCBIYXNzZXJqaWFuIFJQLCBPc3NhIEpFQSwgTmFubnlhIFksIGV0
IGFsLiBNb2xlY3VsYXIgSW50ZXJuYXRpb25hbCBQcm9nbm9zdGljIFNjb3JpbmcgU3lzdGVtIGZv
ciBNeWVsb2R5c3BsYXN0aWMgU3luZHJvbWVzLiBORUpNIEV2aWRlbmNlLiAyMDIyOzEoNyk6RVZJ
RG9hMjIwMDAwOC48L0Rpc3BsYXlUZXh0PjxyZWNvcmQ+PHJlYy1udW1iZXI+MjQzPC9yZWMtbnVt
YmVyPjxmb3JlaWduLWtleXM+PGtleSBhcHA9IkVOIiBkYi1pZD0iZTU5eDI1cnpxMHg5YThlZHB2
OHZmNWQ2YXN4MGRkcGVwdnMwIiB0aW1lc3RhbXA9IjE2NTc0Mjg4MzEiIGd1aWQ9IjM5OWZhZTFm
LWJjMmUtNDE5ZC05NDJhLTZmYjU0MTU4OTQ0OSI+MjQzPC9rZXk+PC9mb3JlaWduLWtleXM+PHJl
Zi10eXBlIG5hbWU9IkpvdXJuYWwgQXJ0aWNsZSI+MTc8L3JlZi10eXBlPjxjb250cmlidXRvcnM+
PGF1dGhvcnM+PGF1dGhvcj5FbHNhIEJlcm5hcmQ8L2F1dGhvcj48YXV0aG9yPkhlaW56IFR1ZWNo
bGVyPC9hdXRob3I+PGF1dGhvcj5QZXRlciBMLiBHcmVlbmJlcmc8L2F1dGhvcj48YXV0aG9yPlJv
YmVydCBQLiBIYXNzZXJqaWFuPC9hdXRob3I+PGF1dGhvcj5KdWFuIEUuIEFyYW5nbyBPc3NhPC9h
dXRob3I+PGF1dGhvcj5ZYXN1aGl0byBOYW5ueWE8L2F1dGhvcj48YXV0aG9yPlNlYW4gTS4gRGV2
bGluPC9hdXRob3I+PGF1dGhvcj5NYXJpYSBDcmVpZ25vdTwvYXV0aG9yPjxhdXRob3I+UGhpbGlw
cGUgUGluZWw8L2F1dGhvcj48YXV0aG9yPkxpbHkgTW9ubmllcjwvYXV0aG9yPjxhdXRob3I+R3Vu
ZXMgR3VuZGVtPC9hdXRob3I+PGF1dGhvcj5KdWFuIFMuIE1lZGluYS1NYXJ0aW5lejwvYXV0aG9y
PjxhdXRob3I+RHlsYW4gRG9tZW5pY288L2F1dGhvcj48YXV0aG9yPk1hcnRpbiBKw6RkZXJzdGVu
PC9hdXRob3I+PGF1dGhvcj5VbHJpY2ggR2VybWluZzwvYXV0aG9yPjxhdXRob3I+R3VpbGxlcm1v
IFNhbno8L2F1dGhvcj48YXV0aG9yPkFyamFuIEEuIHZhbiBkZSBMb29zZHJlY2h0PC9hdXRob3I+
PGF1dGhvcj5PbGl2aWVyIEtvc21pZGVyPC9hdXRob3I+PGF1dGhvcj5NYXRpbGRlIFkuIEZvbGxv
PC9hdXRob3I+PGF1dGhvcj5GZWxpY2l0YXMgVGhvbDwvYXV0aG9yPjxhdXRob3I+THVyZGVzIFph
bW9yYTwvYXV0aG9yPjxhdXRob3I+Um9uYWxkIEYuIFBpbmhlaXJvPC9hdXRob3I+PGF1dGhvcj5B
bmRyZWEgUGVsbGFnYXR0aTwvYXV0aG9yPjxhdXRob3I+SGFyb2xkIEsuIEVsaWFzPC9hdXRob3I+
PGF1dGhvcj5EZXRsZWYgSGFhc2U8L2F1dGhvcj48YXV0aG9yPkNocmlzdGluYSBHYW5zdGVyPC9h
dXRob3I+PGF1dGhvcj5MaW9uZWwgQWRlczwvYXV0aG9yPjxhdXRob3I+TWFnbnVzIFRvYmlhc3Nv
bjwvYXV0aG9yPjxhdXRob3I+TGF1cmEgUGFsb21vPC9hdXRob3I+PGF1dGhvcj5NYXR0ZW8gR2lv
dmFubmkgRGVsbGEgUG9ydGE8L2F1dGhvcj48YXV0aG9yPkFraWZ1bWkgVGFrYW9yaS1Lb25kbzwv
YXV0aG9yPjxhdXRob3I+VGFrYXl1a2kgSXNoaWthd2E8L2F1dGhvcj48YXV0aG9yPlNoaWdlcnUg
Q2hpYmE8L2F1dGhvcj48YXV0aG9yPlNlbmppIEthc2FoYXJhPC9hdXRob3I+PGF1dGhvcj5ZYXN1
c2hpIE1peWF6YWtpPC9hdXRob3I+PGF1dGhvcj5BZ25lcyBWaWFsZTwvYXV0aG9yPjxhdXRob3I+
S2V0eSBIdWJlcm1hbjwvYXV0aG9yPjxhdXRob3I+UGllcnJlIEZlbmF1eDwvYXV0aG9yPjxhdXRo
b3I+TW9uaWthIEJlbGlja292YTwvYXV0aG9yPjxhdXRob3I+TWljaGFlbCBSLiBTYXZvbmE8L2F1
dGhvcj48YXV0aG9yPlZpcmdpbmlhIE0uIEtsaW1lazwvYXV0aG9yPjxhdXRob3I+RmFiaW8gUC4g
Uy4gU2FudG9zPC9hdXRob3I+PGF1dGhvcj5KYWNxdWVsaW5lIEJvdWx0d29vZDwvYXV0aG9yPjxh
dXRob3I+SW9hbm5pcyBLb3RzaWFuaWRpczwvYXV0aG9yPjxhdXRob3I+VmFsZXJpYSBTYW50aW5p
PC9hdXRob3I+PGF1dGhvcj5GcmFuY2VzYyBTb2zDqTwvYXV0aG9yPjxhdXRob3I+VXdlIFBsYXR6
YmVja2VyPC9hdXRob3I+PGF1dGhvcj5NaWNoYWVsIEhldXNlcjwvYXV0aG9yPjxhdXRob3I+UGV0
ZXIgVmFsZW50PC9hdXRob3I+PGF1dGhvcj5LYXp1bWEgT2h5YXNoaWtpPC9hdXRob3I+PGF1dGhv
cj5DYXJsbyBGaW5lbGxpPC9hdXRob3I+PGF1dGhvcj5NYXJpYSBUZXJlc2EgVm9zbzwvYXV0aG9y
PjxhdXRob3I+TGVlLVl1bmcgU2hpaDwvYXV0aG9yPjxhdXRob3I+TWljaGFlbGEgRm9udGVuYXk8
L2F1dGhvcj48YXV0aG9yPkpvb3AgSC4gSmFuc2VuPC9hdXRob3I+PGF1dGhvcj5Kb3PDqSBDZXJ2
ZXJhPC9hdXRob3I+PGF1dGhvcj5Ob3JiZXJ0IEdhdHRlcm1hbm48L2F1dGhvcj48YXV0aG9yPkJl
bmphbWluIEwuIEViZXJ0PC9hdXRob3I+PGF1dGhvcj5SYWZhZWwgQmVqYXI8L2F1dGhvcj48YXV0
aG9yPkx1Y2EgTWFsY292YXRpPC9hdXRob3I+PGF1dGhvcj5NYXJpbyBDYXp6b2xhPC9hdXRob3I+
PGF1dGhvcj5TZWlzaGkgT2dhd2E8L2F1dGhvcj48YXV0aG9yPkV2YSBIZWxsc3Ryw7ZtLUxpbmRi
ZXJnPC9hdXRob3I+PGF1dGhvcj5FbGxpIFBhcGFlbW1hbnVpbDwvYXV0aG9yPjwvYXV0aG9ycz48
L2NvbnRyaWJ1dG9ycz48dGl0bGVzPjx0aXRsZT5Nb2xlY3VsYXIgSW50ZXJuYXRpb25hbCBQcm9n
bm9zdGljIFNjb3JpbmcgU3lzdGVtIGZvciBNeWVsb2R5c3BsYXN0aWMgU3luZHJvbWVzPC90aXRs
ZT48c2Vjb25kYXJ5LXRpdGxlPk5FSk0gRXZpZGVuY2U8L3NlY29uZGFyeS10aXRsZT48L3RpdGxl
cz48cGVyaW9kaWNhbD48ZnVsbC10aXRsZT5ORUpNIEV2aWRlbmNlPC9mdWxsLXRpdGxlPjwvcGVy
aW9kaWNhbD48cGFnZXM+RVZJRG9hMjIwMDAwODwvcGFnZXM+PHZvbHVtZT4xPC92b2x1bWU+PG51
bWJlcj43PC9udW1iZXI+PGRhdGVzPjx5ZWFyPjIwMjI8L3llYXI+PC9kYXRlcz48dXJscz48cmVs
YXRlZC11cmxzPjx1cmw+aHR0cHM6Ly9ldmlkZW5jZS5uZWptLm9yZy9kb2kvYWJzLzEwLjEwNTYv
RVZJRG9hMjIwMDAwOCAlWCBTYW1wbGVzIGZyb20gb3ZlciAyNTAwIHBhdGllbnRzIHdpdGggTURT
IHdlcmUgcHJvZmlsZWQgZm9yIGdlbmUgbXV0YXRpb25zIGFuZCB1c2VkIHRvIGRldmVsb3AgdGhl
IEludGVybmF0aW9uYWwgUHJvZ25vc3RpYyBTY29yaW5nIFN5c3RlbeKAk01vbGVjdWxhciAoSVBT
Uy1NKS4gVFA1M211bHRpaGl0LCBGTFQzIG11dGF0aW9ucywgYW5kIE1MTFBURCB3ZXJlIGlkZW50
aWZpZWQgYXMgdG9wIGdlbmV0aWMgcHJlZGljdG9ycyBvZiBhZHZlcnNlIG91dGNvbWVzLiBJUFNT
LU0gaW1wcm92ZXMgcHJvZ25vc3RpYyBkaXNjcmltaW5hdGlvbiBhY3Jvc3MgYWxsIGNsaW5pY2Fs
IGVuZCBwb2ludHMgdmVyc3VzIHByaW9yIHZlcnNpb25zLjwvdXJsPjwvcmVsYXRlZC11cmxzPjwv
dXJscz48ZWxlY3Ryb25pYy1yZXNvdXJjZS1udW0+ZG9pOjEwLjEwNTYvRVZJRG9hMjIwMDAwODwv
ZWxlY3Ryb25pYy1yZXNvdXJjZS1udW0+PC9yZWNvcmQ+PC9DaXRlPjwvRW5kTm90ZT5=
</w:fldData>
        </w:fldChar>
      </w:r>
      <w:r>
        <w:instrText xml:space="preserve"> ADDIN EN.CITE.DATA </w:instrText>
      </w:r>
      <w:r>
        <w:fldChar w:fldCharType="end"/>
      </w:r>
      <w:r>
        <w:fldChar w:fldCharType="separate"/>
      </w:r>
      <w:r>
        <w:rPr>
          <w:noProof/>
        </w:rPr>
        <w:t>10.</w:t>
      </w:r>
      <w:r>
        <w:rPr>
          <w:noProof/>
        </w:rPr>
        <w:tab/>
        <w:t>Bernard E, Tuechler H, Greenberg PL, Hasserjian RP, Ossa JEA, Nannya Y, et al. Molecular International Prognostic Scoring System for Myelodysplastic Syndromes. NEJM Evidence. 2022;1(7):EVIDoa2200008.</w:t>
      </w:r>
      <w:r>
        <w:fldChar w:fldCharType="end"/>
      </w:r>
    </w:p>
  </w:footnote>
  <w:footnote w:id="17">
    <w:p w14:paraId="2D71E517" w14:textId="5E3BEA04" w:rsidR="009E1F5B" w:rsidRDefault="009E1F5B" w:rsidP="00D144D9">
      <w:pPr>
        <w:pStyle w:val="FootnoteText"/>
      </w:pPr>
      <w:r>
        <w:rPr>
          <w:rStyle w:val="FootnoteReference"/>
        </w:rPr>
        <w:footnoteRef/>
      </w:r>
      <w:r>
        <w:t xml:space="preserve"> </w:t>
      </w:r>
      <w:r>
        <w:fldChar w:fldCharType="begin">
          <w:fldData xml:space="preserve">PEVuZE5vdGU+PENpdGU+PEF1dGhvcj5DYXJib25lbGw8L0F1dGhvcj48WWVhcj4yMDE5PC9ZZWFy
PjxSZWNOdW0+NDM8L1JlY051bT48RGlzcGxheVRleHQ+OC4mI3g5O0NhcmJvbmVsbCBELCBTdcOh
cmV6LUdvbnrDoWxleiBKLCBDaGljYW5vIE0sIEFuZHLDqXMtWmF5YXMgQywgVHJpdmnDsW8gSkMs
IFJvZHLDrWd1ZXotTWFjw61hcyBHLCBldCBhbC4gTmV4dC1HZW5lcmF0aW9uIFNlcXVlbmNpbmcg
SW1wcm92ZXMgRGlhZ25vc2lzLCBQcm9nbm9zaXMgYW5kIENsaW5pY2FsIE1hbmFnZW1lbnQgb2Yg
TXllbG9pZCBOZW9wbGFzbXMuIENhbmNlcnMgKEJhc2VsKS4gMjAxOTsxMSg5KS48L0Rpc3BsYXlU
ZXh0PjxyZWNvcmQ+PHJlYy1udW1iZXI+NDM8L3JlYy1udW1iZXI+PGZvcmVpZ24ta2V5cz48a2V5
IGFwcD0iRU4iIGRiLWlkPSJlNTl4MjVyenEweDlhOGVkcHY4dmY1ZDZhc3gwZGRwZXB2czAiIHRp
bWVzdGFtcD0iMTY0OTgxMDk1MSIgZ3VpZD0iOWUwYmYyODQtZWI2Yy00NDVkLTgwNmYtYjY1ZDhl
NDdkZTkzIj40Mzwva2V5PjwvZm9yZWlnbi1rZXlzPjxyZWYtdHlwZSBuYW1lPSJKb3VybmFsIEFy
dGljbGUiPjE3PC9yZWYtdHlwZT48Y29udHJpYnV0b3JzPjxhdXRob3JzPjxhdXRob3I+Q2FyYm9u
ZWxsLCBELjwvYXV0aG9yPjxhdXRob3I+U3XDoXJlei1Hb256w6FsZXosIEouPC9hdXRob3I+PGF1
dGhvcj5DaGljYW5vLCBNLjwvYXV0aG9yPjxhdXRob3I+QW5kcsOpcy1aYXlhcywgQy48L2F1dGhv
cj48YXV0aG9yPlRyaXZpw7FvLCBKLiBDLjwvYXV0aG9yPjxhdXRob3I+Um9kcsOtZ3Vlei1NYWPD
rWFzLCBHLjwvYXV0aG9yPjxhdXRob3I+QmFzdG9zLU9yZWlybywgTS48L2F1dGhvcj48YXV0aG9y
PkZvbnQsIFAuPC9hdXRob3I+PGF1dGhvcj5CYWxsZXN0ZXJvcywgTS48L2F1dGhvcj48YXV0aG9y
Pk11w7FpeiwgUC48L2F1dGhvcj48YXV0aG9yPkJhbHNhbG9icmUsIFAuPC9hdXRob3I+PGF1dGhv
cj5Ld29uLCBNLjwvYXV0aG9yPjxhdXRob3I+QW5ndWl0YSwgSi48L2F1dGhvcj48YXV0aG9yPkTD
rWV6LU1hcnTDrW4sIEouIEwuPC9hdXRob3I+PGF1dGhvcj5CdcOxbywgSS48L2F1dGhvcj48YXV0
aG9yPk1hcnTDrW5lei1MYXBlcmNoZSwgQy48L2F1dGhvcj48L2F1dGhvcnM+PC9jb250cmlidXRv
cnM+PGF1dGgtYWRkcmVzcz5EZXBhcnRtZW50IG9mIEhlbWF0b2xvZ3ksIEdyZWdvcmlvIE1hcmHD
scOzbiBHZW5lcmFsIFVuaXZlcnNpdHkgSG9zcGl0YWwsIDI4MDA3IE1hZHJpZCwgU3BhaW4uIGRp
ZWdvLmNhcmJvbmVsbEBpaXNnbS5jb20uJiN4RDtHcmVnb3JpbyBNYXJhw7HDs24gSGVhbHRoIFJl
c2VhcmNoIEluc3RpdHV0ZSAoSWlTR00pLCAyODAwNyBNYWRyaWQsIFNwYWluLiBkaWVnby5jYXJi
b25lbGxAaWlzZ20uY29tLiYjeEQ7R3JlZ29yaW8gTWFyYcOxw7NuIEhlYWx0aCBSZXNlYXJjaCBJ
bnN0aXR1dGUgKElpU0dNKSwgMjgwMDcgTWFkcmlkLCBTcGFpbi4ganVsaWEuc3VhcmV6QGlpc2dt
LmNvbS4mI3hEO0dlbm9taWNzIFVuaXQsIEdyZWdvcmlvIE1hcmHDscOzbiBHZW5lcmFsIFVuaXZl
cnNpdHkgSG9zcGl0YWwsIElpU0dNLCAyODAwNyBNYWRyaWQsIFNwYWluLiBqdWxpYS5zdWFyZXpA
aWlzZ20uY29tLiYjeEQ7RGVwYXJ0bWVudCBvZiBIZW1hdG9sb2d5LCBHcmVnb3JpbyBNYXJhw7HD
s24gR2VuZXJhbCBVbml2ZXJzaXR5IEhvc3BpdGFsLCAyODAwNyBNYWRyaWQsIFNwYWluLiBtYXJp
YS5jaGljYW5vQHNhbHVkLm1hZHJpZC5vcmcuJiN4RDtHcmVnb3JpbyBNYXJhw7HDs24gSGVhbHRo
IFJlc2VhcmNoIEluc3RpdHV0ZSAoSWlTR00pLCAyODAwNyBNYWRyaWQsIFNwYWluLiBtYXJpYS5j
aGljYW5vQHNhbHVkLm1hZHJpZC5vcmcuJiN4RDtHcmVnb3JpbyBNYXJhw7HDs24gSGVhbHRoIFJl
c2VhcmNoIEluc3RpdHV0ZSAoSWlTR00pLCAyODAwNyBNYWRyaWQsIFNwYWluLiBjcmlzdGluYS5h
bmRyZXNAaWlzZ20uY29tLiYjeEQ7R2Vub21pY3MgVW5pdCwgR3JlZ29yaW8gTWFyYcOxw7NuIEdl
bmVyYWwgVW5pdmVyc2l0eSBIb3NwaXRhbCwgSWlTR00sIDI4MDA3IE1hZHJpZCwgU3BhaW4uIGNy
aXN0aW5hLmFuZHJlc0BpaXNnbS5jb20uJiN4RDtTaXN0ZW1hcyBHZW7Ds21pY29zLCA0Njk4MCBW
YWxlbmNpYSwgU3BhaW4uIGpjLnRyaXZpbm9Ac2lzdGVtYXNnZW5vbWljb3MuY29tLiYjeEQ7RGVw
YXJ0bWVudCBvZiBIZW1hdG9sb2d5LCBHcmVnb3JpbyBNYXJhw7HDs24gR2VuZXJhbCBVbml2ZXJz
aXR5IEhvc3BpdGFsLCAyODAwNyBNYWRyaWQsIFNwYWluLiBnYWJyaWVsYS5yb2RyaWd1ZXpAc2Fs
dWQubWFkcmlkLm9yZy4mI3hEO0RlcGFydG1lbnQgb2YgSGVtYXRvbG9neSwgR3JlZ29yaW8gTWFy
YcOxw7NuIEdlbmVyYWwgVW5pdmVyc2l0eSBIb3NwaXRhbCwgMjgwMDcgTWFkcmlkLCBTcGFpbi4g
bWFyaWFuYWJlYXRyaXouYmFzdG9zQHNhbHVkLm1hZHJpZC5vcmcuJiN4RDtHcmVnb3JpbyBNYXJh
w7HDs24gSGVhbHRoIFJlc2VhcmNoIEluc3RpdHV0ZSAoSWlTR00pLCAyODAwNyBNYWRyaWQsIFNw
YWluLiBtYXJpYW5hYmVhdHJpei5iYXN0b3NAc2FsdWQubWFkcmlkLm9yZy4mI3hEO0RlcGFydG1l
bnQgb2YgSGVtYXRvbG9neSwgR3JlZ29yaW8gTWFyYcOxw7NuIEdlbmVyYWwgVW5pdmVyc2l0eSBI
b3NwaXRhbCwgMjgwMDcgTWFkcmlkLCBTcGFpbi4gcGF0cmljaWEuZm9udEBzYWx1ZC5tYWRyaWQu
b3JnLiYjeEQ7R3JlZ29yaW8gTWFyYcOxw7NuIEhlYWx0aCBSZXNlYXJjaCBJbnN0aXR1dGUgKElp
U0dNKSwgMjgwMDcgTWFkcmlkLCBTcGFpbi4gcGF0cmljaWEuZm9udEBzYWx1ZC5tYWRyaWQub3Jn
LiYjeEQ7RGVwYXJ0bWVudCBvZiBIZW1hdG9sb2d5LCBHcmVnb3JpbyBNYXJhw7HDs24gR2VuZXJh
bCBVbml2ZXJzaXR5IEhvc3BpdGFsLCAyODAwNyBNYWRyaWQsIFNwYWluLiBtb25pY2EuYmFsbGVz
dGVyb3NAc2FsdWQubWFkcmlkLm9yZy4mI3hEO0RlcGFydG1lbnQgb2YgSGVtYXRvbG9neSwgR3Jl
Z29yaW8gTWFyYcOxw7NuIEdlbmVyYWwgVW5pdmVyc2l0eSBIb3NwaXRhbCwgMjgwMDcgTWFkcmlk
LCBTcGFpbi4gcGF1bGEubXVuaXpAaWlzZ20uY29tLiYjeEQ7R3JlZ29yaW8gTWFyYcOxw7NuIEhl
YWx0aCBSZXNlYXJjaCBJbnN0aXR1dGUgKElpU0dNKSwgMjgwMDcgTWFkcmlkLCBTcGFpbi4gcGF1
bGEubXVuaXpAaWlzZ20uY29tLiYjeEQ7RGVwYXJ0bWVudCBvZiBIZW1hdG9sb2d5LCBHcmVnb3Jp
byBNYXJhw7HDs24gR2VuZXJhbCBVbml2ZXJzaXR5IEhvc3BpdGFsLCAyODAwNyBNYWRyaWQsIFNw
YWluLiBwYXNjdWFsLmJhbHNhbG9icmVAc2FsdWQubWFkcmlkLm9yZy4mI3hEO0dyZWdvcmlvIE1h
cmHDscOzbiBIZWFsdGggUmVzZWFyY2ggSW5zdGl0dXRlIChJaVNHTSksIDI4MDA3IE1hZHJpZCwg
U3BhaW4uIHBhc2N1YWwuYmFsc2Fsb2JyZUBzYWx1ZC5tYWRyaWQub3JnLiYjeEQ7RGVwYXJ0bWVu
dCBvZiBIZW1hdG9sb2d5LCBHcmVnb3JpbyBNYXJhw7HDs24gR2VuZXJhbCBVbml2ZXJzaXR5IEhv
c3BpdGFsLCAyODAwNyBNYWRyaWQsIFNwYWluLiBtaS5rd29uQHNhbHVkLm1hZHJpZC5vcmcuJiN4
RDtHcmVnb3JpbyBNYXJhw7HDs24gSGVhbHRoIFJlc2VhcmNoIEluc3RpdHV0ZSAoSWlTR00pLCAy
ODAwNyBNYWRyaWQsIFNwYWluLiBtaS5rd29uQHNhbHVkLm1hZHJpZC5vcmcuJiN4RDtEZXBhcnRt
ZW50IG9mIEhlbWF0b2xvZ3ksIEdyZWdvcmlvIE1hcmHDscOzbiBHZW5lcmFsIFVuaXZlcnNpdHkg
SG9zcGl0YWwsIDI4MDA3IE1hZHJpZCwgU3BhaW4uIGphdmllci5hbmd1aXRhQHNhbHVkLm1hZHJp
ZC5vcmcuJiN4RDtHcmVnb3JpbyBNYXJhw7HDs24gSGVhbHRoIFJlc2VhcmNoIEluc3RpdHV0ZSAo
SWlTR00pLCAyODAwNyBNYWRyaWQsIFNwYWluLiBqYXZpZXIuYW5ndWl0YUBzYWx1ZC5tYWRyaWQu
b3JnLiYjeEQ7RGVwYXJ0bWVudCBvZiBIZW1hdG9sb2d5LCBHcmVnb3JpbyBNYXJhw7HDs24gR2Vu
ZXJhbCBVbml2ZXJzaXR5IEhvc3BpdGFsLCAyODAwNyBNYWRyaWQsIFNwYWluLiBqZGllem1Ac2Fs
dWQubWFkcmlkLm9yZy4mI3hEO0dyZWdvcmlvIE1hcmHDscOzbiBIZWFsdGggUmVzZWFyY2ggSW5z
dGl0dXRlIChJaVNHTSksIDI4MDA3IE1hZHJpZCwgU3BhaW4uIGpkaWV6bUBzYWx1ZC5tYWRyaWQu
b3JnLiYjeEQ7RGVwYXJ0bWVudCBvZiBNZWRpY2luZSwgU2Nob29sIG9mIE1lZGljaW5lLCBDb21w
bHV0ZW5zZSBVbml2ZXJzaXR5IG9mIE1hZHJpZCwgMjgwNDAgTWFkcmlkLCBTcGFpbi4gamRpZXpt
QHNhbHVkLm1hZHJpZC5vcmcuJiN4RDtEZXBhcnRtZW50IG9mIEhlbWF0b2xvZ3ksIEdyZWdvcmlv
IE1hcmHDscOzbiBHZW5lcmFsIFVuaXZlcnNpdHkgSG9zcGl0YWwsIDI4MDA3IE1hZHJpZCwgU3Bh
aW4uIGlzbWFlbGJ1bm9AaWlzZ20uY29tLiYjeEQ7R3JlZ29yaW8gTWFyYcOxw7NuIEhlYWx0aCBS
ZXNlYXJjaCBJbnN0aXR1dGUgKElpU0dNKSwgMjgwMDcgTWFkcmlkLCBTcGFpbi4gaXNtYWVsYnVu
b0BpaXNnbS5jb20uJiN4RDtHZW5vbWljcyBVbml0LCBHcmVnb3JpbyBNYXJhw7HDs24gR2VuZXJh
bCBVbml2ZXJzaXR5IEhvc3BpdGFsLCBJaVNHTSwgMjgwMDcgTWFkcmlkLCBTcGFpbi4gaXNtYWVs
YnVub0BpaXNnbS5jb20uJiN4RDtEZXBhcnRtZW50IG9mIEhlbWF0b2xvZ3ksIEdyZWdvcmlvIE1h
cmHDscOzbiBHZW5lcmFsIFVuaXZlcnNpdHkgSG9zcGl0YWwsIDI4MDA3IE1hZHJpZCwgU3BhaW4u
IGNtYXJ0aW5lemxAc2FsdWQubWFkcmlkLm9yZy4mI3hEO0dyZWdvcmlvIE1hcmHDscOzbiBIZWFs
dGggUmVzZWFyY2ggSW5zdGl0dXRlIChJaVNHTSksIDI4MDA3IE1hZHJpZCwgU3BhaW4uIGNtYXJ0
aW5lemxAc2FsdWQubWFkcmlkLm9yZy48L2F1dGgtYWRkcmVzcz48dGl0bGVzPjx0aXRsZT5OZXh0
LUdlbmVyYXRpb24gU2VxdWVuY2luZyBJbXByb3ZlcyBEaWFnbm9zaXMsIFByb2dub3NpcyBhbmQg
Q2xpbmljYWwgTWFuYWdlbWVudCBvZiBNeWVsb2lkIE5lb3BsYXNtczwvdGl0bGU+PHNlY29uZGFy
eS10aXRsZT5DYW5jZXJzIChCYXNlbCk8L3NlY29uZGFyeS10aXRsZT48L3RpdGxlcz48cGVyaW9k
aWNhbD48ZnVsbC10aXRsZT5DYW5jZXJzIChCYXNlbCk8L2Z1bGwtdGl0bGU+PC9wZXJpb2RpY2Fs
Pjx2b2x1bWU+MTE8L3ZvbHVtZT48bnVtYmVyPjk8L251bWJlcj48ZWRpdGlvbj4yMDE5MDkxMzwv
ZWRpdGlvbj48a2V5d29yZHM+PGtleXdvcmQ+TmV4dC1nZW5lcmF0aW9uIHNlcXVlbmNpbmc8L2tl
eXdvcmQ+PGtleXdvcmQ+YWN1dGUgbXllbG9pZCBsZXVrZW1pYTwva2V5d29yZD48a2V5d29yZD5t
eWVsb2lkIG5lb3BsYXNtPC9rZXl3b3JkPjxrZXl3b3JkPnJvdXRpbmUgZGlhZ25vc2lzPC9rZXl3
b3JkPjwva2V5d29yZHM+PGRhdGVzPjx5ZWFyPjIwMTk8L3llYXI+PHB1Yi1kYXRlcz48ZGF0ZT5T
ZXAgMTM8L2RhdGU+PC9wdWItZGF0ZXM+PC9kYXRlcz48aXNibj4yMDcyLTY2OTQgKFByaW50KSYj
eEQ7MjA3Mi02Njk0PC9pc2JuPjxhY2Nlc3Npb24tbnVtPjMxNTQwMjkxPC9hY2Nlc3Npb24tbnVt
Pjx1cmxzPjxyZWxhdGVkLXVybHM+PHVybD5odHRwczovL3d3dy5tZHBpLmNvbS8yMDcyLTY2OTQv
MTEvOS8xMzY0PC91cmw+PC9yZWxhdGVkLXVybHM+PC91cmxzPjxjdXN0b20xPlRoZSBhdXRob3Jz
IGRlY2xhcmUgbm8gY29uZmxpY3Qgb2YgaW50ZXJlc3QuPC9jdXN0b20xPjxjdXN0b20yPlBNQzY3
NzAyMjk8L2N1c3RvbTI+PGVsZWN0cm9uaWMtcmVzb3VyY2UtbnVtPjEwLjMzOTAvY2FuY2VyczEx
MDkxMzY0PC9lbGVjdHJvbmljLXJlc291cmNlLW51bT48cmVtb3RlLWRhdGFiYXNlLXByb3ZpZGVy
Pk5MTTwvcmVtb3RlLWRhdGFiYXNlLXByb3ZpZGVyPjxsYW5ndWFnZT5lbmc8L2xhbmd1YWdlPjwv
cmVjb3JkPjwvQ2l0ZT48L0VuZE5vdGU+
</w:fldData>
        </w:fldChar>
      </w:r>
      <w:r>
        <w:instrText xml:space="preserve"> ADDIN EN.CITE </w:instrText>
      </w:r>
      <w:r>
        <w:fldChar w:fldCharType="begin">
          <w:fldData xml:space="preserve">PEVuZE5vdGU+PENpdGU+PEF1dGhvcj5DYXJib25lbGw8L0F1dGhvcj48WWVhcj4yMDE5PC9ZZWFy
PjxSZWNOdW0+NDM8L1JlY051bT48RGlzcGxheVRleHQ+OC4mI3g5O0NhcmJvbmVsbCBELCBTdcOh
cmV6LUdvbnrDoWxleiBKLCBDaGljYW5vIE0sIEFuZHLDqXMtWmF5YXMgQywgVHJpdmnDsW8gSkMs
IFJvZHLDrWd1ZXotTWFjw61hcyBHLCBldCBhbC4gTmV4dC1HZW5lcmF0aW9uIFNlcXVlbmNpbmcg
SW1wcm92ZXMgRGlhZ25vc2lzLCBQcm9nbm9zaXMgYW5kIENsaW5pY2FsIE1hbmFnZW1lbnQgb2Yg
TXllbG9pZCBOZW9wbGFzbXMuIENhbmNlcnMgKEJhc2VsKS4gMjAxOTsxMSg5KS48L0Rpc3BsYXlU
ZXh0PjxyZWNvcmQ+PHJlYy1udW1iZXI+NDM8L3JlYy1udW1iZXI+PGZvcmVpZ24ta2V5cz48a2V5
IGFwcD0iRU4iIGRiLWlkPSJlNTl4MjVyenEweDlhOGVkcHY4dmY1ZDZhc3gwZGRwZXB2czAiIHRp
bWVzdGFtcD0iMTY0OTgxMDk1MSIgZ3VpZD0iOWUwYmYyODQtZWI2Yy00NDVkLTgwNmYtYjY1ZDhl
NDdkZTkzIj40Mzwva2V5PjwvZm9yZWlnbi1rZXlzPjxyZWYtdHlwZSBuYW1lPSJKb3VybmFsIEFy
dGljbGUiPjE3PC9yZWYtdHlwZT48Y29udHJpYnV0b3JzPjxhdXRob3JzPjxhdXRob3I+Q2FyYm9u
ZWxsLCBELjwvYXV0aG9yPjxhdXRob3I+U3XDoXJlei1Hb256w6FsZXosIEouPC9hdXRob3I+PGF1
dGhvcj5DaGljYW5vLCBNLjwvYXV0aG9yPjxhdXRob3I+QW5kcsOpcy1aYXlhcywgQy48L2F1dGhv
cj48YXV0aG9yPlRyaXZpw7FvLCBKLiBDLjwvYXV0aG9yPjxhdXRob3I+Um9kcsOtZ3Vlei1NYWPD
rWFzLCBHLjwvYXV0aG9yPjxhdXRob3I+QmFzdG9zLU9yZWlybywgTS48L2F1dGhvcj48YXV0aG9y
PkZvbnQsIFAuPC9hdXRob3I+PGF1dGhvcj5CYWxsZXN0ZXJvcywgTS48L2F1dGhvcj48YXV0aG9y
Pk11w7FpeiwgUC48L2F1dGhvcj48YXV0aG9yPkJhbHNhbG9icmUsIFAuPC9hdXRob3I+PGF1dGhv
cj5Ld29uLCBNLjwvYXV0aG9yPjxhdXRob3I+QW5ndWl0YSwgSi48L2F1dGhvcj48YXV0aG9yPkTD
rWV6LU1hcnTDrW4sIEouIEwuPC9hdXRob3I+PGF1dGhvcj5CdcOxbywgSS48L2F1dGhvcj48YXV0
aG9yPk1hcnTDrW5lei1MYXBlcmNoZSwgQy48L2F1dGhvcj48L2F1dGhvcnM+PC9jb250cmlidXRv
cnM+PGF1dGgtYWRkcmVzcz5EZXBhcnRtZW50IG9mIEhlbWF0b2xvZ3ksIEdyZWdvcmlvIE1hcmHD
scOzbiBHZW5lcmFsIFVuaXZlcnNpdHkgSG9zcGl0YWwsIDI4MDA3IE1hZHJpZCwgU3BhaW4uIGRp
ZWdvLmNhcmJvbmVsbEBpaXNnbS5jb20uJiN4RDtHcmVnb3JpbyBNYXJhw7HDs24gSGVhbHRoIFJl
c2VhcmNoIEluc3RpdHV0ZSAoSWlTR00pLCAyODAwNyBNYWRyaWQsIFNwYWluLiBkaWVnby5jYXJi
b25lbGxAaWlzZ20uY29tLiYjeEQ7R3JlZ29yaW8gTWFyYcOxw7NuIEhlYWx0aCBSZXNlYXJjaCBJ
bnN0aXR1dGUgKElpU0dNKSwgMjgwMDcgTWFkcmlkLCBTcGFpbi4ganVsaWEuc3VhcmV6QGlpc2dt
LmNvbS4mI3hEO0dlbm9taWNzIFVuaXQsIEdyZWdvcmlvIE1hcmHDscOzbiBHZW5lcmFsIFVuaXZl
cnNpdHkgSG9zcGl0YWwsIElpU0dNLCAyODAwNyBNYWRyaWQsIFNwYWluLiBqdWxpYS5zdWFyZXpA
aWlzZ20uY29tLiYjeEQ7RGVwYXJ0bWVudCBvZiBIZW1hdG9sb2d5LCBHcmVnb3JpbyBNYXJhw7HD
s24gR2VuZXJhbCBVbml2ZXJzaXR5IEhvc3BpdGFsLCAyODAwNyBNYWRyaWQsIFNwYWluLiBtYXJp
YS5jaGljYW5vQHNhbHVkLm1hZHJpZC5vcmcuJiN4RDtHcmVnb3JpbyBNYXJhw7HDs24gSGVhbHRo
IFJlc2VhcmNoIEluc3RpdHV0ZSAoSWlTR00pLCAyODAwNyBNYWRyaWQsIFNwYWluLiBtYXJpYS5j
aGljYW5vQHNhbHVkLm1hZHJpZC5vcmcuJiN4RDtHcmVnb3JpbyBNYXJhw7HDs24gSGVhbHRoIFJl
c2VhcmNoIEluc3RpdHV0ZSAoSWlTR00pLCAyODAwNyBNYWRyaWQsIFNwYWluLiBjcmlzdGluYS5h
bmRyZXNAaWlzZ20uY29tLiYjeEQ7R2Vub21pY3MgVW5pdCwgR3JlZ29yaW8gTWFyYcOxw7NuIEdl
bmVyYWwgVW5pdmVyc2l0eSBIb3NwaXRhbCwgSWlTR00sIDI4MDA3IE1hZHJpZCwgU3BhaW4uIGNy
aXN0aW5hLmFuZHJlc0BpaXNnbS5jb20uJiN4RDtTaXN0ZW1hcyBHZW7Ds21pY29zLCA0Njk4MCBW
YWxlbmNpYSwgU3BhaW4uIGpjLnRyaXZpbm9Ac2lzdGVtYXNnZW5vbWljb3MuY29tLiYjeEQ7RGVw
YXJ0bWVudCBvZiBIZW1hdG9sb2d5LCBHcmVnb3JpbyBNYXJhw7HDs24gR2VuZXJhbCBVbml2ZXJz
aXR5IEhvc3BpdGFsLCAyODAwNyBNYWRyaWQsIFNwYWluLiBnYWJyaWVsYS5yb2RyaWd1ZXpAc2Fs
dWQubWFkcmlkLm9yZy4mI3hEO0RlcGFydG1lbnQgb2YgSGVtYXRvbG9neSwgR3JlZ29yaW8gTWFy
YcOxw7NuIEdlbmVyYWwgVW5pdmVyc2l0eSBIb3NwaXRhbCwgMjgwMDcgTWFkcmlkLCBTcGFpbi4g
bWFyaWFuYWJlYXRyaXouYmFzdG9zQHNhbHVkLm1hZHJpZC5vcmcuJiN4RDtHcmVnb3JpbyBNYXJh
w7HDs24gSGVhbHRoIFJlc2VhcmNoIEluc3RpdHV0ZSAoSWlTR00pLCAyODAwNyBNYWRyaWQsIFNw
YWluLiBtYXJpYW5hYmVhdHJpei5iYXN0b3NAc2FsdWQubWFkcmlkLm9yZy4mI3hEO0RlcGFydG1l
bnQgb2YgSGVtYXRvbG9neSwgR3JlZ29yaW8gTWFyYcOxw7NuIEdlbmVyYWwgVW5pdmVyc2l0eSBI
b3NwaXRhbCwgMjgwMDcgTWFkcmlkLCBTcGFpbi4gcGF0cmljaWEuZm9udEBzYWx1ZC5tYWRyaWQu
b3JnLiYjeEQ7R3JlZ29yaW8gTWFyYcOxw7NuIEhlYWx0aCBSZXNlYXJjaCBJbnN0aXR1dGUgKElp
U0dNKSwgMjgwMDcgTWFkcmlkLCBTcGFpbi4gcGF0cmljaWEuZm9udEBzYWx1ZC5tYWRyaWQub3Jn
LiYjeEQ7RGVwYXJ0bWVudCBvZiBIZW1hdG9sb2d5LCBHcmVnb3JpbyBNYXJhw7HDs24gR2VuZXJh
bCBVbml2ZXJzaXR5IEhvc3BpdGFsLCAyODAwNyBNYWRyaWQsIFNwYWluLiBtb25pY2EuYmFsbGVz
dGVyb3NAc2FsdWQubWFkcmlkLm9yZy4mI3hEO0RlcGFydG1lbnQgb2YgSGVtYXRvbG9neSwgR3Jl
Z29yaW8gTWFyYcOxw7NuIEdlbmVyYWwgVW5pdmVyc2l0eSBIb3NwaXRhbCwgMjgwMDcgTWFkcmlk
LCBTcGFpbi4gcGF1bGEubXVuaXpAaWlzZ20uY29tLiYjeEQ7R3JlZ29yaW8gTWFyYcOxw7NuIEhl
YWx0aCBSZXNlYXJjaCBJbnN0aXR1dGUgKElpU0dNKSwgMjgwMDcgTWFkcmlkLCBTcGFpbi4gcGF1
bGEubXVuaXpAaWlzZ20uY29tLiYjeEQ7RGVwYXJ0bWVudCBvZiBIZW1hdG9sb2d5LCBHcmVnb3Jp
byBNYXJhw7HDs24gR2VuZXJhbCBVbml2ZXJzaXR5IEhvc3BpdGFsLCAyODAwNyBNYWRyaWQsIFNw
YWluLiBwYXNjdWFsLmJhbHNhbG9icmVAc2FsdWQubWFkcmlkLm9yZy4mI3hEO0dyZWdvcmlvIE1h
cmHDscOzbiBIZWFsdGggUmVzZWFyY2ggSW5zdGl0dXRlIChJaVNHTSksIDI4MDA3IE1hZHJpZCwg
U3BhaW4uIHBhc2N1YWwuYmFsc2Fsb2JyZUBzYWx1ZC5tYWRyaWQub3JnLiYjeEQ7RGVwYXJ0bWVu
dCBvZiBIZW1hdG9sb2d5LCBHcmVnb3JpbyBNYXJhw7HDs24gR2VuZXJhbCBVbml2ZXJzaXR5IEhv
c3BpdGFsLCAyODAwNyBNYWRyaWQsIFNwYWluLiBtaS5rd29uQHNhbHVkLm1hZHJpZC5vcmcuJiN4
RDtHcmVnb3JpbyBNYXJhw7HDs24gSGVhbHRoIFJlc2VhcmNoIEluc3RpdHV0ZSAoSWlTR00pLCAy
ODAwNyBNYWRyaWQsIFNwYWluLiBtaS5rd29uQHNhbHVkLm1hZHJpZC5vcmcuJiN4RDtEZXBhcnRt
ZW50IG9mIEhlbWF0b2xvZ3ksIEdyZWdvcmlvIE1hcmHDscOzbiBHZW5lcmFsIFVuaXZlcnNpdHkg
SG9zcGl0YWwsIDI4MDA3IE1hZHJpZCwgU3BhaW4uIGphdmllci5hbmd1aXRhQHNhbHVkLm1hZHJp
ZC5vcmcuJiN4RDtHcmVnb3JpbyBNYXJhw7HDs24gSGVhbHRoIFJlc2VhcmNoIEluc3RpdHV0ZSAo
SWlTR00pLCAyODAwNyBNYWRyaWQsIFNwYWluLiBqYXZpZXIuYW5ndWl0YUBzYWx1ZC5tYWRyaWQu
b3JnLiYjeEQ7RGVwYXJ0bWVudCBvZiBIZW1hdG9sb2d5LCBHcmVnb3JpbyBNYXJhw7HDs24gR2Vu
ZXJhbCBVbml2ZXJzaXR5IEhvc3BpdGFsLCAyODAwNyBNYWRyaWQsIFNwYWluLiBqZGllem1Ac2Fs
dWQubWFkcmlkLm9yZy4mI3hEO0dyZWdvcmlvIE1hcmHDscOzbiBIZWFsdGggUmVzZWFyY2ggSW5z
dGl0dXRlIChJaVNHTSksIDI4MDA3IE1hZHJpZCwgU3BhaW4uIGpkaWV6bUBzYWx1ZC5tYWRyaWQu
b3JnLiYjeEQ7RGVwYXJ0bWVudCBvZiBNZWRpY2luZSwgU2Nob29sIG9mIE1lZGljaW5lLCBDb21w
bHV0ZW5zZSBVbml2ZXJzaXR5IG9mIE1hZHJpZCwgMjgwNDAgTWFkcmlkLCBTcGFpbi4gamRpZXpt
QHNhbHVkLm1hZHJpZC5vcmcuJiN4RDtEZXBhcnRtZW50IG9mIEhlbWF0b2xvZ3ksIEdyZWdvcmlv
IE1hcmHDscOzbiBHZW5lcmFsIFVuaXZlcnNpdHkgSG9zcGl0YWwsIDI4MDA3IE1hZHJpZCwgU3Bh
aW4uIGlzbWFlbGJ1bm9AaWlzZ20uY29tLiYjeEQ7R3JlZ29yaW8gTWFyYcOxw7NuIEhlYWx0aCBS
ZXNlYXJjaCBJbnN0aXR1dGUgKElpU0dNKSwgMjgwMDcgTWFkcmlkLCBTcGFpbi4gaXNtYWVsYnVu
b0BpaXNnbS5jb20uJiN4RDtHZW5vbWljcyBVbml0LCBHcmVnb3JpbyBNYXJhw7HDs24gR2VuZXJh
bCBVbml2ZXJzaXR5IEhvc3BpdGFsLCBJaVNHTSwgMjgwMDcgTWFkcmlkLCBTcGFpbi4gaXNtYWVs
YnVub0BpaXNnbS5jb20uJiN4RDtEZXBhcnRtZW50IG9mIEhlbWF0b2xvZ3ksIEdyZWdvcmlvIE1h
cmHDscOzbiBHZW5lcmFsIFVuaXZlcnNpdHkgSG9zcGl0YWwsIDI4MDA3IE1hZHJpZCwgU3BhaW4u
IGNtYXJ0aW5lemxAc2FsdWQubWFkcmlkLm9yZy4mI3hEO0dyZWdvcmlvIE1hcmHDscOzbiBIZWFs
dGggUmVzZWFyY2ggSW5zdGl0dXRlIChJaVNHTSksIDI4MDA3IE1hZHJpZCwgU3BhaW4uIGNtYXJ0
aW5lemxAc2FsdWQubWFkcmlkLm9yZy48L2F1dGgtYWRkcmVzcz48dGl0bGVzPjx0aXRsZT5OZXh0
LUdlbmVyYXRpb24gU2VxdWVuY2luZyBJbXByb3ZlcyBEaWFnbm9zaXMsIFByb2dub3NpcyBhbmQg
Q2xpbmljYWwgTWFuYWdlbWVudCBvZiBNeWVsb2lkIE5lb3BsYXNtczwvdGl0bGU+PHNlY29uZGFy
eS10aXRsZT5DYW5jZXJzIChCYXNlbCk8L3NlY29uZGFyeS10aXRsZT48L3RpdGxlcz48cGVyaW9k
aWNhbD48ZnVsbC10aXRsZT5DYW5jZXJzIChCYXNlbCk8L2Z1bGwtdGl0bGU+PC9wZXJpb2RpY2Fs
Pjx2b2x1bWU+MTE8L3ZvbHVtZT48bnVtYmVyPjk8L251bWJlcj48ZWRpdGlvbj4yMDE5MDkxMzwv
ZWRpdGlvbj48a2V5d29yZHM+PGtleXdvcmQ+TmV4dC1nZW5lcmF0aW9uIHNlcXVlbmNpbmc8L2tl
eXdvcmQ+PGtleXdvcmQ+YWN1dGUgbXllbG9pZCBsZXVrZW1pYTwva2V5d29yZD48a2V5d29yZD5t
eWVsb2lkIG5lb3BsYXNtPC9rZXl3b3JkPjxrZXl3b3JkPnJvdXRpbmUgZGlhZ25vc2lzPC9rZXl3
b3JkPjwva2V5d29yZHM+PGRhdGVzPjx5ZWFyPjIwMTk8L3llYXI+PHB1Yi1kYXRlcz48ZGF0ZT5T
ZXAgMTM8L2RhdGU+PC9wdWItZGF0ZXM+PC9kYXRlcz48aXNibj4yMDcyLTY2OTQgKFByaW50KSYj
eEQ7MjA3Mi02Njk0PC9pc2JuPjxhY2Nlc3Npb24tbnVtPjMxNTQwMjkxPC9hY2Nlc3Npb24tbnVt
Pjx1cmxzPjxyZWxhdGVkLXVybHM+PHVybD5odHRwczovL3d3dy5tZHBpLmNvbS8yMDcyLTY2OTQv
MTEvOS8xMzY0PC91cmw+PC9yZWxhdGVkLXVybHM+PC91cmxzPjxjdXN0b20xPlRoZSBhdXRob3Jz
IGRlY2xhcmUgbm8gY29uZmxpY3Qgb2YgaW50ZXJlc3QuPC9jdXN0b20xPjxjdXN0b20yPlBNQzY3
NzAyMjk8L2N1c3RvbTI+PGVsZWN0cm9uaWMtcmVzb3VyY2UtbnVtPjEwLjMzOTAvY2FuY2VyczEx
MDkxMzY0PC9lbGVjdHJvbmljLXJlc291cmNlLW51bT48cmVtb3RlLWRhdGFiYXNlLXByb3ZpZGVy
Pk5MTTwvcmVtb3RlLWRhdGFiYXNlLXByb3ZpZGVyPjxsYW5ndWFnZT5lbmc8L2xhbmd1YWdlPjwv
cmVjb3JkPjwvQ2l0ZT48L0VuZE5vdGU+
</w:fldData>
        </w:fldChar>
      </w:r>
      <w:r>
        <w:instrText xml:space="preserve"> ADDIN EN.CITE.DATA </w:instrText>
      </w:r>
      <w:r>
        <w:fldChar w:fldCharType="end"/>
      </w:r>
      <w:r>
        <w:fldChar w:fldCharType="separate"/>
      </w:r>
      <w:r>
        <w:rPr>
          <w:noProof/>
        </w:rPr>
        <w:t>8.</w:t>
      </w:r>
      <w:r>
        <w:rPr>
          <w:noProof/>
        </w:rPr>
        <w:tab/>
        <w:t>Carbonell D, Suárez-González J, Chicano M, Andrés-Zayas C, Triviño JC, Rodríguez-Macías G, et al. Next-Generation Sequencing Improves Diagnosis, Prognosis and Clinical Management of Myeloid Neoplasms. Cancers (Basel). 2019;11(9).</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885"/>
    <w:multiLevelType w:val="hybridMultilevel"/>
    <w:tmpl w:val="04BC0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82122"/>
    <w:multiLevelType w:val="hybridMultilevel"/>
    <w:tmpl w:val="840C62C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9564DF5"/>
    <w:multiLevelType w:val="hybridMultilevel"/>
    <w:tmpl w:val="808613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0346F"/>
    <w:multiLevelType w:val="hybridMultilevel"/>
    <w:tmpl w:val="7ACE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2657E"/>
    <w:multiLevelType w:val="hybridMultilevel"/>
    <w:tmpl w:val="DE36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15:restartNumberingAfterBreak="0">
    <w:nsid w:val="25417041"/>
    <w:multiLevelType w:val="hybridMultilevel"/>
    <w:tmpl w:val="745A3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607B35"/>
    <w:multiLevelType w:val="hybridMultilevel"/>
    <w:tmpl w:val="05E21DA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B312A77"/>
    <w:multiLevelType w:val="hybridMultilevel"/>
    <w:tmpl w:val="C61A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A1B"/>
    <w:multiLevelType w:val="hybridMultilevel"/>
    <w:tmpl w:val="86A60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14189"/>
    <w:multiLevelType w:val="hybridMultilevel"/>
    <w:tmpl w:val="B582C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D97105D"/>
    <w:multiLevelType w:val="hybridMultilevel"/>
    <w:tmpl w:val="E90ABB5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4077455F"/>
    <w:multiLevelType w:val="hybridMultilevel"/>
    <w:tmpl w:val="1D1ACB48"/>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BD4EC9"/>
    <w:multiLevelType w:val="hybridMultilevel"/>
    <w:tmpl w:val="530EC03A"/>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1" w15:restartNumberingAfterBreak="0">
    <w:nsid w:val="420B6972"/>
    <w:multiLevelType w:val="hybridMultilevel"/>
    <w:tmpl w:val="31E80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F4D8C"/>
    <w:multiLevelType w:val="hybridMultilevel"/>
    <w:tmpl w:val="0F1601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EC5696"/>
    <w:multiLevelType w:val="hybridMultilevel"/>
    <w:tmpl w:val="19924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A7538"/>
    <w:multiLevelType w:val="hybridMultilevel"/>
    <w:tmpl w:val="805CF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EC08D6"/>
    <w:multiLevelType w:val="hybridMultilevel"/>
    <w:tmpl w:val="5058A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abstractNum w:abstractNumId="31" w15:restartNumberingAfterBreak="0">
    <w:nsid w:val="7FF4120C"/>
    <w:multiLevelType w:val="hybridMultilevel"/>
    <w:tmpl w:val="164A9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4"/>
  </w:num>
  <w:num w:numId="4">
    <w:abstractNumId w:val="7"/>
  </w:num>
  <w:num w:numId="5">
    <w:abstractNumId w:val="29"/>
  </w:num>
  <w:num w:numId="6">
    <w:abstractNumId w:val="10"/>
  </w:num>
  <w:num w:numId="7">
    <w:abstractNumId w:val="11"/>
  </w:num>
  <w:num w:numId="8">
    <w:abstractNumId w:val="15"/>
  </w:num>
  <w:num w:numId="9">
    <w:abstractNumId w:val="23"/>
  </w:num>
  <w:num w:numId="10">
    <w:abstractNumId w:val="18"/>
  </w:num>
  <w:num w:numId="11">
    <w:abstractNumId w:val="2"/>
  </w:num>
  <w:num w:numId="12">
    <w:abstractNumId w:val="27"/>
  </w:num>
  <w:num w:numId="13">
    <w:abstractNumId w:val="25"/>
  </w:num>
  <w:num w:numId="14">
    <w:abstractNumId w:val="1"/>
  </w:num>
  <w:num w:numId="15">
    <w:abstractNumId w:val="21"/>
  </w:num>
  <w:num w:numId="16">
    <w:abstractNumId w:val="22"/>
  </w:num>
  <w:num w:numId="17">
    <w:abstractNumId w:val="19"/>
  </w:num>
  <w:num w:numId="18">
    <w:abstractNumId w:val="9"/>
  </w:num>
  <w:num w:numId="19">
    <w:abstractNumId w:val="24"/>
  </w:num>
  <w:num w:numId="20">
    <w:abstractNumId w:val="20"/>
  </w:num>
  <w:num w:numId="21">
    <w:abstractNumId w:val="13"/>
  </w:num>
  <w:num w:numId="22">
    <w:abstractNumId w:val="3"/>
  </w:num>
  <w:num w:numId="23">
    <w:abstractNumId w:val="12"/>
  </w:num>
  <w:num w:numId="24">
    <w:abstractNumId w:val="26"/>
  </w:num>
  <w:num w:numId="25">
    <w:abstractNumId w:val="5"/>
  </w:num>
  <w:num w:numId="26">
    <w:abstractNumId w:val="8"/>
  </w:num>
  <w:num w:numId="27">
    <w:abstractNumId w:val="6"/>
  </w:num>
  <w:num w:numId="28">
    <w:abstractNumId w:val="31"/>
  </w:num>
  <w:num w:numId="29">
    <w:abstractNumId w:val="14"/>
  </w:num>
  <w:num w:numId="30">
    <w:abstractNumId w:val="17"/>
  </w:num>
  <w:num w:numId="31">
    <w:abstractNumId w:val="0"/>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59x25rzq0x9a8edpv8vf5d6asx0ddpepvs0&quot;&gt;1684&lt;record-ids&gt;&lt;item&gt;10&lt;/item&gt;&lt;item&gt;11&lt;/item&gt;&lt;item&gt;20&lt;/item&gt;&lt;item&gt;21&lt;/item&gt;&lt;item&gt;23&lt;/item&gt;&lt;item&gt;27&lt;/item&gt;&lt;item&gt;36&lt;/item&gt;&lt;item&gt;37&lt;/item&gt;&lt;item&gt;38&lt;/item&gt;&lt;item&gt;39&lt;/item&gt;&lt;item&gt;41&lt;/item&gt;&lt;item&gt;43&lt;/item&gt;&lt;item&gt;44&lt;/item&gt;&lt;item&gt;45&lt;/item&gt;&lt;item&gt;46&lt;/item&gt;&lt;item&gt;47&lt;/item&gt;&lt;item&gt;48&lt;/item&gt;&lt;item&gt;52&lt;/item&gt;&lt;item&gt;62&lt;/item&gt;&lt;item&gt;63&lt;/item&gt;&lt;item&gt;67&lt;/item&gt;&lt;item&gt;70&lt;/item&gt;&lt;item&gt;74&lt;/item&gt;&lt;item&gt;82&lt;/item&gt;&lt;item&gt;90&lt;/item&gt;&lt;item&gt;95&lt;/item&gt;&lt;item&gt;107&lt;/item&gt;&lt;item&gt;108&lt;/item&gt;&lt;item&gt;109&lt;/item&gt;&lt;item&gt;119&lt;/item&gt;&lt;item&gt;120&lt;/item&gt;&lt;item&gt;126&lt;/item&gt;&lt;item&gt;128&lt;/item&gt;&lt;item&gt;129&lt;/item&gt;&lt;item&gt;133&lt;/item&gt;&lt;item&gt;135&lt;/item&gt;&lt;item&gt;138&lt;/item&gt;&lt;item&gt;141&lt;/item&gt;&lt;item&gt;142&lt;/item&gt;&lt;item&gt;143&lt;/item&gt;&lt;item&gt;145&lt;/item&gt;&lt;item&gt;164&lt;/item&gt;&lt;item&gt;168&lt;/item&gt;&lt;item&gt;177&lt;/item&gt;&lt;item&gt;183&lt;/item&gt;&lt;item&gt;198&lt;/item&gt;&lt;item&gt;202&lt;/item&gt;&lt;item&gt;203&lt;/item&gt;&lt;item&gt;204&lt;/item&gt;&lt;item&gt;205&lt;/item&gt;&lt;item&gt;208&lt;/item&gt;&lt;item&gt;210&lt;/item&gt;&lt;item&gt;218&lt;/item&gt;&lt;item&gt;224&lt;/item&gt;&lt;item&gt;225&lt;/item&gt;&lt;item&gt;226&lt;/item&gt;&lt;item&gt;227&lt;/item&gt;&lt;item&gt;228&lt;/item&gt;&lt;item&gt;230&lt;/item&gt;&lt;item&gt;234&lt;/item&gt;&lt;item&gt;236&lt;/item&gt;&lt;item&gt;237&lt;/item&gt;&lt;item&gt;238&lt;/item&gt;&lt;item&gt;239&lt;/item&gt;&lt;item&gt;240&lt;/item&gt;&lt;item&gt;241&lt;/item&gt;&lt;item&gt;242&lt;/item&gt;&lt;item&gt;243&lt;/item&gt;&lt;item&gt;244&lt;/item&gt;&lt;item&gt;246&lt;/item&gt;&lt;item&gt;249&lt;/item&gt;&lt;item&gt;250&lt;/item&gt;&lt;item&gt;251&lt;/item&gt;&lt;item&gt;252&lt;/item&gt;&lt;item&gt;253&lt;/item&gt;&lt;item&gt;254&lt;/item&gt;&lt;item&gt;256&lt;/item&gt;&lt;item&gt;257&lt;/item&gt;&lt;item&gt;258&lt;/item&gt;&lt;item&gt;259&lt;/item&gt;&lt;item&gt;266&lt;/item&gt;&lt;item&gt;269&lt;/item&gt;&lt;item&gt;273&lt;/item&gt;&lt;item&gt;275&lt;/item&gt;&lt;item&gt;276&lt;/item&gt;&lt;item&gt;278&lt;/item&gt;&lt;item&gt;279&lt;/item&gt;&lt;item&gt;281&lt;/item&gt;&lt;item&gt;283&lt;/item&gt;&lt;item&gt;286&lt;/item&gt;&lt;/record-ids&gt;&lt;/item&gt;&lt;/Libraries&gt;"/>
  </w:docVars>
  <w:rsids>
    <w:rsidRoot w:val="008157F1"/>
    <w:rsid w:val="0000069E"/>
    <w:rsid w:val="00000E81"/>
    <w:rsid w:val="0000109A"/>
    <w:rsid w:val="0000172A"/>
    <w:rsid w:val="00001AE6"/>
    <w:rsid w:val="0000202E"/>
    <w:rsid w:val="0000289F"/>
    <w:rsid w:val="000028F9"/>
    <w:rsid w:val="00003272"/>
    <w:rsid w:val="00003475"/>
    <w:rsid w:val="0000366F"/>
    <w:rsid w:val="0000371B"/>
    <w:rsid w:val="000038A8"/>
    <w:rsid w:val="00003E2C"/>
    <w:rsid w:val="00004220"/>
    <w:rsid w:val="00004345"/>
    <w:rsid w:val="0000477D"/>
    <w:rsid w:val="00004D69"/>
    <w:rsid w:val="00004F7F"/>
    <w:rsid w:val="000054C9"/>
    <w:rsid w:val="000059AB"/>
    <w:rsid w:val="00005A76"/>
    <w:rsid w:val="00005A8A"/>
    <w:rsid w:val="00005CBF"/>
    <w:rsid w:val="00005FBF"/>
    <w:rsid w:val="00005FF8"/>
    <w:rsid w:val="00006955"/>
    <w:rsid w:val="00006AA5"/>
    <w:rsid w:val="00007E1A"/>
    <w:rsid w:val="00007E62"/>
    <w:rsid w:val="00010BA6"/>
    <w:rsid w:val="00010C08"/>
    <w:rsid w:val="00011164"/>
    <w:rsid w:val="00011568"/>
    <w:rsid w:val="000115C6"/>
    <w:rsid w:val="0001163F"/>
    <w:rsid w:val="000120CE"/>
    <w:rsid w:val="0001217F"/>
    <w:rsid w:val="0001238C"/>
    <w:rsid w:val="000126DF"/>
    <w:rsid w:val="00013385"/>
    <w:rsid w:val="0001403D"/>
    <w:rsid w:val="00014974"/>
    <w:rsid w:val="00014FD2"/>
    <w:rsid w:val="00015CDE"/>
    <w:rsid w:val="00016E7E"/>
    <w:rsid w:val="00017236"/>
    <w:rsid w:val="00017496"/>
    <w:rsid w:val="000174B3"/>
    <w:rsid w:val="000177A2"/>
    <w:rsid w:val="0002041B"/>
    <w:rsid w:val="000207E3"/>
    <w:rsid w:val="00020DA0"/>
    <w:rsid w:val="00020E89"/>
    <w:rsid w:val="0002140D"/>
    <w:rsid w:val="00021BC4"/>
    <w:rsid w:val="00021E6E"/>
    <w:rsid w:val="00022557"/>
    <w:rsid w:val="000228B8"/>
    <w:rsid w:val="00022979"/>
    <w:rsid w:val="00022F30"/>
    <w:rsid w:val="000231AE"/>
    <w:rsid w:val="0002378A"/>
    <w:rsid w:val="0002381B"/>
    <w:rsid w:val="00023F16"/>
    <w:rsid w:val="00024101"/>
    <w:rsid w:val="0002415F"/>
    <w:rsid w:val="000245AC"/>
    <w:rsid w:val="0002494C"/>
    <w:rsid w:val="00024BD4"/>
    <w:rsid w:val="00024EA5"/>
    <w:rsid w:val="0002558D"/>
    <w:rsid w:val="0002580C"/>
    <w:rsid w:val="000267F7"/>
    <w:rsid w:val="0002686B"/>
    <w:rsid w:val="000268FE"/>
    <w:rsid w:val="0002694A"/>
    <w:rsid w:val="000270A3"/>
    <w:rsid w:val="000274E9"/>
    <w:rsid w:val="0002755F"/>
    <w:rsid w:val="00027618"/>
    <w:rsid w:val="00027940"/>
    <w:rsid w:val="0003097B"/>
    <w:rsid w:val="00030B02"/>
    <w:rsid w:val="00030BE8"/>
    <w:rsid w:val="00030D85"/>
    <w:rsid w:val="00030D9D"/>
    <w:rsid w:val="00030DC6"/>
    <w:rsid w:val="00031564"/>
    <w:rsid w:val="000323DA"/>
    <w:rsid w:val="00032733"/>
    <w:rsid w:val="00032967"/>
    <w:rsid w:val="00032B4F"/>
    <w:rsid w:val="00032FD3"/>
    <w:rsid w:val="0003317E"/>
    <w:rsid w:val="00033B60"/>
    <w:rsid w:val="00033CB2"/>
    <w:rsid w:val="0003423A"/>
    <w:rsid w:val="0003467A"/>
    <w:rsid w:val="0003477F"/>
    <w:rsid w:val="000348F6"/>
    <w:rsid w:val="00034F59"/>
    <w:rsid w:val="0003553E"/>
    <w:rsid w:val="00035920"/>
    <w:rsid w:val="00035DD4"/>
    <w:rsid w:val="000360DC"/>
    <w:rsid w:val="00036AD8"/>
    <w:rsid w:val="00036FE0"/>
    <w:rsid w:val="00037037"/>
    <w:rsid w:val="00037302"/>
    <w:rsid w:val="00037A12"/>
    <w:rsid w:val="00037E69"/>
    <w:rsid w:val="0004005D"/>
    <w:rsid w:val="000409AF"/>
    <w:rsid w:val="00040A78"/>
    <w:rsid w:val="00040ADF"/>
    <w:rsid w:val="00040E40"/>
    <w:rsid w:val="00040FB4"/>
    <w:rsid w:val="00041385"/>
    <w:rsid w:val="000414B8"/>
    <w:rsid w:val="00041688"/>
    <w:rsid w:val="0004178C"/>
    <w:rsid w:val="00041A24"/>
    <w:rsid w:val="00041F5D"/>
    <w:rsid w:val="0004262A"/>
    <w:rsid w:val="00042BE5"/>
    <w:rsid w:val="00042CC4"/>
    <w:rsid w:val="000443A6"/>
    <w:rsid w:val="000448C3"/>
    <w:rsid w:val="000449D1"/>
    <w:rsid w:val="00044C60"/>
    <w:rsid w:val="0004534F"/>
    <w:rsid w:val="00045B8D"/>
    <w:rsid w:val="00045C21"/>
    <w:rsid w:val="00045CC5"/>
    <w:rsid w:val="00046B6A"/>
    <w:rsid w:val="00046BFC"/>
    <w:rsid w:val="00046FBF"/>
    <w:rsid w:val="000470D7"/>
    <w:rsid w:val="000472D4"/>
    <w:rsid w:val="0004794B"/>
    <w:rsid w:val="00047D23"/>
    <w:rsid w:val="00047D47"/>
    <w:rsid w:val="0005001C"/>
    <w:rsid w:val="000506DB"/>
    <w:rsid w:val="000511D7"/>
    <w:rsid w:val="00051927"/>
    <w:rsid w:val="00051ED1"/>
    <w:rsid w:val="00051FB3"/>
    <w:rsid w:val="000525D2"/>
    <w:rsid w:val="00052DD3"/>
    <w:rsid w:val="00052FA8"/>
    <w:rsid w:val="0005326D"/>
    <w:rsid w:val="00053360"/>
    <w:rsid w:val="000534A4"/>
    <w:rsid w:val="00053F6C"/>
    <w:rsid w:val="00054433"/>
    <w:rsid w:val="00054793"/>
    <w:rsid w:val="00054826"/>
    <w:rsid w:val="000549E5"/>
    <w:rsid w:val="00054E4C"/>
    <w:rsid w:val="00054FD6"/>
    <w:rsid w:val="0005504B"/>
    <w:rsid w:val="00055541"/>
    <w:rsid w:val="00055555"/>
    <w:rsid w:val="00055701"/>
    <w:rsid w:val="00055C61"/>
    <w:rsid w:val="0005641B"/>
    <w:rsid w:val="000568AA"/>
    <w:rsid w:val="00056C64"/>
    <w:rsid w:val="00056F77"/>
    <w:rsid w:val="00057334"/>
    <w:rsid w:val="0005797A"/>
    <w:rsid w:val="00057B30"/>
    <w:rsid w:val="00057F29"/>
    <w:rsid w:val="00057F87"/>
    <w:rsid w:val="00060190"/>
    <w:rsid w:val="00060B0F"/>
    <w:rsid w:val="000610A2"/>
    <w:rsid w:val="000618B2"/>
    <w:rsid w:val="00061964"/>
    <w:rsid w:val="00061B0E"/>
    <w:rsid w:val="0006290E"/>
    <w:rsid w:val="0006339C"/>
    <w:rsid w:val="0006345D"/>
    <w:rsid w:val="000636A0"/>
    <w:rsid w:val="00063C94"/>
    <w:rsid w:val="00064783"/>
    <w:rsid w:val="000647C2"/>
    <w:rsid w:val="00064959"/>
    <w:rsid w:val="000651BD"/>
    <w:rsid w:val="00065220"/>
    <w:rsid w:val="00065629"/>
    <w:rsid w:val="0006592F"/>
    <w:rsid w:val="00065A3C"/>
    <w:rsid w:val="00065E8C"/>
    <w:rsid w:val="0006640C"/>
    <w:rsid w:val="0006674C"/>
    <w:rsid w:val="00066F4C"/>
    <w:rsid w:val="000671A8"/>
    <w:rsid w:val="00067EED"/>
    <w:rsid w:val="0007021F"/>
    <w:rsid w:val="000709A0"/>
    <w:rsid w:val="000713CF"/>
    <w:rsid w:val="00071EE1"/>
    <w:rsid w:val="00072557"/>
    <w:rsid w:val="00072A8F"/>
    <w:rsid w:val="000738FF"/>
    <w:rsid w:val="00073C8F"/>
    <w:rsid w:val="00074199"/>
    <w:rsid w:val="00074881"/>
    <w:rsid w:val="000750D4"/>
    <w:rsid w:val="000750FE"/>
    <w:rsid w:val="000762FB"/>
    <w:rsid w:val="0007685B"/>
    <w:rsid w:val="0007719B"/>
    <w:rsid w:val="0007742D"/>
    <w:rsid w:val="00077652"/>
    <w:rsid w:val="00077677"/>
    <w:rsid w:val="000778DA"/>
    <w:rsid w:val="00077DEB"/>
    <w:rsid w:val="00080241"/>
    <w:rsid w:val="000803BF"/>
    <w:rsid w:val="000805CC"/>
    <w:rsid w:val="00080881"/>
    <w:rsid w:val="0008174B"/>
    <w:rsid w:val="00081778"/>
    <w:rsid w:val="00081B22"/>
    <w:rsid w:val="0008204E"/>
    <w:rsid w:val="000820DD"/>
    <w:rsid w:val="000823A4"/>
    <w:rsid w:val="00082BB1"/>
    <w:rsid w:val="00082D7F"/>
    <w:rsid w:val="0008409E"/>
    <w:rsid w:val="00084529"/>
    <w:rsid w:val="000846C3"/>
    <w:rsid w:val="00084BC2"/>
    <w:rsid w:val="00084F89"/>
    <w:rsid w:val="00084FF2"/>
    <w:rsid w:val="000855C5"/>
    <w:rsid w:val="00085DC8"/>
    <w:rsid w:val="000864D8"/>
    <w:rsid w:val="0008673A"/>
    <w:rsid w:val="0008681E"/>
    <w:rsid w:val="000869E7"/>
    <w:rsid w:val="000870B6"/>
    <w:rsid w:val="000870F2"/>
    <w:rsid w:val="0008716F"/>
    <w:rsid w:val="0008737F"/>
    <w:rsid w:val="0008785C"/>
    <w:rsid w:val="00087A44"/>
    <w:rsid w:val="00090593"/>
    <w:rsid w:val="00090613"/>
    <w:rsid w:val="000907D5"/>
    <w:rsid w:val="000908E5"/>
    <w:rsid w:val="00090AB5"/>
    <w:rsid w:val="00090BD1"/>
    <w:rsid w:val="00090C4C"/>
    <w:rsid w:val="000910CE"/>
    <w:rsid w:val="0009110A"/>
    <w:rsid w:val="0009149A"/>
    <w:rsid w:val="00091857"/>
    <w:rsid w:val="00091A3B"/>
    <w:rsid w:val="00091C59"/>
    <w:rsid w:val="00091C9F"/>
    <w:rsid w:val="00091D8A"/>
    <w:rsid w:val="00091DFA"/>
    <w:rsid w:val="0009201D"/>
    <w:rsid w:val="0009205D"/>
    <w:rsid w:val="00092831"/>
    <w:rsid w:val="00092A21"/>
    <w:rsid w:val="000934E0"/>
    <w:rsid w:val="00093821"/>
    <w:rsid w:val="00093D9A"/>
    <w:rsid w:val="00093F23"/>
    <w:rsid w:val="000943CD"/>
    <w:rsid w:val="00094656"/>
    <w:rsid w:val="00094806"/>
    <w:rsid w:val="0009483E"/>
    <w:rsid w:val="000948FC"/>
    <w:rsid w:val="00094CA9"/>
    <w:rsid w:val="0009545A"/>
    <w:rsid w:val="00095E69"/>
    <w:rsid w:val="00096737"/>
    <w:rsid w:val="00096B52"/>
    <w:rsid w:val="00096FEE"/>
    <w:rsid w:val="00097394"/>
    <w:rsid w:val="00097551"/>
    <w:rsid w:val="000A07E6"/>
    <w:rsid w:val="000A0B00"/>
    <w:rsid w:val="000A0B30"/>
    <w:rsid w:val="000A0D31"/>
    <w:rsid w:val="000A10BF"/>
    <w:rsid w:val="000A1243"/>
    <w:rsid w:val="000A13F5"/>
    <w:rsid w:val="000A1CD8"/>
    <w:rsid w:val="000A2AC2"/>
    <w:rsid w:val="000A2ACD"/>
    <w:rsid w:val="000A2B26"/>
    <w:rsid w:val="000A2B65"/>
    <w:rsid w:val="000A2DA8"/>
    <w:rsid w:val="000A2F29"/>
    <w:rsid w:val="000A35F6"/>
    <w:rsid w:val="000A3891"/>
    <w:rsid w:val="000A3DBE"/>
    <w:rsid w:val="000A40E3"/>
    <w:rsid w:val="000A4347"/>
    <w:rsid w:val="000A4CF3"/>
    <w:rsid w:val="000A50EA"/>
    <w:rsid w:val="000A52A6"/>
    <w:rsid w:val="000A52D1"/>
    <w:rsid w:val="000A5353"/>
    <w:rsid w:val="000A53D2"/>
    <w:rsid w:val="000A5468"/>
    <w:rsid w:val="000A5C47"/>
    <w:rsid w:val="000A629E"/>
    <w:rsid w:val="000A63BE"/>
    <w:rsid w:val="000A69C3"/>
    <w:rsid w:val="000A6B30"/>
    <w:rsid w:val="000A6BE3"/>
    <w:rsid w:val="000A6E56"/>
    <w:rsid w:val="000A7120"/>
    <w:rsid w:val="000A7774"/>
    <w:rsid w:val="000A7E76"/>
    <w:rsid w:val="000B00E4"/>
    <w:rsid w:val="000B01FB"/>
    <w:rsid w:val="000B0395"/>
    <w:rsid w:val="000B0BD9"/>
    <w:rsid w:val="000B0E76"/>
    <w:rsid w:val="000B12F6"/>
    <w:rsid w:val="000B1B36"/>
    <w:rsid w:val="000B2747"/>
    <w:rsid w:val="000B31F5"/>
    <w:rsid w:val="000B3330"/>
    <w:rsid w:val="000B344B"/>
    <w:rsid w:val="000B3907"/>
    <w:rsid w:val="000B39CC"/>
    <w:rsid w:val="000B408A"/>
    <w:rsid w:val="000B4205"/>
    <w:rsid w:val="000B4226"/>
    <w:rsid w:val="000B506C"/>
    <w:rsid w:val="000B5511"/>
    <w:rsid w:val="000B620A"/>
    <w:rsid w:val="000B657D"/>
    <w:rsid w:val="000B6693"/>
    <w:rsid w:val="000B678A"/>
    <w:rsid w:val="000B6A37"/>
    <w:rsid w:val="000B6CF0"/>
    <w:rsid w:val="000B6D63"/>
    <w:rsid w:val="000B6E07"/>
    <w:rsid w:val="000B6F91"/>
    <w:rsid w:val="000B70D3"/>
    <w:rsid w:val="000B720C"/>
    <w:rsid w:val="000B7665"/>
    <w:rsid w:val="000B7D7A"/>
    <w:rsid w:val="000B7EAF"/>
    <w:rsid w:val="000C009E"/>
    <w:rsid w:val="000C00EF"/>
    <w:rsid w:val="000C01EA"/>
    <w:rsid w:val="000C0668"/>
    <w:rsid w:val="000C0860"/>
    <w:rsid w:val="000C0A10"/>
    <w:rsid w:val="000C0B29"/>
    <w:rsid w:val="000C1339"/>
    <w:rsid w:val="000C1915"/>
    <w:rsid w:val="000C1DCD"/>
    <w:rsid w:val="000C1EB2"/>
    <w:rsid w:val="000C22EE"/>
    <w:rsid w:val="000C24EC"/>
    <w:rsid w:val="000C43EB"/>
    <w:rsid w:val="000C619A"/>
    <w:rsid w:val="000C67D4"/>
    <w:rsid w:val="000C7788"/>
    <w:rsid w:val="000C7C46"/>
    <w:rsid w:val="000D0491"/>
    <w:rsid w:val="000D07EB"/>
    <w:rsid w:val="000D09E8"/>
    <w:rsid w:val="000D12BE"/>
    <w:rsid w:val="000D1473"/>
    <w:rsid w:val="000D1B52"/>
    <w:rsid w:val="000D26F4"/>
    <w:rsid w:val="000D285F"/>
    <w:rsid w:val="000D299A"/>
    <w:rsid w:val="000D359C"/>
    <w:rsid w:val="000D35FF"/>
    <w:rsid w:val="000D3E8C"/>
    <w:rsid w:val="000D4240"/>
    <w:rsid w:val="000D437E"/>
    <w:rsid w:val="000D4717"/>
    <w:rsid w:val="000D4C1B"/>
    <w:rsid w:val="000D5335"/>
    <w:rsid w:val="000D5523"/>
    <w:rsid w:val="000D586D"/>
    <w:rsid w:val="000D64E3"/>
    <w:rsid w:val="000D6562"/>
    <w:rsid w:val="000D6791"/>
    <w:rsid w:val="000D6834"/>
    <w:rsid w:val="000D7233"/>
    <w:rsid w:val="000D7C70"/>
    <w:rsid w:val="000E03DC"/>
    <w:rsid w:val="000E0CB6"/>
    <w:rsid w:val="000E10C6"/>
    <w:rsid w:val="000E1124"/>
    <w:rsid w:val="000E1574"/>
    <w:rsid w:val="000E1E3E"/>
    <w:rsid w:val="000E1F67"/>
    <w:rsid w:val="000E217C"/>
    <w:rsid w:val="000E2321"/>
    <w:rsid w:val="000E361A"/>
    <w:rsid w:val="000E3FDA"/>
    <w:rsid w:val="000E5114"/>
    <w:rsid w:val="000E52D3"/>
    <w:rsid w:val="000E5531"/>
    <w:rsid w:val="000E55C0"/>
    <w:rsid w:val="000E5DA2"/>
    <w:rsid w:val="000E5EE6"/>
    <w:rsid w:val="000E6410"/>
    <w:rsid w:val="000E6592"/>
    <w:rsid w:val="000E678B"/>
    <w:rsid w:val="000E6873"/>
    <w:rsid w:val="000E6BF2"/>
    <w:rsid w:val="000E722E"/>
    <w:rsid w:val="000E73F4"/>
    <w:rsid w:val="000E7833"/>
    <w:rsid w:val="000E7C8B"/>
    <w:rsid w:val="000F0791"/>
    <w:rsid w:val="000F0888"/>
    <w:rsid w:val="000F11B1"/>
    <w:rsid w:val="000F1682"/>
    <w:rsid w:val="000F1B90"/>
    <w:rsid w:val="000F2939"/>
    <w:rsid w:val="000F2E01"/>
    <w:rsid w:val="000F3597"/>
    <w:rsid w:val="000F3C49"/>
    <w:rsid w:val="000F4130"/>
    <w:rsid w:val="000F434C"/>
    <w:rsid w:val="000F45A0"/>
    <w:rsid w:val="000F4805"/>
    <w:rsid w:val="000F4D3D"/>
    <w:rsid w:val="000F4F40"/>
    <w:rsid w:val="000F5212"/>
    <w:rsid w:val="000F5845"/>
    <w:rsid w:val="000F5A54"/>
    <w:rsid w:val="000F65A8"/>
    <w:rsid w:val="000F6BFE"/>
    <w:rsid w:val="000F723E"/>
    <w:rsid w:val="000F7987"/>
    <w:rsid w:val="000F7E72"/>
    <w:rsid w:val="0010001A"/>
    <w:rsid w:val="0010051C"/>
    <w:rsid w:val="0010072D"/>
    <w:rsid w:val="00100AAC"/>
    <w:rsid w:val="0010135B"/>
    <w:rsid w:val="00101370"/>
    <w:rsid w:val="0010151B"/>
    <w:rsid w:val="001018E3"/>
    <w:rsid w:val="00101BF9"/>
    <w:rsid w:val="0010234D"/>
    <w:rsid w:val="001029E6"/>
    <w:rsid w:val="00103031"/>
    <w:rsid w:val="001035D0"/>
    <w:rsid w:val="00103714"/>
    <w:rsid w:val="00103A4A"/>
    <w:rsid w:val="00103BB1"/>
    <w:rsid w:val="0010415D"/>
    <w:rsid w:val="0010448B"/>
    <w:rsid w:val="00104A54"/>
    <w:rsid w:val="001051F9"/>
    <w:rsid w:val="0010521F"/>
    <w:rsid w:val="001054CE"/>
    <w:rsid w:val="00105A49"/>
    <w:rsid w:val="00105FEF"/>
    <w:rsid w:val="00106079"/>
    <w:rsid w:val="0010624C"/>
    <w:rsid w:val="0010625A"/>
    <w:rsid w:val="0010653F"/>
    <w:rsid w:val="00106737"/>
    <w:rsid w:val="00107524"/>
    <w:rsid w:val="001077FE"/>
    <w:rsid w:val="00107BCC"/>
    <w:rsid w:val="00107DCD"/>
    <w:rsid w:val="00107EF0"/>
    <w:rsid w:val="00110B51"/>
    <w:rsid w:val="00111027"/>
    <w:rsid w:val="001111AB"/>
    <w:rsid w:val="00111417"/>
    <w:rsid w:val="001118BD"/>
    <w:rsid w:val="00111C93"/>
    <w:rsid w:val="00111F59"/>
    <w:rsid w:val="0011212E"/>
    <w:rsid w:val="00113262"/>
    <w:rsid w:val="00113375"/>
    <w:rsid w:val="00113A38"/>
    <w:rsid w:val="00113C60"/>
    <w:rsid w:val="00113D7D"/>
    <w:rsid w:val="00113EA7"/>
    <w:rsid w:val="00113FA9"/>
    <w:rsid w:val="00114C3B"/>
    <w:rsid w:val="001155DE"/>
    <w:rsid w:val="00115691"/>
    <w:rsid w:val="00115BF0"/>
    <w:rsid w:val="0011612F"/>
    <w:rsid w:val="0011628E"/>
    <w:rsid w:val="0011642D"/>
    <w:rsid w:val="00116995"/>
    <w:rsid w:val="00116C5E"/>
    <w:rsid w:val="00116F0A"/>
    <w:rsid w:val="00117039"/>
    <w:rsid w:val="001173A2"/>
    <w:rsid w:val="00117A22"/>
    <w:rsid w:val="00117E65"/>
    <w:rsid w:val="00117F04"/>
    <w:rsid w:val="001202D7"/>
    <w:rsid w:val="00120AF9"/>
    <w:rsid w:val="00120EF9"/>
    <w:rsid w:val="00121103"/>
    <w:rsid w:val="0012195F"/>
    <w:rsid w:val="00122AE3"/>
    <w:rsid w:val="00122EE1"/>
    <w:rsid w:val="00122F18"/>
    <w:rsid w:val="0012343B"/>
    <w:rsid w:val="001235F1"/>
    <w:rsid w:val="00123658"/>
    <w:rsid w:val="001236C2"/>
    <w:rsid w:val="0012371A"/>
    <w:rsid w:val="001237AF"/>
    <w:rsid w:val="00123A5C"/>
    <w:rsid w:val="00124103"/>
    <w:rsid w:val="00124361"/>
    <w:rsid w:val="001247EB"/>
    <w:rsid w:val="00124CC2"/>
    <w:rsid w:val="00124F3C"/>
    <w:rsid w:val="00124F45"/>
    <w:rsid w:val="001252B3"/>
    <w:rsid w:val="001258C8"/>
    <w:rsid w:val="00125B61"/>
    <w:rsid w:val="00126122"/>
    <w:rsid w:val="00126380"/>
    <w:rsid w:val="00126CDE"/>
    <w:rsid w:val="00127500"/>
    <w:rsid w:val="00127528"/>
    <w:rsid w:val="001277FF"/>
    <w:rsid w:val="0013081D"/>
    <w:rsid w:val="00130B51"/>
    <w:rsid w:val="00130D03"/>
    <w:rsid w:val="001312FB"/>
    <w:rsid w:val="001316E5"/>
    <w:rsid w:val="001317F4"/>
    <w:rsid w:val="00131A7F"/>
    <w:rsid w:val="00131D45"/>
    <w:rsid w:val="001320F0"/>
    <w:rsid w:val="0013262D"/>
    <w:rsid w:val="00132717"/>
    <w:rsid w:val="001328EB"/>
    <w:rsid w:val="00132C2B"/>
    <w:rsid w:val="00132D4A"/>
    <w:rsid w:val="00132ECD"/>
    <w:rsid w:val="001333FD"/>
    <w:rsid w:val="001336E0"/>
    <w:rsid w:val="00133A1B"/>
    <w:rsid w:val="00133C8D"/>
    <w:rsid w:val="00133F34"/>
    <w:rsid w:val="00134127"/>
    <w:rsid w:val="00135236"/>
    <w:rsid w:val="00135273"/>
    <w:rsid w:val="00135BE2"/>
    <w:rsid w:val="00135DBF"/>
    <w:rsid w:val="00135EE0"/>
    <w:rsid w:val="00135FC9"/>
    <w:rsid w:val="0013613A"/>
    <w:rsid w:val="0013615A"/>
    <w:rsid w:val="001364BD"/>
    <w:rsid w:val="00136AD8"/>
    <w:rsid w:val="0013724E"/>
    <w:rsid w:val="001374BE"/>
    <w:rsid w:val="00140806"/>
    <w:rsid w:val="001409CB"/>
    <w:rsid w:val="00140B4F"/>
    <w:rsid w:val="0014121A"/>
    <w:rsid w:val="001415CC"/>
    <w:rsid w:val="0014179E"/>
    <w:rsid w:val="0014254A"/>
    <w:rsid w:val="00142955"/>
    <w:rsid w:val="00142B5F"/>
    <w:rsid w:val="00143394"/>
    <w:rsid w:val="00143478"/>
    <w:rsid w:val="001437FA"/>
    <w:rsid w:val="00143BF7"/>
    <w:rsid w:val="00143C58"/>
    <w:rsid w:val="00143F2F"/>
    <w:rsid w:val="00144395"/>
    <w:rsid w:val="00144897"/>
    <w:rsid w:val="00144937"/>
    <w:rsid w:val="00144D9E"/>
    <w:rsid w:val="00144F23"/>
    <w:rsid w:val="00145319"/>
    <w:rsid w:val="0014553B"/>
    <w:rsid w:val="00145669"/>
    <w:rsid w:val="001456BE"/>
    <w:rsid w:val="00145748"/>
    <w:rsid w:val="00145815"/>
    <w:rsid w:val="001460E7"/>
    <w:rsid w:val="001461B2"/>
    <w:rsid w:val="001464E3"/>
    <w:rsid w:val="001465BF"/>
    <w:rsid w:val="00146624"/>
    <w:rsid w:val="00146B2E"/>
    <w:rsid w:val="00146EFA"/>
    <w:rsid w:val="001475B3"/>
    <w:rsid w:val="0015031A"/>
    <w:rsid w:val="00150376"/>
    <w:rsid w:val="00150A1F"/>
    <w:rsid w:val="00150CC7"/>
    <w:rsid w:val="001516CF"/>
    <w:rsid w:val="0015179E"/>
    <w:rsid w:val="001517AC"/>
    <w:rsid w:val="00151A86"/>
    <w:rsid w:val="00151DBD"/>
    <w:rsid w:val="00152216"/>
    <w:rsid w:val="001526FE"/>
    <w:rsid w:val="001531D6"/>
    <w:rsid w:val="00153E81"/>
    <w:rsid w:val="00153F2A"/>
    <w:rsid w:val="0015407F"/>
    <w:rsid w:val="001544CA"/>
    <w:rsid w:val="0015456B"/>
    <w:rsid w:val="00155434"/>
    <w:rsid w:val="00155525"/>
    <w:rsid w:val="001557EB"/>
    <w:rsid w:val="001559D2"/>
    <w:rsid w:val="00155BDA"/>
    <w:rsid w:val="00155BFB"/>
    <w:rsid w:val="001566A9"/>
    <w:rsid w:val="00156744"/>
    <w:rsid w:val="00156EA5"/>
    <w:rsid w:val="00156FA7"/>
    <w:rsid w:val="00157269"/>
    <w:rsid w:val="001575CD"/>
    <w:rsid w:val="00157CBD"/>
    <w:rsid w:val="00157F65"/>
    <w:rsid w:val="0016023A"/>
    <w:rsid w:val="00160B38"/>
    <w:rsid w:val="00160E13"/>
    <w:rsid w:val="00161CA8"/>
    <w:rsid w:val="00162D36"/>
    <w:rsid w:val="00162DBF"/>
    <w:rsid w:val="00162F86"/>
    <w:rsid w:val="00163141"/>
    <w:rsid w:val="001639CC"/>
    <w:rsid w:val="00164CF8"/>
    <w:rsid w:val="0016530A"/>
    <w:rsid w:val="001653AE"/>
    <w:rsid w:val="0016566A"/>
    <w:rsid w:val="00165A2A"/>
    <w:rsid w:val="001669E9"/>
    <w:rsid w:val="00167DAE"/>
    <w:rsid w:val="001701BB"/>
    <w:rsid w:val="00170D5B"/>
    <w:rsid w:val="001711D9"/>
    <w:rsid w:val="00171249"/>
    <w:rsid w:val="00171B9A"/>
    <w:rsid w:val="00171C39"/>
    <w:rsid w:val="00172000"/>
    <w:rsid w:val="00172775"/>
    <w:rsid w:val="00172B8F"/>
    <w:rsid w:val="00173132"/>
    <w:rsid w:val="0017335F"/>
    <w:rsid w:val="001736F8"/>
    <w:rsid w:val="00173A59"/>
    <w:rsid w:val="00173D85"/>
    <w:rsid w:val="00173EB5"/>
    <w:rsid w:val="00173EDB"/>
    <w:rsid w:val="00174B55"/>
    <w:rsid w:val="00174F93"/>
    <w:rsid w:val="00174FD4"/>
    <w:rsid w:val="00175859"/>
    <w:rsid w:val="00176503"/>
    <w:rsid w:val="001770B5"/>
    <w:rsid w:val="00177829"/>
    <w:rsid w:val="0017783E"/>
    <w:rsid w:val="00177973"/>
    <w:rsid w:val="00177AFC"/>
    <w:rsid w:val="00177CFC"/>
    <w:rsid w:val="00177F9C"/>
    <w:rsid w:val="00177FD0"/>
    <w:rsid w:val="001803B2"/>
    <w:rsid w:val="00180423"/>
    <w:rsid w:val="00180FA4"/>
    <w:rsid w:val="00181A2A"/>
    <w:rsid w:val="00182260"/>
    <w:rsid w:val="0018230E"/>
    <w:rsid w:val="00182474"/>
    <w:rsid w:val="00182629"/>
    <w:rsid w:val="00182847"/>
    <w:rsid w:val="00182F5E"/>
    <w:rsid w:val="001830DF"/>
    <w:rsid w:val="001837BA"/>
    <w:rsid w:val="00183839"/>
    <w:rsid w:val="001840DF"/>
    <w:rsid w:val="0018425C"/>
    <w:rsid w:val="00184BAE"/>
    <w:rsid w:val="00184E3E"/>
    <w:rsid w:val="00185137"/>
    <w:rsid w:val="00185E60"/>
    <w:rsid w:val="00186A9B"/>
    <w:rsid w:val="00187132"/>
    <w:rsid w:val="001876B0"/>
    <w:rsid w:val="001878E2"/>
    <w:rsid w:val="00190236"/>
    <w:rsid w:val="00190A12"/>
    <w:rsid w:val="00190E07"/>
    <w:rsid w:val="00191326"/>
    <w:rsid w:val="00192081"/>
    <w:rsid w:val="001923A1"/>
    <w:rsid w:val="0019362A"/>
    <w:rsid w:val="0019474E"/>
    <w:rsid w:val="00194E3A"/>
    <w:rsid w:val="00194EF8"/>
    <w:rsid w:val="00195728"/>
    <w:rsid w:val="00195937"/>
    <w:rsid w:val="00196163"/>
    <w:rsid w:val="00196294"/>
    <w:rsid w:val="0019686D"/>
    <w:rsid w:val="001968BC"/>
    <w:rsid w:val="00196912"/>
    <w:rsid w:val="001970C0"/>
    <w:rsid w:val="0019785D"/>
    <w:rsid w:val="00197869"/>
    <w:rsid w:val="00197CC8"/>
    <w:rsid w:val="001A03D6"/>
    <w:rsid w:val="001A0533"/>
    <w:rsid w:val="001A089F"/>
    <w:rsid w:val="001A09A3"/>
    <w:rsid w:val="001A16ED"/>
    <w:rsid w:val="001A1769"/>
    <w:rsid w:val="001A1C23"/>
    <w:rsid w:val="001A1CB7"/>
    <w:rsid w:val="001A2777"/>
    <w:rsid w:val="001A2791"/>
    <w:rsid w:val="001A2811"/>
    <w:rsid w:val="001A2A63"/>
    <w:rsid w:val="001A2C9F"/>
    <w:rsid w:val="001A2F35"/>
    <w:rsid w:val="001A3846"/>
    <w:rsid w:val="001A3970"/>
    <w:rsid w:val="001A3CE9"/>
    <w:rsid w:val="001A420B"/>
    <w:rsid w:val="001A44C5"/>
    <w:rsid w:val="001A457B"/>
    <w:rsid w:val="001A48D7"/>
    <w:rsid w:val="001A4B97"/>
    <w:rsid w:val="001A4E34"/>
    <w:rsid w:val="001A4F7D"/>
    <w:rsid w:val="001A513C"/>
    <w:rsid w:val="001A52DF"/>
    <w:rsid w:val="001A55D8"/>
    <w:rsid w:val="001A585D"/>
    <w:rsid w:val="001A5A6C"/>
    <w:rsid w:val="001A713A"/>
    <w:rsid w:val="001A74EC"/>
    <w:rsid w:val="001A75CD"/>
    <w:rsid w:val="001A76DF"/>
    <w:rsid w:val="001A7A3E"/>
    <w:rsid w:val="001A7B42"/>
    <w:rsid w:val="001A7D8F"/>
    <w:rsid w:val="001B143B"/>
    <w:rsid w:val="001B1C30"/>
    <w:rsid w:val="001B1E69"/>
    <w:rsid w:val="001B1E9D"/>
    <w:rsid w:val="001B2295"/>
    <w:rsid w:val="001B2911"/>
    <w:rsid w:val="001B2A97"/>
    <w:rsid w:val="001B2CD4"/>
    <w:rsid w:val="001B3438"/>
    <w:rsid w:val="001B3B90"/>
    <w:rsid w:val="001B3D31"/>
    <w:rsid w:val="001B3D52"/>
    <w:rsid w:val="001B47AF"/>
    <w:rsid w:val="001B488A"/>
    <w:rsid w:val="001B55EB"/>
    <w:rsid w:val="001B564F"/>
    <w:rsid w:val="001B610F"/>
    <w:rsid w:val="001B61CB"/>
    <w:rsid w:val="001B687E"/>
    <w:rsid w:val="001B6B9D"/>
    <w:rsid w:val="001B6EFB"/>
    <w:rsid w:val="001B719C"/>
    <w:rsid w:val="001B7329"/>
    <w:rsid w:val="001B7340"/>
    <w:rsid w:val="001B73DA"/>
    <w:rsid w:val="001B7515"/>
    <w:rsid w:val="001B7710"/>
    <w:rsid w:val="001C027B"/>
    <w:rsid w:val="001C0C4D"/>
    <w:rsid w:val="001C1361"/>
    <w:rsid w:val="001C174A"/>
    <w:rsid w:val="001C1C00"/>
    <w:rsid w:val="001C1D05"/>
    <w:rsid w:val="001C2248"/>
    <w:rsid w:val="001C245D"/>
    <w:rsid w:val="001C248F"/>
    <w:rsid w:val="001C263A"/>
    <w:rsid w:val="001C2A48"/>
    <w:rsid w:val="001C30C2"/>
    <w:rsid w:val="001C34C9"/>
    <w:rsid w:val="001C3E0D"/>
    <w:rsid w:val="001C4337"/>
    <w:rsid w:val="001C46F3"/>
    <w:rsid w:val="001C4D3B"/>
    <w:rsid w:val="001C5811"/>
    <w:rsid w:val="001C69E3"/>
    <w:rsid w:val="001C6DFD"/>
    <w:rsid w:val="001C7020"/>
    <w:rsid w:val="001C70E3"/>
    <w:rsid w:val="001C73DD"/>
    <w:rsid w:val="001C78C0"/>
    <w:rsid w:val="001C7CB6"/>
    <w:rsid w:val="001D01C5"/>
    <w:rsid w:val="001D0512"/>
    <w:rsid w:val="001D0CB5"/>
    <w:rsid w:val="001D0E90"/>
    <w:rsid w:val="001D10E7"/>
    <w:rsid w:val="001D114B"/>
    <w:rsid w:val="001D1738"/>
    <w:rsid w:val="001D2419"/>
    <w:rsid w:val="001D2464"/>
    <w:rsid w:val="001D2B99"/>
    <w:rsid w:val="001D2CFE"/>
    <w:rsid w:val="001D2FAD"/>
    <w:rsid w:val="001D32C0"/>
    <w:rsid w:val="001D36D9"/>
    <w:rsid w:val="001D37DF"/>
    <w:rsid w:val="001D3A64"/>
    <w:rsid w:val="001D41C7"/>
    <w:rsid w:val="001D42CA"/>
    <w:rsid w:val="001D4376"/>
    <w:rsid w:val="001D43E2"/>
    <w:rsid w:val="001D4808"/>
    <w:rsid w:val="001D4D3E"/>
    <w:rsid w:val="001D542F"/>
    <w:rsid w:val="001D54DD"/>
    <w:rsid w:val="001D5594"/>
    <w:rsid w:val="001D5793"/>
    <w:rsid w:val="001D709B"/>
    <w:rsid w:val="001D74A7"/>
    <w:rsid w:val="001D76C8"/>
    <w:rsid w:val="001D77B2"/>
    <w:rsid w:val="001D7B58"/>
    <w:rsid w:val="001D7FD2"/>
    <w:rsid w:val="001E0CC5"/>
    <w:rsid w:val="001E0DF2"/>
    <w:rsid w:val="001E0ECD"/>
    <w:rsid w:val="001E13F0"/>
    <w:rsid w:val="001E15F2"/>
    <w:rsid w:val="001E1B43"/>
    <w:rsid w:val="001E2079"/>
    <w:rsid w:val="001E22F7"/>
    <w:rsid w:val="001E28A3"/>
    <w:rsid w:val="001E335B"/>
    <w:rsid w:val="001E3363"/>
    <w:rsid w:val="001E3EB8"/>
    <w:rsid w:val="001E419C"/>
    <w:rsid w:val="001E465F"/>
    <w:rsid w:val="001E51D2"/>
    <w:rsid w:val="001E5340"/>
    <w:rsid w:val="001E5344"/>
    <w:rsid w:val="001E5B41"/>
    <w:rsid w:val="001E5D5F"/>
    <w:rsid w:val="001E5ECB"/>
    <w:rsid w:val="001E6164"/>
    <w:rsid w:val="001E62C8"/>
    <w:rsid w:val="001E6778"/>
    <w:rsid w:val="001E692B"/>
    <w:rsid w:val="001E7B92"/>
    <w:rsid w:val="001E7CEC"/>
    <w:rsid w:val="001E7D6C"/>
    <w:rsid w:val="001E7EFD"/>
    <w:rsid w:val="001F047C"/>
    <w:rsid w:val="001F093D"/>
    <w:rsid w:val="001F0943"/>
    <w:rsid w:val="001F0E50"/>
    <w:rsid w:val="001F0EC9"/>
    <w:rsid w:val="001F1069"/>
    <w:rsid w:val="001F11BE"/>
    <w:rsid w:val="001F1841"/>
    <w:rsid w:val="001F1F2B"/>
    <w:rsid w:val="001F230C"/>
    <w:rsid w:val="001F2902"/>
    <w:rsid w:val="001F2D09"/>
    <w:rsid w:val="001F2D70"/>
    <w:rsid w:val="001F2E5E"/>
    <w:rsid w:val="001F304F"/>
    <w:rsid w:val="001F30C6"/>
    <w:rsid w:val="001F370D"/>
    <w:rsid w:val="001F39D1"/>
    <w:rsid w:val="001F3B4C"/>
    <w:rsid w:val="001F3D03"/>
    <w:rsid w:val="001F3F36"/>
    <w:rsid w:val="001F3F3C"/>
    <w:rsid w:val="001F45BC"/>
    <w:rsid w:val="001F4F0C"/>
    <w:rsid w:val="001F58B1"/>
    <w:rsid w:val="001F5902"/>
    <w:rsid w:val="001F5B14"/>
    <w:rsid w:val="001F5C21"/>
    <w:rsid w:val="001F5CCE"/>
    <w:rsid w:val="001F5E1F"/>
    <w:rsid w:val="001F5E96"/>
    <w:rsid w:val="001F5EF2"/>
    <w:rsid w:val="001F658C"/>
    <w:rsid w:val="001F675C"/>
    <w:rsid w:val="001F67D5"/>
    <w:rsid w:val="001F67FD"/>
    <w:rsid w:val="001F6853"/>
    <w:rsid w:val="001F6E22"/>
    <w:rsid w:val="001F6F44"/>
    <w:rsid w:val="001F706C"/>
    <w:rsid w:val="001F74A6"/>
    <w:rsid w:val="001F7563"/>
    <w:rsid w:val="001F76A7"/>
    <w:rsid w:val="001F79F0"/>
    <w:rsid w:val="00200925"/>
    <w:rsid w:val="00200938"/>
    <w:rsid w:val="00200F9E"/>
    <w:rsid w:val="00200FCB"/>
    <w:rsid w:val="0020108C"/>
    <w:rsid w:val="00201930"/>
    <w:rsid w:val="00201943"/>
    <w:rsid w:val="002020ED"/>
    <w:rsid w:val="00202A6E"/>
    <w:rsid w:val="00202B51"/>
    <w:rsid w:val="002030E2"/>
    <w:rsid w:val="00204145"/>
    <w:rsid w:val="00204476"/>
    <w:rsid w:val="002044FD"/>
    <w:rsid w:val="0020469A"/>
    <w:rsid w:val="002048DC"/>
    <w:rsid w:val="00204982"/>
    <w:rsid w:val="00204998"/>
    <w:rsid w:val="00204E03"/>
    <w:rsid w:val="00205284"/>
    <w:rsid w:val="00205D68"/>
    <w:rsid w:val="002060CE"/>
    <w:rsid w:val="00206146"/>
    <w:rsid w:val="002063EE"/>
    <w:rsid w:val="00206420"/>
    <w:rsid w:val="00206B3C"/>
    <w:rsid w:val="00206C0C"/>
    <w:rsid w:val="00206D0D"/>
    <w:rsid w:val="00206F3B"/>
    <w:rsid w:val="00207B0C"/>
    <w:rsid w:val="00207F59"/>
    <w:rsid w:val="00210309"/>
    <w:rsid w:val="002103A8"/>
    <w:rsid w:val="00210811"/>
    <w:rsid w:val="002108E8"/>
    <w:rsid w:val="00210C96"/>
    <w:rsid w:val="00210E08"/>
    <w:rsid w:val="00211162"/>
    <w:rsid w:val="0021122D"/>
    <w:rsid w:val="0021176C"/>
    <w:rsid w:val="0021199B"/>
    <w:rsid w:val="00211DC3"/>
    <w:rsid w:val="00212CEB"/>
    <w:rsid w:val="00212E7E"/>
    <w:rsid w:val="0021329C"/>
    <w:rsid w:val="002134EF"/>
    <w:rsid w:val="00213BFF"/>
    <w:rsid w:val="002144C7"/>
    <w:rsid w:val="0021451A"/>
    <w:rsid w:val="00215316"/>
    <w:rsid w:val="002155B6"/>
    <w:rsid w:val="00215738"/>
    <w:rsid w:val="002157E4"/>
    <w:rsid w:val="00215AFB"/>
    <w:rsid w:val="00215DEA"/>
    <w:rsid w:val="00216882"/>
    <w:rsid w:val="00216F9E"/>
    <w:rsid w:val="0021713A"/>
    <w:rsid w:val="002179A3"/>
    <w:rsid w:val="00217C04"/>
    <w:rsid w:val="002200D8"/>
    <w:rsid w:val="002206A0"/>
    <w:rsid w:val="00220C4A"/>
    <w:rsid w:val="00220F64"/>
    <w:rsid w:val="00221A81"/>
    <w:rsid w:val="00221F6A"/>
    <w:rsid w:val="002222AE"/>
    <w:rsid w:val="00222324"/>
    <w:rsid w:val="0022238B"/>
    <w:rsid w:val="00222789"/>
    <w:rsid w:val="002227D7"/>
    <w:rsid w:val="00223664"/>
    <w:rsid w:val="0022366F"/>
    <w:rsid w:val="00223A56"/>
    <w:rsid w:val="00223D01"/>
    <w:rsid w:val="00223FD8"/>
    <w:rsid w:val="0022577F"/>
    <w:rsid w:val="00225833"/>
    <w:rsid w:val="00225986"/>
    <w:rsid w:val="00225B5E"/>
    <w:rsid w:val="00225EC3"/>
    <w:rsid w:val="00226095"/>
    <w:rsid w:val="00226787"/>
    <w:rsid w:val="002268AB"/>
    <w:rsid w:val="00227835"/>
    <w:rsid w:val="00227906"/>
    <w:rsid w:val="00227B89"/>
    <w:rsid w:val="00227F43"/>
    <w:rsid w:val="00230730"/>
    <w:rsid w:val="00231154"/>
    <w:rsid w:val="002313E3"/>
    <w:rsid w:val="002314A7"/>
    <w:rsid w:val="002317A1"/>
    <w:rsid w:val="00231CEF"/>
    <w:rsid w:val="00231D52"/>
    <w:rsid w:val="00231EB0"/>
    <w:rsid w:val="002320E0"/>
    <w:rsid w:val="00232343"/>
    <w:rsid w:val="00232781"/>
    <w:rsid w:val="00233456"/>
    <w:rsid w:val="00233C15"/>
    <w:rsid w:val="00233D96"/>
    <w:rsid w:val="00234640"/>
    <w:rsid w:val="002348D8"/>
    <w:rsid w:val="0023491B"/>
    <w:rsid w:val="00235013"/>
    <w:rsid w:val="002351DC"/>
    <w:rsid w:val="00235542"/>
    <w:rsid w:val="002359C2"/>
    <w:rsid w:val="00235B18"/>
    <w:rsid w:val="002362B8"/>
    <w:rsid w:val="00236776"/>
    <w:rsid w:val="00236969"/>
    <w:rsid w:val="0023700B"/>
    <w:rsid w:val="002370AC"/>
    <w:rsid w:val="002373DD"/>
    <w:rsid w:val="002373EA"/>
    <w:rsid w:val="00237413"/>
    <w:rsid w:val="00237CA6"/>
    <w:rsid w:val="00237DED"/>
    <w:rsid w:val="00237E9D"/>
    <w:rsid w:val="00237FBF"/>
    <w:rsid w:val="00240106"/>
    <w:rsid w:val="0024014A"/>
    <w:rsid w:val="0024052A"/>
    <w:rsid w:val="00240E17"/>
    <w:rsid w:val="00240E46"/>
    <w:rsid w:val="002411C7"/>
    <w:rsid w:val="002412F4"/>
    <w:rsid w:val="0024180E"/>
    <w:rsid w:val="002421CF"/>
    <w:rsid w:val="00242823"/>
    <w:rsid w:val="00242F4E"/>
    <w:rsid w:val="00243042"/>
    <w:rsid w:val="00243851"/>
    <w:rsid w:val="00243CFA"/>
    <w:rsid w:val="0024417B"/>
    <w:rsid w:val="0024512F"/>
    <w:rsid w:val="002452A0"/>
    <w:rsid w:val="002452B5"/>
    <w:rsid w:val="00245F67"/>
    <w:rsid w:val="00246112"/>
    <w:rsid w:val="00246356"/>
    <w:rsid w:val="002463A6"/>
    <w:rsid w:val="00246667"/>
    <w:rsid w:val="00246AC3"/>
    <w:rsid w:val="00246ADB"/>
    <w:rsid w:val="00246AFB"/>
    <w:rsid w:val="00246C71"/>
    <w:rsid w:val="002478A8"/>
    <w:rsid w:val="00247AB3"/>
    <w:rsid w:val="00247D26"/>
    <w:rsid w:val="002502C8"/>
    <w:rsid w:val="0025046D"/>
    <w:rsid w:val="00250615"/>
    <w:rsid w:val="002517A5"/>
    <w:rsid w:val="00251F6C"/>
    <w:rsid w:val="0025249C"/>
    <w:rsid w:val="0025261E"/>
    <w:rsid w:val="002539ED"/>
    <w:rsid w:val="0025409C"/>
    <w:rsid w:val="00254143"/>
    <w:rsid w:val="00254153"/>
    <w:rsid w:val="0025440D"/>
    <w:rsid w:val="0025450E"/>
    <w:rsid w:val="00254BBB"/>
    <w:rsid w:val="00254C40"/>
    <w:rsid w:val="00254F0D"/>
    <w:rsid w:val="002550EB"/>
    <w:rsid w:val="00255152"/>
    <w:rsid w:val="002552FC"/>
    <w:rsid w:val="00255544"/>
    <w:rsid w:val="0025554E"/>
    <w:rsid w:val="00255D38"/>
    <w:rsid w:val="00255FB2"/>
    <w:rsid w:val="00256195"/>
    <w:rsid w:val="0025634C"/>
    <w:rsid w:val="00256685"/>
    <w:rsid w:val="002566D5"/>
    <w:rsid w:val="00256C61"/>
    <w:rsid w:val="00256CFA"/>
    <w:rsid w:val="00257E62"/>
    <w:rsid w:val="0026061B"/>
    <w:rsid w:val="0026112A"/>
    <w:rsid w:val="0026163B"/>
    <w:rsid w:val="00261837"/>
    <w:rsid w:val="00262213"/>
    <w:rsid w:val="00262662"/>
    <w:rsid w:val="002628E1"/>
    <w:rsid w:val="00262C33"/>
    <w:rsid w:val="00262D0E"/>
    <w:rsid w:val="002637D2"/>
    <w:rsid w:val="002638F4"/>
    <w:rsid w:val="00263D93"/>
    <w:rsid w:val="00263FB3"/>
    <w:rsid w:val="00264896"/>
    <w:rsid w:val="00264B5D"/>
    <w:rsid w:val="00264D86"/>
    <w:rsid w:val="002654B3"/>
    <w:rsid w:val="00266627"/>
    <w:rsid w:val="00266947"/>
    <w:rsid w:val="00266DF6"/>
    <w:rsid w:val="0026721E"/>
    <w:rsid w:val="00267847"/>
    <w:rsid w:val="002678CC"/>
    <w:rsid w:val="00270190"/>
    <w:rsid w:val="002708E4"/>
    <w:rsid w:val="00270B03"/>
    <w:rsid w:val="00270D11"/>
    <w:rsid w:val="0027160C"/>
    <w:rsid w:val="00271825"/>
    <w:rsid w:val="0027194B"/>
    <w:rsid w:val="00271DF6"/>
    <w:rsid w:val="00271EDF"/>
    <w:rsid w:val="002721F4"/>
    <w:rsid w:val="002728B2"/>
    <w:rsid w:val="002728BE"/>
    <w:rsid w:val="00272B8A"/>
    <w:rsid w:val="00272FE6"/>
    <w:rsid w:val="00273381"/>
    <w:rsid w:val="00273FF8"/>
    <w:rsid w:val="00274060"/>
    <w:rsid w:val="002745EF"/>
    <w:rsid w:val="002745F2"/>
    <w:rsid w:val="002751D1"/>
    <w:rsid w:val="00275209"/>
    <w:rsid w:val="002758F3"/>
    <w:rsid w:val="0027631C"/>
    <w:rsid w:val="002763D5"/>
    <w:rsid w:val="002763E2"/>
    <w:rsid w:val="002767EE"/>
    <w:rsid w:val="00276A61"/>
    <w:rsid w:val="00276E47"/>
    <w:rsid w:val="00276ED2"/>
    <w:rsid w:val="002770FC"/>
    <w:rsid w:val="002771EC"/>
    <w:rsid w:val="0028010F"/>
    <w:rsid w:val="00280CAD"/>
    <w:rsid w:val="002812EB"/>
    <w:rsid w:val="00281C5B"/>
    <w:rsid w:val="00282568"/>
    <w:rsid w:val="00282882"/>
    <w:rsid w:val="0028323F"/>
    <w:rsid w:val="00283500"/>
    <w:rsid w:val="00283777"/>
    <w:rsid w:val="00283A7C"/>
    <w:rsid w:val="00283E8E"/>
    <w:rsid w:val="002841F3"/>
    <w:rsid w:val="00284237"/>
    <w:rsid w:val="00284340"/>
    <w:rsid w:val="00284589"/>
    <w:rsid w:val="0028534C"/>
    <w:rsid w:val="00285498"/>
    <w:rsid w:val="002858DE"/>
    <w:rsid w:val="002861BE"/>
    <w:rsid w:val="002871FF"/>
    <w:rsid w:val="002878AB"/>
    <w:rsid w:val="00287E78"/>
    <w:rsid w:val="00290262"/>
    <w:rsid w:val="00290676"/>
    <w:rsid w:val="002909F3"/>
    <w:rsid w:val="00290DFA"/>
    <w:rsid w:val="0029132B"/>
    <w:rsid w:val="00291462"/>
    <w:rsid w:val="00291572"/>
    <w:rsid w:val="00291D17"/>
    <w:rsid w:val="00292F12"/>
    <w:rsid w:val="0029361B"/>
    <w:rsid w:val="00294150"/>
    <w:rsid w:val="0029461C"/>
    <w:rsid w:val="00295392"/>
    <w:rsid w:val="002953E8"/>
    <w:rsid w:val="002959E8"/>
    <w:rsid w:val="00295A65"/>
    <w:rsid w:val="00296252"/>
    <w:rsid w:val="00296277"/>
    <w:rsid w:val="002968B3"/>
    <w:rsid w:val="002976C4"/>
    <w:rsid w:val="0029786F"/>
    <w:rsid w:val="00297871"/>
    <w:rsid w:val="00297AF5"/>
    <w:rsid w:val="002A038F"/>
    <w:rsid w:val="002A04B4"/>
    <w:rsid w:val="002A0747"/>
    <w:rsid w:val="002A0F66"/>
    <w:rsid w:val="002A11EC"/>
    <w:rsid w:val="002A127E"/>
    <w:rsid w:val="002A12A6"/>
    <w:rsid w:val="002A145B"/>
    <w:rsid w:val="002A18BE"/>
    <w:rsid w:val="002A1BBE"/>
    <w:rsid w:val="002A2CA3"/>
    <w:rsid w:val="002A32D4"/>
    <w:rsid w:val="002A36F6"/>
    <w:rsid w:val="002A3E83"/>
    <w:rsid w:val="002A4084"/>
    <w:rsid w:val="002A41B4"/>
    <w:rsid w:val="002A4AD6"/>
    <w:rsid w:val="002A4F9A"/>
    <w:rsid w:val="002A5005"/>
    <w:rsid w:val="002A50D6"/>
    <w:rsid w:val="002A5108"/>
    <w:rsid w:val="002A5BBF"/>
    <w:rsid w:val="002A5F28"/>
    <w:rsid w:val="002A6255"/>
    <w:rsid w:val="002A63DC"/>
    <w:rsid w:val="002A63DE"/>
    <w:rsid w:val="002A6600"/>
    <w:rsid w:val="002A6676"/>
    <w:rsid w:val="002A6A8C"/>
    <w:rsid w:val="002A6BB0"/>
    <w:rsid w:val="002A7196"/>
    <w:rsid w:val="002A76AE"/>
    <w:rsid w:val="002A7CB5"/>
    <w:rsid w:val="002B020D"/>
    <w:rsid w:val="002B0E6D"/>
    <w:rsid w:val="002B1168"/>
    <w:rsid w:val="002B1384"/>
    <w:rsid w:val="002B22B2"/>
    <w:rsid w:val="002B252A"/>
    <w:rsid w:val="002B25E9"/>
    <w:rsid w:val="002B32A1"/>
    <w:rsid w:val="002B33E1"/>
    <w:rsid w:val="002B35DB"/>
    <w:rsid w:val="002B3681"/>
    <w:rsid w:val="002B38B5"/>
    <w:rsid w:val="002B3EDA"/>
    <w:rsid w:val="002B3F52"/>
    <w:rsid w:val="002B3FD0"/>
    <w:rsid w:val="002B40FD"/>
    <w:rsid w:val="002B44FD"/>
    <w:rsid w:val="002B4E9B"/>
    <w:rsid w:val="002B5525"/>
    <w:rsid w:val="002B5581"/>
    <w:rsid w:val="002B5D7A"/>
    <w:rsid w:val="002B6020"/>
    <w:rsid w:val="002B6140"/>
    <w:rsid w:val="002B62BB"/>
    <w:rsid w:val="002B667C"/>
    <w:rsid w:val="002B6750"/>
    <w:rsid w:val="002B6852"/>
    <w:rsid w:val="002B6ADA"/>
    <w:rsid w:val="002B6BC6"/>
    <w:rsid w:val="002C0BA8"/>
    <w:rsid w:val="002C11CA"/>
    <w:rsid w:val="002C122A"/>
    <w:rsid w:val="002C1415"/>
    <w:rsid w:val="002C170C"/>
    <w:rsid w:val="002C18F5"/>
    <w:rsid w:val="002C190B"/>
    <w:rsid w:val="002C2161"/>
    <w:rsid w:val="002C2363"/>
    <w:rsid w:val="002C2A12"/>
    <w:rsid w:val="002C2C16"/>
    <w:rsid w:val="002C3AC4"/>
    <w:rsid w:val="002C45E8"/>
    <w:rsid w:val="002C4869"/>
    <w:rsid w:val="002C4AD7"/>
    <w:rsid w:val="002C5317"/>
    <w:rsid w:val="002C554A"/>
    <w:rsid w:val="002C567D"/>
    <w:rsid w:val="002C6972"/>
    <w:rsid w:val="002C70CE"/>
    <w:rsid w:val="002C72C8"/>
    <w:rsid w:val="002C7468"/>
    <w:rsid w:val="002C7E81"/>
    <w:rsid w:val="002D0AA4"/>
    <w:rsid w:val="002D0DD3"/>
    <w:rsid w:val="002D11A0"/>
    <w:rsid w:val="002D11D2"/>
    <w:rsid w:val="002D14FC"/>
    <w:rsid w:val="002D16D8"/>
    <w:rsid w:val="002D1C18"/>
    <w:rsid w:val="002D22BC"/>
    <w:rsid w:val="002D232D"/>
    <w:rsid w:val="002D23A0"/>
    <w:rsid w:val="002D2763"/>
    <w:rsid w:val="002D2BEC"/>
    <w:rsid w:val="002D2E7E"/>
    <w:rsid w:val="002D2F67"/>
    <w:rsid w:val="002D3641"/>
    <w:rsid w:val="002D3E5C"/>
    <w:rsid w:val="002D456D"/>
    <w:rsid w:val="002D4C11"/>
    <w:rsid w:val="002D4E5F"/>
    <w:rsid w:val="002D4F48"/>
    <w:rsid w:val="002D5097"/>
    <w:rsid w:val="002D5523"/>
    <w:rsid w:val="002D55E4"/>
    <w:rsid w:val="002D5EBC"/>
    <w:rsid w:val="002D68D4"/>
    <w:rsid w:val="002D690D"/>
    <w:rsid w:val="002E0AA9"/>
    <w:rsid w:val="002E0BFE"/>
    <w:rsid w:val="002E1326"/>
    <w:rsid w:val="002E16B3"/>
    <w:rsid w:val="002E1944"/>
    <w:rsid w:val="002E1D4E"/>
    <w:rsid w:val="002E1D74"/>
    <w:rsid w:val="002E1D7E"/>
    <w:rsid w:val="002E1FA6"/>
    <w:rsid w:val="002E22DA"/>
    <w:rsid w:val="002E23B5"/>
    <w:rsid w:val="002E2DC0"/>
    <w:rsid w:val="002E3BEA"/>
    <w:rsid w:val="002E3BF7"/>
    <w:rsid w:val="002E3DC1"/>
    <w:rsid w:val="002E3EA2"/>
    <w:rsid w:val="002E4014"/>
    <w:rsid w:val="002E5AF0"/>
    <w:rsid w:val="002E5E85"/>
    <w:rsid w:val="002E5F75"/>
    <w:rsid w:val="002E6541"/>
    <w:rsid w:val="002E654B"/>
    <w:rsid w:val="002E6C2E"/>
    <w:rsid w:val="002E7775"/>
    <w:rsid w:val="002E7AD2"/>
    <w:rsid w:val="002E7CD1"/>
    <w:rsid w:val="002E7EB1"/>
    <w:rsid w:val="002F0366"/>
    <w:rsid w:val="002F03FF"/>
    <w:rsid w:val="002F0697"/>
    <w:rsid w:val="002F06A2"/>
    <w:rsid w:val="002F1151"/>
    <w:rsid w:val="002F1399"/>
    <w:rsid w:val="002F1543"/>
    <w:rsid w:val="002F1C46"/>
    <w:rsid w:val="002F200C"/>
    <w:rsid w:val="002F2181"/>
    <w:rsid w:val="002F2225"/>
    <w:rsid w:val="002F2499"/>
    <w:rsid w:val="002F2524"/>
    <w:rsid w:val="002F2D32"/>
    <w:rsid w:val="002F30D4"/>
    <w:rsid w:val="002F32FB"/>
    <w:rsid w:val="002F3C31"/>
    <w:rsid w:val="002F41A9"/>
    <w:rsid w:val="002F46AE"/>
    <w:rsid w:val="002F47DD"/>
    <w:rsid w:val="002F486E"/>
    <w:rsid w:val="002F52EE"/>
    <w:rsid w:val="002F5611"/>
    <w:rsid w:val="002F56DB"/>
    <w:rsid w:val="002F5B78"/>
    <w:rsid w:val="002F5B89"/>
    <w:rsid w:val="002F5CC8"/>
    <w:rsid w:val="002F5F5E"/>
    <w:rsid w:val="002F5F85"/>
    <w:rsid w:val="002F628F"/>
    <w:rsid w:val="002F6525"/>
    <w:rsid w:val="002F693F"/>
    <w:rsid w:val="002F6A33"/>
    <w:rsid w:val="002F6AE8"/>
    <w:rsid w:val="002F6D73"/>
    <w:rsid w:val="002F6E8A"/>
    <w:rsid w:val="002F7954"/>
    <w:rsid w:val="002F7C9B"/>
    <w:rsid w:val="003008CC"/>
    <w:rsid w:val="00300AC4"/>
    <w:rsid w:val="00301351"/>
    <w:rsid w:val="00301763"/>
    <w:rsid w:val="00301BCB"/>
    <w:rsid w:val="00301CCB"/>
    <w:rsid w:val="00302094"/>
    <w:rsid w:val="00302252"/>
    <w:rsid w:val="0030307B"/>
    <w:rsid w:val="00303C60"/>
    <w:rsid w:val="00304127"/>
    <w:rsid w:val="00304FB8"/>
    <w:rsid w:val="00305CB2"/>
    <w:rsid w:val="003063EE"/>
    <w:rsid w:val="00306ED3"/>
    <w:rsid w:val="003070BF"/>
    <w:rsid w:val="00307299"/>
    <w:rsid w:val="003072BA"/>
    <w:rsid w:val="00307516"/>
    <w:rsid w:val="00307EA3"/>
    <w:rsid w:val="00310B9B"/>
    <w:rsid w:val="00310C3F"/>
    <w:rsid w:val="00310C90"/>
    <w:rsid w:val="003112AE"/>
    <w:rsid w:val="003112CA"/>
    <w:rsid w:val="003112CE"/>
    <w:rsid w:val="00311C93"/>
    <w:rsid w:val="00312948"/>
    <w:rsid w:val="0031327D"/>
    <w:rsid w:val="00313910"/>
    <w:rsid w:val="003140D2"/>
    <w:rsid w:val="00315AA2"/>
    <w:rsid w:val="00315BB3"/>
    <w:rsid w:val="00315BDB"/>
    <w:rsid w:val="00315E85"/>
    <w:rsid w:val="00316079"/>
    <w:rsid w:val="003160E9"/>
    <w:rsid w:val="00316206"/>
    <w:rsid w:val="00316929"/>
    <w:rsid w:val="00316A14"/>
    <w:rsid w:val="00316B3D"/>
    <w:rsid w:val="00317714"/>
    <w:rsid w:val="003209EF"/>
    <w:rsid w:val="00320A17"/>
    <w:rsid w:val="00320A28"/>
    <w:rsid w:val="00321143"/>
    <w:rsid w:val="00321D96"/>
    <w:rsid w:val="003229E4"/>
    <w:rsid w:val="00322A08"/>
    <w:rsid w:val="00322DA9"/>
    <w:rsid w:val="00322FC0"/>
    <w:rsid w:val="003233FA"/>
    <w:rsid w:val="00323AF6"/>
    <w:rsid w:val="00323EFB"/>
    <w:rsid w:val="003242AB"/>
    <w:rsid w:val="003251C2"/>
    <w:rsid w:val="00325FA0"/>
    <w:rsid w:val="00326A32"/>
    <w:rsid w:val="00326B2F"/>
    <w:rsid w:val="00326E47"/>
    <w:rsid w:val="00326F1C"/>
    <w:rsid w:val="00326FE4"/>
    <w:rsid w:val="00327162"/>
    <w:rsid w:val="0032725D"/>
    <w:rsid w:val="00327614"/>
    <w:rsid w:val="00327B63"/>
    <w:rsid w:val="00327DB8"/>
    <w:rsid w:val="00327E55"/>
    <w:rsid w:val="00330088"/>
    <w:rsid w:val="0033035E"/>
    <w:rsid w:val="00330A0A"/>
    <w:rsid w:val="00331562"/>
    <w:rsid w:val="00331A64"/>
    <w:rsid w:val="0033245F"/>
    <w:rsid w:val="00332879"/>
    <w:rsid w:val="003328A9"/>
    <w:rsid w:val="00332B42"/>
    <w:rsid w:val="00332CDA"/>
    <w:rsid w:val="00332DE0"/>
    <w:rsid w:val="00333191"/>
    <w:rsid w:val="0033323D"/>
    <w:rsid w:val="003334CD"/>
    <w:rsid w:val="003336AC"/>
    <w:rsid w:val="00333809"/>
    <w:rsid w:val="00333A90"/>
    <w:rsid w:val="00333E41"/>
    <w:rsid w:val="003340E1"/>
    <w:rsid w:val="003345C9"/>
    <w:rsid w:val="00335056"/>
    <w:rsid w:val="003350F2"/>
    <w:rsid w:val="00335132"/>
    <w:rsid w:val="00335292"/>
    <w:rsid w:val="00335EB9"/>
    <w:rsid w:val="0033626B"/>
    <w:rsid w:val="00337071"/>
    <w:rsid w:val="003371B5"/>
    <w:rsid w:val="003377D0"/>
    <w:rsid w:val="00337BAF"/>
    <w:rsid w:val="00337C5E"/>
    <w:rsid w:val="00340341"/>
    <w:rsid w:val="0034170E"/>
    <w:rsid w:val="003417CB"/>
    <w:rsid w:val="00341A06"/>
    <w:rsid w:val="00341AAB"/>
    <w:rsid w:val="00341BAE"/>
    <w:rsid w:val="00341CAB"/>
    <w:rsid w:val="00341FED"/>
    <w:rsid w:val="003420F7"/>
    <w:rsid w:val="00342121"/>
    <w:rsid w:val="0034268C"/>
    <w:rsid w:val="00342C16"/>
    <w:rsid w:val="0034348C"/>
    <w:rsid w:val="003435A9"/>
    <w:rsid w:val="00344649"/>
    <w:rsid w:val="00344F6D"/>
    <w:rsid w:val="00345496"/>
    <w:rsid w:val="00345BCF"/>
    <w:rsid w:val="003466F9"/>
    <w:rsid w:val="00347507"/>
    <w:rsid w:val="00350092"/>
    <w:rsid w:val="003502EE"/>
    <w:rsid w:val="0035089F"/>
    <w:rsid w:val="00350DA7"/>
    <w:rsid w:val="00351779"/>
    <w:rsid w:val="003519AD"/>
    <w:rsid w:val="003519CE"/>
    <w:rsid w:val="00351A38"/>
    <w:rsid w:val="00351DD2"/>
    <w:rsid w:val="00351E0E"/>
    <w:rsid w:val="00351E13"/>
    <w:rsid w:val="003529E7"/>
    <w:rsid w:val="00352AFF"/>
    <w:rsid w:val="00352CF8"/>
    <w:rsid w:val="00352E58"/>
    <w:rsid w:val="003538D6"/>
    <w:rsid w:val="00353BAA"/>
    <w:rsid w:val="00353CBF"/>
    <w:rsid w:val="00353E4C"/>
    <w:rsid w:val="00354289"/>
    <w:rsid w:val="00354403"/>
    <w:rsid w:val="00354893"/>
    <w:rsid w:val="003548BF"/>
    <w:rsid w:val="00354EB4"/>
    <w:rsid w:val="00355086"/>
    <w:rsid w:val="00355EB3"/>
    <w:rsid w:val="00356235"/>
    <w:rsid w:val="00356A28"/>
    <w:rsid w:val="00356C59"/>
    <w:rsid w:val="00356CC5"/>
    <w:rsid w:val="00356D29"/>
    <w:rsid w:val="00356E0B"/>
    <w:rsid w:val="003571C2"/>
    <w:rsid w:val="0035770C"/>
    <w:rsid w:val="00357E96"/>
    <w:rsid w:val="00357E9A"/>
    <w:rsid w:val="0036062F"/>
    <w:rsid w:val="003608FA"/>
    <w:rsid w:val="00360B23"/>
    <w:rsid w:val="00360DFB"/>
    <w:rsid w:val="00361495"/>
    <w:rsid w:val="0036177F"/>
    <w:rsid w:val="003617BA"/>
    <w:rsid w:val="0036229F"/>
    <w:rsid w:val="003629DA"/>
    <w:rsid w:val="00363305"/>
    <w:rsid w:val="003633D4"/>
    <w:rsid w:val="00363F38"/>
    <w:rsid w:val="00363F4E"/>
    <w:rsid w:val="003640A7"/>
    <w:rsid w:val="003640B9"/>
    <w:rsid w:val="00364C43"/>
    <w:rsid w:val="0036500A"/>
    <w:rsid w:val="00365447"/>
    <w:rsid w:val="0036562C"/>
    <w:rsid w:val="00365880"/>
    <w:rsid w:val="00365901"/>
    <w:rsid w:val="00365C1C"/>
    <w:rsid w:val="00365C2A"/>
    <w:rsid w:val="00365C5B"/>
    <w:rsid w:val="003660A3"/>
    <w:rsid w:val="00366F08"/>
    <w:rsid w:val="00367282"/>
    <w:rsid w:val="003672D9"/>
    <w:rsid w:val="003673C3"/>
    <w:rsid w:val="00367559"/>
    <w:rsid w:val="0036794E"/>
    <w:rsid w:val="00367B1C"/>
    <w:rsid w:val="00370689"/>
    <w:rsid w:val="00370B90"/>
    <w:rsid w:val="003718DC"/>
    <w:rsid w:val="00371C5E"/>
    <w:rsid w:val="003720EF"/>
    <w:rsid w:val="00372809"/>
    <w:rsid w:val="003735B9"/>
    <w:rsid w:val="003745C8"/>
    <w:rsid w:val="00374CB0"/>
    <w:rsid w:val="0037511F"/>
    <w:rsid w:val="003754E6"/>
    <w:rsid w:val="003756BC"/>
    <w:rsid w:val="003757DF"/>
    <w:rsid w:val="00376016"/>
    <w:rsid w:val="00376165"/>
    <w:rsid w:val="003769F4"/>
    <w:rsid w:val="003773BF"/>
    <w:rsid w:val="00377564"/>
    <w:rsid w:val="003800CB"/>
    <w:rsid w:val="0038058A"/>
    <w:rsid w:val="00380E1F"/>
    <w:rsid w:val="00381260"/>
    <w:rsid w:val="0038146C"/>
    <w:rsid w:val="00381507"/>
    <w:rsid w:val="00381D26"/>
    <w:rsid w:val="00382609"/>
    <w:rsid w:val="00382FA7"/>
    <w:rsid w:val="00383299"/>
    <w:rsid w:val="00383673"/>
    <w:rsid w:val="00383C5D"/>
    <w:rsid w:val="00383CB1"/>
    <w:rsid w:val="00383F7B"/>
    <w:rsid w:val="00384BC6"/>
    <w:rsid w:val="00385AC2"/>
    <w:rsid w:val="00385F1D"/>
    <w:rsid w:val="00385FC3"/>
    <w:rsid w:val="00386124"/>
    <w:rsid w:val="003861FA"/>
    <w:rsid w:val="003864D5"/>
    <w:rsid w:val="00386840"/>
    <w:rsid w:val="00386C22"/>
    <w:rsid w:val="00386C87"/>
    <w:rsid w:val="0038753E"/>
    <w:rsid w:val="00387612"/>
    <w:rsid w:val="0038789D"/>
    <w:rsid w:val="00387BF2"/>
    <w:rsid w:val="0039025B"/>
    <w:rsid w:val="00390567"/>
    <w:rsid w:val="00390750"/>
    <w:rsid w:val="00390E5C"/>
    <w:rsid w:val="00391B8D"/>
    <w:rsid w:val="00391C43"/>
    <w:rsid w:val="0039216F"/>
    <w:rsid w:val="00392231"/>
    <w:rsid w:val="003925C5"/>
    <w:rsid w:val="0039309A"/>
    <w:rsid w:val="00393FB4"/>
    <w:rsid w:val="003940BD"/>
    <w:rsid w:val="00394273"/>
    <w:rsid w:val="00394819"/>
    <w:rsid w:val="00394857"/>
    <w:rsid w:val="003949CE"/>
    <w:rsid w:val="00394C03"/>
    <w:rsid w:val="0039507A"/>
    <w:rsid w:val="0039507C"/>
    <w:rsid w:val="003951A6"/>
    <w:rsid w:val="003955C0"/>
    <w:rsid w:val="00395980"/>
    <w:rsid w:val="00395B14"/>
    <w:rsid w:val="00395C8E"/>
    <w:rsid w:val="00395FA6"/>
    <w:rsid w:val="0039630D"/>
    <w:rsid w:val="003966F6"/>
    <w:rsid w:val="0039677D"/>
    <w:rsid w:val="00396AA5"/>
    <w:rsid w:val="00396BBE"/>
    <w:rsid w:val="0039785B"/>
    <w:rsid w:val="00397A6A"/>
    <w:rsid w:val="00397A9A"/>
    <w:rsid w:val="00397DFB"/>
    <w:rsid w:val="003A0660"/>
    <w:rsid w:val="003A0D52"/>
    <w:rsid w:val="003A28EB"/>
    <w:rsid w:val="003A2ACB"/>
    <w:rsid w:val="003A2DEB"/>
    <w:rsid w:val="003A2ED1"/>
    <w:rsid w:val="003A2F8E"/>
    <w:rsid w:val="003A319E"/>
    <w:rsid w:val="003A350A"/>
    <w:rsid w:val="003A3740"/>
    <w:rsid w:val="003A37F0"/>
    <w:rsid w:val="003A42AB"/>
    <w:rsid w:val="003A47FA"/>
    <w:rsid w:val="003A4C47"/>
    <w:rsid w:val="003A4CCB"/>
    <w:rsid w:val="003A4CFB"/>
    <w:rsid w:val="003A51C2"/>
    <w:rsid w:val="003A5A4C"/>
    <w:rsid w:val="003A622E"/>
    <w:rsid w:val="003A64EE"/>
    <w:rsid w:val="003A6724"/>
    <w:rsid w:val="003A6C7B"/>
    <w:rsid w:val="003A6E1A"/>
    <w:rsid w:val="003A6F25"/>
    <w:rsid w:val="003A6FFE"/>
    <w:rsid w:val="003A7A22"/>
    <w:rsid w:val="003B031C"/>
    <w:rsid w:val="003B0BA1"/>
    <w:rsid w:val="003B0C06"/>
    <w:rsid w:val="003B0D1F"/>
    <w:rsid w:val="003B0E3B"/>
    <w:rsid w:val="003B1481"/>
    <w:rsid w:val="003B194B"/>
    <w:rsid w:val="003B197E"/>
    <w:rsid w:val="003B1D69"/>
    <w:rsid w:val="003B23FD"/>
    <w:rsid w:val="003B2E6B"/>
    <w:rsid w:val="003B340B"/>
    <w:rsid w:val="003B3468"/>
    <w:rsid w:val="003B389A"/>
    <w:rsid w:val="003B3ACD"/>
    <w:rsid w:val="003B3D32"/>
    <w:rsid w:val="003B3D71"/>
    <w:rsid w:val="003B3F92"/>
    <w:rsid w:val="003B426B"/>
    <w:rsid w:val="003B4599"/>
    <w:rsid w:val="003B4632"/>
    <w:rsid w:val="003B5B4F"/>
    <w:rsid w:val="003B61B7"/>
    <w:rsid w:val="003B68E9"/>
    <w:rsid w:val="003B6DEC"/>
    <w:rsid w:val="003B713B"/>
    <w:rsid w:val="003B766D"/>
    <w:rsid w:val="003B7A68"/>
    <w:rsid w:val="003C0D1F"/>
    <w:rsid w:val="003C0D39"/>
    <w:rsid w:val="003C0E3E"/>
    <w:rsid w:val="003C0FCA"/>
    <w:rsid w:val="003C1121"/>
    <w:rsid w:val="003C12AA"/>
    <w:rsid w:val="003C1382"/>
    <w:rsid w:val="003C138D"/>
    <w:rsid w:val="003C162B"/>
    <w:rsid w:val="003C16A4"/>
    <w:rsid w:val="003C1732"/>
    <w:rsid w:val="003C18E6"/>
    <w:rsid w:val="003C1AE2"/>
    <w:rsid w:val="003C1BCA"/>
    <w:rsid w:val="003C1D89"/>
    <w:rsid w:val="003C1EAA"/>
    <w:rsid w:val="003C1F8F"/>
    <w:rsid w:val="003C25D3"/>
    <w:rsid w:val="003C2775"/>
    <w:rsid w:val="003C2BCA"/>
    <w:rsid w:val="003C2E4F"/>
    <w:rsid w:val="003C3092"/>
    <w:rsid w:val="003C33E9"/>
    <w:rsid w:val="003C3E03"/>
    <w:rsid w:val="003C4594"/>
    <w:rsid w:val="003C47E0"/>
    <w:rsid w:val="003C4A72"/>
    <w:rsid w:val="003C4F8F"/>
    <w:rsid w:val="003C5075"/>
    <w:rsid w:val="003C5899"/>
    <w:rsid w:val="003C63A6"/>
    <w:rsid w:val="003C63E7"/>
    <w:rsid w:val="003C6838"/>
    <w:rsid w:val="003C6B59"/>
    <w:rsid w:val="003C6CD9"/>
    <w:rsid w:val="003C75AF"/>
    <w:rsid w:val="003C7CB5"/>
    <w:rsid w:val="003D0A00"/>
    <w:rsid w:val="003D22B7"/>
    <w:rsid w:val="003D22BA"/>
    <w:rsid w:val="003D299E"/>
    <w:rsid w:val="003D343D"/>
    <w:rsid w:val="003D3631"/>
    <w:rsid w:val="003D365D"/>
    <w:rsid w:val="003D36F7"/>
    <w:rsid w:val="003D41FE"/>
    <w:rsid w:val="003D4493"/>
    <w:rsid w:val="003D478F"/>
    <w:rsid w:val="003D5261"/>
    <w:rsid w:val="003D54FB"/>
    <w:rsid w:val="003D55E1"/>
    <w:rsid w:val="003D58DC"/>
    <w:rsid w:val="003D5F6D"/>
    <w:rsid w:val="003D6146"/>
    <w:rsid w:val="003D641A"/>
    <w:rsid w:val="003D6AB8"/>
    <w:rsid w:val="003D6BAF"/>
    <w:rsid w:val="003D71EB"/>
    <w:rsid w:val="003D7B75"/>
    <w:rsid w:val="003D7BBD"/>
    <w:rsid w:val="003E0345"/>
    <w:rsid w:val="003E0AAC"/>
    <w:rsid w:val="003E136C"/>
    <w:rsid w:val="003E1400"/>
    <w:rsid w:val="003E1BE4"/>
    <w:rsid w:val="003E1C67"/>
    <w:rsid w:val="003E22CB"/>
    <w:rsid w:val="003E2343"/>
    <w:rsid w:val="003E2A46"/>
    <w:rsid w:val="003E2C83"/>
    <w:rsid w:val="003E2D77"/>
    <w:rsid w:val="003E30E8"/>
    <w:rsid w:val="003E406B"/>
    <w:rsid w:val="003E458F"/>
    <w:rsid w:val="003E4829"/>
    <w:rsid w:val="003E4988"/>
    <w:rsid w:val="003E4BE4"/>
    <w:rsid w:val="003E4F96"/>
    <w:rsid w:val="003E4FDC"/>
    <w:rsid w:val="003E52D8"/>
    <w:rsid w:val="003E557E"/>
    <w:rsid w:val="003E56A8"/>
    <w:rsid w:val="003E5C15"/>
    <w:rsid w:val="003E5CCA"/>
    <w:rsid w:val="003E5E0D"/>
    <w:rsid w:val="003E6188"/>
    <w:rsid w:val="003E6BA3"/>
    <w:rsid w:val="003E6BC2"/>
    <w:rsid w:val="003E6CB3"/>
    <w:rsid w:val="003E6FE4"/>
    <w:rsid w:val="003E7516"/>
    <w:rsid w:val="003E7773"/>
    <w:rsid w:val="003E77B4"/>
    <w:rsid w:val="003E77F9"/>
    <w:rsid w:val="003E796F"/>
    <w:rsid w:val="003E7DA5"/>
    <w:rsid w:val="003F03D4"/>
    <w:rsid w:val="003F053F"/>
    <w:rsid w:val="003F0B97"/>
    <w:rsid w:val="003F0F28"/>
    <w:rsid w:val="003F115E"/>
    <w:rsid w:val="003F1332"/>
    <w:rsid w:val="003F14C2"/>
    <w:rsid w:val="003F1904"/>
    <w:rsid w:val="003F190E"/>
    <w:rsid w:val="003F2210"/>
    <w:rsid w:val="003F230A"/>
    <w:rsid w:val="003F2EE1"/>
    <w:rsid w:val="003F3B54"/>
    <w:rsid w:val="003F4D30"/>
    <w:rsid w:val="003F535C"/>
    <w:rsid w:val="003F5591"/>
    <w:rsid w:val="003F5976"/>
    <w:rsid w:val="003F60D4"/>
    <w:rsid w:val="003F6172"/>
    <w:rsid w:val="003F7196"/>
    <w:rsid w:val="003F71FB"/>
    <w:rsid w:val="0040015A"/>
    <w:rsid w:val="004008AF"/>
    <w:rsid w:val="00400B5F"/>
    <w:rsid w:val="00400BE3"/>
    <w:rsid w:val="0040100D"/>
    <w:rsid w:val="00401913"/>
    <w:rsid w:val="004019D9"/>
    <w:rsid w:val="00401DBF"/>
    <w:rsid w:val="00401E43"/>
    <w:rsid w:val="004023F4"/>
    <w:rsid w:val="00402403"/>
    <w:rsid w:val="0040268C"/>
    <w:rsid w:val="00402D0E"/>
    <w:rsid w:val="00402F88"/>
    <w:rsid w:val="004033D1"/>
    <w:rsid w:val="004033D9"/>
    <w:rsid w:val="0040356C"/>
    <w:rsid w:val="004038DD"/>
    <w:rsid w:val="00403A66"/>
    <w:rsid w:val="00404050"/>
    <w:rsid w:val="0040428B"/>
    <w:rsid w:val="00404A94"/>
    <w:rsid w:val="00404C29"/>
    <w:rsid w:val="0040542E"/>
    <w:rsid w:val="0040551F"/>
    <w:rsid w:val="00406720"/>
    <w:rsid w:val="004067FA"/>
    <w:rsid w:val="0040683F"/>
    <w:rsid w:val="004068C8"/>
    <w:rsid w:val="00406F2B"/>
    <w:rsid w:val="0040771F"/>
    <w:rsid w:val="00407F65"/>
    <w:rsid w:val="00410CA0"/>
    <w:rsid w:val="00411047"/>
    <w:rsid w:val="004111F7"/>
    <w:rsid w:val="004113CE"/>
    <w:rsid w:val="00411415"/>
    <w:rsid w:val="00411A30"/>
    <w:rsid w:val="00411E2A"/>
    <w:rsid w:val="0041217D"/>
    <w:rsid w:val="004125C6"/>
    <w:rsid w:val="00412673"/>
    <w:rsid w:val="0041275F"/>
    <w:rsid w:val="00412E41"/>
    <w:rsid w:val="00413344"/>
    <w:rsid w:val="004136F2"/>
    <w:rsid w:val="00413933"/>
    <w:rsid w:val="00413D5A"/>
    <w:rsid w:val="004145A6"/>
    <w:rsid w:val="004145D5"/>
    <w:rsid w:val="00414AD7"/>
    <w:rsid w:val="00414C21"/>
    <w:rsid w:val="0041506B"/>
    <w:rsid w:val="004150A5"/>
    <w:rsid w:val="0041555B"/>
    <w:rsid w:val="0041563F"/>
    <w:rsid w:val="00415E42"/>
    <w:rsid w:val="0041602A"/>
    <w:rsid w:val="004166C5"/>
    <w:rsid w:val="00416CD9"/>
    <w:rsid w:val="00416EFD"/>
    <w:rsid w:val="00417505"/>
    <w:rsid w:val="00417A94"/>
    <w:rsid w:val="00417D45"/>
    <w:rsid w:val="004200FD"/>
    <w:rsid w:val="0042013B"/>
    <w:rsid w:val="00420743"/>
    <w:rsid w:val="00420B23"/>
    <w:rsid w:val="0042112D"/>
    <w:rsid w:val="00421A89"/>
    <w:rsid w:val="00421EBC"/>
    <w:rsid w:val="00422097"/>
    <w:rsid w:val="00422676"/>
    <w:rsid w:val="0042304B"/>
    <w:rsid w:val="00423840"/>
    <w:rsid w:val="00424002"/>
    <w:rsid w:val="00424084"/>
    <w:rsid w:val="00424B22"/>
    <w:rsid w:val="004251E1"/>
    <w:rsid w:val="00425270"/>
    <w:rsid w:val="00425721"/>
    <w:rsid w:val="00425DFB"/>
    <w:rsid w:val="00425FBB"/>
    <w:rsid w:val="00427149"/>
    <w:rsid w:val="004273AD"/>
    <w:rsid w:val="0042768F"/>
    <w:rsid w:val="004277EF"/>
    <w:rsid w:val="004300D5"/>
    <w:rsid w:val="004305AE"/>
    <w:rsid w:val="00430650"/>
    <w:rsid w:val="0043099C"/>
    <w:rsid w:val="00430B59"/>
    <w:rsid w:val="00430EA9"/>
    <w:rsid w:val="004311E9"/>
    <w:rsid w:val="00431800"/>
    <w:rsid w:val="00431985"/>
    <w:rsid w:val="004322C5"/>
    <w:rsid w:val="004328BB"/>
    <w:rsid w:val="00433541"/>
    <w:rsid w:val="00433908"/>
    <w:rsid w:val="00434061"/>
    <w:rsid w:val="0043408C"/>
    <w:rsid w:val="00434158"/>
    <w:rsid w:val="004344C1"/>
    <w:rsid w:val="00434859"/>
    <w:rsid w:val="0043589A"/>
    <w:rsid w:val="00436514"/>
    <w:rsid w:val="004372E0"/>
    <w:rsid w:val="00437420"/>
    <w:rsid w:val="004378A9"/>
    <w:rsid w:val="00440106"/>
    <w:rsid w:val="00440173"/>
    <w:rsid w:val="00440674"/>
    <w:rsid w:val="004414E4"/>
    <w:rsid w:val="00441E3A"/>
    <w:rsid w:val="00441F7B"/>
    <w:rsid w:val="004423F7"/>
    <w:rsid w:val="004424EE"/>
    <w:rsid w:val="004426CC"/>
    <w:rsid w:val="00442A2B"/>
    <w:rsid w:val="00442A49"/>
    <w:rsid w:val="00442E76"/>
    <w:rsid w:val="0044304E"/>
    <w:rsid w:val="00443632"/>
    <w:rsid w:val="004438CE"/>
    <w:rsid w:val="00443BA3"/>
    <w:rsid w:val="00444389"/>
    <w:rsid w:val="004443E2"/>
    <w:rsid w:val="00444C3E"/>
    <w:rsid w:val="00444CBC"/>
    <w:rsid w:val="00444E10"/>
    <w:rsid w:val="00445021"/>
    <w:rsid w:val="00445BFA"/>
    <w:rsid w:val="00445D50"/>
    <w:rsid w:val="00446033"/>
    <w:rsid w:val="0044641D"/>
    <w:rsid w:val="004465A1"/>
    <w:rsid w:val="0044665C"/>
    <w:rsid w:val="00446775"/>
    <w:rsid w:val="0044690B"/>
    <w:rsid w:val="00446BBE"/>
    <w:rsid w:val="00447073"/>
    <w:rsid w:val="0044721E"/>
    <w:rsid w:val="0044782C"/>
    <w:rsid w:val="004479C2"/>
    <w:rsid w:val="00447B3D"/>
    <w:rsid w:val="0045093D"/>
    <w:rsid w:val="00450B72"/>
    <w:rsid w:val="00450CF9"/>
    <w:rsid w:val="00450D3E"/>
    <w:rsid w:val="004512B2"/>
    <w:rsid w:val="0045141A"/>
    <w:rsid w:val="00451645"/>
    <w:rsid w:val="00451C0B"/>
    <w:rsid w:val="00451E76"/>
    <w:rsid w:val="004523C6"/>
    <w:rsid w:val="004525D6"/>
    <w:rsid w:val="00452B81"/>
    <w:rsid w:val="00452CD5"/>
    <w:rsid w:val="00453520"/>
    <w:rsid w:val="00453FF1"/>
    <w:rsid w:val="0045406B"/>
    <w:rsid w:val="0045445B"/>
    <w:rsid w:val="004548B1"/>
    <w:rsid w:val="00454F8E"/>
    <w:rsid w:val="00455124"/>
    <w:rsid w:val="0045584A"/>
    <w:rsid w:val="00455BB5"/>
    <w:rsid w:val="0045627D"/>
    <w:rsid w:val="004570DC"/>
    <w:rsid w:val="00457A7E"/>
    <w:rsid w:val="0046000A"/>
    <w:rsid w:val="004606FE"/>
    <w:rsid w:val="00460EC0"/>
    <w:rsid w:val="00462778"/>
    <w:rsid w:val="00462E3A"/>
    <w:rsid w:val="004636A8"/>
    <w:rsid w:val="004637BE"/>
    <w:rsid w:val="004643D8"/>
    <w:rsid w:val="0046444B"/>
    <w:rsid w:val="00464F6C"/>
    <w:rsid w:val="004651CC"/>
    <w:rsid w:val="00465A2D"/>
    <w:rsid w:val="00465D61"/>
    <w:rsid w:val="00466384"/>
    <w:rsid w:val="00466BA5"/>
    <w:rsid w:val="0046773A"/>
    <w:rsid w:val="00467C4A"/>
    <w:rsid w:val="0047101B"/>
    <w:rsid w:val="0047128C"/>
    <w:rsid w:val="004716EF"/>
    <w:rsid w:val="0047177F"/>
    <w:rsid w:val="00471D0D"/>
    <w:rsid w:val="00471D11"/>
    <w:rsid w:val="00471F8B"/>
    <w:rsid w:val="0047207A"/>
    <w:rsid w:val="004723ED"/>
    <w:rsid w:val="004729FD"/>
    <w:rsid w:val="00474640"/>
    <w:rsid w:val="00474E01"/>
    <w:rsid w:val="004750E9"/>
    <w:rsid w:val="00475179"/>
    <w:rsid w:val="00475921"/>
    <w:rsid w:val="00475BC9"/>
    <w:rsid w:val="00475C07"/>
    <w:rsid w:val="00475D52"/>
    <w:rsid w:val="00475D8B"/>
    <w:rsid w:val="004761F3"/>
    <w:rsid w:val="004768E7"/>
    <w:rsid w:val="004770FC"/>
    <w:rsid w:val="0047721A"/>
    <w:rsid w:val="004773DB"/>
    <w:rsid w:val="0047767C"/>
    <w:rsid w:val="00477B6C"/>
    <w:rsid w:val="00477F3D"/>
    <w:rsid w:val="00480254"/>
    <w:rsid w:val="0048070F"/>
    <w:rsid w:val="00480F45"/>
    <w:rsid w:val="00480FE3"/>
    <w:rsid w:val="00481655"/>
    <w:rsid w:val="004817AB"/>
    <w:rsid w:val="00481C25"/>
    <w:rsid w:val="00482804"/>
    <w:rsid w:val="00482B47"/>
    <w:rsid w:val="0048323E"/>
    <w:rsid w:val="0048368F"/>
    <w:rsid w:val="00483E43"/>
    <w:rsid w:val="00484513"/>
    <w:rsid w:val="004848B1"/>
    <w:rsid w:val="00484ABE"/>
    <w:rsid w:val="00484D6E"/>
    <w:rsid w:val="00484DC5"/>
    <w:rsid w:val="00485675"/>
    <w:rsid w:val="00486378"/>
    <w:rsid w:val="00486793"/>
    <w:rsid w:val="004874E1"/>
    <w:rsid w:val="00487660"/>
    <w:rsid w:val="00487B79"/>
    <w:rsid w:val="00487C10"/>
    <w:rsid w:val="00487C85"/>
    <w:rsid w:val="004901B2"/>
    <w:rsid w:val="00490DC4"/>
    <w:rsid w:val="00490E0F"/>
    <w:rsid w:val="00490F77"/>
    <w:rsid w:val="00491000"/>
    <w:rsid w:val="004910F8"/>
    <w:rsid w:val="004917CE"/>
    <w:rsid w:val="00491DAA"/>
    <w:rsid w:val="004925AF"/>
    <w:rsid w:val="0049290D"/>
    <w:rsid w:val="00492B82"/>
    <w:rsid w:val="00492C9A"/>
    <w:rsid w:val="00492D30"/>
    <w:rsid w:val="00492DC4"/>
    <w:rsid w:val="00492FB2"/>
    <w:rsid w:val="00494991"/>
    <w:rsid w:val="00494F64"/>
    <w:rsid w:val="0049557F"/>
    <w:rsid w:val="00496138"/>
    <w:rsid w:val="00496706"/>
    <w:rsid w:val="004969FF"/>
    <w:rsid w:val="00496A9C"/>
    <w:rsid w:val="00497B9F"/>
    <w:rsid w:val="00497EE0"/>
    <w:rsid w:val="00497FA9"/>
    <w:rsid w:val="004A0228"/>
    <w:rsid w:val="004A0654"/>
    <w:rsid w:val="004A08B7"/>
    <w:rsid w:val="004A0B85"/>
    <w:rsid w:val="004A0EA6"/>
    <w:rsid w:val="004A12E2"/>
    <w:rsid w:val="004A1BC7"/>
    <w:rsid w:val="004A1CD7"/>
    <w:rsid w:val="004A2084"/>
    <w:rsid w:val="004A2690"/>
    <w:rsid w:val="004A2704"/>
    <w:rsid w:val="004A34F3"/>
    <w:rsid w:val="004A3504"/>
    <w:rsid w:val="004A3D2D"/>
    <w:rsid w:val="004A4197"/>
    <w:rsid w:val="004A4430"/>
    <w:rsid w:val="004A4715"/>
    <w:rsid w:val="004A4FDF"/>
    <w:rsid w:val="004A5489"/>
    <w:rsid w:val="004A5577"/>
    <w:rsid w:val="004A58EF"/>
    <w:rsid w:val="004A5E73"/>
    <w:rsid w:val="004A62FF"/>
    <w:rsid w:val="004A6454"/>
    <w:rsid w:val="004A6F95"/>
    <w:rsid w:val="004A7039"/>
    <w:rsid w:val="004A7A52"/>
    <w:rsid w:val="004A7A8E"/>
    <w:rsid w:val="004B00C6"/>
    <w:rsid w:val="004B0943"/>
    <w:rsid w:val="004B10F3"/>
    <w:rsid w:val="004B14D3"/>
    <w:rsid w:val="004B16F2"/>
    <w:rsid w:val="004B18C6"/>
    <w:rsid w:val="004B19FE"/>
    <w:rsid w:val="004B25E9"/>
    <w:rsid w:val="004B2A4D"/>
    <w:rsid w:val="004B2BBE"/>
    <w:rsid w:val="004B2F45"/>
    <w:rsid w:val="004B3165"/>
    <w:rsid w:val="004B33C2"/>
    <w:rsid w:val="004B3B23"/>
    <w:rsid w:val="004B4214"/>
    <w:rsid w:val="004B423B"/>
    <w:rsid w:val="004B4A1A"/>
    <w:rsid w:val="004B4BA7"/>
    <w:rsid w:val="004B5C17"/>
    <w:rsid w:val="004B5E3D"/>
    <w:rsid w:val="004B62C1"/>
    <w:rsid w:val="004B689D"/>
    <w:rsid w:val="004B68F3"/>
    <w:rsid w:val="004B7163"/>
    <w:rsid w:val="004B759A"/>
    <w:rsid w:val="004B7F0A"/>
    <w:rsid w:val="004C04A0"/>
    <w:rsid w:val="004C07CB"/>
    <w:rsid w:val="004C09BB"/>
    <w:rsid w:val="004C0E97"/>
    <w:rsid w:val="004C1376"/>
    <w:rsid w:val="004C1672"/>
    <w:rsid w:val="004C1E49"/>
    <w:rsid w:val="004C1EA7"/>
    <w:rsid w:val="004C2035"/>
    <w:rsid w:val="004C2513"/>
    <w:rsid w:val="004C26D6"/>
    <w:rsid w:val="004C2A45"/>
    <w:rsid w:val="004C2D77"/>
    <w:rsid w:val="004C3009"/>
    <w:rsid w:val="004C3874"/>
    <w:rsid w:val="004C3DD9"/>
    <w:rsid w:val="004C4083"/>
    <w:rsid w:val="004C423C"/>
    <w:rsid w:val="004C48C8"/>
    <w:rsid w:val="004C598D"/>
    <w:rsid w:val="004C5BE6"/>
    <w:rsid w:val="004C5FDA"/>
    <w:rsid w:val="004C6BA8"/>
    <w:rsid w:val="004C6DA6"/>
    <w:rsid w:val="004C70FF"/>
    <w:rsid w:val="004C777B"/>
    <w:rsid w:val="004D0871"/>
    <w:rsid w:val="004D0C05"/>
    <w:rsid w:val="004D0C4A"/>
    <w:rsid w:val="004D0D96"/>
    <w:rsid w:val="004D1917"/>
    <w:rsid w:val="004D1D66"/>
    <w:rsid w:val="004D1F4A"/>
    <w:rsid w:val="004D20D4"/>
    <w:rsid w:val="004D237D"/>
    <w:rsid w:val="004D247F"/>
    <w:rsid w:val="004D252B"/>
    <w:rsid w:val="004D2BD8"/>
    <w:rsid w:val="004D30B9"/>
    <w:rsid w:val="004D3897"/>
    <w:rsid w:val="004D3997"/>
    <w:rsid w:val="004D3D3D"/>
    <w:rsid w:val="004D3EB5"/>
    <w:rsid w:val="004D4425"/>
    <w:rsid w:val="004D487A"/>
    <w:rsid w:val="004D498B"/>
    <w:rsid w:val="004D4C02"/>
    <w:rsid w:val="004D538C"/>
    <w:rsid w:val="004D570C"/>
    <w:rsid w:val="004D595E"/>
    <w:rsid w:val="004D5A42"/>
    <w:rsid w:val="004D5FB8"/>
    <w:rsid w:val="004D5FB9"/>
    <w:rsid w:val="004D6308"/>
    <w:rsid w:val="004D6962"/>
    <w:rsid w:val="004D6D3B"/>
    <w:rsid w:val="004D6F49"/>
    <w:rsid w:val="004D702D"/>
    <w:rsid w:val="004D70BD"/>
    <w:rsid w:val="004D763B"/>
    <w:rsid w:val="004D7679"/>
    <w:rsid w:val="004D78E8"/>
    <w:rsid w:val="004E099F"/>
    <w:rsid w:val="004E09E1"/>
    <w:rsid w:val="004E0EEE"/>
    <w:rsid w:val="004E1141"/>
    <w:rsid w:val="004E1555"/>
    <w:rsid w:val="004E1650"/>
    <w:rsid w:val="004E19AD"/>
    <w:rsid w:val="004E1EBA"/>
    <w:rsid w:val="004E235A"/>
    <w:rsid w:val="004E240D"/>
    <w:rsid w:val="004E2758"/>
    <w:rsid w:val="004E2B05"/>
    <w:rsid w:val="004E2BD6"/>
    <w:rsid w:val="004E2DAB"/>
    <w:rsid w:val="004E31E9"/>
    <w:rsid w:val="004E33F3"/>
    <w:rsid w:val="004E37BC"/>
    <w:rsid w:val="004E3880"/>
    <w:rsid w:val="004E3923"/>
    <w:rsid w:val="004E39FA"/>
    <w:rsid w:val="004E3D9B"/>
    <w:rsid w:val="004E417D"/>
    <w:rsid w:val="004E4951"/>
    <w:rsid w:val="004E5435"/>
    <w:rsid w:val="004E5A71"/>
    <w:rsid w:val="004E6455"/>
    <w:rsid w:val="004E78E7"/>
    <w:rsid w:val="004E7A54"/>
    <w:rsid w:val="004E7A98"/>
    <w:rsid w:val="004F0509"/>
    <w:rsid w:val="004F1122"/>
    <w:rsid w:val="004F1E9E"/>
    <w:rsid w:val="004F2117"/>
    <w:rsid w:val="004F2B6E"/>
    <w:rsid w:val="004F358E"/>
    <w:rsid w:val="004F3855"/>
    <w:rsid w:val="004F4067"/>
    <w:rsid w:val="004F42B0"/>
    <w:rsid w:val="004F4705"/>
    <w:rsid w:val="004F5D67"/>
    <w:rsid w:val="004F692B"/>
    <w:rsid w:val="004F6988"/>
    <w:rsid w:val="004F6AD3"/>
    <w:rsid w:val="004F6B1B"/>
    <w:rsid w:val="004F6B2D"/>
    <w:rsid w:val="004F7298"/>
    <w:rsid w:val="004F7A13"/>
    <w:rsid w:val="004F7DB0"/>
    <w:rsid w:val="004F7E59"/>
    <w:rsid w:val="004F7E73"/>
    <w:rsid w:val="005009AA"/>
    <w:rsid w:val="005009DA"/>
    <w:rsid w:val="00500D94"/>
    <w:rsid w:val="00501386"/>
    <w:rsid w:val="00501570"/>
    <w:rsid w:val="00501BD9"/>
    <w:rsid w:val="00501C25"/>
    <w:rsid w:val="00501FC6"/>
    <w:rsid w:val="00502351"/>
    <w:rsid w:val="005027A6"/>
    <w:rsid w:val="005027DA"/>
    <w:rsid w:val="00502BB3"/>
    <w:rsid w:val="00502C54"/>
    <w:rsid w:val="00502DAE"/>
    <w:rsid w:val="00502FD6"/>
    <w:rsid w:val="00502FFB"/>
    <w:rsid w:val="00503675"/>
    <w:rsid w:val="0050376D"/>
    <w:rsid w:val="005037DB"/>
    <w:rsid w:val="005038A0"/>
    <w:rsid w:val="00503B54"/>
    <w:rsid w:val="005046EA"/>
    <w:rsid w:val="00504A82"/>
    <w:rsid w:val="00504B62"/>
    <w:rsid w:val="00505355"/>
    <w:rsid w:val="0050539F"/>
    <w:rsid w:val="005053F8"/>
    <w:rsid w:val="00505B6D"/>
    <w:rsid w:val="00505E19"/>
    <w:rsid w:val="0050645E"/>
    <w:rsid w:val="005075D3"/>
    <w:rsid w:val="00507604"/>
    <w:rsid w:val="00507723"/>
    <w:rsid w:val="00507A22"/>
    <w:rsid w:val="005100D1"/>
    <w:rsid w:val="005103C5"/>
    <w:rsid w:val="00510643"/>
    <w:rsid w:val="00510BD8"/>
    <w:rsid w:val="00510CD6"/>
    <w:rsid w:val="00510DCF"/>
    <w:rsid w:val="00510FF0"/>
    <w:rsid w:val="005113AD"/>
    <w:rsid w:val="00511A16"/>
    <w:rsid w:val="00511B9F"/>
    <w:rsid w:val="005122AD"/>
    <w:rsid w:val="00512733"/>
    <w:rsid w:val="005129A9"/>
    <w:rsid w:val="00512D20"/>
    <w:rsid w:val="00513000"/>
    <w:rsid w:val="005131D3"/>
    <w:rsid w:val="005132D8"/>
    <w:rsid w:val="005132F4"/>
    <w:rsid w:val="0051352C"/>
    <w:rsid w:val="00513A6C"/>
    <w:rsid w:val="005140A5"/>
    <w:rsid w:val="00514834"/>
    <w:rsid w:val="00514FC2"/>
    <w:rsid w:val="005154B1"/>
    <w:rsid w:val="00515BFA"/>
    <w:rsid w:val="00516AC8"/>
    <w:rsid w:val="00517234"/>
    <w:rsid w:val="00517A25"/>
    <w:rsid w:val="00517A86"/>
    <w:rsid w:val="005208E4"/>
    <w:rsid w:val="00520AB5"/>
    <w:rsid w:val="005213CD"/>
    <w:rsid w:val="00521592"/>
    <w:rsid w:val="00521994"/>
    <w:rsid w:val="00521D64"/>
    <w:rsid w:val="00521FBB"/>
    <w:rsid w:val="00522A2A"/>
    <w:rsid w:val="00522D64"/>
    <w:rsid w:val="00523235"/>
    <w:rsid w:val="0052349D"/>
    <w:rsid w:val="005243CE"/>
    <w:rsid w:val="00524A1D"/>
    <w:rsid w:val="00524BE8"/>
    <w:rsid w:val="00524E7C"/>
    <w:rsid w:val="00525209"/>
    <w:rsid w:val="0052575D"/>
    <w:rsid w:val="00525AAB"/>
    <w:rsid w:val="005260C4"/>
    <w:rsid w:val="00526110"/>
    <w:rsid w:val="00526130"/>
    <w:rsid w:val="00526668"/>
    <w:rsid w:val="00526C43"/>
    <w:rsid w:val="00526C92"/>
    <w:rsid w:val="0052710E"/>
    <w:rsid w:val="0052713E"/>
    <w:rsid w:val="005272F1"/>
    <w:rsid w:val="005275FC"/>
    <w:rsid w:val="0052768C"/>
    <w:rsid w:val="005278BB"/>
    <w:rsid w:val="00527F23"/>
    <w:rsid w:val="0053084F"/>
    <w:rsid w:val="00530896"/>
    <w:rsid w:val="005310AF"/>
    <w:rsid w:val="005310D4"/>
    <w:rsid w:val="005319D7"/>
    <w:rsid w:val="00531D96"/>
    <w:rsid w:val="0053237E"/>
    <w:rsid w:val="0053257E"/>
    <w:rsid w:val="005325A9"/>
    <w:rsid w:val="00532783"/>
    <w:rsid w:val="0053282E"/>
    <w:rsid w:val="00532917"/>
    <w:rsid w:val="005329CE"/>
    <w:rsid w:val="00532B91"/>
    <w:rsid w:val="00532E4D"/>
    <w:rsid w:val="0053378A"/>
    <w:rsid w:val="005342C3"/>
    <w:rsid w:val="005342EA"/>
    <w:rsid w:val="0053479B"/>
    <w:rsid w:val="00534BA1"/>
    <w:rsid w:val="0053537A"/>
    <w:rsid w:val="00535756"/>
    <w:rsid w:val="00535D4B"/>
    <w:rsid w:val="00535E89"/>
    <w:rsid w:val="005362F5"/>
    <w:rsid w:val="0053725B"/>
    <w:rsid w:val="00537692"/>
    <w:rsid w:val="00537AB3"/>
    <w:rsid w:val="00537BD3"/>
    <w:rsid w:val="00537D88"/>
    <w:rsid w:val="005406E1"/>
    <w:rsid w:val="00540C57"/>
    <w:rsid w:val="005410F1"/>
    <w:rsid w:val="00542419"/>
    <w:rsid w:val="00542911"/>
    <w:rsid w:val="00542B1D"/>
    <w:rsid w:val="00542C58"/>
    <w:rsid w:val="00543030"/>
    <w:rsid w:val="005433C3"/>
    <w:rsid w:val="00543425"/>
    <w:rsid w:val="005437E7"/>
    <w:rsid w:val="005439D0"/>
    <w:rsid w:val="00543B10"/>
    <w:rsid w:val="00543BA1"/>
    <w:rsid w:val="00543EC1"/>
    <w:rsid w:val="00544916"/>
    <w:rsid w:val="005450BE"/>
    <w:rsid w:val="00545115"/>
    <w:rsid w:val="00545DA7"/>
    <w:rsid w:val="00545DCD"/>
    <w:rsid w:val="005469CF"/>
    <w:rsid w:val="00546F90"/>
    <w:rsid w:val="00547141"/>
    <w:rsid w:val="00547162"/>
    <w:rsid w:val="005471D4"/>
    <w:rsid w:val="00547308"/>
    <w:rsid w:val="0055050B"/>
    <w:rsid w:val="0055059E"/>
    <w:rsid w:val="00550C6A"/>
    <w:rsid w:val="00550D8F"/>
    <w:rsid w:val="005510C3"/>
    <w:rsid w:val="005513E0"/>
    <w:rsid w:val="00551816"/>
    <w:rsid w:val="00551C83"/>
    <w:rsid w:val="00552610"/>
    <w:rsid w:val="0055263E"/>
    <w:rsid w:val="005526E6"/>
    <w:rsid w:val="0055299C"/>
    <w:rsid w:val="00552F16"/>
    <w:rsid w:val="00553075"/>
    <w:rsid w:val="005531BD"/>
    <w:rsid w:val="00553313"/>
    <w:rsid w:val="00553E6A"/>
    <w:rsid w:val="00554B9B"/>
    <w:rsid w:val="005553CF"/>
    <w:rsid w:val="005558BE"/>
    <w:rsid w:val="00555A4A"/>
    <w:rsid w:val="005560E7"/>
    <w:rsid w:val="005560F9"/>
    <w:rsid w:val="005567B2"/>
    <w:rsid w:val="005568A2"/>
    <w:rsid w:val="005568BC"/>
    <w:rsid w:val="00556AF8"/>
    <w:rsid w:val="00556C3D"/>
    <w:rsid w:val="00556F7D"/>
    <w:rsid w:val="00556F89"/>
    <w:rsid w:val="0055713D"/>
    <w:rsid w:val="005572CA"/>
    <w:rsid w:val="00557870"/>
    <w:rsid w:val="005579C2"/>
    <w:rsid w:val="00557BBC"/>
    <w:rsid w:val="0056006D"/>
    <w:rsid w:val="00560277"/>
    <w:rsid w:val="00560938"/>
    <w:rsid w:val="00560AF1"/>
    <w:rsid w:val="00560CBE"/>
    <w:rsid w:val="00560E23"/>
    <w:rsid w:val="00561317"/>
    <w:rsid w:val="00561562"/>
    <w:rsid w:val="00561D11"/>
    <w:rsid w:val="00562400"/>
    <w:rsid w:val="0056260C"/>
    <w:rsid w:val="00562E61"/>
    <w:rsid w:val="00563154"/>
    <w:rsid w:val="005635B0"/>
    <w:rsid w:val="00563666"/>
    <w:rsid w:val="00563680"/>
    <w:rsid w:val="00563CEE"/>
    <w:rsid w:val="00563DE6"/>
    <w:rsid w:val="00564135"/>
    <w:rsid w:val="005643AA"/>
    <w:rsid w:val="00564407"/>
    <w:rsid w:val="0056492D"/>
    <w:rsid w:val="0056528D"/>
    <w:rsid w:val="005653CE"/>
    <w:rsid w:val="0056628B"/>
    <w:rsid w:val="00566298"/>
    <w:rsid w:val="0056696F"/>
    <w:rsid w:val="00566D4F"/>
    <w:rsid w:val="00566D79"/>
    <w:rsid w:val="00566FE3"/>
    <w:rsid w:val="0056725B"/>
    <w:rsid w:val="005672F4"/>
    <w:rsid w:val="005678EA"/>
    <w:rsid w:val="00567A9D"/>
    <w:rsid w:val="00570232"/>
    <w:rsid w:val="005707AE"/>
    <w:rsid w:val="0057091E"/>
    <w:rsid w:val="00571478"/>
    <w:rsid w:val="00571651"/>
    <w:rsid w:val="00571952"/>
    <w:rsid w:val="005720A8"/>
    <w:rsid w:val="00572171"/>
    <w:rsid w:val="005723D6"/>
    <w:rsid w:val="00572AFE"/>
    <w:rsid w:val="00572B52"/>
    <w:rsid w:val="005747C5"/>
    <w:rsid w:val="005748DF"/>
    <w:rsid w:val="005748FC"/>
    <w:rsid w:val="00574A67"/>
    <w:rsid w:val="00574A6E"/>
    <w:rsid w:val="005752B7"/>
    <w:rsid w:val="00575464"/>
    <w:rsid w:val="00575551"/>
    <w:rsid w:val="00575CD5"/>
    <w:rsid w:val="00577145"/>
    <w:rsid w:val="005773BE"/>
    <w:rsid w:val="005778A3"/>
    <w:rsid w:val="005779F1"/>
    <w:rsid w:val="00577C01"/>
    <w:rsid w:val="00577EE8"/>
    <w:rsid w:val="0058033B"/>
    <w:rsid w:val="00580798"/>
    <w:rsid w:val="00580B24"/>
    <w:rsid w:val="00581612"/>
    <w:rsid w:val="00581789"/>
    <w:rsid w:val="00582128"/>
    <w:rsid w:val="00582365"/>
    <w:rsid w:val="005825B2"/>
    <w:rsid w:val="00583020"/>
    <w:rsid w:val="005830A6"/>
    <w:rsid w:val="0058329B"/>
    <w:rsid w:val="005834AB"/>
    <w:rsid w:val="00583D5B"/>
    <w:rsid w:val="00583F8B"/>
    <w:rsid w:val="005840BC"/>
    <w:rsid w:val="0058472B"/>
    <w:rsid w:val="0058479E"/>
    <w:rsid w:val="005847C8"/>
    <w:rsid w:val="00584A71"/>
    <w:rsid w:val="00584ACC"/>
    <w:rsid w:val="00584F91"/>
    <w:rsid w:val="00585A36"/>
    <w:rsid w:val="00585C1B"/>
    <w:rsid w:val="0058623B"/>
    <w:rsid w:val="005870EC"/>
    <w:rsid w:val="005872A9"/>
    <w:rsid w:val="00587639"/>
    <w:rsid w:val="00587C60"/>
    <w:rsid w:val="00587C9C"/>
    <w:rsid w:val="0059006E"/>
    <w:rsid w:val="005908C5"/>
    <w:rsid w:val="00591B83"/>
    <w:rsid w:val="00591F70"/>
    <w:rsid w:val="00592509"/>
    <w:rsid w:val="00592637"/>
    <w:rsid w:val="00592638"/>
    <w:rsid w:val="00592C56"/>
    <w:rsid w:val="00593138"/>
    <w:rsid w:val="005934C9"/>
    <w:rsid w:val="0059359D"/>
    <w:rsid w:val="005938D0"/>
    <w:rsid w:val="00593A33"/>
    <w:rsid w:val="005946B4"/>
    <w:rsid w:val="005947B5"/>
    <w:rsid w:val="00594CCA"/>
    <w:rsid w:val="00594DC3"/>
    <w:rsid w:val="00595055"/>
    <w:rsid w:val="005952C8"/>
    <w:rsid w:val="00595AE4"/>
    <w:rsid w:val="00595BD3"/>
    <w:rsid w:val="00595C31"/>
    <w:rsid w:val="00595D4D"/>
    <w:rsid w:val="00595F41"/>
    <w:rsid w:val="0059609A"/>
    <w:rsid w:val="005960BB"/>
    <w:rsid w:val="00596220"/>
    <w:rsid w:val="00596A54"/>
    <w:rsid w:val="00597175"/>
    <w:rsid w:val="00597407"/>
    <w:rsid w:val="00597B1F"/>
    <w:rsid w:val="00597DB8"/>
    <w:rsid w:val="005A007C"/>
    <w:rsid w:val="005A0409"/>
    <w:rsid w:val="005A0496"/>
    <w:rsid w:val="005A0FB8"/>
    <w:rsid w:val="005A1F9E"/>
    <w:rsid w:val="005A2872"/>
    <w:rsid w:val="005A2D89"/>
    <w:rsid w:val="005A2FEB"/>
    <w:rsid w:val="005A2FF0"/>
    <w:rsid w:val="005A3402"/>
    <w:rsid w:val="005A3CC8"/>
    <w:rsid w:val="005A3D6D"/>
    <w:rsid w:val="005A3E5E"/>
    <w:rsid w:val="005A3F0D"/>
    <w:rsid w:val="005A3F1F"/>
    <w:rsid w:val="005A4047"/>
    <w:rsid w:val="005A4384"/>
    <w:rsid w:val="005A45D6"/>
    <w:rsid w:val="005A49A8"/>
    <w:rsid w:val="005A4D24"/>
    <w:rsid w:val="005A4F32"/>
    <w:rsid w:val="005A5426"/>
    <w:rsid w:val="005A562A"/>
    <w:rsid w:val="005A56D2"/>
    <w:rsid w:val="005A6264"/>
    <w:rsid w:val="005A6D58"/>
    <w:rsid w:val="005A6FB2"/>
    <w:rsid w:val="005A7012"/>
    <w:rsid w:val="005A74E7"/>
    <w:rsid w:val="005A7A5E"/>
    <w:rsid w:val="005A7FB8"/>
    <w:rsid w:val="005B04E5"/>
    <w:rsid w:val="005B06A2"/>
    <w:rsid w:val="005B0A0F"/>
    <w:rsid w:val="005B0B33"/>
    <w:rsid w:val="005B0E4A"/>
    <w:rsid w:val="005B1586"/>
    <w:rsid w:val="005B1C07"/>
    <w:rsid w:val="005B27C3"/>
    <w:rsid w:val="005B29AC"/>
    <w:rsid w:val="005B2E0A"/>
    <w:rsid w:val="005B2EC0"/>
    <w:rsid w:val="005B2EF3"/>
    <w:rsid w:val="005B3257"/>
    <w:rsid w:val="005B327C"/>
    <w:rsid w:val="005B33D7"/>
    <w:rsid w:val="005B3432"/>
    <w:rsid w:val="005B3BD6"/>
    <w:rsid w:val="005B4108"/>
    <w:rsid w:val="005B57F5"/>
    <w:rsid w:val="005B5D40"/>
    <w:rsid w:val="005B6360"/>
    <w:rsid w:val="005B6FE9"/>
    <w:rsid w:val="005B70D6"/>
    <w:rsid w:val="005B7BA6"/>
    <w:rsid w:val="005B7D6C"/>
    <w:rsid w:val="005C0190"/>
    <w:rsid w:val="005C04F8"/>
    <w:rsid w:val="005C0C80"/>
    <w:rsid w:val="005C11AF"/>
    <w:rsid w:val="005C165D"/>
    <w:rsid w:val="005C2E6A"/>
    <w:rsid w:val="005C2F4A"/>
    <w:rsid w:val="005C3134"/>
    <w:rsid w:val="005C3193"/>
    <w:rsid w:val="005C3CC0"/>
    <w:rsid w:val="005C3E07"/>
    <w:rsid w:val="005C3E21"/>
    <w:rsid w:val="005C4409"/>
    <w:rsid w:val="005C46AF"/>
    <w:rsid w:val="005C48CE"/>
    <w:rsid w:val="005C4D6A"/>
    <w:rsid w:val="005C50FF"/>
    <w:rsid w:val="005C5678"/>
    <w:rsid w:val="005C5744"/>
    <w:rsid w:val="005C59E5"/>
    <w:rsid w:val="005C5FB0"/>
    <w:rsid w:val="005C6B15"/>
    <w:rsid w:val="005C6BE4"/>
    <w:rsid w:val="005C7215"/>
    <w:rsid w:val="005C73C4"/>
    <w:rsid w:val="005C7849"/>
    <w:rsid w:val="005D005D"/>
    <w:rsid w:val="005D00EA"/>
    <w:rsid w:val="005D01F5"/>
    <w:rsid w:val="005D023B"/>
    <w:rsid w:val="005D0371"/>
    <w:rsid w:val="005D15D7"/>
    <w:rsid w:val="005D17DF"/>
    <w:rsid w:val="005D1830"/>
    <w:rsid w:val="005D1BF4"/>
    <w:rsid w:val="005D1FFA"/>
    <w:rsid w:val="005D2304"/>
    <w:rsid w:val="005D2C41"/>
    <w:rsid w:val="005D2E12"/>
    <w:rsid w:val="005D2F92"/>
    <w:rsid w:val="005D32FD"/>
    <w:rsid w:val="005D3A04"/>
    <w:rsid w:val="005D3A7D"/>
    <w:rsid w:val="005D3C52"/>
    <w:rsid w:val="005D4417"/>
    <w:rsid w:val="005D48FE"/>
    <w:rsid w:val="005D49CC"/>
    <w:rsid w:val="005D4C4C"/>
    <w:rsid w:val="005D4DBD"/>
    <w:rsid w:val="005D5043"/>
    <w:rsid w:val="005D51CA"/>
    <w:rsid w:val="005D6A70"/>
    <w:rsid w:val="005D7471"/>
    <w:rsid w:val="005D749D"/>
    <w:rsid w:val="005D74A3"/>
    <w:rsid w:val="005D7BC5"/>
    <w:rsid w:val="005D7ECA"/>
    <w:rsid w:val="005E0809"/>
    <w:rsid w:val="005E09FB"/>
    <w:rsid w:val="005E0B6F"/>
    <w:rsid w:val="005E144A"/>
    <w:rsid w:val="005E1B60"/>
    <w:rsid w:val="005E2053"/>
    <w:rsid w:val="005E2440"/>
    <w:rsid w:val="005E263B"/>
    <w:rsid w:val="005E2702"/>
    <w:rsid w:val="005E29AB"/>
    <w:rsid w:val="005E3521"/>
    <w:rsid w:val="005E3A5E"/>
    <w:rsid w:val="005E43DB"/>
    <w:rsid w:val="005E4DD4"/>
    <w:rsid w:val="005E51B0"/>
    <w:rsid w:val="005E534D"/>
    <w:rsid w:val="005E569B"/>
    <w:rsid w:val="005E5874"/>
    <w:rsid w:val="005E62C4"/>
    <w:rsid w:val="005E75D5"/>
    <w:rsid w:val="005E7850"/>
    <w:rsid w:val="005E797D"/>
    <w:rsid w:val="005E7ABF"/>
    <w:rsid w:val="005F024E"/>
    <w:rsid w:val="005F0278"/>
    <w:rsid w:val="005F0454"/>
    <w:rsid w:val="005F0704"/>
    <w:rsid w:val="005F07C7"/>
    <w:rsid w:val="005F0DFA"/>
    <w:rsid w:val="005F1555"/>
    <w:rsid w:val="005F1A0B"/>
    <w:rsid w:val="005F1CF4"/>
    <w:rsid w:val="005F21B9"/>
    <w:rsid w:val="005F2217"/>
    <w:rsid w:val="005F2239"/>
    <w:rsid w:val="005F2325"/>
    <w:rsid w:val="005F2978"/>
    <w:rsid w:val="005F3242"/>
    <w:rsid w:val="005F3303"/>
    <w:rsid w:val="005F367F"/>
    <w:rsid w:val="005F38A9"/>
    <w:rsid w:val="005F3AD1"/>
    <w:rsid w:val="005F44A3"/>
    <w:rsid w:val="005F44BB"/>
    <w:rsid w:val="005F4721"/>
    <w:rsid w:val="005F4761"/>
    <w:rsid w:val="005F4AA3"/>
    <w:rsid w:val="005F5074"/>
    <w:rsid w:val="005F512A"/>
    <w:rsid w:val="005F5390"/>
    <w:rsid w:val="005F54CE"/>
    <w:rsid w:val="005F57C5"/>
    <w:rsid w:val="005F58EA"/>
    <w:rsid w:val="005F5A66"/>
    <w:rsid w:val="005F5CEA"/>
    <w:rsid w:val="005F6004"/>
    <w:rsid w:val="005F624B"/>
    <w:rsid w:val="005F6B72"/>
    <w:rsid w:val="005F6C10"/>
    <w:rsid w:val="005F6F5E"/>
    <w:rsid w:val="005F720A"/>
    <w:rsid w:val="005F78B2"/>
    <w:rsid w:val="005F7901"/>
    <w:rsid w:val="005F7A0B"/>
    <w:rsid w:val="005F7A69"/>
    <w:rsid w:val="005F7DEB"/>
    <w:rsid w:val="005F7F2C"/>
    <w:rsid w:val="00600016"/>
    <w:rsid w:val="0060001C"/>
    <w:rsid w:val="00600056"/>
    <w:rsid w:val="00600243"/>
    <w:rsid w:val="006009C1"/>
    <w:rsid w:val="00600AB2"/>
    <w:rsid w:val="00600B53"/>
    <w:rsid w:val="00601334"/>
    <w:rsid w:val="006018DA"/>
    <w:rsid w:val="006024A3"/>
    <w:rsid w:val="00602895"/>
    <w:rsid w:val="0060289D"/>
    <w:rsid w:val="00602E02"/>
    <w:rsid w:val="00602F43"/>
    <w:rsid w:val="00603006"/>
    <w:rsid w:val="00603B08"/>
    <w:rsid w:val="00603C6F"/>
    <w:rsid w:val="006042F3"/>
    <w:rsid w:val="006047F1"/>
    <w:rsid w:val="006048B7"/>
    <w:rsid w:val="006049F0"/>
    <w:rsid w:val="00604AA5"/>
    <w:rsid w:val="00604D29"/>
    <w:rsid w:val="00605271"/>
    <w:rsid w:val="006053D5"/>
    <w:rsid w:val="00605776"/>
    <w:rsid w:val="00605A11"/>
    <w:rsid w:val="00605AD7"/>
    <w:rsid w:val="00605B84"/>
    <w:rsid w:val="00606080"/>
    <w:rsid w:val="0060630D"/>
    <w:rsid w:val="006064E6"/>
    <w:rsid w:val="006066EC"/>
    <w:rsid w:val="00606C26"/>
    <w:rsid w:val="00606DAF"/>
    <w:rsid w:val="006070B4"/>
    <w:rsid w:val="00607695"/>
    <w:rsid w:val="006077C0"/>
    <w:rsid w:val="00607E65"/>
    <w:rsid w:val="0061002B"/>
    <w:rsid w:val="00610162"/>
    <w:rsid w:val="006101D5"/>
    <w:rsid w:val="00610A3B"/>
    <w:rsid w:val="00610ABA"/>
    <w:rsid w:val="0061116E"/>
    <w:rsid w:val="00611C7A"/>
    <w:rsid w:val="00611EB4"/>
    <w:rsid w:val="0061213D"/>
    <w:rsid w:val="00612336"/>
    <w:rsid w:val="0061276D"/>
    <w:rsid w:val="00612AA1"/>
    <w:rsid w:val="00612C64"/>
    <w:rsid w:val="00613037"/>
    <w:rsid w:val="006135AB"/>
    <w:rsid w:val="006135C0"/>
    <w:rsid w:val="0061386F"/>
    <w:rsid w:val="006138E4"/>
    <w:rsid w:val="00614110"/>
    <w:rsid w:val="00614134"/>
    <w:rsid w:val="0061446E"/>
    <w:rsid w:val="006144F6"/>
    <w:rsid w:val="00614A01"/>
    <w:rsid w:val="00614BCB"/>
    <w:rsid w:val="00614E6B"/>
    <w:rsid w:val="006150DE"/>
    <w:rsid w:val="006151DA"/>
    <w:rsid w:val="0061542A"/>
    <w:rsid w:val="00615498"/>
    <w:rsid w:val="0061589E"/>
    <w:rsid w:val="006159C9"/>
    <w:rsid w:val="00616407"/>
    <w:rsid w:val="00616B44"/>
    <w:rsid w:val="0061703D"/>
    <w:rsid w:val="00617B47"/>
    <w:rsid w:val="00617E8A"/>
    <w:rsid w:val="0062017A"/>
    <w:rsid w:val="0062047E"/>
    <w:rsid w:val="006206EF"/>
    <w:rsid w:val="00620E5A"/>
    <w:rsid w:val="00620FC9"/>
    <w:rsid w:val="00621170"/>
    <w:rsid w:val="00622792"/>
    <w:rsid w:val="006229BC"/>
    <w:rsid w:val="00622DA6"/>
    <w:rsid w:val="00623A35"/>
    <w:rsid w:val="00623D40"/>
    <w:rsid w:val="00623F61"/>
    <w:rsid w:val="00624526"/>
    <w:rsid w:val="00624B27"/>
    <w:rsid w:val="00624D08"/>
    <w:rsid w:val="006250E9"/>
    <w:rsid w:val="0062539E"/>
    <w:rsid w:val="0062545D"/>
    <w:rsid w:val="006259E6"/>
    <w:rsid w:val="00625EFA"/>
    <w:rsid w:val="00626089"/>
    <w:rsid w:val="00626426"/>
    <w:rsid w:val="0062667D"/>
    <w:rsid w:val="00626D4D"/>
    <w:rsid w:val="00626E63"/>
    <w:rsid w:val="00627740"/>
    <w:rsid w:val="006279CE"/>
    <w:rsid w:val="00627A4F"/>
    <w:rsid w:val="00630212"/>
    <w:rsid w:val="006303AB"/>
    <w:rsid w:val="00630936"/>
    <w:rsid w:val="00630DFA"/>
    <w:rsid w:val="00630ED0"/>
    <w:rsid w:val="00630FF7"/>
    <w:rsid w:val="00631D24"/>
    <w:rsid w:val="00631DC4"/>
    <w:rsid w:val="006324F2"/>
    <w:rsid w:val="00632820"/>
    <w:rsid w:val="00632BA5"/>
    <w:rsid w:val="00632FB9"/>
    <w:rsid w:val="00633B2F"/>
    <w:rsid w:val="00633BF6"/>
    <w:rsid w:val="006341CA"/>
    <w:rsid w:val="00634692"/>
    <w:rsid w:val="00634AA3"/>
    <w:rsid w:val="00634EFF"/>
    <w:rsid w:val="0063521D"/>
    <w:rsid w:val="00635456"/>
    <w:rsid w:val="00636631"/>
    <w:rsid w:val="0063666C"/>
    <w:rsid w:val="00636B42"/>
    <w:rsid w:val="00637F3D"/>
    <w:rsid w:val="00640801"/>
    <w:rsid w:val="00640C31"/>
    <w:rsid w:val="00640D07"/>
    <w:rsid w:val="006411A0"/>
    <w:rsid w:val="0064176D"/>
    <w:rsid w:val="00641864"/>
    <w:rsid w:val="00641A57"/>
    <w:rsid w:val="00641BF2"/>
    <w:rsid w:val="00642945"/>
    <w:rsid w:val="00643226"/>
    <w:rsid w:val="0064328A"/>
    <w:rsid w:val="006432F7"/>
    <w:rsid w:val="00643E32"/>
    <w:rsid w:val="0064425E"/>
    <w:rsid w:val="006459EF"/>
    <w:rsid w:val="00645D3F"/>
    <w:rsid w:val="00645E91"/>
    <w:rsid w:val="0064606F"/>
    <w:rsid w:val="006461E5"/>
    <w:rsid w:val="006464D2"/>
    <w:rsid w:val="006465F3"/>
    <w:rsid w:val="0064667C"/>
    <w:rsid w:val="00647581"/>
    <w:rsid w:val="00650A30"/>
    <w:rsid w:val="0065101F"/>
    <w:rsid w:val="00651591"/>
    <w:rsid w:val="00652210"/>
    <w:rsid w:val="00652306"/>
    <w:rsid w:val="00652A36"/>
    <w:rsid w:val="0065325D"/>
    <w:rsid w:val="006534BF"/>
    <w:rsid w:val="006537D7"/>
    <w:rsid w:val="00653B3A"/>
    <w:rsid w:val="00653B73"/>
    <w:rsid w:val="00653DDE"/>
    <w:rsid w:val="0065444A"/>
    <w:rsid w:val="0065491C"/>
    <w:rsid w:val="00654F68"/>
    <w:rsid w:val="00655707"/>
    <w:rsid w:val="006558D9"/>
    <w:rsid w:val="00655966"/>
    <w:rsid w:val="00655A35"/>
    <w:rsid w:val="00655CF9"/>
    <w:rsid w:val="00655D45"/>
    <w:rsid w:val="00656069"/>
    <w:rsid w:val="00656D61"/>
    <w:rsid w:val="00656E53"/>
    <w:rsid w:val="0065714C"/>
    <w:rsid w:val="00657209"/>
    <w:rsid w:val="0065729C"/>
    <w:rsid w:val="00657319"/>
    <w:rsid w:val="00657AB5"/>
    <w:rsid w:val="00660A6F"/>
    <w:rsid w:val="00660A74"/>
    <w:rsid w:val="00660B8C"/>
    <w:rsid w:val="00661B0A"/>
    <w:rsid w:val="006620E9"/>
    <w:rsid w:val="00662E5F"/>
    <w:rsid w:val="00663178"/>
    <w:rsid w:val="006637DC"/>
    <w:rsid w:val="00663898"/>
    <w:rsid w:val="00663B91"/>
    <w:rsid w:val="00663E6B"/>
    <w:rsid w:val="00664434"/>
    <w:rsid w:val="00664BB6"/>
    <w:rsid w:val="00664EE5"/>
    <w:rsid w:val="006652DA"/>
    <w:rsid w:val="006654FA"/>
    <w:rsid w:val="0066561F"/>
    <w:rsid w:val="0066613A"/>
    <w:rsid w:val="00666737"/>
    <w:rsid w:val="006668BF"/>
    <w:rsid w:val="00666A58"/>
    <w:rsid w:val="0066760E"/>
    <w:rsid w:val="006678D7"/>
    <w:rsid w:val="00670073"/>
    <w:rsid w:val="0067011F"/>
    <w:rsid w:val="0067038F"/>
    <w:rsid w:val="006705BF"/>
    <w:rsid w:val="00670650"/>
    <w:rsid w:val="00670D68"/>
    <w:rsid w:val="00670F91"/>
    <w:rsid w:val="00671271"/>
    <w:rsid w:val="006712C0"/>
    <w:rsid w:val="00671602"/>
    <w:rsid w:val="00673358"/>
    <w:rsid w:val="00673ED4"/>
    <w:rsid w:val="006744AC"/>
    <w:rsid w:val="00674651"/>
    <w:rsid w:val="00674C7D"/>
    <w:rsid w:val="00674CB7"/>
    <w:rsid w:val="00675586"/>
    <w:rsid w:val="006757D1"/>
    <w:rsid w:val="00675E74"/>
    <w:rsid w:val="00676063"/>
    <w:rsid w:val="0067608E"/>
    <w:rsid w:val="0067653B"/>
    <w:rsid w:val="00676A5A"/>
    <w:rsid w:val="00676BAF"/>
    <w:rsid w:val="006771E6"/>
    <w:rsid w:val="00677256"/>
    <w:rsid w:val="006807B4"/>
    <w:rsid w:val="006808FB"/>
    <w:rsid w:val="00680B2D"/>
    <w:rsid w:val="00680B40"/>
    <w:rsid w:val="00680B5D"/>
    <w:rsid w:val="00680C18"/>
    <w:rsid w:val="00680FF8"/>
    <w:rsid w:val="00681C31"/>
    <w:rsid w:val="00681CDB"/>
    <w:rsid w:val="00681EC9"/>
    <w:rsid w:val="006822FA"/>
    <w:rsid w:val="0068288C"/>
    <w:rsid w:val="00682B5D"/>
    <w:rsid w:val="00682D28"/>
    <w:rsid w:val="00682F57"/>
    <w:rsid w:val="00683665"/>
    <w:rsid w:val="00683782"/>
    <w:rsid w:val="00683920"/>
    <w:rsid w:val="006839D2"/>
    <w:rsid w:val="00683B16"/>
    <w:rsid w:val="00683D04"/>
    <w:rsid w:val="00683F36"/>
    <w:rsid w:val="006843F5"/>
    <w:rsid w:val="006845F4"/>
    <w:rsid w:val="00684DD7"/>
    <w:rsid w:val="00684DE3"/>
    <w:rsid w:val="00685589"/>
    <w:rsid w:val="00685ABF"/>
    <w:rsid w:val="00686555"/>
    <w:rsid w:val="006866F0"/>
    <w:rsid w:val="0068682C"/>
    <w:rsid w:val="00686840"/>
    <w:rsid w:val="00686D2B"/>
    <w:rsid w:val="00686D97"/>
    <w:rsid w:val="00686F82"/>
    <w:rsid w:val="006879D3"/>
    <w:rsid w:val="00687B01"/>
    <w:rsid w:val="00687C9D"/>
    <w:rsid w:val="00687EAB"/>
    <w:rsid w:val="00690481"/>
    <w:rsid w:val="00690F51"/>
    <w:rsid w:val="00691151"/>
    <w:rsid w:val="006911E5"/>
    <w:rsid w:val="00691405"/>
    <w:rsid w:val="006917B5"/>
    <w:rsid w:val="00692077"/>
    <w:rsid w:val="006922FD"/>
    <w:rsid w:val="006924AF"/>
    <w:rsid w:val="006927F7"/>
    <w:rsid w:val="00692A05"/>
    <w:rsid w:val="00692F9A"/>
    <w:rsid w:val="00693386"/>
    <w:rsid w:val="0069376F"/>
    <w:rsid w:val="006938AA"/>
    <w:rsid w:val="00693BE5"/>
    <w:rsid w:val="0069423E"/>
    <w:rsid w:val="0069474B"/>
    <w:rsid w:val="0069475D"/>
    <w:rsid w:val="00694D45"/>
    <w:rsid w:val="00695095"/>
    <w:rsid w:val="0069547A"/>
    <w:rsid w:val="00695585"/>
    <w:rsid w:val="00695A5E"/>
    <w:rsid w:val="00695D08"/>
    <w:rsid w:val="00696269"/>
    <w:rsid w:val="00696693"/>
    <w:rsid w:val="00696A74"/>
    <w:rsid w:val="00696C30"/>
    <w:rsid w:val="00697198"/>
    <w:rsid w:val="006975AA"/>
    <w:rsid w:val="00697622"/>
    <w:rsid w:val="00697966"/>
    <w:rsid w:val="00697E25"/>
    <w:rsid w:val="006A0029"/>
    <w:rsid w:val="006A064D"/>
    <w:rsid w:val="006A09BF"/>
    <w:rsid w:val="006A0BCA"/>
    <w:rsid w:val="006A22D3"/>
    <w:rsid w:val="006A25ED"/>
    <w:rsid w:val="006A2A15"/>
    <w:rsid w:val="006A358B"/>
    <w:rsid w:val="006A3695"/>
    <w:rsid w:val="006A3907"/>
    <w:rsid w:val="006A3932"/>
    <w:rsid w:val="006A3A2B"/>
    <w:rsid w:val="006A3B07"/>
    <w:rsid w:val="006A3DDB"/>
    <w:rsid w:val="006A41AB"/>
    <w:rsid w:val="006A499D"/>
    <w:rsid w:val="006A4C35"/>
    <w:rsid w:val="006A4EE9"/>
    <w:rsid w:val="006A5C96"/>
    <w:rsid w:val="006A6634"/>
    <w:rsid w:val="006A66A4"/>
    <w:rsid w:val="006A6BF1"/>
    <w:rsid w:val="006A6F07"/>
    <w:rsid w:val="006A7692"/>
    <w:rsid w:val="006A76CC"/>
    <w:rsid w:val="006A77C5"/>
    <w:rsid w:val="006B02E7"/>
    <w:rsid w:val="006B0831"/>
    <w:rsid w:val="006B133E"/>
    <w:rsid w:val="006B1639"/>
    <w:rsid w:val="006B1A03"/>
    <w:rsid w:val="006B24D0"/>
    <w:rsid w:val="006B2721"/>
    <w:rsid w:val="006B27C5"/>
    <w:rsid w:val="006B28D2"/>
    <w:rsid w:val="006B3032"/>
    <w:rsid w:val="006B31DE"/>
    <w:rsid w:val="006B3277"/>
    <w:rsid w:val="006B361A"/>
    <w:rsid w:val="006B3639"/>
    <w:rsid w:val="006B3925"/>
    <w:rsid w:val="006B46D9"/>
    <w:rsid w:val="006B4B4A"/>
    <w:rsid w:val="006B5A4A"/>
    <w:rsid w:val="006B5C22"/>
    <w:rsid w:val="006B60E1"/>
    <w:rsid w:val="006B631F"/>
    <w:rsid w:val="006B6328"/>
    <w:rsid w:val="006B6562"/>
    <w:rsid w:val="006B75C6"/>
    <w:rsid w:val="006C01A0"/>
    <w:rsid w:val="006C0235"/>
    <w:rsid w:val="006C1A78"/>
    <w:rsid w:val="006C1B8E"/>
    <w:rsid w:val="006C1CA8"/>
    <w:rsid w:val="006C295A"/>
    <w:rsid w:val="006C3260"/>
    <w:rsid w:val="006C3329"/>
    <w:rsid w:val="006C354C"/>
    <w:rsid w:val="006C3884"/>
    <w:rsid w:val="006C3AA5"/>
    <w:rsid w:val="006C3B76"/>
    <w:rsid w:val="006C3E36"/>
    <w:rsid w:val="006C4572"/>
    <w:rsid w:val="006C4DF8"/>
    <w:rsid w:val="006C57D0"/>
    <w:rsid w:val="006C60E5"/>
    <w:rsid w:val="006C611C"/>
    <w:rsid w:val="006C67D5"/>
    <w:rsid w:val="006C6918"/>
    <w:rsid w:val="006C6A7B"/>
    <w:rsid w:val="006C6D1D"/>
    <w:rsid w:val="006C78D7"/>
    <w:rsid w:val="006C7B03"/>
    <w:rsid w:val="006C7CBA"/>
    <w:rsid w:val="006C7CCC"/>
    <w:rsid w:val="006D0109"/>
    <w:rsid w:val="006D0483"/>
    <w:rsid w:val="006D05A3"/>
    <w:rsid w:val="006D05B6"/>
    <w:rsid w:val="006D0EC2"/>
    <w:rsid w:val="006D1EB7"/>
    <w:rsid w:val="006D2D27"/>
    <w:rsid w:val="006D2FF3"/>
    <w:rsid w:val="006D305B"/>
    <w:rsid w:val="006D41AF"/>
    <w:rsid w:val="006D425E"/>
    <w:rsid w:val="006D42ED"/>
    <w:rsid w:val="006D43E0"/>
    <w:rsid w:val="006D449E"/>
    <w:rsid w:val="006D4C72"/>
    <w:rsid w:val="006D4D51"/>
    <w:rsid w:val="006D4E4C"/>
    <w:rsid w:val="006D5585"/>
    <w:rsid w:val="006D5797"/>
    <w:rsid w:val="006D5D5E"/>
    <w:rsid w:val="006D5F76"/>
    <w:rsid w:val="006D600E"/>
    <w:rsid w:val="006D6C7D"/>
    <w:rsid w:val="006D6D96"/>
    <w:rsid w:val="006D7211"/>
    <w:rsid w:val="006D7515"/>
    <w:rsid w:val="006D75C8"/>
    <w:rsid w:val="006D77E4"/>
    <w:rsid w:val="006D7987"/>
    <w:rsid w:val="006D7AD8"/>
    <w:rsid w:val="006E0C66"/>
    <w:rsid w:val="006E0DEB"/>
    <w:rsid w:val="006E1403"/>
    <w:rsid w:val="006E14F1"/>
    <w:rsid w:val="006E1853"/>
    <w:rsid w:val="006E198C"/>
    <w:rsid w:val="006E1DDE"/>
    <w:rsid w:val="006E25F8"/>
    <w:rsid w:val="006E2609"/>
    <w:rsid w:val="006E2734"/>
    <w:rsid w:val="006E2851"/>
    <w:rsid w:val="006E2B14"/>
    <w:rsid w:val="006E2CC0"/>
    <w:rsid w:val="006E331B"/>
    <w:rsid w:val="006E3C1E"/>
    <w:rsid w:val="006E40C4"/>
    <w:rsid w:val="006E4414"/>
    <w:rsid w:val="006E47B2"/>
    <w:rsid w:val="006E492C"/>
    <w:rsid w:val="006E4A05"/>
    <w:rsid w:val="006E4E4F"/>
    <w:rsid w:val="006E4EC2"/>
    <w:rsid w:val="006E4F00"/>
    <w:rsid w:val="006E4F36"/>
    <w:rsid w:val="006E4F70"/>
    <w:rsid w:val="006E4FA4"/>
    <w:rsid w:val="006E54A4"/>
    <w:rsid w:val="006E554B"/>
    <w:rsid w:val="006E579A"/>
    <w:rsid w:val="006E5E88"/>
    <w:rsid w:val="006E681E"/>
    <w:rsid w:val="006E685E"/>
    <w:rsid w:val="006E6C7A"/>
    <w:rsid w:val="006E7076"/>
    <w:rsid w:val="006E7A63"/>
    <w:rsid w:val="006E7C33"/>
    <w:rsid w:val="006E7FB4"/>
    <w:rsid w:val="006F047D"/>
    <w:rsid w:val="006F05B4"/>
    <w:rsid w:val="006F0D46"/>
    <w:rsid w:val="006F10A9"/>
    <w:rsid w:val="006F1494"/>
    <w:rsid w:val="006F193B"/>
    <w:rsid w:val="006F1D76"/>
    <w:rsid w:val="006F2381"/>
    <w:rsid w:val="006F23DD"/>
    <w:rsid w:val="006F2AB8"/>
    <w:rsid w:val="006F3000"/>
    <w:rsid w:val="006F3541"/>
    <w:rsid w:val="006F37AC"/>
    <w:rsid w:val="006F3CD2"/>
    <w:rsid w:val="006F3E40"/>
    <w:rsid w:val="006F5158"/>
    <w:rsid w:val="006F5773"/>
    <w:rsid w:val="006F6BFC"/>
    <w:rsid w:val="006F6ECA"/>
    <w:rsid w:val="006F71C1"/>
    <w:rsid w:val="006F7232"/>
    <w:rsid w:val="006F72E9"/>
    <w:rsid w:val="006F7BE2"/>
    <w:rsid w:val="00700950"/>
    <w:rsid w:val="0070105B"/>
    <w:rsid w:val="00701136"/>
    <w:rsid w:val="00701154"/>
    <w:rsid w:val="00702310"/>
    <w:rsid w:val="00702E3E"/>
    <w:rsid w:val="007030DB"/>
    <w:rsid w:val="00703188"/>
    <w:rsid w:val="0070319A"/>
    <w:rsid w:val="00703C9D"/>
    <w:rsid w:val="00703CB4"/>
    <w:rsid w:val="00703F5F"/>
    <w:rsid w:val="00703FC8"/>
    <w:rsid w:val="007040A4"/>
    <w:rsid w:val="007041A6"/>
    <w:rsid w:val="00705167"/>
    <w:rsid w:val="00705657"/>
    <w:rsid w:val="007056BC"/>
    <w:rsid w:val="0070589F"/>
    <w:rsid w:val="00706DB6"/>
    <w:rsid w:val="00706FD2"/>
    <w:rsid w:val="007072DC"/>
    <w:rsid w:val="0070760A"/>
    <w:rsid w:val="00707C18"/>
    <w:rsid w:val="00710054"/>
    <w:rsid w:val="00710301"/>
    <w:rsid w:val="007103A9"/>
    <w:rsid w:val="0071055D"/>
    <w:rsid w:val="00710B8F"/>
    <w:rsid w:val="00710C26"/>
    <w:rsid w:val="00710CC0"/>
    <w:rsid w:val="0071147D"/>
    <w:rsid w:val="00711634"/>
    <w:rsid w:val="0071189F"/>
    <w:rsid w:val="00711D9F"/>
    <w:rsid w:val="0071200A"/>
    <w:rsid w:val="00712256"/>
    <w:rsid w:val="0071256D"/>
    <w:rsid w:val="00712627"/>
    <w:rsid w:val="00712885"/>
    <w:rsid w:val="00712E8D"/>
    <w:rsid w:val="00713099"/>
    <w:rsid w:val="00713394"/>
    <w:rsid w:val="00713788"/>
    <w:rsid w:val="00713960"/>
    <w:rsid w:val="007139D1"/>
    <w:rsid w:val="00713A3E"/>
    <w:rsid w:val="00714A8F"/>
    <w:rsid w:val="0071514F"/>
    <w:rsid w:val="007152BE"/>
    <w:rsid w:val="0071536E"/>
    <w:rsid w:val="00715D4A"/>
    <w:rsid w:val="007162A4"/>
    <w:rsid w:val="00716A21"/>
    <w:rsid w:val="00716AD2"/>
    <w:rsid w:val="00717652"/>
    <w:rsid w:val="0072028E"/>
    <w:rsid w:val="007203CA"/>
    <w:rsid w:val="007226F5"/>
    <w:rsid w:val="00722A64"/>
    <w:rsid w:val="00722C0B"/>
    <w:rsid w:val="00722DD5"/>
    <w:rsid w:val="00722E1C"/>
    <w:rsid w:val="00722E89"/>
    <w:rsid w:val="007230E7"/>
    <w:rsid w:val="00723113"/>
    <w:rsid w:val="00723B2C"/>
    <w:rsid w:val="00724021"/>
    <w:rsid w:val="007242B0"/>
    <w:rsid w:val="00724ED0"/>
    <w:rsid w:val="00724F92"/>
    <w:rsid w:val="007253D6"/>
    <w:rsid w:val="00725618"/>
    <w:rsid w:val="0072578A"/>
    <w:rsid w:val="0072597A"/>
    <w:rsid w:val="00726DF4"/>
    <w:rsid w:val="00727800"/>
    <w:rsid w:val="00727A91"/>
    <w:rsid w:val="00727CAF"/>
    <w:rsid w:val="0073174A"/>
    <w:rsid w:val="0073250A"/>
    <w:rsid w:val="0073290E"/>
    <w:rsid w:val="00733380"/>
    <w:rsid w:val="007333B8"/>
    <w:rsid w:val="00733DB3"/>
    <w:rsid w:val="00733DE2"/>
    <w:rsid w:val="0073455B"/>
    <w:rsid w:val="007346DA"/>
    <w:rsid w:val="00734781"/>
    <w:rsid w:val="007348CA"/>
    <w:rsid w:val="00734E57"/>
    <w:rsid w:val="0073549E"/>
    <w:rsid w:val="00735D2D"/>
    <w:rsid w:val="00736DCA"/>
    <w:rsid w:val="00737161"/>
    <w:rsid w:val="007373AA"/>
    <w:rsid w:val="0073792C"/>
    <w:rsid w:val="00737DFC"/>
    <w:rsid w:val="00740318"/>
    <w:rsid w:val="00741FED"/>
    <w:rsid w:val="0074257A"/>
    <w:rsid w:val="00742C60"/>
    <w:rsid w:val="007444A1"/>
    <w:rsid w:val="00744560"/>
    <w:rsid w:val="007449BE"/>
    <w:rsid w:val="00744AC8"/>
    <w:rsid w:val="00744C4E"/>
    <w:rsid w:val="00744CBF"/>
    <w:rsid w:val="00745173"/>
    <w:rsid w:val="00745AE0"/>
    <w:rsid w:val="00745CF1"/>
    <w:rsid w:val="0074604D"/>
    <w:rsid w:val="00746751"/>
    <w:rsid w:val="00746C23"/>
    <w:rsid w:val="00746E78"/>
    <w:rsid w:val="00747165"/>
    <w:rsid w:val="00747434"/>
    <w:rsid w:val="0074788B"/>
    <w:rsid w:val="00747B07"/>
    <w:rsid w:val="00750767"/>
    <w:rsid w:val="007508DE"/>
    <w:rsid w:val="0075128B"/>
    <w:rsid w:val="0075137C"/>
    <w:rsid w:val="00752051"/>
    <w:rsid w:val="007520D0"/>
    <w:rsid w:val="00752246"/>
    <w:rsid w:val="007522E2"/>
    <w:rsid w:val="00752F36"/>
    <w:rsid w:val="007530EB"/>
    <w:rsid w:val="0075368F"/>
    <w:rsid w:val="00753779"/>
    <w:rsid w:val="0075417E"/>
    <w:rsid w:val="0075418A"/>
    <w:rsid w:val="0075424D"/>
    <w:rsid w:val="007542AD"/>
    <w:rsid w:val="00754484"/>
    <w:rsid w:val="0075516C"/>
    <w:rsid w:val="00755942"/>
    <w:rsid w:val="007565A6"/>
    <w:rsid w:val="007570D4"/>
    <w:rsid w:val="0075712D"/>
    <w:rsid w:val="0075726B"/>
    <w:rsid w:val="007573B8"/>
    <w:rsid w:val="00757559"/>
    <w:rsid w:val="00757AAF"/>
    <w:rsid w:val="00760C58"/>
    <w:rsid w:val="00760CDC"/>
    <w:rsid w:val="007615E0"/>
    <w:rsid w:val="007616F6"/>
    <w:rsid w:val="00761A61"/>
    <w:rsid w:val="00762064"/>
    <w:rsid w:val="0076260D"/>
    <w:rsid w:val="00762D89"/>
    <w:rsid w:val="00763A2F"/>
    <w:rsid w:val="00763B77"/>
    <w:rsid w:val="0076469C"/>
    <w:rsid w:val="0076513B"/>
    <w:rsid w:val="007651E8"/>
    <w:rsid w:val="007654CC"/>
    <w:rsid w:val="00765551"/>
    <w:rsid w:val="0076587B"/>
    <w:rsid w:val="00765940"/>
    <w:rsid w:val="00765BFE"/>
    <w:rsid w:val="00766242"/>
    <w:rsid w:val="007665F3"/>
    <w:rsid w:val="00766D66"/>
    <w:rsid w:val="0076702C"/>
    <w:rsid w:val="007673B3"/>
    <w:rsid w:val="00767896"/>
    <w:rsid w:val="007678BE"/>
    <w:rsid w:val="00767F6C"/>
    <w:rsid w:val="0077037B"/>
    <w:rsid w:val="00771173"/>
    <w:rsid w:val="007713CD"/>
    <w:rsid w:val="0077148E"/>
    <w:rsid w:val="007715F6"/>
    <w:rsid w:val="0077186C"/>
    <w:rsid w:val="00771B7F"/>
    <w:rsid w:val="00771DA4"/>
    <w:rsid w:val="007724A3"/>
    <w:rsid w:val="007727BA"/>
    <w:rsid w:val="00772829"/>
    <w:rsid w:val="007728ED"/>
    <w:rsid w:val="00772AC0"/>
    <w:rsid w:val="00773919"/>
    <w:rsid w:val="00773C0B"/>
    <w:rsid w:val="0077455C"/>
    <w:rsid w:val="00775471"/>
    <w:rsid w:val="007755CE"/>
    <w:rsid w:val="00775606"/>
    <w:rsid w:val="007756E3"/>
    <w:rsid w:val="007759C4"/>
    <w:rsid w:val="00775F02"/>
    <w:rsid w:val="007766C5"/>
    <w:rsid w:val="00777848"/>
    <w:rsid w:val="00777893"/>
    <w:rsid w:val="00777C1A"/>
    <w:rsid w:val="00777FAC"/>
    <w:rsid w:val="0078001C"/>
    <w:rsid w:val="007802E4"/>
    <w:rsid w:val="007804B8"/>
    <w:rsid w:val="007807E1"/>
    <w:rsid w:val="00781698"/>
    <w:rsid w:val="00781B2B"/>
    <w:rsid w:val="00782890"/>
    <w:rsid w:val="00782A45"/>
    <w:rsid w:val="00782AB3"/>
    <w:rsid w:val="00782ABD"/>
    <w:rsid w:val="00782BAA"/>
    <w:rsid w:val="00782C07"/>
    <w:rsid w:val="007834E2"/>
    <w:rsid w:val="00783820"/>
    <w:rsid w:val="007843B7"/>
    <w:rsid w:val="007848B8"/>
    <w:rsid w:val="00784902"/>
    <w:rsid w:val="007852D0"/>
    <w:rsid w:val="007852E9"/>
    <w:rsid w:val="007856A9"/>
    <w:rsid w:val="00785996"/>
    <w:rsid w:val="00785D7D"/>
    <w:rsid w:val="00785D9F"/>
    <w:rsid w:val="007862A0"/>
    <w:rsid w:val="0078644D"/>
    <w:rsid w:val="00786FD9"/>
    <w:rsid w:val="00787372"/>
    <w:rsid w:val="007874F6"/>
    <w:rsid w:val="007876AB"/>
    <w:rsid w:val="00787D9D"/>
    <w:rsid w:val="00787F63"/>
    <w:rsid w:val="00787FE4"/>
    <w:rsid w:val="0079041A"/>
    <w:rsid w:val="00790B15"/>
    <w:rsid w:val="00790F49"/>
    <w:rsid w:val="00791028"/>
    <w:rsid w:val="00791411"/>
    <w:rsid w:val="007916A7"/>
    <w:rsid w:val="007919A3"/>
    <w:rsid w:val="00791DD7"/>
    <w:rsid w:val="00791F93"/>
    <w:rsid w:val="00792C1B"/>
    <w:rsid w:val="00792FBC"/>
    <w:rsid w:val="007931CB"/>
    <w:rsid w:val="0079393D"/>
    <w:rsid w:val="00793FA5"/>
    <w:rsid w:val="0079462E"/>
    <w:rsid w:val="00794A1F"/>
    <w:rsid w:val="00794AFA"/>
    <w:rsid w:val="00794D1B"/>
    <w:rsid w:val="007951D4"/>
    <w:rsid w:val="0079573B"/>
    <w:rsid w:val="00795C50"/>
    <w:rsid w:val="00796A55"/>
    <w:rsid w:val="00797C46"/>
    <w:rsid w:val="00797F57"/>
    <w:rsid w:val="00797FC8"/>
    <w:rsid w:val="007A1069"/>
    <w:rsid w:val="007A1099"/>
    <w:rsid w:val="007A167F"/>
    <w:rsid w:val="007A1796"/>
    <w:rsid w:val="007A1903"/>
    <w:rsid w:val="007A19F6"/>
    <w:rsid w:val="007A1B9F"/>
    <w:rsid w:val="007A2200"/>
    <w:rsid w:val="007A27A4"/>
    <w:rsid w:val="007A2ACA"/>
    <w:rsid w:val="007A2B65"/>
    <w:rsid w:val="007A3F94"/>
    <w:rsid w:val="007A5617"/>
    <w:rsid w:val="007A5803"/>
    <w:rsid w:val="007A5EB6"/>
    <w:rsid w:val="007A5F9C"/>
    <w:rsid w:val="007A6668"/>
    <w:rsid w:val="007A68B2"/>
    <w:rsid w:val="007A695E"/>
    <w:rsid w:val="007A698B"/>
    <w:rsid w:val="007A6A9C"/>
    <w:rsid w:val="007A7979"/>
    <w:rsid w:val="007A7A1D"/>
    <w:rsid w:val="007B0245"/>
    <w:rsid w:val="007B052F"/>
    <w:rsid w:val="007B05AC"/>
    <w:rsid w:val="007B083F"/>
    <w:rsid w:val="007B0880"/>
    <w:rsid w:val="007B0D01"/>
    <w:rsid w:val="007B1532"/>
    <w:rsid w:val="007B1591"/>
    <w:rsid w:val="007B1CD4"/>
    <w:rsid w:val="007B2085"/>
    <w:rsid w:val="007B2426"/>
    <w:rsid w:val="007B2D94"/>
    <w:rsid w:val="007B2FDC"/>
    <w:rsid w:val="007B302A"/>
    <w:rsid w:val="007B3584"/>
    <w:rsid w:val="007B38A0"/>
    <w:rsid w:val="007B38B7"/>
    <w:rsid w:val="007B3B8B"/>
    <w:rsid w:val="007B3DED"/>
    <w:rsid w:val="007B4220"/>
    <w:rsid w:val="007B44E2"/>
    <w:rsid w:val="007B4765"/>
    <w:rsid w:val="007B497E"/>
    <w:rsid w:val="007B4AFC"/>
    <w:rsid w:val="007B4EFA"/>
    <w:rsid w:val="007B4F7B"/>
    <w:rsid w:val="007B516D"/>
    <w:rsid w:val="007B52A4"/>
    <w:rsid w:val="007B583D"/>
    <w:rsid w:val="007B5A37"/>
    <w:rsid w:val="007B6684"/>
    <w:rsid w:val="007B69DD"/>
    <w:rsid w:val="007B6B21"/>
    <w:rsid w:val="007B7024"/>
    <w:rsid w:val="007B70AB"/>
    <w:rsid w:val="007B769F"/>
    <w:rsid w:val="007B78BF"/>
    <w:rsid w:val="007B7E44"/>
    <w:rsid w:val="007B7F29"/>
    <w:rsid w:val="007B7FEB"/>
    <w:rsid w:val="007C0112"/>
    <w:rsid w:val="007C0390"/>
    <w:rsid w:val="007C1292"/>
    <w:rsid w:val="007C14A2"/>
    <w:rsid w:val="007C1E26"/>
    <w:rsid w:val="007C2198"/>
    <w:rsid w:val="007C2569"/>
    <w:rsid w:val="007C2F2A"/>
    <w:rsid w:val="007C300E"/>
    <w:rsid w:val="007C328D"/>
    <w:rsid w:val="007C336F"/>
    <w:rsid w:val="007C4108"/>
    <w:rsid w:val="007C41B1"/>
    <w:rsid w:val="007C4250"/>
    <w:rsid w:val="007C4BDC"/>
    <w:rsid w:val="007C4F61"/>
    <w:rsid w:val="007C54E3"/>
    <w:rsid w:val="007C6FF1"/>
    <w:rsid w:val="007C70BB"/>
    <w:rsid w:val="007D01C0"/>
    <w:rsid w:val="007D01FD"/>
    <w:rsid w:val="007D1069"/>
    <w:rsid w:val="007D16C6"/>
    <w:rsid w:val="007D2B2F"/>
    <w:rsid w:val="007D2E0C"/>
    <w:rsid w:val="007D30B7"/>
    <w:rsid w:val="007D3400"/>
    <w:rsid w:val="007D3739"/>
    <w:rsid w:val="007D3C74"/>
    <w:rsid w:val="007D402B"/>
    <w:rsid w:val="007D42BB"/>
    <w:rsid w:val="007D4D55"/>
    <w:rsid w:val="007D58F4"/>
    <w:rsid w:val="007D5C89"/>
    <w:rsid w:val="007D630C"/>
    <w:rsid w:val="007D669B"/>
    <w:rsid w:val="007D6EE0"/>
    <w:rsid w:val="007D6F3C"/>
    <w:rsid w:val="007D740A"/>
    <w:rsid w:val="007D7A5F"/>
    <w:rsid w:val="007D7B15"/>
    <w:rsid w:val="007D7E0C"/>
    <w:rsid w:val="007D7FBF"/>
    <w:rsid w:val="007E11A5"/>
    <w:rsid w:val="007E13FF"/>
    <w:rsid w:val="007E15AD"/>
    <w:rsid w:val="007E182B"/>
    <w:rsid w:val="007E1B0F"/>
    <w:rsid w:val="007E23FA"/>
    <w:rsid w:val="007E25ED"/>
    <w:rsid w:val="007E2BC0"/>
    <w:rsid w:val="007E34E2"/>
    <w:rsid w:val="007E3D56"/>
    <w:rsid w:val="007E4DE7"/>
    <w:rsid w:val="007E5091"/>
    <w:rsid w:val="007E5108"/>
    <w:rsid w:val="007E5263"/>
    <w:rsid w:val="007E540F"/>
    <w:rsid w:val="007E565B"/>
    <w:rsid w:val="007E5662"/>
    <w:rsid w:val="007E64C1"/>
    <w:rsid w:val="007E68A8"/>
    <w:rsid w:val="007E68C8"/>
    <w:rsid w:val="007E6AF4"/>
    <w:rsid w:val="007E73F9"/>
    <w:rsid w:val="007E7BBA"/>
    <w:rsid w:val="007E7EDE"/>
    <w:rsid w:val="007F002C"/>
    <w:rsid w:val="007F0065"/>
    <w:rsid w:val="007F0322"/>
    <w:rsid w:val="007F0402"/>
    <w:rsid w:val="007F0ABC"/>
    <w:rsid w:val="007F0C10"/>
    <w:rsid w:val="007F1914"/>
    <w:rsid w:val="007F1DF7"/>
    <w:rsid w:val="007F251D"/>
    <w:rsid w:val="007F27D4"/>
    <w:rsid w:val="007F2FF3"/>
    <w:rsid w:val="007F32DC"/>
    <w:rsid w:val="007F4771"/>
    <w:rsid w:val="007F503A"/>
    <w:rsid w:val="007F5302"/>
    <w:rsid w:val="007F54B7"/>
    <w:rsid w:val="007F652C"/>
    <w:rsid w:val="007F6734"/>
    <w:rsid w:val="007F67E9"/>
    <w:rsid w:val="007F68BB"/>
    <w:rsid w:val="007F7521"/>
    <w:rsid w:val="007F7C7B"/>
    <w:rsid w:val="00800212"/>
    <w:rsid w:val="008003A2"/>
    <w:rsid w:val="008006D2"/>
    <w:rsid w:val="00800C83"/>
    <w:rsid w:val="00800E50"/>
    <w:rsid w:val="0080128F"/>
    <w:rsid w:val="00801BB8"/>
    <w:rsid w:val="00802C1C"/>
    <w:rsid w:val="00802E38"/>
    <w:rsid w:val="00803550"/>
    <w:rsid w:val="00804028"/>
    <w:rsid w:val="008040A2"/>
    <w:rsid w:val="00804158"/>
    <w:rsid w:val="008041A9"/>
    <w:rsid w:val="0080436E"/>
    <w:rsid w:val="008045BC"/>
    <w:rsid w:val="00804632"/>
    <w:rsid w:val="00805173"/>
    <w:rsid w:val="008054D9"/>
    <w:rsid w:val="00806458"/>
    <w:rsid w:val="00806688"/>
    <w:rsid w:val="00806B06"/>
    <w:rsid w:val="00806BC7"/>
    <w:rsid w:val="00807737"/>
    <w:rsid w:val="00807A3E"/>
    <w:rsid w:val="00807A62"/>
    <w:rsid w:val="00810166"/>
    <w:rsid w:val="00810338"/>
    <w:rsid w:val="00811E0A"/>
    <w:rsid w:val="00811E3E"/>
    <w:rsid w:val="00812282"/>
    <w:rsid w:val="00812D05"/>
    <w:rsid w:val="0081383F"/>
    <w:rsid w:val="008138EA"/>
    <w:rsid w:val="00813D7F"/>
    <w:rsid w:val="00813F58"/>
    <w:rsid w:val="0081419B"/>
    <w:rsid w:val="00814203"/>
    <w:rsid w:val="0081425C"/>
    <w:rsid w:val="008148E4"/>
    <w:rsid w:val="00814C1A"/>
    <w:rsid w:val="0081525D"/>
    <w:rsid w:val="00815313"/>
    <w:rsid w:val="008153E5"/>
    <w:rsid w:val="008157F1"/>
    <w:rsid w:val="00815C41"/>
    <w:rsid w:val="00815CA4"/>
    <w:rsid w:val="0081645E"/>
    <w:rsid w:val="00816480"/>
    <w:rsid w:val="00816BFC"/>
    <w:rsid w:val="00816EC2"/>
    <w:rsid w:val="00820D47"/>
    <w:rsid w:val="008210B0"/>
    <w:rsid w:val="008218ED"/>
    <w:rsid w:val="00822980"/>
    <w:rsid w:val="00822BF0"/>
    <w:rsid w:val="008236E1"/>
    <w:rsid w:val="0082374A"/>
    <w:rsid w:val="00824458"/>
    <w:rsid w:val="00824893"/>
    <w:rsid w:val="008248FC"/>
    <w:rsid w:val="008249F7"/>
    <w:rsid w:val="00824B0D"/>
    <w:rsid w:val="00824B74"/>
    <w:rsid w:val="00824F1D"/>
    <w:rsid w:val="008264D3"/>
    <w:rsid w:val="00826672"/>
    <w:rsid w:val="008267CE"/>
    <w:rsid w:val="00827027"/>
    <w:rsid w:val="00827355"/>
    <w:rsid w:val="008275BE"/>
    <w:rsid w:val="008275DB"/>
    <w:rsid w:val="0082780C"/>
    <w:rsid w:val="00830901"/>
    <w:rsid w:val="00830CE3"/>
    <w:rsid w:val="008316E7"/>
    <w:rsid w:val="00831763"/>
    <w:rsid w:val="00831BAD"/>
    <w:rsid w:val="00832500"/>
    <w:rsid w:val="0083263C"/>
    <w:rsid w:val="00832944"/>
    <w:rsid w:val="00833812"/>
    <w:rsid w:val="00834759"/>
    <w:rsid w:val="00834B74"/>
    <w:rsid w:val="008350AF"/>
    <w:rsid w:val="008354C4"/>
    <w:rsid w:val="00835730"/>
    <w:rsid w:val="00835EC9"/>
    <w:rsid w:val="00836280"/>
    <w:rsid w:val="008362EF"/>
    <w:rsid w:val="008363A5"/>
    <w:rsid w:val="008364AD"/>
    <w:rsid w:val="008368D9"/>
    <w:rsid w:val="00840123"/>
    <w:rsid w:val="00840DE2"/>
    <w:rsid w:val="00841388"/>
    <w:rsid w:val="00841990"/>
    <w:rsid w:val="00841BDA"/>
    <w:rsid w:val="00841EFB"/>
    <w:rsid w:val="00841F44"/>
    <w:rsid w:val="00842764"/>
    <w:rsid w:val="00842912"/>
    <w:rsid w:val="00842C68"/>
    <w:rsid w:val="00842C82"/>
    <w:rsid w:val="00842FF0"/>
    <w:rsid w:val="008430C2"/>
    <w:rsid w:val="008436D7"/>
    <w:rsid w:val="008440FE"/>
    <w:rsid w:val="008442AA"/>
    <w:rsid w:val="00844A77"/>
    <w:rsid w:val="00844CF5"/>
    <w:rsid w:val="00844E86"/>
    <w:rsid w:val="00844ECA"/>
    <w:rsid w:val="008450B4"/>
    <w:rsid w:val="00845A0E"/>
    <w:rsid w:val="00845B35"/>
    <w:rsid w:val="00845C05"/>
    <w:rsid w:val="00846119"/>
    <w:rsid w:val="008464A4"/>
    <w:rsid w:val="00846B8E"/>
    <w:rsid w:val="00847423"/>
    <w:rsid w:val="008474E3"/>
    <w:rsid w:val="00847F04"/>
    <w:rsid w:val="008504A4"/>
    <w:rsid w:val="00850E5D"/>
    <w:rsid w:val="008517E4"/>
    <w:rsid w:val="008519BE"/>
    <w:rsid w:val="008522F1"/>
    <w:rsid w:val="008525CF"/>
    <w:rsid w:val="008527ED"/>
    <w:rsid w:val="0085296D"/>
    <w:rsid w:val="008531C0"/>
    <w:rsid w:val="008534F3"/>
    <w:rsid w:val="008537F7"/>
    <w:rsid w:val="008539CB"/>
    <w:rsid w:val="00853D69"/>
    <w:rsid w:val="008546BE"/>
    <w:rsid w:val="00854950"/>
    <w:rsid w:val="00855762"/>
    <w:rsid w:val="00856074"/>
    <w:rsid w:val="0085663D"/>
    <w:rsid w:val="00856A3A"/>
    <w:rsid w:val="008570D1"/>
    <w:rsid w:val="008572EC"/>
    <w:rsid w:val="008576A8"/>
    <w:rsid w:val="008577D7"/>
    <w:rsid w:val="00857949"/>
    <w:rsid w:val="00857F24"/>
    <w:rsid w:val="008600FF"/>
    <w:rsid w:val="008605CA"/>
    <w:rsid w:val="00860788"/>
    <w:rsid w:val="00860D1F"/>
    <w:rsid w:val="0086178D"/>
    <w:rsid w:val="008618E0"/>
    <w:rsid w:val="00861F0D"/>
    <w:rsid w:val="00862467"/>
    <w:rsid w:val="00863F18"/>
    <w:rsid w:val="008641EA"/>
    <w:rsid w:val="00864204"/>
    <w:rsid w:val="008645F4"/>
    <w:rsid w:val="008653AA"/>
    <w:rsid w:val="008654F8"/>
    <w:rsid w:val="0086568E"/>
    <w:rsid w:val="00865A56"/>
    <w:rsid w:val="008672A6"/>
    <w:rsid w:val="00867A74"/>
    <w:rsid w:val="008706D7"/>
    <w:rsid w:val="00870FA5"/>
    <w:rsid w:val="00871798"/>
    <w:rsid w:val="008719A4"/>
    <w:rsid w:val="00871A98"/>
    <w:rsid w:val="00871E24"/>
    <w:rsid w:val="008721A4"/>
    <w:rsid w:val="00872436"/>
    <w:rsid w:val="0087277A"/>
    <w:rsid w:val="00872A47"/>
    <w:rsid w:val="00872B9A"/>
    <w:rsid w:val="0087311E"/>
    <w:rsid w:val="00873391"/>
    <w:rsid w:val="008733D7"/>
    <w:rsid w:val="0087362A"/>
    <w:rsid w:val="008736E2"/>
    <w:rsid w:val="00873A1A"/>
    <w:rsid w:val="00873F2C"/>
    <w:rsid w:val="00874565"/>
    <w:rsid w:val="008749E4"/>
    <w:rsid w:val="00874C94"/>
    <w:rsid w:val="00874F9E"/>
    <w:rsid w:val="008756C8"/>
    <w:rsid w:val="008763B8"/>
    <w:rsid w:val="00876410"/>
    <w:rsid w:val="00876A19"/>
    <w:rsid w:val="00876E6E"/>
    <w:rsid w:val="00876FAE"/>
    <w:rsid w:val="0087713D"/>
    <w:rsid w:val="00877247"/>
    <w:rsid w:val="00877CE3"/>
    <w:rsid w:val="008801AE"/>
    <w:rsid w:val="008807E5"/>
    <w:rsid w:val="008809AF"/>
    <w:rsid w:val="00880AA3"/>
    <w:rsid w:val="00881A33"/>
    <w:rsid w:val="00882BA1"/>
    <w:rsid w:val="00882E79"/>
    <w:rsid w:val="00882F07"/>
    <w:rsid w:val="00882F48"/>
    <w:rsid w:val="0088351C"/>
    <w:rsid w:val="00883882"/>
    <w:rsid w:val="008841B1"/>
    <w:rsid w:val="0088421C"/>
    <w:rsid w:val="0088445B"/>
    <w:rsid w:val="00884BFE"/>
    <w:rsid w:val="00886803"/>
    <w:rsid w:val="00886CED"/>
    <w:rsid w:val="008901ED"/>
    <w:rsid w:val="0089084F"/>
    <w:rsid w:val="00890904"/>
    <w:rsid w:val="00891406"/>
    <w:rsid w:val="008916B4"/>
    <w:rsid w:val="008918D5"/>
    <w:rsid w:val="00891AF6"/>
    <w:rsid w:val="00891BC3"/>
    <w:rsid w:val="00892350"/>
    <w:rsid w:val="0089247D"/>
    <w:rsid w:val="008926D7"/>
    <w:rsid w:val="00892BE5"/>
    <w:rsid w:val="00892F7B"/>
    <w:rsid w:val="008930AF"/>
    <w:rsid w:val="008930F7"/>
    <w:rsid w:val="0089368B"/>
    <w:rsid w:val="008937C8"/>
    <w:rsid w:val="00894B84"/>
    <w:rsid w:val="008953AF"/>
    <w:rsid w:val="00895AAC"/>
    <w:rsid w:val="0089669D"/>
    <w:rsid w:val="008967C4"/>
    <w:rsid w:val="008968FF"/>
    <w:rsid w:val="00896958"/>
    <w:rsid w:val="00896CF2"/>
    <w:rsid w:val="008974F8"/>
    <w:rsid w:val="008978D2"/>
    <w:rsid w:val="00897C20"/>
    <w:rsid w:val="008A0BB0"/>
    <w:rsid w:val="008A0D2A"/>
    <w:rsid w:val="008A1693"/>
    <w:rsid w:val="008A1702"/>
    <w:rsid w:val="008A1B4A"/>
    <w:rsid w:val="008A20D1"/>
    <w:rsid w:val="008A2415"/>
    <w:rsid w:val="008A254F"/>
    <w:rsid w:val="008A2630"/>
    <w:rsid w:val="008A3674"/>
    <w:rsid w:val="008A39A7"/>
    <w:rsid w:val="008A3D60"/>
    <w:rsid w:val="008A48AC"/>
    <w:rsid w:val="008A4E87"/>
    <w:rsid w:val="008A4EC6"/>
    <w:rsid w:val="008A5552"/>
    <w:rsid w:val="008A5833"/>
    <w:rsid w:val="008A5B89"/>
    <w:rsid w:val="008A5EE2"/>
    <w:rsid w:val="008A6502"/>
    <w:rsid w:val="008A7D19"/>
    <w:rsid w:val="008B0735"/>
    <w:rsid w:val="008B0899"/>
    <w:rsid w:val="008B09CD"/>
    <w:rsid w:val="008B1114"/>
    <w:rsid w:val="008B177F"/>
    <w:rsid w:val="008B186A"/>
    <w:rsid w:val="008B1C6A"/>
    <w:rsid w:val="008B228A"/>
    <w:rsid w:val="008B233C"/>
    <w:rsid w:val="008B2DF2"/>
    <w:rsid w:val="008B3256"/>
    <w:rsid w:val="008B3A88"/>
    <w:rsid w:val="008B426C"/>
    <w:rsid w:val="008B4BC3"/>
    <w:rsid w:val="008B4BFC"/>
    <w:rsid w:val="008B4D9E"/>
    <w:rsid w:val="008B4F90"/>
    <w:rsid w:val="008B51B4"/>
    <w:rsid w:val="008B581E"/>
    <w:rsid w:val="008B599D"/>
    <w:rsid w:val="008B5B67"/>
    <w:rsid w:val="008B5D7A"/>
    <w:rsid w:val="008B66E3"/>
    <w:rsid w:val="008B6C17"/>
    <w:rsid w:val="008B70C5"/>
    <w:rsid w:val="008B7405"/>
    <w:rsid w:val="008B7848"/>
    <w:rsid w:val="008B7E81"/>
    <w:rsid w:val="008C1060"/>
    <w:rsid w:val="008C1E05"/>
    <w:rsid w:val="008C23F2"/>
    <w:rsid w:val="008C260D"/>
    <w:rsid w:val="008C262E"/>
    <w:rsid w:val="008C2714"/>
    <w:rsid w:val="008C28D9"/>
    <w:rsid w:val="008C34AE"/>
    <w:rsid w:val="008C34BB"/>
    <w:rsid w:val="008C4010"/>
    <w:rsid w:val="008C4458"/>
    <w:rsid w:val="008C44C4"/>
    <w:rsid w:val="008C45E2"/>
    <w:rsid w:val="008C4788"/>
    <w:rsid w:val="008C4CE2"/>
    <w:rsid w:val="008C5092"/>
    <w:rsid w:val="008C5316"/>
    <w:rsid w:val="008C59B6"/>
    <w:rsid w:val="008C5B3A"/>
    <w:rsid w:val="008C63F6"/>
    <w:rsid w:val="008C683F"/>
    <w:rsid w:val="008C6898"/>
    <w:rsid w:val="008C68DA"/>
    <w:rsid w:val="008C69F1"/>
    <w:rsid w:val="008C762D"/>
    <w:rsid w:val="008C7DB0"/>
    <w:rsid w:val="008D00B0"/>
    <w:rsid w:val="008D136A"/>
    <w:rsid w:val="008D1AD6"/>
    <w:rsid w:val="008D1B44"/>
    <w:rsid w:val="008D23F9"/>
    <w:rsid w:val="008D2A15"/>
    <w:rsid w:val="008D2FB6"/>
    <w:rsid w:val="008D3726"/>
    <w:rsid w:val="008D3F1D"/>
    <w:rsid w:val="008D4568"/>
    <w:rsid w:val="008D4B3F"/>
    <w:rsid w:val="008D4CB0"/>
    <w:rsid w:val="008D5461"/>
    <w:rsid w:val="008D5576"/>
    <w:rsid w:val="008D5A52"/>
    <w:rsid w:val="008D61EF"/>
    <w:rsid w:val="008D6397"/>
    <w:rsid w:val="008D6BCB"/>
    <w:rsid w:val="008D6F13"/>
    <w:rsid w:val="008D7341"/>
    <w:rsid w:val="008D73C9"/>
    <w:rsid w:val="008D74DD"/>
    <w:rsid w:val="008D753E"/>
    <w:rsid w:val="008E022F"/>
    <w:rsid w:val="008E03D7"/>
    <w:rsid w:val="008E0BEE"/>
    <w:rsid w:val="008E0EDA"/>
    <w:rsid w:val="008E14D5"/>
    <w:rsid w:val="008E16BF"/>
    <w:rsid w:val="008E20D8"/>
    <w:rsid w:val="008E3049"/>
    <w:rsid w:val="008E35A3"/>
    <w:rsid w:val="008E4721"/>
    <w:rsid w:val="008E4865"/>
    <w:rsid w:val="008E4DB7"/>
    <w:rsid w:val="008E4E5A"/>
    <w:rsid w:val="008E4EB1"/>
    <w:rsid w:val="008E5019"/>
    <w:rsid w:val="008E51D7"/>
    <w:rsid w:val="008E5C03"/>
    <w:rsid w:val="008E6F34"/>
    <w:rsid w:val="008E7274"/>
    <w:rsid w:val="008E7C99"/>
    <w:rsid w:val="008F001D"/>
    <w:rsid w:val="008F0562"/>
    <w:rsid w:val="008F09FA"/>
    <w:rsid w:val="008F0BEF"/>
    <w:rsid w:val="008F0C3A"/>
    <w:rsid w:val="008F0DAE"/>
    <w:rsid w:val="008F1639"/>
    <w:rsid w:val="008F1E88"/>
    <w:rsid w:val="008F2425"/>
    <w:rsid w:val="008F260B"/>
    <w:rsid w:val="008F27F1"/>
    <w:rsid w:val="008F2F21"/>
    <w:rsid w:val="008F327C"/>
    <w:rsid w:val="008F3C5F"/>
    <w:rsid w:val="008F4489"/>
    <w:rsid w:val="008F450F"/>
    <w:rsid w:val="008F46E6"/>
    <w:rsid w:val="008F4975"/>
    <w:rsid w:val="008F53E5"/>
    <w:rsid w:val="008F587A"/>
    <w:rsid w:val="008F608C"/>
    <w:rsid w:val="008F611D"/>
    <w:rsid w:val="008F6ADB"/>
    <w:rsid w:val="008F766A"/>
    <w:rsid w:val="008F784D"/>
    <w:rsid w:val="00900253"/>
    <w:rsid w:val="009005FD"/>
    <w:rsid w:val="009008E2"/>
    <w:rsid w:val="00900D5B"/>
    <w:rsid w:val="009011F2"/>
    <w:rsid w:val="00901DC0"/>
    <w:rsid w:val="00901F14"/>
    <w:rsid w:val="009021CC"/>
    <w:rsid w:val="0090221A"/>
    <w:rsid w:val="009024A8"/>
    <w:rsid w:val="00902AA9"/>
    <w:rsid w:val="00903493"/>
    <w:rsid w:val="00903BD2"/>
    <w:rsid w:val="009040A5"/>
    <w:rsid w:val="009042F7"/>
    <w:rsid w:val="00904643"/>
    <w:rsid w:val="00904940"/>
    <w:rsid w:val="00904C52"/>
    <w:rsid w:val="009051F7"/>
    <w:rsid w:val="009056F6"/>
    <w:rsid w:val="009059C9"/>
    <w:rsid w:val="00906414"/>
    <w:rsid w:val="00906482"/>
    <w:rsid w:val="00906CAD"/>
    <w:rsid w:val="00906E65"/>
    <w:rsid w:val="00906FBD"/>
    <w:rsid w:val="009070E1"/>
    <w:rsid w:val="009073BF"/>
    <w:rsid w:val="00907F10"/>
    <w:rsid w:val="009101EB"/>
    <w:rsid w:val="00910CFD"/>
    <w:rsid w:val="009111E5"/>
    <w:rsid w:val="00911548"/>
    <w:rsid w:val="00912378"/>
    <w:rsid w:val="009126CA"/>
    <w:rsid w:val="009127CA"/>
    <w:rsid w:val="0091298B"/>
    <w:rsid w:val="00912C8B"/>
    <w:rsid w:val="00912D4F"/>
    <w:rsid w:val="00912FB7"/>
    <w:rsid w:val="00913AE9"/>
    <w:rsid w:val="00913B7E"/>
    <w:rsid w:val="00913BEE"/>
    <w:rsid w:val="009144D5"/>
    <w:rsid w:val="00914F02"/>
    <w:rsid w:val="00914FE8"/>
    <w:rsid w:val="009151B2"/>
    <w:rsid w:val="00915B96"/>
    <w:rsid w:val="00915D3D"/>
    <w:rsid w:val="00915F98"/>
    <w:rsid w:val="00915FA3"/>
    <w:rsid w:val="009168A8"/>
    <w:rsid w:val="00916B26"/>
    <w:rsid w:val="00920098"/>
    <w:rsid w:val="009209C2"/>
    <w:rsid w:val="00920BAA"/>
    <w:rsid w:val="0092177E"/>
    <w:rsid w:val="009217F8"/>
    <w:rsid w:val="009224DA"/>
    <w:rsid w:val="0092258E"/>
    <w:rsid w:val="00924129"/>
    <w:rsid w:val="0092470E"/>
    <w:rsid w:val="0092479A"/>
    <w:rsid w:val="00925187"/>
    <w:rsid w:val="00925722"/>
    <w:rsid w:val="0092581E"/>
    <w:rsid w:val="009258A9"/>
    <w:rsid w:val="009260CE"/>
    <w:rsid w:val="00926B70"/>
    <w:rsid w:val="00926CB8"/>
    <w:rsid w:val="0092709C"/>
    <w:rsid w:val="0092717F"/>
    <w:rsid w:val="00927285"/>
    <w:rsid w:val="0092742B"/>
    <w:rsid w:val="00927744"/>
    <w:rsid w:val="00927B05"/>
    <w:rsid w:val="00927B70"/>
    <w:rsid w:val="009304EC"/>
    <w:rsid w:val="00930D5D"/>
    <w:rsid w:val="00930E13"/>
    <w:rsid w:val="00930F12"/>
    <w:rsid w:val="00930F4E"/>
    <w:rsid w:val="009310F5"/>
    <w:rsid w:val="00931219"/>
    <w:rsid w:val="009317E5"/>
    <w:rsid w:val="00931BCA"/>
    <w:rsid w:val="00931DA3"/>
    <w:rsid w:val="00931E3E"/>
    <w:rsid w:val="00932395"/>
    <w:rsid w:val="009323E7"/>
    <w:rsid w:val="00932802"/>
    <w:rsid w:val="00932BBA"/>
    <w:rsid w:val="009334C9"/>
    <w:rsid w:val="009335A0"/>
    <w:rsid w:val="0093360D"/>
    <w:rsid w:val="00934203"/>
    <w:rsid w:val="009344C7"/>
    <w:rsid w:val="00934569"/>
    <w:rsid w:val="00935864"/>
    <w:rsid w:val="00936062"/>
    <w:rsid w:val="009360CC"/>
    <w:rsid w:val="0093650F"/>
    <w:rsid w:val="0093662C"/>
    <w:rsid w:val="009369A2"/>
    <w:rsid w:val="00936A70"/>
    <w:rsid w:val="00936AFA"/>
    <w:rsid w:val="00936CC6"/>
    <w:rsid w:val="00936D93"/>
    <w:rsid w:val="00937005"/>
    <w:rsid w:val="0093705E"/>
    <w:rsid w:val="00937637"/>
    <w:rsid w:val="0093795C"/>
    <w:rsid w:val="00937CBE"/>
    <w:rsid w:val="00937E1F"/>
    <w:rsid w:val="009405E3"/>
    <w:rsid w:val="009407B5"/>
    <w:rsid w:val="00940DD9"/>
    <w:rsid w:val="00940FE4"/>
    <w:rsid w:val="009411E7"/>
    <w:rsid w:val="0094121E"/>
    <w:rsid w:val="0094173C"/>
    <w:rsid w:val="00941A87"/>
    <w:rsid w:val="00941F1D"/>
    <w:rsid w:val="00942553"/>
    <w:rsid w:val="00942B45"/>
    <w:rsid w:val="00942DC5"/>
    <w:rsid w:val="0094304B"/>
    <w:rsid w:val="00943922"/>
    <w:rsid w:val="00943D9E"/>
    <w:rsid w:val="00944087"/>
    <w:rsid w:val="00944270"/>
    <w:rsid w:val="009448C2"/>
    <w:rsid w:val="00944A17"/>
    <w:rsid w:val="00944E74"/>
    <w:rsid w:val="009458D5"/>
    <w:rsid w:val="00945902"/>
    <w:rsid w:val="00945F2E"/>
    <w:rsid w:val="009461FD"/>
    <w:rsid w:val="009473A2"/>
    <w:rsid w:val="009475F0"/>
    <w:rsid w:val="00947725"/>
    <w:rsid w:val="0095012E"/>
    <w:rsid w:val="0095048A"/>
    <w:rsid w:val="009506C1"/>
    <w:rsid w:val="00950738"/>
    <w:rsid w:val="00950B46"/>
    <w:rsid w:val="00950F19"/>
    <w:rsid w:val="009515C8"/>
    <w:rsid w:val="0095161C"/>
    <w:rsid w:val="00951896"/>
    <w:rsid w:val="009518D0"/>
    <w:rsid w:val="00951934"/>
    <w:rsid w:val="009519CB"/>
    <w:rsid w:val="00951E35"/>
    <w:rsid w:val="0095207B"/>
    <w:rsid w:val="00952475"/>
    <w:rsid w:val="009525B4"/>
    <w:rsid w:val="009528B5"/>
    <w:rsid w:val="00952C18"/>
    <w:rsid w:val="00952ED0"/>
    <w:rsid w:val="00953187"/>
    <w:rsid w:val="0095336F"/>
    <w:rsid w:val="00953877"/>
    <w:rsid w:val="00953A7E"/>
    <w:rsid w:val="00954307"/>
    <w:rsid w:val="00954636"/>
    <w:rsid w:val="00954B35"/>
    <w:rsid w:val="00954C8C"/>
    <w:rsid w:val="009555F6"/>
    <w:rsid w:val="0095590B"/>
    <w:rsid w:val="00955BD9"/>
    <w:rsid w:val="00955C5C"/>
    <w:rsid w:val="00955E51"/>
    <w:rsid w:val="009561DD"/>
    <w:rsid w:val="00956ACE"/>
    <w:rsid w:val="00956D0C"/>
    <w:rsid w:val="009572A0"/>
    <w:rsid w:val="00957827"/>
    <w:rsid w:val="00957D24"/>
    <w:rsid w:val="00957DD6"/>
    <w:rsid w:val="0096007C"/>
    <w:rsid w:val="009603D3"/>
    <w:rsid w:val="009604D6"/>
    <w:rsid w:val="009607DB"/>
    <w:rsid w:val="00960A6C"/>
    <w:rsid w:val="00960DCF"/>
    <w:rsid w:val="009613F3"/>
    <w:rsid w:val="009615CB"/>
    <w:rsid w:val="009617AC"/>
    <w:rsid w:val="00961B53"/>
    <w:rsid w:val="00962244"/>
    <w:rsid w:val="00962476"/>
    <w:rsid w:val="00963090"/>
    <w:rsid w:val="00963264"/>
    <w:rsid w:val="009632FA"/>
    <w:rsid w:val="0096389D"/>
    <w:rsid w:val="0096395A"/>
    <w:rsid w:val="009644F7"/>
    <w:rsid w:val="009646B3"/>
    <w:rsid w:val="00965592"/>
    <w:rsid w:val="009658EF"/>
    <w:rsid w:val="00965A89"/>
    <w:rsid w:val="00965AFD"/>
    <w:rsid w:val="00965E4D"/>
    <w:rsid w:val="009662A1"/>
    <w:rsid w:val="009663E8"/>
    <w:rsid w:val="0096687A"/>
    <w:rsid w:val="009668A6"/>
    <w:rsid w:val="00967549"/>
    <w:rsid w:val="009676C0"/>
    <w:rsid w:val="00970460"/>
    <w:rsid w:val="00970E61"/>
    <w:rsid w:val="00970FAB"/>
    <w:rsid w:val="009712CF"/>
    <w:rsid w:val="00971B39"/>
    <w:rsid w:val="00971CF6"/>
    <w:rsid w:val="00972AD8"/>
    <w:rsid w:val="0097302A"/>
    <w:rsid w:val="00973095"/>
    <w:rsid w:val="0097328C"/>
    <w:rsid w:val="009732A2"/>
    <w:rsid w:val="00973308"/>
    <w:rsid w:val="00973AD4"/>
    <w:rsid w:val="00974DF5"/>
    <w:rsid w:val="00974F68"/>
    <w:rsid w:val="00975428"/>
    <w:rsid w:val="009756D6"/>
    <w:rsid w:val="00975705"/>
    <w:rsid w:val="0097660A"/>
    <w:rsid w:val="009770B8"/>
    <w:rsid w:val="00977264"/>
    <w:rsid w:val="00977293"/>
    <w:rsid w:val="009772B5"/>
    <w:rsid w:val="00977349"/>
    <w:rsid w:val="00977937"/>
    <w:rsid w:val="009803A9"/>
    <w:rsid w:val="009803CB"/>
    <w:rsid w:val="009803D4"/>
    <w:rsid w:val="009807A2"/>
    <w:rsid w:val="009807C5"/>
    <w:rsid w:val="0098199C"/>
    <w:rsid w:val="0098199E"/>
    <w:rsid w:val="00981A46"/>
    <w:rsid w:val="00981E3B"/>
    <w:rsid w:val="009820E1"/>
    <w:rsid w:val="00982307"/>
    <w:rsid w:val="009824ED"/>
    <w:rsid w:val="0098268D"/>
    <w:rsid w:val="00982F22"/>
    <w:rsid w:val="009833CF"/>
    <w:rsid w:val="00983696"/>
    <w:rsid w:val="00983A78"/>
    <w:rsid w:val="00983AA7"/>
    <w:rsid w:val="00983F19"/>
    <w:rsid w:val="00984A11"/>
    <w:rsid w:val="00984E81"/>
    <w:rsid w:val="0098577F"/>
    <w:rsid w:val="00985D62"/>
    <w:rsid w:val="00986831"/>
    <w:rsid w:val="00986875"/>
    <w:rsid w:val="00986B88"/>
    <w:rsid w:val="00986F98"/>
    <w:rsid w:val="009872D4"/>
    <w:rsid w:val="009873F3"/>
    <w:rsid w:val="00987DED"/>
    <w:rsid w:val="009902C3"/>
    <w:rsid w:val="00990AC7"/>
    <w:rsid w:val="009914BE"/>
    <w:rsid w:val="00991750"/>
    <w:rsid w:val="00992328"/>
    <w:rsid w:val="00992500"/>
    <w:rsid w:val="0099264A"/>
    <w:rsid w:val="00992A82"/>
    <w:rsid w:val="00992FC1"/>
    <w:rsid w:val="00993030"/>
    <w:rsid w:val="00993416"/>
    <w:rsid w:val="00993499"/>
    <w:rsid w:val="0099361A"/>
    <w:rsid w:val="00993687"/>
    <w:rsid w:val="0099370E"/>
    <w:rsid w:val="00993BFC"/>
    <w:rsid w:val="00993CC5"/>
    <w:rsid w:val="00994072"/>
    <w:rsid w:val="0099435D"/>
    <w:rsid w:val="00994693"/>
    <w:rsid w:val="00994EB6"/>
    <w:rsid w:val="00995077"/>
    <w:rsid w:val="009950F6"/>
    <w:rsid w:val="009953D1"/>
    <w:rsid w:val="009956E5"/>
    <w:rsid w:val="00995E98"/>
    <w:rsid w:val="0099611D"/>
    <w:rsid w:val="0099621E"/>
    <w:rsid w:val="009964D2"/>
    <w:rsid w:val="0099654F"/>
    <w:rsid w:val="009966A9"/>
    <w:rsid w:val="00996B9A"/>
    <w:rsid w:val="00996D36"/>
    <w:rsid w:val="00996F15"/>
    <w:rsid w:val="00997004"/>
    <w:rsid w:val="00997338"/>
    <w:rsid w:val="00997BA8"/>
    <w:rsid w:val="009A06F4"/>
    <w:rsid w:val="009A0AD4"/>
    <w:rsid w:val="009A1013"/>
    <w:rsid w:val="009A1377"/>
    <w:rsid w:val="009A13CE"/>
    <w:rsid w:val="009A1709"/>
    <w:rsid w:val="009A1DBE"/>
    <w:rsid w:val="009A224D"/>
    <w:rsid w:val="009A247E"/>
    <w:rsid w:val="009A255D"/>
    <w:rsid w:val="009A2790"/>
    <w:rsid w:val="009A2911"/>
    <w:rsid w:val="009A2FBC"/>
    <w:rsid w:val="009A36C0"/>
    <w:rsid w:val="009A3778"/>
    <w:rsid w:val="009A3A46"/>
    <w:rsid w:val="009A3A53"/>
    <w:rsid w:val="009A3E2E"/>
    <w:rsid w:val="009A406A"/>
    <w:rsid w:val="009A41D4"/>
    <w:rsid w:val="009A4DD6"/>
    <w:rsid w:val="009A5783"/>
    <w:rsid w:val="009A5F8E"/>
    <w:rsid w:val="009A635E"/>
    <w:rsid w:val="009A6D71"/>
    <w:rsid w:val="009A7971"/>
    <w:rsid w:val="009A7A06"/>
    <w:rsid w:val="009A7F34"/>
    <w:rsid w:val="009B116F"/>
    <w:rsid w:val="009B13D9"/>
    <w:rsid w:val="009B2245"/>
    <w:rsid w:val="009B258E"/>
    <w:rsid w:val="009B2A8B"/>
    <w:rsid w:val="009B3019"/>
    <w:rsid w:val="009B3D8A"/>
    <w:rsid w:val="009B3F4B"/>
    <w:rsid w:val="009B4032"/>
    <w:rsid w:val="009B40BF"/>
    <w:rsid w:val="009B4506"/>
    <w:rsid w:val="009B4927"/>
    <w:rsid w:val="009B5114"/>
    <w:rsid w:val="009B55A9"/>
    <w:rsid w:val="009B5997"/>
    <w:rsid w:val="009B621D"/>
    <w:rsid w:val="009B6664"/>
    <w:rsid w:val="009B6727"/>
    <w:rsid w:val="009B686B"/>
    <w:rsid w:val="009B69E8"/>
    <w:rsid w:val="009B6AC4"/>
    <w:rsid w:val="009B6B23"/>
    <w:rsid w:val="009B7209"/>
    <w:rsid w:val="009B7499"/>
    <w:rsid w:val="009B7ABD"/>
    <w:rsid w:val="009C07EF"/>
    <w:rsid w:val="009C0DE0"/>
    <w:rsid w:val="009C10F3"/>
    <w:rsid w:val="009C11A9"/>
    <w:rsid w:val="009C1222"/>
    <w:rsid w:val="009C1328"/>
    <w:rsid w:val="009C1D27"/>
    <w:rsid w:val="009C2062"/>
    <w:rsid w:val="009C2407"/>
    <w:rsid w:val="009C2699"/>
    <w:rsid w:val="009C2A4E"/>
    <w:rsid w:val="009C2E61"/>
    <w:rsid w:val="009C31EF"/>
    <w:rsid w:val="009C3BD9"/>
    <w:rsid w:val="009C3C51"/>
    <w:rsid w:val="009C3DB4"/>
    <w:rsid w:val="009C4261"/>
    <w:rsid w:val="009C4A6A"/>
    <w:rsid w:val="009C4CF1"/>
    <w:rsid w:val="009C55FA"/>
    <w:rsid w:val="009C5A61"/>
    <w:rsid w:val="009C5B82"/>
    <w:rsid w:val="009C5E5E"/>
    <w:rsid w:val="009C6133"/>
    <w:rsid w:val="009C6B4C"/>
    <w:rsid w:val="009C6BF2"/>
    <w:rsid w:val="009C6D0E"/>
    <w:rsid w:val="009C711E"/>
    <w:rsid w:val="009C756E"/>
    <w:rsid w:val="009C7748"/>
    <w:rsid w:val="009C7FAE"/>
    <w:rsid w:val="009D07E1"/>
    <w:rsid w:val="009D0B91"/>
    <w:rsid w:val="009D11ED"/>
    <w:rsid w:val="009D12DB"/>
    <w:rsid w:val="009D1A2B"/>
    <w:rsid w:val="009D1DA6"/>
    <w:rsid w:val="009D1DF5"/>
    <w:rsid w:val="009D21BE"/>
    <w:rsid w:val="009D2A61"/>
    <w:rsid w:val="009D2CEE"/>
    <w:rsid w:val="009D2E16"/>
    <w:rsid w:val="009D320D"/>
    <w:rsid w:val="009D3C3D"/>
    <w:rsid w:val="009D3E44"/>
    <w:rsid w:val="009D412B"/>
    <w:rsid w:val="009D4324"/>
    <w:rsid w:val="009D45B4"/>
    <w:rsid w:val="009D49C2"/>
    <w:rsid w:val="009D4A7E"/>
    <w:rsid w:val="009D4B3C"/>
    <w:rsid w:val="009D4EFD"/>
    <w:rsid w:val="009D50AD"/>
    <w:rsid w:val="009D511B"/>
    <w:rsid w:val="009D5163"/>
    <w:rsid w:val="009D5288"/>
    <w:rsid w:val="009D5AD7"/>
    <w:rsid w:val="009D5F5B"/>
    <w:rsid w:val="009D6AF1"/>
    <w:rsid w:val="009D6B24"/>
    <w:rsid w:val="009D78E3"/>
    <w:rsid w:val="009D7B74"/>
    <w:rsid w:val="009D7E2A"/>
    <w:rsid w:val="009E0161"/>
    <w:rsid w:val="009E0425"/>
    <w:rsid w:val="009E052F"/>
    <w:rsid w:val="009E06A0"/>
    <w:rsid w:val="009E06C0"/>
    <w:rsid w:val="009E083F"/>
    <w:rsid w:val="009E0FCC"/>
    <w:rsid w:val="009E1A20"/>
    <w:rsid w:val="009E1F5B"/>
    <w:rsid w:val="009E22FA"/>
    <w:rsid w:val="009E24B2"/>
    <w:rsid w:val="009E264E"/>
    <w:rsid w:val="009E26C3"/>
    <w:rsid w:val="009E2AD3"/>
    <w:rsid w:val="009E3125"/>
    <w:rsid w:val="009E3293"/>
    <w:rsid w:val="009E33C2"/>
    <w:rsid w:val="009E3457"/>
    <w:rsid w:val="009E372C"/>
    <w:rsid w:val="009E3B89"/>
    <w:rsid w:val="009E3F1A"/>
    <w:rsid w:val="009E4619"/>
    <w:rsid w:val="009E4640"/>
    <w:rsid w:val="009E47E5"/>
    <w:rsid w:val="009E4A9C"/>
    <w:rsid w:val="009E4CE5"/>
    <w:rsid w:val="009E576A"/>
    <w:rsid w:val="009E5A39"/>
    <w:rsid w:val="009E5A65"/>
    <w:rsid w:val="009E5C83"/>
    <w:rsid w:val="009E62B6"/>
    <w:rsid w:val="009E69D5"/>
    <w:rsid w:val="009E76D0"/>
    <w:rsid w:val="009E77B2"/>
    <w:rsid w:val="009E7C1C"/>
    <w:rsid w:val="009E7E25"/>
    <w:rsid w:val="009F02C5"/>
    <w:rsid w:val="009F07D9"/>
    <w:rsid w:val="009F0CF9"/>
    <w:rsid w:val="009F146F"/>
    <w:rsid w:val="009F171B"/>
    <w:rsid w:val="009F1921"/>
    <w:rsid w:val="009F1A6D"/>
    <w:rsid w:val="009F203C"/>
    <w:rsid w:val="009F240C"/>
    <w:rsid w:val="009F2CD9"/>
    <w:rsid w:val="009F2DF0"/>
    <w:rsid w:val="009F2FF1"/>
    <w:rsid w:val="009F3017"/>
    <w:rsid w:val="009F309C"/>
    <w:rsid w:val="009F3739"/>
    <w:rsid w:val="009F39B9"/>
    <w:rsid w:val="009F3C75"/>
    <w:rsid w:val="009F3E7C"/>
    <w:rsid w:val="009F3EF4"/>
    <w:rsid w:val="009F509D"/>
    <w:rsid w:val="009F5173"/>
    <w:rsid w:val="009F531E"/>
    <w:rsid w:val="009F583D"/>
    <w:rsid w:val="009F6444"/>
    <w:rsid w:val="009F66D6"/>
    <w:rsid w:val="009F672C"/>
    <w:rsid w:val="009F6E68"/>
    <w:rsid w:val="009F76DA"/>
    <w:rsid w:val="009F78E0"/>
    <w:rsid w:val="00A0037E"/>
    <w:rsid w:val="00A01014"/>
    <w:rsid w:val="00A01303"/>
    <w:rsid w:val="00A01706"/>
    <w:rsid w:val="00A01802"/>
    <w:rsid w:val="00A022AC"/>
    <w:rsid w:val="00A024B9"/>
    <w:rsid w:val="00A024DB"/>
    <w:rsid w:val="00A0258A"/>
    <w:rsid w:val="00A02766"/>
    <w:rsid w:val="00A02C4F"/>
    <w:rsid w:val="00A02D75"/>
    <w:rsid w:val="00A02EB2"/>
    <w:rsid w:val="00A03CEE"/>
    <w:rsid w:val="00A0431C"/>
    <w:rsid w:val="00A04788"/>
    <w:rsid w:val="00A04A09"/>
    <w:rsid w:val="00A04B53"/>
    <w:rsid w:val="00A05705"/>
    <w:rsid w:val="00A05821"/>
    <w:rsid w:val="00A05A71"/>
    <w:rsid w:val="00A05D1D"/>
    <w:rsid w:val="00A05EA0"/>
    <w:rsid w:val="00A05EA2"/>
    <w:rsid w:val="00A06C54"/>
    <w:rsid w:val="00A076CC"/>
    <w:rsid w:val="00A078CB"/>
    <w:rsid w:val="00A1006C"/>
    <w:rsid w:val="00A106C6"/>
    <w:rsid w:val="00A1165C"/>
    <w:rsid w:val="00A119D9"/>
    <w:rsid w:val="00A120B6"/>
    <w:rsid w:val="00A122AB"/>
    <w:rsid w:val="00A123E3"/>
    <w:rsid w:val="00A125D6"/>
    <w:rsid w:val="00A12DAB"/>
    <w:rsid w:val="00A12E0B"/>
    <w:rsid w:val="00A137EE"/>
    <w:rsid w:val="00A13DA3"/>
    <w:rsid w:val="00A14105"/>
    <w:rsid w:val="00A14824"/>
    <w:rsid w:val="00A14A0F"/>
    <w:rsid w:val="00A14A81"/>
    <w:rsid w:val="00A14DC3"/>
    <w:rsid w:val="00A14E12"/>
    <w:rsid w:val="00A14E53"/>
    <w:rsid w:val="00A15580"/>
    <w:rsid w:val="00A155FC"/>
    <w:rsid w:val="00A15DBC"/>
    <w:rsid w:val="00A15F4F"/>
    <w:rsid w:val="00A16422"/>
    <w:rsid w:val="00A16449"/>
    <w:rsid w:val="00A165AD"/>
    <w:rsid w:val="00A169D6"/>
    <w:rsid w:val="00A17C94"/>
    <w:rsid w:val="00A2009E"/>
    <w:rsid w:val="00A201EA"/>
    <w:rsid w:val="00A2040E"/>
    <w:rsid w:val="00A20765"/>
    <w:rsid w:val="00A2087F"/>
    <w:rsid w:val="00A20B22"/>
    <w:rsid w:val="00A210C9"/>
    <w:rsid w:val="00A219C8"/>
    <w:rsid w:val="00A21B88"/>
    <w:rsid w:val="00A22E6D"/>
    <w:rsid w:val="00A22EFC"/>
    <w:rsid w:val="00A23538"/>
    <w:rsid w:val="00A23C95"/>
    <w:rsid w:val="00A2458E"/>
    <w:rsid w:val="00A2489C"/>
    <w:rsid w:val="00A24B4A"/>
    <w:rsid w:val="00A24BDD"/>
    <w:rsid w:val="00A24F59"/>
    <w:rsid w:val="00A25063"/>
    <w:rsid w:val="00A25706"/>
    <w:rsid w:val="00A2592B"/>
    <w:rsid w:val="00A25D43"/>
    <w:rsid w:val="00A26189"/>
    <w:rsid w:val="00A26389"/>
    <w:rsid w:val="00A2656E"/>
    <w:rsid w:val="00A269BD"/>
    <w:rsid w:val="00A26D61"/>
    <w:rsid w:val="00A27260"/>
    <w:rsid w:val="00A277B7"/>
    <w:rsid w:val="00A303B8"/>
    <w:rsid w:val="00A30BB8"/>
    <w:rsid w:val="00A30C55"/>
    <w:rsid w:val="00A30E58"/>
    <w:rsid w:val="00A31576"/>
    <w:rsid w:val="00A316DD"/>
    <w:rsid w:val="00A31C7F"/>
    <w:rsid w:val="00A31F34"/>
    <w:rsid w:val="00A32178"/>
    <w:rsid w:val="00A32A4A"/>
    <w:rsid w:val="00A3311A"/>
    <w:rsid w:val="00A332C3"/>
    <w:rsid w:val="00A335BC"/>
    <w:rsid w:val="00A337B7"/>
    <w:rsid w:val="00A3419D"/>
    <w:rsid w:val="00A34616"/>
    <w:rsid w:val="00A35FEB"/>
    <w:rsid w:val="00A361C3"/>
    <w:rsid w:val="00A365C8"/>
    <w:rsid w:val="00A375EF"/>
    <w:rsid w:val="00A3769C"/>
    <w:rsid w:val="00A37B81"/>
    <w:rsid w:val="00A37DB4"/>
    <w:rsid w:val="00A408B1"/>
    <w:rsid w:val="00A40F39"/>
    <w:rsid w:val="00A411FA"/>
    <w:rsid w:val="00A4124A"/>
    <w:rsid w:val="00A42027"/>
    <w:rsid w:val="00A423C5"/>
    <w:rsid w:val="00A424AB"/>
    <w:rsid w:val="00A42D70"/>
    <w:rsid w:val="00A42EBB"/>
    <w:rsid w:val="00A42FE5"/>
    <w:rsid w:val="00A436B8"/>
    <w:rsid w:val="00A4431A"/>
    <w:rsid w:val="00A44605"/>
    <w:rsid w:val="00A446AF"/>
    <w:rsid w:val="00A44913"/>
    <w:rsid w:val="00A44EC1"/>
    <w:rsid w:val="00A45134"/>
    <w:rsid w:val="00A454B3"/>
    <w:rsid w:val="00A45646"/>
    <w:rsid w:val="00A45E2C"/>
    <w:rsid w:val="00A45E52"/>
    <w:rsid w:val="00A460CD"/>
    <w:rsid w:val="00A46162"/>
    <w:rsid w:val="00A46523"/>
    <w:rsid w:val="00A46652"/>
    <w:rsid w:val="00A469B3"/>
    <w:rsid w:val="00A46BCE"/>
    <w:rsid w:val="00A46C60"/>
    <w:rsid w:val="00A46D15"/>
    <w:rsid w:val="00A470FA"/>
    <w:rsid w:val="00A4713D"/>
    <w:rsid w:val="00A472D6"/>
    <w:rsid w:val="00A505AC"/>
    <w:rsid w:val="00A50B84"/>
    <w:rsid w:val="00A50BFB"/>
    <w:rsid w:val="00A51208"/>
    <w:rsid w:val="00A512C0"/>
    <w:rsid w:val="00A51615"/>
    <w:rsid w:val="00A518B7"/>
    <w:rsid w:val="00A51EF2"/>
    <w:rsid w:val="00A5222F"/>
    <w:rsid w:val="00A52569"/>
    <w:rsid w:val="00A52AAC"/>
    <w:rsid w:val="00A52B21"/>
    <w:rsid w:val="00A5323B"/>
    <w:rsid w:val="00A537C8"/>
    <w:rsid w:val="00A54237"/>
    <w:rsid w:val="00A548A2"/>
    <w:rsid w:val="00A54E1A"/>
    <w:rsid w:val="00A54FB4"/>
    <w:rsid w:val="00A5650A"/>
    <w:rsid w:val="00A56BE7"/>
    <w:rsid w:val="00A56DE0"/>
    <w:rsid w:val="00A573A2"/>
    <w:rsid w:val="00A57AEC"/>
    <w:rsid w:val="00A603BC"/>
    <w:rsid w:val="00A606A4"/>
    <w:rsid w:val="00A6107A"/>
    <w:rsid w:val="00A6107C"/>
    <w:rsid w:val="00A62701"/>
    <w:rsid w:val="00A62C67"/>
    <w:rsid w:val="00A62D2B"/>
    <w:rsid w:val="00A62F8D"/>
    <w:rsid w:val="00A63C18"/>
    <w:rsid w:val="00A64B04"/>
    <w:rsid w:val="00A64C2B"/>
    <w:rsid w:val="00A65A61"/>
    <w:rsid w:val="00A65A7E"/>
    <w:rsid w:val="00A66071"/>
    <w:rsid w:val="00A662DC"/>
    <w:rsid w:val="00A664B9"/>
    <w:rsid w:val="00A6693F"/>
    <w:rsid w:val="00A67118"/>
    <w:rsid w:val="00A6741B"/>
    <w:rsid w:val="00A67835"/>
    <w:rsid w:val="00A67A48"/>
    <w:rsid w:val="00A67E5B"/>
    <w:rsid w:val="00A67F26"/>
    <w:rsid w:val="00A70418"/>
    <w:rsid w:val="00A70683"/>
    <w:rsid w:val="00A70BA7"/>
    <w:rsid w:val="00A710DD"/>
    <w:rsid w:val="00A71346"/>
    <w:rsid w:val="00A71456"/>
    <w:rsid w:val="00A71A08"/>
    <w:rsid w:val="00A72285"/>
    <w:rsid w:val="00A72A21"/>
    <w:rsid w:val="00A72A40"/>
    <w:rsid w:val="00A74226"/>
    <w:rsid w:val="00A7432C"/>
    <w:rsid w:val="00A74EEC"/>
    <w:rsid w:val="00A74F18"/>
    <w:rsid w:val="00A7515B"/>
    <w:rsid w:val="00A75363"/>
    <w:rsid w:val="00A7562A"/>
    <w:rsid w:val="00A75735"/>
    <w:rsid w:val="00A757B0"/>
    <w:rsid w:val="00A77082"/>
    <w:rsid w:val="00A776A4"/>
    <w:rsid w:val="00A77CF4"/>
    <w:rsid w:val="00A77F58"/>
    <w:rsid w:val="00A800B3"/>
    <w:rsid w:val="00A80458"/>
    <w:rsid w:val="00A8049D"/>
    <w:rsid w:val="00A80F54"/>
    <w:rsid w:val="00A81111"/>
    <w:rsid w:val="00A81665"/>
    <w:rsid w:val="00A81E0A"/>
    <w:rsid w:val="00A822C2"/>
    <w:rsid w:val="00A82990"/>
    <w:rsid w:val="00A83641"/>
    <w:rsid w:val="00A84C75"/>
    <w:rsid w:val="00A8560C"/>
    <w:rsid w:val="00A858F0"/>
    <w:rsid w:val="00A86A2B"/>
    <w:rsid w:val="00A86CFE"/>
    <w:rsid w:val="00A872E2"/>
    <w:rsid w:val="00A87503"/>
    <w:rsid w:val="00A90401"/>
    <w:rsid w:val="00A90709"/>
    <w:rsid w:val="00A90721"/>
    <w:rsid w:val="00A90856"/>
    <w:rsid w:val="00A90C55"/>
    <w:rsid w:val="00A9101F"/>
    <w:rsid w:val="00A911D4"/>
    <w:rsid w:val="00A9206B"/>
    <w:rsid w:val="00A9219F"/>
    <w:rsid w:val="00A921E3"/>
    <w:rsid w:val="00A92345"/>
    <w:rsid w:val="00A92D09"/>
    <w:rsid w:val="00A93075"/>
    <w:rsid w:val="00A931E1"/>
    <w:rsid w:val="00A9382F"/>
    <w:rsid w:val="00A93974"/>
    <w:rsid w:val="00A93D6B"/>
    <w:rsid w:val="00A94B73"/>
    <w:rsid w:val="00A94D20"/>
    <w:rsid w:val="00A952AB"/>
    <w:rsid w:val="00A95F4C"/>
    <w:rsid w:val="00A9658F"/>
    <w:rsid w:val="00A96CC2"/>
    <w:rsid w:val="00A96DD0"/>
    <w:rsid w:val="00A9752B"/>
    <w:rsid w:val="00A97853"/>
    <w:rsid w:val="00A97CD4"/>
    <w:rsid w:val="00AA0283"/>
    <w:rsid w:val="00AA058D"/>
    <w:rsid w:val="00AA0723"/>
    <w:rsid w:val="00AA0808"/>
    <w:rsid w:val="00AA14A1"/>
    <w:rsid w:val="00AA14A7"/>
    <w:rsid w:val="00AA1599"/>
    <w:rsid w:val="00AA21EC"/>
    <w:rsid w:val="00AA2461"/>
    <w:rsid w:val="00AA266C"/>
    <w:rsid w:val="00AA2865"/>
    <w:rsid w:val="00AA2C70"/>
    <w:rsid w:val="00AA3771"/>
    <w:rsid w:val="00AA3A2F"/>
    <w:rsid w:val="00AA3A9B"/>
    <w:rsid w:val="00AA3BDF"/>
    <w:rsid w:val="00AA3BF1"/>
    <w:rsid w:val="00AA4163"/>
    <w:rsid w:val="00AA468A"/>
    <w:rsid w:val="00AA4B6C"/>
    <w:rsid w:val="00AA5037"/>
    <w:rsid w:val="00AA507A"/>
    <w:rsid w:val="00AA50DF"/>
    <w:rsid w:val="00AA5410"/>
    <w:rsid w:val="00AA5472"/>
    <w:rsid w:val="00AA55EB"/>
    <w:rsid w:val="00AA58A8"/>
    <w:rsid w:val="00AA5AAE"/>
    <w:rsid w:val="00AA5B29"/>
    <w:rsid w:val="00AA5F82"/>
    <w:rsid w:val="00AA6215"/>
    <w:rsid w:val="00AA67F3"/>
    <w:rsid w:val="00AA6941"/>
    <w:rsid w:val="00AA6B96"/>
    <w:rsid w:val="00AA6DAA"/>
    <w:rsid w:val="00AA6F71"/>
    <w:rsid w:val="00AA7AFD"/>
    <w:rsid w:val="00AB0C55"/>
    <w:rsid w:val="00AB0C62"/>
    <w:rsid w:val="00AB0D1C"/>
    <w:rsid w:val="00AB118A"/>
    <w:rsid w:val="00AB170A"/>
    <w:rsid w:val="00AB171D"/>
    <w:rsid w:val="00AB173B"/>
    <w:rsid w:val="00AB1E10"/>
    <w:rsid w:val="00AB1F2D"/>
    <w:rsid w:val="00AB1F33"/>
    <w:rsid w:val="00AB21C6"/>
    <w:rsid w:val="00AB259C"/>
    <w:rsid w:val="00AB2629"/>
    <w:rsid w:val="00AB2841"/>
    <w:rsid w:val="00AB321A"/>
    <w:rsid w:val="00AB32EC"/>
    <w:rsid w:val="00AB34D3"/>
    <w:rsid w:val="00AB3B4A"/>
    <w:rsid w:val="00AB5B5B"/>
    <w:rsid w:val="00AB5D52"/>
    <w:rsid w:val="00AB6B7D"/>
    <w:rsid w:val="00AB6BDA"/>
    <w:rsid w:val="00AB79A0"/>
    <w:rsid w:val="00AC063F"/>
    <w:rsid w:val="00AC0A01"/>
    <w:rsid w:val="00AC1891"/>
    <w:rsid w:val="00AC1FF9"/>
    <w:rsid w:val="00AC2843"/>
    <w:rsid w:val="00AC30AE"/>
    <w:rsid w:val="00AC3400"/>
    <w:rsid w:val="00AC3996"/>
    <w:rsid w:val="00AC39E1"/>
    <w:rsid w:val="00AC3BBE"/>
    <w:rsid w:val="00AC44F8"/>
    <w:rsid w:val="00AC49C3"/>
    <w:rsid w:val="00AC4D37"/>
    <w:rsid w:val="00AC5B39"/>
    <w:rsid w:val="00AC649B"/>
    <w:rsid w:val="00AC6A77"/>
    <w:rsid w:val="00AC6F7D"/>
    <w:rsid w:val="00AC720A"/>
    <w:rsid w:val="00AC739B"/>
    <w:rsid w:val="00AC73A9"/>
    <w:rsid w:val="00AC752A"/>
    <w:rsid w:val="00AC764D"/>
    <w:rsid w:val="00AC77D1"/>
    <w:rsid w:val="00AD02B1"/>
    <w:rsid w:val="00AD03AE"/>
    <w:rsid w:val="00AD08D8"/>
    <w:rsid w:val="00AD0B80"/>
    <w:rsid w:val="00AD0E8E"/>
    <w:rsid w:val="00AD129D"/>
    <w:rsid w:val="00AD1B46"/>
    <w:rsid w:val="00AD2071"/>
    <w:rsid w:val="00AD2454"/>
    <w:rsid w:val="00AD2E97"/>
    <w:rsid w:val="00AD39AB"/>
    <w:rsid w:val="00AD4EF4"/>
    <w:rsid w:val="00AD5016"/>
    <w:rsid w:val="00AD5150"/>
    <w:rsid w:val="00AD5196"/>
    <w:rsid w:val="00AD5290"/>
    <w:rsid w:val="00AD5829"/>
    <w:rsid w:val="00AD60EA"/>
    <w:rsid w:val="00AD67D4"/>
    <w:rsid w:val="00AD6F76"/>
    <w:rsid w:val="00AD7D28"/>
    <w:rsid w:val="00AD7FB5"/>
    <w:rsid w:val="00AE0100"/>
    <w:rsid w:val="00AE053D"/>
    <w:rsid w:val="00AE0B1C"/>
    <w:rsid w:val="00AE0D6B"/>
    <w:rsid w:val="00AE117A"/>
    <w:rsid w:val="00AE16CA"/>
    <w:rsid w:val="00AE1C88"/>
    <w:rsid w:val="00AE1C97"/>
    <w:rsid w:val="00AE2A09"/>
    <w:rsid w:val="00AE3758"/>
    <w:rsid w:val="00AE383A"/>
    <w:rsid w:val="00AE3D2D"/>
    <w:rsid w:val="00AE3EB2"/>
    <w:rsid w:val="00AE3F10"/>
    <w:rsid w:val="00AE4129"/>
    <w:rsid w:val="00AE4331"/>
    <w:rsid w:val="00AE4F2F"/>
    <w:rsid w:val="00AE5178"/>
    <w:rsid w:val="00AE5255"/>
    <w:rsid w:val="00AE5859"/>
    <w:rsid w:val="00AE5EC4"/>
    <w:rsid w:val="00AE5F6C"/>
    <w:rsid w:val="00AE614D"/>
    <w:rsid w:val="00AE6AFD"/>
    <w:rsid w:val="00AE6C70"/>
    <w:rsid w:val="00AE6DAB"/>
    <w:rsid w:val="00AE7001"/>
    <w:rsid w:val="00AE718D"/>
    <w:rsid w:val="00AE74DD"/>
    <w:rsid w:val="00AE7559"/>
    <w:rsid w:val="00AE7849"/>
    <w:rsid w:val="00AE784B"/>
    <w:rsid w:val="00AE7977"/>
    <w:rsid w:val="00AE7C75"/>
    <w:rsid w:val="00AE7D8D"/>
    <w:rsid w:val="00AE7F2C"/>
    <w:rsid w:val="00AF0019"/>
    <w:rsid w:val="00AF036D"/>
    <w:rsid w:val="00AF046C"/>
    <w:rsid w:val="00AF053F"/>
    <w:rsid w:val="00AF0711"/>
    <w:rsid w:val="00AF0842"/>
    <w:rsid w:val="00AF0C3D"/>
    <w:rsid w:val="00AF143B"/>
    <w:rsid w:val="00AF150C"/>
    <w:rsid w:val="00AF158A"/>
    <w:rsid w:val="00AF1AF4"/>
    <w:rsid w:val="00AF1C8D"/>
    <w:rsid w:val="00AF1F10"/>
    <w:rsid w:val="00AF1F92"/>
    <w:rsid w:val="00AF22E6"/>
    <w:rsid w:val="00AF2558"/>
    <w:rsid w:val="00AF2695"/>
    <w:rsid w:val="00AF27B1"/>
    <w:rsid w:val="00AF28CE"/>
    <w:rsid w:val="00AF2C6E"/>
    <w:rsid w:val="00AF2E79"/>
    <w:rsid w:val="00AF2EA0"/>
    <w:rsid w:val="00AF2FC0"/>
    <w:rsid w:val="00AF31F9"/>
    <w:rsid w:val="00AF32BB"/>
    <w:rsid w:val="00AF355E"/>
    <w:rsid w:val="00AF36E2"/>
    <w:rsid w:val="00AF3D39"/>
    <w:rsid w:val="00AF447D"/>
    <w:rsid w:val="00AF48A5"/>
    <w:rsid w:val="00AF497B"/>
    <w:rsid w:val="00AF4B48"/>
    <w:rsid w:val="00AF54ED"/>
    <w:rsid w:val="00AF5C46"/>
    <w:rsid w:val="00AF6A4C"/>
    <w:rsid w:val="00AF6E81"/>
    <w:rsid w:val="00B00047"/>
    <w:rsid w:val="00B00FE6"/>
    <w:rsid w:val="00B012B3"/>
    <w:rsid w:val="00B01F91"/>
    <w:rsid w:val="00B02183"/>
    <w:rsid w:val="00B022D6"/>
    <w:rsid w:val="00B026A7"/>
    <w:rsid w:val="00B02EA1"/>
    <w:rsid w:val="00B02FA0"/>
    <w:rsid w:val="00B0397F"/>
    <w:rsid w:val="00B03F57"/>
    <w:rsid w:val="00B03FAC"/>
    <w:rsid w:val="00B044EE"/>
    <w:rsid w:val="00B047C2"/>
    <w:rsid w:val="00B04CB1"/>
    <w:rsid w:val="00B054BA"/>
    <w:rsid w:val="00B05635"/>
    <w:rsid w:val="00B0662A"/>
    <w:rsid w:val="00B06B32"/>
    <w:rsid w:val="00B06F86"/>
    <w:rsid w:val="00B073DD"/>
    <w:rsid w:val="00B07489"/>
    <w:rsid w:val="00B074DE"/>
    <w:rsid w:val="00B07620"/>
    <w:rsid w:val="00B07C61"/>
    <w:rsid w:val="00B07FEF"/>
    <w:rsid w:val="00B10959"/>
    <w:rsid w:val="00B10C2A"/>
    <w:rsid w:val="00B115CF"/>
    <w:rsid w:val="00B11690"/>
    <w:rsid w:val="00B11B90"/>
    <w:rsid w:val="00B11C7F"/>
    <w:rsid w:val="00B12675"/>
    <w:rsid w:val="00B12811"/>
    <w:rsid w:val="00B1296F"/>
    <w:rsid w:val="00B12A0E"/>
    <w:rsid w:val="00B12D43"/>
    <w:rsid w:val="00B1314F"/>
    <w:rsid w:val="00B132EA"/>
    <w:rsid w:val="00B137AA"/>
    <w:rsid w:val="00B13AF6"/>
    <w:rsid w:val="00B143EC"/>
    <w:rsid w:val="00B151CF"/>
    <w:rsid w:val="00B154D7"/>
    <w:rsid w:val="00B15A62"/>
    <w:rsid w:val="00B15BBE"/>
    <w:rsid w:val="00B15C9E"/>
    <w:rsid w:val="00B1698B"/>
    <w:rsid w:val="00B17D79"/>
    <w:rsid w:val="00B2037B"/>
    <w:rsid w:val="00B206DC"/>
    <w:rsid w:val="00B208C6"/>
    <w:rsid w:val="00B20CFC"/>
    <w:rsid w:val="00B20DB1"/>
    <w:rsid w:val="00B20EEF"/>
    <w:rsid w:val="00B22D24"/>
    <w:rsid w:val="00B23755"/>
    <w:rsid w:val="00B2378A"/>
    <w:rsid w:val="00B24160"/>
    <w:rsid w:val="00B247AD"/>
    <w:rsid w:val="00B249B8"/>
    <w:rsid w:val="00B24D45"/>
    <w:rsid w:val="00B252E4"/>
    <w:rsid w:val="00B253DB"/>
    <w:rsid w:val="00B2592D"/>
    <w:rsid w:val="00B25A08"/>
    <w:rsid w:val="00B25C74"/>
    <w:rsid w:val="00B25D05"/>
    <w:rsid w:val="00B2638C"/>
    <w:rsid w:val="00B264AB"/>
    <w:rsid w:val="00B26622"/>
    <w:rsid w:val="00B26669"/>
    <w:rsid w:val="00B268D0"/>
    <w:rsid w:val="00B276B4"/>
    <w:rsid w:val="00B2783C"/>
    <w:rsid w:val="00B303F6"/>
    <w:rsid w:val="00B304B6"/>
    <w:rsid w:val="00B307B7"/>
    <w:rsid w:val="00B309DC"/>
    <w:rsid w:val="00B31A90"/>
    <w:rsid w:val="00B31E1E"/>
    <w:rsid w:val="00B32283"/>
    <w:rsid w:val="00B325D6"/>
    <w:rsid w:val="00B3289E"/>
    <w:rsid w:val="00B32AAA"/>
    <w:rsid w:val="00B32B51"/>
    <w:rsid w:val="00B32B84"/>
    <w:rsid w:val="00B33546"/>
    <w:rsid w:val="00B336AC"/>
    <w:rsid w:val="00B339E4"/>
    <w:rsid w:val="00B358DE"/>
    <w:rsid w:val="00B35BAD"/>
    <w:rsid w:val="00B35F62"/>
    <w:rsid w:val="00B36028"/>
    <w:rsid w:val="00B36287"/>
    <w:rsid w:val="00B36EA5"/>
    <w:rsid w:val="00B36F93"/>
    <w:rsid w:val="00B377C3"/>
    <w:rsid w:val="00B40064"/>
    <w:rsid w:val="00B4015D"/>
    <w:rsid w:val="00B402DB"/>
    <w:rsid w:val="00B40A18"/>
    <w:rsid w:val="00B411CE"/>
    <w:rsid w:val="00B41D39"/>
    <w:rsid w:val="00B41EF2"/>
    <w:rsid w:val="00B421C1"/>
    <w:rsid w:val="00B42405"/>
    <w:rsid w:val="00B42C2D"/>
    <w:rsid w:val="00B43104"/>
    <w:rsid w:val="00B43554"/>
    <w:rsid w:val="00B435F0"/>
    <w:rsid w:val="00B4421E"/>
    <w:rsid w:val="00B4455C"/>
    <w:rsid w:val="00B44BCD"/>
    <w:rsid w:val="00B45BFC"/>
    <w:rsid w:val="00B468D0"/>
    <w:rsid w:val="00B46DE6"/>
    <w:rsid w:val="00B4738F"/>
    <w:rsid w:val="00B5040D"/>
    <w:rsid w:val="00B5043E"/>
    <w:rsid w:val="00B5051C"/>
    <w:rsid w:val="00B50A44"/>
    <w:rsid w:val="00B50AB7"/>
    <w:rsid w:val="00B50D1D"/>
    <w:rsid w:val="00B51021"/>
    <w:rsid w:val="00B51397"/>
    <w:rsid w:val="00B51684"/>
    <w:rsid w:val="00B51D63"/>
    <w:rsid w:val="00B51D69"/>
    <w:rsid w:val="00B52874"/>
    <w:rsid w:val="00B52DA8"/>
    <w:rsid w:val="00B5320C"/>
    <w:rsid w:val="00B53657"/>
    <w:rsid w:val="00B53795"/>
    <w:rsid w:val="00B53EFB"/>
    <w:rsid w:val="00B54026"/>
    <w:rsid w:val="00B5408C"/>
    <w:rsid w:val="00B542FB"/>
    <w:rsid w:val="00B54F3F"/>
    <w:rsid w:val="00B551EA"/>
    <w:rsid w:val="00B554BA"/>
    <w:rsid w:val="00B554E3"/>
    <w:rsid w:val="00B55524"/>
    <w:rsid w:val="00B55FB6"/>
    <w:rsid w:val="00B56022"/>
    <w:rsid w:val="00B56459"/>
    <w:rsid w:val="00B564CD"/>
    <w:rsid w:val="00B56755"/>
    <w:rsid w:val="00B57409"/>
    <w:rsid w:val="00B575BF"/>
    <w:rsid w:val="00B5770F"/>
    <w:rsid w:val="00B57733"/>
    <w:rsid w:val="00B57801"/>
    <w:rsid w:val="00B578EA"/>
    <w:rsid w:val="00B57C2C"/>
    <w:rsid w:val="00B6053C"/>
    <w:rsid w:val="00B6067C"/>
    <w:rsid w:val="00B606C9"/>
    <w:rsid w:val="00B6078A"/>
    <w:rsid w:val="00B61027"/>
    <w:rsid w:val="00B610F2"/>
    <w:rsid w:val="00B612EA"/>
    <w:rsid w:val="00B617D7"/>
    <w:rsid w:val="00B61C66"/>
    <w:rsid w:val="00B61D6F"/>
    <w:rsid w:val="00B62239"/>
    <w:rsid w:val="00B62604"/>
    <w:rsid w:val="00B62DF2"/>
    <w:rsid w:val="00B63036"/>
    <w:rsid w:val="00B63395"/>
    <w:rsid w:val="00B64017"/>
    <w:rsid w:val="00B64379"/>
    <w:rsid w:val="00B64A0E"/>
    <w:rsid w:val="00B651EB"/>
    <w:rsid w:val="00B65372"/>
    <w:rsid w:val="00B6653A"/>
    <w:rsid w:val="00B6685F"/>
    <w:rsid w:val="00B668EA"/>
    <w:rsid w:val="00B66A87"/>
    <w:rsid w:val="00B66AA3"/>
    <w:rsid w:val="00B66C17"/>
    <w:rsid w:val="00B66D8B"/>
    <w:rsid w:val="00B66F40"/>
    <w:rsid w:val="00B67611"/>
    <w:rsid w:val="00B67BD5"/>
    <w:rsid w:val="00B67D51"/>
    <w:rsid w:val="00B67D63"/>
    <w:rsid w:val="00B67EE1"/>
    <w:rsid w:val="00B70324"/>
    <w:rsid w:val="00B70618"/>
    <w:rsid w:val="00B712D0"/>
    <w:rsid w:val="00B714FF"/>
    <w:rsid w:val="00B7156E"/>
    <w:rsid w:val="00B71AF1"/>
    <w:rsid w:val="00B72BA8"/>
    <w:rsid w:val="00B72E2B"/>
    <w:rsid w:val="00B7318F"/>
    <w:rsid w:val="00B73B34"/>
    <w:rsid w:val="00B73C2F"/>
    <w:rsid w:val="00B7491B"/>
    <w:rsid w:val="00B74D77"/>
    <w:rsid w:val="00B757E5"/>
    <w:rsid w:val="00B75A47"/>
    <w:rsid w:val="00B76170"/>
    <w:rsid w:val="00B76491"/>
    <w:rsid w:val="00B7692A"/>
    <w:rsid w:val="00B76D20"/>
    <w:rsid w:val="00B76E09"/>
    <w:rsid w:val="00B773B9"/>
    <w:rsid w:val="00B7757F"/>
    <w:rsid w:val="00B778CE"/>
    <w:rsid w:val="00B8023B"/>
    <w:rsid w:val="00B81133"/>
    <w:rsid w:val="00B812F7"/>
    <w:rsid w:val="00B815BD"/>
    <w:rsid w:val="00B81B40"/>
    <w:rsid w:val="00B81F38"/>
    <w:rsid w:val="00B82225"/>
    <w:rsid w:val="00B82634"/>
    <w:rsid w:val="00B82A04"/>
    <w:rsid w:val="00B82A72"/>
    <w:rsid w:val="00B82F6C"/>
    <w:rsid w:val="00B8333E"/>
    <w:rsid w:val="00B838C1"/>
    <w:rsid w:val="00B83B62"/>
    <w:rsid w:val="00B8466E"/>
    <w:rsid w:val="00B84DB4"/>
    <w:rsid w:val="00B84E5D"/>
    <w:rsid w:val="00B84E88"/>
    <w:rsid w:val="00B85131"/>
    <w:rsid w:val="00B8535F"/>
    <w:rsid w:val="00B85465"/>
    <w:rsid w:val="00B85473"/>
    <w:rsid w:val="00B85C44"/>
    <w:rsid w:val="00B866DF"/>
    <w:rsid w:val="00B86C80"/>
    <w:rsid w:val="00B87807"/>
    <w:rsid w:val="00B878CD"/>
    <w:rsid w:val="00B904D2"/>
    <w:rsid w:val="00B90C1F"/>
    <w:rsid w:val="00B90C7B"/>
    <w:rsid w:val="00B90FB8"/>
    <w:rsid w:val="00B912FA"/>
    <w:rsid w:val="00B91335"/>
    <w:rsid w:val="00B9160C"/>
    <w:rsid w:val="00B918BF"/>
    <w:rsid w:val="00B91CB1"/>
    <w:rsid w:val="00B91CEE"/>
    <w:rsid w:val="00B9249B"/>
    <w:rsid w:val="00B92811"/>
    <w:rsid w:val="00B92901"/>
    <w:rsid w:val="00B937AB"/>
    <w:rsid w:val="00B94C8E"/>
    <w:rsid w:val="00B94FC6"/>
    <w:rsid w:val="00B95195"/>
    <w:rsid w:val="00B9536C"/>
    <w:rsid w:val="00B95CFD"/>
    <w:rsid w:val="00B96A1B"/>
    <w:rsid w:val="00B96E9E"/>
    <w:rsid w:val="00B96F5D"/>
    <w:rsid w:val="00B973A2"/>
    <w:rsid w:val="00B975AF"/>
    <w:rsid w:val="00B975FF"/>
    <w:rsid w:val="00B97A63"/>
    <w:rsid w:val="00B97FB8"/>
    <w:rsid w:val="00BA005C"/>
    <w:rsid w:val="00BA0CCD"/>
    <w:rsid w:val="00BA0F80"/>
    <w:rsid w:val="00BA1FFB"/>
    <w:rsid w:val="00BA2022"/>
    <w:rsid w:val="00BA2177"/>
    <w:rsid w:val="00BA224E"/>
    <w:rsid w:val="00BA2719"/>
    <w:rsid w:val="00BA2B3F"/>
    <w:rsid w:val="00BA2DED"/>
    <w:rsid w:val="00BA30CB"/>
    <w:rsid w:val="00BA3B66"/>
    <w:rsid w:val="00BA4B79"/>
    <w:rsid w:val="00BA4E45"/>
    <w:rsid w:val="00BA54A9"/>
    <w:rsid w:val="00BA59FB"/>
    <w:rsid w:val="00BA64DF"/>
    <w:rsid w:val="00BA6E6F"/>
    <w:rsid w:val="00BA7267"/>
    <w:rsid w:val="00BA78C7"/>
    <w:rsid w:val="00BB041A"/>
    <w:rsid w:val="00BB0684"/>
    <w:rsid w:val="00BB138C"/>
    <w:rsid w:val="00BB14A3"/>
    <w:rsid w:val="00BB185B"/>
    <w:rsid w:val="00BB30C0"/>
    <w:rsid w:val="00BB39DC"/>
    <w:rsid w:val="00BB3BD8"/>
    <w:rsid w:val="00BB3DFF"/>
    <w:rsid w:val="00BB4FB4"/>
    <w:rsid w:val="00BB51F3"/>
    <w:rsid w:val="00BB56FD"/>
    <w:rsid w:val="00BB607C"/>
    <w:rsid w:val="00BB632C"/>
    <w:rsid w:val="00BB7236"/>
    <w:rsid w:val="00BB788B"/>
    <w:rsid w:val="00BB796C"/>
    <w:rsid w:val="00BB7AA6"/>
    <w:rsid w:val="00BB7FA3"/>
    <w:rsid w:val="00BC009D"/>
    <w:rsid w:val="00BC09D3"/>
    <w:rsid w:val="00BC0F53"/>
    <w:rsid w:val="00BC1111"/>
    <w:rsid w:val="00BC1158"/>
    <w:rsid w:val="00BC15DE"/>
    <w:rsid w:val="00BC17AE"/>
    <w:rsid w:val="00BC17C8"/>
    <w:rsid w:val="00BC1A55"/>
    <w:rsid w:val="00BC1C9D"/>
    <w:rsid w:val="00BC1CA7"/>
    <w:rsid w:val="00BC25D8"/>
    <w:rsid w:val="00BC263F"/>
    <w:rsid w:val="00BC2B59"/>
    <w:rsid w:val="00BC317D"/>
    <w:rsid w:val="00BC369C"/>
    <w:rsid w:val="00BC3AC0"/>
    <w:rsid w:val="00BC3DB4"/>
    <w:rsid w:val="00BC436D"/>
    <w:rsid w:val="00BC4972"/>
    <w:rsid w:val="00BC50CC"/>
    <w:rsid w:val="00BC526D"/>
    <w:rsid w:val="00BC5B1F"/>
    <w:rsid w:val="00BC5CC6"/>
    <w:rsid w:val="00BC5D39"/>
    <w:rsid w:val="00BC61FA"/>
    <w:rsid w:val="00BC67EE"/>
    <w:rsid w:val="00BC6897"/>
    <w:rsid w:val="00BC6B19"/>
    <w:rsid w:val="00BC6FDB"/>
    <w:rsid w:val="00BC796F"/>
    <w:rsid w:val="00BC7BF2"/>
    <w:rsid w:val="00BC7DFE"/>
    <w:rsid w:val="00BD00F1"/>
    <w:rsid w:val="00BD0186"/>
    <w:rsid w:val="00BD020D"/>
    <w:rsid w:val="00BD0329"/>
    <w:rsid w:val="00BD03A8"/>
    <w:rsid w:val="00BD0BE5"/>
    <w:rsid w:val="00BD108F"/>
    <w:rsid w:val="00BD1BCF"/>
    <w:rsid w:val="00BD299C"/>
    <w:rsid w:val="00BD2D51"/>
    <w:rsid w:val="00BD33D4"/>
    <w:rsid w:val="00BD386A"/>
    <w:rsid w:val="00BD3974"/>
    <w:rsid w:val="00BD40B1"/>
    <w:rsid w:val="00BD4A4C"/>
    <w:rsid w:val="00BD4FC6"/>
    <w:rsid w:val="00BD5B53"/>
    <w:rsid w:val="00BD5DF2"/>
    <w:rsid w:val="00BD60C7"/>
    <w:rsid w:val="00BD631D"/>
    <w:rsid w:val="00BD6A5E"/>
    <w:rsid w:val="00BD7783"/>
    <w:rsid w:val="00BE0128"/>
    <w:rsid w:val="00BE0574"/>
    <w:rsid w:val="00BE10D4"/>
    <w:rsid w:val="00BE1FDC"/>
    <w:rsid w:val="00BE33DD"/>
    <w:rsid w:val="00BE3B4B"/>
    <w:rsid w:val="00BE3F8C"/>
    <w:rsid w:val="00BE47BF"/>
    <w:rsid w:val="00BE5374"/>
    <w:rsid w:val="00BE59F1"/>
    <w:rsid w:val="00BE60AF"/>
    <w:rsid w:val="00BE627A"/>
    <w:rsid w:val="00BE6282"/>
    <w:rsid w:val="00BE6CAF"/>
    <w:rsid w:val="00BE6CE8"/>
    <w:rsid w:val="00BE6D98"/>
    <w:rsid w:val="00BE755A"/>
    <w:rsid w:val="00BE7ED9"/>
    <w:rsid w:val="00BE7F4A"/>
    <w:rsid w:val="00BE7FF8"/>
    <w:rsid w:val="00BF034F"/>
    <w:rsid w:val="00BF067F"/>
    <w:rsid w:val="00BF0B10"/>
    <w:rsid w:val="00BF0E3C"/>
    <w:rsid w:val="00BF107E"/>
    <w:rsid w:val="00BF1241"/>
    <w:rsid w:val="00BF186C"/>
    <w:rsid w:val="00BF1C85"/>
    <w:rsid w:val="00BF1E8A"/>
    <w:rsid w:val="00BF207F"/>
    <w:rsid w:val="00BF254D"/>
    <w:rsid w:val="00BF3297"/>
    <w:rsid w:val="00BF34EB"/>
    <w:rsid w:val="00BF3C6D"/>
    <w:rsid w:val="00BF4517"/>
    <w:rsid w:val="00BF4546"/>
    <w:rsid w:val="00BF5BC9"/>
    <w:rsid w:val="00BF5C5B"/>
    <w:rsid w:val="00BF5C92"/>
    <w:rsid w:val="00BF6519"/>
    <w:rsid w:val="00BF68AB"/>
    <w:rsid w:val="00BF6F29"/>
    <w:rsid w:val="00BF7240"/>
    <w:rsid w:val="00BF73C7"/>
    <w:rsid w:val="00BF7C54"/>
    <w:rsid w:val="00C00161"/>
    <w:rsid w:val="00C00D8C"/>
    <w:rsid w:val="00C01249"/>
    <w:rsid w:val="00C01358"/>
    <w:rsid w:val="00C0152B"/>
    <w:rsid w:val="00C017EB"/>
    <w:rsid w:val="00C01C9B"/>
    <w:rsid w:val="00C01D5F"/>
    <w:rsid w:val="00C022E5"/>
    <w:rsid w:val="00C02455"/>
    <w:rsid w:val="00C0247F"/>
    <w:rsid w:val="00C02E08"/>
    <w:rsid w:val="00C02E0B"/>
    <w:rsid w:val="00C02E4A"/>
    <w:rsid w:val="00C02F60"/>
    <w:rsid w:val="00C030C9"/>
    <w:rsid w:val="00C0345A"/>
    <w:rsid w:val="00C0347F"/>
    <w:rsid w:val="00C03511"/>
    <w:rsid w:val="00C041A2"/>
    <w:rsid w:val="00C042C7"/>
    <w:rsid w:val="00C0494E"/>
    <w:rsid w:val="00C04C3A"/>
    <w:rsid w:val="00C04ED8"/>
    <w:rsid w:val="00C0509B"/>
    <w:rsid w:val="00C05700"/>
    <w:rsid w:val="00C057CC"/>
    <w:rsid w:val="00C05846"/>
    <w:rsid w:val="00C05A6E"/>
    <w:rsid w:val="00C05F88"/>
    <w:rsid w:val="00C0619E"/>
    <w:rsid w:val="00C06323"/>
    <w:rsid w:val="00C06391"/>
    <w:rsid w:val="00C06C82"/>
    <w:rsid w:val="00C074CD"/>
    <w:rsid w:val="00C076CE"/>
    <w:rsid w:val="00C078B5"/>
    <w:rsid w:val="00C107C3"/>
    <w:rsid w:val="00C10D7F"/>
    <w:rsid w:val="00C11334"/>
    <w:rsid w:val="00C113A0"/>
    <w:rsid w:val="00C114F5"/>
    <w:rsid w:val="00C116EF"/>
    <w:rsid w:val="00C11A2C"/>
    <w:rsid w:val="00C12B0E"/>
    <w:rsid w:val="00C12B33"/>
    <w:rsid w:val="00C12ED1"/>
    <w:rsid w:val="00C13520"/>
    <w:rsid w:val="00C13E43"/>
    <w:rsid w:val="00C14582"/>
    <w:rsid w:val="00C14F9B"/>
    <w:rsid w:val="00C14FAB"/>
    <w:rsid w:val="00C15127"/>
    <w:rsid w:val="00C15139"/>
    <w:rsid w:val="00C15415"/>
    <w:rsid w:val="00C15713"/>
    <w:rsid w:val="00C15F42"/>
    <w:rsid w:val="00C1610B"/>
    <w:rsid w:val="00C1611D"/>
    <w:rsid w:val="00C16286"/>
    <w:rsid w:val="00C1642E"/>
    <w:rsid w:val="00C169DD"/>
    <w:rsid w:val="00C16C9A"/>
    <w:rsid w:val="00C175E4"/>
    <w:rsid w:val="00C2007D"/>
    <w:rsid w:val="00C20F6C"/>
    <w:rsid w:val="00C21713"/>
    <w:rsid w:val="00C2206B"/>
    <w:rsid w:val="00C22538"/>
    <w:rsid w:val="00C22F20"/>
    <w:rsid w:val="00C232E0"/>
    <w:rsid w:val="00C238AD"/>
    <w:rsid w:val="00C23B3F"/>
    <w:rsid w:val="00C24238"/>
    <w:rsid w:val="00C24B5E"/>
    <w:rsid w:val="00C2534F"/>
    <w:rsid w:val="00C253C4"/>
    <w:rsid w:val="00C25C3E"/>
    <w:rsid w:val="00C25FE5"/>
    <w:rsid w:val="00C271C6"/>
    <w:rsid w:val="00C272DA"/>
    <w:rsid w:val="00C2756D"/>
    <w:rsid w:val="00C27759"/>
    <w:rsid w:val="00C278D4"/>
    <w:rsid w:val="00C2795A"/>
    <w:rsid w:val="00C27D96"/>
    <w:rsid w:val="00C30058"/>
    <w:rsid w:val="00C3016B"/>
    <w:rsid w:val="00C317A2"/>
    <w:rsid w:val="00C31E56"/>
    <w:rsid w:val="00C31F08"/>
    <w:rsid w:val="00C32347"/>
    <w:rsid w:val="00C3264F"/>
    <w:rsid w:val="00C32D82"/>
    <w:rsid w:val="00C33511"/>
    <w:rsid w:val="00C3359B"/>
    <w:rsid w:val="00C33850"/>
    <w:rsid w:val="00C338F0"/>
    <w:rsid w:val="00C343FC"/>
    <w:rsid w:val="00C34436"/>
    <w:rsid w:val="00C344DE"/>
    <w:rsid w:val="00C34A62"/>
    <w:rsid w:val="00C3501E"/>
    <w:rsid w:val="00C3533D"/>
    <w:rsid w:val="00C3550F"/>
    <w:rsid w:val="00C3569A"/>
    <w:rsid w:val="00C358F1"/>
    <w:rsid w:val="00C35C27"/>
    <w:rsid w:val="00C35EA2"/>
    <w:rsid w:val="00C35F5E"/>
    <w:rsid w:val="00C361DD"/>
    <w:rsid w:val="00C3651F"/>
    <w:rsid w:val="00C36633"/>
    <w:rsid w:val="00C36679"/>
    <w:rsid w:val="00C366BE"/>
    <w:rsid w:val="00C36C39"/>
    <w:rsid w:val="00C36CC1"/>
    <w:rsid w:val="00C36E9D"/>
    <w:rsid w:val="00C36F4F"/>
    <w:rsid w:val="00C37046"/>
    <w:rsid w:val="00C37609"/>
    <w:rsid w:val="00C37A2D"/>
    <w:rsid w:val="00C37ABF"/>
    <w:rsid w:val="00C37BF1"/>
    <w:rsid w:val="00C37C86"/>
    <w:rsid w:val="00C37F37"/>
    <w:rsid w:val="00C408D1"/>
    <w:rsid w:val="00C408E5"/>
    <w:rsid w:val="00C409AD"/>
    <w:rsid w:val="00C412B1"/>
    <w:rsid w:val="00C41770"/>
    <w:rsid w:val="00C424C0"/>
    <w:rsid w:val="00C424F7"/>
    <w:rsid w:val="00C42C48"/>
    <w:rsid w:val="00C43783"/>
    <w:rsid w:val="00C43AAD"/>
    <w:rsid w:val="00C43C21"/>
    <w:rsid w:val="00C4421B"/>
    <w:rsid w:val="00C442B7"/>
    <w:rsid w:val="00C4436C"/>
    <w:rsid w:val="00C44CEF"/>
    <w:rsid w:val="00C461B2"/>
    <w:rsid w:val="00C46CAA"/>
    <w:rsid w:val="00C46E06"/>
    <w:rsid w:val="00C47C5F"/>
    <w:rsid w:val="00C47C8E"/>
    <w:rsid w:val="00C50156"/>
    <w:rsid w:val="00C502A4"/>
    <w:rsid w:val="00C502CF"/>
    <w:rsid w:val="00C504B9"/>
    <w:rsid w:val="00C50993"/>
    <w:rsid w:val="00C51190"/>
    <w:rsid w:val="00C5127D"/>
    <w:rsid w:val="00C513A6"/>
    <w:rsid w:val="00C51589"/>
    <w:rsid w:val="00C51FC5"/>
    <w:rsid w:val="00C52252"/>
    <w:rsid w:val="00C52C76"/>
    <w:rsid w:val="00C52EFC"/>
    <w:rsid w:val="00C52F3F"/>
    <w:rsid w:val="00C52F6C"/>
    <w:rsid w:val="00C52FD1"/>
    <w:rsid w:val="00C53322"/>
    <w:rsid w:val="00C5359B"/>
    <w:rsid w:val="00C53708"/>
    <w:rsid w:val="00C538B4"/>
    <w:rsid w:val="00C53AF7"/>
    <w:rsid w:val="00C53F0D"/>
    <w:rsid w:val="00C54039"/>
    <w:rsid w:val="00C5416A"/>
    <w:rsid w:val="00C54181"/>
    <w:rsid w:val="00C5437D"/>
    <w:rsid w:val="00C546C7"/>
    <w:rsid w:val="00C549B6"/>
    <w:rsid w:val="00C54F88"/>
    <w:rsid w:val="00C554B5"/>
    <w:rsid w:val="00C55806"/>
    <w:rsid w:val="00C55D73"/>
    <w:rsid w:val="00C563DA"/>
    <w:rsid w:val="00C565B7"/>
    <w:rsid w:val="00C5696C"/>
    <w:rsid w:val="00C56E09"/>
    <w:rsid w:val="00C56EF2"/>
    <w:rsid w:val="00C56FC7"/>
    <w:rsid w:val="00C570A6"/>
    <w:rsid w:val="00C57317"/>
    <w:rsid w:val="00C578B3"/>
    <w:rsid w:val="00C579F3"/>
    <w:rsid w:val="00C57FC9"/>
    <w:rsid w:val="00C600B3"/>
    <w:rsid w:val="00C602A0"/>
    <w:rsid w:val="00C60ABF"/>
    <w:rsid w:val="00C61043"/>
    <w:rsid w:val="00C61464"/>
    <w:rsid w:val="00C619CB"/>
    <w:rsid w:val="00C61EC3"/>
    <w:rsid w:val="00C625C2"/>
    <w:rsid w:val="00C62C2F"/>
    <w:rsid w:val="00C63641"/>
    <w:rsid w:val="00C6634C"/>
    <w:rsid w:val="00C67084"/>
    <w:rsid w:val="00C6721B"/>
    <w:rsid w:val="00C6773A"/>
    <w:rsid w:val="00C67E8E"/>
    <w:rsid w:val="00C70002"/>
    <w:rsid w:val="00C7012A"/>
    <w:rsid w:val="00C7047A"/>
    <w:rsid w:val="00C7066D"/>
    <w:rsid w:val="00C70CC0"/>
    <w:rsid w:val="00C71036"/>
    <w:rsid w:val="00C710B8"/>
    <w:rsid w:val="00C71104"/>
    <w:rsid w:val="00C71270"/>
    <w:rsid w:val="00C7157E"/>
    <w:rsid w:val="00C7171B"/>
    <w:rsid w:val="00C71742"/>
    <w:rsid w:val="00C718AD"/>
    <w:rsid w:val="00C72177"/>
    <w:rsid w:val="00C731A2"/>
    <w:rsid w:val="00C7342A"/>
    <w:rsid w:val="00C734C3"/>
    <w:rsid w:val="00C7361F"/>
    <w:rsid w:val="00C74722"/>
    <w:rsid w:val="00C74B68"/>
    <w:rsid w:val="00C74B8C"/>
    <w:rsid w:val="00C7504F"/>
    <w:rsid w:val="00C753B4"/>
    <w:rsid w:val="00C753D1"/>
    <w:rsid w:val="00C754A3"/>
    <w:rsid w:val="00C755AD"/>
    <w:rsid w:val="00C7581E"/>
    <w:rsid w:val="00C76D28"/>
    <w:rsid w:val="00C778A6"/>
    <w:rsid w:val="00C77BE0"/>
    <w:rsid w:val="00C77C84"/>
    <w:rsid w:val="00C80827"/>
    <w:rsid w:val="00C808BA"/>
    <w:rsid w:val="00C812AC"/>
    <w:rsid w:val="00C8220D"/>
    <w:rsid w:val="00C823DB"/>
    <w:rsid w:val="00C8268F"/>
    <w:rsid w:val="00C828B1"/>
    <w:rsid w:val="00C8302E"/>
    <w:rsid w:val="00C83084"/>
    <w:rsid w:val="00C83535"/>
    <w:rsid w:val="00C83BD2"/>
    <w:rsid w:val="00C83D84"/>
    <w:rsid w:val="00C841FF"/>
    <w:rsid w:val="00C842D7"/>
    <w:rsid w:val="00C8433B"/>
    <w:rsid w:val="00C84665"/>
    <w:rsid w:val="00C848E0"/>
    <w:rsid w:val="00C84A73"/>
    <w:rsid w:val="00C84E1C"/>
    <w:rsid w:val="00C85C52"/>
    <w:rsid w:val="00C8608B"/>
    <w:rsid w:val="00C86558"/>
    <w:rsid w:val="00C86A12"/>
    <w:rsid w:val="00C86F31"/>
    <w:rsid w:val="00C871EC"/>
    <w:rsid w:val="00C87436"/>
    <w:rsid w:val="00C8748A"/>
    <w:rsid w:val="00C87C51"/>
    <w:rsid w:val="00C87E57"/>
    <w:rsid w:val="00C914DD"/>
    <w:rsid w:val="00C91651"/>
    <w:rsid w:val="00C917A4"/>
    <w:rsid w:val="00C918BA"/>
    <w:rsid w:val="00C91D94"/>
    <w:rsid w:val="00C922A2"/>
    <w:rsid w:val="00C92C36"/>
    <w:rsid w:val="00C939F2"/>
    <w:rsid w:val="00C93CC6"/>
    <w:rsid w:val="00C94102"/>
    <w:rsid w:val="00C9424A"/>
    <w:rsid w:val="00C94497"/>
    <w:rsid w:val="00C951CE"/>
    <w:rsid w:val="00C956F4"/>
    <w:rsid w:val="00C95962"/>
    <w:rsid w:val="00C95F9B"/>
    <w:rsid w:val="00C96512"/>
    <w:rsid w:val="00C96A7B"/>
    <w:rsid w:val="00C97A4E"/>
    <w:rsid w:val="00C97CEE"/>
    <w:rsid w:val="00C97E5D"/>
    <w:rsid w:val="00CA004A"/>
    <w:rsid w:val="00CA0493"/>
    <w:rsid w:val="00CA1113"/>
    <w:rsid w:val="00CA11A1"/>
    <w:rsid w:val="00CA1480"/>
    <w:rsid w:val="00CA15F1"/>
    <w:rsid w:val="00CA167B"/>
    <w:rsid w:val="00CA1697"/>
    <w:rsid w:val="00CA26EA"/>
    <w:rsid w:val="00CA2906"/>
    <w:rsid w:val="00CA2C65"/>
    <w:rsid w:val="00CA2CBC"/>
    <w:rsid w:val="00CA2FB2"/>
    <w:rsid w:val="00CA3505"/>
    <w:rsid w:val="00CA3BD1"/>
    <w:rsid w:val="00CA3C6F"/>
    <w:rsid w:val="00CA3D3A"/>
    <w:rsid w:val="00CA42D6"/>
    <w:rsid w:val="00CA4802"/>
    <w:rsid w:val="00CA5259"/>
    <w:rsid w:val="00CA528A"/>
    <w:rsid w:val="00CA543D"/>
    <w:rsid w:val="00CA560B"/>
    <w:rsid w:val="00CA59A6"/>
    <w:rsid w:val="00CA59D6"/>
    <w:rsid w:val="00CA5FCB"/>
    <w:rsid w:val="00CA6259"/>
    <w:rsid w:val="00CA7726"/>
    <w:rsid w:val="00CA78A4"/>
    <w:rsid w:val="00CB0DC0"/>
    <w:rsid w:val="00CB0EFF"/>
    <w:rsid w:val="00CB0FBC"/>
    <w:rsid w:val="00CB1225"/>
    <w:rsid w:val="00CB12EC"/>
    <w:rsid w:val="00CB1451"/>
    <w:rsid w:val="00CB1532"/>
    <w:rsid w:val="00CB15E9"/>
    <w:rsid w:val="00CB17E9"/>
    <w:rsid w:val="00CB1EE9"/>
    <w:rsid w:val="00CB2565"/>
    <w:rsid w:val="00CB25F2"/>
    <w:rsid w:val="00CB2BD5"/>
    <w:rsid w:val="00CB2E73"/>
    <w:rsid w:val="00CB3816"/>
    <w:rsid w:val="00CB3B18"/>
    <w:rsid w:val="00CB3B99"/>
    <w:rsid w:val="00CB407A"/>
    <w:rsid w:val="00CB4624"/>
    <w:rsid w:val="00CB4CF4"/>
    <w:rsid w:val="00CB4D90"/>
    <w:rsid w:val="00CB4FB9"/>
    <w:rsid w:val="00CB53C6"/>
    <w:rsid w:val="00CB581E"/>
    <w:rsid w:val="00CB5AB9"/>
    <w:rsid w:val="00CB5BF4"/>
    <w:rsid w:val="00CB5C55"/>
    <w:rsid w:val="00CB6545"/>
    <w:rsid w:val="00CB6549"/>
    <w:rsid w:val="00CB67A6"/>
    <w:rsid w:val="00CB6CD7"/>
    <w:rsid w:val="00CB74FF"/>
    <w:rsid w:val="00CB75C7"/>
    <w:rsid w:val="00CB77BA"/>
    <w:rsid w:val="00CB7A9C"/>
    <w:rsid w:val="00CB7CF3"/>
    <w:rsid w:val="00CC0DCE"/>
    <w:rsid w:val="00CC11EF"/>
    <w:rsid w:val="00CC1298"/>
    <w:rsid w:val="00CC1318"/>
    <w:rsid w:val="00CC16E1"/>
    <w:rsid w:val="00CC17E3"/>
    <w:rsid w:val="00CC1D1A"/>
    <w:rsid w:val="00CC2428"/>
    <w:rsid w:val="00CC24F5"/>
    <w:rsid w:val="00CC25F1"/>
    <w:rsid w:val="00CC264A"/>
    <w:rsid w:val="00CC278B"/>
    <w:rsid w:val="00CC2F8A"/>
    <w:rsid w:val="00CC418F"/>
    <w:rsid w:val="00CC4328"/>
    <w:rsid w:val="00CC4749"/>
    <w:rsid w:val="00CC483B"/>
    <w:rsid w:val="00CC498F"/>
    <w:rsid w:val="00CC4CFD"/>
    <w:rsid w:val="00CC50CC"/>
    <w:rsid w:val="00CC50D8"/>
    <w:rsid w:val="00CC53B7"/>
    <w:rsid w:val="00CC5B17"/>
    <w:rsid w:val="00CC5C38"/>
    <w:rsid w:val="00CC60A4"/>
    <w:rsid w:val="00CC6260"/>
    <w:rsid w:val="00CC681C"/>
    <w:rsid w:val="00CC6DFB"/>
    <w:rsid w:val="00CC6F56"/>
    <w:rsid w:val="00CC6FCD"/>
    <w:rsid w:val="00CC703E"/>
    <w:rsid w:val="00CC787A"/>
    <w:rsid w:val="00CD05AD"/>
    <w:rsid w:val="00CD06DD"/>
    <w:rsid w:val="00CD1404"/>
    <w:rsid w:val="00CD142A"/>
    <w:rsid w:val="00CD1E1F"/>
    <w:rsid w:val="00CD1F51"/>
    <w:rsid w:val="00CD2282"/>
    <w:rsid w:val="00CD2692"/>
    <w:rsid w:val="00CD2E86"/>
    <w:rsid w:val="00CD3019"/>
    <w:rsid w:val="00CD3F35"/>
    <w:rsid w:val="00CD4034"/>
    <w:rsid w:val="00CD40B5"/>
    <w:rsid w:val="00CD42C3"/>
    <w:rsid w:val="00CD59D9"/>
    <w:rsid w:val="00CD5C72"/>
    <w:rsid w:val="00CD5F38"/>
    <w:rsid w:val="00CD713A"/>
    <w:rsid w:val="00CD7BA0"/>
    <w:rsid w:val="00CD7DDD"/>
    <w:rsid w:val="00CE05EC"/>
    <w:rsid w:val="00CE0832"/>
    <w:rsid w:val="00CE10E9"/>
    <w:rsid w:val="00CE1AA6"/>
    <w:rsid w:val="00CE1D7F"/>
    <w:rsid w:val="00CE28E3"/>
    <w:rsid w:val="00CE2CF1"/>
    <w:rsid w:val="00CE2D68"/>
    <w:rsid w:val="00CE36E4"/>
    <w:rsid w:val="00CE3B3B"/>
    <w:rsid w:val="00CE413C"/>
    <w:rsid w:val="00CE453E"/>
    <w:rsid w:val="00CE45C2"/>
    <w:rsid w:val="00CE48FD"/>
    <w:rsid w:val="00CE5190"/>
    <w:rsid w:val="00CE57CD"/>
    <w:rsid w:val="00CE6A00"/>
    <w:rsid w:val="00CE6A65"/>
    <w:rsid w:val="00CE71E8"/>
    <w:rsid w:val="00CE7347"/>
    <w:rsid w:val="00CE7420"/>
    <w:rsid w:val="00CE7A5B"/>
    <w:rsid w:val="00CF0F58"/>
    <w:rsid w:val="00CF1A2D"/>
    <w:rsid w:val="00CF1E67"/>
    <w:rsid w:val="00CF2913"/>
    <w:rsid w:val="00CF34FC"/>
    <w:rsid w:val="00CF3581"/>
    <w:rsid w:val="00CF3B53"/>
    <w:rsid w:val="00CF3B6D"/>
    <w:rsid w:val="00CF41E1"/>
    <w:rsid w:val="00CF439F"/>
    <w:rsid w:val="00CF4570"/>
    <w:rsid w:val="00CF45B6"/>
    <w:rsid w:val="00CF48EE"/>
    <w:rsid w:val="00CF5627"/>
    <w:rsid w:val="00CF5635"/>
    <w:rsid w:val="00CF5690"/>
    <w:rsid w:val="00CF595B"/>
    <w:rsid w:val="00CF5A0C"/>
    <w:rsid w:val="00CF61CA"/>
    <w:rsid w:val="00CF64B4"/>
    <w:rsid w:val="00CF65BA"/>
    <w:rsid w:val="00CF7120"/>
    <w:rsid w:val="00CF724C"/>
    <w:rsid w:val="00CF7583"/>
    <w:rsid w:val="00CF76AF"/>
    <w:rsid w:val="00D00076"/>
    <w:rsid w:val="00D001B4"/>
    <w:rsid w:val="00D003B7"/>
    <w:rsid w:val="00D00B0D"/>
    <w:rsid w:val="00D00D23"/>
    <w:rsid w:val="00D00E36"/>
    <w:rsid w:val="00D01192"/>
    <w:rsid w:val="00D011C9"/>
    <w:rsid w:val="00D0184E"/>
    <w:rsid w:val="00D024DD"/>
    <w:rsid w:val="00D0258F"/>
    <w:rsid w:val="00D02F4F"/>
    <w:rsid w:val="00D03A0C"/>
    <w:rsid w:val="00D03CF1"/>
    <w:rsid w:val="00D041D6"/>
    <w:rsid w:val="00D044ED"/>
    <w:rsid w:val="00D04CB3"/>
    <w:rsid w:val="00D04E5C"/>
    <w:rsid w:val="00D050F8"/>
    <w:rsid w:val="00D058AE"/>
    <w:rsid w:val="00D05FC4"/>
    <w:rsid w:val="00D063DC"/>
    <w:rsid w:val="00D06BD2"/>
    <w:rsid w:val="00D06CA3"/>
    <w:rsid w:val="00D071E6"/>
    <w:rsid w:val="00D076A5"/>
    <w:rsid w:val="00D0789F"/>
    <w:rsid w:val="00D10261"/>
    <w:rsid w:val="00D104DE"/>
    <w:rsid w:val="00D10C33"/>
    <w:rsid w:val="00D10C3D"/>
    <w:rsid w:val="00D114F4"/>
    <w:rsid w:val="00D11E20"/>
    <w:rsid w:val="00D11E65"/>
    <w:rsid w:val="00D122BA"/>
    <w:rsid w:val="00D12308"/>
    <w:rsid w:val="00D1243F"/>
    <w:rsid w:val="00D12939"/>
    <w:rsid w:val="00D12A5F"/>
    <w:rsid w:val="00D12B27"/>
    <w:rsid w:val="00D132DF"/>
    <w:rsid w:val="00D1346A"/>
    <w:rsid w:val="00D13865"/>
    <w:rsid w:val="00D13C6E"/>
    <w:rsid w:val="00D144D9"/>
    <w:rsid w:val="00D14772"/>
    <w:rsid w:val="00D14B2B"/>
    <w:rsid w:val="00D14DDA"/>
    <w:rsid w:val="00D14E59"/>
    <w:rsid w:val="00D15221"/>
    <w:rsid w:val="00D154CF"/>
    <w:rsid w:val="00D15676"/>
    <w:rsid w:val="00D156AA"/>
    <w:rsid w:val="00D158A5"/>
    <w:rsid w:val="00D1596B"/>
    <w:rsid w:val="00D15E53"/>
    <w:rsid w:val="00D1692D"/>
    <w:rsid w:val="00D16DD9"/>
    <w:rsid w:val="00D16E03"/>
    <w:rsid w:val="00D1761A"/>
    <w:rsid w:val="00D17A82"/>
    <w:rsid w:val="00D17A93"/>
    <w:rsid w:val="00D17F90"/>
    <w:rsid w:val="00D20031"/>
    <w:rsid w:val="00D2094C"/>
    <w:rsid w:val="00D21C58"/>
    <w:rsid w:val="00D22803"/>
    <w:rsid w:val="00D22827"/>
    <w:rsid w:val="00D23570"/>
    <w:rsid w:val="00D23C77"/>
    <w:rsid w:val="00D241BD"/>
    <w:rsid w:val="00D241EC"/>
    <w:rsid w:val="00D24573"/>
    <w:rsid w:val="00D245A6"/>
    <w:rsid w:val="00D245E0"/>
    <w:rsid w:val="00D2507A"/>
    <w:rsid w:val="00D25756"/>
    <w:rsid w:val="00D25866"/>
    <w:rsid w:val="00D25F24"/>
    <w:rsid w:val="00D261A7"/>
    <w:rsid w:val="00D26F39"/>
    <w:rsid w:val="00D273AC"/>
    <w:rsid w:val="00D2752C"/>
    <w:rsid w:val="00D27FA0"/>
    <w:rsid w:val="00D302EF"/>
    <w:rsid w:val="00D3038F"/>
    <w:rsid w:val="00D3040E"/>
    <w:rsid w:val="00D313B3"/>
    <w:rsid w:val="00D31BEA"/>
    <w:rsid w:val="00D31C1D"/>
    <w:rsid w:val="00D31EC1"/>
    <w:rsid w:val="00D32003"/>
    <w:rsid w:val="00D321F9"/>
    <w:rsid w:val="00D3292B"/>
    <w:rsid w:val="00D32A4F"/>
    <w:rsid w:val="00D32C59"/>
    <w:rsid w:val="00D33439"/>
    <w:rsid w:val="00D3390A"/>
    <w:rsid w:val="00D33DFA"/>
    <w:rsid w:val="00D33F02"/>
    <w:rsid w:val="00D34377"/>
    <w:rsid w:val="00D34A37"/>
    <w:rsid w:val="00D358F7"/>
    <w:rsid w:val="00D35B3C"/>
    <w:rsid w:val="00D35CBE"/>
    <w:rsid w:val="00D360E7"/>
    <w:rsid w:val="00D361B2"/>
    <w:rsid w:val="00D36376"/>
    <w:rsid w:val="00D363F8"/>
    <w:rsid w:val="00D36411"/>
    <w:rsid w:val="00D365B2"/>
    <w:rsid w:val="00D36E67"/>
    <w:rsid w:val="00D36F1B"/>
    <w:rsid w:val="00D3733B"/>
    <w:rsid w:val="00D3785B"/>
    <w:rsid w:val="00D37904"/>
    <w:rsid w:val="00D37DD9"/>
    <w:rsid w:val="00D37EF5"/>
    <w:rsid w:val="00D40198"/>
    <w:rsid w:val="00D40462"/>
    <w:rsid w:val="00D4095A"/>
    <w:rsid w:val="00D40E18"/>
    <w:rsid w:val="00D41083"/>
    <w:rsid w:val="00D41169"/>
    <w:rsid w:val="00D419BE"/>
    <w:rsid w:val="00D419C9"/>
    <w:rsid w:val="00D42100"/>
    <w:rsid w:val="00D4214E"/>
    <w:rsid w:val="00D428B9"/>
    <w:rsid w:val="00D42971"/>
    <w:rsid w:val="00D42E16"/>
    <w:rsid w:val="00D42E69"/>
    <w:rsid w:val="00D42EEC"/>
    <w:rsid w:val="00D42FFB"/>
    <w:rsid w:val="00D43246"/>
    <w:rsid w:val="00D43442"/>
    <w:rsid w:val="00D43557"/>
    <w:rsid w:val="00D442E0"/>
    <w:rsid w:val="00D450E1"/>
    <w:rsid w:val="00D45129"/>
    <w:rsid w:val="00D4521C"/>
    <w:rsid w:val="00D45498"/>
    <w:rsid w:val="00D45750"/>
    <w:rsid w:val="00D457B1"/>
    <w:rsid w:val="00D457EA"/>
    <w:rsid w:val="00D45C42"/>
    <w:rsid w:val="00D46575"/>
    <w:rsid w:val="00D46923"/>
    <w:rsid w:val="00D46B86"/>
    <w:rsid w:val="00D47284"/>
    <w:rsid w:val="00D4739B"/>
    <w:rsid w:val="00D50544"/>
    <w:rsid w:val="00D50D7A"/>
    <w:rsid w:val="00D517B3"/>
    <w:rsid w:val="00D523B2"/>
    <w:rsid w:val="00D52598"/>
    <w:rsid w:val="00D52E54"/>
    <w:rsid w:val="00D52EB8"/>
    <w:rsid w:val="00D52FF5"/>
    <w:rsid w:val="00D5388D"/>
    <w:rsid w:val="00D53972"/>
    <w:rsid w:val="00D539EB"/>
    <w:rsid w:val="00D53CF5"/>
    <w:rsid w:val="00D53FF9"/>
    <w:rsid w:val="00D54E71"/>
    <w:rsid w:val="00D55195"/>
    <w:rsid w:val="00D55466"/>
    <w:rsid w:val="00D55531"/>
    <w:rsid w:val="00D5555D"/>
    <w:rsid w:val="00D55623"/>
    <w:rsid w:val="00D556D3"/>
    <w:rsid w:val="00D55AEA"/>
    <w:rsid w:val="00D56201"/>
    <w:rsid w:val="00D5645C"/>
    <w:rsid w:val="00D565FD"/>
    <w:rsid w:val="00D566E4"/>
    <w:rsid w:val="00D56740"/>
    <w:rsid w:val="00D567A9"/>
    <w:rsid w:val="00D568AE"/>
    <w:rsid w:val="00D56934"/>
    <w:rsid w:val="00D56C17"/>
    <w:rsid w:val="00D56DFA"/>
    <w:rsid w:val="00D5799D"/>
    <w:rsid w:val="00D57E79"/>
    <w:rsid w:val="00D60082"/>
    <w:rsid w:val="00D60376"/>
    <w:rsid w:val="00D608E5"/>
    <w:rsid w:val="00D60B29"/>
    <w:rsid w:val="00D60E22"/>
    <w:rsid w:val="00D61302"/>
    <w:rsid w:val="00D613B2"/>
    <w:rsid w:val="00D61894"/>
    <w:rsid w:val="00D61B01"/>
    <w:rsid w:val="00D61EA0"/>
    <w:rsid w:val="00D61FE0"/>
    <w:rsid w:val="00D62A4F"/>
    <w:rsid w:val="00D62A86"/>
    <w:rsid w:val="00D62E08"/>
    <w:rsid w:val="00D62F4D"/>
    <w:rsid w:val="00D646E1"/>
    <w:rsid w:val="00D64D08"/>
    <w:rsid w:val="00D64D84"/>
    <w:rsid w:val="00D64F17"/>
    <w:rsid w:val="00D65072"/>
    <w:rsid w:val="00D652D9"/>
    <w:rsid w:val="00D659DF"/>
    <w:rsid w:val="00D65E79"/>
    <w:rsid w:val="00D65F45"/>
    <w:rsid w:val="00D661D0"/>
    <w:rsid w:val="00D66638"/>
    <w:rsid w:val="00D666EB"/>
    <w:rsid w:val="00D67753"/>
    <w:rsid w:val="00D70DDA"/>
    <w:rsid w:val="00D71180"/>
    <w:rsid w:val="00D7128F"/>
    <w:rsid w:val="00D7152E"/>
    <w:rsid w:val="00D71AF9"/>
    <w:rsid w:val="00D71EBD"/>
    <w:rsid w:val="00D7202A"/>
    <w:rsid w:val="00D72236"/>
    <w:rsid w:val="00D72C4A"/>
    <w:rsid w:val="00D73AD9"/>
    <w:rsid w:val="00D74074"/>
    <w:rsid w:val="00D740F2"/>
    <w:rsid w:val="00D74395"/>
    <w:rsid w:val="00D76A54"/>
    <w:rsid w:val="00D77793"/>
    <w:rsid w:val="00D80752"/>
    <w:rsid w:val="00D80C29"/>
    <w:rsid w:val="00D8103B"/>
    <w:rsid w:val="00D81631"/>
    <w:rsid w:val="00D817E7"/>
    <w:rsid w:val="00D81EC4"/>
    <w:rsid w:val="00D82039"/>
    <w:rsid w:val="00D82E97"/>
    <w:rsid w:val="00D8316D"/>
    <w:rsid w:val="00D83421"/>
    <w:rsid w:val="00D835D3"/>
    <w:rsid w:val="00D8369B"/>
    <w:rsid w:val="00D83B51"/>
    <w:rsid w:val="00D84400"/>
    <w:rsid w:val="00D84551"/>
    <w:rsid w:val="00D84657"/>
    <w:rsid w:val="00D849F6"/>
    <w:rsid w:val="00D84ECA"/>
    <w:rsid w:val="00D8525E"/>
    <w:rsid w:val="00D862BF"/>
    <w:rsid w:val="00D865EE"/>
    <w:rsid w:val="00D868D9"/>
    <w:rsid w:val="00D87210"/>
    <w:rsid w:val="00D87377"/>
    <w:rsid w:val="00D87397"/>
    <w:rsid w:val="00D8770E"/>
    <w:rsid w:val="00D87720"/>
    <w:rsid w:val="00D87DDC"/>
    <w:rsid w:val="00D9041B"/>
    <w:rsid w:val="00D90957"/>
    <w:rsid w:val="00D90DBB"/>
    <w:rsid w:val="00D90E43"/>
    <w:rsid w:val="00D90F53"/>
    <w:rsid w:val="00D9141D"/>
    <w:rsid w:val="00D91D14"/>
    <w:rsid w:val="00D92427"/>
    <w:rsid w:val="00D925DB"/>
    <w:rsid w:val="00D929A6"/>
    <w:rsid w:val="00D92E57"/>
    <w:rsid w:val="00D92F81"/>
    <w:rsid w:val="00D93101"/>
    <w:rsid w:val="00D938E0"/>
    <w:rsid w:val="00D939D7"/>
    <w:rsid w:val="00D93CD9"/>
    <w:rsid w:val="00D93F0F"/>
    <w:rsid w:val="00D9421D"/>
    <w:rsid w:val="00D946C9"/>
    <w:rsid w:val="00D94CF3"/>
    <w:rsid w:val="00D94D9C"/>
    <w:rsid w:val="00D94F86"/>
    <w:rsid w:val="00D96035"/>
    <w:rsid w:val="00D961CC"/>
    <w:rsid w:val="00D962AE"/>
    <w:rsid w:val="00D965AD"/>
    <w:rsid w:val="00D9669C"/>
    <w:rsid w:val="00D967A8"/>
    <w:rsid w:val="00D96AAB"/>
    <w:rsid w:val="00D974BC"/>
    <w:rsid w:val="00D976AD"/>
    <w:rsid w:val="00D97813"/>
    <w:rsid w:val="00D97DC3"/>
    <w:rsid w:val="00DA02B3"/>
    <w:rsid w:val="00DA058E"/>
    <w:rsid w:val="00DA0C62"/>
    <w:rsid w:val="00DA115C"/>
    <w:rsid w:val="00DA1486"/>
    <w:rsid w:val="00DA1DF3"/>
    <w:rsid w:val="00DA1FB1"/>
    <w:rsid w:val="00DA2871"/>
    <w:rsid w:val="00DA299E"/>
    <w:rsid w:val="00DA2BF7"/>
    <w:rsid w:val="00DA3097"/>
    <w:rsid w:val="00DA341E"/>
    <w:rsid w:val="00DA3C25"/>
    <w:rsid w:val="00DA45EA"/>
    <w:rsid w:val="00DA469A"/>
    <w:rsid w:val="00DA512C"/>
    <w:rsid w:val="00DA5804"/>
    <w:rsid w:val="00DA59EE"/>
    <w:rsid w:val="00DA5A83"/>
    <w:rsid w:val="00DA5CE6"/>
    <w:rsid w:val="00DA615C"/>
    <w:rsid w:val="00DA61DF"/>
    <w:rsid w:val="00DA6358"/>
    <w:rsid w:val="00DA66B3"/>
    <w:rsid w:val="00DA6765"/>
    <w:rsid w:val="00DA67E1"/>
    <w:rsid w:val="00DA6C44"/>
    <w:rsid w:val="00DA6CBA"/>
    <w:rsid w:val="00DA7189"/>
    <w:rsid w:val="00DA73AA"/>
    <w:rsid w:val="00DA7700"/>
    <w:rsid w:val="00DA7A88"/>
    <w:rsid w:val="00DA7C79"/>
    <w:rsid w:val="00DB003C"/>
    <w:rsid w:val="00DB009D"/>
    <w:rsid w:val="00DB0D54"/>
    <w:rsid w:val="00DB1E7D"/>
    <w:rsid w:val="00DB1E91"/>
    <w:rsid w:val="00DB1EE1"/>
    <w:rsid w:val="00DB2FBC"/>
    <w:rsid w:val="00DB36CF"/>
    <w:rsid w:val="00DB3701"/>
    <w:rsid w:val="00DB38D4"/>
    <w:rsid w:val="00DB4080"/>
    <w:rsid w:val="00DB4314"/>
    <w:rsid w:val="00DB4410"/>
    <w:rsid w:val="00DB4F44"/>
    <w:rsid w:val="00DB5117"/>
    <w:rsid w:val="00DB53C7"/>
    <w:rsid w:val="00DB542A"/>
    <w:rsid w:val="00DB557E"/>
    <w:rsid w:val="00DB6031"/>
    <w:rsid w:val="00DB664A"/>
    <w:rsid w:val="00DB667B"/>
    <w:rsid w:val="00DB6C2B"/>
    <w:rsid w:val="00DB70E1"/>
    <w:rsid w:val="00DB7463"/>
    <w:rsid w:val="00DB765A"/>
    <w:rsid w:val="00DB7B04"/>
    <w:rsid w:val="00DC05E4"/>
    <w:rsid w:val="00DC093A"/>
    <w:rsid w:val="00DC0CCD"/>
    <w:rsid w:val="00DC0D6E"/>
    <w:rsid w:val="00DC0F85"/>
    <w:rsid w:val="00DC14AF"/>
    <w:rsid w:val="00DC1720"/>
    <w:rsid w:val="00DC1A9F"/>
    <w:rsid w:val="00DC1EAE"/>
    <w:rsid w:val="00DC2443"/>
    <w:rsid w:val="00DC2688"/>
    <w:rsid w:val="00DC356C"/>
    <w:rsid w:val="00DC3633"/>
    <w:rsid w:val="00DC3CC1"/>
    <w:rsid w:val="00DC4108"/>
    <w:rsid w:val="00DC41F0"/>
    <w:rsid w:val="00DC4401"/>
    <w:rsid w:val="00DC4EC7"/>
    <w:rsid w:val="00DC4ECC"/>
    <w:rsid w:val="00DC4F64"/>
    <w:rsid w:val="00DC4F7F"/>
    <w:rsid w:val="00DC50C5"/>
    <w:rsid w:val="00DC5367"/>
    <w:rsid w:val="00DC566A"/>
    <w:rsid w:val="00DC577A"/>
    <w:rsid w:val="00DC5A50"/>
    <w:rsid w:val="00DC5D82"/>
    <w:rsid w:val="00DC6199"/>
    <w:rsid w:val="00DC644A"/>
    <w:rsid w:val="00DC64A7"/>
    <w:rsid w:val="00DC65F1"/>
    <w:rsid w:val="00DC66F6"/>
    <w:rsid w:val="00DC797A"/>
    <w:rsid w:val="00DD0474"/>
    <w:rsid w:val="00DD085E"/>
    <w:rsid w:val="00DD092F"/>
    <w:rsid w:val="00DD0953"/>
    <w:rsid w:val="00DD12F3"/>
    <w:rsid w:val="00DD176E"/>
    <w:rsid w:val="00DD1A95"/>
    <w:rsid w:val="00DD2BD9"/>
    <w:rsid w:val="00DD2C81"/>
    <w:rsid w:val="00DD2E0B"/>
    <w:rsid w:val="00DD3136"/>
    <w:rsid w:val="00DD354B"/>
    <w:rsid w:val="00DD38E7"/>
    <w:rsid w:val="00DD3F7B"/>
    <w:rsid w:val="00DD41E6"/>
    <w:rsid w:val="00DD4213"/>
    <w:rsid w:val="00DD428F"/>
    <w:rsid w:val="00DD4A23"/>
    <w:rsid w:val="00DD4B7E"/>
    <w:rsid w:val="00DD4CB4"/>
    <w:rsid w:val="00DD596E"/>
    <w:rsid w:val="00DD5DE9"/>
    <w:rsid w:val="00DD604D"/>
    <w:rsid w:val="00DD60C1"/>
    <w:rsid w:val="00DD6121"/>
    <w:rsid w:val="00DD64AA"/>
    <w:rsid w:val="00DD6E72"/>
    <w:rsid w:val="00DD7A9F"/>
    <w:rsid w:val="00DD7E78"/>
    <w:rsid w:val="00DD7F4D"/>
    <w:rsid w:val="00DE0C7F"/>
    <w:rsid w:val="00DE1221"/>
    <w:rsid w:val="00DE1547"/>
    <w:rsid w:val="00DE15B6"/>
    <w:rsid w:val="00DE18A2"/>
    <w:rsid w:val="00DE19EA"/>
    <w:rsid w:val="00DE1B4D"/>
    <w:rsid w:val="00DE1C1F"/>
    <w:rsid w:val="00DE1E06"/>
    <w:rsid w:val="00DE2496"/>
    <w:rsid w:val="00DE27B8"/>
    <w:rsid w:val="00DE2C61"/>
    <w:rsid w:val="00DE2E9D"/>
    <w:rsid w:val="00DE2FFC"/>
    <w:rsid w:val="00DE3180"/>
    <w:rsid w:val="00DE405E"/>
    <w:rsid w:val="00DE44F3"/>
    <w:rsid w:val="00DE44FA"/>
    <w:rsid w:val="00DE4A12"/>
    <w:rsid w:val="00DE4C40"/>
    <w:rsid w:val="00DE4FC7"/>
    <w:rsid w:val="00DE56EB"/>
    <w:rsid w:val="00DE56EC"/>
    <w:rsid w:val="00DE58AC"/>
    <w:rsid w:val="00DE6724"/>
    <w:rsid w:val="00DE688A"/>
    <w:rsid w:val="00DE6E1D"/>
    <w:rsid w:val="00DE6E21"/>
    <w:rsid w:val="00DE7099"/>
    <w:rsid w:val="00DE7133"/>
    <w:rsid w:val="00DE7141"/>
    <w:rsid w:val="00DE726D"/>
    <w:rsid w:val="00DE72E2"/>
    <w:rsid w:val="00DE732C"/>
    <w:rsid w:val="00DF06D0"/>
    <w:rsid w:val="00DF0FAA"/>
    <w:rsid w:val="00DF12A4"/>
    <w:rsid w:val="00DF17E5"/>
    <w:rsid w:val="00DF1AAC"/>
    <w:rsid w:val="00DF1F3C"/>
    <w:rsid w:val="00DF24BA"/>
    <w:rsid w:val="00DF2DC7"/>
    <w:rsid w:val="00DF2FE1"/>
    <w:rsid w:val="00DF341B"/>
    <w:rsid w:val="00DF39E9"/>
    <w:rsid w:val="00DF3B1D"/>
    <w:rsid w:val="00DF3DEF"/>
    <w:rsid w:val="00DF3F22"/>
    <w:rsid w:val="00DF431B"/>
    <w:rsid w:val="00DF4879"/>
    <w:rsid w:val="00DF4F42"/>
    <w:rsid w:val="00DF5070"/>
    <w:rsid w:val="00DF5458"/>
    <w:rsid w:val="00DF5618"/>
    <w:rsid w:val="00DF5FDE"/>
    <w:rsid w:val="00DF604B"/>
    <w:rsid w:val="00DF6C4A"/>
    <w:rsid w:val="00DF6EBE"/>
    <w:rsid w:val="00DF6FA2"/>
    <w:rsid w:val="00DF7426"/>
    <w:rsid w:val="00DF74D9"/>
    <w:rsid w:val="00E00651"/>
    <w:rsid w:val="00E0142B"/>
    <w:rsid w:val="00E014BF"/>
    <w:rsid w:val="00E018F8"/>
    <w:rsid w:val="00E01DC3"/>
    <w:rsid w:val="00E023C4"/>
    <w:rsid w:val="00E024C1"/>
    <w:rsid w:val="00E025CE"/>
    <w:rsid w:val="00E0279C"/>
    <w:rsid w:val="00E0310F"/>
    <w:rsid w:val="00E03157"/>
    <w:rsid w:val="00E0360B"/>
    <w:rsid w:val="00E0384E"/>
    <w:rsid w:val="00E03A96"/>
    <w:rsid w:val="00E04272"/>
    <w:rsid w:val="00E04407"/>
    <w:rsid w:val="00E04A33"/>
    <w:rsid w:val="00E04ADE"/>
    <w:rsid w:val="00E04C29"/>
    <w:rsid w:val="00E0501C"/>
    <w:rsid w:val="00E053BE"/>
    <w:rsid w:val="00E055D4"/>
    <w:rsid w:val="00E05BA6"/>
    <w:rsid w:val="00E05D56"/>
    <w:rsid w:val="00E06772"/>
    <w:rsid w:val="00E068B7"/>
    <w:rsid w:val="00E06985"/>
    <w:rsid w:val="00E06E86"/>
    <w:rsid w:val="00E0729D"/>
    <w:rsid w:val="00E0753C"/>
    <w:rsid w:val="00E079B8"/>
    <w:rsid w:val="00E07BA5"/>
    <w:rsid w:val="00E10230"/>
    <w:rsid w:val="00E10319"/>
    <w:rsid w:val="00E103F3"/>
    <w:rsid w:val="00E105A9"/>
    <w:rsid w:val="00E10973"/>
    <w:rsid w:val="00E10A7E"/>
    <w:rsid w:val="00E10AE0"/>
    <w:rsid w:val="00E10EEB"/>
    <w:rsid w:val="00E10F5B"/>
    <w:rsid w:val="00E11C0D"/>
    <w:rsid w:val="00E11C80"/>
    <w:rsid w:val="00E12599"/>
    <w:rsid w:val="00E13BFD"/>
    <w:rsid w:val="00E14197"/>
    <w:rsid w:val="00E14AE4"/>
    <w:rsid w:val="00E15056"/>
    <w:rsid w:val="00E150BC"/>
    <w:rsid w:val="00E1511A"/>
    <w:rsid w:val="00E15697"/>
    <w:rsid w:val="00E15C1E"/>
    <w:rsid w:val="00E15CBF"/>
    <w:rsid w:val="00E15DB1"/>
    <w:rsid w:val="00E15E29"/>
    <w:rsid w:val="00E15F5F"/>
    <w:rsid w:val="00E170D4"/>
    <w:rsid w:val="00E17552"/>
    <w:rsid w:val="00E175BD"/>
    <w:rsid w:val="00E1760A"/>
    <w:rsid w:val="00E178B3"/>
    <w:rsid w:val="00E17DED"/>
    <w:rsid w:val="00E200C6"/>
    <w:rsid w:val="00E20305"/>
    <w:rsid w:val="00E20386"/>
    <w:rsid w:val="00E20D9C"/>
    <w:rsid w:val="00E20DDD"/>
    <w:rsid w:val="00E20DE5"/>
    <w:rsid w:val="00E20EF8"/>
    <w:rsid w:val="00E21833"/>
    <w:rsid w:val="00E21844"/>
    <w:rsid w:val="00E218F4"/>
    <w:rsid w:val="00E219A7"/>
    <w:rsid w:val="00E21B03"/>
    <w:rsid w:val="00E21CA2"/>
    <w:rsid w:val="00E222F0"/>
    <w:rsid w:val="00E22445"/>
    <w:rsid w:val="00E22C0F"/>
    <w:rsid w:val="00E232F0"/>
    <w:rsid w:val="00E23360"/>
    <w:rsid w:val="00E23D43"/>
    <w:rsid w:val="00E23D6F"/>
    <w:rsid w:val="00E23F72"/>
    <w:rsid w:val="00E24D25"/>
    <w:rsid w:val="00E259F6"/>
    <w:rsid w:val="00E25AD5"/>
    <w:rsid w:val="00E25F6E"/>
    <w:rsid w:val="00E260A3"/>
    <w:rsid w:val="00E263E0"/>
    <w:rsid w:val="00E26889"/>
    <w:rsid w:val="00E26B0B"/>
    <w:rsid w:val="00E26D15"/>
    <w:rsid w:val="00E27DDB"/>
    <w:rsid w:val="00E30C34"/>
    <w:rsid w:val="00E31115"/>
    <w:rsid w:val="00E312AA"/>
    <w:rsid w:val="00E312C4"/>
    <w:rsid w:val="00E31702"/>
    <w:rsid w:val="00E31B75"/>
    <w:rsid w:val="00E31C69"/>
    <w:rsid w:val="00E32205"/>
    <w:rsid w:val="00E3242E"/>
    <w:rsid w:val="00E32D49"/>
    <w:rsid w:val="00E330C9"/>
    <w:rsid w:val="00E3330E"/>
    <w:rsid w:val="00E3351F"/>
    <w:rsid w:val="00E3388C"/>
    <w:rsid w:val="00E3397B"/>
    <w:rsid w:val="00E33992"/>
    <w:rsid w:val="00E33DA3"/>
    <w:rsid w:val="00E34352"/>
    <w:rsid w:val="00E3529C"/>
    <w:rsid w:val="00E352DD"/>
    <w:rsid w:val="00E35312"/>
    <w:rsid w:val="00E3570D"/>
    <w:rsid w:val="00E35712"/>
    <w:rsid w:val="00E35D2B"/>
    <w:rsid w:val="00E35DCF"/>
    <w:rsid w:val="00E3624E"/>
    <w:rsid w:val="00E36C33"/>
    <w:rsid w:val="00E37190"/>
    <w:rsid w:val="00E37207"/>
    <w:rsid w:val="00E37237"/>
    <w:rsid w:val="00E375ED"/>
    <w:rsid w:val="00E37807"/>
    <w:rsid w:val="00E37B06"/>
    <w:rsid w:val="00E40A2F"/>
    <w:rsid w:val="00E40DAE"/>
    <w:rsid w:val="00E40F62"/>
    <w:rsid w:val="00E413BA"/>
    <w:rsid w:val="00E414F6"/>
    <w:rsid w:val="00E41A67"/>
    <w:rsid w:val="00E42DDF"/>
    <w:rsid w:val="00E43249"/>
    <w:rsid w:val="00E436A2"/>
    <w:rsid w:val="00E436EE"/>
    <w:rsid w:val="00E437A7"/>
    <w:rsid w:val="00E44886"/>
    <w:rsid w:val="00E45117"/>
    <w:rsid w:val="00E45237"/>
    <w:rsid w:val="00E45376"/>
    <w:rsid w:val="00E45848"/>
    <w:rsid w:val="00E458D8"/>
    <w:rsid w:val="00E46638"/>
    <w:rsid w:val="00E46756"/>
    <w:rsid w:val="00E46D57"/>
    <w:rsid w:val="00E46E5A"/>
    <w:rsid w:val="00E47267"/>
    <w:rsid w:val="00E47DA6"/>
    <w:rsid w:val="00E5053B"/>
    <w:rsid w:val="00E506DC"/>
    <w:rsid w:val="00E51006"/>
    <w:rsid w:val="00E51089"/>
    <w:rsid w:val="00E518A7"/>
    <w:rsid w:val="00E51FDA"/>
    <w:rsid w:val="00E52557"/>
    <w:rsid w:val="00E526AF"/>
    <w:rsid w:val="00E529F5"/>
    <w:rsid w:val="00E52A9E"/>
    <w:rsid w:val="00E52E5D"/>
    <w:rsid w:val="00E53181"/>
    <w:rsid w:val="00E5343A"/>
    <w:rsid w:val="00E5356B"/>
    <w:rsid w:val="00E53928"/>
    <w:rsid w:val="00E53E00"/>
    <w:rsid w:val="00E53E5A"/>
    <w:rsid w:val="00E53E85"/>
    <w:rsid w:val="00E54062"/>
    <w:rsid w:val="00E54221"/>
    <w:rsid w:val="00E551DB"/>
    <w:rsid w:val="00E55786"/>
    <w:rsid w:val="00E558D1"/>
    <w:rsid w:val="00E55CC1"/>
    <w:rsid w:val="00E56217"/>
    <w:rsid w:val="00E5650A"/>
    <w:rsid w:val="00E5667F"/>
    <w:rsid w:val="00E574EC"/>
    <w:rsid w:val="00E5769A"/>
    <w:rsid w:val="00E578A1"/>
    <w:rsid w:val="00E57AB7"/>
    <w:rsid w:val="00E57F9C"/>
    <w:rsid w:val="00E605D2"/>
    <w:rsid w:val="00E615F9"/>
    <w:rsid w:val="00E61885"/>
    <w:rsid w:val="00E6193C"/>
    <w:rsid w:val="00E61B00"/>
    <w:rsid w:val="00E61D35"/>
    <w:rsid w:val="00E61F16"/>
    <w:rsid w:val="00E629CF"/>
    <w:rsid w:val="00E62BC2"/>
    <w:rsid w:val="00E62DCB"/>
    <w:rsid w:val="00E63198"/>
    <w:rsid w:val="00E63B0D"/>
    <w:rsid w:val="00E63DAA"/>
    <w:rsid w:val="00E64380"/>
    <w:rsid w:val="00E6455B"/>
    <w:rsid w:val="00E647D9"/>
    <w:rsid w:val="00E65050"/>
    <w:rsid w:val="00E65215"/>
    <w:rsid w:val="00E652F3"/>
    <w:rsid w:val="00E65730"/>
    <w:rsid w:val="00E65BC8"/>
    <w:rsid w:val="00E66324"/>
    <w:rsid w:val="00E6695C"/>
    <w:rsid w:val="00E67609"/>
    <w:rsid w:val="00E67904"/>
    <w:rsid w:val="00E67A88"/>
    <w:rsid w:val="00E67AB7"/>
    <w:rsid w:val="00E67F79"/>
    <w:rsid w:val="00E7057E"/>
    <w:rsid w:val="00E70E1A"/>
    <w:rsid w:val="00E70FBD"/>
    <w:rsid w:val="00E7130D"/>
    <w:rsid w:val="00E71368"/>
    <w:rsid w:val="00E71EDA"/>
    <w:rsid w:val="00E7221D"/>
    <w:rsid w:val="00E72676"/>
    <w:rsid w:val="00E72B0D"/>
    <w:rsid w:val="00E734AB"/>
    <w:rsid w:val="00E73574"/>
    <w:rsid w:val="00E73D8F"/>
    <w:rsid w:val="00E74169"/>
    <w:rsid w:val="00E74590"/>
    <w:rsid w:val="00E74941"/>
    <w:rsid w:val="00E749BE"/>
    <w:rsid w:val="00E74F2A"/>
    <w:rsid w:val="00E75181"/>
    <w:rsid w:val="00E754AC"/>
    <w:rsid w:val="00E754AF"/>
    <w:rsid w:val="00E75629"/>
    <w:rsid w:val="00E7615F"/>
    <w:rsid w:val="00E7628F"/>
    <w:rsid w:val="00E76AE0"/>
    <w:rsid w:val="00E775C0"/>
    <w:rsid w:val="00E80073"/>
    <w:rsid w:val="00E804D8"/>
    <w:rsid w:val="00E80D89"/>
    <w:rsid w:val="00E81268"/>
    <w:rsid w:val="00E81806"/>
    <w:rsid w:val="00E81933"/>
    <w:rsid w:val="00E81A87"/>
    <w:rsid w:val="00E826FB"/>
    <w:rsid w:val="00E82D23"/>
    <w:rsid w:val="00E83265"/>
    <w:rsid w:val="00E83473"/>
    <w:rsid w:val="00E83948"/>
    <w:rsid w:val="00E83AEC"/>
    <w:rsid w:val="00E83CA9"/>
    <w:rsid w:val="00E83CF9"/>
    <w:rsid w:val="00E83D1F"/>
    <w:rsid w:val="00E8475E"/>
    <w:rsid w:val="00E848BE"/>
    <w:rsid w:val="00E84BCE"/>
    <w:rsid w:val="00E84C94"/>
    <w:rsid w:val="00E852C4"/>
    <w:rsid w:val="00E8548B"/>
    <w:rsid w:val="00E8582D"/>
    <w:rsid w:val="00E859D3"/>
    <w:rsid w:val="00E85EE9"/>
    <w:rsid w:val="00E85F97"/>
    <w:rsid w:val="00E8694D"/>
    <w:rsid w:val="00E87111"/>
    <w:rsid w:val="00E875C7"/>
    <w:rsid w:val="00E87B10"/>
    <w:rsid w:val="00E87B56"/>
    <w:rsid w:val="00E87DAA"/>
    <w:rsid w:val="00E90AB4"/>
    <w:rsid w:val="00E910F7"/>
    <w:rsid w:val="00E91211"/>
    <w:rsid w:val="00E917AA"/>
    <w:rsid w:val="00E920D5"/>
    <w:rsid w:val="00E922FC"/>
    <w:rsid w:val="00E9240C"/>
    <w:rsid w:val="00E92974"/>
    <w:rsid w:val="00E92F98"/>
    <w:rsid w:val="00E9331D"/>
    <w:rsid w:val="00E933AB"/>
    <w:rsid w:val="00E939A9"/>
    <w:rsid w:val="00E93B08"/>
    <w:rsid w:val="00E94300"/>
    <w:rsid w:val="00E9461C"/>
    <w:rsid w:val="00E94732"/>
    <w:rsid w:val="00E94AC0"/>
    <w:rsid w:val="00E94DB9"/>
    <w:rsid w:val="00E95322"/>
    <w:rsid w:val="00E95443"/>
    <w:rsid w:val="00E95490"/>
    <w:rsid w:val="00E955C6"/>
    <w:rsid w:val="00E955F7"/>
    <w:rsid w:val="00E957F8"/>
    <w:rsid w:val="00E95B9E"/>
    <w:rsid w:val="00E95E5A"/>
    <w:rsid w:val="00E961B8"/>
    <w:rsid w:val="00E968C1"/>
    <w:rsid w:val="00E96F10"/>
    <w:rsid w:val="00E9713F"/>
    <w:rsid w:val="00E971F6"/>
    <w:rsid w:val="00E97328"/>
    <w:rsid w:val="00E976AB"/>
    <w:rsid w:val="00EA0132"/>
    <w:rsid w:val="00EA0251"/>
    <w:rsid w:val="00EA04C2"/>
    <w:rsid w:val="00EA052F"/>
    <w:rsid w:val="00EA0CC5"/>
    <w:rsid w:val="00EA0E26"/>
    <w:rsid w:val="00EA0E54"/>
    <w:rsid w:val="00EA0ED8"/>
    <w:rsid w:val="00EA10E0"/>
    <w:rsid w:val="00EA1388"/>
    <w:rsid w:val="00EA1769"/>
    <w:rsid w:val="00EA1FBC"/>
    <w:rsid w:val="00EA2125"/>
    <w:rsid w:val="00EA2739"/>
    <w:rsid w:val="00EA2C7B"/>
    <w:rsid w:val="00EA2D16"/>
    <w:rsid w:val="00EA31D3"/>
    <w:rsid w:val="00EA3671"/>
    <w:rsid w:val="00EA3E08"/>
    <w:rsid w:val="00EA40F2"/>
    <w:rsid w:val="00EA44AE"/>
    <w:rsid w:val="00EA4732"/>
    <w:rsid w:val="00EA4993"/>
    <w:rsid w:val="00EA4CF1"/>
    <w:rsid w:val="00EA4DCA"/>
    <w:rsid w:val="00EA5129"/>
    <w:rsid w:val="00EA530F"/>
    <w:rsid w:val="00EA555F"/>
    <w:rsid w:val="00EA5714"/>
    <w:rsid w:val="00EA651B"/>
    <w:rsid w:val="00EA6692"/>
    <w:rsid w:val="00EA66A9"/>
    <w:rsid w:val="00EA68D8"/>
    <w:rsid w:val="00EA6F40"/>
    <w:rsid w:val="00EA71FD"/>
    <w:rsid w:val="00EA729D"/>
    <w:rsid w:val="00EA7565"/>
    <w:rsid w:val="00EA7835"/>
    <w:rsid w:val="00EA78EE"/>
    <w:rsid w:val="00EA7C9F"/>
    <w:rsid w:val="00EB0277"/>
    <w:rsid w:val="00EB03AD"/>
    <w:rsid w:val="00EB069C"/>
    <w:rsid w:val="00EB0903"/>
    <w:rsid w:val="00EB0DEA"/>
    <w:rsid w:val="00EB17F1"/>
    <w:rsid w:val="00EB1F63"/>
    <w:rsid w:val="00EB26A9"/>
    <w:rsid w:val="00EB27BC"/>
    <w:rsid w:val="00EB29D5"/>
    <w:rsid w:val="00EB2E08"/>
    <w:rsid w:val="00EB2EDE"/>
    <w:rsid w:val="00EB32D4"/>
    <w:rsid w:val="00EB38E7"/>
    <w:rsid w:val="00EB3C6E"/>
    <w:rsid w:val="00EB3D87"/>
    <w:rsid w:val="00EB4CD0"/>
    <w:rsid w:val="00EB51A4"/>
    <w:rsid w:val="00EB58C6"/>
    <w:rsid w:val="00EB5902"/>
    <w:rsid w:val="00EB5F61"/>
    <w:rsid w:val="00EB62CF"/>
    <w:rsid w:val="00EB69DE"/>
    <w:rsid w:val="00EB6A32"/>
    <w:rsid w:val="00EB710E"/>
    <w:rsid w:val="00EB7478"/>
    <w:rsid w:val="00EB7D86"/>
    <w:rsid w:val="00EC011A"/>
    <w:rsid w:val="00EC07FF"/>
    <w:rsid w:val="00EC0B23"/>
    <w:rsid w:val="00EC0BD9"/>
    <w:rsid w:val="00EC0F07"/>
    <w:rsid w:val="00EC1268"/>
    <w:rsid w:val="00EC2218"/>
    <w:rsid w:val="00EC2458"/>
    <w:rsid w:val="00EC2510"/>
    <w:rsid w:val="00EC2549"/>
    <w:rsid w:val="00EC2EE3"/>
    <w:rsid w:val="00EC33A0"/>
    <w:rsid w:val="00EC3A51"/>
    <w:rsid w:val="00EC3D82"/>
    <w:rsid w:val="00EC423F"/>
    <w:rsid w:val="00EC4396"/>
    <w:rsid w:val="00EC4836"/>
    <w:rsid w:val="00EC5081"/>
    <w:rsid w:val="00EC5088"/>
    <w:rsid w:val="00EC5341"/>
    <w:rsid w:val="00EC56C1"/>
    <w:rsid w:val="00EC5853"/>
    <w:rsid w:val="00EC5F40"/>
    <w:rsid w:val="00EC646B"/>
    <w:rsid w:val="00EC6DA3"/>
    <w:rsid w:val="00EC6E01"/>
    <w:rsid w:val="00EC7ABB"/>
    <w:rsid w:val="00EC7BC0"/>
    <w:rsid w:val="00EC7F72"/>
    <w:rsid w:val="00ED0056"/>
    <w:rsid w:val="00ED00F0"/>
    <w:rsid w:val="00ED01DC"/>
    <w:rsid w:val="00ED0586"/>
    <w:rsid w:val="00ED0A57"/>
    <w:rsid w:val="00ED0AD0"/>
    <w:rsid w:val="00ED0C17"/>
    <w:rsid w:val="00ED0E8D"/>
    <w:rsid w:val="00ED18B1"/>
    <w:rsid w:val="00ED1BB9"/>
    <w:rsid w:val="00ED20CB"/>
    <w:rsid w:val="00ED229F"/>
    <w:rsid w:val="00ED2809"/>
    <w:rsid w:val="00ED2DBF"/>
    <w:rsid w:val="00ED3A38"/>
    <w:rsid w:val="00ED42FB"/>
    <w:rsid w:val="00ED5098"/>
    <w:rsid w:val="00ED5663"/>
    <w:rsid w:val="00ED5E38"/>
    <w:rsid w:val="00ED6683"/>
    <w:rsid w:val="00ED6B51"/>
    <w:rsid w:val="00ED6FEC"/>
    <w:rsid w:val="00ED7C6F"/>
    <w:rsid w:val="00ED7D24"/>
    <w:rsid w:val="00ED7EE4"/>
    <w:rsid w:val="00EE1ECA"/>
    <w:rsid w:val="00EE1F15"/>
    <w:rsid w:val="00EE275F"/>
    <w:rsid w:val="00EE2F52"/>
    <w:rsid w:val="00EE306C"/>
    <w:rsid w:val="00EE3290"/>
    <w:rsid w:val="00EE3528"/>
    <w:rsid w:val="00EE39AB"/>
    <w:rsid w:val="00EE3A15"/>
    <w:rsid w:val="00EE4490"/>
    <w:rsid w:val="00EE451D"/>
    <w:rsid w:val="00EE45C4"/>
    <w:rsid w:val="00EE4733"/>
    <w:rsid w:val="00EE4EEF"/>
    <w:rsid w:val="00EE5CA5"/>
    <w:rsid w:val="00EE5D39"/>
    <w:rsid w:val="00EE6832"/>
    <w:rsid w:val="00EE69D2"/>
    <w:rsid w:val="00EE6D41"/>
    <w:rsid w:val="00EE7DBB"/>
    <w:rsid w:val="00EF0F6C"/>
    <w:rsid w:val="00EF1755"/>
    <w:rsid w:val="00EF1F4C"/>
    <w:rsid w:val="00EF2978"/>
    <w:rsid w:val="00EF3290"/>
    <w:rsid w:val="00EF32DC"/>
    <w:rsid w:val="00EF356C"/>
    <w:rsid w:val="00EF37F3"/>
    <w:rsid w:val="00EF3D58"/>
    <w:rsid w:val="00EF40A9"/>
    <w:rsid w:val="00EF41E6"/>
    <w:rsid w:val="00EF546E"/>
    <w:rsid w:val="00EF59A8"/>
    <w:rsid w:val="00EF5DC9"/>
    <w:rsid w:val="00EF623C"/>
    <w:rsid w:val="00EF62D8"/>
    <w:rsid w:val="00EF6A86"/>
    <w:rsid w:val="00EF7063"/>
    <w:rsid w:val="00EF7084"/>
    <w:rsid w:val="00EF7118"/>
    <w:rsid w:val="00EF7EF8"/>
    <w:rsid w:val="00F00BF6"/>
    <w:rsid w:val="00F0187D"/>
    <w:rsid w:val="00F01FEE"/>
    <w:rsid w:val="00F0209F"/>
    <w:rsid w:val="00F02887"/>
    <w:rsid w:val="00F03B39"/>
    <w:rsid w:val="00F04052"/>
    <w:rsid w:val="00F04249"/>
    <w:rsid w:val="00F0453A"/>
    <w:rsid w:val="00F04FED"/>
    <w:rsid w:val="00F05E02"/>
    <w:rsid w:val="00F0604A"/>
    <w:rsid w:val="00F06673"/>
    <w:rsid w:val="00F06955"/>
    <w:rsid w:val="00F06961"/>
    <w:rsid w:val="00F06AE0"/>
    <w:rsid w:val="00F07239"/>
    <w:rsid w:val="00F07A32"/>
    <w:rsid w:val="00F07A7B"/>
    <w:rsid w:val="00F07D1C"/>
    <w:rsid w:val="00F07FB2"/>
    <w:rsid w:val="00F10219"/>
    <w:rsid w:val="00F10378"/>
    <w:rsid w:val="00F1066F"/>
    <w:rsid w:val="00F1133D"/>
    <w:rsid w:val="00F116FE"/>
    <w:rsid w:val="00F11B54"/>
    <w:rsid w:val="00F122DF"/>
    <w:rsid w:val="00F12597"/>
    <w:rsid w:val="00F12C97"/>
    <w:rsid w:val="00F12D59"/>
    <w:rsid w:val="00F12DBE"/>
    <w:rsid w:val="00F12F50"/>
    <w:rsid w:val="00F12FB6"/>
    <w:rsid w:val="00F1415F"/>
    <w:rsid w:val="00F14201"/>
    <w:rsid w:val="00F14529"/>
    <w:rsid w:val="00F14983"/>
    <w:rsid w:val="00F14BD4"/>
    <w:rsid w:val="00F15023"/>
    <w:rsid w:val="00F15034"/>
    <w:rsid w:val="00F1508C"/>
    <w:rsid w:val="00F151A8"/>
    <w:rsid w:val="00F1524B"/>
    <w:rsid w:val="00F1534F"/>
    <w:rsid w:val="00F15618"/>
    <w:rsid w:val="00F1578E"/>
    <w:rsid w:val="00F15792"/>
    <w:rsid w:val="00F1579A"/>
    <w:rsid w:val="00F161C4"/>
    <w:rsid w:val="00F162EF"/>
    <w:rsid w:val="00F16E54"/>
    <w:rsid w:val="00F172B0"/>
    <w:rsid w:val="00F175AC"/>
    <w:rsid w:val="00F1790D"/>
    <w:rsid w:val="00F17B1B"/>
    <w:rsid w:val="00F17DF7"/>
    <w:rsid w:val="00F201D0"/>
    <w:rsid w:val="00F20763"/>
    <w:rsid w:val="00F21AB6"/>
    <w:rsid w:val="00F21B8B"/>
    <w:rsid w:val="00F21E16"/>
    <w:rsid w:val="00F227BD"/>
    <w:rsid w:val="00F227C8"/>
    <w:rsid w:val="00F22C8F"/>
    <w:rsid w:val="00F22CA4"/>
    <w:rsid w:val="00F2322A"/>
    <w:rsid w:val="00F2323B"/>
    <w:rsid w:val="00F23962"/>
    <w:rsid w:val="00F23C77"/>
    <w:rsid w:val="00F23CB7"/>
    <w:rsid w:val="00F23F1A"/>
    <w:rsid w:val="00F257B5"/>
    <w:rsid w:val="00F25A0F"/>
    <w:rsid w:val="00F25A98"/>
    <w:rsid w:val="00F261C8"/>
    <w:rsid w:val="00F267B1"/>
    <w:rsid w:val="00F269C2"/>
    <w:rsid w:val="00F2720E"/>
    <w:rsid w:val="00F2776D"/>
    <w:rsid w:val="00F30086"/>
    <w:rsid w:val="00F301BF"/>
    <w:rsid w:val="00F31412"/>
    <w:rsid w:val="00F3167A"/>
    <w:rsid w:val="00F3188A"/>
    <w:rsid w:val="00F31DDF"/>
    <w:rsid w:val="00F32447"/>
    <w:rsid w:val="00F32B95"/>
    <w:rsid w:val="00F33573"/>
    <w:rsid w:val="00F33D87"/>
    <w:rsid w:val="00F3454C"/>
    <w:rsid w:val="00F346E6"/>
    <w:rsid w:val="00F34D29"/>
    <w:rsid w:val="00F35481"/>
    <w:rsid w:val="00F35CEA"/>
    <w:rsid w:val="00F35FF3"/>
    <w:rsid w:val="00F3657C"/>
    <w:rsid w:val="00F36CFB"/>
    <w:rsid w:val="00F36EC0"/>
    <w:rsid w:val="00F40678"/>
    <w:rsid w:val="00F40864"/>
    <w:rsid w:val="00F41186"/>
    <w:rsid w:val="00F415FB"/>
    <w:rsid w:val="00F41A03"/>
    <w:rsid w:val="00F42695"/>
    <w:rsid w:val="00F4312D"/>
    <w:rsid w:val="00F43844"/>
    <w:rsid w:val="00F43B68"/>
    <w:rsid w:val="00F442A2"/>
    <w:rsid w:val="00F444F1"/>
    <w:rsid w:val="00F44895"/>
    <w:rsid w:val="00F44B0F"/>
    <w:rsid w:val="00F45142"/>
    <w:rsid w:val="00F456C4"/>
    <w:rsid w:val="00F457DA"/>
    <w:rsid w:val="00F45B15"/>
    <w:rsid w:val="00F46158"/>
    <w:rsid w:val="00F46853"/>
    <w:rsid w:val="00F46B76"/>
    <w:rsid w:val="00F46C05"/>
    <w:rsid w:val="00F47090"/>
    <w:rsid w:val="00F4749E"/>
    <w:rsid w:val="00F47F21"/>
    <w:rsid w:val="00F50585"/>
    <w:rsid w:val="00F50D35"/>
    <w:rsid w:val="00F51254"/>
    <w:rsid w:val="00F516E3"/>
    <w:rsid w:val="00F51806"/>
    <w:rsid w:val="00F51B0A"/>
    <w:rsid w:val="00F51EB7"/>
    <w:rsid w:val="00F51EFB"/>
    <w:rsid w:val="00F52A5B"/>
    <w:rsid w:val="00F52C76"/>
    <w:rsid w:val="00F52D40"/>
    <w:rsid w:val="00F530B7"/>
    <w:rsid w:val="00F531C5"/>
    <w:rsid w:val="00F532FF"/>
    <w:rsid w:val="00F53E71"/>
    <w:rsid w:val="00F53E97"/>
    <w:rsid w:val="00F54832"/>
    <w:rsid w:val="00F54A0D"/>
    <w:rsid w:val="00F54BAF"/>
    <w:rsid w:val="00F54CCC"/>
    <w:rsid w:val="00F54D23"/>
    <w:rsid w:val="00F54DCE"/>
    <w:rsid w:val="00F55345"/>
    <w:rsid w:val="00F5620A"/>
    <w:rsid w:val="00F564DD"/>
    <w:rsid w:val="00F57885"/>
    <w:rsid w:val="00F57947"/>
    <w:rsid w:val="00F57DC7"/>
    <w:rsid w:val="00F601F3"/>
    <w:rsid w:val="00F602FF"/>
    <w:rsid w:val="00F60AC2"/>
    <w:rsid w:val="00F613D9"/>
    <w:rsid w:val="00F613F7"/>
    <w:rsid w:val="00F61CBD"/>
    <w:rsid w:val="00F6243E"/>
    <w:rsid w:val="00F6247A"/>
    <w:rsid w:val="00F62B76"/>
    <w:rsid w:val="00F62C1F"/>
    <w:rsid w:val="00F63817"/>
    <w:rsid w:val="00F63F57"/>
    <w:rsid w:val="00F652EF"/>
    <w:rsid w:val="00F6558B"/>
    <w:rsid w:val="00F65792"/>
    <w:rsid w:val="00F657F1"/>
    <w:rsid w:val="00F659F8"/>
    <w:rsid w:val="00F65AE0"/>
    <w:rsid w:val="00F65AE8"/>
    <w:rsid w:val="00F66144"/>
    <w:rsid w:val="00F6634F"/>
    <w:rsid w:val="00F66E4C"/>
    <w:rsid w:val="00F66F43"/>
    <w:rsid w:val="00F6713F"/>
    <w:rsid w:val="00F679F2"/>
    <w:rsid w:val="00F70EBC"/>
    <w:rsid w:val="00F71240"/>
    <w:rsid w:val="00F71AA7"/>
    <w:rsid w:val="00F722FB"/>
    <w:rsid w:val="00F72636"/>
    <w:rsid w:val="00F72750"/>
    <w:rsid w:val="00F72A79"/>
    <w:rsid w:val="00F72F53"/>
    <w:rsid w:val="00F73345"/>
    <w:rsid w:val="00F73E0F"/>
    <w:rsid w:val="00F73F2B"/>
    <w:rsid w:val="00F74B51"/>
    <w:rsid w:val="00F74E93"/>
    <w:rsid w:val="00F75692"/>
    <w:rsid w:val="00F7584E"/>
    <w:rsid w:val="00F759C8"/>
    <w:rsid w:val="00F76BFD"/>
    <w:rsid w:val="00F80595"/>
    <w:rsid w:val="00F8096E"/>
    <w:rsid w:val="00F809BC"/>
    <w:rsid w:val="00F80B88"/>
    <w:rsid w:val="00F80C93"/>
    <w:rsid w:val="00F80CAB"/>
    <w:rsid w:val="00F81261"/>
    <w:rsid w:val="00F81362"/>
    <w:rsid w:val="00F815B1"/>
    <w:rsid w:val="00F817BC"/>
    <w:rsid w:val="00F81ED6"/>
    <w:rsid w:val="00F824CA"/>
    <w:rsid w:val="00F82A33"/>
    <w:rsid w:val="00F82B93"/>
    <w:rsid w:val="00F82E8B"/>
    <w:rsid w:val="00F83379"/>
    <w:rsid w:val="00F83499"/>
    <w:rsid w:val="00F8371B"/>
    <w:rsid w:val="00F8443A"/>
    <w:rsid w:val="00F84E4D"/>
    <w:rsid w:val="00F850A3"/>
    <w:rsid w:val="00F8546B"/>
    <w:rsid w:val="00F854EE"/>
    <w:rsid w:val="00F856A0"/>
    <w:rsid w:val="00F856BC"/>
    <w:rsid w:val="00F8580A"/>
    <w:rsid w:val="00F85B41"/>
    <w:rsid w:val="00F8605D"/>
    <w:rsid w:val="00F86A7F"/>
    <w:rsid w:val="00F86B65"/>
    <w:rsid w:val="00F86DFD"/>
    <w:rsid w:val="00F86E1A"/>
    <w:rsid w:val="00F86E4E"/>
    <w:rsid w:val="00F86E8A"/>
    <w:rsid w:val="00F8763D"/>
    <w:rsid w:val="00F90F03"/>
    <w:rsid w:val="00F91353"/>
    <w:rsid w:val="00F9156F"/>
    <w:rsid w:val="00F91E64"/>
    <w:rsid w:val="00F92891"/>
    <w:rsid w:val="00F929BB"/>
    <w:rsid w:val="00F92D97"/>
    <w:rsid w:val="00F93018"/>
    <w:rsid w:val="00F93038"/>
    <w:rsid w:val="00F93143"/>
    <w:rsid w:val="00F934A0"/>
    <w:rsid w:val="00F937E7"/>
    <w:rsid w:val="00F93839"/>
    <w:rsid w:val="00F93ACB"/>
    <w:rsid w:val="00F93E26"/>
    <w:rsid w:val="00F93F11"/>
    <w:rsid w:val="00F94125"/>
    <w:rsid w:val="00F947B3"/>
    <w:rsid w:val="00F947C9"/>
    <w:rsid w:val="00F9551C"/>
    <w:rsid w:val="00F95571"/>
    <w:rsid w:val="00F956DF"/>
    <w:rsid w:val="00F957F7"/>
    <w:rsid w:val="00F95ABA"/>
    <w:rsid w:val="00F95B76"/>
    <w:rsid w:val="00F95C3A"/>
    <w:rsid w:val="00F96378"/>
    <w:rsid w:val="00F9684A"/>
    <w:rsid w:val="00F96D84"/>
    <w:rsid w:val="00F96DB8"/>
    <w:rsid w:val="00F96E63"/>
    <w:rsid w:val="00F96EE5"/>
    <w:rsid w:val="00F978E4"/>
    <w:rsid w:val="00FA058F"/>
    <w:rsid w:val="00FA05E5"/>
    <w:rsid w:val="00FA0825"/>
    <w:rsid w:val="00FA08AD"/>
    <w:rsid w:val="00FA08BE"/>
    <w:rsid w:val="00FA0F73"/>
    <w:rsid w:val="00FA1360"/>
    <w:rsid w:val="00FA13B6"/>
    <w:rsid w:val="00FA1542"/>
    <w:rsid w:val="00FA15DB"/>
    <w:rsid w:val="00FA1729"/>
    <w:rsid w:val="00FA1887"/>
    <w:rsid w:val="00FA1BFE"/>
    <w:rsid w:val="00FA246A"/>
    <w:rsid w:val="00FA257C"/>
    <w:rsid w:val="00FA2900"/>
    <w:rsid w:val="00FA2CF5"/>
    <w:rsid w:val="00FA2DA0"/>
    <w:rsid w:val="00FA2F27"/>
    <w:rsid w:val="00FA3085"/>
    <w:rsid w:val="00FA39C3"/>
    <w:rsid w:val="00FA4105"/>
    <w:rsid w:val="00FA4150"/>
    <w:rsid w:val="00FA41F1"/>
    <w:rsid w:val="00FA4672"/>
    <w:rsid w:val="00FA5116"/>
    <w:rsid w:val="00FA53A5"/>
    <w:rsid w:val="00FA55F2"/>
    <w:rsid w:val="00FA5766"/>
    <w:rsid w:val="00FA66E1"/>
    <w:rsid w:val="00FA6753"/>
    <w:rsid w:val="00FA6E74"/>
    <w:rsid w:val="00FA7B54"/>
    <w:rsid w:val="00FA7BBD"/>
    <w:rsid w:val="00FA7D7D"/>
    <w:rsid w:val="00FB00BF"/>
    <w:rsid w:val="00FB0379"/>
    <w:rsid w:val="00FB0A03"/>
    <w:rsid w:val="00FB0E18"/>
    <w:rsid w:val="00FB1220"/>
    <w:rsid w:val="00FB17B4"/>
    <w:rsid w:val="00FB1C66"/>
    <w:rsid w:val="00FB2067"/>
    <w:rsid w:val="00FB2084"/>
    <w:rsid w:val="00FB23A2"/>
    <w:rsid w:val="00FB30B2"/>
    <w:rsid w:val="00FB3475"/>
    <w:rsid w:val="00FB3F84"/>
    <w:rsid w:val="00FB416B"/>
    <w:rsid w:val="00FB4C95"/>
    <w:rsid w:val="00FB50B1"/>
    <w:rsid w:val="00FB55F7"/>
    <w:rsid w:val="00FB5D3E"/>
    <w:rsid w:val="00FB6145"/>
    <w:rsid w:val="00FB620D"/>
    <w:rsid w:val="00FB64E0"/>
    <w:rsid w:val="00FB65D6"/>
    <w:rsid w:val="00FB6A4F"/>
    <w:rsid w:val="00FB6A5A"/>
    <w:rsid w:val="00FB6CFC"/>
    <w:rsid w:val="00FB6F67"/>
    <w:rsid w:val="00FB765D"/>
    <w:rsid w:val="00FC01E2"/>
    <w:rsid w:val="00FC0AD7"/>
    <w:rsid w:val="00FC10DE"/>
    <w:rsid w:val="00FC1320"/>
    <w:rsid w:val="00FC1D99"/>
    <w:rsid w:val="00FC22B3"/>
    <w:rsid w:val="00FC239D"/>
    <w:rsid w:val="00FC28C6"/>
    <w:rsid w:val="00FC2D5F"/>
    <w:rsid w:val="00FC301D"/>
    <w:rsid w:val="00FC3C72"/>
    <w:rsid w:val="00FC3EF5"/>
    <w:rsid w:val="00FC41D3"/>
    <w:rsid w:val="00FC49CC"/>
    <w:rsid w:val="00FC4C2C"/>
    <w:rsid w:val="00FC5603"/>
    <w:rsid w:val="00FC6AFF"/>
    <w:rsid w:val="00FC6CFE"/>
    <w:rsid w:val="00FC7DE8"/>
    <w:rsid w:val="00FD0B28"/>
    <w:rsid w:val="00FD0D31"/>
    <w:rsid w:val="00FD0FAD"/>
    <w:rsid w:val="00FD12C0"/>
    <w:rsid w:val="00FD14C6"/>
    <w:rsid w:val="00FD174B"/>
    <w:rsid w:val="00FD17BA"/>
    <w:rsid w:val="00FD22EE"/>
    <w:rsid w:val="00FD2A21"/>
    <w:rsid w:val="00FD2C9D"/>
    <w:rsid w:val="00FD2F74"/>
    <w:rsid w:val="00FD397C"/>
    <w:rsid w:val="00FD3B94"/>
    <w:rsid w:val="00FD40DD"/>
    <w:rsid w:val="00FD4109"/>
    <w:rsid w:val="00FD43B3"/>
    <w:rsid w:val="00FD488D"/>
    <w:rsid w:val="00FD504A"/>
    <w:rsid w:val="00FD51B0"/>
    <w:rsid w:val="00FD5F00"/>
    <w:rsid w:val="00FD6242"/>
    <w:rsid w:val="00FD6295"/>
    <w:rsid w:val="00FD6BC6"/>
    <w:rsid w:val="00FD6CB3"/>
    <w:rsid w:val="00FD7BDB"/>
    <w:rsid w:val="00FD7F1D"/>
    <w:rsid w:val="00FE1118"/>
    <w:rsid w:val="00FE184B"/>
    <w:rsid w:val="00FE1A20"/>
    <w:rsid w:val="00FE1A34"/>
    <w:rsid w:val="00FE1F24"/>
    <w:rsid w:val="00FE2A18"/>
    <w:rsid w:val="00FE3953"/>
    <w:rsid w:val="00FE39A4"/>
    <w:rsid w:val="00FE3A8F"/>
    <w:rsid w:val="00FE3F32"/>
    <w:rsid w:val="00FE40E5"/>
    <w:rsid w:val="00FE4359"/>
    <w:rsid w:val="00FE441B"/>
    <w:rsid w:val="00FE4739"/>
    <w:rsid w:val="00FE4DB2"/>
    <w:rsid w:val="00FE4DE4"/>
    <w:rsid w:val="00FE4F36"/>
    <w:rsid w:val="00FE4FAB"/>
    <w:rsid w:val="00FE5015"/>
    <w:rsid w:val="00FE5061"/>
    <w:rsid w:val="00FE50A3"/>
    <w:rsid w:val="00FE5166"/>
    <w:rsid w:val="00FE5689"/>
    <w:rsid w:val="00FE5A66"/>
    <w:rsid w:val="00FE667B"/>
    <w:rsid w:val="00FE681D"/>
    <w:rsid w:val="00FE682A"/>
    <w:rsid w:val="00FE6E81"/>
    <w:rsid w:val="00FE6EB4"/>
    <w:rsid w:val="00FE7037"/>
    <w:rsid w:val="00FE74DF"/>
    <w:rsid w:val="00FE78CC"/>
    <w:rsid w:val="00FE7A24"/>
    <w:rsid w:val="00FF06FF"/>
    <w:rsid w:val="00FF08CA"/>
    <w:rsid w:val="00FF0922"/>
    <w:rsid w:val="00FF0957"/>
    <w:rsid w:val="00FF0A91"/>
    <w:rsid w:val="00FF0DBD"/>
    <w:rsid w:val="00FF1FDD"/>
    <w:rsid w:val="00FF2100"/>
    <w:rsid w:val="00FF2108"/>
    <w:rsid w:val="00FF214F"/>
    <w:rsid w:val="00FF2AEE"/>
    <w:rsid w:val="00FF2FE6"/>
    <w:rsid w:val="00FF34C5"/>
    <w:rsid w:val="00FF3689"/>
    <w:rsid w:val="00FF36A7"/>
    <w:rsid w:val="00FF3A07"/>
    <w:rsid w:val="00FF3FEA"/>
    <w:rsid w:val="00FF4788"/>
    <w:rsid w:val="00FF4C68"/>
    <w:rsid w:val="00FF6188"/>
    <w:rsid w:val="00FF621E"/>
    <w:rsid w:val="00FF62EE"/>
    <w:rsid w:val="00FF6D75"/>
    <w:rsid w:val="00FF6DFA"/>
    <w:rsid w:val="00FF76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55"/>
    <w:pPr>
      <w:spacing w:before="120" w:after="120" w:line="240" w:lineRule="auto"/>
      <w:jc w:val="both"/>
    </w:pPr>
    <w:rPr>
      <w:rFonts w:ascii="Franklin Gothic Book" w:eastAsia="Times New Roman" w:hAnsi="Franklin Gothic Book" w:cs="Times New Roman"/>
      <w:szCs w:val="24"/>
      <w:lang w:eastAsia="en-GB"/>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outlineLvl w:val="2"/>
    </w:pPr>
    <w:rPr>
      <w:rFonts w:ascii="Franklin Gothic Medium" w:eastAsiaTheme="majorEastAsia" w:hAnsi="Franklin Gothic Medium" w:cstheme="majorBidi"/>
      <w:sz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9E76D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E7F4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13C6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pPr>
    <w:rPr>
      <w:rFonts w:ascii="Arial Narrow" w:hAnsi="Arial Narrow"/>
      <w:sz w:val="20"/>
    </w:rPr>
  </w:style>
  <w:style w:type="paragraph" w:customStyle="1" w:styleId="TableHeading">
    <w:name w:val="TableHeading"/>
    <w:basedOn w:val="Normal"/>
    <w:link w:val="TableHeadingChar"/>
    <w:qFormat/>
    <w:rsid w:val="00B151CF"/>
    <w:pPr>
      <w:keepNext/>
      <w:spacing w:after="60"/>
    </w:pPr>
    <w:rPr>
      <w:rFonts w:ascii="Arial Narrow" w:hAnsi="Arial Narrow"/>
      <w:b/>
      <w:sz w:val="20"/>
    </w:rPr>
  </w:style>
  <w:style w:type="paragraph" w:styleId="CommentText">
    <w:name w:val="annotation text"/>
    <w:basedOn w:val="Normal"/>
    <w:link w:val="CommentTextChar"/>
    <w:uiPriority w:val="99"/>
    <w:unhideWhenUsed/>
    <w:rsid w:val="003E7773"/>
    <w:pPr>
      <w:spacing w:after="240"/>
    </w:pPr>
    <w:rPr>
      <w:rFonts w:ascii="Calibri" w:hAnsi="Calibri"/>
      <w:color w:val="000000"/>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lang w:eastAsia="en-GB"/>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lang w:eastAsia="en-GB"/>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pPr>
    <w:rPr>
      <w:rFonts w:ascii="Arial Narrow" w:hAnsi="Arial Narrow"/>
      <w:b/>
      <w:bCs/>
      <w:sz w:val="20"/>
      <w:szCs w:val="20"/>
    </w:rPr>
  </w:style>
  <w:style w:type="table" w:customStyle="1" w:styleId="TableGrid1">
    <w:name w:val="Table Grid1"/>
    <w:basedOn w:val="TableNormal"/>
    <w:next w:val="TableGrid"/>
    <w:uiPriority w:val="59"/>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PBAC table,HTAtableplain,Lash Style Table"/>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contextualSpacing/>
    </w:pPr>
    <w:rPr>
      <w:sz w:val="18"/>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qFormat/>
    <w:rsid w:val="00EC6E01"/>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pPr>
    <w:rPr>
      <w:rFonts w:asciiTheme="minorHAnsi" w:hAnsiTheme="minorHAnsi"/>
    </w:rPr>
  </w:style>
  <w:style w:type="paragraph" w:styleId="TOC3">
    <w:name w:val="toc 3"/>
    <w:basedOn w:val="Normal"/>
    <w:next w:val="Normal"/>
    <w:autoRedefine/>
    <w:uiPriority w:val="39"/>
    <w:unhideWhenUsed/>
    <w:rsid w:val="0088445B"/>
    <w:pPr>
      <w:spacing w:after="100"/>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hAnsi="Arial" w:cs="Tahoma"/>
      <w:b/>
      <w:i/>
      <w:sz w:val="44"/>
      <w:lang w:eastAsia="en-AU"/>
    </w:rPr>
  </w:style>
  <w:style w:type="paragraph" w:customStyle="1" w:styleId="Sub-title">
    <w:name w:val="Sub-title"/>
    <w:basedOn w:val="Normal"/>
    <w:locked/>
    <w:rsid w:val="00401DBF"/>
    <w:pPr>
      <w:spacing w:before="1701"/>
      <w:ind w:left="4536"/>
    </w:pPr>
    <w:rPr>
      <w:rFonts w:ascii="Arial" w:hAnsi="Arial" w:cs="Tahoma"/>
      <w:b/>
      <w:sz w:val="32"/>
      <w:lang w:eastAsia="en-AU"/>
    </w:rPr>
  </w:style>
  <w:style w:type="paragraph" w:customStyle="1" w:styleId="Nnumberedlist">
    <w:name w:val="Nnumbered list"/>
    <w:basedOn w:val="Normal"/>
    <w:rsid w:val="00AF3D39"/>
    <w:pPr>
      <w:numPr>
        <w:numId w:val="2"/>
      </w:numPr>
    </w:pPr>
    <w:rPr>
      <w:rFonts w:ascii="Calibri"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113375"/>
    <w:pPr>
      <w:tabs>
        <w:tab w:val="left" w:pos="284"/>
      </w:tabs>
      <w:spacing w:after="360"/>
    </w:pPr>
    <w:rPr>
      <w:rFonts w:ascii="Arial Narrow" w:hAnsi="Arial Narrow" w:cs="Arial"/>
      <w:snapToGrid w:val="0"/>
      <w:sz w:val="18"/>
      <w:lang w:eastAsia="en-AU"/>
    </w:rPr>
  </w:style>
  <w:style w:type="character" w:customStyle="1" w:styleId="TableFigureFooterChar">
    <w:name w:val="Table/Figure Footer Char"/>
    <w:link w:val="TableFigureFooter"/>
    <w:rsid w:val="00113375"/>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contextualSpacing/>
    </w:pPr>
    <w:rPr>
      <w:rFonts w:ascii="Arial Narrow"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pPr>
    <w:rPr>
      <w:rFonts w:ascii="Arial Narrow"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contextualSpacing w:val="0"/>
    </w:pPr>
    <w:rPr>
      <w:rFonts w:asciiTheme="minorHAnsi" w:hAnsiTheme="minorHAnsi" w:cs="Arial"/>
      <w:snapToGrid w:val="0"/>
      <w:sz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eastAsia="Times New Roman" w:hAnsi="Calibri" w:cs="Calibri"/>
      <w:color w:val="0070C0"/>
      <w:sz w:val="24"/>
      <w:szCs w:val="24"/>
      <w:lang w:eastAsia="en-GB"/>
    </w:rPr>
  </w:style>
  <w:style w:type="paragraph" w:customStyle="1" w:styleId="InstructionBulletpoint">
    <w:name w:val="Instruction Bullet point"/>
    <w:basedOn w:val="Normal"/>
    <w:link w:val="InstructionBulletpointChar"/>
    <w:uiPriority w:val="3"/>
    <w:qFormat/>
    <w:rsid w:val="00107DCD"/>
    <w:pPr>
      <w:numPr>
        <w:numId w:val="6"/>
      </w:numPr>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contextualSpacing/>
    </w:pPr>
    <w:rPr>
      <w:rFonts w:ascii="Arial Narrow"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pPr>
    <w:rPr>
      <w:rFonts w:ascii="Arial Narrow" w:hAnsi="Arial Narrow" w:cs="Tahoma"/>
      <w:b/>
      <w:lang w:eastAsia="en-AU"/>
    </w:rPr>
  </w:style>
  <w:style w:type="paragraph" w:customStyle="1" w:styleId="TableText1">
    <w:name w:val="TableText"/>
    <w:basedOn w:val="Normal"/>
    <w:link w:val="TableTextChar1"/>
    <w:rsid w:val="001C2A48"/>
    <w:pPr>
      <w:keepNext/>
      <w:spacing w:before="40" w:after="40"/>
    </w:pPr>
    <w:rPr>
      <w:rFonts w:ascii="Arial Narrow"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hAnsi="Calibri" w:cs="Tahoma"/>
      <w:lang w:eastAsia="en-AU"/>
    </w:rPr>
  </w:style>
  <w:style w:type="paragraph" w:styleId="Title">
    <w:name w:val="Title"/>
    <w:basedOn w:val="Normal"/>
    <w:next w:val="Normal"/>
    <w:link w:val="TitleChar"/>
    <w:uiPriority w:val="10"/>
    <w:qFormat/>
    <w:rsid w:val="00772829"/>
    <w:pPr>
      <w:spacing w:before="480" w:after="240"/>
      <w:jc w:val="center"/>
    </w:pPr>
    <w:rPr>
      <w:rFonts w:ascii="Arial" w:hAnsi="Arial" w:cs="Arial"/>
      <w:b/>
      <w:bCs/>
      <w:color w:val="000080"/>
      <w:sz w:val="36"/>
      <w:szCs w:val="36"/>
      <w:lang w:eastAsia="en-AU"/>
    </w:rPr>
  </w:style>
  <w:style w:type="character" w:customStyle="1" w:styleId="TitleChar">
    <w:name w:val="Title Char"/>
    <w:basedOn w:val="DefaultParagraphFont"/>
    <w:link w:val="Title"/>
    <w:uiPriority w:val="10"/>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jc w:val="center"/>
    </w:pPr>
    <w:rPr>
      <w:rFonts w:ascii="Arial"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semiHidden/>
    <w:unhideWhenUsed/>
    <w:rsid w:val="00D13865"/>
    <w:rPr>
      <w:color w:val="605E5C"/>
      <w:shd w:val="clear" w:color="auto" w:fill="E1DFDD"/>
    </w:rPr>
  </w:style>
  <w:style w:type="paragraph" w:styleId="NoSpacing">
    <w:name w:val="No Spacing"/>
    <w:uiPriority w:val="1"/>
    <w:qFormat/>
    <w:rsid w:val="009344C7"/>
    <w:pPr>
      <w:spacing w:after="0" w:line="240" w:lineRule="auto"/>
    </w:pPr>
    <w:rPr>
      <w:rFonts w:ascii="Calibri" w:eastAsia="Calibri" w:hAnsi="Calibri" w:cs="Times New Roman"/>
    </w:rPr>
  </w:style>
  <w:style w:type="paragraph" w:customStyle="1" w:styleId="TableHEADER">
    <w:name w:val="Table HEADER"/>
    <w:basedOn w:val="Normal"/>
    <w:qFormat/>
    <w:rsid w:val="009344C7"/>
    <w:pPr>
      <w:ind w:right="82"/>
    </w:pPr>
    <w:rPr>
      <w:rFonts w:ascii="Calibri" w:hAnsi="Calibri" w:cs="Tahoma"/>
      <w:b/>
      <w:sz w:val="20"/>
      <w:szCs w:val="20"/>
      <w:lang w:eastAsia="en-AU"/>
    </w:rPr>
  </w:style>
  <w:style w:type="character" w:styleId="IntenseReference">
    <w:name w:val="Intense Reference"/>
    <w:uiPriority w:val="32"/>
    <w:qFormat/>
    <w:rsid w:val="009344C7"/>
    <w:rPr>
      <w:rFonts w:asciiTheme="minorHAnsi" w:hAnsiTheme="minorHAnsi"/>
      <w:sz w:val="28"/>
    </w:rPr>
  </w:style>
  <w:style w:type="character" w:styleId="PlaceholderText">
    <w:name w:val="Placeholder Text"/>
    <w:basedOn w:val="DefaultParagraphFont"/>
    <w:uiPriority w:val="99"/>
    <w:semiHidden/>
    <w:rsid w:val="009344C7"/>
    <w:rPr>
      <w:color w:val="808080"/>
    </w:rPr>
  </w:style>
  <w:style w:type="paragraph" w:customStyle="1" w:styleId="TitleBlue">
    <w:name w:val="Title Blue"/>
    <w:basedOn w:val="Title"/>
    <w:qFormat/>
    <w:rsid w:val="009344C7"/>
    <w:pPr>
      <w:spacing w:before="360" w:after="360"/>
    </w:pPr>
    <w:rPr>
      <w:rFonts w:eastAsiaTheme="minorHAnsi"/>
      <w:bCs w:val="0"/>
      <w:color w:val="8496B0" w:themeColor="text2" w:themeTint="99"/>
      <w:sz w:val="52"/>
      <w:szCs w:val="52"/>
      <w:lang w:eastAsia="en-US"/>
    </w:rPr>
  </w:style>
  <w:style w:type="paragraph" w:customStyle="1" w:styleId="EndNoteBibliographyTitle">
    <w:name w:val="EndNote Bibliography Title"/>
    <w:basedOn w:val="Normal"/>
    <w:link w:val="EndNoteBibliographyTitleChar"/>
    <w:rsid w:val="009344C7"/>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9344C7"/>
    <w:rPr>
      <w:rFonts w:ascii="Franklin Gothic Book" w:eastAsia="Times New Roman" w:hAnsi="Franklin Gothic Book" w:cs="Calibri"/>
      <w:noProof/>
      <w:szCs w:val="24"/>
      <w:lang w:val="en-US" w:eastAsia="en-GB"/>
    </w:rPr>
  </w:style>
  <w:style w:type="paragraph" w:customStyle="1" w:styleId="EndNoteBibliography">
    <w:name w:val="EndNote Bibliography"/>
    <w:basedOn w:val="Normal"/>
    <w:link w:val="EndNoteBibliographyChar"/>
    <w:rsid w:val="009344C7"/>
    <w:rPr>
      <w:rFonts w:cs="Calibri"/>
      <w:noProof/>
      <w:lang w:val="en-US"/>
    </w:rPr>
  </w:style>
  <w:style w:type="character" w:customStyle="1" w:styleId="EndNoteBibliographyChar">
    <w:name w:val="EndNote Bibliography Char"/>
    <w:basedOn w:val="DefaultParagraphFont"/>
    <w:link w:val="EndNoteBibliography"/>
    <w:rsid w:val="009344C7"/>
    <w:rPr>
      <w:rFonts w:ascii="Franklin Gothic Book" w:eastAsia="Times New Roman" w:hAnsi="Franklin Gothic Book" w:cs="Calibri"/>
      <w:noProof/>
      <w:szCs w:val="24"/>
      <w:lang w:val="en-US" w:eastAsia="en-GB"/>
    </w:rPr>
  </w:style>
  <w:style w:type="paragraph" w:customStyle="1" w:styleId="publish-date">
    <w:name w:val="publish-date"/>
    <w:basedOn w:val="Normal"/>
    <w:rsid w:val="009344C7"/>
    <w:pPr>
      <w:spacing w:before="100" w:beforeAutospacing="1" w:after="100" w:afterAutospacing="1"/>
    </w:pPr>
    <w:rPr>
      <w:rFonts w:ascii="Times New Roman" w:hAnsi="Times New Roman"/>
      <w:sz w:val="24"/>
      <w:lang w:eastAsia="en-AU"/>
    </w:rPr>
  </w:style>
  <w:style w:type="character" w:customStyle="1" w:styleId="UnresolvedMention3">
    <w:name w:val="Unresolved Mention3"/>
    <w:basedOn w:val="DefaultParagraphFont"/>
    <w:uiPriority w:val="99"/>
    <w:semiHidden/>
    <w:unhideWhenUsed/>
    <w:rsid w:val="009344C7"/>
    <w:rPr>
      <w:color w:val="605E5C"/>
      <w:shd w:val="clear" w:color="auto" w:fill="E1DFDD"/>
    </w:rPr>
  </w:style>
  <w:style w:type="paragraph" w:customStyle="1" w:styleId="xmsonormal">
    <w:name w:val="x_msonormal"/>
    <w:basedOn w:val="Normal"/>
    <w:rsid w:val="009344C7"/>
    <w:pPr>
      <w:spacing w:before="100" w:beforeAutospacing="1" w:after="100" w:afterAutospacing="1"/>
    </w:pPr>
    <w:rPr>
      <w:rFonts w:ascii="Times New Roman" w:hAnsi="Times New Roman"/>
      <w:sz w:val="24"/>
      <w:lang w:eastAsia="en-AU"/>
    </w:rPr>
  </w:style>
  <w:style w:type="character" w:customStyle="1" w:styleId="UnresolvedMention4">
    <w:name w:val="Unresolved Mention4"/>
    <w:basedOn w:val="DefaultParagraphFont"/>
    <w:uiPriority w:val="99"/>
    <w:semiHidden/>
    <w:unhideWhenUsed/>
    <w:rsid w:val="009344C7"/>
    <w:rPr>
      <w:color w:val="605E5C"/>
      <w:shd w:val="clear" w:color="auto" w:fill="E1DFDD"/>
    </w:rPr>
  </w:style>
  <w:style w:type="paragraph" w:customStyle="1" w:styleId="Default">
    <w:name w:val="Default"/>
    <w:rsid w:val="009344C7"/>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unhideWhenUsed/>
    <w:rsid w:val="009344C7"/>
    <w:rPr>
      <w:rFonts w:ascii="Calibri" w:hAnsi="Calibri" w:cs="Calibri"/>
      <w:lang w:eastAsia="en-AU"/>
    </w:rPr>
  </w:style>
  <w:style w:type="character" w:customStyle="1" w:styleId="UnresolvedMention5">
    <w:name w:val="Unresolved Mention5"/>
    <w:basedOn w:val="DefaultParagraphFont"/>
    <w:uiPriority w:val="99"/>
    <w:semiHidden/>
    <w:unhideWhenUsed/>
    <w:rsid w:val="009344C7"/>
    <w:rPr>
      <w:color w:val="605E5C"/>
      <w:shd w:val="clear" w:color="auto" w:fill="E1DFDD"/>
    </w:rPr>
  </w:style>
  <w:style w:type="character" w:customStyle="1" w:styleId="cf01">
    <w:name w:val="cf01"/>
    <w:basedOn w:val="DefaultParagraphFont"/>
    <w:rsid w:val="00F84E4D"/>
    <w:rPr>
      <w:rFonts w:ascii="Segoe UI" w:hAnsi="Segoe UI" w:cs="Segoe UI" w:hint="default"/>
      <w:sz w:val="18"/>
      <w:szCs w:val="18"/>
    </w:rPr>
  </w:style>
  <w:style w:type="paragraph" w:customStyle="1" w:styleId="BulletLast">
    <w:name w:val="Bullet Last"/>
    <w:basedOn w:val="Bullet"/>
    <w:qFormat/>
    <w:rsid w:val="009E76D0"/>
    <w:pPr>
      <w:numPr>
        <w:numId w:val="12"/>
      </w:numPr>
      <w:spacing w:after="240"/>
      <w:ind w:left="357" w:hanging="357"/>
    </w:pPr>
  </w:style>
  <w:style w:type="character" w:customStyle="1" w:styleId="Heading5Char">
    <w:name w:val="Heading 5 Char"/>
    <w:basedOn w:val="DefaultParagraphFont"/>
    <w:link w:val="Heading5"/>
    <w:uiPriority w:val="9"/>
    <w:rsid w:val="009E76D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E7F4A"/>
    <w:rPr>
      <w:rFonts w:asciiTheme="majorHAnsi" w:eastAsiaTheme="majorEastAsia" w:hAnsiTheme="majorHAnsi" w:cstheme="majorBidi"/>
      <w:color w:val="1F4D78" w:themeColor="accent1" w:themeShade="7F"/>
    </w:rPr>
  </w:style>
  <w:style w:type="table" w:styleId="PlainTable2">
    <w:name w:val="Plain Table 2"/>
    <w:basedOn w:val="TableNormal"/>
    <w:uiPriority w:val="42"/>
    <w:rsid w:val="00B11C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50D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50D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ze">
    <w:name w:val="size"/>
    <w:basedOn w:val="DefaultParagraphFont"/>
    <w:rsid w:val="00AF4B48"/>
  </w:style>
  <w:style w:type="character" w:customStyle="1" w:styleId="apple-converted-space">
    <w:name w:val="apple-converted-space"/>
    <w:basedOn w:val="DefaultParagraphFont"/>
    <w:rsid w:val="00AF4B48"/>
  </w:style>
  <w:style w:type="paragraph" w:customStyle="1" w:styleId="msonormal0">
    <w:name w:val="msonormal"/>
    <w:basedOn w:val="Normal"/>
    <w:rsid w:val="00CB5AB9"/>
    <w:pPr>
      <w:spacing w:before="100" w:beforeAutospacing="1" w:after="100" w:afterAutospacing="1"/>
    </w:pPr>
    <w:rPr>
      <w:rFonts w:ascii="Times New Roman" w:hAnsi="Times New Roman"/>
      <w:sz w:val="24"/>
    </w:rPr>
  </w:style>
  <w:style w:type="paragraph" w:customStyle="1" w:styleId="xl64">
    <w:name w:val="xl64"/>
    <w:basedOn w:val="Normal"/>
    <w:rsid w:val="00CB5AB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rPr>
  </w:style>
  <w:style w:type="paragraph" w:customStyle="1" w:styleId="xl65">
    <w:name w:val="xl65"/>
    <w:basedOn w:val="Normal"/>
    <w:rsid w:val="00CB5AB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6">
    <w:name w:val="xl66"/>
    <w:basedOn w:val="Normal"/>
    <w:rsid w:val="00CB5A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7">
    <w:name w:val="xl67"/>
    <w:basedOn w:val="Normal"/>
    <w:rsid w:val="00CB5A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8">
    <w:name w:val="xl68"/>
    <w:basedOn w:val="Normal"/>
    <w:rsid w:val="00CB5A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69">
    <w:name w:val="xl69"/>
    <w:basedOn w:val="Normal"/>
    <w:rsid w:val="00CB5A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0">
    <w:name w:val="xl70"/>
    <w:basedOn w:val="Normal"/>
    <w:rsid w:val="00CB5A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1">
    <w:name w:val="xl71"/>
    <w:basedOn w:val="Normal"/>
    <w:rsid w:val="00CB5A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2">
    <w:name w:val="xl72"/>
    <w:basedOn w:val="Normal"/>
    <w:rsid w:val="00CB5A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3">
    <w:name w:val="xl73"/>
    <w:basedOn w:val="Normal"/>
    <w:rsid w:val="00CB5AB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4">
    <w:name w:val="xl74"/>
    <w:basedOn w:val="Normal"/>
    <w:rsid w:val="00CB5AB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CB5AB9"/>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6">
    <w:name w:val="xl76"/>
    <w:basedOn w:val="Normal"/>
    <w:rsid w:val="00CB5A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CB5A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8">
    <w:name w:val="xl78"/>
    <w:basedOn w:val="Normal"/>
    <w:rsid w:val="00CB5A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9">
    <w:name w:val="xl79"/>
    <w:basedOn w:val="Normal"/>
    <w:rsid w:val="00CB5A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0">
    <w:name w:val="xl80"/>
    <w:basedOn w:val="Normal"/>
    <w:rsid w:val="00CB5A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1">
    <w:name w:val="xl81"/>
    <w:basedOn w:val="Normal"/>
    <w:rsid w:val="00CB5A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82">
    <w:name w:val="xl82"/>
    <w:basedOn w:val="Normal"/>
    <w:rsid w:val="00CB5A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3">
    <w:name w:val="xl83"/>
    <w:basedOn w:val="Normal"/>
    <w:rsid w:val="00CB5A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84">
    <w:name w:val="xl84"/>
    <w:basedOn w:val="Normal"/>
    <w:rsid w:val="00CB5AB9"/>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5">
    <w:name w:val="xl85"/>
    <w:basedOn w:val="Normal"/>
    <w:rsid w:val="00CB5A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6">
    <w:name w:val="xl86"/>
    <w:basedOn w:val="Normal"/>
    <w:rsid w:val="00CB5A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7">
    <w:name w:val="xl87"/>
    <w:basedOn w:val="Normal"/>
    <w:rsid w:val="00CB5A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8">
    <w:name w:val="xl88"/>
    <w:basedOn w:val="Normal"/>
    <w:rsid w:val="00CB5A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9">
    <w:name w:val="xl89"/>
    <w:basedOn w:val="Normal"/>
    <w:rsid w:val="00CB5A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0">
    <w:name w:val="xl90"/>
    <w:basedOn w:val="Normal"/>
    <w:rsid w:val="00CB5AB9"/>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rFonts w:ascii="Times New Roman" w:hAnsi="Times New Roman"/>
      <w:sz w:val="24"/>
    </w:rPr>
  </w:style>
  <w:style w:type="paragraph" w:customStyle="1" w:styleId="xl91">
    <w:name w:val="xl91"/>
    <w:basedOn w:val="Normal"/>
    <w:rsid w:val="00CB5A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2">
    <w:name w:val="xl92"/>
    <w:basedOn w:val="Normal"/>
    <w:rsid w:val="00CB5AB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93">
    <w:name w:val="xl93"/>
    <w:basedOn w:val="Normal"/>
    <w:rsid w:val="00CB5A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94">
    <w:name w:val="xl94"/>
    <w:basedOn w:val="Normal"/>
    <w:rsid w:val="00CB5AB9"/>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5">
    <w:name w:val="xl95"/>
    <w:basedOn w:val="Normal"/>
    <w:rsid w:val="00CB5AB9"/>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6">
    <w:name w:val="xl96"/>
    <w:basedOn w:val="Normal"/>
    <w:rsid w:val="00CB5AB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97">
    <w:name w:val="xl97"/>
    <w:basedOn w:val="Normal"/>
    <w:rsid w:val="00CB5AB9"/>
    <w:pPr>
      <w:pBdr>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8">
    <w:name w:val="xl98"/>
    <w:basedOn w:val="Normal"/>
    <w:rsid w:val="00CB5AB9"/>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9">
    <w:name w:val="xl99"/>
    <w:basedOn w:val="Normal"/>
    <w:rsid w:val="00CB5AB9"/>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0">
    <w:name w:val="xl100"/>
    <w:basedOn w:val="Normal"/>
    <w:rsid w:val="00CB5AB9"/>
    <w:pPr>
      <w:pBdr>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1">
    <w:name w:val="xl101"/>
    <w:basedOn w:val="Normal"/>
    <w:rsid w:val="00CB5AB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102">
    <w:name w:val="xl102"/>
    <w:basedOn w:val="Normal"/>
    <w:rsid w:val="00CB5AB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3">
    <w:name w:val="xl103"/>
    <w:basedOn w:val="Normal"/>
    <w:rsid w:val="00CB5AB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104">
    <w:name w:val="xl104"/>
    <w:basedOn w:val="Normal"/>
    <w:rsid w:val="00CB5AB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rPr>
  </w:style>
  <w:style w:type="paragraph" w:customStyle="1" w:styleId="xl105">
    <w:name w:val="xl105"/>
    <w:basedOn w:val="Normal"/>
    <w:rsid w:val="00CB5AB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6">
    <w:name w:val="xl106"/>
    <w:basedOn w:val="Normal"/>
    <w:rsid w:val="00CB5A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7">
    <w:name w:val="xl107"/>
    <w:basedOn w:val="Normal"/>
    <w:rsid w:val="00CB5A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8">
    <w:name w:val="xl108"/>
    <w:basedOn w:val="Normal"/>
    <w:rsid w:val="00CB5AB9"/>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9">
    <w:name w:val="xl109"/>
    <w:basedOn w:val="Normal"/>
    <w:rsid w:val="00CB5AB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10">
    <w:name w:val="xl110"/>
    <w:basedOn w:val="Normal"/>
    <w:rsid w:val="00CB5A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11">
    <w:name w:val="xl111"/>
    <w:basedOn w:val="Normal"/>
    <w:rsid w:val="00CB5A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12">
    <w:name w:val="xl112"/>
    <w:basedOn w:val="Normal"/>
    <w:rsid w:val="00CB5AB9"/>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Style1">
    <w:name w:val="Style1"/>
    <w:basedOn w:val="Normal"/>
    <w:qFormat/>
    <w:rsid w:val="00142B5F"/>
    <w:pPr>
      <w:keepNext/>
    </w:pPr>
    <w:rPr>
      <w:szCs w:val="22"/>
    </w:rPr>
  </w:style>
  <w:style w:type="paragraph" w:customStyle="1" w:styleId="Style2">
    <w:name w:val="Style2"/>
    <w:basedOn w:val="Normal"/>
    <w:qFormat/>
    <w:rsid w:val="00121103"/>
  </w:style>
  <w:style w:type="paragraph" w:styleId="EndnoteText">
    <w:name w:val="endnote text"/>
    <w:basedOn w:val="Normal"/>
    <w:link w:val="EndnoteTextChar"/>
    <w:uiPriority w:val="99"/>
    <w:semiHidden/>
    <w:unhideWhenUsed/>
    <w:rsid w:val="000651BD"/>
    <w:pPr>
      <w:spacing w:before="0" w:after="0"/>
    </w:pPr>
    <w:rPr>
      <w:sz w:val="20"/>
      <w:szCs w:val="20"/>
    </w:rPr>
  </w:style>
  <w:style w:type="character" w:customStyle="1" w:styleId="EndnoteTextChar">
    <w:name w:val="Endnote Text Char"/>
    <w:basedOn w:val="DefaultParagraphFont"/>
    <w:link w:val="EndnoteText"/>
    <w:uiPriority w:val="99"/>
    <w:semiHidden/>
    <w:rsid w:val="000651BD"/>
    <w:rPr>
      <w:rFonts w:ascii="Franklin Gothic Book" w:eastAsia="Times New Roman" w:hAnsi="Franklin Gothic Book" w:cs="Times New Roman"/>
      <w:sz w:val="20"/>
      <w:szCs w:val="20"/>
      <w:lang w:eastAsia="en-GB"/>
    </w:rPr>
  </w:style>
  <w:style w:type="character" w:styleId="EndnoteReference">
    <w:name w:val="endnote reference"/>
    <w:basedOn w:val="DefaultParagraphFont"/>
    <w:uiPriority w:val="99"/>
    <w:semiHidden/>
    <w:unhideWhenUsed/>
    <w:rsid w:val="000651BD"/>
    <w:rPr>
      <w:vertAlign w:val="superscript"/>
    </w:rPr>
  </w:style>
  <w:style w:type="character" w:customStyle="1" w:styleId="Heading7Char">
    <w:name w:val="Heading 7 Char"/>
    <w:basedOn w:val="DefaultParagraphFont"/>
    <w:link w:val="Heading7"/>
    <w:uiPriority w:val="9"/>
    <w:rsid w:val="00D13C6E"/>
    <w:rPr>
      <w:rFonts w:asciiTheme="majorHAnsi" w:eastAsiaTheme="majorEastAsia" w:hAnsiTheme="majorHAnsi" w:cstheme="majorBidi"/>
      <w:i/>
      <w:iCs/>
      <w:color w:val="1F4D78" w:themeColor="accent1" w:themeShade="7F"/>
      <w:szCs w:val="24"/>
      <w:lang w:eastAsia="en-GB"/>
    </w:rPr>
  </w:style>
  <w:style w:type="table" w:customStyle="1" w:styleId="TableGrid3">
    <w:name w:val="Table Grid3"/>
    <w:basedOn w:val="TableNormal"/>
    <w:next w:val="TableGrid"/>
    <w:uiPriority w:val="59"/>
    <w:rsid w:val="00E362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362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sh">
    <w:name w:val="TableDash"/>
    <w:basedOn w:val="TableText1"/>
    <w:rsid w:val="0038753E"/>
    <w:pPr>
      <w:numPr>
        <w:numId w:val="24"/>
      </w:numPr>
      <w:tabs>
        <w:tab w:val="clear" w:pos="216"/>
        <w:tab w:val="num" w:pos="432"/>
      </w:tabs>
      <w:spacing w:before="60" w:after="60"/>
      <w:jc w:val="left"/>
    </w:pPr>
    <w:rPr>
      <w:rFonts w:ascii="Franklin Gothic Book" w:hAnsi="Franklin Gothic Book" w:cs="Times New Roman"/>
      <w:color w:val="000000"/>
      <w:sz w:val="21"/>
      <w:szCs w:val="21"/>
    </w:rPr>
  </w:style>
  <w:style w:type="paragraph" w:styleId="Quote">
    <w:name w:val="Quote"/>
    <w:basedOn w:val="Normal"/>
    <w:link w:val="QuoteChar"/>
    <w:qFormat/>
    <w:rsid w:val="0038753E"/>
    <w:pPr>
      <w:spacing w:before="0" w:after="240"/>
      <w:ind w:left="720" w:right="720"/>
      <w:jc w:val="left"/>
    </w:pPr>
    <w:rPr>
      <w:color w:val="000000"/>
      <w:sz w:val="20"/>
      <w:szCs w:val="20"/>
      <w:lang w:eastAsia="en-AU"/>
    </w:rPr>
  </w:style>
  <w:style w:type="character" w:customStyle="1" w:styleId="QuoteChar">
    <w:name w:val="Quote Char"/>
    <w:basedOn w:val="DefaultParagraphFont"/>
    <w:link w:val="Quote"/>
    <w:rsid w:val="0038753E"/>
    <w:rPr>
      <w:rFonts w:ascii="Franklin Gothic Book" w:eastAsia="Times New Roman" w:hAnsi="Franklin Gothic Book" w:cs="Times New Roman"/>
      <w:color w:val="000000"/>
      <w:sz w:val="20"/>
      <w:szCs w:val="20"/>
      <w:lang w:eastAsia="en-AU"/>
    </w:rPr>
  </w:style>
  <w:style w:type="paragraph" w:customStyle="1" w:styleId="NormalBeforeBullet0">
    <w:name w:val="NormalBeforeBullet"/>
    <w:basedOn w:val="Normal"/>
    <w:qFormat/>
    <w:rsid w:val="0038753E"/>
    <w:pPr>
      <w:keepNext/>
      <w:spacing w:before="0"/>
      <w:jc w:val="left"/>
    </w:pPr>
    <w:rPr>
      <w:color w:val="000000"/>
      <w:szCs w:val="20"/>
      <w:lang w:eastAsia="en-AU"/>
    </w:rPr>
  </w:style>
  <w:style w:type="paragraph" w:customStyle="1" w:styleId="BoxName0">
    <w:name w:val="BoxName"/>
    <w:basedOn w:val="Normal"/>
    <w:rsid w:val="0038753E"/>
    <w:pPr>
      <w:keepNext/>
      <w:pBdr>
        <w:top w:val="single" w:sz="4" w:space="4" w:color="000000"/>
        <w:left w:val="single" w:sz="4" w:space="4" w:color="000000"/>
        <w:bottom w:val="single" w:sz="4" w:space="4" w:color="000000"/>
        <w:right w:val="single" w:sz="4" w:space="4" w:color="000000"/>
      </w:pBdr>
      <w:spacing w:before="240" w:after="240"/>
      <w:ind w:left="1077" w:hanging="1077"/>
      <w:jc w:val="left"/>
    </w:pPr>
    <w:rPr>
      <w:b/>
      <w:bCs/>
      <w:color w:val="000000"/>
      <w:sz w:val="24"/>
      <w:szCs w:val="20"/>
      <w:lang w:eastAsia="en-AU"/>
    </w:rPr>
  </w:style>
  <w:style w:type="paragraph" w:customStyle="1" w:styleId="BoxHeading">
    <w:name w:val="BoxHeading"/>
    <w:basedOn w:val="Normal"/>
    <w:rsid w:val="0038753E"/>
    <w:pPr>
      <w:keepNext/>
      <w:pBdr>
        <w:top w:val="single" w:sz="4" w:space="4" w:color="000000"/>
        <w:left w:val="single" w:sz="4" w:space="4" w:color="000000"/>
        <w:bottom w:val="single" w:sz="4" w:space="4" w:color="000000"/>
        <w:right w:val="single" w:sz="4" w:space="4" w:color="000000"/>
      </w:pBdr>
      <w:spacing w:after="60"/>
      <w:jc w:val="left"/>
    </w:pPr>
    <w:rPr>
      <w:b/>
      <w:bCs/>
      <w:color w:val="000000"/>
      <w:szCs w:val="20"/>
      <w:lang w:eastAsia="en-AU"/>
    </w:rPr>
  </w:style>
  <w:style w:type="paragraph" w:customStyle="1" w:styleId="BoxBullet">
    <w:name w:val="BoxBullet"/>
    <w:basedOn w:val="Normal"/>
    <w:rsid w:val="0038753E"/>
    <w:pPr>
      <w:numPr>
        <w:numId w:val="25"/>
      </w:numPr>
      <w:pBdr>
        <w:top w:val="single" w:sz="4" w:space="4" w:color="000000"/>
        <w:left w:val="single" w:sz="4" w:space="4" w:color="000000"/>
        <w:bottom w:val="single" w:sz="4" w:space="4" w:color="000000"/>
        <w:right w:val="single" w:sz="4" w:space="4" w:color="000000"/>
      </w:pBdr>
      <w:spacing w:before="0"/>
      <w:jc w:val="left"/>
    </w:pPr>
    <w:rPr>
      <w:color w:val="000000"/>
      <w:szCs w:val="20"/>
      <w:lang w:eastAsia="en-AU"/>
    </w:rPr>
  </w:style>
  <w:style w:type="paragraph" w:styleId="BodyText">
    <w:name w:val="Body Text"/>
    <w:basedOn w:val="Normal"/>
    <w:link w:val="BodyTextChar"/>
    <w:rsid w:val="00FA4672"/>
    <w:pPr>
      <w:spacing w:before="0" w:after="0" w:line="312" w:lineRule="auto"/>
      <w:jc w:val="left"/>
    </w:pPr>
    <w:rPr>
      <w:rFonts w:ascii="Helv" w:hAnsi="Helv" w:cs="Tahoma"/>
      <w:b/>
      <w:i/>
      <w:snapToGrid w:val="0"/>
      <w:color w:val="000000"/>
      <w:sz w:val="28"/>
      <w:szCs w:val="22"/>
      <w:lang w:eastAsia="en-US"/>
    </w:rPr>
  </w:style>
  <w:style w:type="character" w:customStyle="1" w:styleId="BodyTextChar">
    <w:name w:val="Body Text Char"/>
    <w:basedOn w:val="DefaultParagraphFont"/>
    <w:link w:val="BodyText"/>
    <w:rsid w:val="00FA4672"/>
    <w:rPr>
      <w:rFonts w:ascii="Helv" w:eastAsia="Times New Roman" w:hAnsi="Helv" w:cs="Tahoma"/>
      <w:b/>
      <w:i/>
      <w:snapToGrid w:val="0"/>
      <w:color w:val="000000"/>
      <w:sz w:val="28"/>
    </w:rPr>
  </w:style>
  <w:style w:type="paragraph" w:customStyle="1" w:styleId="xmsolistparagraph">
    <w:name w:val="x_msolistparagraph"/>
    <w:basedOn w:val="Normal"/>
    <w:rsid w:val="00E80073"/>
    <w:pPr>
      <w:spacing w:before="100" w:beforeAutospacing="1" w:after="100" w:afterAutospacing="1"/>
      <w:jc w:val="left"/>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2">
      <w:bodyDiv w:val="1"/>
      <w:marLeft w:val="0"/>
      <w:marRight w:val="0"/>
      <w:marTop w:val="0"/>
      <w:marBottom w:val="0"/>
      <w:divBdr>
        <w:top w:val="none" w:sz="0" w:space="0" w:color="auto"/>
        <w:left w:val="none" w:sz="0" w:space="0" w:color="auto"/>
        <w:bottom w:val="none" w:sz="0" w:space="0" w:color="auto"/>
        <w:right w:val="none" w:sz="0" w:space="0" w:color="auto"/>
      </w:divBdr>
    </w:div>
    <w:div w:id="5597556">
      <w:bodyDiv w:val="1"/>
      <w:marLeft w:val="0"/>
      <w:marRight w:val="0"/>
      <w:marTop w:val="0"/>
      <w:marBottom w:val="0"/>
      <w:divBdr>
        <w:top w:val="none" w:sz="0" w:space="0" w:color="auto"/>
        <w:left w:val="none" w:sz="0" w:space="0" w:color="auto"/>
        <w:bottom w:val="none" w:sz="0" w:space="0" w:color="auto"/>
        <w:right w:val="none" w:sz="0" w:space="0" w:color="auto"/>
      </w:divBdr>
      <w:divsChild>
        <w:div w:id="1330594147">
          <w:marLeft w:val="0"/>
          <w:marRight w:val="0"/>
          <w:marTop w:val="0"/>
          <w:marBottom w:val="0"/>
          <w:divBdr>
            <w:top w:val="none" w:sz="0" w:space="0" w:color="auto"/>
            <w:left w:val="none" w:sz="0" w:space="0" w:color="auto"/>
            <w:bottom w:val="none" w:sz="0" w:space="0" w:color="auto"/>
            <w:right w:val="none" w:sz="0" w:space="0" w:color="auto"/>
          </w:divBdr>
          <w:divsChild>
            <w:div w:id="27948212">
              <w:marLeft w:val="0"/>
              <w:marRight w:val="0"/>
              <w:marTop w:val="0"/>
              <w:marBottom w:val="0"/>
              <w:divBdr>
                <w:top w:val="none" w:sz="0" w:space="0" w:color="auto"/>
                <w:left w:val="none" w:sz="0" w:space="0" w:color="auto"/>
                <w:bottom w:val="none" w:sz="0" w:space="0" w:color="auto"/>
                <w:right w:val="none" w:sz="0" w:space="0" w:color="auto"/>
              </w:divBdr>
              <w:divsChild>
                <w:div w:id="2138642821">
                  <w:marLeft w:val="0"/>
                  <w:marRight w:val="0"/>
                  <w:marTop w:val="0"/>
                  <w:marBottom w:val="0"/>
                  <w:divBdr>
                    <w:top w:val="none" w:sz="0" w:space="0" w:color="auto"/>
                    <w:left w:val="none" w:sz="0" w:space="0" w:color="auto"/>
                    <w:bottom w:val="none" w:sz="0" w:space="0" w:color="auto"/>
                    <w:right w:val="none" w:sz="0" w:space="0" w:color="auto"/>
                  </w:divBdr>
                  <w:divsChild>
                    <w:div w:id="1204253472">
                      <w:marLeft w:val="0"/>
                      <w:marRight w:val="0"/>
                      <w:marTop w:val="0"/>
                      <w:marBottom w:val="0"/>
                      <w:divBdr>
                        <w:top w:val="none" w:sz="0" w:space="0" w:color="auto"/>
                        <w:left w:val="none" w:sz="0" w:space="0" w:color="auto"/>
                        <w:bottom w:val="none" w:sz="0" w:space="0" w:color="auto"/>
                        <w:right w:val="none" w:sz="0" w:space="0" w:color="auto"/>
                      </w:divBdr>
                    </w:div>
                    <w:div w:id="12024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618">
      <w:bodyDiv w:val="1"/>
      <w:marLeft w:val="0"/>
      <w:marRight w:val="0"/>
      <w:marTop w:val="0"/>
      <w:marBottom w:val="0"/>
      <w:divBdr>
        <w:top w:val="none" w:sz="0" w:space="0" w:color="auto"/>
        <w:left w:val="none" w:sz="0" w:space="0" w:color="auto"/>
        <w:bottom w:val="none" w:sz="0" w:space="0" w:color="auto"/>
        <w:right w:val="none" w:sz="0" w:space="0" w:color="auto"/>
      </w:divBdr>
      <w:divsChild>
        <w:div w:id="2046516387">
          <w:marLeft w:val="0"/>
          <w:marRight w:val="0"/>
          <w:marTop w:val="0"/>
          <w:marBottom w:val="0"/>
          <w:divBdr>
            <w:top w:val="none" w:sz="0" w:space="0" w:color="auto"/>
            <w:left w:val="none" w:sz="0" w:space="0" w:color="auto"/>
            <w:bottom w:val="none" w:sz="0" w:space="0" w:color="auto"/>
            <w:right w:val="none" w:sz="0" w:space="0" w:color="auto"/>
          </w:divBdr>
          <w:divsChild>
            <w:div w:id="663628052">
              <w:marLeft w:val="0"/>
              <w:marRight w:val="0"/>
              <w:marTop w:val="0"/>
              <w:marBottom w:val="0"/>
              <w:divBdr>
                <w:top w:val="none" w:sz="0" w:space="0" w:color="auto"/>
                <w:left w:val="none" w:sz="0" w:space="0" w:color="auto"/>
                <w:bottom w:val="none" w:sz="0" w:space="0" w:color="auto"/>
                <w:right w:val="none" w:sz="0" w:space="0" w:color="auto"/>
              </w:divBdr>
              <w:divsChild>
                <w:div w:id="228424850">
                  <w:marLeft w:val="0"/>
                  <w:marRight w:val="0"/>
                  <w:marTop w:val="0"/>
                  <w:marBottom w:val="0"/>
                  <w:divBdr>
                    <w:top w:val="none" w:sz="0" w:space="0" w:color="auto"/>
                    <w:left w:val="none" w:sz="0" w:space="0" w:color="auto"/>
                    <w:bottom w:val="none" w:sz="0" w:space="0" w:color="auto"/>
                    <w:right w:val="none" w:sz="0" w:space="0" w:color="auto"/>
                  </w:divBdr>
                  <w:divsChild>
                    <w:div w:id="3450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450">
      <w:bodyDiv w:val="1"/>
      <w:marLeft w:val="0"/>
      <w:marRight w:val="0"/>
      <w:marTop w:val="0"/>
      <w:marBottom w:val="0"/>
      <w:divBdr>
        <w:top w:val="none" w:sz="0" w:space="0" w:color="auto"/>
        <w:left w:val="none" w:sz="0" w:space="0" w:color="auto"/>
        <w:bottom w:val="none" w:sz="0" w:space="0" w:color="auto"/>
        <w:right w:val="none" w:sz="0" w:space="0" w:color="auto"/>
      </w:divBdr>
    </w:div>
    <w:div w:id="12197086">
      <w:bodyDiv w:val="1"/>
      <w:marLeft w:val="0"/>
      <w:marRight w:val="0"/>
      <w:marTop w:val="0"/>
      <w:marBottom w:val="0"/>
      <w:divBdr>
        <w:top w:val="none" w:sz="0" w:space="0" w:color="auto"/>
        <w:left w:val="none" w:sz="0" w:space="0" w:color="auto"/>
        <w:bottom w:val="none" w:sz="0" w:space="0" w:color="auto"/>
        <w:right w:val="none" w:sz="0" w:space="0" w:color="auto"/>
      </w:divBdr>
      <w:divsChild>
        <w:div w:id="566458440">
          <w:marLeft w:val="0"/>
          <w:marRight w:val="0"/>
          <w:marTop w:val="0"/>
          <w:marBottom w:val="0"/>
          <w:divBdr>
            <w:top w:val="none" w:sz="0" w:space="0" w:color="auto"/>
            <w:left w:val="none" w:sz="0" w:space="0" w:color="auto"/>
            <w:bottom w:val="none" w:sz="0" w:space="0" w:color="auto"/>
            <w:right w:val="none" w:sz="0" w:space="0" w:color="auto"/>
          </w:divBdr>
          <w:divsChild>
            <w:div w:id="1741177691">
              <w:marLeft w:val="0"/>
              <w:marRight w:val="0"/>
              <w:marTop w:val="0"/>
              <w:marBottom w:val="0"/>
              <w:divBdr>
                <w:top w:val="none" w:sz="0" w:space="0" w:color="auto"/>
                <w:left w:val="none" w:sz="0" w:space="0" w:color="auto"/>
                <w:bottom w:val="none" w:sz="0" w:space="0" w:color="auto"/>
                <w:right w:val="none" w:sz="0" w:space="0" w:color="auto"/>
              </w:divBdr>
              <w:divsChild>
                <w:div w:id="1858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486">
      <w:bodyDiv w:val="1"/>
      <w:marLeft w:val="0"/>
      <w:marRight w:val="0"/>
      <w:marTop w:val="0"/>
      <w:marBottom w:val="0"/>
      <w:divBdr>
        <w:top w:val="none" w:sz="0" w:space="0" w:color="auto"/>
        <w:left w:val="none" w:sz="0" w:space="0" w:color="auto"/>
        <w:bottom w:val="none" w:sz="0" w:space="0" w:color="auto"/>
        <w:right w:val="none" w:sz="0" w:space="0" w:color="auto"/>
      </w:divBdr>
      <w:divsChild>
        <w:div w:id="738016133">
          <w:marLeft w:val="0"/>
          <w:marRight w:val="0"/>
          <w:marTop w:val="0"/>
          <w:marBottom w:val="0"/>
          <w:divBdr>
            <w:top w:val="none" w:sz="0" w:space="0" w:color="auto"/>
            <w:left w:val="none" w:sz="0" w:space="0" w:color="auto"/>
            <w:bottom w:val="none" w:sz="0" w:space="0" w:color="auto"/>
            <w:right w:val="none" w:sz="0" w:space="0" w:color="auto"/>
          </w:divBdr>
          <w:divsChild>
            <w:div w:id="1034037639">
              <w:marLeft w:val="0"/>
              <w:marRight w:val="0"/>
              <w:marTop w:val="0"/>
              <w:marBottom w:val="0"/>
              <w:divBdr>
                <w:top w:val="none" w:sz="0" w:space="0" w:color="auto"/>
                <w:left w:val="none" w:sz="0" w:space="0" w:color="auto"/>
                <w:bottom w:val="none" w:sz="0" w:space="0" w:color="auto"/>
                <w:right w:val="none" w:sz="0" w:space="0" w:color="auto"/>
              </w:divBdr>
              <w:divsChild>
                <w:div w:id="2060662993">
                  <w:marLeft w:val="0"/>
                  <w:marRight w:val="0"/>
                  <w:marTop w:val="0"/>
                  <w:marBottom w:val="0"/>
                  <w:divBdr>
                    <w:top w:val="none" w:sz="0" w:space="0" w:color="auto"/>
                    <w:left w:val="none" w:sz="0" w:space="0" w:color="auto"/>
                    <w:bottom w:val="none" w:sz="0" w:space="0" w:color="auto"/>
                    <w:right w:val="none" w:sz="0" w:space="0" w:color="auto"/>
                  </w:divBdr>
                  <w:divsChild>
                    <w:div w:id="20805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372">
      <w:bodyDiv w:val="1"/>
      <w:marLeft w:val="0"/>
      <w:marRight w:val="0"/>
      <w:marTop w:val="0"/>
      <w:marBottom w:val="0"/>
      <w:divBdr>
        <w:top w:val="none" w:sz="0" w:space="0" w:color="auto"/>
        <w:left w:val="none" w:sz="0" w:space="0" w:color="auto"/>
        <w:bottom w:val="none" w:sz="0" w:space="0" w:color="auto"/>
        <w:right w:val="none" w:sz="0" w:space="0" w:color="auto"/>
      </w:divBdr>
    </w:div>
    <w:div w:id="24017651">
      <w:bodyDiv w:val="1"/>
      <w:marLeft w:val="0"/>
      <w:marRight w:val="0"/>
      <w:marTop w:val="0"/>
      <w:marBottom w:val="0"/>
      <w:divBdr>
        <w:top w:val="none" w:sz="0" w:space="0" w:color="auto"/>
        <w:left w:val="none" w:sz="0" w:space="0" w:color="auto"/>
        <w:bottom w:val="none" w:sz="0" w:space="0" w:color="auto"/>
        <w:right w:val="none" w:sz="0" w:space="0" w:color="auto"/>
      </w:divBdr>
      <w:divsChild>
        <w:div w:id="653796281">
          <w:marLeft w:val="0"/>
          <w:marRight w:val="0"/>
          <w:marTop w:val="0"/>
          <w:marBottom w:val="0"/>
          <w:divBdr>
            <w:top w:val="none" w:sz="0" w:space="0" w:color="auto"/>
            <w:left w:val="none" w:sz="0" w:space="0" w:color="auto"/>
            <w:bottom w:val="none" w:sz="0" w:space="0" w:color="auto"/>
            <w:right w:val="none" w:sz="0" w:space="0" w:color="auto"/>
          </w:divBdr>
          <w:divsChild>
            <w:div w:id="871696689">
              <w:marLeft w:val="0"/>
              <w:marRight w:val="0"/>
              <w:marTop w:val="0"/>
              <w:marBottom w:val="0"/>
              <w:divBdr>
                <w:top w:val="none" w:sz="0" w:space="0" w:color="auto"/>
                <w:left w:val="none" w:sz="0" w:space="0" w:color="auto"/>
                <w:bottom w:val="none" w:sz="0" w:space="0" w:color="auto"/>
                <w:right w:val="none" w:sz="0" w:space="0" w:color="auto"/>
              </w:divBdr>
              <w:divsChild>
                <w:div w:id="601496559">
                  <w:marLeft w:val="0"/>
                  <w:marRight w:val="0"/>
                  <w:marTop w:val="0"/>
                  <w:marBottom w:val="0"/>
                  <w:divBdr>
                    <w:top w:val="none" w:sz="0" w:space="0" w:color="auto"/>
                    <w:left w:val="none" w:sz="0" w:space="0" w:color="auto"/>
                    <w:bottom w:val="none" w:sz="0" w:space="0" w:color="auto"/>
                    <w:right w:val="none" w:sz="0" w:space="0" w:color="auto"/>
                  </w:divBdr>
                  <w:divsChild>
                    <w:div w:id="14956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28728205">
      <w:bodyDiv w:val="1"/>
      <w:marLeft w:val="0"/>
      <w:marRight w:val="0"/>
      <w:marTop w:val="0"/>
      <w:marBottom w:val="0"/>
      <w:divBdr>
        <w:top w:val="none" w:sz="0" w:space="0" w:color="auto"/>
        <w:left w:val="none" w:sz="0" w:space="0" w:color="auto"/>
        <w:bottom w:val="none" w:sz="0" w:space="0" w:color="auto"/>
        <w:right w:val="none" w:sz="0" w:space="0" w:color="auto"/>
      </w:divBdr>
    </w:div>
    <w:div w:id="29116814">
      <w:bodyDiv w:val="1"/>
      <w:marLeft w:val="0"/>
      <w:marRight w:val="0"/>
      <w:marTop w:val="0"/>
      <w:marBottom w:val="0"/>
      <w:divBdr>
        <w:top w:val="none" w:sz="0" w:space="0" w:color="auto"/>
        <w:left w:val="none" w:sz="0" w:space="0" w:color="auto"/>
        <w:bottom w:val="none" w:sz="0" w:space="0" w:color="auto"/>
        <w:right w:val="none" w:sz="0" w:space="0" w:color="auto"/>
      </w:divBdr>
      <w:divsChild>
        <w:div w:id="1477986846">
          <w:marLeft w:val="0"/>
          <w:marRight w:val="0"/>
          <w:marTop w:val="0"/>
          <w:marBottom w:val="0"/>
          <w:divBdr>
            <w:top w:val="none" w:sz="0" w:space="0" w:color="auto"/>
            <w:left w:val="none" w:sz="0" w:space="0" w:color="auto"/>
            <w:bottom w:val="none" w:sz="0" w:space="0" w:color="auto"/>
            <w:right w:val="none" w:sz="0" w:space="0" w:color="auto"/>
          </w:divBdr>
          <w:divsChild>
            <w:div w:id="2904789">
              <w:marLeft w:val="0"/>
              <w:marRight w:val="0"/>
              <w:marTop w:val="0"/>
              <w:marBottom w:val="0"/>
              <w:divBdr>
                <w:top w:val="none" w:sz="0" w:space="0" w:color="auto"/>
                <w:left w:val="none" w:sz="0" w:space="0" w:color="auto"/>
                <w:bottom w:val="none" w:sz="0" w:space="0" w:color="auto"/>
                <w:right w:val="none" w:sz="0" w:space="0" w:color="auto"/>
              </w:divBdr>
              <w:divsChild>
                <w:div w:id="9753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037">
      <w:bodyDiv w:val="1"/>
      <w:marLeft w:val="0"/>
      <w:marRight w:val="0"/>
      <w:marTop w:val="0"/>
      <w:marBottom w:val="0"/>
      <w:divBdr>
        <w:top w:val="none" w:sz="0" w:space="0" w:color="auto"/>
        <w:left w:val="none" w:sz="0" w:space="0" w:color="auto"/>
        <w:bottom w:val="none" w:sz="0" w:space="0" w:color="auto"/>
        <w:right w:val="none" w:sz="0" w:space="0" w:color="auto"/>
      </w:divBdr>
    </w:div>
    <w:div w:id="34015115">
      <w:bodyDiv w:val="1"/>
      <w:marLeft w:val="0"/>
      <w:marRight w:val="0"/>
      <w:marTop w:val="0"/>
      <w:marBottom w:val="0"/>
      <w:divBdr>
        <w:top w:val="none" w:sz="0" w:space="0" w:color="auto"/>
        <w:left w:val="none" w:sz="0" w:space="0" w:color="auto"/>
        <w:bottom w:val="none" w:sz="0" w:space="0" w:color="auto"/>
        <w:right w:val="none" w:sz="0" w:space="0" w:color="auto"/>
      </w:divBdr>
      <w:divsChild>
        <w:div w:id="1972860963">
          <w:marLeft w:val="0"/>
          <w:marRight w:val="0"/>
          <w:marTop w:val="0"/>
          <w:marBottom w:val="0"/>
          <w:divBdr>
            <w:top w:val="none" w:sz="0" w:space="0" w:color="auto"/>
            <w:left w:val="none" w:sz="0" w:space="0" w:color="auto"/>
            <w:bottom w:val="none" w:sz="0" w:space="0" w:color="auto"/>
            <w:right w:val="none" w:sz="0" w:space="0" w:color="auto"/>
          </w:divBdr>
          <w:divsChild>
            <w:div w:id="7061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007">
      <w:bodyDiv w:val="1"/>
      <w:marLeft w:val="0"/>
      <w:marRight w:val="0"/>
      <w:marTop w:val="0"/>
      <w:marBottom w:val="0"/>
      <w:divBdr>
        <w:top w:val="none" w:sz="0" w:space="0" w:color="auto"/>
        <w:left w:val="none" w:sz="0" w:space="0" w:color="auto"/>
        <w:bottom w:val="none" w:sz="0" w:space="0" w:color="auto"/>
        <w:right w:val="none" w:sz="0" w:space="0" w:color="auto"/>
      </w:divBdr>
    </w:div>
    <w:div w:id="42757118">
      <w:bodyDiv w:val="1"/>
      <w:marLeft w:val="0"/>
      <w:marRight w:val="0"/>
      <w:marTop w:val="0"/>
      <w:marBottom w:val="0"/>
      <w:divBdr>
        <w:top w:val="none" w:sz="0" w:space="0" w:color="auto"/>
        <w:left w:val="none" w:sz="0" w:space="0" w:color="auto"/>
        <w:bottom w:val="none" w:sz="0" w:space="0" w:color="auto"/>
        <w:right w:val="none" w:sz="0" w:space="0" w:color="auto"/>
      </w:divBdr>
      <w:divsChild>
        <w:div w:id="1161769964">
          <w:marLeft w:val="0"/>
          <w:marRight w:val="0"/>
          <w:marTop w:val="0"/>
          <w:marBottom w:val="0"/>
          <w:divBdr>
            <w:top w:val="none" w:sz="0" w:space="0" w:color="auto"/>
            <w:left w:val="none" w:sz="0" w:space="0" w:color="auto"/>
            <w:bottom w:val="none" w:sz="0" w:space="0" w:color="auto"/>
            <w:right w:val="none" w:sz="0" w:space="0" w:color="auto"/>
          </w:divBdr>
          <w:divsChild>
            <w:div w:id="1993635730">
              <w:marLeft w:val="0"/>
              <w:marRight w:val="0"/>
              <w:marTop w:val="0"/>
              <w:marBottom w:val="0"/>
              <w:divBdr>
                <w:top w:val="none" w:sz="0" w:space="0" w:color="auto"/>
                <w:left w:val="none" w:sz="0" w:space="0" w:color="auto"/>
                <w:bottom w:val="none" w:sz="0" w:space="0" w:color="auto"/>
                <w:right w:val="none" w:sz="0" w:space="0" w:color="auto"/>
              </w:divBdr>
              <w:divsChild>
                <w:div w:id="10877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1915">
      <w:bodyDiv w:val="1"/>
      <w:marLeft w:val="0"/>
      <w:marRight w:val="0"/>
      <w:marTop w:val="0"/>
      <w:marBottom w:val="0"/>
      <w:divBdr>
        <w:top w:val="none" w:sz="0" w:space="0" w:color="auto"/>
        <w:left w:val="none" w:sz="0" w:space="0" w:color="auto"/>
        <w:bottom w:val="none" w:sz="0" w:space="0" w:color="auto"/>
        <w:right w:val="none" w:sz="0" w:space="0" w:color="auto"/>
      </w:divBdr>
      <w:divsChild>
        <w:div w:id="1580404106">
          <w:marLeft w:val="0"/>
          <w:marRight w:val="0"/>
          <w:marTop w:val="0"/>
          <w:marBottom w:val="0"/>
          <w:divBdr>
            <w:top w:val="none" w:sz="0" w:space="0" w:color="auto"/>
            <w:left w:val="none" w:sz="0" w:space="0" w:color="auto"/>
            <w:bottom w:val="none" w:sz="0" w:space="0" w:color="auto"/>
            <w:right w:val="none" w:sz="0" w:space="0" w:color="auto"/>
          </w:divBdr>
          <w:divsChild>
            <w:div w:id="1815567085">
              <w:marLeft w:val="0"/>
              <w:marRight w:val="0"/>
              <w:marTop w:val="0"/>
              <w:marBottom w:val="0"/>
              <w:divBdr>
                <w:top w:val="none" w:sz="0" w:space="0" w:color="auto"/>
                <w:left w:val="none" w:sz="0" w:space="0" w:color="auto"/>
                <w:bottom w:val="none" w:sz="0" w:space="0" w:color="auto"/>
                <w:right w:val="none" w:sz="0" w:space="0" w:color="auto"/>
              </w:divBdr>
              <w:divsChild>
                <w:div w:id="1392464471">
                  <w:marLeft w:val="0"/>
                  <w:marRight w:val="0"/>
                  <w:marTop w:val="0"/>
                  <w:marBottom w:val="0"/>
                  <w:divBdr>
                    <w:top w:val="none" w:sz="0" w:space="0" w:color="auto"/>
                    <w:left w:val="none" w:sz="0" w:space="0" w:color="auto"/>
                    <w:bottom w:val="none" w:sz="0" w:space="0" w:color="auto"/>
                    <w:right w:val="none" w:sz="0" w:space="0" w:color="auto"/>
                  </w:divBdr>
                  <w:divsChild>
                    <w:div w:id="1687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5971">
      <w:bodyDiv w:val="1"/>
      <w:marLeft w:val="0"/>
      <w:marRight w:val="0"/>
      <w:marTop w:val="0"/>
      <w:marBottom w:val="0"/>
      <w:divBdr>
        <w:top w:val="none" w:sz="0" w:space="0" w:color="auto"/>
        <w:left w:val="none" w:sz="0" w:space="0" w:color="auto"/>
        <w:bottom w:val="none" w:sz="0" w:space="0" w:color="auto"/>
        <w:right w:val="none" w:sz="0" w:space="0" w:color="auto"/>
      </w:divBdr>
      <w:divsChild>
        <w:div w:id="286858212">
          <w:marLeft w:val="0"/>
          <w:marRight w:val="0"/>
          <w:marTop w:val="0"/>
          <w:marBottom w:val="0"/>
          <w:divBdr>
            <w:top w:val="none" w:sz="0" w:space="0" w:color="auto"/>
            <w:left w:val="none" w:sz="0" w:space="0" w:color="auto"/>
            <w:bottom w:val="none" w:sz="0" w:space="0" w:color="auto"/>
            <w:right w:val="none" w:sz="0" w:space="0" w:color="auto"/>
          </w:divBdr>
          <w:divsChild>
            <w:div w:id="2096003588">
              <w:marLeft w:val="0"/>
              <w:marRight w:val="0"/>
              <w:marTop w:val="0"/>
              <w:marBottom w:val="0"/>
              <w:divBdr>
                <w:top w:val="none" w:sz="0" w:space="0" w:color="auto"/>
                <w:left w:val="none" w:sz="0" w:space="0" w:color="auto"/>
                <w:bottom w:val="none" w:sz="0" w:space="0" w:color="auto"/>
                <w:right w:val="none" w:sz="0" w:space="0" w:color="auto"/>
              </w:divBdr>
              <w:divsChild>
                <w:div w:id="3686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8205">
      <w:bodyDiv w:val="1"/>
      <w:marLeft w:val="0"/>
      <w:marRight w:val="0"/>
      <w:marTop w:val="0"/>
      <w:marBottom w:val="0"/>
      <w:divBdr>
        <w:top w:val="none" w:sz="0" w:space="0" w:color="auto"/>
        <w:left w:val="none" w:sz="0" w:space="0" w:color="auto"/>
        <w:bottom w:val="none" w:sz="0" w:space="0" w:color="auto"/>
        <w:right w:val="none" w:sz="0" w:space="0" w:color="auto"/>
      </w:divBdr>
    </w:div>
    <w:div w:id="53740114">
      <w:bodyDiv w:val="1"/>
      <w:marLeft w:val="0"/>
      <w:marRight w:val="0"/>
      <w:marTop w:val="0"/>
      <w:marBottom w:val="0"/>
      <w:divBdr>
        <w:top w:val="none" w:sz="0" w:space="0" w:color="auto"/>
        <w:left w:val="none" w:sz="0" w:space="0" w:color="auto"/>
        <w:bottom w:val="none" w:sz="0" w:space="0" w:color="auto"/>
        <w:right w:val="none" w:sz="0" w:space="0" w:color="auto"/>
      </w:divBdr>
    </w:div>
    <w:div w:id="54400187">
      <w:bodyDiv w:val="1"/>
      <w:marLeft w:val="0"/>
      <w:marRight w:val="0"/>
      <w:marTop w:val="0"/>
      <w:marBottom w:val="0"/>
      <w:divBdr>
        <w:top w:val="none" w:sz="0" w:space="0" w:color="auto"/>
        <w:left w:val="none" w:sz="0" w:space="0" w:color="auto"/>
        <w:bottom w:val="none" w:sz="0" w:space="0" w:color="auto"/>
        <w:right w:val="none" w:sz="0" w:space="0" w:color="auto"/>
      </w:divBdr>
      <w:divsChild>
        <w:div w:id="1995063167">
          <w:marLeft w:val="0"/>
          <w:marRight w:val="0"/>
          <w:marTop w:val="0"/>
          <w:marBottom w:val="0"/>
          <w:divBdr>
            <w:top w:val="none" w:sz="0" w:space="0" w:color="auto"/>
            <w:left w:val="none" w:sz="0" w:space="0" w:color="auto"/>
            <w:bottom w:val="none" w:sz="0" w:space="0" w:color="auto"/>
            <w:right w:val="none" w:sz="0" w:space="0" w:color="auto"/>
          </w:divBdr>
          <w:divsChild>
            <w:div w:id="2076931860">
              <w:marLeft w:val="0"/>
              <w:marRight w:val="0"/>
              <w:marTop w:val="0"/>
              <w:marBottom w:val="0"/>
              <w:divBdr>
                <w:top w:val="none" w:sz="0" w:space="0" w:color="auto"/>
                <w:left w:val="none" w:sz="0" w:space="0" w:color="auto"/>
                <w:bottom w:val="none" w:sz="0" w:space="0" w:color="auto"/>
                <w:right w:val="none" w:sz="0" w:space="0" w:color="auto"/>
              </w:divBdr>
              <w:divsChild>
                <w:div w:id="1573731435">
                  <w:marLeft w:val="0"/>
                  <w:marRight w:val="0"/>
                  <w:marTop w:val="0"/>
                  <w:marBottom w:val="0"/>
                  <w:divBdr>
                    <w:top w:val="none" w:sz="0" w:space="0" w:color="auto"/>
                    <w:left w:val="none" w:sz="0" w:space="0" w:color="auto"/>
                    <w:bottom w:val="none" w:sz="0" w:space="0" w:color="auto"/>
                    <w:right w:val="none" w:sz="0" w:space="0" w:color="auto"/>
                  </w:divBdr>
                  <w:divsChild>
                    <w:div w:id="1513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1661">
      <w:bodyDiv w:val="1"/>
      <w:marLeft w:val="0"/>
      <w:marRight w:val="0"/>
      <w:marTop w:val="0"/>
      <w:marBottom w:val="0"/>
      <w:divBdr>
        <w:top w:val="none" w:sz="0" w:space="0" w:color="auto"/>
        <w:left w:val="none" w:sz="0" w:space="0" w:color="auto"/>
        <w:bottom w:val="none" w:sz="0" w:space="0" w:color="auto"/>
        <w:right w:val="none" w:sz="0" w:space="0" w:color="auto"/>
      </w:divBdr>
    </w:div>
    <w:div w:id="73472449">
      <w:bodyDiv w:val="1"/>
      <w:marLeft w:val="0"/>
      <w:marRight w:val="0"/>
      <w:marTop w:val="0"/>
      <w:marBottom w:val="0"/>
      <w:divBdr>
        <w:top w:val="none" w:sz="0" w:space="0" w:color="auto"/>
        <w:left w:val="none" w:sz="0" w:space="0" w:color="auto"/>
        <w:bottom w:val="none" w:sz="0" w:space="0" w:color="auto"/>
        <w:right w:val="none" w:sz="0" w:space="0" w:color="auto"/>
      </w:divBdr>
      <w:divsChild>
        <w:div w:id="968899678">
          <w:marLeft w:val="0"/>
          <w:marRight w:val="0"/>
          <w:marTop w:val="0"/>
          <w:marBottom w:val="0"/>
          <w:divBdr>
            <w:top w:val="none" w:sz="0" w:space="0" w:color="auto"/>
            <w:left w:val="none" w:sz="0" w:space="0" w:color="auto"/>
            <w:bottom w:val="none" w:sz="0" w:space="0" w:color="auto"/>
            <w:right w:val="none" w:sz="0" w:space="0" w:color="auto"/>
          </w:divBdr>
          <w:divsChild>
            <w:div w:id="838038864">
              <w:marLeft w:val="0"/>
              <w:marRight w:val="0"/>
              <w:marTop w:val="0"/>
              <w:marBottom w:val="0"/>
              <w:divBdr>
                <w:top w:val="none" w:sz="0" w:space="0" w:color="auto"/>
                <w:left w:val="none" w:sz="0" w:space="0" w:color="auto"/>
                <w:bottom w:val="none" w:sz="0" w:space="0" w:color="auto"/>
                <w:right w:val="none" w:sz="0" w:space="0" w:color="auto"/>
              </w:divBdr>
              <w:divsChild>
                <w:div w:id="2505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79527930">
      <w:bodyDiv w:val="1"/>
      <w:marLeft w:val="0"/>
      <w:marRight w:val="0"/>
      <w:marTop w:val="0"/>
      <w:marBottom w:val="0"/>
      <w:divBdr>
        <w:top w:val="none" w:sz="0" w:space="0" w:color="auto"/>
        <w:left w:val="none" w:sz="0" w:space="0" w:color="auto"/>
        <w:bottom w:val="none" w:sz="0" w:space="0" w:color="auto"/>
        <w:right w:val="none" w:sz="0" w:space="0" w:color="auto"/>
      </w:divBdr>
      <w:divsChild>
        <w:div w:id="121651782">
          <w:marLeft w:val="0"/>
          <w:marRight w:val="0"/>
          <w:marTop w:val="0"/>
          <w:marBottom w:val="0"/>
          <w:divBdr>
            <w:top w:val="none" w:sz="0" w:space="0" w:color="auto"/>
            <w:left w:val="none" w:sz="0" w:space="0" w:color="auto"/>
            <w:bottom w:val="none" w:sz="0" w:space="0" w:color="auto"/>
            <w:right w:val="none" w:sz="0" w:space="0" w:color="auto"/>
          </w:divBdr>
          <w:divsChild>
            <w:div w:id="1574075144">
              <w:marLeft w:val="0"/>
              <w:marRight w:val="0"/>
              <w:marTop w:val="0"/>
              <w:marBottom w:val="0"/>
              <w:divBdr>
                <w:top w:val="none" w:sz="0" w:space="0" w:color="auto"/>
                <w:left w:val="none" w:sz="0" w:space="0" w:color="auto"/>
                <w:bottom w:val="none" w:sz="0" w:space="0" w:color="auto"/>
                <w:right w:val="none" w:sz="0" w:space="0" w:color="auto"/>
              </w:divBdr>
              <w:divsChild>
                <w:div w:id="15422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5209">
      <w:bodyDiv w:val="1"/>
      <w:marLeft w:val="0"/>
      <w:marRight w:val="0"/>
      <w:marTop w:val="0"/>
      <w:marBottom w:val="0"/>
      <w:divBdr>
        <w:top w:val="none" w:sz="0" w:space="0" w:color="auto"/>
        <w:left w:val="none" w:sz="0" w:space="0" w:color="auto"/>
        <w:bottom w:val="none" w:sz="0" w:space="0" w:color="auto"/>
        <w:right w:val="none" w:sz="0" w:space="0" w:color="auto"/>
      </w:divBdr>
    </w:div>
    <w:div w:id="80031612">
      <w:bodyDiv w:val="1"/>
      <w:marLeft w:val="0"/>
      <w:marRight w:val="0"/>
      <w:marTop w:val="0"/>
      <w:marBottom w:val="0"/>
      <w:divBdr>
        <w:top w:val="none" w:sz="0" w:space="0" w:color="auto"/>
        <w:left w:val="none" w:sz="0" w:space="0" w:color="auto"/>
        <w:bottom w:val="none" w:sz="0" w:space="0" w:color="auto"/>
        <w:right w:val="none" w:sz="0" w:space="0" w:color="auto"/>
      </w:divBdr>
      <w:divsChild>
        <w:div w:id="1854882634">
          <w:marLeft w:val="0"/>
          <w:marRight w:val="0"/>
          <w:marTop w:val="0"/>
          <w:marBottom w:val="0"/>
          <w:divBdr>
            <w:top w:val="none" w:sz="0" w:space="0" w:color="auto"/>
            <w:left w:val="none" w:sz="0" w:space="0" w:color="auto"/>
            <w:bottom w:val="none" w:sz="0" w:space="0" w:color="auto"/>
            <w:right w:val="none" w:sz="0" w:space="0" w:color="auto"/>
          </w:divBdr>
          <w:divsChild>
            <w:div w:id="67383269">
              <w:marLeft w:val="0"/>
              <w:marRight w:val="0"/>
              <w:marTop w:val="0"/>
              <w:marBottom w:val="0"/>
              <w:divBdr>
                <w:top w:val="none" w:sz="0" w:space="0" w:color="auto"/>
                <w:left w:val="none" w:sz="0" w:space="0" w:color="auto"/>
                <w:bottom w:val="none" w:sz="0" w:space="0" w:color="auto"/>
                <w:right w:val="none" w:sz="0" w:space="0" w:color="auto"/>
              </w:divBdr>
              <w:divsChild>
                <w:div w:id="1681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7590">
      <w:bodyDiv w:val="1"/>
      <w:marLeft w:val="0"/>
      <w:marRight w:val="0"/>
      <w:marTop w:val="0"/>
      <w:marBottom w:val="0"/>
      <w:divBdr>
        <w:top w:val="none" w:sz="0" w:space="0" w:color="auto"/>
        <w:left w:val="none" w:sz="0" w:space="0" w:color="auto"/>
        <w:bottom w:val="none" w:sz="0" w:space="0" w:color="auto"/>
        <w:right w:val="none" w:sz="0" w:space="0" w:color="auto"/>
      </w:divBdr>
      <w:divsChild>
        <w:div w:id="949358093">
          <w:marLeft w:val="0"/>
          <w:marRight w:val="0"/>
          <w:marTop w:val="0"/>
          <w:marBottom w:val="0"/>
          <w:divBdr>
            <w:top w:val="none" w:sz="0" w:space="0" w:color="auto"/>
            <w:left w:val="none" w:sz="0" w:space="0" w:color="auto"/>
            <w:bottom w:val="none" w:sz="0" w:space="0" w:color="auto"/>
            <w:right w:val="none" w:sz="0" w:space="0" w:color="auto"/>
          </w:divBdr>
          <w:divsChild>
            <w:div w:id="372075656">
              <w:marLeft w:val="0"/>
              <w:marRight w:val="0"/>
              <w:marTop w:val="0"/>
              <w:marBottom w:val="0"/>
              <w:divBdr>
                <w:top w:val="none" w:sz="0" w:space="0" w:color="auto"/>
                <w:left w:val="none" w:sz="0" w:space="0" w:color="auto"/>
                <w:bottom w:val="none" w:sz="0" w:space="0" w:color="auto"/>
                <w:right w:val="none" w:sz="0" w:space="0" w:color="auto"/>
              </w:divBdr>
              <w:divsChild>
                <w:div w:id="12275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578">
      <w:bodyDiv w:val="1"/>
      <w:marLeft w:val="0"/>
      <w:marRight w:val="0"/>
      <w:marTop w:val="0"/>
      <w:marBottom w:val="0"/>
      <w:divBdr>
        <w:top w:val="none" w:sz="0" w:space="0" w:color="auto"/>
        <w:left w:val="none" w:sz="0" w:space="0" w:color="auto"/>
        <w:bottom w:val="none" w:sz="0" w:space="0" w:color="auto"/>
        <w:right w:val="none" w:sz="0" w:space="0" w:color="auto"/>
      </w:divBdr>
    </w:div>
    <w:div w:id="98256587">
      <w:bodyDiv w:val="1"/>
      <w:marLeft w:val="0"/>
      <w:marRight w:val="0"/>
      <w:marTop w:val="0"/>
      <w:marBottom w:val="0"/>
      <w:divBdr>
        <w:top w:val="none" w:sz="0" w:space="0" w:color="auto"/>
        <w:left w:val="none" w:sz="0" w:space="0" w:color="auto"/>
        <w:bottom w:val="none" w:sz="0" w:space="0" w:color="auto"/>
        <w:right w:val="none" w:sz="0" w:space="0" w:color="auto"/>
      </w:divBdr>
    </w:div>
    <w:div w:id="98528225">
      <w:bodyDiv w:val="1"/>
      <w:marLeft w:val="0"/>
      <w:marRight w:val="0"/>
      <w:marTop w:val="0"/>
      <w:marBottom w:val="0"/>
      <w:divBdr>
        <w:top w:val="none" w:sz="0" w:space="0" w:color="auto"/>
        <w:left w:val="none" w:sz="0" w:space="0" w:color="auto"/>
        <w:bottom w:val="none" w:sz="0" w:space="0" w:color="auto"/>
        <w:right w:val="none" w:sz="0" w:space="0" w:color="auto"/>
      </w:divBdr>
      <w:divsChild>
        <w:div w:id="1381053147">
          <w:marLeft w:val="0"/>
          <w:marRight w:val="0"/>
          <w:marTop w:val="0"/>
          <w:marBottom w:val="0"/>
          <w:divBdr>
            <w:top w:val="none" w:sz="0" w:space="0" w:color="auto"/>
            <w:left w:val="none" w:sz="0" w:space="0" w:color="auto"/>
            <w:bottom w:val="none" w:sz="0" w:space="0" w:color="auto"/>
            <w:right w:val="none" w:sz="0" w:space="0" w:color="auto"/>
          </w:divBdr>
          <w:divsChild>
            <w:div w:id="93020112">
              <w:marLeft w:val="0"/>
              <w:marRight w:val="0"/>
              <w:marTop w:val="0"/>
              <w:marBottom w:val="0"/>
              <w:divBdr>
                <w:top w:val="none" w:sz="0" w:space="0" w:color="auto"/>
                <w:left w:val="none" w:sz="0" w:space="0" w:color="auto"/>
                <w:bottom w:val="none" w:sz="0" w:space="0" w:color="auto"/>
                <w:right w:val="none" w:sz="0" w:space="0" w:color="auto"/>
              </w:divBdr>
              <w:divsChild>
                <w:div w:id="759374670">
                  <w:marLeft w:val="0"/>
                  <w:marRight w:val="0"/>
                  <w:marTop w:val="0"/>
                  <w:marBottom w:val="0"/>
                  <w:divBdr>
                    <w:top w:val="none" w:sz="0" w:space="0" w:color="auto"/>
                    <w:left w:val="none" w:sz="0" w:space="0" w:color="auto"/>
                    <w:bottom w:val="none" w:sz="0" w:space="0" w:color="auto"/>
                    <w:right w:val="none" w:sz="0" w:space="0" w:color="auto"/>
                  </w:divBdr>
                  <w:divsChild>
                    <w:div w:id="11065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5348">
      <w:bodyDiv w:val="1"/>
      <w:marLeft w:val="0"/>
      <w:marRight w:val="0"/>
      <w:marTop w:val="0"/>
      <w:marBottom w:val="0"/>
      <w:divBdr>
        <w:top w:val="none" w:sz="0" w:space="0" w:color="auto"/>
        <w:left w:val="none" w:sz="0" w:space="0" w:color="auto"/>
        <w:bottom w:val="none" w:sz="0" w:space="0" w:color="auto"/>
        <w:right w:val="none" w:sz="0" w:space="0" w:color="auto"/>
      </w:divBdr>
    </w:div>
    <w:div w:id="106045956">
      <w:bodyDiv w:val="1"/>
      <w:marLeft w:val="0"/>
      <w:marRight w:val="0"/>
      <w:marTop w:val="0"/>
      <w:marBottom w:val="0"/>
      <w:divBdr>
        <w:top w:val="none" w:sz="0" w:space="0" w:color="auto"/>
        <w:left w:val="none" w:sz="0" w:space="0" w:color="auto"/>
        <w:bottom w:val="none" w:sz="0" w:space="0" w:color="auto"/>
        <w:right w:val="none" w:sz="0" w:space="0" w:color="auto"/>
      </w:divBdr>
      <w:divsChild>
        <w:div w:id="774325997">
          <w:marLeft w:val="0"/>
          <w:marRight w:val="0"/>
          <w:marTop w:val="0"/>
          <w:marBottom w:val="0"/>
          <w:divBdr>
            <w:top w:val="none" w:sz="0" w:space="0" w:color="auto"/>
            <w:left w:val="none" w:sz="0" w:space="0" w:color="auto"/>
            <w:bottom w:val="none" w:sz="0" w:space="0" w:color="auto"/>
            <w:right w:val="none" w:sz="0" w:space="0" w:color="auto"/>
          </w:divBdr>
          <w:divsChild>
            <w:div w:id="1582563452">
              <w:marLeft w:val="0"/>
              <w:marRight w:val="0"/>
              <w:marTop w:val="0"/>
              <w:marBottom w:val="0"/>
              <w:divBdr>
                <w:top w:val="none" w:sz="0" w:space="0" w:color="auto"/>
                <w:left w:val="none" w:sz="0" w:space="0" w:color="auto"/>
                <w:bottom w:val="none" w:sz="0" w:space="0" w:color="auto"/>
                <w:right w:val="none" w:sz="0" w:space="0" w:color="auto"/>
              </w:divBdr>
              <w:divsChild>
                <w:div w:id="16207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7159862">
      <w:bodyDiv w:val="1"/>
      <w:marLeft w:val="0"/>
      <w:marRight w:val="0"/>
      <w:marTop w:val="0"/>
      <w:marBottom w:val="0"/>
      <w:divBdr>
        <w:top w:val="none" w:sz="0" w:space="0" w:color="auto"/>
        <w:left w:val="none" w:sz="0" w:space="0" w:color="auto"/>
        <w:bottom w:val="none" w:sz="0" w:space="0" w:color="auto"/>
        <w:right w:val="none" w:sz="0" w:space="0" w:color="auto"/>
      </w:divBdr>
      <w:divsChild>
        <w:div w:id="1943142840">
          <w:marLeft w:val="0"/>
          <w:marRight w:val="0"/>
          <w:marTop w:val="0"/>
          <w:marBottom w:val="0"/>
          <w:divBdr>
            <w:top w:val="none" w:sz="0" w:space="0" w:color="auto"/>
            <w:left w:val="none" w:sz="0" w:space="0" w:color="auto"/>
            <w:bottom w:val="none" w:sz="0" w:space="0" w:color="auto"/>
            <w:right w:val="none" w:sz="0" w:space="0" w:color="auto"/>
          </w:divBdr>
          <w:divsChild>
            <w:div w:id="1691687754">
              <w:marLeft w:val="0"/>
              <w:marRight w:val="0"/>
              <w:marTop w:val="0"/>
              <w:marBottom w:val="0"/>
              <w:divBdr>
                <w:top w:val="none" w:sz="0" w:space="0" w:color="auto"/>
                <w:left w:val="none" w:sz="0" w:space="0" w:color="auto"/>
                <w:bottom w:val="none" w:sz="0" w:space="0" w:color="auto"/>
                <w:right w:val="none" w:sz="0" w:space="0" w:color="auto"/>
              </w:divBdr>
              <w:divsChild>
                <w:div w:id="1288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609">
      <w:bodyDiv w:val="1"/>
      <w:marLeft w:val="0"/>
      <w:marRight w:val="0"/>
      <w:marTop w:val="0"/>
      <w:marBottom w:val="0"/>
      <w:divBdr>
        <w:top w:val="none" w:sz="0" w:space="0" w:color="auto"/>
        <w:left w:val="none" w:sz="0" w:space="0" w:color="auto"/>
        <w:bottom w:val="none" w:sz="0" w:space="0" w:color="auto"/>
        <w:right w:val="none" w:sz="0" w:space="0" w:color="auto"/>
      </w:divBdr>
      <w:divsChild>
        <w:div w:id="566961919">
          <w:marLeft w:val="0"/>
          <w:marRight w:val="0"/>
          <w:marTop w:val="0"/>
          <w:marBottom w:val="0"/>
          <w:divBdr>
            <w:top w:val="none" w:sz="0" w:space="0" w:color="auto"/>
            <w:left w:val="none" w:sz="0" w:space="0" w:color="auto"/>
            <w:bottom w:val="none" w:sz="0" w:space="0" w:color="auto"/>
            <w:right w:val="none" w:sz="0" w:space="0" w:color="auto"/>
          </w:divBdr>
          <w:divsChild>
            <w:div w:id="872421732">
              <w:marLeft w:val="0"/>
              <w:marRight w:val="0"/>
              <w:marTop w:val="0"/>
              <w:marBottom w:val="0"/>
              <w:divBdr>
                <w:top w:val="none" w:sz="0" w:space="0" w:color="auto"/>
                <w:left w:val="none" w:sz="0" w:space="0" w:color="auto"/>
                <w:bottom w:val="none" w:sz="0" w:space="0" w:color="auto"/>
                <w:right w:val="none" w:sz="0" w:space="0" w:color="auto"/>
              </w:divBdr>
              <w:divsChild>
                <w:div w:id="943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253">
      <w:bodyDiv w:val="1"/>
      <w:marLeft w:val="0"/>
      <w:marRight w:val="0"/>
      <w:marTop w:val="0"/>
      <w:marBottom w:val="0"/>
      <w:divBdr>
        <w:top w:val="none" w:sz="0" w:space="0" w:color="auto"/>
        <w:left w:val="none" w:sz="0" w:space="0" w:color="auto"/>
        <w:bottom w:val="none" w:sz="0" w:space="0" w:color="auto"/>
        <w:right w:val="none" w:sz="0" w:space="0" w:color="auto"/>
      </w:divBdr>
    </w:div>
    <w:div w:id="120078099">
      <w:bodyDiv w:val="1"/>
      <w:marLeft w:val="0"/>
      <w:marRight w:val="0"/>
      <w:marTop w:val="0"/>
      <w:marBottom w:val="0"/>
      <w:divBdr>
        <w:top w:val="none" w:sz="0" w:space="0" w:color="auto"/>
        <w:left w:val="none" w:sz="0" w:space="0" w:color="auto"/>
        <w:bottom w:val="none" w:sz="0" w:space="0" w:color="auto"/>
        <w:right w:val="none" w:sz="0" w:space="0" w:color="auto"/>
      </w:divBdr>
    </w:div>
    <w:div w:id="130441600">
      <w:bodyDiv w:val="1"/>
      <w:marLeft w:val="0"/>
      <w:marRight w:val="0"/>
      <w:marTop w:val="0"/>
      <w:marBottom w:val="0"/>
      <w:divBdr>
        <w:top w:val="none" w:sz="0" w:space="0" w:color="auto"/>
        <w:left w:val="none" w:sz="0" w:space="0" w:color="auto"/>
        <w:bottom w:val="none" w:sz="0" w:space="0" w:color="auto"/>
        <w:right w:val="none" w:sz="0" w:space="0" w:color="auto"/>
      </w:divBdr>
    </w:div>
    <w:div w:id="130558816">
      <w:bodyDiv w:val="1"/>
      <w:marLeft w:val="0"/>
      <w:marRight w:val="0"/>
      <w:marTop w:val="0"/>
      <w:marBottom w:val="0"/>
      <w:divBdr>
        <w:top w:val="none" w:sz="0" w:space="0" w:color="auto"/>
        <w:left w:val="none" w:sz="0" w:space="0" w:color="auto"/>
        <w:bottom w:val="none" w:sz="0" w:space="0" w:color="auto"/>
        <w:right w:val="none" w:sz="0" w:space="0" w:color="auto"/>
      </w:divBdr>
    </w:div>
    <w:div w:id="146634037">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sChild>
        <w:div w:id="502091992">
          <w:marLeft w:val="0"/>
          <w:marRight w:val="0"/>
          <w:marTop w:val="0"/>
          <w:marBottom w:val="0"/>
          <w:divBdr>
            <w:top w:val="none" w:sz="0" w:space="0" w:color="auto"/>
            <w:left w:val="none" w:sz="0" w:space="0" w:color="auto"/>
            <w:bottom w:val="none" w:sz="0" w:space="0" w:color="auto"/>
            <w:right w:val="none" w:sz="0" w:space="0" w:color="auto"/>
          </w:divBdr>
          <w:divsChild>
            <w:div w:id="743995484">
              <w:marLeft w:val="0"/>
              <w:marRight w:val="0"/>
              <w:marTop w:val="0"/>
              <w:marBottom w:val="0"/>
              <w:divBdr>
                <w:top w:val="none" w:sz="0" w:space="0" w:color="auto"/>
                <w:left w:val="none" w:sz="0" w:space="0" w:color="auto"/>
                <w:bottom w:val="none" w:sz="0" w:space="0" w:color="auto"/>
                <w:right w:val="none" w:sz="0" w:space="0" w:color="auto"/>
              </w:divBdr>
              <w:divsChild>
                <w:div w:id="11174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8623">
      <w:bodyDiv w:val="1"/>
      <w:marLeft w:val="0"/>
      <w:marRight w:val="0"/>
      <w:marTop w:val="0"/>
      <w:marBottom w:val="0"/>
      <w:divBdr>
        <w:top w:val="none" w:sz="0" w:space="0" w:color="auto"/>
        <w:left w:val="none" w:sz="0" w:space="0" w:color="auto"/>
        <w:bottom w:val="none" w:sz="0" w:space="0" w:color="auto"/>
        <w:right w:val="none" w:sz="0" w:space="0" w:color="auto"/>
      </w:divBdr>
      <w:divsChild>
        <w:div w:id="332412231">
          <w:marLeft w:val="0"/>
          <w:marRight w:val="0"/>
          <w:marTop w:val="0"/>
          <w:marBottom w:val="0"/>
          <w:divBdr>
            <w:top w:val="none" w:sz="0" w:space="0" w:color="auto"/>
            <w:left w:val="none" w:sz="0" w:space="0" w:color="auto"/>
            <w:bottom w:val="none" w:sz="0" w:space="0" w:color="auto"/>
            <w:right w:val="none" w:sz="0" w:space="0" w:color="auto"/>
          </w:divBdr>
          <w:divsChild>
            <w:div w:id="272054386">
              <w:marLeft w:val="0"/>
              <w:marRight w:val="0"/>
              <w:marTop w:val="0"/>
              <w:marBottom w:val="0"/>
              <w:divBdr>
                <w:top w:val="none" w:sz="0" w:space="0" w:color="auto"/>
                <w:left w:val="none" w:sz="0" w:space="0" w:color="auto"/>
                <w:bottom w:val="none" w:sz="0" w:space="0" w:color="auto"/>
                <w:right w:val="none" w:sz="0" w:space="0" w:color="auto"/>
              </w:divBdr>
              <w:divsChild>
                <w:div w:id="1307203020">
                  <w:marLeft w:val="0"/>
                  <w:marRight w:val="0"/>
                  <w:marTop w:val="0"/>
                  <w:marBottom w:val="0"/>
                  <w:divBdr>
                    <w:top w:val="none" w:sz="0" w:space="0" w:color="auto"/>
                    <w:left w:val="none" w:sz="0" w:space="0" w:color="auto"/>
                    <w:bottom w:val="none" w:sz="0" w:space="0" w:color="auto"/>
                    <w:right w:val="none" w:sz="0" w:space="0" w:color="auto"/>
                  </w:divBdr>
                  <w:divsChild>
                    <w:div w:id="1590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8230">
      <w:bodyDiv w:val="1"/>
      <w:marLeft w:val="0"/>
      <w:marRight w:val="0"/>
      <w:marTop w:val="0"/>
      <w:marBottom w:val="0"/>
      <w:divBdr>
        <w:top w:val="none" w:sz="0" w:space="0" w:color="auto"/>
        <w:left w:val="none" w:sz="0" w:space="0" w:color="auto"/>
        <w:bottom w:val="none" w:sz="0" w:space="0" w:color="auto"/>
        <w:right w:val="none" w:sz="0" w:space="0" w:color="auto"/>
      </w:divBdr>
    </w:div>
    <w:div w:id="167260705">
      <w:bodyDiv w:val="1"/>
      <w:marLeft w:val="0"/>
      <w:marRight w:val="0"/>
      <w:marTop w:val="0"/>
      <w:marBottom w:val="0"/>
      <w:divBdr>
        <w:top w:val="none" w:sz="0" w:space="0" w:color="auto"/>
        <w:left w:val="none" w:sz="0" w:space="0" w:color="auto"/>
        <w:bottom w:val="none" w:sz="0" w:space="0" w:color="auto"/>
        <w:right w:val="none" w:sz="0" w:space="0" w:color="auto"/>
      </w:divBdr>
    </w:div>
    <w:div w:id="168836652">
      <w:bodyDiv w:val="1"/>
      <w:marLeft w:val="0"/>
      <w:marRight w:val="0"/>
      <w:marTop w:val="0"/>
      <w:marBottom w:val="0"/>
      <w:divBdr>
        <w:top w:val="none" w:sz="0" w:space="0" w:color="auto"/>
        <w:left w:val="none" w:sz="0" w:space="0" w:color="auto"/>
        <w:bottom w:val="none" w:sz="0" w:space="0" w:color="auto"/>
        <w:right w:val="none" w:sz="0" w:space="0" w:color="auto"/>
      </w:divBdr>
      <w:divsChild>
        <w:div w:id="1931545341">
          <w:marLeft w:val="0"/>
          <w:marRight w:val="0"/>
          <w:marTop w:val="0"/>
          <w:marBottom w:val="0"/>
          <w:divBdr>
            <w:top w:val="none" w:sz="0" w:space="0" w:color="auto"/>
            <w:left w:val="none" w:sz="0" w:space="0" w:color="auto"/>
            <w:bottom w:val="none" w:sz="0" w:space="0" w:color="auto"/>
            <w:right w:val="none" w:sz="0" w:space="0" w:color="auto"/>
          </w:divBdr>
          <w:divsChild>
            <w:div w:id="548537771">
              <w:marLeft w:val="0"/>
              <w:marRight w:val="0"/>
              <w:marTop w:val="0"/>
              <w:marBottom w:val="0"/>
              <w:divBdr>
                <w:top w:val="none" w:sz="0" w:space="0" w:color="auto"/>
                <w:left w:val="none" w:sz="0" w:space="0" w:color="auto"/>
                <w:bottom w:val="none" w:sz="0" w:space="0" w:color="auto"/>
                <w:right w:val="none" w:sz="0" w:space="0" w:color="auto"/>
              </w:divBdr>
              <w:divsChild>
                <w:div w:id="17372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275">
      <w:bodyDiv w:val="1"/>
      <w:marLeft w:val="0"/>
      <w:marRight w:val="0"/>
      <w:marTop w:val="0"/>
      <w:marBottom w:val="0"/>
      <w:divBdr>
        <w:top w:val="none" w:sz="0" w:space="0" w:color="auto"/>
        <w:left w:val="none" w:sz="0" w:space="0" w:color="auto"/>
        <w:bottom w:val="none" w:sz="0" w:space="0" w:color="auto"/>
        <w:right w:val="none" w:sz="0" w:space="0" w:color="auto"/>
      </w:divBdr>
    </w:div>
    <w:div w:id="169835826">
      <w:bodyDiv w:val="1"/>
      <w:marLeft w:val="0"/>
      <w:marRight w:val="0"/>
      <w:marTop w:val="0"/>
      <w:marBottom w:val="0"/>
      <w:divBdr>
        <w:top w:val="none" w:sz="0" w:space="0" w:color="auto"/>
        <w:left w:val="none" w:sz="0" w:space="0" w:color="auto"/>
        <w:bottom w:val="none" w:sz="0" w:space="0" w:color="auto"/>
        <w:right w:val="none" w:sz="0" w:space="0" w:color="auto"/>
      </w:divBdr>
      <w:divsChild>
        <w:div w:id="443039038">
          <w:marLeft w:val="0"/>
          <w:marRight w:val="0"/>
          <w:marTop w:val="0"/>
          <w:marBottom w:val="0"/>
          <w:divBdr>
            <w:top w:val="none" w:sz="0" w:space="0" w:color="auto"/>
            <w:left w:val="none" w:sz="0" w:space="0" w:color="auto"/>
            <w:bottom w:val="none" w:sz="0" w:space="0" w:color="auto"/>
            <w:right w:val="none" w:sz="0" w:space="0" w:color="auto"/>
          </w:divBdr>
          <w:divsChild>
            <w:div w:id="851410083">
              <w:marLeft w:val="0"/>
              <w:marRight w:val="0"/>
              <w:marTop w:val="0"/>
              <w:marBottom w:val="0"/>
              <w:divBdr>
                <w:top w:val="none" w:sz="0" w:space="0" w:color="auto"/>
                <w:left w:val="none" w:sz="0" w:space="0" w:color="auto"/>
                <w:bottom w:val="none" w:sz="0" w:space="0" w:color="auto"/>
                <w:right w:val="none" w:sz="0" w:space="0" w:color="auto"/>
              </w:divBdr>
              <w:divsChild>
                <w:div w:id="1876690829">
                  <w:marLeft w:val="0"/>
                  <w:marRight w:val="0"/>
                  <w:marTop w:val="0"/>
                  <w:marBottom w:val="0"/>
                  <w:divBdr>
                    <w:top w:val="none" w:sz="0" w:space="0" w:color="auto"/>
                    <w:left w:val="none" w:sz="0" w:space="0" w:color="auto"/>
                    <w:bottom w:val="none" w:sz="0" w:space="0" w:color="auto"/>
                    <w:right w:val="none" w:sz="0" w:space="0" w:color="auto"/>
                  </w:divBdr>
                  <w:divsChild>
                    <w:div w:id="935022621">
                      <w:marLeft w:val="0"/>
                      <w:marRight w:val="0"/>
                      <w:marTop w:val="0"/>
                      <w:marBottom w:val="0"/>
                      <w:divBdr>
                        <w:top w:val="none" w:sz="0" w:space="0" w:color="auto"/>
                        <w:left w:val="none" w:sz="0" w:space="0" w:color="auto"/>
                        <w:bottom w:val="none" w:sz="0" w:space="0" w:color="auto"/>
                        <w:right w:val="none" w:sz="0" w:space="0" w:color="auto"/>
                      </w:divBdr>
                      <w:divsChild>
                        <w:div w:id="1781073358">
                          <w:marLeft w:val="0"/>
                          <w:marRight w:val="0"/>
                          <w:marTop w:val="0"/>
                          <w:marBottom w:val="0"/>
                          <w:divBdr>
                            <w:top w:val="none" w:sz="0" w:space="0" w:color="auto"/>
                            <w:left w:val="none" w:sz="0" w:space="0" w:color="auto"/>
                            <w:bottom w:val="none" w:sz="0" w:space="0" w:color="auto"/>
                            <w:right w:val="none" w:sz="0" w:space="0" w:color="auto"/>
                          </w:divBdr>
                        </w:div>
                      </w:divsChild>
                    </w:div>
                    <w:div w:id="1593784734">
                      <w:marLeft w:val="0"/>
                      <w:marRight w:val="0"/>
                      <w:marTop w:val="0"/>
                      <w:marBottom w:val="0"/>
                      <w:divBdr>
                        <w:top w:val="none" w:sz="0" w:space="0" w:color="auto"/>
                        <w:left w:val="none" w:sz="0" w:space="0" w:color="auto"/>
                        <w:bottom w:val="none" w:sz="0" w:space="0" w:color="auto"/>
                        <w:right w:val="none" w:sz="0" w:space="0" w:color="auto"/>
                      </w:divBdr>
                      <w:divsChild>
                        <w:div w:id="4131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9873">
              <w:marLeft w:val="0"/>
              <w:marRight w:val="0"/>
              <w:marTop w:val="0"/>
              <w:marBottom w:val="0"/>
              <w:divBdr>
                <w:top w:val="none" w:sz="0" w:space="0" w:color="auto"/>
                <w:left w:val="none" w:sz="0" w:space="0" w:color="auto"/>
                <w:bottom w:val="none" w:sz="0" w:space="0" w:color="auto"/>
                <w:right w:val="none" w:sz="0" w:space="0" w:color="auto"/>
              </w:divBdr>
              <w:divsChild>
                <w:div w:id="1215123655">
                  <w:marLeft w:val="0"/>
                  <w:marRight w:val="0"/>
                  <w:marTop w:val="0"/>
                  <w:marBottom w:val="0"/>
                  <w:divBdr>
                    <w:top w:val="none" w:sz="0" w:space="0" w:color="auto"/>
                    <w:left w:val="none" w:sz="0" w:space="0" w:color="auto"/>
                    <w:bottom w:val="none" w:sz="0" w:space="0" w:color="auto"/>
                    <w:right w:val="none" w:sz="0" w:space="0" w:color="auto"/>
                  </w:divBdr>
                  <w:divsChild>
                    <w:div w:id="905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7687">
          <w:marLeft w:val="0"/>
          <w:marRight w:val="0"/>
          <w:marTop w:val="0"/>
          <w:marBottom w:val="0"/>
          <w:divBdr>
            <w:top w:val="none" w:sz="0" w:space="0" w:color="auto"/>
            <w:left w:val="none" w:sz="0" w:space="0" w:color="auto"/>
            <w:bottom w:val="none" w:sz="0" w:space="0" w:color="auto"/>
            <w:right w:val="none" w:sz="0" w:space="0" w:color="auto"/>
          </w:divBdr>
          <w:divsChild>
            <w:div w:id="419372258">
              <w:marLeft w:val="0"/>
              <w:marRight w:val="0"/>
              <w:marTop w:val="0"/>
              <w:marBottom w:val="0"/>
              <w:divBdr>
                <w:top w:val="none" w:sz="0" w:space="0" w:color="auto"/>
                <w:left w:val="none" w:sz="0" w:space="0" w:color="auto"/>
                <w:bottom w:val="none" w:sz="0" w:space="0" w:color="auto"/>
                <w:right w:val="none" w:sz="0" w:space="0" w:color="auto"/>
              </w:divBdr>
              <w:divsChild>
                <w:div w:id="1380088368">
                  <w:marLeft w:val="0"/>
                  <w:marRight w:val="0"/>
                  <w:marTop w:val="0"/>
                  <w:marBottom w:val="0"/>
                  <w:divBdr>
                    <w:top w:val="none" w:sz="0" w:space="0" w:color="auto"/>
                    <w:left w:val="none" w:sz="0" w:space="0" w:color="auto"/>
                    <w:bottom w:val="none" w:sz="0" w:space="0" w:color="auto"/>
                    <w:right w:val="none" w:sz="0" w:space="0" w:color="auto"/>
                  </w:divBdr>
                  <w:divsChild>
                    <w:div w:id="502480128">
                      <w:marLeft w:val="0"/>
                      <w:marRight w:val="0"/>
                      <w:marTop w:val="0"/>
                      <w:marBottom w:val="0"/>
                      <w:divBdr>
                        <w:top w:val="none" w:sz="0" w:space="0" w:color="auto"/>
                        <w:left w:val="none" w:sz="0" w:space="0" w:color="auto"/>
                        <w:bottom w:val="none" w:sz="0" w:space="0" w:color="auto"/>
                        <w:right w:val="none" w:sz="0" w:space="0" w:color="auto"/>
                      </w:divBdr>
                    </w:div>
                  </w:divsChild>
                </w:div>
                <w:div w:id="218900747">
                  <w:marLeft w:val="0"/>
                  <w:marRight w:val="0"/>
                  <w:marTop w:val="0"/>
                  <w:marBottom w:val="0"/>
                  <w:divBdr>
                    <w:top w:val="none" w:sz="0" w:space="0" w:color="auto"/>
                    <w:left w:val="none" w:sz="0" w:space="0" w:color="auto"/>
                    <w:bottom w:val="none" w:sz="0" w:space="0" w:color="auto"/>
                    <w:right w:val="none" w:sz="0" w:space="0" w:color="auto"/>
                  </w:divBdr>
                  <w:divsChild>
                    <w:div w:id="5636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187260943">
      <w:bodyDiv w:val="1"/>
      <w:marLeft w:val="0"/>
      <w:marRight w:val="0"/>
      <w:marTop w:val="0"/>
      <w:marBottom w:val="0"/>
      <w:divBdr>
        <w:top w:val="none" w:sz="0" w:space="0" w:color="auto"/>
        <w:left w:val="none" w:sz="0" w:space="0" w:color="auto"/>
        <w:bottom w:val="none" w:sz="0" w:space="0" w:color="auto"/>
        <w:right w:val="none" w:sz="0" w:space="0" w:color="auto"/>
      </w:divBdr>
    </w:div>
    <w:div w:id="187717909">
      <w:bodyDiv w:val="1"/>
      <w:marLeft w:val="0"/>
      <w:marRight w:val="0"/>
      <w:marTop w:val="0"/>
      <w:marBottom w:val="0"/>
      <w:divBdr>
        <w:top w:val="none" w:sz="0" w:space="0" w:color="auto"/>
        <w:left w:val="none" w:sz="0" w:space="0" w:color="auto"/>
        <w:bottom w:val="none" w:sz="0" w:space="0" w:color="auto"/>
        <w:right w:val="none" w:sz="0" w:space="0" w:color="auto"/>
      </w:divBdr>
      <w:divsChild>
        <w:div w:id="1663462915">
          <w:marLeft w:val="0"/>
          <w:marRight w:val="0"/>
          <w:marTop w:val="0"/>
          <w:marBottom w:val="0"/>
          <w:divBdr>
            <w:top w:val="none" w:sz="0" w:space="0" w:color="auto"/>
            <w:left w:val="none" w:sz="0" w:space="0" w:color="auto"/>
            <w:bottom w:val="none" w:sz="0" w:space="0" w:color="auto"/>
            <w:right w:val="none" w:sz="0" w:space="0" w:color="auto"/>
          </w:divBdr>
          <w:divsChild>
            <w:div w:id="1502624234">
              <w:marLeft w:val="0"/>
              <w:marRight w:val="0"/>
              <w:marTop w:val="0"/>
              <w:marBottom w:val="0"/>
              <w:divBdr>
                <w:top w:val="none" w:sz="0" w:space="0" w:color="auto"/>
                <w:left w:val="none" w:sz="0" w:space="0" w:color="auto"/>
                <w:bottom w:val="none" w:sz="0" w:space="0" w:color="auto"/>
                <w:right w:val="none" w:sz="0" w:space="0" w:color="auto"/>
              </w:divBdr>
              <w:divsChild>
                <w:div w:id="6028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017">
      <w:bodyDiv w:val="1"/>
      <w:marLeft w:val="0"/>
      <w:marRight w:val="0"/>
      <w:marTop w:val="0"/>
      <w:marBottom w:val="0"/>
      <w:divBdr>
        <w:top w:val="none" w:sz="0" w:space="0" w:color="auto"/>
        <w:left w:val="none" w:sz="0" w:space="0" w:color="auto"/>
        <w:bottom w:val="none" w:sz="0" w:space="0" w:color="auto"/>
        <w:right w:val="none" w:sz="0" w:space="0" w:color="auto"/>
      </w:divBdr>
      <w:divsChild>
        <w:div w:id="701126789">
          <w:marLeft w:val="0"/>
          <w:marRight w:val="0"/>
          <w:marTop w:val="0"/>
          <w:marBottom w:val="0"/>
          <w:divBdr>
            <w:top w:val="none" w:sz="0" w:space="0" w:color="auto"/>
            <w:left w:val="none" w:sz="0" w:space="0" w:color="auto"/>
            <w:bottom w:val="none" w:sz="0" w:space="0" w:color="auto"/>
            <w:right w:val="none" w:sz="0" w:space="0" w:color="auto"/>
          </w:divBdr>
          <w:divsChild>
            <w:div w:id="579220745">
              <w:marLeft w:val="0"/>
              <w:marRight w:val="0"/>
              <w:marTop w:val="0"/>
              <w:marBottom w:val="0"/>
              <w:divBdr>
                <w:top w:val="none" w:sz="0" w:space="0" w:color="auto"/>
                <w:left w:val="none" w:sz="0" w:space="0" w:color="auto"/>
                <w:bottom w:val="none" w:sz="0" w:space="0" w:color="auto"/>
                <w:right w:val="none" w:sz="0" w:space="0" w:color="auto"/>
              </w:divBdr>
              <w:divsChild>
                <w:div w:id="3723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2286">
      <w:bodyDiv w:val="1"/>
      <w:marLeft w:val="0"/>
      <w:marRight w:val="0"/>
      <w:marTop w:val="0"/>
      <w:marBottom w:val="0"/>
      <w:divBdr>
        <w:top w:val="none" w:sz="0" w:space="0" w:color="auto"/>
        <w:left w:val="none" w:sz="0" w:space="0" w:color="auto"/>
        <w:bottom w:val="none" w:sz="0" w:space="0" w:color="auto"/>
        <w:right w:val="none" w:sz="0" w:space="0" w:color="auto"/>
      </w:divBdr>
    </w:div>
    <w:div w:id="200899162">
      <w:bodyDiv w:val="1"/>
      <w:marLeft w:val="0"/>
      <w:marRight w:val="0"/>
      <w:marTop w:val="0"/>
      <w:marBottom w:val="0"/>
      <w:divBdr>
        <w:top w:val="none" w:sz="0" w:space="0" w:color="auto"/>
        <w:left w:val="none" w:sz="0" w:space="0" w:color="auto"/>
        <w:bottom w:val="none" w:sz="0" w:space="0" w:color="auto"/>
        <w:right w:val="none" w:sz="0" w:space="0" w:color="auto"/>
      </w:divBdr>
      <w:divsChild>
        <w:div w:id="1761952873">
          <w:marLeft w:val="0"/>
          <w:marRight w:val="0"/>
          <w:marTop w:val="0"/>
          <w:marBottom w:val="0"/>
          <w:divBdr>
            <w:top w:val="none" w:sz="0" w:space="0" w:color="auto"/>
            <w:left w:val="none" w:sz="0" w:space="0" w:color="auto"/>
            <w:bottom w:val="none" w:sz="0" w:space="0" w:color="auto"/>
            <w:right w:val="none" w:sz="0" w:space="0" w:color="auto"/>
          </w:divBdr>
        </w:div>
      </w:divsChild>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14050932">
      <w:bodyDiv w:val="1"/>
      <w:marLeft w:val="0"/>
      <w:marRight w:val="0"/>
      <w:marTop w:val="0"/>
      <w:marBottom w:val="0"/>
      <w:divBdr>
        <w:top w:val="none" w:sz="0" w:space="0" w:color="auto"/>
        <w:left w:val="none" w:sz="0" w:space="0" w:color="auto"/>
        <w:bottom w:val="none" w:sz="0" w:space="0" w:color="auto"/>
        <w:right w:val="none" w:sz="0" w:space="0" w:color="auto"/>
      </w:divBdr>
      <w:divsChild>
        <w:div w:id="1283534181">
          <w:marLeft w:val="0"/>
          <w:marRight w:val="0"/>
          <w:marTop w:val="0"/>
          <w:marBottom w:val="0"/>
          <w:divBdr>
            <w:top w:val="none" w:sz="0" w:space="0" w:color="auto"/>
            <w:left w:val="none" w:sz="0" w:space="0" w:color="auto"/>
            <w:bottom w:val="none" w:sz="0" w:space="0" w:color="auto"/>
            <w:right w:val="none" w:sz="0" w:space="0" w:color="auto"/>
          </w:divBdr>
          <w:divsChild>
            <w:div w:id="1378898074">
              <w:marLeft w:val="0"/>
              <w:marRight w:val="0"/>
              <w:marTop w:val="0"/>
              <w:marBottom w:val="0"/>
              <w:divBdr>
                <w:top w:val="none" w:sz="0" w:space="0" w:color="auto"/>
                <w:left w:val="none" w:sz="0" w:space="0" w:color="auto"/>
                <w:bottom w:val="none" w:sz="0" w:space="0" w:color="auto"/>
                <w:right w:val="none" w:sz="0" w:space="0" w:color="auto"/>
              </w:divBdr>
              <w:divsChild>
                <w:div w:id="97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2055">
      <w:bodyDiv w:val="1"/>
      <w:marLeft w:val="0"/>
      <w:marRight w:val="0"/>
      <w:marTop w:val="0"/>
      <w:marBottom w:val="0"/>
      <w:divBdr>
        <w:top w:val="none" w:sz="0" w:space="0" w:color="auto"/>
        <w:left w:val="none" w:sz="0" w:space="0" w:color="auto"/>
        <w:bottom w:val="none" w:sz="0" w:space="0" w:color="auto"/>
        <w:right w:val="none" w:sz="0" w:space="0" w:color="auto"/>
      </w:divBdr>
      <w:divsChild>
        <w:div w:id="736899589">
          <w:marLeft w:val="0"/>
          <w:marRight w:val="0"/>
          <w:marTop w:val="0"/>
          <w:marBottom w:val="0"/>
          <w:divBdr>
            <w:top w:val="none" w:sz="0" w:space="0" w:color="auto"/>
            <w:left w:val="none" w:sz="0" w:space="0" w:color="auto"/>
            <w:bottom w:val="none" w:sz="0" w:space="0" w:color="auto"/>
            <w:right w:val="none" w:sz="0" w:space="0" w:color="auto"/>
          </w:divBdr>
          <w:divsChild>
            <w:div w:id="857475507">
              <w:marLeft w:val="0"/>
              <w:marRight w:val="0"/>
              <w:marTop w:val="0"/>
              <w:marBottom w:val="0"/>
              <w:divBdr>
                <w:top w:val="none" w:sz="0" w:space="0" w:color="auto"/>
                <w:left w:val="none" w:sz="0" w:space="0" w:color="auto"/>
                <w:bottom w:val="none" w:sz="0" w:space="0" w:color="auto"/>
                <w:right w:val="none" w:sz="0" w:space="0" w:color="auto"/>
              </w:divBdr>
              <w:divsChild>
                <w:div w:id="21396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87124">
      <w:bodyDiv w:val="1"/>
      <w:marLeft w:val="0"/>
      <w:marRight w:val="0"/>
      <w:marTop w:val="0"/>
      <w:marBottom w:val="0"/>
      <w:divBdr>
        <w:top w:val="none" w:sz="0" w:space="0" w:color="auto"/>
        <w:left w:val="none" w:sz="0" w:space="0" w:color="auto"/>
        <w:bottom w:val="none" w:sz="0" w:space="0" w:color="auto"/>
        <w:right w:val="none" w:sz="0" w:space="0" w:color="auto"/>
      </w:divBdr>
    </w:div>
    <w:div w:id="218591153">
      <w:bodyDiv w:val="1"/>
      <w:marLeft w:val="0"/>
      <w:marRight w:val="0"/>
      <w:marTop w:val="0"/>
      <w:marBottom w:val="0"/>
      <w:divBdr>
        <w:top w:val="none" w:sz="0" w:space="0" w:color="auto"/>
        <w:left w:val="none" w:sz="0" w:space="0" w:color="auto"/>
        <w:bottom w:val="none" w:sz="0" w:space="0" w:color="auto"/>
        <w:right w:val="none" w:sz="0" w:space="0" w:color="auto"/>
      </w:divBdr>
      <w:divsChild>
        <w:div w:id="53044638">
          <w:marLeft w:val="0"/>
          <w:marRight w:val="0"/>
          <w:marTop w:val="0"/>
          <w:marBottom w:val="0"/>
          <w:divBdr>
            <w:top w:val="none" w:sz="0" w:space="0" w:color="auto"/>
            <w:left w:val="none" w:sz="0" w:space="0" w:color="auto"/>
            <w:bottom w:val="none" w:sz="0" w:space="0" w:color="auto"/>
            <w:right w:val="none" w:sz="0" w:space="0" w:color="auto"/>
          </w:divBdr>
          <w:divsChild>
            <w:div w:id="1176074725">
              <w:marLeft w:val="0"/>
              <w:marRight w:val="0"/>
              <w:marTop w:val="0"/>
              <w:marBottom w:val="0"/>
              <w:divBdr>
                <w:top w:val="none" w:sz="0" w:space="0" w:color="auto"/>
                <w:left w:val="none" w:sz="0" w:space="0" w:color="auto"/>
                <w:bottom w:val="none" w:sz="0" w:space="0" w:color="auto"/>
                <w:right w:val="none" w:sz="0" w:space="0" w:color="auto"/>
              </w:divBdr>
              <w:divsChild>
                <w:div w:id="16066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3786">
      <w:bodyDiv w:val="1"/>
      <w:marLeft w:val="0"/>
      <w:marRight w:val="0"/>
      <w:marTop w:val="0"/>
      <w:marBottom w:val="0"/>
      <w:divBdr>
        <w:top w:val="none" w:sz="0" w:space="0" w:color="auto"/>
        <w:left w:val="none" w:sz="0" w:space="0" w:color="auto"/>
        <w:bottom w:val="none" w:sz="0" w:space="0" w:color="auto"/>
        <w:right w:val="none" w:sz="0" w:space="0" w:color="auto"/>
      </w:divBdr>
    </w:div>
    <w:div w:id="228199224">
      <w:bodyDiv w:val="1"/>
      <w:marLeft w:val="0"/>
      <w:marRight w:val="0"/>
      <w:marTop w:val="0"/>
      <w:marBottom w:val="0"/>
      <w:divBdr>
        <w:top w:val="none" w:sz="0" w:space="0" w:color="auto"/>
        <w:left w:val="none" w:sz="0" w:space="0" w:color="auto"/>
        <w:bottom w:val="none" w:sz="0" w:space="0" w:color="auto"/>
        <w:right w:val="none" w:sz="0" w:space="0" w:color="auto"/>
      </w:divBdr>
      <w:divsChild>
        <w:div w:id="1575967444">
          <w:marLeft w:val="0"/>
          <w:marRight w:val="0"/>
          <w:marTop w:val="0"/>
          <w:marBottom w:val="0"/>
          <w:divBdr>
            <w:top w:val="none" w:sz="0" w:space="0" w:color="auto"/>
            <w:left w:val="none" w:sz="0" w:space="0" w:color="auto"/>
            <w:bottom w:val="none" w:sz="0" w:space="0" w:color="auto"/>
            <w:right w:val="none" w:sz="0" w:space="0" w:color="auto"/>
          </w:divBdr>
          <w:divsChild>
            <w:div w:id="2006470854">
              <w:marLeft w:val="0"/>
              <w:marRight w:val="0"/>
              <w:marTop w:val="0"/>
              <w:marBottom w:val="0"/>
              <w:divBdr>
                <w:top w:val="none" w:sz="0" w:space="0" w:color="auto"/>
                <w:left w:val="none" w:sz="0" w:space="0" w:color="auto"/>
                <w:bottom w:val="none" w:sz="0" w:space="0" w:color="auto"/>
                <w:right w:val="none" w:sz="0" w:space="0" w:color="auto"/>
              </w:divBdr>
              <w:divsChild>
                <w:div w:id="369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5206">
      <w:bodyDiv w:val="1"/>
      <w:marLeft w:val="0"/>
      <w:marRight w:val="0"/>
      <w:marTop w:val="0"/>
      <w:marBottom w:val="0"/>
      <w:divBdr>
        <w:top w:val="none" w:sz="0" w:space="0" w:color="auto"/>
        <w:left w:val="none" w:sz="0" w:space="0" w:color="auto"/>
        <w:bottom w:val="none" w:sz="0" w:space="0" w:color="auto"/>
        <w:right w:val="none" w:sz="0" w:space="0" w:color="auto"/>
      </w:divBdr>
    </w:div>
    <w:div w:id="230963552">
      <w:bodyDiv w:val="1"/>
      <w:marLeft w:val="0"/>
      <w:marRight w:val="0"/>
      <w:marTop w:val="0"/>
      <w:marBottom w:val="0"/>
      <w:divBdr>
        <w:top w:val="none" w:sz="0" w:space="0" w:color="auto"/>
        <w:left w:val="none" w:sz="0" w:space="0" w:color="auto"/>
        <w:bottom w:val="none" w:sz="0" w:space="0" w:color="auto"/>
        <w:right w:val="none" w:sz="0" w:space="0" w:color="auto"/>
      </w:divBdr>
    </w:div>
    <w:div w:id="231814543">
      <w:bodyDiv w:val="1"/>
      <w:marLeft w:val="0"/>
      <w:marRight w:val="0"/>
      <w:marTop w:val="0"/>
      <w:marBottom w:val="0"/>
      <w:divBdr>
        <w:top w:val="none" w:sz="0" w:space="0" w:color="auto"/>
        <w:left w:val="none" w:sz="0" w:space="0" w:color="auto"/>
        <w:bottom w:val="none" w:sz="0" w:space="0" w:color="auto"/>
        <w:right w:val="none" w:sz="0" w:space="0" w:color="auto"/>
      </w:divBdr>
      <w:divsChild>
        <w:div w:id="854927346">
          <w:marLeft w:val="0"/>
          <w:marRight w:val="0"/>
          <w:marTop w:val="0"/>
          <w:marBottom w:val="0"/>
          <w:divBdr>
            <w:top w:val="none" w:sz="0" w:space="0" w:color="auto"/>
            <w:left w:val="none" w:sz="0" w:space="0" w:color="auto"/>
            <w:bottom w:val="none" w:sz="0" w:space="0" w:color="auto"/>
            <w:right w:val="none" w:sz="0" w:space="0" w:color="auto"/>
          </w:divBdr>
          <w:divsChild>
            <w:div w:id="589585059">
              <w:marLeft w:val="0"/>
              <w:marRight w:val="0"/>
              <w:marTop w:val="0"/>
              <w:marBottom w:val="0"/>
              <w:divBdr>
                <w:top w:val="none" w:sz="0" w:space="0" w:color="auto"/>
                <w:left w:val="none" w:sz="0" w:space="0" w:color="auto"/>
                <w:bottom w:val="none" w:sz="0" w:space="0" w:color="auto"/>
                <w:right w:val="none" w:sz="0" w:space="0" w:color="auto"/>
              </w:divBdr>
              <w:divsChild>
                <w:div w:id="13625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4787">
      <w:bodyDiv w:val="1"/>
      <w:marLeft w:val="0"/>
      <w:marRight w:val="0"/>
      <w:marTop w:val="0"/>
      <w:marBottom w:val="0"/>
      <w:divBdr>
        <w:top w:val="none" w:sz="0" w:space="0" w:color="auto"/>
        <w:left w:val="none" w:sz="0" w:space="0" w:color="auto"/>
        <w:bottom w:val="none" w:sz="0" w:space="0" w:color="auto"/>
        <w:right w:val="none" w:sz="0" w:space="0" w:color="auto"/>
      </w:divBdr>
    </w:div>
    <w:div w:id="236016813">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8">
          <w:marLeft w:val="0"/>
          <w:marRight w:val="0"/>
          <w:marTop w:val="0"/>
          <w:marBottom w:val="0"/>
          <w:divBdr>
            <w:top w:val="none" w:sz="0" w:space="0" w:color="auto"/>
            <w:left w:val="none" w:sz="0" w:space="0" w:color="auto"/>
            <w:bottom w:val="none" w:sz="0" w:space="0" w:color="auto"/>
            <w:right w:val="none" w:sz="0" w:space="0" w:color="auto"/>
          </w:divBdr>
          <w:divsChild>
            <w:div w:id="1866750891">
              <w:marLeft w:val="0"/>
              <w:marRight w:val="0"/>
              <w:marTop w:val="0"/>
              <w:marBottom w:val="0"/>
              <w:divBdr>
                <w:top w:val="none" w:sz="0" w:space="0" w:color="auto"/>
                <w:left w:val="none" w:sz="0" w:space="0" w:color="auto"/>
                <w:bottom w:val="none" w:sz="0" w:space="0" w:color="auto"/>
                <w:right w:val="none" w:sz="0" w:space="0" w:color="auto"/>
              </w:divBdr>
              <w:divsChild>
                <w:div w:id="1031881766">
                  <w:marLeft w:val="0"/>
                  <w:marRight w:val="0"/>
                  <w:marTop w:val="0"/>
                  <w:marBottom w:val="0"/>
                  <w:divBdr>
                    <w:top w:val="none" w:sz="0" w:space="0" w:color="auto"/>
                    <w:left w:val="none" w:sz="0" w:space="0" w:color="auto"/>
                    <w:bottom w:val="none" w:sz="0" w:space="0" w:color="auto"/>
                    <w:right w:val="none" w:sz="0" w:space="0" w:color="auto"/>
                  </w:divBdr>
                  <w:divsChild>
                    <w:div w:id="10214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43271491">
      <w:bodyDiv w:val="1"/>
      <w:marLeft w:val="0"/>
      <w:marRight w:val="0"/>
      <w:marTop w:val="0"/>
      <w:marBottom w:val="0"/>
      <w:divBdr>
        <w:top w:val="none" w:sz="0" w:space="0" w:color="auto"/>
        <w:left w:val="none" w:sz="0" w:space="0" w:color="auto"/>
        <w:bottom w:val="none" w:sz="0" w:space="0" w:color="auto"/>
        <w:right w:val="none" w:sz="0" w:space="0" w:color="auto"/>
      </w:divBdr>
    </w:div>
    <w:div w:id="247227942">
      <w:bodyDiv w:val="1"/>
      <w:marLeft w:val="0"/>
      <w:marRight w:val="0"/>
      <w:marTop w:val="0"/>
      <w:marBottom w:val="0"/>
      <w:divBdr>
        <w:top w:val="none" w:sz="0" w:space="0" w:color="auto"/>
        <w:left w:val="none" w:sz="0" w:space="0" w:color="auto"/>
        <w:bottom w:val="none" w:sz="0" w:space="0" w:color="auto"/>
        <w:right w:val="none" w:sz="0" w:space="0" w:color="auto"/>
      </w:divBdr>
      <w:divsChild>
        <w:div w:id="1472551052">
          <w:marLeft w:val="0"/>
          <w:marRight w:val="0"/>
          <w:marTop w:val="0"/>
          <w:marBottom w:val="0"/>
          <w:divBdr>
            <w:top w:val="none" w:sz="0" w:space="0" w:color="auto"/>
            <w:left w:val="none" w:sz="0" w:space="0" w:color="auto"/>
            <w:bottom w:val="none" w:sz="0" w:space="0" w:color="auto"/>
            <w:right w:val="none" w:sz="0" w:space="0" w:color="auto"/>
          </w:divBdr>
          <w:divsChild>
            <w:div w:id="1543514621">
              <w:marLeft w:val="0"/>
              <w:marRight w:val="0"/>
              <w:marTop w:val="0"/>
              <w:marBottom w:val="0"/>
              <w:divBdr>
                <w:top w:val="none" w:sz="0" w:space="0" w:color="auto"/>
                <w:left w:val="none" w:sz="0" w:space="0" w:color="auto"/>
                <w:bottom w:val="none" w:sz="0" w:space="0" w:color="auto"/>
                <w:right w:val="none" w:sz="0" w:space="0" w:color="auto"/>
              </w:divBdr>
              <w:divsChild>
                <w:div w:id="18240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9568">
      <w:bodyDiv w:val="1"/>
      <w:marLeft w:val="0"/>
      <w:marRight w:val="0"/>
      <w:marTop w:val="0"/>
      <w:marBottom w:val="0"/>
      <w:divBdr>
        <w:top w:val="none" w:sz="0" w:space="0" w:color="auto"/>
        <w:left w:val="none" w:sz="0" w:space="0" w:color="auto"/>
        <w:bottom w:val="none" w:sz="0" w:space="0" w:color="auto"/>
        <w:right w:val="none" w:sz="0" w:space="0" w:color="auto"/>
      </w:divBdr>
      <w:divsChild>
        <w:div w:id="980505326">
          <w:marLeft w:val="0"/>
          <w:marRight w:val="0"/>
          <w:marTop w:val="0"/>
          <w:marBottom w:val="0"/>
          <w:divBdr>
            <w:top w:val="none" w:sz="0" w:space="0" w:color="auto"/>
            <w:left w:val="none" w:sz="0" w:space="0" w:color="auto"/>
            <w:bottom w:val="none" w:sz="0" w:space="0" w:color="auto"/>
            <w:right w:val="none" w:sz="0" w:space="0" w:color="auto"/>
          </w:divBdr>
          <w:divsChild>
            <w:div w:id="928083490">
              <w:marLeft w:val="0"/>
              <w:marRight w:val="0"/>
              <w:marTop w:val="0"/>
              <w:marBottom w:val="0"/>
              <w:divBdr>
                <w:top w:val="none" w:sz="0" w:space="0" w:color="auto"/>
                <w:left w:val="none" w:sz="0" w:space="0" w:color="auto"/>
                <w:bottom w:val="none" w:sz="0" w:space="0" w:color="auto"/>
                <w:right w:val="none" w:sz="0" w:space="0" w:color="auto"/>
              </w:divBdr>
              <w:divsChild>
                <w:div w:id="16608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6911">
      <w:bodyDiv w:val="1"/>
      <w:marLeft w:val="0"/>
      <w:marRight w:val="0"/>
      <w:marTop w:val="0"/>
      <w:marBottom w:val="0"/>
      <w:divBdr>
        <w:top w:val="none" w:sz="0" w:space="0" w:color="auto"/>
        <w:left w:val="none" w:sz="0" w:space="0" w:color="auto"/>
        <w:bottom w:val="none" w:sz="0" w:space="0" w:color="auto"/>
        <w:right w:val="none" w:sz="0" w:space="0" w:color="auto"/>
      </w:divBdr>
      <w:divsChild>
        <w:div w:id="96946728">
          <w:marLeft w:val="0"/>
          <w:marRight w:val="0"/>
          <w:marTop w:val="0"/>
          <w:marBottom w:val="0"/>
          <w:divBdr>
            <w:top w:val="none" w:sz="0" w:space="0" w:color="auto"/>
            <w:left w:val="none" w:sz="0" w:space="0" w:color="auto"/>
            <w:bottom w:val="none" w:sz="0" w:space="0" w:color="auto"/>
            <w:right w:val="none" w:sz="0" w:space="0" w:color="auto"/>
          </w:divBdr>
          <w:divsChild>
            <w:div w:id="4066031">
              <w:marLeft w:val="0"/>
              <w:marRight w:val="0"/>
              <w:marTop w:val="0"/>
              <w:marBottom w:val="0"/>
              <w:divBdr>
                <w:top w:val="none" w:sz="0" w:space="0" w:color="auto"/>
                <w:left w:val="none" w:sz="0" w:space="0" w:color="auto"/>
                <w:bottom w:val="none" w:sz="0" w:space="0" w:color="auto"/>
                <w:right w:val="none" w:sz="0" w:space="0" w:color="auto"/>
              </w:divBdr>
              <w:divsChild>
                <w:div w:id="13019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40101">
      <w:bodyDiv w:val="1"/>
      <w:marLeft w:val="0"/>
      <w:marRight w:val="0"/>
      <w:marTop w:val="0"/>
      <w:marBottom w:val="0"/>
      <w:divBdr>
        <w:top w:val="none" w:sz="0" w:space="0" w:color="auto"/>
        <w:left w:val="none" w:sz="0" w:space="0" w:color="auto"/>
        <w:bottom w:val="none" w:sz="0" w:space="0" w:color="auto"/>
        <w:right w:val="none" w:sz="0" w:space="0" w:color="auto"/>
      </w:divBdr>
      <w:divsChild>
        <w:div w:id="1486630168">
          <w:marLeft w:val="0"/>
          <w:marRight w:val="0"/>
          <w:marTop w:val="0"/>
          <w:marBottom w:val="0"/>
          <w:divBdr>
            <w:top w:val="none" w:sz="0" w:space="0" w:color="auto"/>
            <w:left w:val="none" w:sz="0" w:space="0" w:color="auto"/>
            <w:bottom w:val="none" w:sz="0" w:space="0" w:color="auto"/>
            <w:right w:val="none" w:sz="0" w:space="0" w:color="auto"/>
          </w:divBdr>
          <w:divsChild>
            <w:div w:id="1335650140">
              <w:marLeft w:val="0"/>
              <w:marRight w:val="0"/>
              <w:marTop w:val="0"/>
              <w:marBottom w:val="0"/>
              <w:divBdr>
                <w:top w:val="none" w:sz="0" w:space="0" w:color="auto"/>
                <w:left w:val="none" w:sz="0" w:space="0" w:color="auto"/>
                <w:bottom w:val="none" w:sz="0" w:space="0" w:color="auto"/>
                <w:right w:val="none" w:sz="0" w:space="0" w:color="auto"/>
              </w:divBdr>
              <w:divsChild>
                <w:div w:id="1542591134">
                  <w:marLeft w:val="0"/>
                  <w:marRight w:val="0"/>
                  <w:marTop w:val="0"/>
                  <w:marBottom w:val="0"/>
                  <w:divBdr>
                    <w:top w:val="none" w:sz="0" w:space="0" w:color="auto"/>
                    <w:left w:val="none" w:sz="0" w:space="0" w:color="auto"/>
                    <w:bottom w:val="none" w:sz="0" w:space="0" w:color="auto"/>
                    <w:right w:val="none" w:sz="0" w:space="0" w:color="auto"/>
                  </w:divBdr>
                  <w:divsChild>
                    <w:div w:id="13424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235628">
      <w:bodyDiv w:val="1"/>
      <w:marLeft w:val="0"/>
      <w:marRight w:val="0"/>
      <w:marTop w:val="0"/>
      <w:marBottom w:val="0"/>
      <w:divBdr>
        <w:top w:val="none" w:sz="0" w:space="0" w:color="auto"/>
        <w:left w:val="none" w:sz="0" w:space="0" w:color="auto"/>
        <w:bottom w:val="none" w:sz="0" w:space="0" w:color="auto"/>
        <w:right w:val="none" w:sz="0" w:space="0" w:color="auto"/>
      </w:divBdr>
      <w:divsChild>
        <w:div w:id="580989832">
          <w:marLeft w:val="0"/>
          <w:marRight w:val="0"/>
          <w:marTop w:val="0"/>
          <w:marBottom w:val="0"/>
          <w:divBdr>
            <w:top w:val="none" w:sz="0" w:space="0" w:color="auto"/>
            <w:left w:val="none" w:sz="0" w:space="0" w:color="auto"/>
            <w:bottom w:val="none" w:sz="0" w:space="0" w:color="auto"/>
            <w:right w:val="none" w:sz="0" w:space="0" w:color="auto"/>
          </w:divBdr>
          <w:divsChild>
            <w:div w:id="1103963126">
              <w:marLeft w:val="0"/>
              <w:marRight w:val="0"/>
              <w:marTop w:val="0"/>
              <w:marBottom w:val="0"/>
              <w:divBdr>
                <w:top w:val="none" w:sz="0" w:space="0" w:color="auto"/>
                <w:left w:val="none" w:sz="0" w:space="0" w:color="auto"/>
                <w:bottom w:val="none" w:sz="0" w:space="0" w:color="auto"/>
                <w:right w:val="none" w:sz="0" w:space="0" w:color="auto"/>
              </w:divBdr>
              <w:divsChild>
                <w:div w:id="17466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3844">
      <w:bodyDiv w:val="1"/>
      <w:marLeft w:val="0"/>
      <w:marRight w:val="0"/>
      <w:marTop w:val="0"/>
      <w:marBottom w:val="0"/>
      <w:divBdr>
        <w:top w:val="none" w:sz="0" w:space="0" w:color="auto"/>
        <w:left w:val="none" w:sz="0" w:space="0" w:color="auto"/>
        <w:bottom w:val="none" w:sz="0" w:space="0" w:color="auto"/>
        <w:right w:val="none" w:sz="0" w:space="0" w:color="auto"/>
      </w:divBdr>
    </w:div>
    <w:div w:id="257375030">
      <w:bodyDiv w:val="1"/>
      <w:marLeft w:val="0"/>
      <w:marRight w:val="0"/>
      <w:marTop w:val="0"/>
      <w:marBottom w:val="0"/>
      <w:divBdr>
        <w:top w:val="none" w:sz="0" w:space="0" w:color="auto"/>
        <w:left w:val="none" w:sz="0" w:space="0" w:color="auto"/>
        <w:bottom w:val="none" w:sz="0" w:space="0" w:color="auto"/>
        <w:right w:val="none" w:sz="0" w:space="0" w:color="auto"/>
      </w:divBdr>
      <w:divsChild>
        <w:div w:id="1401631111">
          <w:marLeft w:val="0"/>
          <w:marRight w:val="0"/>
          <w:marTop w:val="0"/>
          <w:marBottom w:val="0"/>
          <w:divBdr>
            <w:top w:val="none" w:sz="0" w:space="0" w:color="auto"/>
            <w:left w:val="none" w:sz="0" w:space="0" w:color="auto"/>
            <w:bottom w:val="none" w:sz="0" w:space="0" w:color="auto"/>
            <w:right w:val="none" w:sz="0" w:space="0" w:color="auto"/>
          </w:divBdr>
          <w:divsChild>
            <w:div w:id="763377857">
              <w:marLeft w:val="0"/>
              <w:marRight w:val="0"/>
              <w:marTop w:val="0"/>
              <w:marBottom w:val="0"/>
              <w:divBdr>
                <w:top w:val="none" w:sz="0" w:space="0" w:color="auto"/>
                <w:left w:val="none" w:sz="0" w:space="0" w:color="auto"/>
                <w:bottom w:val="none" w:sz="0" w:space="0" w:color="auto"/>
                <w:right w:val="none" w:sz="0" w:space="0" w:color="auto"/>
              </w:divBdr>
              <w:divsChild>
                <w:div w:id="458494715">
                  <w:marLeft w:val="0"/>
                  <w:marRight w:val="0"/>
                  <w:marTop w:val="0"/>
                  <w:marBottom w:val="0"/>
                  <w:divBdr>
                    <w:top w:val="none" w:sz="0" w:space="0" w:color="auto"/>
                    <w:left w:val="none" w:sz="0" w:space="0" w:color="auto"/>
                    <w:bottom w:val="none" w:sz="0" w:space="0" w:color="auto"/>
                    <w:right w:val="none" w:sz="0" w:space="0" w:color="auto"/>
                  </w:divBdr>
                  <w:divsChild>
                    <w:div w:id="10362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63196991">
      <w:bodyDiv w:val="1"/>
      <w:marLeft w:val="0"/>
      <w:marRight w:val="0"/>
      <w:marTop w:val="0"/>
      <w:marBottom w:val="0"/>
      <w:divBdr>
        <w:top w:val="none" w:sz="0" w:space="0" w:color="auto"/>
        <w:left w:val="none" w:sz="0" w:space="0" w:color="auto"/>
        <w:bottom w:val="none" w:sz="0" w:space="0" w:color="auto"/>
        <w:right w:val="none" w:sz="0" w:space="0" w:color="auto"/>
      </w:divBdr>
    </w:div>
    <w:div w:id="267851513">
      <w:bodyDiv w:val="1"/>
      <w:marLeft w:val="0"/>
      <w:marRight w:val="0"/>
      <w:marTop w:val="0"/>
      <w:marBottom w:val="0"/>
      <w:divBdr>
        <w:top w:val="none" w:sz="0" w:space="0" w:color="auto"/>
        <w:left w:val="none" w:sz="0" w:space="0" w:color="auto"/>
        <w:bottom w:val="none" w:sz="0" w:space="0" w:color="auto"/>
        <w:right w:val="none" w:sz="0" w:space="0" w:color="auto"/>
      </w:divBdr>
    </w:div>
    <w:div w:id="280570203">
      <w:bodyDiv w:val="1"/>
      <w:marLeft w:val="0"/>
      <w:marRight w:val="0"/>
      <w:marTop w:val="0"/>
      <w:marBottom w:val="0"/>
      <w:divBdr>
        <w:top w:val="none" w:sz="0" w:space="0" w:color="auto"/>
        <w:left w:val="none" w:sz="0" w:space="0" w:color="auto"/>
        <w:bottom w:val="none" w:sz="0" w:space="0" w:color="auto"/>
        <w:right w:val="none" w:sz="0" w:space="0" w:color="auto"/>
      </w:divBdr>
      <w:divsChild>
        <w:div w:id="2005929728">
          <w:marLeft w:val="0"/>
          <w:marRight w:val="0"/>
          <w:marTop w:val="0"/>
          <w:marBottom w:val="0"/>
          <w:divBdr>
            <w:top w:val="none" w:sz="0" w:space="0" w:color="auto"/>
            <w:left w:val="none" w:sz="0" w:space="0" w:color="auto"/>
            <w:bottom w:val="none" w:sz="0" w:space="0" w:color="auto"/>
            <w:right w:val="none" w:sz="0" w:space="0" w:color="auto"/>
          </w:divBdr>
          <w:divsChild>
            <w:div w:id="1513884676">
              <w:marLeft w:val="0"/>
              <w:marRight w:val="0"/>
              <w:marTop w:val="0"/>
              <w:marBottom w:val="0"/>
              <w:divBdr>
                <w:top w:val="none" w:sz="0" w:space="0" w:color="auto"/>
                <w:left w:val="none" w:sz="0" w:space="0" w:color="auto"/>
                <w:bottom w:val="none" w:sz="0" w:space="0" w:color="auto"/>
                <w:right w:val="none" w:sz="0" w:space="0" w:color="auto"/>
              </w:divBdr>
              <w:divsChild>
                <w:div w:id="3901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6928">
      <w:bodyDiv w:val="1"/>
      <w:marLeft w:val="0"/>
      <w:marRight w:val="0"/>
      <w:marTop w:val="0"/>
      <w:marBottom w:val="0"/>
      <w:divBdr>
        <w:top w:val="none" w:sz="0" w:space="0" w:color="auto"/>
        <w:left w:val="none" w:sz="0" w:space="0" w:color="auto"/>
        <w:bottom w:val="none" w:sz="0" w:space="0" w:color="auto"/>
        <w:right w:val="none" w:sz="0" w:space="0" w:color="auto"/>
      </w:divBdr>
      <w:divsChild>
        <w:div w:id="1895120477">
          <w:marLeft w:val="0"/>
          <w:marRight w:val="0"/>
          <w:marTop w:val="0"/>
          <w:marBottom w:val="0"/>
          <w:divBdr>
            <w:top w:val="none" w:sz="0" w:space="0" w:color="auto"/>
            <w:left w:val="none" w:sz="0" w:space="0" w:color="auto"/>
            <w:bottom w:val="none" w:sz="0" w:space="0" w:color="auto"/>
            <w:right w:val="none" w:sz="0" w:space="0" w:color="auto"/>
          </w:divBdr>
          <w:divsChild>
            <w:div w:id="1554998153">
              <w:marLeft w:val="0"/>
              <w:marRight w:val="0"/>
              <w:marTop w:val="0"/>
              <w:marBottom w:val="0"/>
              <w:divBdr>
                <w:top w:val="none" w:sz="0" w:space="0" w:color="auto"/>
                <w:left w:val="none" w:sz="0" w:space="0" w:color="auto"/>
                <w:bottom w:val="none" w:sz="0" w:space="0" w:color="auto"/>
                <w:right w:val="none" w:sz="0" w:space="0" w:color="auto"/>
              </w:divBdr>
              <w:divsChild>
                <w:div w:id="643196787">
                  <w:marLeft w:val="0"/>
                  <w:marRight w:val="0"/>
                  <w:marTop w:val="0"/>
                  <w:marBottom w:val="0"/>
                  <w:divBdr>
                    <w:top w:val="none" w:sz="0" w:space="0" w:color="auto"/>
                    <w:left w:val="none" w:sz="0" w:space="0" w:color="auto"/>
                    <w:bottom w:val="none" w:sz="0" w:space="0" w:color="auto"/>
                    <w:right w:val="none" w:sz="0" w:space="0" w:color="auto"/>
                  </w:divBdr>
                </w:div>
              </w:divsChild>
            </w:div>
            <w:div w:id="252711063">
              <w:marLeft w:val="0"/>
              <w:marRight w:val="0"/>
              <w:marTop w:val="0"/>
              <w:marBottom w:val="0"/>
              <w:divBdr>
                <w:top w:val="none" w:sz="0" w:space="0" w:color="auto"/>
                <w:left w:val="none" w:sz="0" w:space="0" w:color="auto"/>
                <w:bottom w:val="none" w:sz="0" w:space="0" w:color="auto"/>
                <w:right w:val="none" w:sz="0" w:space="0" w:color="auto"/>
              </w:divBdr>
              <w:divsChild>
                <w:div w:id="802846472">
                  <w:marLeft w:val="0"/>
                  <w:marRight w:val="0"/>
                  <w:marTop w:val="0"/>
                  <w:marBottom w:val="0"/>
                  <w:divBdr>
                    <w:top w:val="none" w:sz="0" w:space="0" w:color="auto"/>
                    <w:left w:val="none" w:sz="0" w:space="0" w:color="auto"/>
                    <w:bottom w:val="none" w:sz="0" w:space="0" w:color="auto"/>
                    <w:right w:val="none" w:sz="0" w:space="0" w:color="auto"/>
                  </w:divBdr>
                </w:div>
              </w:divsChild>
            </w:div>
            <w:div w:id="1703480717">
              <w:marLeft w:val="0"/>
              <w:marRight w:val="0"/>
              <w:marTop w:val="0"/>
              <w:marBottom w:val="0"/>
              <w:divBdr>
                <w:top w:val="none" w:sz="0" w:space="0" w:color="auto"/>
                <w:left w:val="none" w:sz="0" w:space="0" w:color="auto"/>
                <w:bottom w:val="none" w:sz="0" w:space="0" w:color="auto"/>
                <w:right w:val="none" w:sz="0" w:space="0" w:color="auto"/>
              </w:divBdr>
              <w:divsChild>
                <w:div w:id="96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91069">
      <w:bodyDiv w:val="1"/>
      <w:marLeft w:val="0"/>
      <w:marRight w:val="0"/>
      <w:marTop w:val="0"/>
      <w:marBottom w:val="0"/>
      <w:divBdr>
        <w:top w:val="none" w:sz="0" w:space="0" w:color="auto"/>
        <w:left w:val="none" w:sz="0" w:space="0" w:color="auto"/>
        <w:bottom w:val="none" w:sz="0" w:space="0" w:color="auto"/>
        <w:right w:val="none" w:sz="0" w:space="0" w:color="auto"/>
      </w:divBdr>
    </w:div>
    <w:div w:id="305280931">
      <w:bodyDiv w:val="1"/>
      <w:marLeft w:val="0"/>
      <w:marRight w:val="0"/>
      <w:marTop w:val="0"/>
      <w:marBottom w:val="0"/>
      <w:divBdr>
        <w:top w:val="none" w:sz="0" w:space="0" w:color="auto"/>
        <w:left w:val="none" w:sz="0" w:space="0" w:color="auto"/>
        <w:bottom w:val="none" w:sz="0" w:space="0" w:color="auto"/>
        <w:right w:val="none" w:sz="0" w:space="0" w:color="auto"/>
      </w:divBdr>
      <w:divsChild>
        <w:div w:id="531962979">
          <w:marLeft w:val="0"/>
          <w:marRight w:val="0"/>
          <w:marTop w:val="0"/>
          <w:marBottom w:val="0"/>
          <w:divBdr>
            <w:top w:val="none" w:sz="0" w:space="0" w:color="auto"/>
            <w:left w:val="none" w:sz="0" w:space="0" w:color="auto"/>
            <w:bottom w:val="none" w:sz="0" w:space="0" w:color="auto"/>
            <w:right w:val="none" w:sz="0" w:space="0" w:color="auto"/>
          </w:divBdr>
          <w:divsChild>
            <w:div w:id="1059985988">
              <w:marLeft w:val="0"/>
              <w:marRight w:val="0"/>
              <w:marTop w:val="0"/>
              <w:marBottom w:val="0"/>
              <w:divBdr>
                <w:top w:val="none" w:sz="0" w:space="0" w:color="auto"/>
                <w:left w:val="none" w:sz="0" w:space="0" w:color="auto"/>
                <w:bottom w:val="none" w:sz="0" w:space="0" w:color="auto"/>
                <w:right w:val="none" w:sz="0" w:space="0" w:color="auto"/>
              </w:divBdr>
              <w:divsChild>
                <w:div w:id="8275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6468">
      <w:bodyDiv w:val="1"/>
      <w:marLeft w:val="0"/>
      <w:marRight w:val="0"/>
      <w:marTop w:val="0"/>
      <w:marBottom w:val="0"/>
      <w:divBdr>
        <w:top w:val="none" w:sz="0" w:space="0" w:color="auto"/>
        <w:left w:val="none" w:sz="0" w:space="0" w:color="auto"/>
        <w:bottom w:val="none" w:sz="0" w:space="0" w:color="auto"/>
        <w:right w:val="none" w:sz="0" w:space="0" w:color="auto"/>
      </w:divBdr>
    </w:div>
    <w:div w:id="313529953">
      <w:bodyDiv w:val="1"/>
      <w:marLeft w:val="0"/>
      <w:marRight w:val="0"/>
      <w:marTop w:val="0"/>
      <w:marBottom w:val="0"/>
      <w:divBdr>
        <w:top w:val="none" w:sz="0" w:space="0" w:color="auto"/>
        <w:left w:val="none" w:sz="0" w:space="0" w:color="auto"/>
        <w:bottom w:val="none" w:sz="0" w:space="0" w:color="auto"/>
        <w:right w:val="none" w:sz="0" w:space="0" w:color="auto"/>
      </w:divBdr>
    </w:div>
    <w:div w:id="314457990">
      <w:bodyDiv w:val="1"/>
      <w:marLeft w:val="0"/>
      <w:marRight w:val="0"/>
      <w:marTop w:val="0"/>
      <w:marBottom w:val="0"/>
      <w:divBdr>
        <w:top w:val="none" w:sz="0" w:space="0" w:color="auto"/>
        <w:left w:val="none" w:sz="0" w:space="0" w:color="auto"/>
        <w:bottom w:val="none" w:sz="0" w:space="0" w:color="auto"/>
        <w:right w:val="none" w:sz="0" w:space="0" w:color="auto"/>
      </w:divBdr>
    </w:div>
    <w:div w:id="315887599">
      <w:bodyDiv w:val="1"/>
      <w:marLeft w:val="0"/>
      <w:marRight w:val="0"/>
      <w:marTop w:val="0"/>
      <w:marBottom w:val="0"/>
      <w:divBdr>
        <w:top w:val="none" w:sz="0" w:space="0" w:color="auto"/>
        <w:left w:val="none" w:sz="0" w:space="0" w:color="auto"/>
        <w:bottom w:val="none" w:sz="0" w:space="0" w:color="auto"/>
        <w:right w:val="none" w:sz="0" w:space="0" w:color="auto"/>
      </w:divBdr>
    </w:div>
    <w:div w:id="323171370">
      <w:bodyDiv w:val="1"/>
      <w:marLeft w:val="0"/>
      <w:marRight w:val="0"/>
      <w:marTop w:val="0"/>
      <w:marBottom w:val="0"/>
      <w:divBdr>
        <w:top w:val="none" w:sz="0" w:space="0" w:color="auto"/>
        <w:left w:val="none" w:sz="0" w:space="0" w:color="auto"/>
        <w:bottom w:val="none" w:sz="0" w:space="0" w:color="auto"/>
        <w:right w:val="none" w:sz="0" w:space="0" w:color="auto"/>
      </w:divBdr>
    </w:div>
    <w:div w:id="324404851">
      <w:bodyDiv w:val="1"/>
      <w:marLeft w:val="0"/>
      <w:marRight w:val="0"/>
      <w:marTop w:val="0"/>
      <w:marBottom w:val="0"/>
      <w:divBdr>
        <w:top w:val="none" w:sz="0" w:space="0" w:color="auto"/>
        <w:left w:val="none" w:sz="0" w:space="0" w:color="auto"/>
        <w:bottom w:val="none" w:sz="0" w:space="0" w:color="auto"/>
        <w:right w:val="none" w:sz="0" w:space="0" w:color="auto"/>
      </w:divBdr>
    </w:div>
    <w:div w:id="334575504">
      <w:bodyDiv w:val="1"/>
      <w:marLeft w:val="0"/>
      <w:marRight w:val="0"/>
      <w:marTop w:val="0"/>
      <w:marBottom w:val="0"/>
      <w:divBdr>
        <w:top w:val="none" w:sz="0" w:space="0" w:color="auto"/>
        <w:left w:val="none" w:sz="0" w:space="0" w:color="auto"/>
        <w:bottom w:val="none" w:sz="0" w:space="0" w:color="auto"/>
        <w:right w:val="none" w:sz="0" w:space="0" w:color="auto"/>
      </w:divBdr>
      <w:divsChild>
        <w:div w:id="768814300">
          <w:marLeft w:val="0"/>
          <w:marRight w:val="0"/>
          <w:marTop w:val="0"/>
          <w:marBottom w:val="0"/>
          <w:divBdr>
            <w:top w:val="none" w:sz="0" w:space="0" w:color="auto"/>
            <w:left w:val="none" w:sz="0" w:space="0" w:color="auto"/>
            <w:bottom w:val="none" w:sz="0" w:space="0" w:color="auto"/>
            <w:right w:val="none" w:sz="0" w:space="0" w:color="auto"/>
          </w:divBdr>
          <w:divsChild>
            <w:div w:id="1572619147">
              <w:marLeft w:val="0"/>
              <w:marRight w:val="0"/>
              <w:marTop w:val="0"/>
              <w:marBottom w:val="0"/>
              <w:divBdr>
                <w:top w:val="none" w:sz="0" w:space="0" w:color="auto"/>
                <w:left w:val="none" w:sz="0" w:space="0" w:color="auto"/>
                <w:bottom w:val="none" w:sz="0" w:space="0" w:color="auto"/>
                <w:right w:val="none" w:sz="0" w:space="0" w:color="auto"/>
              </w:divBdr>
              <w:divsChild>
                <w:div w:id="182279911">
                  <w:marLeft w:val="0"/>
                  <w:marRight w:val="0"/>
                  <w:marTop w:val="0"/>
                  <w:marBottom w:val="0"/>
                  <w:divBdr>
                    <w:top w:val="none" w:sz="0" w:space="0" w:color="auto"/>
                    <w:left w:val="none" w:sz="0" w:space="0" w:color="auto"/>
                    <w:bottom w:val="none" w:sz="0" w:space="0" w:color="auto"/>
                    <w:right w:val="none" w:sz="0" w:space="0" w:color="auto"/>
                  </w:divBdr>
                </w:div>
              </w:divsChild>
            </w:div>
            <w:div w:id="62417690">
              <w:marLeft w:val="0"/>
              <w:marRight w:val="0"/>
              <w:marTop w:val="0"/>
              <w:marBottom w:val="0"/>
              <w:divBdr>
                <w:top w:val="none" w:sz="0" w:space="0" w:color="auto"/>
                <w:left w:val="none" w:sz="0" w:space="0" w:color="auto"/>
                <w:bottom w:val="none" w:sz="0" w:space="0" w:color="auto"/>
                <w:right w:val="none" w:sz="0" w:space="0" w:color="auto"/>
              </w:divBdr>
              <w:divsChild>
                <w:div w:id="1086420557">
                  <w:marLeft w:val="0"/>
                  <w:marRight w:val="0"/>
                  <w:marTop w:val="0"/>
                  <w:marBottom w:val="0"/>
                  <w:divBdr>
                    <w:top w:val="none" w:sz="0" w:space="0" w:color="auto"/>
                    <w:left w:val="none" w:sz="0" w:space="0" w:color="auto"/>
                    <w:bottom w:val="none" w:sz="0" w:space="0" w:color="auto"/>
                    <w:right w:val="none" w:sz="0" w:space="0" w:color="auto"/>
                  </w:divBdr>
                </w:div>
              </w:divsChild>
            </w:div>
            <w:div w:id="1124691456">
              <w:marLeft w:val="0"/>
              <w:marRight w:val="0"/>
              <w:marTop w:val="0"/>
              <w:marBottom w:val="0"/>
              <w:divBdr>
                <w:top w:val="none" w:sz="0" w:space="0" w:color="auto"/>
                <w:left w:val="none" w:sz="0" w:space="0" w:color="auto"/>
                <w:bottom w:val="none" w:sz="0" w:space="0" w:color="auto"/>
                <w:right w:val="none" w:sz="0" w:space="0" w:color="auto"/>
              </w:divBdr>
              <w:divsChild>
                <w:div w:id="17902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358">
      <w:bodyDiv w:val="1"/>
      <w:marLeft w:val="0"/>
      <w:marRight w:val="0"/>
      <w:marTop w:val="0"/>
      <w:marBottom w:val="0"/>
      <w:divBdr>
        <w:top w:val="none" w:sz="0" w:space="0" w:color="auto"/>
        <w:left w:val="none" w:sz="0" w:space="0" w:color="auto"/>
        <w:bottom w:val="none" w:sz="0" w:space="0" w:color="auto"/>
        <w:right w:val="none" w:sz="0" w:space="0" w:color="auto"/>
      </w:divBdr>
      <w:divsChild>
        <w:div w:id="564798921">
          <w:marLeft w:val="0"/>
          <w:marRight w:val="0"/>
          <w:marTop w:val="0"/>
          <w:marBottom w:val="0"/>
          <w:divBdr>
            <w:top w:val="none" w:sz="0" w:space="0" w:color="auto"/>
            <w:left w:val="none" w:sz="0" w:space="0" w:color="auto"/>
            <w:bottom w:val="none" w:sz="0" w:space="0" w:color="auto"/>
            <w:right w:val="none" w:sz="0" w:space="0" w:color="auto"/>
          </w:divBdr>
          <w:divsChild>
            <w:div w:id="1571576546">
              <w:marLeft w:val="0"/>
              <w:marRight w:val="0"/>
              <w:marTop w:val="0"/>
              <w:marBottom w:val="0"/>
              <w:divBdr>
                <w:top w:val="none" w:sz="0" w:space="0" w:color="auto"/>
                <w:left w:val="none" w:sz="0" w:space="0" w:color="auto"/>
                <w:bottom w:val="none" w:sz="0" w:space="0" w:color="auto"/>
                <w:right w:val="none" w:sz="0" w:space="0" w:color="auto"/>
              </w:divBdr>
              <w:divsChild>
                <w:div w:id="19923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1426">
      <w:bodyDiv w:val="1"/>
      <w:marLeft w:val="0"/>
      <w:marRight w:val="0"/>
      <w:marTop w:val="0"/>
      <w:marBottom w:val="0"/>
      <w:divBdr>
        <w:top w:val="none" w:sz="0" w:space="0" w:color="auto"/>
        <w:left w:val="none" w:sz="0" w:space="0" w:color="auto"/>
        <w:bottom w:val="none" w:sz="0" w:space="0" w:color="auto"/>
        <w:right w:val="none" w:sz="0" w:space="0" w:color="auto"/>
      </w:divBdr>
    </w:div>
    <w:div w:id="344291325">
      <w:bodyDiv w:val="1"/>
      <w:marLeft w:val="0"/>
      <w:marRight w:val="0"/>
      <w:marTop w:val="0"/>
      <w:marBottom w:val="0"/>
      <w:divBdr>
        <w:top w:val="none" w:sz="0" w:space="0" w:color="auto"/>
        <w:left w:val="none" w:sz="0" w:space="0" w:color="auto"/>
        <w:bottom w:val="none" w:sz="0" w:space="0" w:color="auto"/>
        <w:right w:val="none" w:sz="0" w:space="0" w:color="auto"/>
      </w:divBdr>
      <w:divsChild>
        <w:div w:id="105348085">
          <w:marLeft w:val="0"/>
          <w:marRight w:val="0"/>
          <w:marTop w:val="0"/>
          <w:marBottom w:val="0"/>
          <w:divBdr>
            <w:top w:val="none" w:sz="0" w:space="0" w:color="auto"/>
            <w:left w:val="none" w:sz="0" w:space="0" w:color="auto"/>
            <w:bottom w:val="none" w:sz="0" w:space="0" w:color="auto"/>
            <w:right w:val="none" w:sz="0" w:space="0" w:color="auto"/>
          </w:divBdr>
          <w:divsChild>
            <w:div w:id="194274254">
              <w:marLeft w:val="0"/>
              <w:marRight w:val="0"/>
              <w:marTop w:val="0"/>
              <w:marBottom w:val="0"/>
              <w:divBdr>
                <w:top w:val="none" w:sz="0" w:space="0" w:color="auto"/>
                <w:left w:val="none" w:sz="0" w:space="0" w:color="auto"/>
                <w:bottom w:val="none" w:sz="0" w:space="0" w:color="auto"/>
                <w:right w:val="none" w:sz="0" w:space="0" w:color="auto"/>
              </w:divBdr>
              <w:divsChild>
                <w:div w:id="3240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4682">
      <w:bodyDiv w:val="1"/>
      <w:marLeft w:val="0"/>
      <w:marRight w:val="0"/>
      <w:marTop w:val="0"/>
      <w:marBottom w:val="0"/>
      <w:divBdr>
        <w:top w:val="none" w:sz="0" w:space="0" w:color="auto"/>
        <w:left w:val="none" w:sz="0" w:space="0" w:color="auto"/>
        <w:bottom w:val="none" w:sz="0" w:space="0" w:color="auto"/>
        <w:right w:val="none" w:sz="0" w:space="0" w:color="auto"/>
      </w:divBdr>
    </w:div>
    <w:div w:id="354887535">
      <w:bodyDiv w:val="1"/>
      <w:marLeft w:val="0"/>
      <w:marRight w:val="0"/>
      <w:marTop w:val="0"/>
      <w:marBottom w:val="0"/>
      <w:divBdr>
        <w:top w:val="none" w:sz="0" w:space="0" w:color="auto"/>
        <w:left w:val="none" w:sz="0" w:space="0" w:color="auto"/>
        <w:bottom w:val="none" w:sz="0" w:space="0" w:color="auto"/>
        <w:right w:val="none" w:sz="0" w:space="0" w:color="auto"/>
      </w:divBdr>
    </w:div>
    <w:div w:id="357509520">
      <w:bodyDiv w:val="1"/>
      <w:marLeft w:val="0"/>
      <w:marRight w:val="0"/>
      <w:marTop w:val="0"/>
      <w:marBottom w:val="0"/>
      <w:divBdr>
        <w:top w:val="none" w:sz="0" w:space="0" w:color="auto"/>
        <w:left w:val="none" w:sz="0" w:space="0" w:color="auto"/>
        <w:bottom w:val="none" w:sz="0" w:space="0" w:color="auto"/>
        <w:right w:val="none" w:sz="0" w:space="0" w:color="auto"/>
      </w:divBdr>
    </w:div>
    <w:div w:id="362292657">
      <w:bodyDiv w:val="1"/>
      <w:marLeft w:val="0"/>
      <w:marRight w:val="0"/>
      <w:marTop w:val="0"/>
      <w:marBottom w:val="0"/>
      <w:divBdr>
        <w:top w:val="none" w:sz="0" w:space="0" w:color="auto"/>
        <w:left w:val="none" w:sz="0" w:space="0" w:color="auto"/>
        <w:bottom w:val="none" w:sz="0" w:space="0" w:color="auto"/>
        <w:right w:val="none" w:sz="0" w:space="0" w:color="auto"/>
      </w:divBdr>
      <w:divsChild>
        <w:div w:id="1494372535">
          <w:marLeft w:val="0"/>
          <w:marRight w:val="0"/>
          <w:marTop w:val="0"/>
          <w:marBottom w:val="0"/>
          <w:divBdr>
            <w:top w:val="none" w:sz="0" w:space="0" w:color="auto"/>
            <w:left w:val="none" w:sz="0" w:space="0" w:color="auto"/>
            <w:bottom w:val="none" w:sz="0" w:space="0" w:color="auto"/>
            <w:right w:val="none" w:sz="0" w:space="0" w:color="auto"/>
          </w:divBdr>
          <w:divsChild>
            <w:div w:id="1811247895">
              <w:marLeft w:val="0"/>
              <w:marRight w:val="0"/>
              <w:marTop w:val="0"/>
              <w:marBottom w:val="0"/>
              <w:divBdr>
                <w:top w:val="none" w:sz="0" w:space="0" w:color="auto"/>
                <w:left w:val="none" w:sz="0" w:space="0" w:color="auto"/>
                <w:bottom w:val="none" w:sz="0" w:space="0" w:color="auto"/>
                <w:right w:val="none" w:sz="0" w:space="0" w:color="auto"/>
              </w:divBdr>
              <w:divsChild>
                <w:div w:id="16568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4531">
      <w:bodyDiv w:val="1"/>
      <w:marLeft w:val="0"/>
      <w:marRight w:val="0"/>
      <w:marTop w:val="0"/>
      <w:marBottom w:val="0"/>
      <w:divBdr>
        <w:top w:val="none" w:sz="0" w:space="0" w:color="auto"/>
        <w:left w:val="none" w:sz="0" w:space="0" w:color="auto"/>
        <w:bottom w:val="none" w:sz="0" w:space="0" w:color="auto"/>
        <w:right w:val="none" w:sz="0" w:space="0" w:color="auto"/>
      </w:divBdr>
    </w:div>
    <w:div w:id="379785248">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395738267">
      <w:bodyDiv w:val="1"/>
      <w:marLeft w:val="0"/>
      <w:marRight w:val="0"/>
      <w:marTop w:val="0"/>
      <w:marBottom w:val="0"/>
      <w:divBdr>
        <w:top w:val="none" w:sz="0" w:space="0" w:color="auto"/>
        <w:left w:val="none" w:sz="0" w:space="0" w:color="auto"/>
        <w:bottom w:val="none" w:sz="0" w:space="0" w:color="auto"/>
        <w:right w:val="none" w:sz="0" w:space="0" w:color="auto"/>
      </w:divBdr>
    </w:div>
    <w:div w:id="399060599">
      <w:bodyDiv w:val="1"/>
      <w:marLeft w:val="0"/>
      <w:marRight w:val="0"/>
      <w:marTop w:val="0"/>
      <w:marBottom w:val="0"/>
      <w:divBdr>
        <w:top w:val="none" w:sz="0" w:space="0" w:color="auto"/>
        <w:left w:val="none" w:sz="0" w:space="0" w:color="auto"/>
        <w:bottom w:val="none" w:sz="0" w:space="0" w:color="auto"/>
        <w:right w:val="none" w:sz="0" w:space="0" w:color="auto"/>
      </w:divBdr>
    </w:div>
    <w:div w:id="399257442">
      <w:bodyDiv w:val="1"/>
      <w:marLeft w:val="0"/>
      <w:marRight w:val="0"/>
      <w:marTop w:val="0"/>
      <w:marBottom w:val="0"/>
      <w:divBdr>
        <w:top w:val="none" w:sz="0" w:space="0" w:color="auto"/>
        <w:left w:val="none" w:sz="0" w:space="0" w:color="auto"/>
        <w:bottom w:val="none" w:sz="0" w:space="0" w:color="auto"/>
        <w:right w:val="none" w:sz="0" w:space="0" w:color="auto"/>
      </w:divBdr>
      <w:divsChild>
        <w:div w:id="1225489154">
          <w:marLeft w:val="0"/>
          <w:marRight w:val="0"/>
          <w:marTop w:val="0"/>
          <w:marBottom w:val="0"/>
          <w:divBdr>
            <w:top w:val="none" w:sz="0" w:space="0" w:color="auto"/>
            <w:left w:val="none" w:sz="0" w:space="0" w:color="auto"/>
            <w:bottom w:val="none" w:sz="0" w:space="0" w:color="auto"/>
            <w:right w:val="none" w:sz="0" w:space="0" w:color="auto"/>
          </w:divBdr>
          <w:divsChild>
            <w:div w:id="865870115">
              <w:marLeft w:val="0"/>
              <w:marRight w:val="0"/>
              <w:marTop w:val="0"/>
              <w:marBottom w:val="0"/>
              <w:divBdr>
                <w:top w:val="none" w:sz="0" w:space="0" w:color="auto"/>
                <w:left w:val="none" w:sz="0" w:space="0" w:color="auto"/>
                <w:bottom w:val="none" w:sz="0" w:space="0" w:color="auto"/>
                <w:right w:val="none" w:sz="0" w:space="0" w:color="auto"/>
              </w:divBdr>
              <w:divsChild>
                <w:div w:id="730150340">
                  <w:marLeft w:val="0"/>
                  <w:marRight w:val="0"/>
                  <w:marTop w:val="0"/>
                  <w:marBottom w:val="0"/>
                  <w:divBdr>
                    <w:top w:val="none" w:sz="0" w:space="0" w:color="auto"/>
                    <w:left w:val="none" w:sz="0" w:space="0" w:color="auto"/>
                    <w:bottom w:val="none" w:sz="0" w:space="0" w:color="auto"/>
                    <w:right w:val="none" w:sz="0" w:space="0" w:color="auto"/>
                  </w:divBdr>
                  <w:divsChild>
                    <w:div w:id="9727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8293">
      <w:bodyDiv w:val="1"/>
      <w:marLeft w:val="0"/>
      <w:marRight w:val="0"/>
      <w:marTop w:val="0"/>
      <w:marBottom w:val="0"/>
      <w:divBdr>
        <w:top w:val="none" w:sz="0" w:space="0" w:color="auto"/>
        <w:left w:val="none" w:sz="0" w:space="0" w:color="auto"/>
        <w:bottom w:val="none" w:sz="0" w:space="0" w:color="auto"/>
        <w:right w:val="none" w:sz="0" w:space="0" w:color="auto"/>
      </w:divBdr>
      <w:divsChild>
        <w:div w:id="656805049">
          <w:marLeft w:val="0"/>
          <w:marRight w:val="0"/>
          <w:marTop w:val="0"/>
          <w:marBottom w:val="0"/>
          <w:divBdr>
            <w:top w:val="none" w:sz="0" w:space="0" w:color="auto"/>
            <w:left w:val="none" w:sz="0" w:space="0" w:color="auto"/>
            <w:bottom w:val="none" w:sz="0" w:space="0" w:color="auto"/>
            <w:right w:val="none" w:sz="0" w:space="0" w:color="auto"/>
          </w:divBdr>
          <w:divsChild>
            <w:div w:id="1865514387">
              <w:marLeft w:val="0"/>
              <w:marRight w:val="0"/>
              <w:marTop w:val="0"/>
              <w:marBottom w:val="0"/>
              <w:divBdr>
                <w:top w:val="none" w:sz="0" w:space="0" w:color="auto"/>
                <w:left w:val="none" w:sz="0" w:space="0" w:color="auto"/>
                <w:bottom w:val="none" w:sz="0" w:space="0" w:color="auto"/>
                <w:right w:val="none" w:sz="0" w:space="0" w:color="auto"/>
              </w:divBdr>
              <w:divsChild>
                <w:div w:id="1104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89887">
      <w:bodyDiv w:val="1"/>
      <w:marLeft w:val="0"/>
      <w:marRight w:val="0"/>
      <w:marTop w:val="0"/>
      <w:marBottom w:val="0"/>
      <w:divBdr>
        <w:top w:val="none" w:sz="0" w:space="0" w:color="auto"/>
        <w:left w:val="none" w:sz="0" w:space="0" w:color="auto"/>
        <w:bottom w:val="none" w:sz="0" w:space="0" w:color="auto"/>
        <w:right w:val="none" w:sz="0" w:space="0" w:color="auto"/>
      </w:divBdr>
    </w:div>
    <w:div w:id="411314545">
      <w:bodyDiv w:val="1"/>
      <w:marLeft w:val="0"/>
      <w:marRight w:val="0"/>
      <w:marTop w:val="0"/>
      <w:marBottom w:val="0"/>
      <w:divBdr>
        <w:top w:val="none" w:sz="0" w:space="0" w:color="auto"/>
        <w:left w:val="none" w:sz="0" w:space="0" w:color="auto"/>
        <w:bottom w:val="none" w:sz="0" w:space="0" w:color="auto"/>
        <w:right w:val="none" w:sz="0" w:space="0" w:color="auto"/>
      </w:divBdr>
    </w:div>
    <w:div w:id="413936737">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3650400">
      <w:bodyDiv w:val="1"/>
      <w:marLeft w:val="0"/>
      <w:marRight w:val="0"/>
      <w:marTop w:val="0"/>
      <w:marBottom w:val="0"/>
      <w:divBdr>
        <w:top w:val="none" w:sz="0" w:space="0" w:color="auto"/>
        <w:left w:val="none" w:sz="0" w:space="0" w:color="auto"/>
        <w:bottom w:val="none" w:sz="0" w:space="0" w:color="auto"/>
        <w:right w:val="none" w:sz="0" w:space="0" w:color="auto"/>
      </w:divBdr>
    </w:div>
    <w:div w:id="425153655">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32940850">
      <w:bodyDiv w:val="1"/>
      <w:marLeft w:val="0"/>
      <w:marRight w:val="0"/>
      <w:marTop w:val="0"/>
      <w:marBottom w:val="0"/>
      <w:divBdr>
        <w:top w:val="none" w:sz="0" w:space="0" w:color="auto"/>
        <w:left w:val="none" w:sz="0" w:space="0" w:color="auto"/>
        <w:bottom w:val="none" w:sz="0" w:space="0" w:color="auto"/>
        <w:right w:val="none" w:sz="0" w:space="0" w:color="auto"/>
      </w:divBdr>
    </w:div>
    <w:div w:id="434836071">
      <w:bodyDiv w:val="1"/>
      <w:marLeft w:val="0"/>
      <w:marRight w:val="0"/>
      <w:marTop w:val="0"/>
      <w:marBottom w:val="0"/>
      <w:divBdr>
        <w:top w:val="none" w:sz="0" w:space="0" w:color="auto"/>
        <w:left w:val="none" w:sz="0" w:space="0" w:color="auto"/>
        <w:bottom w:val="none" w:sz="0" w:space="0" w:color="auto"/>
        <w:right w:val="none" w:sz="0" w:space="0" w:color="auto"/>
      </w:divBdr>
    </w:div>
    <w:div w:id="436216045">
      <w:bodyDiv w:val="1"/>
      <w:marLeft w:val="0"/>
      <w:marRight w:val="0"/>
      <w:marTop w:val="0"/>
      <w:marBottom w:val="0"/>
      <w:divBdr>
        <w:top w:val="none" w:sz="0" w:space="0" w:color="auto"/>
        <w:left w:val="none" w:sz="0" w:space="0" w:color="auto"/>
        <w:bottom w:val="none" w:sz="0" w:space="0" w:color="auto"/>
        <w:right w:val="none" w:sz="0" w:space="0" w:color="auto"/>
      </w:divBdr>
    </w:div>
    <w:div w:id="441536549">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53016040">
      <w:bodyDiv w:val="1"/>
      <w:marLeft w:val="0"/>
      <w:marRight w:val="0"/>
      <w:marTop w:val="0"/>
      <w:marBottom w:val="0"/>
      <w:divBdr>
        <w:top w:val="none" w:sz="0" w:space="0" w:color="auto"/>
        <w:left w:val="none" w:sz="0" w:space="0" w:color="auto"/>
        <w:bottom w:val="none" w:sz="0" w:space="0" w:color="auto"/>
        <w:right w:val="none" w:sz="0" w:space="0" w:color="auto"/>
      </w:divBdr>
    </w:div>
    <w:div w:id="453716130">
      <w:bodyDiv w:val="1"/>
      <w:marLeft w:val="0"/>
      <w:marRight w:val="0"/>
      <w:marTop w:val="0"/>
      <w:marBottom w:val="0"/>
      <w:divBdr>
        <w:top w:val="none" w:sz="0" w:space="0" w:color="auto"/>
        <w:left w:val="none" w:sz="0" w:space="0" w:color="auto"/>
        <w:bottom w:val="none" w:sz="0" w:space="0" w:color="auto"/>
        <w:right w:val="none" w:sz="0" w:space="0" w:color="auto"/>
      </w:divBdr>
      <w:divsChild>
        <w:div w:id="1181814095">
          <w:marLeft w:val="0"/>
          <w:marRight w:val="0"/>
          <w:marTop w:val="0"/>
          <w:marBottom w:val="0"/>
          <w:divBdr>
            <w:top w:val="none" w:sz="0" w:space="0" w:color="auto"/>
            <w:left w:val="none" w:sz="0" w:space="0" w:color="auto"/>
            <w:bottom w:val="none" w:sz="0" w:space="0" w:color="auto"/>
            <w:right w:val="none" w:sz="0" w:space="0" w:color="auto"/>
          </w:divBdr>
          <w:divsChild>
            <w:div w:id="1492519838">
              <w:marLeft w:val="0"/>
              <w:marRight w:val="0"/>
              <w:marTop w:val="0"/>
              <w:marBottom w:val="0"/>
              <w:divBdr>
                <w:top w:val="none" w:sz="0" w:space="0" w:color="auto"/>
                <w:left w:val="none" w:sz="0" w:space="0" w:color="auto"/>
                <w:bottom w:val="none" w:sz="0" w:space="0" w:color="auto"/>
                <w:right w:val="none" w:sz="0" w:space="0" w:color="auto"/>
              </w:divBdr>
              <w:divsChild>
                <w:div w:id="9059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41845">
      <w:bodyDiv w:val="1"/>
      <w:marLeft w:val="0"/>
      <w:marRight w:val="0"/>
      <w:marTop w:val="0"/>
      <w:marBottom w:val="0"/>
      <w:divBdr>
        <w:top w:val="none" w:sz="0" w:space="0" w:color="auto"/>
        <w:left w:val="none" w:sz="0" w:space="0" w:color="auto"/>
        <w:bottom w:val="none" w:sz="0" w:space="0" w:color="auto"/>
        <w:right w:val="none" w:sz="0" w:space="0" w:color="auto"/>
      </w:divBdr>
    </w:div>
    <w:div w:id="463041050">
      <w:bodyDiv w:val="1"/>
      <w:marLeft w:val="0"/>
      <w:marRight w:val="0"/>
      <w:marTop w:val="0"/>
      <w:marBottom w:val="0"/>
      <w:divBdr>
        <w:top w:val="none" w:sz="0" w:space="0" w:color="auto"/>
        <w:left w:val="none" w:sz="0" w:space="0" w:color="auto"/>
        <w:bottom w:val="none" w:sz="0" w:space="0" w:color="auto"/>
        <w:right w:val="none" w:sz="0" w:space="0" w:color="auto"/>
      </w:divBdr>
      <w:divsChild>
        <w:div w:id="257105646">
          <w:marLeft w:val="0"/>
          <w:marRight w:val="0"/>
          <w:marTop w:val="0"/>
          <w:marBottom w:val="0"/>
          <w:divBdr>
            <w:top w:val="none" w:sz="0" w:space="0" w:color="auto"/>
            <w:left w:val="none" w:sz="0" w:space="0" w:color="auto"/>
            <w:bottom w:val="none" w:sz="0" w:space="0" w:color="auto"/>
            <w:right w:val="none" w:sz="0" w:space="0" w:color="auto"/>
          </w:divBdr>
          <w:divsChild>
            <w:div w:id="1726030644">
              <w:marLeft w:val="0"/>
              <w:marRight w:val="0"/>
              <w:marTop w:val="0"/>
              <w:marBottom w:val="0"/>
              <w:divBdr>
                <w:top w:val="none" w:sz="0" w:space="0" w:color="auto"/>
                <w:left w:val="none" w:sz="0" w:space="0" w:color="auto"/>
                <w:bottom w:val="none" w:sz="0" w:space="0" w:color="auto"/>
                <w:right w:val="none" w:sz="0" w:space="0" w:color="auto"/>
              </w:divBdr>
              <w:divsChild>
                <w:div w:id="2857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0831">
      <w:bodyDiv w:val="1"/>
      <w:marLeft w:val="0"/>
      <w:marRight w:val="0"/>
      <w:marTop w:val="0"/>
      <w:marBottom w:val="0"/>
      <w:divBdr>
        <w:top w:val="none" w:sz="0" w:space="0" w:color="auto"/>
        <w:left w:val="none" w:sz="0" w:space="0" w:color="auto"/>
        <w:bottom w:val="none" w:sz="0" w:space="0" w:color="auto"/>
        <w:right w:val="none" w:sz="0" w:space="0" w:color="auto"/>
      </w:divBdr>
      <w:divsChild>
        <w:div w:id="622269892">
          <w:marLeft w:val="0"/>
          <w:marRight w:val="0"/>
          <w:marTop w:val="0"/>
          <w:marBottom w:val="0"/>
          <w:divBdr>
            <w:top w:val="none" w:sz="0" w:space="0" w:color="auto"/>
            <w:left w:val="none" w:sz="0" w:space="0" w:color="auto"/>
            <w:bottom w:val="none" w:sz="0" w:space="0" w:color="auto"/>
            <w:right w:val="none" w:sz="0" w:space="0" w:color="auto"/>
          </w:divBdr>
          <w:divsChild>
            <w:div w:id="852961023">
              <w:marLeft w:val="0"/>
              <w:marRight w:val="0"/>
              <w:marTop w:val="0"/>
              <w:marBottom w:val="0"/>
              <w:divBdr>
                <w:top w:val="none" w:sz="0" w:space="0" w:color="auto"/>
                <w:left w:val="none" w:sz="0" w:space="0" w:color="auto"/>
                <w:bottom w:val="none" w:sz="0" w:space="0" w:color="auto"/>
                <w:right w:val="none" w:sz="0" w:space="0" w:color="auto"/>
              </w:divBdr>
              <w:divsChild>
                <w:div w:id="194733705">
                  <w:marLeft w:val="0"/>
                  <w:marRight w:val="0"/>
                  <w:marTop w:val="0"/>
                  <w:marBottom w:val="0"/>
                  <w:divBdr>
                    <w:top w:val="none" w:sz="0" w:space="0" w:color="auto"/>
                    <w:left w:val="none" w:sz="0" w:space="0" w:color="auto"/>
                    <w:bottom w:val="none" w:sz="0" w:space="0" w:color="auto"/>
                    <w:right w:val="none" w:sz="0" w:space="0" w:color="auto"/>
                  </w:divBdr>
                  <w:divsChild>
                    <w:div w:id="2015185408">
                      <w:marLeft w:val="0"/>
                      <w:marRight w:val="0"/>
                      <w:marTop w:val="0"/>
                      <w:marBottom w:val="0"/>
                      <w:divBdr>
                        <w:top w:val="none" w:sz="0" w:space="0" w:color="auto"/>
                        <w:left w:val="none" w:sz="0" w:space="0" w:color="auto"/>
                        <w:bottom w:val="none" w:sz="0" w:space="0" w:color="auto"/>
                        <w:right w:val="none" w:sz="0" w:space="0" w:color="auto"/>
                      </w:divBdr>
                    </w:div>
                    <w:div w:id="2768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501">
      <w:bodyDiv w:val="1"/>
      <w:marLeft w:val="0"/>
      <w:marRight w:val="0"/>
      <w:marTop w:val="0"/>
      <w:marBottom w:val="0"/>
      <w:divBdr>
        <w:top w:val="none" w:sz="0" w:space="0" w:color="auto"/>
        <w:left w:val="none" w:sz="0" w:space="0" w:color="auto"/>
        <w:bottom w:val="none" w:sz="0" w:space="0" w:color="auto"/>
        <w:right w:val="none" w:sz="0" w:space="0" w:color="auto"/>
      </w:divBdr>
    </w:div>
    <w:div w:id="482548871">
      <w:bodyDiv w:val="1"/>
      <w:marLeft w:val="0"/>
      <w:marRight w:val="0"/>
      <w:marTop w:val="0"/>
      <w:marBottom w:val="0"/>
      <w:divBdr>
        <w:top w:val="none" w:sz="0" w:space="0" w:color="auto"/>
        <w:left w:val="none" w:sz="0" w:space="0" w:color="auto"/>
        <w:bottom w:val="none" w:sz="0" w:space="0" w:color="auto"/>
        <w:right w:val="none" w:sz="0" w:space="0" w:color="auto"/>
      </w:divBdr>
      <w:divsChild>
        <w:div w:id="16472871">
          <w:marLeft w:val="0"/>
          <w:marRight w:val="0"/>
          <w:marTop w:val="0"/>
          <w:marBottom w:val="0"/>
          <w:divBdr>
            <w:top w:val="none" w:sz="0" w:space="0" w:color="auto"/>
            <w:left w:val="none" w:sz="0" w:space="0" w:color="auto"/>
            <w:bottom w:val="none" w:sz="0" w:space="0" w:color="auto"/>
            <w:right w:val="none" w:sz="0" w:space="0" w:color="auto"/>
          </w:divBdr>
          <w:divsChild>
            <w:div w:id="600377988">
              <w:marLeft w:val="0"/>
              <w:marRight w:val="0"/>
              <w:marTop w:val="0"/>
              <w:marBottom w:val="0"/>
              <w:divBdr>
                <w:top w:val="none" w:sz="0" w:space="0" w:color="auto"/>
                <w:left w:val="none" w:sz="0" w:space="0" w:color="auto"/>
                <w:bottom w:val="none" w:sz="0" w:space="0" w:color="auto"/>
                <w:right w:val="none" w:sz="0" w:space="0" w:color="auto"/>
              </w:divBdr>
              <w:divsChild>
                <w:div w:id="8179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607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498040115">
      <w:bodyDiv w:val="1"/>
      <w:marLeft w:val="0"/>
      <w:marRight w:val="0"/>
      <w:marTop w:val="0"/>
      <w:marBottom w:val="0"/>
      <w:divBdr>
        <w:top w:val="none" w:sz="0" w:space="0" w:color="auto"/>
        <w:left w:val="none" w:sz="0" w:space="0" w:color="auto"/>
        <w:bottom w:val="none" w:sz="0" w:space="0" w:color="auto"/>
        <w:right w:val="none" w:sz="0" w:space="0" w:color="auto"/>
      </w:divBdr>
    </w:div>
    <w:div w:id="500704872">
      <w:bodyDiv w:val="1"/>
      <w:marLeft w:val="0"/>
      <w:marRight w:val="0"/>
      <w:marTop w:val="0"/>
      <w:marBottom w:val="0"/>
      <w:divBdr>
        <w:top w:val="none" w:sz="0" w:space="0" w:color="auto"/>
        <w:left w:val="none" w:sz="0" w:space="0" w:color="auto"/>
        <w:bottom w:val="none" w:sz="0" w:space="0" w:color="auto"/>
        <w:right w:val="none" w:sz="0" w:space="0" w:color="auto"/>
      </w:divBdr>
    </w:div>
    <w:div w:id="512770475">
      <w:bodyDiv w:val="1"/>
      <w:marLeft w:val="0"/>
      <w:marRight w:val="0"/>
      <w:marTop w:val="0"/>
      <w:marBottom w:val="0"/>
      <w:divBdr>
        <w:top w:val="none" w:sz="0" w:space="0" w:color="auto"/>
        <w:left w:val="none" w:sz="0" w:space="0" w:color="auto"/>
        <w:bottom w:val="none" w:sz="0" w:space="0" w:color="auto"/>
        <w:right w:val="none" w:sz="0" w:space="0" w:color="auto"/>
      </w:divBdr>
      <w:divsChild>
        <w:div w:id="1232807859">
          <w:marLeft w:val="0"/>
          <w:marRight w:val="0"/>
          <w:marTop w:val="0"/>
          <w:marBottom w:val="0"/>
          <w:divBdr>
            <w:top w:val="none" w:sz="0" w:space="0" w:color="auto"/>
            <w:left w:val="none" w:sz="0" w:space="0" w:color="auto"/>
            <w:bottom w:val="none" w:sz="0" w:space="0" w:color="auto"/>
            <w:right w:val="none" w:sz="0" w:space="0" w:color="auto"/>
          </w:divBdr>
          <w:divsChild>
            <w:div w:id="1985891949">
              <w:marLeft w:val="0"/>
              <w:marRight w:val="0"/>
              <w:marTop w:val="0"/>
              <w:marBottom w:val="0"/>
              <w:divBdr>
                <w:top w:val="none" w:sz="0" w:space="0" w:color="auto"/>
                <w:left w:val="none" w:sz="0" w:space="0" w:color="auto"/>
                <w:bottom w:val="none" w:sz="0" w:space="0" w:color="auto"/>
                <w:right w:val="none" w:sz="0" w:space="0" w:color="auto"/>
              </w:divBdr>
              <w:divsChild>
                <w:div w:id="9385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5753">
      <w:bodyDiv w:val="1"/>
      <w:marLeft w:val="0"/>
      <w:marRight w:val="0"/>
      <w:marTop w:val="0"/>
      <w:marBottom w:val="0"/>
      <w:divBdr>
        <w:top w:val="none" w:sz="0" w:space="0" w:color="auto"/>
        <w:left w:val="none" w:sz="0" w:space="0" w:color="auto"/>
        <w:bottom w:val="none" w:sz="0" w:space="0" w:color="auto"/>
        <w:right w:val="none" w:sz="0" w:space="0" w:color="auto"/>
      </w:divBdr>
    </w:div>
    <w:div w:id="519322033">
      <w:bodyDiv w:val="1"/>
      <w:marLeft w:val="0"/>
      <w:marRight w:val="0"/>
      <w:marTop w:val="0"/>
      <w:marBottom w:val="0"/>
      <w:divBdr>
        <w:top w:val="none" w:sz="0" w:space="0" w:color="auto"/>
        <w:left w:val="none" w:sz="0" w:space="0" w:color="auto"/>
        <w:bottom w:val="none" w:sz="0" w:space="0" w:color="auto"/>
        <w:right w:val="none" w:sz="0" w:space="0" w:color="auto"/>
      </w:divBdr>
    </w:div>
    <w:div w:id="520510603">
      <w:bodyDiv w:val="1"/>
      <w:marLeft w:val="0"/>
      <w:marRight w:val="0"/>
      <w:marTop w:val="0"/>
      <w:marBottom w:val="0"/>
      <w:divBdr>
        <w:top w:val="none" w:sz="0" w:space="0" w:color="auto"/>
        <w:left w:val="none" w:sz="0" w:space="0" w:color="auto"/>
        <w:bottom w:val="none" w:sz="0" w:space="0" w:color="auto"/>
        <w:right w:val="none" w:sz="0" w:space="0" w:color="auto"/>
      </w:divBdr>
      <w:divsChild>
        <w:div w:id="434637825">
          <w:marLeft w:val="0"/>
          <w:marRight w:val="0"/>
          <w:marTop w:val="0"/>
          <w:marBottom w:val="0"/>
          <w:divBdr>
            <w:top w:val="none" w:sz="0" w:space="0" w:color="auto"/>
            <w:left w:val="none" w:sz="0" w:space="0" w:color="auto"/>
            <w:bottom w:val="none" w:sz="0" w:space="0" w:color="auto"/>
            <w:right w:val="none" w:sz="0" w:space="0" w:color="auto"/>
          </w:divBdr>
          <w:divsChild>
            <w:div w:id="313340352">
              <w:marLeft w:val="0"/>
              <w:marRight w:val="0"/>
              <w:marTop w:val="0"/>
              <w:marBottom w:val="0"/>
              <w:divBdr>
                <w:top w:val="none" w:sz="0" w:space="0" w:color="auto"/>
                <w:left w:val="none" w:sz="0" w:space="0" w:color="auto"/>
                <w:bottom w:val="none" w:sz="0" w:space="0" w:color="auto"/>
                <w:right w:val="none" w:sz="0" w:space="0" w:color="auto"/>
              </w:divBdr>
              <w:divsChild>
                <w:div w:id="601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4756">
      <w:bodyDiv w:val="1"/>
      <w:marLeft w:val="0"/>
      <w:marRight w:val="0"/>
      <w:marTop w:val="0"/>
      <w:marBottom w:val="0"/>
      <w:divBdr>
        <w:top w:val="none" w:sz="0" w:space="0" w:color="auto"/>
        <w:left w:val="none" w:sz="0" w:space="0" w:color="auto"/>
        <w:bottom w:val="none" w:sz="0" w:space="0" w:color="auto"/>
        <w:right w:val="none" w:sz="0" w:space="0" w:color="auto"/>
      </w:divBdr>
    </w:div>
    <w:div w:id="528227724">
      <w:bodyDiv w:val="1"/>
      <w:marLeft w:val="0"/>
      <w:marRight w:val="0"/>
      <w:marTop w:val="0"/>
      <w:marBottom w:val="0"/>
      <w:divBdr>
        <w:top w:val="none" w:sz="0" w:space="0" w:color="auto"/>
        <w:left w:val="none" w:sz="0" w:space="0" w:color="auto"/>
        <w:bottom w:val="none" w:sz="0" w:space="0" w:color="auto"/>
        <w:right w:val="none" w:sz="0" w:space="0" w:color="auto"/>
      </w:divBdr>
      <w:divsChild>
        <w:div w:id="997077083">
          <w:marLeft w:val="0"/>
          <w:marRight w:val="0"/>
          <w:marTop w:val="0"/>
          <w:marBottom w:val="0"/>
          <w:divBdr>
            <w:top w:val="none" w:sz="0" w:space="0" w:color="auto"/>
            <w:left w:val="none" w:sz="0" w:space="0" w:color="auto"/>
            <w:bottom w:val="none" w:sz="0" w:space="0" w:color="auto"/>
            <w:right w:val="none" w:sz="0" w:space="0" w:color="auto"/>
          </w:divBdr>
          <w:divsChild>
            <w:div w:id="1808084910">
              <w:marLeft w:val="0"/>
              <w:marRight w:val="0"/>
              <w:marTop w:val="0"/>
              <w:marBottom w:val="0"/>
              <w:divBdr>
                <w:top w:val="none" w:sz="0" w:space="0" w:color="auto"/>
                <w:left w:val="none" w:sz="0" w:space="0" w:color="auto"/>
                <w:bottom w:val="none" w:sz="0" w:space="0" w:color="auto"/>
                <w:right w:val="none" w:sz="0" w:space="0" w:color="auto"/>
              </w:divBdr>
              <w:divsChild>
                <w:div w:id="5343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58657">
      <w:bodyDiv w:val="1"/>
      <w:marLeft w:val="0"/>
      <w:marRight w:val="0"/>
      <w:marTop w:val="0"/>
      <w:marBottom w:val="0"/>
      <w:divBdr>
        <w:top w:val="none" w:sz="0" w:space="0" w:color="auto"/>
        <w:left w:val="none" w:sz="0" w:space="0" w:color="auto"/>
        <w:bottom w:val="none" w:sz="0" w:space="0" w:color="auto"/>
        <w:right w:val="none" w:sz="0" w:space="0" w:color="auto"/>
      </w:divBdr>
      <w:divsChild>
        <w:div w:id="1222667082">
          <w:marLeft w:val="0"/>
          <w:marRight w:val="0"/>
          <w:marTop w:val="0"/>
          <w:marBottom w:val="0"/>
          <w:divBdr>
            <w:top w:val="none" w:sz="0" w:space="0" w:color="auto"/>
            <w:left w:val="none" w:sz="0" w:space="0" w:color="auto"/>
            <w:bottom w:val="none" w:sz="0" w:space="0" w:color="auto"/>
            <w:right w:val="none" w:sz="0" w:space="0" w:color="auto"/>
          </w:divBdr>
          <w:divsChild>
            <w:div w:id="990403329">
              <w:marLeft w:val="0"/>
              <w:marRight w:val="0"/>
              <w:marTop w:val="0"/>
              <w:marBottom w:val="0"/>
              <w:divBdr>
                <w:top w:val="none" w:sz="0" w:space="0" w:color="auto"/>
                <w:left w:val="none" w:sz="0" w:space="0" w:color="auto"/>
                <w:bottom w:val="none" w:sz="0" w:space="0" w:color="auto"/>
                <w:right w:val="none" w:sz="0" w:space="0" w:color="auto"/>
              </w:divBdr>
              <w:divsChild>
                <w:div w:id="1278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7049">
      <w:bodyDiv w:val="1"/>
      <w:marLeft w:val="0"/>
      <w:marRight w:val="0"/>
      <w:marTop w:val="0"/>
      <w:marBottom w:val="0"/>
      <w:divBdr>
        <w:top w:val="none" w:sz="0" w:space="0" w:color="auto"/>
        <w:left w:val="none" w:sz="0" w:space="0" w:color="auto"/>
        <w:bottom w:val="none" w:sz="0" w:space="0" w:color="auto"/>
        <w:right w:val="none" w:sz="0" w:space="0" w:color="auto"/>
      </w:divBdr>
    </w:div>
    <w:div w:id="542908003">
      <w:bodyDiv w:val="1"/>
      <w:marLeft w:val="0"/>
      <w:marRight w:val="0"/>
      <w:marTop w:val="0"/>
      <w:marBottom w:val="0"/>
      <w:divBdr>
        <w:top w:val="none" w:sz="0" w:space="0" w:color="auto"/>
        <w:left w:val="none" w:sz="0" w:space="0" w:color="auto"/>
        <w:bottom w:val="none" w:sz="0" w:space="0" w:color="auto"/>
        <w:right w:val="none" w:sz="0" w:space="0" w:color="auto"/>
      </w:divBdr>
      <w:divsChild>
        <w:div w:id="1792090829">
          <w:marLeft w:val="0"/>
          <w:marRight w:val="0"/>
          <w:marTop w:val="0"/>
          <w:marBottom w:val="0"/>
          <w:divBdr>
            <w:top w:val="none" w:sz="0" w:space="0" w:color="auto"/>
            <w:left w:val="none" w:sz="0" w:space="0" w:color="auto"/>
            <w:bottom w:val="none" w:sz="0" w:space="0" w:color="auto"/>
            <w:right w:val="none" w:sz="0" w:space="0" w:color="auto"/>
          </w:divBdr>
          <w:divsChild>
            <w:div w:id="1422751255">
              <w:marLeft w:val="0"/>
              <w:marRight w:val="0"/>
              <w:marTop w:val="0"/>
              <w:marBottom w:val="0"/>
              <w:divBdr>
                <w:top w:val="none" w:sz="0" w:space="0" w:color="auto"/>
                <w:left w:val="none" w:sz="0" w:space="0" w:color="auto"/>
                <w:bottom w:val="none" w:sz="0" w:space="0" w:color="auto"/>
                <w:right w:val="none" w:sz="0" w:space="0" w:color="auto"/>
              </w:divBdr>
              <w:divsChild>
                <w:div w:id="12638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10039">
      <w:bodyDiv w:val="1"/>
      <w:marLeft w:val="0"/>
      <w:marRight w:val="0"/>
      <w:marTop w:val="0"/>
      <w:marBottom w:val="0"/>
      <w:divBdr>
        <w:top w:val="none" w:sz="0" w:space="0" w:color="auto"/>
        <w:left w:val="none" w:sz="0" w:space="0" w:color="auto"/>
        <w:bottom w:val="none" w:sz="0" w:space="0" w:color="auto"/>
        <w:right w:val="none" w:sz="0" w:space="0" w:color="auto"/>
      </w:divBdr>
      <w:divsChild>
        <w:div w:id="240022790">
          <w:marLeft w:val="0"/>
          <w:marRight w:val="0"/>
          <w:marTop w:val="0"/>
          <w:marBottom w:val="0"/>
          <w:divBdr>
            <w:top w:val="none" w:sz="0" w:space="0" w:color="auto"/>
            <w:left w:val="none" w:sz="0" w:space="0" w:color="auto"/>
            <w:bottom w:val="none" w:sz="0" w:space="0" w:color="auto"/>
            <w:right w:val="none" w:sz="0" w:space="0" w:color="auto"/>
          </w:divBdr>
          <w:divsChild>
            <w:div w:id="1390152628">
              <w:marLeft w:val="0"/>
              <w:marRight w:val="0"/>
              <w:marTop w:val="0"/>
              <w:marBottom w:val="0"/>
              <w:divBdr>
                <w:top w:val="none" w:sz="0" w:space="0" w:color="auto"/>
                <w:left w:val="none" w:sz="0" w:space="0" w:color="auto"/>
                <w:bottom w:val="none" w:sz="0" w:space="0" w:color="auto"/>
                <w:right w:val="none" w:sz="0" w:space="0" w:color="auto"/>
              </w:divBdr>
              <w:divsChild>
                <w:div w:id="8736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2638">
      <w:bodyDiv w:val="1"/>
      <w:marLeft w:val="0"/>
      <w:marRight w:val="0"/>
      <w:marTop w:val="0"/>
      <w:marBottom w:val="0"/>
      <w:divBdr>
        <w:top w:val="none" w:sz="0" w:space="0" w:color="auto"/>
        <w:left w:val="none" w:sz="0" w:space="0" w:color="auto"/>
        <w:bottom w:val="none" w:sz="0" w:space="0" w:color="auto"/>
        <w:right w:val="none" w:sz="0" w:space="0" w:color="auto"/>
      </w:divBdr>
      <w:divsChild>
        <w:div w:id="424543627">
          <w:marLeft w:val="0"/>
          <w:marRight w:val="0"/>
          <w:marTop w:val="0"/>
          <w:marBottom w:val="0"/>
          <w:divBdr>
            <w:top w:val="none" w:sz="0" w:space="0" w:color="auto"/>
            <w:left w:val="none" w:sz="0" w:space="0" w:color="auto"/>
            <w:bottom w:val="none" w:sz="0" w:space="0" w:color="auto"/>
            <w:right w:val="none" w:sz="0" w:space="0" w:color="auto"/>
          </w:divBdr>
          <w:divsChild>
            <w:div w:id="307168070">
              <w:marLeft w:val="0"/>
              <w:marRight w:val="0"/>
              <w:marTop w:val="0"/>
              <w:marBottom w:val="0"/>
              <w:divBdr>
                <w:top w:val="none" w:sz="0" w:space="0" w:color="auto"/>
                <w:left w:val="none" w:sz="0" w:space="0" w:color="auto"/>
                <w:bottom w:val="none" w:sz="0" w:space="0" w:color="auto"/>
                <w:right w:val="none" w:sz="0" w:space="0" w:color="auto"/>
              </w:divBdr>
              <w:divsChild>
                <w:div w:id="1516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2887858">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54467141">
      <w:bodyDiv w:val="1"/>
      <w:marLeft w:val="0"/>
      <w:marRight w:val="0"/>
      <w:marTop w:val="0"/>
      <w:marBottom w:val="0"/>
      <w:divBdr>
        <w:top w:val="none" w:sz="0" w:space="0" w:color="auto"/>
        <w:left w:val="none" w:sz="0" w:space="0" w:color="auto"/>
        <w:bottom w:val="none" w:sz="0" w:space="0" w:color="auto"/>
        <w:right w:val="none" w:sz="0" w:space="0" w:color="auto"/>
      </w:divBdr>
    </w:div>
    <w:div w:id="556168773">
      <w:bodyDiv w:val="1"/>
      <w:marLeft w:val="0"/>
      <w:marRight w:val="0"/>
      <w:marTop w:val="0"/>
      <w:marBottom w:val="0"/>
      <w:divBdr>
        <w:top w:val="none" w:sz="0" w:space="0" w:color="auto"/>
        <w:left w:val="none" w:sz="0" w:space="0" w:color="auto"/>
        <w:bottom w:val="none" w:sz="0" w:space="0" w:color="auto"/>
        <w:right w:val="none" w:sz="0" w:space="0" w:color="auto"/>
      </w:divBdr>
      <w:divsChild>
        <w:div w:id="108086985">
          <w:marLeft w:val="0"/>
          <w:marRight w:val="0"/>
          <w:marTop w:val="0"/>
          <w:marBottom w:val="0"/>
          <w:divBdr>
            <w:top w:val="none" w:sz="0" w:space="0" w:color="auto"/>
            <w:left w:val="none" w:sz="0" w:space="0" w:color="auto"/>
            <w:bottom w:val="none" w:sz="0" w:space="0" w:color="auto"/>
            <w:right w:val="none" w:sz="0" w:space="0" w:color="auto"/>
          </w:divBdr>
          <w:divsChild>
            <w:div w:id="1600063602">
              <w:marLeft w:val="0"/>
              <w:marRight w:val="0"/>
              <w:marTop w:val="0"/>
              <w:marBottom w:val="0"/>
              <w:divBdr>
                <w:top w:val="none" w:sz="0" w:space="0" w:color="auto"/>
                <w:left w:val="none" w:sz="0" w:space="0" w:color="auto"/>
                <w:bottom w:val="none" w:sz="0" w:space="0" w:color="auto"/>
                <w:right w:val="none" w:sz="0" w:space="0" w:color="auto"/>
              </w:divBdr>
              <w:divsChild>
                <w:div w:id="14958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7284">
      <w:bodyDiv w:val="1"/>
      <w:marLeft w:val="0"/>
      <w:marRight w:val="0"/>
      <w:marTop w:val="0"/>
      <w:marBottom w:val="0"/>
      <w:divBdr>
        <w:top w:val="none" w:sz="0" w:space="0" w:color="auto"/>
        <w:left w:val="none" w:sz="0" w:space="0" w:color="auto"/>
        <w:bottom w:val="none" w:sz="0" w:space="0" w:color="auto"/>
        <w:right w:val="none" w:sz="0" w:space="0" w:color="auto"/>
      </w:divBdr>
    </w:div>
    <w:div w:id="564997388">
      <w:bodyDiv w:val="1"/>
      <w:marLeft w:val="0"/>
      <w:marRight w:val="0"/>
      <w:marTop w:val="0"/>
      <w:marBottom w:val="0"/>
      <w:divBdr>
        <w:top w:val="none" w:sz="0" w:space="0" w:color="auto"/>
        <w:left w:val="none" w:sz="0" w:space="0" w:color="auto"/>
        <w:bottom w:val="none" w:sz="0" w:space="0" w:color="auto"/>
        <w:right w:val="none" w:sz="0" w:space="0" w:color="auto"/>
      </w:divBdr>
    </w:div>
    <w:div w:id="565385149">
      <w:bodyDiv w:val="1"/>
      <w:marLeft w:val="0"/>
      <w:marRight w:val="0"/>
      <w:marTop w:val="0"/>
      <w:marBottom w:val="0"/>
      <w:divBdr>
        <w:top w:val="none" w:sz="0" w:space="0" w:color="auto"/>
        <w:left w:val="none" w:sz="0" w:space="0" w:color="auto"/>
        <w:bottom w:val="none" w:sz="0" w:space="0" w:color="auto"/>
        <w:right w:val="none" w:sz="0" w:space="0" w:color="auto"/>
      </w:divBdr>
      <w:divsChild>
        <w:div w:id="1558933399">
          <w:marLeft w:val="0"/>
          <w:marRight w:val="0"/>
          <w:marTop w:val="0"/>
          <w:marBottom w:val="0"/>
          <w:divBdr>
            <w:top w:val="none" w:sz="0" w:space="0" w:color="auto"/>
            <w:left w:val="none" w:sz="0" w:space="0" w:color="auto"/>
            <w:bottom w:val="none" w:sz="0" w:space="0" w:color="auto"/>
            <w:right w:val="none" w:sz="0" w:space="0" w:color="auto"/>
          </w:divBdr>
          <w:divsChild>
            <w:div w:id="71978005">
              <w:marLeft w:val="0"/>
              <w:marRight w:val="0"/>
              <w:marTop w:val="0"/>
              <w:marBottom w:val="0"/>
              <w:divBdr>
                <w:top w:val="none" w:sz="0" w:space="0" w:color="auto"/>
                <w:left w:val="none" w:sz="0" w:space="0" w:color="auto"/>
                <w:bottom w:val="none" w:sz="0" w:space="0" w:color="auto"/>
                <w:right w:val="none" w:sz="0" w:space="0" w:color="auto"/>
              </w:divBdr>
              <w:divsChild>
                <w:div w:id="816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4280">
      <w:bodyDiv w:val="1"/>
      <w:marLeft w:val="0"/>
      <w:marRight w:val="0"/>
      <w:marTop w:val="0"/>
      <w:marBottom w:val="0"/>
      <w:divBdr>
        <w:top w:val="none" w:sz="0" w:space="0" w:color="auto"/>
        <w:left w:val="none" w:sz="0" w:space="0" w:color="auto"/>
        <w:bottom w:val="none" w:sz="0" w:space="0" w:color="auto"/>
        <w:right w:val="none" w:sz="0" w:space="0" w:color="auto"/>
      </w:divBdr>
      <w:divsChild>
        <w:div w:id="683626833">
          <w:marLeft w:val="0"/>
          <w:marRight w:val="0"/>
          <w:marTop w:val="0"/>
          <w:marBottom w:val="0"/>
          <w:divBdr>
            <w:top w:val="none" w:sz="0" w:space="0" w:color="auto"/>
            <w:left w:val="none" w:sz="0" w:space="0" w:color="auto"/>
            <w:bottom w:val="none" w:sz="0" w:space="0" w:color="auto"/>
            <w:right w:val="none" w:sz="0" w:space="0" w:color="auto"/>
          </w:divBdr>
          <w:divsChild>
            <w:div w:id="154492021">
              <w:marLeft w:val="0"/>
              <w:marRight w:val="0"/>
              <w:marTop w:val="0"/>
              <w:marBottom w:val="0"/>
              <w:divBdr>
                <w:top w:val="none" w:sz="0" w:space="0" w:color="auto"/>
                <w:left w:val="none" w:sz="0" w:space="0" w:color="auto"/>
                <w:bottom w:val="none" w:sz="0" w:space="0" w:color="auto"/>
                <w:right w:val="none" w:sz="0" w:space="0" w:color="auto"/>
              </w:divBdr>
              <w:divsChild>
                <w:div w:id="7565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7469">
      <w:bodyDiv w:val="1"/>
      <w:marLeft w:val="0"/>
      <w:marRight w:val="0"/>
      <w:marTop w:val="0"/>
      <w:marBottom w:val="0"/>
      <w:divBdr>
        <w:top w:val="none" w:sz="0" w:space="0" w:color="auto"/>
        <w:left w:val="none" w:sz="0" w:space="0" w:color="auto"/>
        <w:bottom w:val="none" w:sz="0" w:space="0" w:color="auto"/>
        <w:right w:val="none" w:sz="0" w:space="0" w:color="auto"/>
      </w:divBdr>
    </w:div>
    <w:div w:id="572930393">
      <w:bodyDiv w:val="1"/>
      <w:marLeft w:val="0"/>
      <w:marRight w:val="0"/>
      <w:marTop w:val="0"/>
      <w:marBottom w:val="0"/>
      <w:divBdr>
        <w:top w:val="none" w:sz="0" w:space="0" w:color="auto"/>
        <w:left w:val="none" w:sz="0" w:space="0" w:color="auto"/>
        <w:bottom w:val="none" w:sz="0" w:space="0" w:color="auto"/>
        <w:right w:val="none" w:sz="0" w:space="0" w:color="auto"/>
      </w:divBdr>
    </w:div>
    <w:div w:id="581644518">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1163591697">
          <w:marLeft w:val="0"/>
          <w:marRight w:val="0"/>
          <w:marTop w:val="0"/>
          <w:marBottom w:val="0"/>
          <w:divBdr>
            <w:top w:val="none" w:sz="0" w:space="0" w:color="auto"/>
            <w:left w:val="none" w:sz="0" w:space="0" w:color="auto"/>
            <w:bottom w:val="none" w:sz="0" w:space="0" w:color="auto"/>
            <w:right w:val="none" w:sz="0" w:space="0" w:color="auto"/>
          </w:divBdr>
          <w:divsChild>
            <w:div w:id="297416436">
              <w:marLeft w:val="0"/>
              <w:marRight w:val="0"/>
              <w:marTop w:val="0"/>
              <w:marBottom w:val="0"/>
              <w:divBdr>
                <w:top w:val="none" w:sz="0" w:space="0" w:color="auto"/>
                <w:left w:val="none" w:sz="0" w:space="0" w:color="auto"/>
                <w:bottom w:val="none" w:sz="0" w:space="0" w:color="auto"/>
                <w:right w:val="none" w:sz="0" w:space="0" w:color="auto"/>
              </w:divBdr>
              <w:divsChild>
                <w:div w:id="597786190">
                  <w:marLeft w:val="0"/>
                  <w:marRight w:val="0"/>
                  <w:marTop w:val="0"/>
                  <w:marBottom w:val="0"/>
                  <w:divBdr>
                    <w:top w:val="none" w:sz="0" w:space="0" w:color="auto"/>
                    <w:left w:val="none" w:sz="0" w:space="0" w:color="auto"/>
                    <w:bottom w:val="none" w:sz="0" w:space="0" w:color="auto"/>
                    <w:right w:val="none" w:sz="0" w:space="0" w:color="auto"/>
                  </w:divBdr>
                  <w:divsChild>
                    <w:div w:id="1235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0667">
      <w:bodyDiv w:val="1"/>
      <w:marLeft w:val="0"/>
      <w:marRight w:val="0"/>
      <w:marTop w:val="0"/>
      <w:marBottom w:val="0"/>
      <w:divBdr>
        <w:top w:val="none" w:sz="0" w:space="0" w:color="auto"/>
        <w:left w:val="none" w:sz="0" w:space="0" w:color="auto"/>
        <w:bottom w:val="none" w:sz="0" w:space="0" w:color="auto"/>
        <w:right w:val="none" w:sz="0" w:space="0" w:color="auto"/>
      </w:divBdr>
      <w:divsChild>
        <w:div w:id="478157366">
          <w:marLeft w:val="0"/>
          <w:marRight w:val="0"/>
          <w:marTop w:val="0"/>
          <w:marBottom w:val="0"/>
          <w:divBdr>
            <w:top w:val="none" w:sz="0" w:space="0" w:color="auto"/>
            <w:left w:val="none" w:sz="0" w:space="0" w:color="auto"/>
            <w:bottom w:val="none" w:sz="0" w:space="0" w:color="auto"/>
            <w:right w:val="none" w:sz="0" w:space="0" w:color="auto"/>
          </w:divBdr>
          <w:divsChild>
            <w:div w:id="1710296626">
              <w:marLeft w:val="0"/>
              <w:marRight w:val="0"/>
              <w:marTop w:val="0"/>
              <w:marBottom w:val="0"/>
              <w:divBdr>
                <w:top w:val="none" w:sz="0" w:space="0" w:color="auto"/>
                <w:left w:val="none" w:sz="0" w:space="0" w:color="auto"/>
                <w:bottom w:val="none" w:sz="0" w:space="0" w:color="auto"/>
                <w:right w:val="none" w:sz="0" w:space="0" w:color="auto"/>
              </w:divBdr>
              <w:divsChild>
                <w:div w:id="2430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2395">
      <w:bodyDiv w:val="1"/>
      <w:marLeft w:val="0"/>
      <w:marRight w:val="0"/>
      <w:marTop w:val="0"/>
      <w:marBottom w:val="0"/>
      <w:divBdr>
        <w:top w:val="none" w:sz="0" w:space="0" w:color="auto"/>
        <w:left w:val="none" w:sz="0" w:space="0" w:color="auto"/>
        <w:bottom w:val="none" w:sz="0" w:space="0" w:color="auto"/>
        <w:right w:val="none" w:sz="0" w:space="0" w:color="auto"/>
      </w:divBdr>
    </w:div>
    <w:div w:id="601456567">
      <w:bodyDiv w:val="1"/>
      <w:marLeft w:val="0"/>
      <w:marRight w:val="0"/>
      <w:marTop w:val="0"/>
      <w:marBottom w:val="0"/>
      <w:divBdr>
        <w:top w:val="none" w:sz="0" w:space="0" w:color="auto"/>
        <w:left w:val="none" w:sz="0" w:space="0" w:color="auto"/>
        <w:bottom w:val="none" w:sz="0" w:space="0" w:color="auto"/>
        <w:right w:val="none" w:sz="0" w:space="0" w:color="auto"/>
      </w:divBdr>
      <w:divsChild>
        <w:div w:id="1980450481">
          <w:marLeft w:val="0"/>
          <w:marRight w:val="0"/>
          <w:marTop w:val="0"/>
          <w:marBottom w:val="0"/>
          <w:divBdr>
            <w:top w:val="none" w:sz="0" w:space="0" w:color="auto"/>
            <w:left w:val="none" w:sz="0" w:space="0" w:color="auto"/>
            <w:bottom w:val="none" w:sz="0" w:space="0" w:color="auto"/>
            <w:right w:val="none" w:sz="0" w:space="0" w:color="auto"/>
          </w:divBdr>
          <w:divsChild>
            <w:div w:id="981498478">
              <w:marLeft w:val="0"/>
              <w:marRight w:val="0"/>
              <w:marTop w:val="0"/>
              <w:marBottom w:val="0"/>
              <w:divBdr>
                <w:top w:val="none" w:sz="0" w:space="0" w:color="auto"/>
                <w:left w:val="none" w:sz="0" w:space="0" w:color="auto"/>
                <w:bottom w:val="none" w:sz="0" w:space="0" w:color="auto"/>
                <w:right w:val="none" w:sz="0" w:space="0" w:color="auto"/>
              </w:divBdr>
              <w:divsChild>
                <w:div w:id="18154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6151">
      <w:bodyDiv w:val="1"/>
      <w:marLeft w:val="0"/>
      <w:marRight w:val="0"/>
      <w:marTop w:val="0"/>
      <w:marBottom w:val="0"/>
      <w:divBdr>
        <w:top w:val="none" w:sz="0" w:space="0" w:color="auto"/>
        <w:left w:val="none" w:sz="0" w:space="0" w:color="auto"/>
        <w:bottom w:val="none" w:sz="0" w:space="0" w:color="auto"/>
        <w:right w:val="none" w:sz="0" w:space="0" w:color="auto"/>
      </w:divBdr>
    </w:div>
    <w:div w:id="610551140">
      <w:bodyDiv w:val="1"/>
      <w:marLeft w:val="0"/>
      <w:marRight w:val="0"/>
      <w:marTop w:val="0"/>
      <w:marBottom w:val="0"/>
      <w:divBdr>
        <w:top w:val="none" w:sz="0" w:space="0" w:color="auto"/>
        <w:left w:val="none" w:sz="0" w:space="0" w:color="auto"/>
        <w:bottom w:val="none" w:sz="0" w:space="0" w:color="auto"/>
        <w:right w:val="none" w:sz="0" w:space="0" w:color="auto"/>
      </w:divBdr>
    </w:div>
    <w:div w:id="612327739">
      <w:bodyDiv w:val="1"/>
      <w:marLeft w:val="0"/>
      <w:marRight w:val="0"/>
      <w:marTop w:val="0"/>
      <w:marBottom w:val="0"/>
      <w:divBdr>
        <w:top w:val="none" w:sz="0" w:space="0" w:color="auto"/>
        <w:left w:val="none" w:sz="0" w:space="0" w:color="auto"/>
        <w:bottom w:val="none" w:sz="0" w:space="0" w:color="auto"/>
        <w:right w:val="none" w:sz="0" w:space="0" w:color="auto"/>
      </w:divBdr>
      <w:divsChild>
        <w:div w:id="527718404">
          <w:marLeft w:val="0"/>
          <w:marRight w:val="0"/>
          <w:marTop w:val="0"/>
          <w:marBottom w:val="0"/>
          <w:divBdr>
            <w:top w:val="none" w:sz="0" w:space="0" w:color="auto"/>
            <w:left w:val="none" w:sz="0" w:space="0" w:color="auto"/>
            <w:bottom w:val="none" w:sz="0" w:space="0" w:color="auto"/>
            <w:right w:val="none" w:sz="0" w:space="0" w:color="auto"/>
          </w:divBdr>
        </w:div>
        <w:div w:id="697438369">
          <w:marLeft w:val="0"/>
          <w:marRight w:val="0"/>
          <w:marTop w:val="0"/>
          <w:marBottom w:val="0"/>
          <w:divBdr>
            <w:top w:val="none" w:sz="0" w:space="0" w:color="auto"/>
            <w:left w:val="none" w:sz="0" w:space="0" w:color="auto"/>
            <w:bottom w:val="none" w:sz="0" w:space="0" w:color="auto"/>
            <w:right w:val="none" w:sz="0" w:space="0" w:color="auto"/>
          </w:divBdr>
        </w:div>
        <w:div w:id="1823934235">
          <w:marLeft w:val="0"/>
          <w:marRight w:val="0"/>
          <w:marTop w:val="0"/>
          <w:marBottom w:val="0"/>
          <w:divBdr>
            <w:top w:val="none" w:sz="0" w:space="0" w:color="auto"/>
            <w:left w:val="none" w:sz="0" w:space="0" w:color="auto"/>
            <w:bottom w:val="none" w:sz="0" w:space="0" w:color="auto"/>
            <w:right w:val="none" w:sz="0" w:space="0" w:color="auto"/>
          </w:divBdr>
        </w:div>
      </w:divsChild>
    </w:div>
    <w:div w:id="627398864">
      <w:bodyDiv w:val="1"/>
      <w:marLeft w:val="0"/>
      <w:marRight w:val="0"/>
      <w:marTop w:val="0"/>
      <w:marBottom w:val="0"/>
      <w:divBdr>
        <w:top w:val="none" w:sz="0" w:space="0" w:color="auto"/>
        <w:left w:val="none" w:sz="0" w:space="0" w:color="auto"/>
        <w:bottom w:val="none" w:sz="0" w:space="0" w:color="auto"/>
        <w:right w:val="none" w:sz="0" w:space="0" w:color="auto"/>
      </w:divBdr>
    </w:div>
    <w:div w:id="630668439">
      <w:bodyDiv w:val="1"/>
      <w:marLeft w:val="0"/>
      <w:marRight w:val="0"/>
      <w:marTop w:val="0"/>
      <w:marBottom w:val="0"/>
      <w:divBdr>
        <w:top w:val="none" w:sz="0" w:space="0" w:color="auto"/>
        <w:left w:val="none" w:sz="0" w:space="0" w:color="auto"/>
        <w:bottom w:val="none" w:sz="0" w:space="0" w:color="auto"/>
        <w:right w:val="none" w:sz="0" w:space="0" w:color="auto"/>
      </w:divBdr>
    </w:div>
    <w:div w:id="633414962">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39848943">
      <w:bodyDiv w:val="1"/>
      <w:marLeft w:val="0"/>
      <w:marRight w:val="0"/>
      <w:marTop w:val="0"/>
      <w:marBottom w:val="0"/>
      <w:divBdr>
        <w:top w:val="none" w:sz="0" w:space="0" w:color="auto"/>
        <w:left w:val="none" w:sz="0" w:space="0" w:color="auto"/>
        <w:bottom w:val="none" w:sz="0" w:space="0" w:color="auto"/>
        <w:right w:val="none" w:sz="0" w:space="0" w:color="auto"/>
      </w:divBdr>
      <w:divsChild>
        <w:div w:id="1119034014">
          <w:marLeft w:val="0"/>
          <w:marRight w:val="0"/>
          <w:marTop w:val="0"/>
          <w:marBottom w:val="0"/>
          <w:divBdr>
            <w:top w:val="none" w:sz="0" w:space="0" w:color="auto"/>
            <w:left w:val="none" w:sz="0" w:space="0" w:color="auto"/>
            <w:bottom w:val="none" w:sz="0" w:space="0" w:color="auto"/>
            <w:right w:val="none" w:sz="0" w:space="0" w:color="auto"/>
          </w:divBdr>
          <w:divsChild>
            <w:div w:id="884634627">
              <w:marLeft w:val="0"/>
              <w:marRight w:val="0"/>
              <w:marTop w:val="0"/>
              <w:marBottom w:val="0"/>
              <w:divBdr>
                <w:top w:val="none" w:sz="0" w:space="0" w:color="auto"/>
                <w:left w:val="none" w:sz="0" w:space="0" w:color="auto"/>
                <w:bottom w:val="none" w:sz="0" w:space="0" w:color="auto"/>
                <w:right w:val="none" w:sz="0" w:space="0" w:color="auto"/>
              </w:divBdr>
              <w:divsChild>
                <w:div w:id="16276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2502">
      <w:bodyDiv w:val="1"/>
      <w:marLeft w:val="0"/>
      <w:marRight w:val="0"/>
      <w:marTop w:val="0"/>
      <w:marBottom w:val="0"/>
      <w:divBdr>
        <w:top w:val="none" w:sz="0" w:space="0" w:color="auto"/>
        <w:left w:val="none" w:sz="0" w:space="0" w:color="auto"/>
        <w:bottom w:val="none" w:sz="0" w:space="0" w:color="auto"/>
        <w:right w:val="none" w:sz="0" w:space="0" w:color="auto"/>
      </w:divBdr>
      <w:divsChild>
        <w:div w:id="1299723288">
          <w:marLeft w:val="0"/>
          <w:marRight w:val="0"/>
          <w:marTop w:val="0"/>
          <w:marBottom w:val="0"/>
          <w:divBdr>
            <w:top w:val="none" w:sz="0" w:space="0" w:color="auto"/>
            <w:left w:val="none" w:sz="0" w:space="0" w:color="auto"/>
            <w:bottom w:val="none" w:sz="0" w:space="0" w:color="auto"/>
            <w:right w:val="none" w:sz="0" w:space="0" w:color="auto"/>
          </w:divBdr>
          <w:divsChild>
            <w:div w:id="210774578">
              <w:marLeft w:val="0"/>
              <w:marRight w:val="0"/>
              <w:marTop w:val="0"/>
              <w:marBottom w:val="0"/>
              <w:divBdr>
                <w:top w:val="none" w:sz="0" w:space="0" w:color="auto"/>
                <w:left w:val="none" w:sz="0" w:space="0" w:color="auto"/>
                <w:bottom w:val="none" w:sz="0" w:space="0" w:color="auto"/>
                <w:right w:val="none" w:sz="0" w:space="0" w:color="auto"/>
              </w:divBdr>
              <w:divsChild>
                <w:div w:id="15014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80922">
      <w:bodyDiv w:val="1"/>
      <w:marLeft w:val="0"/>
      <w:marRight w:val="0"/>
      <w:marTop w:val="0"/>
      <w:marBottom w:val="0"/>
      <w:divBdr>
        <w:top w:val="none" w:sz="0" w:space="0" w:color="auto"/>
        <w:left w:val="none" w:sz="0" w:space="0" w:color="auto"/>
        <w:bottom w:val="none" w:sz="0" w:space="0" w:color="auto"/>
        <w:right w:val="none" w:sz="0" w:space="0" w:color="auto"/>
      </w:divBdr>
      <w:divsChild>
        <w:div w:id="1031226454">
          <w:marLeft w:val="0"/>
          <w:marRight w:val="0"/>
          <w:marTop w:val="0"/>
          <w:marBottom w:val="0"/>
          <w:divBdr>
            <w:top w:val="none" w:sz="0" w:space="0" w:color="auto"/>
            <w:left w:val="none" w:sz="0" w:space="0" w:color="auto"/>
            <w:bottom w:val="none" w:sz="0" w:space="0" w:color="auto"/>
            <w:right w:val="none" w:sz="0" w:space="0" w:color="auto"/>
          </w:divBdr>
          <w:divsChild>
            <w:div w:id="1362245003">
              <w:marLeft w:val="0"/>
              <w:marRight w:val="0"/>
              <w:marTop w:val="0"/>
              <w:marBottom w:val="0"/>
              <w:divBdr>
                <w:top w:val="none" w:sz="0" w:space="0" w:color="auto"/>
                <w:left w:val="none" w:sz="0" w:space="0" w:color="auto"/>
                <w:bottom w:val="none" w:sz="0" w:space="0" w:color="auto"/>
                <w:right w:val="none" w:sz="0" w:space="0" w:color="auto"/>
              </w:divBdr>
              <w:divsChild>
                <w:div w:id="14385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64939460">
      <w:bodyDiv w:val="1"/>
      <w:marLeft w:val="0"/>
      <w:marRight w:val="0"/>
      <w:marTop w:val="0"/>
      <w:marBottom w:val="0"/>
      <w:divBdr>
        <w:top w:val="none" w:sz="0" w:space="0" w:color="auto"/>
        <w:left w:val="none" w:sz="0" w:space="0" w:color="auto"/>
        <w:bottom w:val="none" w:sz="0" w:space="0" w:color="auto"/>
        <w:right w:val="none" w:sz="0" w:space="0" w:color="auto"/>
      </w:divBdr>
      <w:divsChild>
        <w:div w:id="476146443">
          <w:marLeft w:val="0"/>
          <w:marRight w:val="0"/>
          <w:marTop w:val="0"/>
          <w:marBottom w:val="0"/>
          <w:divBdr>
            <w:top w:val="none" w:sz="0" w:space="0" w:color="auto"/>
            <w:left w:val="none" w:sz="0" w:space="0" w:color="auto"/>
            <w:bottom w:val="none" w:sz="0" w:space="0" w:color="auto"/>
            <w:right w:val="none" w:sz="0" w:space="0" w:color="auto"/>
          </w:divBdr>
          <w:divsChild>
            <w:div w:id="276445422">
              <w:marLeft w:val="0"/>
              <w:marRight w:val="0"/>
              <w:marTop w:val="0"/>
              <w:marBottom w:val="0"/>
              <w:divBdr>
                <w:top w:val="none" w:sz="0" w:space="0" w:color="auto"/>
                <w:left w:val="none" w:sz="0" w:space="0" w:color="auto"/>
                <w:bottom w:val="none" w:sz="0" w:space="0" w:color="auto"/>
                <w:right w:val="none" w:sz="0" w:space="0" w:color="auto"/>
              </w:divBdr>
              <w:divsChild>
                <w:div w:id="1891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0496">
      <w:bodyDiv w:val="1"/>
      <w:marLeft w:val="0"/>
      <w:marRight w:val="0"/>
      <w:marTop w:val="0"/>
      <w:marBottom w:val="0"/>
      <w:divBdr>
        <w:top w:val="none" w:sz="0" w:space="0" w:color="auto"/>
        <w:left w:val="none" w:sz="0" w:space="0" w:color="auto"/>
        <w:bottom w:val="none" w:sz="0" w:space="0" w:color="auto"/>
        <w:right w:val="none" w:sz="0" w:space="0" w:color="auto"/>
      </w:divBdr>
    </w:div>
    <w:div w:id="679888211">
      <w:bodyDiv w:val="1"/>
      <w:marLeft w:val="0"/>
      <w:marRight w:val="0"/>
      <w:marTop w:val="0"/>
      <w:marBottom w:val="0"/>
      <w:divBdr>
        <w:top w:val="none" w:sz="0" w:space="0" w:color="auto"/>
        <w:left w:val="none" w:sz="0" w:space="0" w:color="auto"/>
        <w:bottom w:val="none" w:sz="0" w:space="0" w:color="auto"/>
        <w:right w:val="none" w:sz="0" w:space="0" w:color="auto"/>
      </w:divBdr>
      <w:divsChild>
        <w:div w:id="1748647434">
          <w:marLeft w:val="0"/>
          <w:marRight w:val="0"/>
          <w:marTop w:val="0"/>
          <w:marBottom w:val="0"/>
          <w:divBdr>
            <w:top w:val="none" w:sz="0" w:space="0" w:color="auto"/>
            <w:left w:val="none" w:sz="0" w:space="0" w:color="auto"/>
            <w:bottom w:val="none" w:sz="0" w:space="0" w:color="auto"/>
            <w:right w:val="none" w:sz="0" w:space="0" w:color="auto"/>
          </w:divBdr>
          <w:divsChild>
            <w:div w:id="613171928">
              <w:marLeft w:val="0"/>
              <w:marRight w:val="0"/>
              <w:marTop w:val="0"/>
              <w:marBottom w:val="0"/>
              <w:divBdr>
                <w:top w:val="none" w:sz="0" w:space="0" w:color="auto"/>
                <w:left w:val="none" w:sz="0" w:space="0" w:color="auto"/>
                <w:bottom w:val="none" w:sz="0" w:space="0" w:color="auto"/>
                <w:right w:val="none" w:sz="0" w:space="0" w:color="auto"/>
              </w:divBdr>
              <w:divsChild>
                <w:div w:id="5631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2026">
      <w:bodyDiv w:val="1"/>
      <w:marLeft w:val="0"/>
      <w:marRight w:val="0"/>
      <w:marTop w:val="0"/>
      <w:marBottom w:val="0"/>
      <w:divBdr>
        <w:top w:val="none" w:sz="0" w:space="0" w:color="auto"/>
        <w:left w:val="none" w:sz="0" w:space="0" w:color="auto"/>
        <w:bottom w:val="none" w:sz="0" w:space="0" w:color="auto"/>
        <w:right w:val="none" w:sz="0" w:space="0" w:color="auto"/>
      </w:divBdr>
      <w:divsChild>
        <w:div w:id="363754789">
          <w:marLeft w:val="0"/>
          <w:marRight w:val="0"/>
          <w:marTop w:val="0"/>
          <w:marBottom w:val="0"/>
          <w:divBdr>
            <w:top w:val="none" w:sz="0" w:space="0" w:color="auto"/>
            <w:left w:val="none" w:sz="0" w:space="0" w:color="auto"/>
            <w:bottom w:val="none" w:sz="0" w:space="0" w:color="auto"/>
            <w:right w:val="none" w:sz="0" w:space="0" w:color="auto"/>
          </w:divBdr>
          <w:divsChild>
            <w:div w:id="321543782">
              <w:marLeft w:val="0"/>
              <w:marRight w:val="0"/>
              <w:marTop w:val="0"/>
              <w:marBottom w:val="0"/>
              <w:divBdr>
                <w:top w:val="none" w:sz="0" w:space="0" w:color="auto"/>
                <w:left w:val="none" w:sz="0" w:space="0" w:color="auto"/>
                <w:bottom w:val="none" w:sz="0" w:space="0" w:color="auto"/>
                <w:right w:val="none" w:sz="0" w:space="0" w:color="auto"/>
              </w:divBdr>
              <w:divsChild>
                <w:div w:id="277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5849">
      <w:bodyDiv w:val="1"/>
      <w:marLeft w:val="0"/>
      <w:marRight w:val="0"/>
      <w:marTop w:val="0"/>
      <w:marBottom w:val="0"/>
      <w:divBdr>
        <w:top w:val="none" w:sz="0" w:space="0" w:color="auto"/>
        <w:left w:val="none" w:sz="0" w:space="0" w:color="auto"/>
        <w:bottom w:val="none" w:sz="0" w:space="0" w:color="auto"/>
        <w:right w:val="none" w:sz="0" w:space="0" w:color="auto"/>
      </w:divBdr>
    </w:div>
    <w:div w:id="694813717">
      <w:bodyDiv w:val="1"/>
      <w:marLeft w:val="0"/>
      <w:marRight w:val="0"/>
      <w:marTop w:val="0"/>
      <w:marBottom w:val="0"/>
      <w:divBdr>
        <w:top w:val="none" w:sz="0" w:space="0" w:color="auto"/>
        <w:left w:val="none" w:sz="0" w:space="0" w:color="auto"/>
        <w:bottom w:val="none" w:sz="0" w:space="0" w:color="auto"/>
        <w:right w:val="none" w:sz="0" w:space="0" w:color="auto"/>
      </w:divBdr>
    </w:div>
    <w:div w:id="698090914">
      <w:bodyDiv w:val="1"/>
      <w:marLeft w:val="0"/>
      <w:marRight w:val="0"/>
      <w:marTop w:val="0"/>
      <w:marBottom w:val="0"/>
      <w:divBdr>
        <w:top w:val="none" w:sz="0" w:space="0" w:color="auto"/>
        <w:left w:val="none" w:sz="0" w:space="0" w:color="auto"/>
        <w:bottom w:val="none" w:sz="0" w:space="0" w:color="auto"/>
        <w:right w:val="none" w:sz="0" w:space="0" w:color="auto"/>
      </w:divBdr>
      <w:divsChild>
        <w:div w:id="2139912532">
          <w:marLeft w:val="0"/>
          <w:marRight w:val="0"/>
          <w:marTop w:val="0"/>
          <w:marBottom w:val="0"/>
          <w:divBdr>
            <w:top w:val="none" w:sz="0" w:space="0" w:color="auto"/>
            <w:left w:val="none" w:sz="0" w:space="0" w:color="auto"/>
            <w:bottom w:val="none" w:sz="0" w:space="0" w:color="auto"/>
            <w:right w:val="none" w:sz="0" w:space="0" w:color="auto"/>
          </w:divBdr>
          <w:divsChild>
            <w:div w:id="548692075">
              <w:marLeft w:val="0"/>
              <w:marRight w:val="0"/>
              <w:marTop w:val="0"/>
              <w:marBottom w:val="0"/>
              <w:divBdr>
                <w:top w:val="none" w:sz="0" w:space="0" w:color="auto"/>
                <w:left w:val="none" w:sz="0" w:space="0" w:color="auto"/>
                <w:bottom w:val="none" w:sz="0" w:space="0" w:color="auto"/>
                <w:right w:val="none" w:sz="0" w:space="0" w:color="auto"/>
              </w:divBdr>
              <w:divsChild>
                <w:div w:id="10691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21598">
      <w:bodyDiv w:val="1"/>
      <w:marLeft w:val="0"/>
      <w:marRight w:val="0"/>
      <w:marTop w:val="0"/>
      <w:marBottom w:val="0"/>
      <w:divBdr>
        <w:top w:val="none" w:sz="0" w:space="0" w:color="auto"/>
        <w:left w:val="none" w:sz="0" w:space="0" w:color="auto"/>
        <w:bottom w:val="none" w:sz="0" w:space="0" w:color="auto"/>
        <w:right w:val="none" w:sz="0" w:space="0" w:color="auto"/>
      </w:divBdr>
      <w:divsChild>
        <w:div w:id="1565409996">
          <w:marLeft w:val="0"/>
          <w:marRight w:val="0"/>
          <w:marTop w:val="0"/>
          <w:marBottom w:val="0"/>
          <w:divBdr>
            <w:top w:val="none" w:sz="0" w:space="0" w:color="auto"/>
            <w:left w:val="none" w:sz="0" w:space="0" w:color="auto"/>
            <w:bottom w:val="none" w:sz="0" w:space="0" w:color="auto"/>
            <w:right w:val="none" w:sz="0" w:space="0" w:color="auto"/>
          </w:divBdr>
          <w:divsChild>
            <w:div w:id="1176767771">
              <w:marLeft w:val="0"/>
              <w:marRight w:val="0"/>
              <w:marTop w:val="0"/>
              <w:marBottom w:val="0"/>
              <w:divBdr>
                <w:top w:val="none" w:sz="0" w:space="0" w:color="auto"/>
                <w:left w:val="none" w:sz="0" w:space="0" w:color="auto"/>
                <w:bottom w:val="none" w:sz="0" w:space="0" w:color="auto"/>
                <w:right w:val="none" w:sz="0" w:space="0" w:color="auto"/>
              </w:divBdr>
              <w:divsChild>
                <w:div w:id="749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7449">
      <w:bodyDiv w:val="1"/>
      <w:marLeft w:val="0"/>
      <w:marRight w:val="0"/>
      <w:marTop w:val="0"/>
      <w:marBottom w:val="0"/>
      <w:divBdr>
        <w:top w:val="none" w:sz="0" w:space="0" w:color="auto"/>
        <w:left w:val="none" w:sz="0" w:space="0" w:color="auto"/>
        <w:bottom w:val="none" w:sz="0" w:space="0" w:color="auto"/>
        <w:right w:val="none" w:sz="0" w:space="0" w:color="auto"/>
      </w:divBdr>
    </w:div>
    <w:div w:id="715009744">
      <w:bodyDiv w:val="1"/>
      <w:marLeft w:val="0"/>
      <w:marRight w:val="0"/>
      <w:marTop w:val="0"/>
      <w:marBottom w:val="0"/>
      <w:divBdr>
        <w:top w:val="none" w:sz="0" w:space="0" w:color="auto"/>
        <w:left w:val="none" w:sz="0" w:space="0" w:color="auto"/>
        <w:bottom w:val="none" w:sz="0" w:space="0" w:color="auto"/>
        <w:right w:val="none" w:sz="0" w:space="0" w:color="auto"/>
      </w:divBdr>
    </w:div>
    <w:div w:id="715542547">
      <w:bodyDiv w:val="1"/>
      <w:marLeft w:val="0"/>
      <w:marRight w:val="0"/>
      <w:marTop w:val="0"/>
      <w:marBottom w:val="0"/>
      <w:divBdr>
        <w:top w:val="none" w:sz="0" w:space="0" w:color="auto"/>
        <w:left w:val="none" w:sz="0" w:space="0" w:color="auto"/>
        <w:bottom w:val="none" w:sz="0" w:space="0" w:color="auto"/>
        <w:right w:val="none" w:sz="0" w:space="0" w:color="auto"/>
      </w:divBdr>
      <w:divsChild>
        <w:div w:id="1336808080">
          <w:marLeft w:val="0"/>
          <w:marRight w:val="0"/>
          <w:marTop w:val="0"/>
          <w:marBottom w:val="0"/>
          <w:divBdr>
            <w:top w:val="none" w:sz="0" w:space="0" w:color="auto"/>
            <w:left w:val="none" w:sz="0" w:space="0" w:color="auto"/>
            <w:bottom w:val="none" w:sz="0" w:space="0" w:color="auto"/>
            <w:right w:val="none" w:sz="0" w:space="0" w:color="auto"/>
          </w:divBdr>
          <w:divsChild>
            <w:div w:id="931427315">
              <w:marLeft w:val="0"/>
              <w:marRight w:val="0"/>
              <w:marTop w:val="0"/>
              <w:marBottom w:val="0"/>
              <w:divBdr>
                <w:top w:val="none" w:sz="0" w:space="0" w:color="auto"/>
                <w:left w:val="none" w:sz="0" w:space="0" w:color="auto"/>
                <w:bottom w:val="none" w:sz="0" w:space="0" w:color="auto"/>
                <w:right w:val="none" w:sz="0" w:space="0" w:color="auto"/>
              </w:divBdr>
              <w:divsChild>
                <w:div w:id="1404371396">
                  <w:marLeft w:val="0"/>
                  <w:marRight w:val="0"/>
                  <w:marTop w:val="0"/>
                  <w:marBottom w:val="0"/>
                  <w:divBdr>
                    <w:top w:val="none" w:sz="0" w:space="0" w:color="auto"/>
                    <w:left w:val="none" w:sz="0" w:space="0" w:color="auto"/>
                    <w:bottom w:val="none" w:sz="0" w:space="0" w:color="auto"/>
                    <w:right w:val="none" w:sz="0" w:space="0" w:color="auto"/>
                  </w:divBdr>
                  <w:divsChild>
                    <w:div w:id="1350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47074">
      <w:bodyDiv w:val="1"/>
      <w:marLeft w:val="0"/>
      <w:marRight w:val="0"/>
      <w:marTop w:val="0"/>
      <w:marBottom w:val="0"/>
      <w:divBdr>
        <w:top w:val="none" w:sz="0" w:space="0" w:color="auto"/>
        <w:left w:val="none" w:sz="0" w:space="0" w:color="auto"/>
        <w:bottom w:val="none" w:sz="0" w:space="0" w:color="auto"/>
        <w:right w:val="none" w:sz="0" w:space="0" w:color="auto"/>
      </w:divBdr>
      <w:divsChild>
        <w:div w:id="327828069">
          <w:marLeft w:val="0"/>
          <w:marRight w:val="0"/>
          <w:marTop w:val="0"/>
          <w:marBottom w:val="0"/>
          <w:divBdr>
            <w:top w:val="none" w:sz="0" w:space="0" w:color="auto"/>
            <w:left w:val="none" w:sz="0" w:space="0" w:color="auto"/>
            <w:bottom w:val="none" w:sz="0" w:space="0" w:color="auto"/>
            <w:right w:val="none" w:sz="0" w:space="0" w:color="auto"/>
          </w:divBdr>
          <w:divsChild>
            <w:div w:id="2090812535">
              <w:marLeft w:val="0"/>
              <w:marRight w:val="0"/>
              <w:marTop w:val="0"/>
              <w:marBottom w:val="0"/>
              <w:divBdr>
                <w:top w:val="none" w:sz="0" w:space="0" w:color="auto"/>
                <w:left w:val="none" w:sz="0" w:space="0" w:color="auto"/>
                <w:bottom w:val="none" w:sz="0" w:space="0" w:color="auto"/>
                <w:right w:val="none" w:sz="0" w:space="0" w:color="auto"/>
              </w:divBdr>
              <w:divsChild>
                <w:div w:id="3065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27530129">
      <w:bodyDiv w:val="1"/>
      <w:marLeft w:val="0"/>
      <w:marRight w:val="0"/>
      <w:marTop w:val="0"/>
      <w:marBottom w:val="0"/>
      <w:divBdr>
        <w:top w:val="none" w:sz="0" w:space="0" w:color="auto"/>
        <w:left w:val="none" w:sz="0" w:space="0" w:color="auto"/>
        <w:bottom w:val="none" w:sz="0" w:space="0" w:color="auto"/>
        <w:right w:val="none" w:sz="0" w:space="0" w:color="auto"/>
      </w:divBdr>
      <w:divsChild>
        <w:div w:id="1387142254">
          <w:marLeft w:val="0"/>
          <w:marRight w:val="0"/>
          <w:marTop w:val="0"/>
          <w:marBottom w:val="0"/>
          <w:divBdr>
            <w:top w:val="none" w:sz="0" w:space="0" w:color="auto"/>
            <w:left w:val="none" w:sz="0" w:space="0" w:color="auto"/>
            <w:bottom w:val="none" w:sz="0" w:space="0" w:color="auto"/>
            <w:right w:val="none" w:sz="0" w:space="0" w:color="auto"/>
          </w:divBdr>
          <w:divsChild>
            <w:div w:id="928002981">
              <w:marLeft w:val="0"/>
              <w:marRight w:val="0"/>
              <w:marTop w:val="0"/>
              <w:marBottom w:val="0"/>
              <w:divBdr>
                <w:top w:val="none" w:sz="0" w:space="0" w:color="auto"/>
                <w:left w:val="none" w:sz="0" w:space="0" w:color="auto"/>
                <w:bottom w:val="none" w:sz="0" w:space="0" w:color="auto"/>
                <w:right w:val="none" w:sz="0" w:space="0" w:color="auto"/>
              </w:divBdr>
              <w:divsChild>
                <w:div w:id="634680570">
                  <w:marLeft w:val="0"/>
                  <w:marRight w:val="0"/>
                  <w:marTop w:val="0"/>
                  <w:marBottom w:val="0"/>
                  <w:divBdr>
                    <w:top w:val="none" w:sz="0" w:space="0" w:color="auto"/>
                    <w:left w:val="none" w:sz="0" w:space="0" w:color="auto"/>
                    <w:bottom w:val="none" w:sz="0" w:space="0" w:color="auto"/>
                    <w:right w:val="none" w:sz="0" w:space="0" w:color="auto"/>
                  </w:divBdr>
                  <w:divsChild>
                    <w:div w:id="7909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03018">
      <w:bodyDiv w:val="1"/>
      <w:marLeft w:val="0"/>
      <w:marRight w:val="0"/>
      <w:marTop w:val="0"/>
      <w:marBottom w:val="0"/>
      <w:divBdr>
        <w:top w:val="none" w:sz="0" w:space="0" w:color="auto"/>
        <w:left w:val="none" w:sz="0" w:space="0" w:color="auto"/>
        <w:bottom w:val="none" w:sz="0" w:space="0" w:color="auto"/>
        <w:right w:val="none" w:sz="0" w:space="0" w:color="auto"/>
      </w:divBdr>
      <w:divsChild>
        <w:div w:id="2012414804">
          <w:marLeft w:val="0"/>
          <w:marRight w:val="0"/>
          <w:marTop w:val="0"/>
          <w:marBottom w:val="0"/>
          <w:divBdr>
            <w:top w:val="none" w:sz="0" w:space="0" w:color="auto"/>
            <w:left w:val="none" w:sz="0" w:space="0" w:color="auto"/>
            <w:bottom w:val="none" w:sz="0" w:space="0" w:color="auto"/>
            <w:right w:val="none" w:sz="0" w:space="0" w:color="auto"/>
          </w:divBdr>
          <w:divsChild>
            <w:div w:id="1343049279">
              <w:marLeft w:val="0"/>
              <w:marRight w:val="0"/>
              <w:marTop w:val="0"/>
              <w:marBottom w:val="0"/>
              <w:divBdr>
                <w:top w:val="none" w:sz="0" w:space="0" w:color="auto"/>
                <w:left w:val="none" w:sz="0" w:space="0" w:color="auto"/>
                <w:bottom w:val="none" w:sz="0" w:space="0" w:color="auto"/>
                <w:right w:val="none" w:sz="0" w:space="0" w:color="auto"/>
              </w:divBdr>
              <w:divsChild>
                <w:div w:id="1162697990">
                  <w:marLeft w:val="0"/>
                  <w:marRight w:val="0"/>
                  <w:marTop w:val="0"/>
                  <w:marBottom w:val="0"/>
                  <w:divBdr>
                    <w:top w:val="none" w:sz="0" w:space="0" w:color="auto"/>
                    <w:left w:val="none" w:sz="0" w:space="0" w:color="auto"/>
                    <w:bottom w:val="none" w:sz="0" w:space="0" w:color="auto"/>
                    <w:right w:val="none" w:sz="0" w:space="0" w:color="auto"/>
                  </w:divBdr>
                  <w:divsChild>
                    <w:div w:id="14079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83308">
      <w:bodyDiv w:val="1"/>
      <w:marLeft w:val="0"/>
      <w:marRight w:val="0"/>
      <w:marTop w:val="0"/>
      <w:marBottom w:val="0"/>
      <w:divBdr>
        <w:top w:val="none" w:sz="0" w:space="0" w:color="auto"/>
        <w:left w:val="none" w:sz="0" w:space="0" w:color="auto"/>
        <w:bottom w:val="none" w:sz="0" w:space="0" w:color="auto"/>
        <w:right w:val="none" w:sz="0" w:space="0" w:color="auto"/>
      </w:divBdr>
      <w:divsChild>
        <w:div w:id="1526821423">
          <w:marLeft w:val="0"/>
          <w:marRight w:val="0"/>
          <w:marTop w:val="0"/>
          <w:marBottom w:val="0"/>
          <w:divBdr>
            <w:top w:val="none" w:sz="0" w:space="0" w:color="auto"/>
            <w:left w:val="none" w:sz="0" w:space="0" w:color="auto"/>
            <w:bottom w:val="none" w:sz="0" w:space="0" w:color="auto"/>
            <w:right w:val="none" w:sz="0" w:space="0" w:color="auto"/>
          </w:divBdr>
          <w:divsChild>
            <w:div w:id="651451007">
              <w:marLeft w:val="0"/>
              <w:marRight w:val="0"/>
              <w:marTop w:val="0"/>
              <w:marBottom w:val="0"/>
              <w:divBdr>
                <w:top w:val="none" w:sz="0" w:space="0" w:color="auto"/>
                <w:left w:val="none" w:sz="0" w:space="0" w:color="auto"/>
                <w:bottom w:val="none" w:sz="0" w:space="0" w:color="auto"/>
                <w:right w:val="none" w:sz="0" w:space="0" w:color="auto"/>
              </w:divBdr>
              <w:divsChild>
                <w:div w:id="666710611">
                  <w:marLeft w:val="0"/>
                  <w:marRight w:val="0"/>
                  <w:marTop w:val="0"/>
                  <w:marBottom w:val="0"/>
                  <w:divBdr>
                    <w:top w:val="none" w:sz="0" w:space="0" w:color="auto"/>
                    <w:left w:val="none" w:sz="0" w:space="0" w:color="auto"/>
                    <w:bottom w:val="none" w:sz="0" w:space="0" w:color="auto"/>
                    <w:right w:val="none" w:sz="0" w:space="0" w:color="auto"/>
                  </w:divBdr>
                  <w:divsChild>
                    <w:div w:id="681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2881">
      <w:bodyDiv w:val="1"/>
      <w:marLeft w:val="0"/>
      <w:marRight w:val="0"/>
      <w:marTop w:val="0"/>
      <w:marBottom w:val="0"/>
      <w:divBdr>
        <w:top w:val="none" w:sz="0" w:space="0" w:color="auto"/>
        <w:left w:val="none" w:sz="0" w:space="0" w:color="auto"/>
        <w:bottom w:val="none" w:sz="0" w:space="0" w:color="auto"/>
        <w:right w:val="none" w:sz="0" w:space="0" w:color="auto"/>
      </w:divBdr>
    </w:div>
    <w:div w:id="732050074">
      <w:bodyDiv w:val="1"/>
      <w:marLeft w:val="0"/>
      <w:marRight w:val="0"/>
      <w:marTop w:val="0"/>
      <w:marBottom w:val="0"/>
      <w:divBdr>
        <w:top w:val="none" w:sz="0" w:space="0" w:color="auto"/>
        <w:left w:val="none" w:sz="0" w:space="0" w:color="auto"/>
        <w:bottom w:val="none" w:sz="0" w:space="0" w:color="auto"/>
        <w:right w:val="none" w:sz="0" w:space="0" w:color="auto"/>
      </w:divBdr>
      <w:divsChild>
        <w:div w:id="1672416702">
          <w:marLeft w:val="0"/>
          <w:marRight w:val="0"/>
          <w:marTop w:val="0"/>
          <w:marBottom w:val="0"/>
          <w:divBdr>
            <w:top w:val="none" w:sz="0" w:space="0" w:color="auto"/>
            <w:left w:val="none" w:sz="0" w:space="0" w:color="auto"/>
            <w:bottom w:val="none" w:sz="0" w:space="0" w:color="auto"/>
            <w:right w:val="none" w:sz="0" w:space="0" w:color="auto"/>
          </w:divBdr>
          <w:divsChild>
            <w:div w:id="1815482388">
              <w:marLeft w:val="0"/>
              <w:marRight w:val="0"/>
              <w:marTop w:val="0"/>
              <w:marBottom w:val="0"/>
              <w:divBdr>
                <w:top w:val="none" w:sz="0" w:space="0" w:color="auto"/>
                <w:left w:val="none" w:sz="0" w:space="0" w:color="auto"/>
                <w:bottom w:val="none" w:sz="0" w:space="0" w:color="auto"/>
                <w:right w:val="none" w:sz="0" w:space="0" w:color="auto"/>
              </w:divBdr>
              <w:divsChild>
                <w:div w:id="454061083">
                  <w:marLeft w:val="0"/>
                  <w:marRight w:val="0"/>
                  <w:marTop w:val="0"/>
                  <w:marBottom w:val="0"/>
                  <w:divBdr>
                    <w:top w:val="none" w:sz="0" w:space="0" w:color="auto"/>
                    <w:left w:val="none" w:sz="0" w:space="0" w:color="auto"/>
                    <w:bottom w:val="none" w:sz="0" w:space="0" w:color="auto"/>
                    <w:right w:val="none" w:sz="0" w:space="0" w:color="auto"/>
                  </w:divBdr>
                  <w:divsChild>
                    <w:div w:id="14349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34940064">
      <w:bodyDiv w:val="1"/>
      <w:marLeft w:val="0"/>
      <w:marRight w:val="0"/>
      <w:marTop w:val="0"/>
      <w:marBottom w:val="0"/>
      <w:divBdr>
        <w:top w:val="none" w:sz="0" w:space="0" w:color="auto"/>
        <w:left w:val="none" w:sz="0" w:space="0" w:color="auto"/>
        <w:bottom w:val="none" w:sz="0" w:space="0" w:color="auto"/>
        <w:right w:val="none" w:sz="0" w:space="0" w:color="auto"/>
      </w:divBdr>
    </w:div>
    <w:div w:id="738484906">
      <w:bodyDiv w:val="1"/>
      <w:marLeft w:val="0"/>
      <w:marRight w:val="0"/>
      <w:marTop w:val="0"/>
      <w:marBottom w:val="0"/>
      <w:divBdr>
        <w:top w:val="none" w:sz="0" w:space="0" w:color="auto"/>
        <w:left w:val="none" w:sz="0" w:space="0" w:color="auto"/>
        <w:bottom w:val="none" w:sz="0" w:space="0" w:color="auto"/>
        <w:right w:val="none" w:sz="0" w:space="0" w:color="auto"/>
      </w:divBdr>
    </w:div>
    <w:div w:id="741373810">
      <w:bodyDiv w:val="1"/>
      <w:marLeft w:val="0"/>
      <w:marRight w:val="0"/>
      <w:marTop w:val="0"/>
      <w:marBottom w:val="0"/>
      <w:divBdr>
        <w:top w:val="none" w:sz="0" w:space="0" w:color="auto"/>
        <w:left w:val="none" w:sz="0" w:space="0" w:color="auto"/>
        <w:bottom w:val="none" w:sz="0" w:space="0" w:color="auto"/>
        <w:right w:val="none" w:sz="0" w:space="0" w:color="auto"/>
      </w:divBdr>
    </w:div>
    <w:div w:id="744688189">
      <w:bodyDiv w:val="1"/>
      <w:marLeft w:val="0"/>
      <w:marRight w:val="0"/>
      <w:marTop w:val="0"/>
      <w:marBottom w:val="0"/>
      <w:divBdr>
        <w:top w:val="none" w:sz="0" w:space="0" w:color="auto"/>
        <w:left w:val="none" w:sz="0" w:space="0" w:color="auto"/>
        <w:bottom w:val="none" w:sz="0" w:space="0" w:color="auto"/>
        <w:right w:val="none" w:sz="0" w:space="0" w:color="auto"/>
      </w:divBdr>
      <w:divsChild>
        <w:div w:id="2060014979">
          <w:marLeft w:val="0"/>
          <w:marRight w:val="0"/>
          <w:marTop w:val="0"/>
          <w:marBottom w:val="0"/>
          <w:divBdr>
            <w:top w:val="none" w:sz="0" w:space="0" w:color="auto"/>
            <w:left w:val="none" w:sz="0" w:space="0" w:color="auto"/>
            <w:bottom w:val="none" w:sz="0" w:space="0" w:color="auto"/>
            <w:right w:val="none" w:sz="0" w:space="0" w:color="auto"/>
          </w:divBdr>
          <w:divsChild>
            <w:div w:id="1279020100">
              <w:marLeft w:val="0"/>
              <w:marRight w:val="0"/>
              <w:marTop w:val="0"/>
              <w:marBottom w:val="0"/>
              <w:divBdr>
                <w:top w:val="none" w:sz="0" w:space="0" w:color="auto"/>
                <w:left w:val="none" w:sz="0" w:space="0" w:color="auto"/>
                <w:bottom w:val="none" w:sz="0" w:space="0" w:color="auto"/>
                <w:right w:val="none" w:sz="0" w:space="0" w:color="auto"/>
              </w:divBdr>
              <w:divsChild>
                <w:div w:id="13094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140">
      <w:bodyDiv w:val="1"/>
      <w:marLeft w:val="0"/>
      <w:marRight w:val="0"/>
      <w:marTop w:val="0"/>
      <w:marBottom w:val="0"/>
      <w:divBdr>
        <w:top w:val="none" w:sz="0" w:space="0" w:color="auto"/>
        <w:left w:val="none" w:sz="0" w:space="0" w:color="auto"/>
        <w:bottom w:val="none" w:sz="0" w:space="0" w:color="auto"/>
        <w:right w:val="none" w:sz="0" w:space="0" w:color="auto"/>
      </w:divBdr>
    </w:div>
    <w:div w:id="753863951">
      <w:bodyDiv w:val="1"/>
      <w:marLeft w:val="0"/>
      <w:marRight w:val="0"/>
      <w:marTop w:val="0"/>
      <w:marBottom w:val="0"/>
      <w:divBdr>
        <w:top w:val="none" w:sz="0" w:space="0" w:color="auto"/>
        <w:left w:val="none" w:sz="0" w:space="0" w:color="auto"/>
        <w:bottom w:val="none" w:sz="0" w:space="0" w:color="auto"/>
        <w:right w:val="none" w:sz="0" w:space="0" w:color="auto"/>
      </w:divBdr>
    </w:div>
    <w:div w:id="755515807">
      <w:bodyDiv w:val="1"/>
      <w:marLeft w:val="0"/>
      <w:marRight w:val="0"/>
      <w:marTop w:val="0"/>
      <w:marBottom w:val="0"/>
      <w:divBdr>
        <w:top w:val="none" w:sz="0" w:space="0" w:color="auto"/>
        <w:left w:val="none" w:sz="0" w:space="0" w:color="auto"/>
        <w:bottom w:val="none" w:sz="0" w:space="0" w:color="auto"/>
        <w:right w:val="none" w:sz="0" w:space="0" w:color="auto"/>
      </w:divBdr>
    </w:div>
    <w:div w:id="760446227">
      <w:bodyDiv w:val="1"/>
      <w:marLeft w:val="0"/>
      <w:marRight w:val="0"/>
      <w:marTop w:val="0"/>
      <w:marBottom w:val="0"/>
      <w:divBdr>
        <w:top w:val="none" w:sz="0" w:space="0" w:color="auto"/>
        <w:left w:val="none" w:sz="0" w:space="0" w:color="auto"/>
        <w:bottom w:val="none" w:sz="0" w:space="0" w:color="auto"/>
        <w:right w:val="none" w:sz="0" w:space="0" w:color="auto"/>
      </w:divBdr>
    </w:div>
    <w:div w:id="764612264">
      <w:bodyDiv w:val="1"/>
      <w:marLeft w:val="0"/>
      <w:marRight w:val="0"/>
      <w:marTop w:val="0"/>
      <w:marBottom w:val="0"/>
      <w:divBdr>
        <w:top w:val="none" w:sz="0" w:space="0" w:color="auto"/>
        <w:left w:val="none" w:sz="0" w:space="0" w:color="auto"/>
        <w:bottom w:val="none" w:sz="0" w:space="0" w:color="auto"/>
        <w:right w:val="none" w:sz="0" w:space="0" w:color="auto"/>
      </w:divBdr>
    </w:div>
    <w:div w:id="768769069">
      <w:bodyDiv w:val="1"/>
      <w:marLeft w:val="0"/>
      <w:marRight w:val="0"/>
      <w:marTop w:val="0"/>
      <w:marBottom w:val="0"/>
      <w:divBdr>
        <w:top w:val="none" w:sz="0" w:space="0" w:color="auto"/>
        <w:left w:val="none" w:sz="0" w:space="0" w:color="auto"/>
        <w:bottom w:val="none" w:sz="0" w:space="0" w:color="auto"/>
        <w:right w:val="none" w:sz="0" w:space="0" w:color="auto"/>
      </w:divBdr>
      <w:divsChild>
        <w:div w:id="575896429">
          <w:marLeft w:val="0"/>
          <w:marRight w:val="0"/>
          <w:marTop w:val="0"/>
          <w:marBottom w:val="0"/>
          <w:divBdr>
            <w:top w:val="none" w:sz="0" w:space="0" w:color="auto"/>
            <w:left w:val="none" w:sz="0" w:space="0" w:color="auto"/>
            <w:bottom w:val="none" w:sz="0" w:space="0" w:color="auto"/>
            <w:right w:val="none" w:sz="0" w:space="0" w:color="auto"/>
          </w:divBdr>
          <w:divsChild>
            <w:div w:id="662702845">
              <w:marLeft w:val="0"/>
              <w:marRight w:val="0"/>
              <w:marTop w:val="0"/>
              <w:marBottom w:val="0"/>
              <w:divBdr>
                <w:top w:val="none" w:sz="0" w:space="0" w:color="auto"/>
                <w:left w:val="none" w:sz="0" w:space="0" w:color="auto"/>
                <w:bottom w:val="none" w:sz="0" w:space="0" w:color="auto"/>
                <w:right w:val="none" w:sz="0" w:space="0" w:color="auto"/>
              </w:divBdr>
              <w:divsChild>
                <w:div w:id="1300185577">
                  <w:marLeft w:val="0"/>
                  <w:marRight w:val="0"/>
                  <w:marTop w:val="0"/>
                  <w:marBottom w:val="0"/>
                  <w:divBdr>
                    <w:top w:val="none" w:sz="0" w:space="0" w:color="auto"/>
                    <w:left w:val="none" w:sz="0" w:space="0" w:color="auto"/>
                    <w:bottom w:val="none" w:sz="0" w:space="0" w:color="auto"/>
                    <w:right w:val="none" w:sz="0" w:space="0" w:color="auto"/>
                  </w:divBdr>
                  <w:divsChild>
                    <w:div w:id="16033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11533">
      <w:bodyDiv w:val="1"/>
      <w:marLeft w:val="0"/>
      <w:marRight w:val="0"/>
      <w:marTop w:val="0"/>
      <w:marBottom w:val="0"/>
      <w:divBdr>
        <w:top w:val="none" w:sz="0" w:space="0" w:color="auto"/>
        <w:left w:val="none" w:sz="0" w:space="0" w:color="auto"/>
        <w:bottom w:val="none" w:sz="0" w:space="0" w:color="auto"/>
        <w:right w:val="none" w:sz="0" w:space="0" w:color="auto"/>
      </w:divBdr>
    </w:div>
    <w:div w:id="774833399">
      <w:bodyDiv w:val="1"/>
      <w:marLeft w:val="0"/>
      <w:marRight w:val="0"/>
      <w:marTop w:val="0"/>
      <w:marBottom w:val="0"/>
      <w:divBdr>
        <w:top w:val="none" w:sz="0" w:space="0" w:color="auto"/>
        <w:left w:val="none" w:sz="0" w:space="0" w:color="auto"/>
        <w:bottom w:val="none" w:sz="0" w:space="0" w:color="auto"/>
        <w:right w:val="none" w:sz="0" w:space="0" w:color="auto"/>
      </w:divBdr>
      <w:divsChild>
        <w:div w:id="1810826078">
          <w:marLeft w:val="0"/>
          <w:marRight w:val="0"/>
          <w:marTop w:val="0"/>
          <w:marBottom w:val="0"/>
          <w:divBdr>
            <w:top w:val="none" w:sz="0" w:space="0" w:color="auto"/>
            <w:left w:val="none" w:sz="0" w:space="0" w:color="auto"/>
            <w:bottom w:val="none" w:sz="0" w:space="0" w:color="auto"/>
            <w:right w:val="none" w:sz="0" w:space="0" w:color="auto"/>
          </w:divBdr>
          <w:divsChild>
            <w:div w:id="2129080923">
              <w:marLeft w:val="0"/>
              <w:marRight w:val="0"/>
              <w:marTop w:val="0"/>
              <w:marBottom w:val="0"/>
              <w:divBdr>
                <w:top w:val="none" w:sz="0" w:space="0" w:color="auto"/>
                <w:left w:val="none" w:sz="0" w:space="0" w:color="auto"/>
                <w:bottom w:val="none" w:sz="0" w:space="0" w:color="auto"/>
                <w:right w:val="none" w:sz="0" w:space="0" w:color="auto"/>
              </w:divBdr>
              <w:divsChild>
                <w:div w:id="12174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1606">
      <w:bodyDiv w:val="1"/>
      <w:marLeft w:val="0"/>
      <w:marRight w:val="0"/>
      <w:marTop w:val="0"/>
      <w:marBottom w:val="0"/>
      <w:divBdr>
        <w:top w:val="none" w:sz="0" w:space="0" w:color="auto"/>
        <w:left w:val="none" w:sz="0" w:space="0" w:color="auto"/>
        <w:bottom w:val="none" w:sz="0" w:space="0" w:color="auto"/>
        <w:right w:val="none" w:sz="0" w:space="0" w:color="auto"/>
      </w:divBdr>
    </w:div>
    <w:div w:id="775835481">
      <w:bodyDiv w:val="1"/>
      <w:marLeft w:val="0"/>
      <w:marRight w:val="0"/>
      <w:marTop w:val="0"/>
      <w:marBottom w:val="0"/>
      <w:divBdr>
        <w:top w:val="none" w:sz="0" w:space="0" w:color="auto"/>
        <w:left w:val="none" w:sz="0" w:space="0" w:color="auto"/>
        <w:bottom w:val="none" w:sz="0" w:space="0" w:color="auto"/>
        <w:right w:val="none" w:sz="0" w:space="0" w:color="auto"/>
      </w:divBdr>
    </w:div>
    <w:div w:id="795492630">
      <w:bodyDiv w:val="1"/>
      <w:marLeft w:val="0"/>
      <w:marRight w:val="0"/>
      <w:marTop w:val="0"/>
      <w:marBottom w:val="0"/>
      <w:divBdr>
        <w:top w:val="none" w:sz="0" w:space="0" w:color="auto"/>
        <w:left w:val="none" w:sz="0" w:space="0" w:color="auto"/>
        <w:bottom w:val="none" w:sz="0" w:space="0" w:color="auto"/>
        <w:right w:val="none" w:sz="0" w:space="0" w:color="auto"/>
      </w:divBdr>
      <w:divsChild>
        <w:div w:id="214315706">
          <w:marLeft w:val="0"/>
          <w:marRight w:val="0"/>
          <w:marTop w:val="0"/>
          <w:marBottom w:val="0"/>
          <w:divBdr>
            <w:top w:val="none" w:sz="0" w:space="0" w:color="auto"/>
            <w:left w:val="none" w:sz="0" w:space="0" w:color="auto"/>
            <w:bottom w:val="none" w:sz="0" w:space="0" w:color="auto"/>
            <w:right w:val="none" w:sz="0" w:space="0" w:color="auto"/>
          </w:divBdr>
          <w:divsChild>
            <w:div w:id="78790250">
              <w:marLeft w:val="0"/>
              <w:marRight w:val="0"/>
              <w:marTop w:val="0"/>
              <w:marBottom w:val="0"/>
              <w:divBdr>
                <w:top w:val="none" w:sz="0" w:space="0" w:color="auto"/>
                <w:left w:val="none" w:sz="0" w:space="0" w:color="auto"/>
                <w:bottom w:val="none" w:sz="0" w:space="0" w:color="auto"/>
                <w:right w:val="none" w:sz="0" w:space="0" w:color="auto"/>
              </w:divBdr>
              <w:divsChild>
                <w:div w:id="12186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8973">
      <w:bodyDiv w:val="1"/>
      <w:marLeft w:val="0"/>
      <w:marRight w:val="0"/>
      <w:marTop w:val="0"/>
      <w:marBottom w:val="0"/>
      <w:divBdr>
        <w:top w:val="none" w:sz="0" w:space="0" w:color="auto"/>
        <w:left w:val="none" w:sz="0" w:space="0" w:color="auto"/>
        <w:bottom w:val="none" w:sz="0" w:space="0" w:color="auto"/>
        <w:right w:val="none" w:sz="0" w:space="0" w:color="auto"/>
      </w:divBdr>
    </w:div>
    <w:div w:id="801727067">
      <w:bodyDiv w:val="1"/>
      <w:marLeft w:val="0"/>
      <w:marRight w:val="0"/>
      <w:marTop w:val="0"/>
      <w:marBottom w:val="0"/>
      <w:divBdr>
        <w:top w:val="none" w:sz="0" w:space="0" w:color="auto"/>
        <w:left w:val="none" w:sz="0" w:space="0" w:color="auto"/>
        <w:bottom w:val="none" w:sz="0" w:space="0" w:color="auto"/>
        <w:right w:val="none" w:sz="0" w:space="0" w:color="auto"/>
      </w:divBdr>
    </w:div>
    <w:div w:id="808280705">
      <w:bodyDiv w:val="1"/>
      <w:marLeft w:val="0"/>
      <w:marRight w:val="0"/>
      <w:marTop w:val="0"/>
      <w:marBottom w:val="0"/>
      <w:divBdr>
        <w:top w:val="none" w:sz="0" w:space="0" w:color="auto"/>
        <w:left w:val="none" w:sz="0" w:space="0" w:color="auto"/>
        <w:bottom w:val="none" w:sz="0" w:space="0" w:color="auto"/>
        <w:right w:val="none" w:sz="0" w:space="0" w:color="auto"/>
      </w:divBdr>
    </w:div>
    <w:div w:id="810755455">
      <w:bodyDiv w:val="1"/>
      <w:marLeft w:val="0"/>
      <w:marRight w:val="0"/>
      <w:marTop w:val="0"/>
      <w:marBottom w:val="0"/>
      <w:divBdr>
        <w:top w:val="none" w:sz="0" w:space="0" w:color="auto"/>
        <w:left w:val="none" w:sz="0" w:space="0" w:color="auto"/>
        <w:bottom w:val="none" w:sz="0" w:space="0" w:color="auto"/>
        <w:right w:val="none" w:sz="0" w:space="0" w:color="auto"/>
      </w:divBdr>
    </w:div>
    <w:div w:id="81402901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16075206">
      <w:bodyDiv w:val="1"/>
      <w:marLeft w:val="0"/>
      <w:marRight w:val="0"/>
      <w:marTop w:val="0"/>
      <w:marBottom w:val="0"/>
      <w:divBdr>
        <w:top w:val="none" w:sz="0" w:space="0" w:color="auto"/>
        <w:left w:val="none" w:sz="0" w:space="0" w:color="auto"/>
        <w:bottom w:val="none" w:sz="0" w:space="0" w:color="auto"/>
        <w:right w:val="none" w:sz="0" w:space="0" w:color="auto"/>
      </w:divBdr>
    </w:div>
    <w:div w:id="820924452">
      <w:bodyDiv w:val="1"/>
      <w:marLeft w:val="0"/>
      <w:marRight w:val="0"/>
      <w:marTop w:val="0"/>
      <w:marBottom w:val="0"/>
      <w:divBdr>
        <w:top w:val="none" w:sz="0" w:space="0" w:color="auto"/>
        <w:left w:val="none" w:sz="0" w:space="0" w:color="auto"/>
        <w:bottom w:val="none" w:sz="0" w:space="0" w:color="auto"/>
        <w:right w:val="none" w:sz="0" w:space="0" w:color="auto"/>
      </w:divBdr>
    </w:div>
    <w:div w:id="824857519">
      <w:bodyDiv w:val="1"/>
      <w:marLeft w:val="0"/>
      <w:marRight w:val="0"/>
      <w:marTop w:val="0"/>
      <w:marBottom w:val="0"/>
      <w:divBdr>
        <w:top w:val="none" w:sz="0" w:space="0" w:color="auto"/>
        <w:left w:val="none" w:sz="0" w:space="0" w:color="auto"/>
        <w:bottom w:val="none" w:sz="0" w:space="0" w:color="auto"/>
        <w:right w:val="none" w:sz="0" w:space="0" w:color="auto"/>
      </w:divBdr>
      <w:divsChild>
        <w:div w:id="599873747">
          <w:marLeft w:val="0"/>
          <w:marRight w:val="0"/>
          <w:marTop w:val="0"/>
          <w:marBottom w:val="0"/>
          <w:divBdr>
            <w:top w:val="none" w:sz="0" w:space="0" w:color="auto"/>
            <w:left w:val="none" w:sz="0" w:space="0" w:color="auto"/>
            <w:bottom w:val="none" w:sz="0" w:space="0" w:color="auto"/>
            <w:right w:val="none" w:sz="0" w:space="0" w:color="auto"/>
          </w:divBdr>
          <w:divsChild>
            <w:div w:id="1842352447">
              <w:marLeft w:val="0"/>
              <w:marRight w:val="0"/>
              <w:marTop w:val="0"/>
              <w:marBottom w:val="0"/>
              <w:divBdr>
                <w:top w:val="none" w:sz="0" w:space="0" w:color="auto"/>
                <w:left w:val="none" w:sz="0" w:space="0" w:color="auto"/>
                <w:bottom w:val="none" w:sz="0" w:space="0" w:color="auto"/>
                <w:right w:val="none" w:sz="0" w:space="0" w:color="auto"/>
              </w:divBdr>
              <w:divsChild>
                <w:div w:id="20117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9094">
      <w:bodyDiv w:val="1"/>
      <w:marLeft w:val="0"/>
      <w:marRight w:val="0"/>
      <w:marTop w:val="0"/>
      <w:marBottom w:val="0"/>
      <w:divBdr>
        <w:top w:val="none" w:sz="0" w:space="0" w:color="auto"/>
        <w:left w:val="none" w:sz="0" w:space="0" w:color="auto"/>
        <w:bottom w:val="none" w:sz="0" w:space="0" w:color="auto"/>
        <w:right w:val="none" w:sz="0" w:space="0" w:color="auto"/>
      </w:divBdr>
    </w:div>
    <w:div w:id="838813078">
      <w:bodyDiv w:val="1"/>
      <w:marLeft w:val="0"/>
      <w:marRight w:val="0"/>
      <w:marTop w:val="0"/>
      <w:marBottom w:val="0"/>
      <w:divBdr>
        <w:top w:val="none" w:sz="0" w:space="0" w:color="auto"/>
        <w:left w:val="none" w:sz="0" w:space="0" w:color="auto"/>
        <w:bottom w:val="none" w:sz="0" w:space="0" w:color="auto"/>
        <w:right w:val="none" w:sz="0" w:space="0" w:color="auto"/>
      </w:divBdr>
      <w:divsChild>
        <w:div w:id="426540245">
          <w:marLeft w:val="0"/>
          <w:marRight w:val="0"/>
          <w:marTop w:val="0"/>
          <w:marBottom w:val="0"/>
          <w:divBdr>
            <w:top w:val="none" w:sz="0" w:space="0" w:color="auto"/>
            <w:left w:val="none" w:sz="0" w:space="0" w:color="auto"/>
            <w:bottom w:val="none" w:sz="0" w:space="0" w:color="auto"/>
            <w:right w:val="none" w:sz="0" w:space="0" w:color="auto"/>
          </w:divBdr>
          <w:divsChild>
            <w:div w:id="496313854">
              <w:marLeft w:val="0"/>
              <w:marRight w:val="0"/>
              <w:marTop w:val="0"/>
              <w:marBottom w:val="0"/>
              <w:divBdr>
                <w:top w:val="none" w:sz="0" w:space="0" w:color="auto"/>
                <w:left w:val="none" w:sz="0" w:space="0" w:color="auto"/>
                <w:bottom w:val="none" w:sz="0" w:space="0" w:color="auto"/>
                <w:right w:val="none" w:sz="0" w:space="0" w:color="auto"/>
              </w:divBdr>
              <w:divsChild>
                <w:div w:id="1760522879">
                  <w:marLeft w:val="0"/>
                  <w:marRight w:val="0"/>
                  <w:marTop w:val="0"/>
                  <w:marBottom w:val="0"/>
                  <w:divBdr>
                    <w:top w:val="none" w:sz="0" w:space="0" w:color="auto"/>
                    <w:left w:val="none" w:sz="0" w:space="0" w:color="auto"/>
                    <w:bottom w:val="none" w:sz="0" w:space="0" w:color="auto"/>
                    <w:right w:val="none" w:sz="0" w:space="0" w:color="auto"/>
                  </w:divBdr>
                  <w:divsChild>
                    <w:div w:id="4855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58941">
      <w:bodyDiv w:val="1"/>
      <w:marLeft w:val="0"/>
      <w:marRight w:val="0"/>
      <w:marTop w:val="0"/>
      <w:marBottom w:val="0"/>
      <w:divBdr>
        <w:top w:val="none" w:sz="0" w:space="0" w:color="auto"/>
        <w:left w:val="none" w:sz="0" w:space="0" w:color="auto"/>
        <w:bottom w:val="none" w:sz="0" w:space="0" w:color="auto"/>
        <w:right w:val="none" w:sz="0" w:space="0" w:color="auto"/>
      </w:divBdr>
    </w:div>
    <w:div w:id="839271526">
      <w:bodyDiv w:val="1"/>
      <w:marLeft w:val="0"/>
      <w:marRight w:val="0"/>
      <w:marTop w:val="0"/>
      <w:marBottom w:val="0"/>
      <w:divBdr>
        <w:top w:val="none" w:sz="0" w:space="0" w:color="auto"/>
        <w:left w:val="none" w:sz="0" w:space="0" w:color="auto"/>
        <w:bottom w:val="none" w:sz="0" w:space="0" w:color="auto"/>
        <w:right w:val="none" w:sz="0" w:space="0" w:color="auto"/>
      </w:divBdr>
    </w:div>
    <w:div w:id="840507933">
      <w:bodyDiv w:val="1"/>
      <w:marLeft w:val="0"/>
      <w:marRight w:val="0"/>
      <w:marTop w:val="0"/>
      <w:marBottom w:val="0"/>
      <w:divBdr>
        <w:top w:val="none" w:sz="0" w:space="0" w:color="auto"/>
        <w:left w:val="none" w:sz="0" w:space="0" w:color="auto"/>
        <w:bottom w:val="none" w:sz="0" w:space="0" w:color="auto"/>
        <w:right w:val="none" w:sz="0" w:space="0" w:color="auto"/>
      </w:divBdr>
      <w:divsChild>
        <w:div w:id="1687125686">
          <w:marLeft w:val="0"/>
          <w:marRight w:val="0"/>
          <w:marTop w:val="0"/>
          <w:marBottom w:val="0"/>
          <w:divBdr>
            <w:top w:val="none" w:sz="0" w:space="0" w:color="auto"/>
            <w:left w:val="none" w:sz="0" w:space="0" w:color="auto"/>
            <w:bottom w:val="none" w:sz="0" w:space="0" w:color="auto"/>
            <w:right w:val="none" w:sz="0" w:space="0" w:color="auto"/>
          </w:divBdr>
          <w:divsChild>
            <w:div w:id="1388803183">
              <w:marLeft w:val="0"/>
              <w:marRight w:val="0"/>
              <w:marTop w:val="0"/>
              <w:marBottom w:val="0"/>
              <w:divBdr>
                <w:top w:val="none" w:sz="0" w:space="0" w:color="auto"/>
                <w:left w:val="none" w:sz="0" w:space="0" w:color="auto"/>
                <w:bottom w:val="none" w:sz="0" w:space="0" w:color="auto"/>
                <w:right w:val="none" w:sz="0" w:space="0" w:color="auto"/>
              </w:divBdr>
              <w:divsChild>
                <w:div w:id="9502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5403">
      <w:bodyDiv w:val="1"/>
      <w:marLeft w:val="0"/>
      <w:marRight w:val="0"/>
      <w:marTop w:val="0"/>
      <w:marBottom w:val="0"/>
      <w:divBdr>
        <w:top w:val="none" w:sz="0" w:space="0" w:color="auto"/>
        <w:left w:val="none" w:sz="0" w:space="0" w:color="auto"/>
        <w:bottom w:val="none" w:sz="0" w:space="0" w:color="auto"/>
        <w:right w:val="none" w:sz="0" w:space="0" w:color="auto"/>
      </w:divBdr>
    </w:div>
    <w:div w:id="848251812">
      <w:bodyDiv w:val="1"/>
      <w:marLeft w:val="0"/>
      <w:marRight w:val="0"/>
      <w:marTop w:val="0"/>
      <w:marBottom w:val="0"/>
      <w:divBdr>
        <w:top w:val="none" w:sz="0" w:space="0" w:color="auto"/>
        <w:left w:val="none" w:sz="0" w:space="0" w:color="auto"/>
        <w:bottom w:val="none" w:sz="0" w:space="0" w:color="auto"/>
        <w:right w:val="none" w:sz="0" w:space="0" w:color="auto"/>
      </w:divBdr>
      <w:divsChild>
        <w:div w:id="1764103374">
          <w:marLeft w:val="0"/>
          <w:marRight w:val="0"/>
          <w:marTop w:val="0"/>
          <w:marBottom w:val="0"/>
          <w:divBdr>
            <w:top w:val="none" w:sz="0" w:space="0" w:color="auto"/>
            <w:left w:val="none" w:sz="0" w:space="0" w:color="auto"/>
            <w:bottom w:val="none" w:sz="0" w:space="0" w:color="auto"/>
            <w:right w:val="none" w:sz="0" w:space="0" w:color="auto"/>
          </w:divBdr>
          <w:divsChild>
            <w:div w:id="698120216">
              <w:marLeft w:val="0"/>
              <w:marRight w:val="0"/>
              <w:marTop w:val="0"/>
              <w:marBottom w:val="0"/>
              <w:divBdr>
                <w:top w:val="none" w:sz="0" w:space="0" w:color="auto"/>
                <w:left w:val="none" w:sz="0" w:space="0" w:color="auto"/>
                <w:bottom w:val="none" w:sz="0" w:space="0" w:color="auto"/>
                <w:right w:val="none" w:sz="0" w:space="0" w:color="auto"/>
              </w:divBdr>
              <w:divsChild>
                <w:div w:id="1466121835">
                  <w:marLeft w:val="0"/>
                  <w:marRight w:val="0"/>
                  <w:marTop w:val="0"/>
                  <w:marBottom w:val="0"/>
                  <w:divBdr>
                    <w:top w:val="none" w:sz="0" w:space="0" w:color="auto"/>
                    <w:left w:val="none" w:sz="0" w:space="0" w:color="auto"/>
                    <w:bottom w:val="none" w:sz="0" w:space="0" w:color="auto"/>
                    <w:right w:val="none" w:sz="0" w:space="0" w:color="auto"/>
                  </w:divBdr>
                  <w:divsChild>
                    <w:div w:id="21372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24320">
      <w:bodyDiv w:val="1"/>
      <w:marLeft w:val="0"/>
      <w:marRight w:val="0"/>
      <w:marTop w:val="0"/>
      <w:marBottom w:val="0"/>
      <w:divBdr>
        <w:top w:val="none" w:sz="0" w:space="0" w:color="auto"/>
        <w:left w:val="none" w:sz="0" w:space="0" w:color="auto"/>
        <w:bottom w:val="none" w:sz="0" w:space="0" w:color="auto"/>
        <w:right w:val="none" w:sz="0" w:space="0" w:color="auto"/>
      </w:divBdr>
      <w:divsChild>
        <w:div w:id="960645813">
          <w:marLeft w:val="0"/>
          <w:marRight w:val="0"/>
          <w:marTop w:val="0"/>
          <w:marBottom w:val="0"/>
          <w:divBdr>
            <w:top w:val="none" w:sz="0" w:space="0" w:color="auto"/>
            <w:left w:val="none" w:sz="0" w:space="0" w:color="auto"/>
            <w:bottom w:val="none" w:sz="0" w:space="0" w:color="auto"/>
            <w:right w:val="none" w:sz="0" w:space="0" w:color="auto"/>
          </w:divBdr>
          <w:divsChild>
            <w:div w:id="1038116879">
              <w:marLeft w:val="0"/>
              <w:marRight w:val="0"/>
              <w:marTop w:val="0"/>
              <w:marBottom w:val="0"/>
              <w:divBdr>
                <w:top w:val="none" w:sz="0" w:space="0" w:color="auto"/>
                <w:left w:val="none" w:sz="0" w:space="0" w:color="auto"/>
                <w:bottom w:val="none" w:sz="0" w:space="0" w:color="auto"/>
                <w:right w:val="none" w:sz="0" w:space="0" w:color="auto"/>
              </w:divBdr>
              <w:divsChild>
                <w:div w:id="14690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58129948">
      <w:bodyDiv w:val="1"/>
      <w:marLeft w:val="0"/>
      <w:marRight w:val="0"/>
      <w:marTop w:val="0"/>
      <w:marBottom w:val="0"/>
      <w:divBdr>
        <w:top w:val="none" w:sz="0" w:space="0" w:color="auto"/>
        <w:left w:val="none" w:sz="0" w:space="0" w:color="auto"/>
        <w:bottom w:val="none" w:sz="0" w:space="0" w:color="auto"/>
        <w:right w:val="none" w:sz="0" w:space="0" w:color="auto"/>
      </w:divBdr>
    </w:div>
    <w:div w:id="859978085">
      <w:bodyDiv w:val="1"/>
      <w:marLeft w:val="0"/>
      <w:marRight w:val="0"/>
      <w:marTop w:val="0"/>
      <w:marBottom w:val="0"/>
      <w:divBdr>
        <w:top w:val="none" w:sz="0" w:space="0" w:color="auto"/>
        <w:left w:val="none" w:sz="0" w:space="0" w:color="auto"/>
        <w:bottom w:val="none" w:sz="0" w:space="0" w:color="auto"/>
        <w:right w:val="none" w:sz="0" w:space="0" w:color="auto"/>
      </w:divBdr>
      <w:divsChild>
        <w:div w:id="245456797">
          <w:marLeft w:val="0"/>
          <w:marRight w:val="0"/>
          <w:marTop w:val="0"/>
          <w:marBottom w:val="0"/>
          <w:divBdr>
            <w:top w:val="none" w:sz="0" w:space="0" w:color="auto"/>
            <w:left w:val="none" w:sz="0" w:space="0" w:color="auto"/>
            <w:bottom w:val="none" w:sz="0" w:space="0" w:color="auto"/>
            <w:right w:val="none" w:sz="0" w:space="0" w:color="auto"/>
          </w:divBdr>
          <w:divsChild>
            <w:div w:id="219026454">
              <w:marLeft w:val="0"/>
              <w:marRight w:val="0"/>
              <w:marTop w:val="0"/>
              <w:marBottom w:val="0"/>
              <w:divBdr>
                <w:top w:val="none" w:sz="0" w:space="0" w:color="auto"/>
                <w:left w:val="none" w:sz="0" w:space="0" w:color="auto"/>
                <w:bottom w:val="none" w:sz="0" w:space="0" w:color="auto"/>
                <w:right w:val="none" w:sz="0" w:space="0" w:color="auto"/>
              </w:divBdr>
              <w:divsChild>
                <w:div w:id="9408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7947">
      <w:bodyDiv w:val="1"/>
      <w:marLeft w:val="0"/>
      <w:marRight w:val="0"/>
      <w:marTop w:val="0"/>
      <w:marBottom w:val="0"/>
      <w:divBdr>
        <w:top w:val="none" w:sz="0" w:space="0" w:color="auto"/>
        <w:left w:val="none" w:sz="0" w:space="0" w:color="auto"/>
        <w:bottom w:val="none" w:sz="0" w:space="0" w:color="auto"/>
        <w:right w:val="none" w:sz="0" w:space="0" w:color="auto"/>
      </w:divBdr>
      <w:divsChild>
        <w:div w:id="149369344">
          <w:marLeft w:val="0"/>
          <w:marRight w:val="0"/>
          <w:marTop w:val="0"/>
          <w:marBottom w:val="0"/>
          <w:divBdr>
            <w:top w:val="none" w:sz="0" w:space="0" w:color="auto"/>
            <w:left w:val="none" w:sz="0" w:space="0" w:color="auto"/>
            <w:bottom w:val="none" w:sz="0" w:space="0" w:color="auto"/>
            <w:right w:val="none" w:sz="0" w:space="0" w:color="auto"/>
          </w:divBdr>
          <w:divsChild>
            <w:div w:id="1622691012">
              <w:marLeft w:val="0"/>
              <w:marRight w:val="0"/>
              <w:marTop w:val="0"/>
              <w:marBottom w:val="0"/>
              <w:divBdr>
                <w:top w:val="none" w:sz="0" w:space="0" w:color="auto"/>
                <w:left w:val="none" w:sz="0" w:space="0" w:color="auto"/>
                <w:bottom w:val="none" w:sz="0" w:space="0" w:color="auto"/>
                <w:right w:val="none" w:sz="0" w:space="0" w:color="auto"/>
              </w:divBdr>
              <w:divsChild>
                <w:div w:id="20447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9210">
      <w:bodyDiv w:val="1"/>
      <w:marLeft w:val="0"/>
      <w:marRight w:val="0"/>
      <w:marTop w:val="0"/>
      <w:marBottom w:val="0"/>
      <w:divBdr>
        <w:top w:val="none" w:sz="0" w:space="0" w:color="auto"/>
        <w:left w:val="none" w:sz="0" w:space="0" w:color="auto"/>
        <w:bottom w:val="none" w:sz="0" w:space="0" w:color="auto"/>
        <w:right w:val="none" w:sz="0" w:space="0" w:color="auto"/>
      </w:divBdr>
      <w:divsChild>
        <w:div w:id="1297296141">
          <w:marLeft w:val="0"/>
          <w:marRight w:val="0"/>
          <w:marTop w:val="0"/>
          <w:marBottom w:val="0"/>
          <w:divBdr>
            <w:top w:val="none" w:sz="0" w:space="0" w:color="auto"/>
            <w:left w:val="none" w:sz="0" w:space="0" w:color="auto"/>
            <w:bottom w:val="none" w:sz="0" w:space="0" w:color="auto"/>
            <w:right w:val="none" w:sz="0" w:space="0" w:color="auto"/>
          </w:divBdr>
          <w:divsChild>
            <w:div w:id="638874721">
              <w:marLeft w:val="0"/>
              <w:marRight w:val="0"/>
              <w:marTop w:val="0"/>
              <w:marBottom w:val="0"/>
              <w:divBdr>
                <w:top w:val="none" w:sz="0" w:space="0" w:color="auto"/>
                <w:left w:val="none" w:sz="0" w:space="0" w:color="auto"/>
                <w:bottom w:val="none" w:sz="0" w:space="0" w:color="auto"/>
                <w:right w:val="none" w:sz="0" w:space="0" w:color="auto"/>
              </w:divBdr>
              <w:divsChild>
                <w:div w:id="18930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86793847">
      <w:bodyDiv w:val="1"/>
      <w:marLeft w:val="0"/>
      <w:marRight w:val="0"/>
      <w:marTop w:val="0"/>
      <w:marBottom w:val="0"/>
      <w:divBdr>
        <w:top w:val="none" w:sz="0" w:space="0" w:color="auto"/>
        <w:left w:val="none" w:sz="0" w:space="0" w:color="auto"/>
        <w:bottom w:val="none" w:sz="0" w:space="0" w:color="auto"/>
        <w:right w:val="none" w:sz="0" w:space="0" w:color="auto"/>
      </w:divBdr>
    </w:div>
    <w:div w:id="890730048">
      <w:bodyDiv w:val="1"/>
      <w:marLeft w:val="0"/>
      <w:marRight w:val="0"/>
      <w:marTop w:val="0"/>
      <w:marBottom w:val="0"/>
      <w:divBdr>
        <w:top w:val="none" w:sz="0" w:space="0" w:color="auto"/>
        <w:left w:val="none" w:sz="0" w:space="0" w:color="auto"/>
        <w:bottom w:val="none" w:sz="0" w:space="0" w:color="auto"/>
        <w:right w:val="none" w:sz="0" w:space="0" w:color="auto"/>
      </w:divBdr>
    </w:div>
    <w:div w:id="897013332">
      <w:bodyDiv w:val="1"/>
      <w:marLeft w:val="0"/>
      <w:marRight w:val="0"/>
      <w:marTop w:val="0"/>
      <w:marBottom w:val="0"/>
      <w:divBdr>
        <w:top w:val="none" w:sz="0" w:space="0" w:color="auto"/>
        <w:left w:val="none" w:sz="0" w:space="0" w:color="auto"/>
        <w:bottom w:val="none" w:sz="0" w:space="0" w:color="auto"/>
        <w:right w:val="none" w:sz="0" w:space="0" w:color="auto"/>
      </w:divBdr>
      <w:divsChild>
        <w:div w:id="883248752">
          <w:marLeft w:val="0"/>
          <w:marRight w:val="0"/>
          <w:marTop w:val="0"/>
          <w:marBottom w:val="0"/>
          <w:divBdr>
            <w:top w:val="none" w:sz="0" w:space="0" w:color="auto"/>
            <w:left w:val="none" w:sz="0" w:space="0" w:color="auto"/>
            <w:bottom w:val="none" w:sz="0" w:space="0" w:color="auto"/>
            <w:right w:val="none" w:sz="0" w:space="0" w:color="auto"/>
          </w:divBdr>
          <w:divsChild>
            <w:div w:id="712971267">
              <w:marLeft w:val="0"/>
              <w:marRight w:val="0"/>
              <w:marTop w:val="0"/>
              <w:marBottom w:val="0"/>
              <w:divBdr>
                <w:top w:val="none" w:sz="0" w:space="0" w:color="auto"/>
                <w:left w:val="none" w:sz="0" w:space="0" w:color="auto"/>
                <w:bottom w:val="none" w:sz="0" w:space="0" w:color="auto"/>
                <w:right w:val="none" w:sz="0" w:space="0" w:color="auto"/>
              </w:divBdr>
              <w:divsChild>
                <w:div w:id="20910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6216">
      <w:bodyDiv w:val="1"/>
      <w:marLeft w:val="0"/>
      <w:marRight w:val="0"/>
      <w:marTop w:val="0"/>
      <w:marBottom w:val="0"/>
      <w:divBdr>
        <w:top w:val="none" w:sz="0" w:space="0" w:color="auto"/>
        <w:left w:val="none" w:sz="0" w:space="0" w:color="auto"/>
        <w:bottom w:val="none" w:sz="0" w:space="0" w:color="auto"/>
        <w:right w:val="none" w:sz="0" w:space="0" w:color="auto"/>
      </w:divBdr>
    </w:div>
    <w:div w:id="912663533">
      <w:bodyDiv w:val="1"/>
      <w:marLeft w:val="0"/>
      <w:marRight w:val="0"/>
      <w:marTop w:val="0"/>
      <w:marBottom w:val="0"/>
      <w:divBdr>
        <w:top w:val="none" w:sz="0" w:space="0" w:color="auto"/>
        <w:left w:val="none" w:sz="0" w:space="0" w:color="auto"/>
        <w:bottom w:val="none" w:sz="0" w:space="0" w:color="auto"/>
        <w:right w:val="none" w:sz="0" w:space="0" w:color="auto"/>
      </w:divBdr>
      <w:divsChild>
        <w:div w:id="549266192">
          <w:marLeft w:val="0"/>
          <w:marRight w:val="0"/>
          <w:marTop w:val="0"/>
          <w:marBottom w:val="0"/>
          <w:divBdr>
            <w:top w:val="none" w:sz="0" w:space="0" w:color="auto"/>
            <w:left w:val="none" w:sz="0" w:space="0" w:color="auto"/>
            <w:bottom w:val="none" w:sz="0" w:space="0" w:color="auto"/>
            <w:right w:val="none" w:sz="0" w:space="0" w:color="auto"/>
          </w:divBdr>
          <w:divsChild>
            <w:div w:id="2066445998">
              <w:marLeft w:val="439"/>
              <w:marRight w:val="0"/>
              <w:marTop w:val="0"/>
              <w:marBottom w:val="0"/>
              <w:divBdr>
                <w:top w:val="none" w:sz="0" w:space="0" w:color="auto"/>
                <w:left w:val="none" w:sz="0" w:space="0" w:color="auto"/>
                <w:bottom w:val="none" w:sz="0" w:space="0" w:color="auto"/>
                <w:right w:val="none" w:sz="0" w:space="0" w:color="auto"/>
              </w:divBdr>
              <w:divsChild>
                <w:div w:id="848520562">
                  <w:marLeft w:val="0"/>
                  <w:marRight w:val="0"/>
                  <w:marTop w:val="0"/>
                  <w:marBottom w:val="0"/>
                  <w:divBdr>
                    <w:top w:val="none" w:sz="0" w:space="0" w:color="auto"/>
                    <w:left w:val="none" w:sz="0" w:space="0" w:color="auto"/>
                    <w:bottom w:val="none" w:sz="0" w:space="0" w:color="auto"/>
                    <w:right w:val="none" w:sz="0" w:space="0" w:color="auto"/>
                  </w:divBdr>
                  <w:divsChild>
                    <w:div w:id="2000190693">
                      <w:marLeft w:val="0"/>
                      <w:marRight w:val="0"/>
                      <w:marTop w:val="0"/>
                      <w:marBottom w:val="0"/>
                      <w:divBdr>
                        <w:top w:val="none" w:sz="0" w:space="0" w:color="auto"/>
                        <w:left w:val="none" w:sz="0" w:space="0" w:color="auto"/>
                        <w:bottom w:val="none" w:sz="0" w:space="0" w:color="auto"/>
                        <w:right w:val="none" w:sz="0" w:space="0" w:color="auto"/>
                      </w:divBdr>
                    </w:div>
                    <w:div w:id="298651310">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8782">
          <w:marLeft w:val="0"/>
          <w:marRight w:val="0"/>
          <w:marTop w:val="0"/>
          <w:marBottom w:val="0"/>
          <w:divBdr>
            <w:top w:val="none" w:sz="0" w:space="0" w:color="auto"/>
            <w:left w:val="none" w:sz="0" w:space="0" w:color="auto"/>
            <w:bottom w:val="none" w:sz="0" w:space="0" w:color="auto"/>
            <w:right w:val="none" w:sz="0" w:space="0" w:color="auto"/>
          </w:divBdr>
        </w:div>
      </w:divsChild>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18102510">
      <w:bodyDiv w:val="1"/>
      <w:marLeft w:val="0"/>
      <w:marRight w:val="0"/>
      <w:marTop w:val="0"/>
      <w:marBottom w:val="0"/>
      <w:divBdr>
        <w:top w:val="none" w:sz="0" w:space="0" w:color="auto"/>
        <w:left w:val="none" w:sz="0" w:space="0" w:color="auto"/>
        <w:bottom w:val="none" w:sz="0" w:space="0" w:color="auto"/>
        <w:right w:val="none" w:sz="0" w:space="0" w:color="auto"/>
      </w:divBdr>
    </w:div>
    <w:div w:id="918904500">
      <w:bodyDiv w:val="1"/>
      <w:marLeft w:val="0"/>
      <w:marRight w:val="0"/>
      <w:marTop w:val="0"/>
      <w:marBottom w:val="0"/>
      <w:divBdr>
        <w:top w:val="none" w:sz="0" w:space="0" w:color="auto"/>
        <w:left w:val="none" w:sz="0" w:space="0" w:color="auto"/>
        <w:bottom w:val="none" w:sz="0" w:space="0" w:color="auto"/>
        <w:right w:val="none" w:sz="0" w:space="0" w:color="auto"/>
      </w:divBdr>
      <w:divsChild>
        <w:div w:id="1398476686">
          <w:marLeft w:val="0"/>
          <w:marRight w:val="0"/>
          <w:marTop w:val="0"/>
          <w:marBottom w:val="0"/>
          <w:divBdr>
            <w:top w:val="none" w:sz="0" w:space="0" w:color="auto"/>
            <w:left w:val="none" w:sz="0" w:space="0" w:color="auto"/>
            <w:bottom w:val="none" w:sz="0" w:space="0" w:color="auto"/>
            <w:right w:val="none" w:sz="0" w:space="0" w:color="auto"/>
          </w:divBdr>
          <w:divsChild>
            <w:div w:id="1289045506">
              <w:marLeft w:val="0"/>
              <w:marRight w:val="0"/>
              <w:marTop w:val="0"/>
              <w:marBottom w:val="0"/>
              <w:divBdr>
                <w:top w:val="none" w:sz="0" w:space="0" w:color="auto"/>
                <w:left w:val="none" w:sz="0" w:space="0" w:color="auto"/>
                <w:bottom w:val="none" w:sz="0" w:space="0" w:color="auto"/>
                <w:right w:val="none" w:sz="0" w:space="0" w:color="auto"/>
              </w:divBdr>
              <w:divsChild>
                <w:div w:id="379138404">
                  <w:marLeft w:val="0"/>
                  <w:marRight w:val="0"/>
                  <w:marTop w:val="0"/>
                  <w:marBottom w:val="0"/>
                  <w:divBdr>
                    <w:top w:val="none" w:sz="0" w:space="0" w:color="auto"/>
                    <w:left w:val="none" w:sz="0" w:space="0" w:color="auto"/>
                    <w:bottom w:val="none" w:sz="0" w:space="0" w:color="auto"/>
                    <w:right w:val="none" w:sz="0" w:space="0" w:color="auto"/>
                  </w:divBdr>
                  <w:divsChild>
                    <w:div w:id="2305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22841017">
      <w:bodyDiv w:val="1"/>
      <w:marLeft w:val="0"/>
      <w:marRight w:val="0"/>
      <w:marTop w:val="0"/>
      <w:marBottom w:val="0"/>
      <w:divBdr>
        <w:top w:val="none" w:sz="0" w:space="0" w:color="auto"/>
        <w:left w:val="none" w:sz="0" w:space="0" w:color="auto"/>
        <w:bottom w:val="none" w:sz="0" w:space="0" w:color="auto"/>
        <w:right w:val="none" w:sz="0" w:space="0" w:color="auto"/>
      </w:divBdr>
    </w:div>
    <w:div w:id="928005898">
      <w:bodyDiv w:val="1"/>
      <w:marLeft w:val="0"/>
      <w:marRight w:val="0"/>
      <w:marTop w:val="0"/>
      <w:marBottom w:val="0"/>
      <w:divBdr>
        <w:top w:val="none" w:sz="0" w:space="0" w:color="auto"/>
        <w:left w:val="none" w:sz="0" w:space="0" w:color="auto"/>
        <w:bottom w:val="none" w:sz="0" w:space="0" w:color="auto"/>
        <w:right w:val="none" w:sz="0" w:space="0" w:color="auto"/>
      </w:divBdr>
    </w:div>
    <w:div w:id="931472504">
      <w:bodyDiv w:val="1"/>
      <w:marLeft w:val="0"/>
      <w:marRight w:val="0"/>
      <w:marTop w:val="0"/>
      <w:marBottom w:val="0"/>
      <w:divBdr>
        <w:top w:val="none" w:sz="0" w:space="0" w:color="auto"/>
        <w:left w:val="none" w:sz="0" w:space="0" w:color="auto"/>
        <w:bottom w:val="none" w:sz="0" w:space="0" w:color="auto"/>
        <w:right w:val="none" w:sz="0" w:space="0" w:color="auto"/>
      </w:divBdr>
    </w:div>
    <w:div w:id="932402199">
      <w:bodyDiv w:val="1"/>
      <w:marLeft w:val="0"/>
      <w:marRight w:val="0"/>
      <w:marTop w:val="0"/>
      <w:marBottom w:val="0"/>
      <w:divBdr>
        <w:top w:val="none" w:sz="0" w:space="0" w:color="auto"/>
        <w:left w:val="none" w:sz="0" w:space="0" w:color="auto"/>
        <w:bottom w:val="none" w:sz="0" w:space="0" w:color="auto"/>
        <w:right w:val="none" w:sz="0" w:space="0" w:color="auto"/>
      </w:divBdr>
      <w:divsChild>
        <w:div w:id="1631207149">
          <w:marLeft w:val="0"/>
          <w:marRight w:val="0"/>
          <w:marTop w:val="0"/>
          <w:marBottom w:val="0"/>
          <w:divBdr>
            <w:top w:val="none" w:sz="0" w:space="0" w:color="auto"/>
            <w:left w:val="none" w:sz="0" w:space="0" w:color="auto"/>
            <w:bottom w:val="none" w:sz="0" w:space="0" w:color="auto"/>
            <w:right w:val="none" w:sz="0" w:space="0" w:color="auto"/>
          </w:divBdr>
          <w:divsChild>
            <w:div w:id="2078043663">
              <w:marLeft w:val="0"/>
              <w:marRight w:val="0"/>
              <w:marTop w:val="0"/>
              <w:marBottom w:val="0"/>
              <w:divBdr>
                <w:top w:val="none" w:sz="0" w:space="0" w:color="auto"/>
                <w:left w:val="none" w:sz="0" w:space="0" w:color="auto"/>
                <w:bottom w:val="none" w:sz="0" w:space="0" w:color="auto"/>
                <w:right w:val="none" w:sz="0" w:space="0" w:color="auto"/>
              </w:divBdr>
              <w:divsChild>
                <w:div w:id="5750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18959">
      <w:bodyDiv w:val="1"/>
      <w:marLeft w:val="0"/>
      <w:marRight w:val="0"/>
      <w:marTop w:val="0"/>
      <w:marBottom w:val="0"/>
      <w:divBdr>
        <w:top w:val="none" w:sz="0" w:space="0" w:color="auto"/>
        <w:left w:val="none" w:sz="0" w:space="0" w:color="auto"/>
        <w:bottom w:val="none" w:sz="0" w:space="0" w:color="auto"/>
        <w:right w:val="none" w:sz="0" w:space="0" w:color="auto"/>
      </w:divBdr>
      <w:divsChild>
        <w:div w:id="1903363994">
          <w:marLeft w:val="0"/>
          <w:marRight w:val="0"/>
          <w:marTop w:val="0"/>
          <w:marBottom w:val="0"/>
          <w:divBdr>
            <w:top w:val="none" w:sz="0" w:space="0" w:color="auto"/>
            <w:left w:val="none" w:sz="0" w:space="0" w:color="auto"/>
            <w:bottom w:val="none" w:sz="0" w:space="0" w:color="auto"/>
            <w:right w:val="none" w:sz="0" w:space="0" w:color="auto"/>
          </w:divBdr>
          <w:divsChild>
            <w:div w:id="1873761676">
              <w:marLeft w:val="0"/>
              <w:marRight w:val="0"/>
              <w:marTop w:val="0"/>
              <w:marBottom w:val="0"/>
              <w:divBdr>
                <w:top w:val="none" w:sz="0" w:space="0" w:color="auto"/>
                <w:left w:val="none" w:sz="0" w:space="0" w:color="auto"/>
                <w:bottom w:val="none" w:sz="0" w:space="0" w:color="auto"/>
                <w:right w:val="none" w:sz="0" w:space="0" w:color="auto"/>
              </w:divBdr>
              <w:divsChild>
                <w:div w:id="16190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8443">
      <w:bodyDiv w:val="1"/>
      <w:marLeft w:val="0"/>
      <w:marRight w:val="0"/>
      <w:marTop w:val="0"/>
      <w:marBottom w:val="0"/>
      <w:divBdr>
        <w:top w:val="none" w:sz="0" w:space="0" w:color="auto"/>
        <w:left w:val="none" w:sz="0" w:space="0" w:color="auto"/>
        <w:bottom w:val="none" w:sz="0" w:space="0" w:color="auto"/>
        <w:right w:val="none" w:sz="0" w:space="0" w:color="auto"/>
      </w:divBdr>
      <w:divsChild>
        <w:div w:id="519590756">
          <w:marLeft w:val="0"/>
          <w:marRight w:val="0"/>
          <w:marTop w:val="0"/>
          <w:marBottom w:val="0"/>
          <w:divBdr>
            <w:top w:val="none" w:sz="0" w:space="0" w:color="auto"/>
            <w:left w:val="none" w:sz="0" w:space="0" w:color="auto"/>
            <w:bottom w:val="none" w:sz="0" w:space="0" w:color="auto"/>
            <w:right w:val="none" w:sz="0" w:space="0" w:color="auto"/>
          </w:divBdr>
          <w:divsChild>
            <w:div w:id="1469855068">
              <w:marLeft w:val="0"/>
              <w:marRight w:val="0"/>
              <w:marTop w:val="0"/>
              <w:marBottom w:val="0"/>
              <w:divBdr>
                <w:top w:val="none" w:sz="0" w:space="0" w:color="auto"/>
                <w:left w:val="none" w:sz="0" w:space="0" w:color="auto"/>
                <w:bottom w:val="none" w:sz="0" w:space="0" w:color="auto"/>
                <w:right w:val="none" w:sz="0" w:space="0" w:color="auto"/>
              </w:divBdr>
              <w:divsChild>
                <w:div w:id="903678939">
                  <w:marLeft w:val="0"/>
                  <w:marRight w:val="0"/>
                  <w:marTop w:val="0"/>
                  <w:marBottom w:val="0"/>
                  <w:divBdr>
                    <w:top w:val="none" w:sz="0" w:space="0" w:color="auto"/>
                    <w:left w:val="none" w:sz="0" w:space="0" w:color="auto"/>
                    <w:bottom w:val="none" w:sz="0" w:space="0" w:color="auto"/>
                    <w:right w:val="none" w:sz="0" w:space="0" w:color="auto"/>
                  </w:divBdr>
                  <w:divsChild>
                    <w:div w:id="7352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6964">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56989137">
      <w:bodyDiv w:val="1"/>
      <w:marLeft w:val="0"/>
      <w:marRight w:val="0"/>
      <w:marTop w:val="0"/>
      <w:marBottom w:val="0"/>
      <w:divBdr>
        <w:top w:val="none" w:sz="0" w:space="0" w:color="auto"/>
        <w:left w:val="none" w:sz="0" w:space="0" w:color="auto"/>
        <w:bottom w:val="none" w:sz="0" w:space="0" w:color="auto"/>
        <w:right w:val="none" w:sz="0" w:space="0" w:color="auto"/>
      </w:divBdr>
    </w:div>
    <w:div w:id="957874979">
      <w:bodyDiv w:val="1"/>
      <w:marLeft w:val="0"/>
      <w:marRight w:val="0"/>
      <w:marTop w:val="0"/>
      <w:marBottom w:val="0"/>
      <w:divBdr>
        <w:top w:val="none" w:sz="0" w:space="0" w:color="auto"/>
        <w:left w:val="none" w:sz="0" w:space="0" w:color="auto"/>
        <w:bottom w:val="none" w:sz="0" w:space="0" w:color="auto"/>
        <w:right w:val="none" w:sz="0" w:space="0" w:color="auto"/>
      </w:divBdr>
    </w:div>
    <w:div w:id="967511642">
      <w:bodyDiv w:val="1"/>
      <w:marLeft w:val="0"/>
      <w:marRight w:val="0"/>
      <w:marTop w:val="0"/>
      <w:marBottom w:val="0"/>
      <w:divBdr>
        <w:top w:val="none" w:sz="0" w:space="0" w:color="auto"/>
        <w:left w:val="none" w:sz="0" w:space="0" w:color="auto"/>
        <w:bottom w:val="none" w:sz="0" w:space="0" w:color="auto"/>
        <w:right w:val="none" w:sz="0" w:space="0" w:color="auto"/>
      </w:divBdr>
    </w:div>
    <w:div w:id="973868422">
      <w:bodyDiv w:val="1"/>
      <w:marLeft w:val="0"/>
      <w:marRight w:val="0"/>
      <w:marTop w:val="0"/>
      <w:marBottom w:val="0"/>
      <w:divBdr>
        <w:top w:val="none" w:sz="0" w:space="0" w:color="auto"/>
        <w:left w:val="none" w:sz="0" w:space="0" w:color="auto"/>
        <w:bottom w:val="none" w:sz="0" w:space="0" w:color="auto"/>
        <w:right w:val="none" w:sz="0" w:space="0" w:color="auto"/>
      </w:divBdr>
      <w:divsChild>
        <w:div w:id="304968026">
          <w:marLeft w:val="0"/>
          <w:marRight w:val="0"/>
          <w:marTop w:val="0"/>
          <w:marBottom w:val="0"/>
          <w:divBdr>
            <w:top w:val="none" w:sz="0" w:space="0" w:color="auto"/>
            <w:left w:val="none" w:sz="0" w:space="0" w:color="auto"/>
            <w:bottom w:val="none" w:sz="0" w:space="0" w:color="auto"/>
            <w:right w:val="none" w:sz="0" w:space="0" w:color="auto"/>
          </w:divBdr>
          <w:divsChild>
            <w:div w:id="1564095685">
              <w:marLeft w:val="0"/>
              <w:marRight w:val="0"/>
              <w:marTop w:val="0"/>
              <w:marBottom w:val="0"/>
              <w:divBdr>
                <w:top w:val="none" w:sz="0" w:space="0" w:color="auto"/>
                <w:left w:val="none" w:sz="0" w:space="0" w:color="auto"/>
                <w:bottom w:val="none" w:sz="0" w:space="0" w:color="auto"/>
                <w:right w:val="none" w:sz="0" w:space="0" w:color="auto"/>
              </w:divBdr>
              <w:divsChild>
                <w:div w:id="36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2335">
      <w:bodyDiv w:val="1"/>
      <w:marLeft w:val="0"/>
      <w:marRight w:val="0"/>
      <w:marTop w:val="0"/>
      <w:marBottom w:val="0"/>
      <w:divBdr>
        <w:top w:val="none" w:sz="0" w:space="0" w:color="auto"/>
        <w:left w:val="none" w:sz="0" w:space="0" w:color="auto"/>
        <w:bottom w:val="none" w:sz="0" w:space="0" w:color="auto"/>
        <w:right w:val="none" w:sz="0" w:space="0" w:color="auto"/>
      </w:divBdr>
      <w:divsChild>
        <w:div w:id="1625648317">
          <w:marLeft w:val="0"/>
          <w:marRight w:val="0"/>
          <w:marTop w:val="0"/>
          <w:marBottom w:val="0"/>
          <w:divBdr>
            <w:top w:val="none" w:sz="0" w:space="0" w:color="auto"/>
            <w:left w:val="none" w:sz="0" w:space="0" w:color="auto"/>
            <w:bottom w:val="none" w:sz="0" w:space="0" w:color="auto"/>
            <w:right w:val="none" w:sz="0" w:space="0" w:color="auto"/>
          </w:divBdr>
          <w:divsChild>
            <w:div w:id="1841315894">
              <w:marLeft w:val="0"/>
              <w:marRight w:val="0"/>
              <w:marTop w:val="0"/>
              <w:marBottom w:val="0"/>
              <w:divBdr>
                <w:top w:val="none" w:sz="0" w:space="0" w:color="auto"/>
                <w:left w:val="none" w:sz="0" w:space="0" w:color="auto"/>
                <w:bottom w:val="none" w:sz="0" w:space="0" w:color="auto"/>
                <w:right w:val="none" w:sz="0" w:space="0" w:color="auto"/>
              </w:divBdr>
              <w:divsChild>
                <w:div w:id="9571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78388908">
      <w:bodyDiv w:val="1"/>
      <w:marLeft w:val="0"/>
      <w:marRight w:val="0"/>
      <w:marTop w:val="0"/>
      <w:marBottom w:val="0"/>
      <w:divBdr>
        <w:top w:val="none" w:sz="0" w:space="0" w:color="auto"/>
        <w:left w:val="none" w:sz="0" w:space="0" w:color="auto"/>
        <w:bottom w:val="none" w:sz="0" w:space="0" w:color="auto"/>
        <w:right w:val="none" w:sz="0" w:space="0" w:color="auto"/>
      </w:divBdr>
    </w:div>
    <w:div w:id="982395688">
      <w:bodyDiv w:val="1"/>
      <w:marLeft w:val="0"/>
      <w:marRight w:val="0"/>
      <w:marTop w:val="0"/>
      <w:marBottom w:val="0"/>
      <w:divBdr>
        <w:top w:val="none" w:sz="0" w:space="0" w:color="auto"/>
        <w:left w:val="none" w:sz="0" w:space="0" w:color="auto"/>
        <w:bottom w:val="none" w:sz="0" w:space="0" w:color="auto"/>
        <w:right w:val="none" w:sz="0" w:space="0" w:color="auto"/>
      </w:divBdr>
      <w:divsChild>
        <w:div w:id="701563769">
          <w:marLeft w:val="0"/>
          <w:marRight w:val="0"/>
          <w:marTop w:val="0"/>
          <w:marBottom w:val="0"/>
          <w:divBdr>
            <w:top w:val="none" w:sz="0" w:space="0" w:color="auto"/>
            <w:left w:val="none" w:sz="0" w:space="0" w:color="auto"/>
            <w:bottom w:val="none" w:sz="0" w:space="0" w:color="auto"/>
            <w:right w:val="none" w:sz="0" w:space="0" w:color="auto"/>
          </w:divBdr>
          <w:divsChild>
            <w:div w:id="776364460">
              <w:marLeft w:val="0"/>
              <w:marRight w:val="0"/>
              <w:marTop w:val="0"/>
              <w:marBottom w:val="0"/>
              <w:divBdr>
                <w:top w:val="none" w:sz="0" w:space="0" w:color="auto"/>
                <w:left w:val="none" w:sz="0" w:space="0" w:color="auto"/>
                <w:bottom w:val="none" w:sz="0" w:space="0" w:color="auto"/>
                <w:right w:val="none" w:sz="0" w:space="0" w:color="auto"/>
              </w:divBdr>
              <w:divsChild>
                <w:div w:id="9070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3251">
      <w:bodyDiv w:val="1"/>
      <w:marLeft w:val="0"/>
      <w:marRight w:val="0"/>
      <w:marTop w:val="0"/>
      <w:marBottom w:val="0"/>
      <w:divBdr>
        <w:top w:val="none" w:sz="0" w:space="0" w:color="auto"/>
        <w:left w:val="none" w:sz="0" w:space="0" w:color="auto"/>
        <w:bottom w:val="none" w:sz="0" w:space="0" w:color="auto"/>
        <w:right w:val="none" w:sz="0" w:space="0" w:color="auto"/>
      </w:divBdr>
      <w:divsChild>
        <w:div w:id="837237218">
          <w:marLeft w:val="0"/>
          <w:marRight w:val="0"/>
          <w:marTop w:val="0"/>
          <w:marBottom w:val="0"/>
          <w:divBdr>
            <w:top w:val="none" w:sz="0" w:space="0" w:color="auto"/>
            <w:left w:val="none" w:sz="0" w:space="0" w:color="auto"/>
            <w:bottom w:val="none" w:sz="0" w:space="0" w:color="auto"/>
            <w:right w:val="none" w:sz="0" w:space="0" w:color="auto"/>
          </w:divBdr>
          <w:divsChild>
            <w:div w:id="1052383136">
              <w:marLeft w:val="0"/>
              <w:marRight w:val="0"/>
              <w:marTop w:val="0"/>
              <w:marBottom w:val="0"/>
              <w:divBdr>
                <w:top w:val="none" w:sz="0" w:space="0" w:color="auto"/>
                <w:left w:val="none" w:sz="0" w:space="0" w:color="auto"/>
                <w:bottom w:val="none" w:sz="0" w:space="0" w:color="auto"/>
                <w:right w:val="none" w:sz="0" w:space="0" w:color="auto"/>
              </w:divBdr>
              <w:divsChild>
                <w:div w:id="1377699508">
                  <w:marLeft w:val="0"/>
                  <w:marRight w:val="0"/>
                  <w:marTop w:val="0"/>
                  <w:marBottom w:val="0"/>
                  <w:divBdr>
                    <w:top w:val="none" w:sz="0" w:space="0" w:color="auto"/>
                    <w:left w:val="none" w:sz="0" w:space="0" w:color="auto"/>
                    <w:bottom w:val="none" w:sz="0" w:space="0" w:color="auto"/>
                    <w:right w:val="none" w:sz="0" w:space="0" w:color="auto"/>
                  </w:divBdr>
                </w:div>
              </w:divsChild>
            </w:div>
            <w:div w:id="839778735">
              <w:marLeft w:val="0"/>
              <w:marRight w:val="0"/>
              <w:marTop w:val="0"/>
              <w:marBottom w:val="0"/>
              <w:divBdr>
                <w:top w:val="none" w:sz="0" w:space="0" w:color="auto"/>
                <w:left w:val="none" w:sz="0" w:space="0" w:color="auto"/>
                <w:bottom w:val="none" w:sz="0" w:space="0" w:color="auto"/>
                <w:right w:val="none" w:sz="0" w:space="0" w:color="auto"/>
              </w:divBdr>
              <w:divsChild>
                <w:div w:id="1640265107">
                  <w:marLeft w:val="0"/>
                  <w:marRight w:val="0"/>
                  <w:marTop w:val="0"/>
                  <w:marBottom w:val="0"/>
                  <w:divBdr>
                    <w:top w:val="none" w:sz="0" w:space="0" w:color="auto"/>
                    <w:left w:val="none" w:sz="0" w:space="0" w:color="auto"/>
                    <w:bottom w:val="none" w:sz="0" w:space="0" w:color="auto"/>
                    <w:right w:val="none" w:sz="0" w:space="0" w:color="auto"/>
                  </w:divBdr>
                </w:div>
              </w:divsChild>
            </w:div>
            <w:div w:id="616791927">
              <w:marLeft w:val="0"/>
              <w:marRight w:val="0"/>
              <w:marTop w:val="0"/>
              <w:marBottom w:val="0"/>
              <w:divBdr>
                <w:top w:val="none" w:sz="0" w:space="0" w:color="auto"/>
                <w:left w:val="none" w:sz="0" w:space="0" w:color="auto"/>
                <w:bottom w:val="none" w:sz="0" w:space="0" w:color="auto"/>
                <w:right w:val="none" w:sz="0" w:space="0" w:color="auto"/>
              </w:divBdr>
              <w:divsChild>
                <w:div w:id="426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7700">
      <w:bodyDiv w:val="1"/>
      <w:marLeft w:val="0"/>
      <w:marRight w:val="0"/>
      <w:marTop w:val="0"/>
      <w:marBottom w:val="0"/>
      <w:divBdr>
        <w:top w:val="none" w:sz="0" w:space="0" w:color="auto"/>
        <w:left w:val="none" w:sz="0" w:space="0" w:color="auto"/>
        <w:bottom w:val="none" w:sz="0" w:space="0" w:color="auto"/>
        <w:right w:val="none" w:sz="0" w:space="0" w:color="auto"/>
      </w:divBdr>
    </w:div>
    <w:div w:id="991756848">
      <w:bodyDiv w:val="1"/>
      <w:marLeft w:val="0"/>
      <w:marRight w:val="0"/>
      <w:marTop w:val="0"/>
      <w:marBottom w:val="0"/>
      <w:divBdr>
        <w:top w:val="none" w:sz="0" w:space="0" w:color="auto"/>
        <w:left w:val="none" w:sz="0" w:space="0" w:color="auto"/>
        <w:bottom w:val="none" w:sz="0" w:space="0" w:color="auto"/>
        <w:right w:val="none" w:sz="0" w:space="0" w:color="auto"/>
      </w:divBdr>
    </w:div>
    <w:div w:id="993487320">
      <w:bodyDiv w:val="1"/>
      <w:marLeft w:val="0"/>
      <w:marRight w:val="0"/>
      <w:marTop w:val="0"/>
      <w:marBottom w:val="0"/>
      <w:divBdr>
        <w:top w:val="none" w:sz="0" w:space="0" w:color="auto"/>
        <w:left w:val="none" w:sz="0" w:space="0" w:color="auto"/>
        <w:bottom w:val="none" w:sz="0" w:space="0" w:color="auto"/>
        <w:right w:val="none" w:sz="0" w:space="0" w:color="auto"/>
      </w:divBdr>
      <w:divsChild>
        <w:div w:id="666176564">
          <w:marLeft w:val="0"/>
          <w:marRight w:val="0"/>
          <w:marTop w:val="0"/>
          <w:marBottom w:val="0"/>
          <w:divBdr>
            <w:top w:val="none" w:sz="0" w:space="0" w:color="auto"/>
            <w:left w:val="none" w:sz="0" w:space="0" w:color="auto"/>
            <w:bottom w:val="none" w:sz="0" w:space="0" w:color="auto"/>
            <w:right w:val="none" w:sz="0" w:space="0" w:color="auto"/>
          </w:divBdr>
          <w:divsChild>
            <w:div w:id="1378966739">
              <w:marLeft w:val="0"/>
              <w:marRight w:val="0"/>
              <w:marTop w:val="0"/>
              <w:marBottom w:val="0"/>
              <w:divBdr>
                <w:top w:val="none" w:sz="0" w:space="0" w:color="auto"/>
                <w:left w:val="none" w:sz="0" w:space="0" w:color="auto"/>
                <w:bottom w:val="none" w:sz="0" w:space="0" w:color="auto"/>
                <w:right w:val="none" w:sz="0" w:space="0" w:color="auto"/>
              </w:divBdr>
              <w:divsChild>
                <w:div w:id="13897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55747">
      <w:bodyDiv w:val="1"/>
      <w:marLeft w:val="0"/>
      <w:marRight w:val="0"/>
      <w:marTop w:val="0"/>
      <w:marBottom w:val="0"/>
      <w:divBdr>
        <w:top w:val="none" w:sz="0" w:space="0" w:color="auto"/>
        <w:left w:val="none" w:sz="0" w:space="0" w:color="auto"/>
        <w:bottom w:val="none" w:sz="0" w:space="0" w:color="auto"/>
        <w:right w:val="none" w:sz="0" w:space="0" w:color="auto"/>
      </w:divBdr>
      <w:divsChild>
        <w:div w:id="700278219">
          <w:marLeft w:val="0"/>
          <w:marRight w:val="0"/>
          <w:marTop w:val="0"/>
          <w:marBottom w:val="0"/>
          <w:divBdr>
            <w:top w:val="none" w:sz="0" w:space="0" w:color="auto"/>
            <w:left w:val="none" w:sz="0" w:space="0" w:color="auto"/>
            <w:bottom w:val="none" w:sz="0" w:space="0" w:color="auto"/>
            <w:right w:val="none" w:sz="0" w:space="0" w:color="auto"/>
          </w:divBdr>
          <w:divsChild>
            <w:div w:id="111562148">
              <w:marLeft w:val="0"/>
              <w:marRight w:val="0"/>
              <w:marTop w:val="0"/>
              <w:marBottom w:val="0"/>
              <w:divBdr>
                <w:top w:val="none" w:sz="0" w:space="0" w:color="auto"/>
                <w:left w:val="none" w:sz="0" w:space="0" w:color="auto"/>
                <w:bottom w:val="none" w:sz="0" w:space="0" w:color="auto"/>
                <w:right w:val="none" w:sz="0" w:space="0" w:color="auto"/>
              </w:divBdr>
              <w:divsChild>
                <w:div w:id="1046445355">
                  <w:marLeft w:val="0"/>
                  <w:marRight w:val="0"/>
                  <w:marTop w:val="0"/>
                  <w:marBottom w:val="0"/>
                  <w:divBdr>
                    <w:top w:val="none" w:sz="0" w:space="0" w:color="auto"/>
                    <w:left w:val="none" w:sz="0" w:space="0" w:color="auto"/>
                    <w:bottom w:val="none" w:sz="0" w:space="0" w:color="auto"/>
                    <w:right w:val="none" w:sz="0" w:space="0" w:color="auto"/>
                  </w:divBdr>
                  <w:divsChild>
                    <w:div w:id="1468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555">
      <w:bodyDiv w:val="1"/>
      <w:marLeft w:val="0"/>
      <w:marRight w:val="0"/>
      <w:marTop w:val="0"/>
      <w:marBottom w:val="0"/>
      <w:divBdr>
        <w:top w:val="none" w:sz="0" w:space="0" w:color="auto"/>
        <w:left w:val="none" w:sz="0" w:space="0" w:color="auto"/>
        <w:bottom w:val="none" w:sz="0" w:space="0" w:color="auto"/>
        <w:right w:val="none" w:sz="0" w:space="0" w:color="auto"/>
      </w:divBdr>
      <w:divsChild>
        <w:div w:id="1246183210">
          <w:marLeft w:val="0"/>
          <w:marRight w:val="0"/>
          <w:marTop w:val="0"/>
          <w:marBottom w:val="0"/>
          <w:divBdr>
            <w:top w:val="none" w:sz="0" w:space="0" w:color="auto"/>
            <w:left w:val="none" w:sz="0" w:space="0" w:color="auto"/>
            <w:bottom w:val="none" w:sz="0" w:space="0" w:color="auto"/>
            <w:right w:val="none" w:sz="0" w:space="0" w:color="auto"/>
          </w:divBdr>
          <w:divsChild>
            <w:div w:id="1577351418">
              <w:marLeft w:val="0"/>
              <w:marRight w:val="0"/>
              <w:marTop w:val="0"/>
              <w:marBottom w:val="0"/>
              <w:divBdr>
                <w:top w:val="none" w:sz="0" w:space="0" w:color="auto"/>
                <w:left w:val="none" w:sz="0" w:space="0" w:color="auto"/>
                <w:bottom w:val="none" w:sz="0" w:space="0" w:color="auto"/>
                <w:right w:val="none" w:sz="0" w:space="0" w:color="auto"/>
              </w:divBdr>
              <w:divsChild>
                <w:div w:id="1707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6559">
      <w:bodyDiv w:val="1"/>
      <w:marLeft w:val="0"/>
      <w:marRight w:val="0"/>
      <w:marTop w:val="0"/>
      <w:marBottom w:val="0"/>
      <w:divBdr>
        <w:top w:val="none" w:sz="0" w:space="0" w:color="auto"/>
        <w:left w:val="none" w:sz="0" w:space="0" w:color="auto"/>
        <w:bottom w:val="none" w:sz="0" w:space="0" w:color="auto"/>
        <w:right w:val="none" w:sz="0" w:space="0" w:color="auto"/>
      </w:divBdr>
    </w:div>
    <w:div w:id="1001853389">
      <w:bodyDiv w:val="1"/>
      <w:marLeft w:val="0"/>
      <w:marRight w:val="0"/>
      <w:marTop w:val="0"/>
      <w:marBottom w:val="0"/>
      <w:divBdr>
        <w:top w:val="none" w:sz="0" w:space="0" w:color="auto"/>
        <w:left w:val="none" w:sz="0" w:space="0" w:color="auto"/>
        <w:bottom w:val="none" w:sz="0" w:space="0" w:color="auto"/>
        <w:right w:val="none" w:sz="0" w:space="0" w:color="auto"/>
      </w:divBdr>
    </w:div>
    <w:div w:id="1005786672">
      <w:bodyDiv w:val="1"/>
      <w:marLeft w:val="0"/>
      <w:marRight w:val="0"/>
      <w:marTop w:val="0"/>
      <w:marBottom w:val="0"/>
      <w:divBdr>
        <w:top w:val="none" w:sz="0" w:space="0" w:color="auto"/>
        <w:left w:val="none" w:sz="0" w:space="0" w:color="auto"/>
        <w:bottom w:val="none" w:sz="0" w:space="0" w:color="auto"/>
        <w:right w:val="none" w:sz="0" w:space="0" w:color="auto"/>
      </w:divBdr>
      <w:divsChild>
        <w:div w:id="80294887">
          <w:marLeft w:val="0"/>
          <w:marRight w:val="0"/>
          <w:marTop w:val="0"/>
          <w:marBottom w:val="0"/>
          <w:divBdr>
            <w:top w:val="none" w:sz="0" w:space="0" w:color="auto"/>
            <w:left w:val="none" w:sz="0" w:space="0" w:color="auto"/>
            <w:bottom w:val="none" w:sz="0" w:space="0" w:color="auto"/>
            <w:right w:val="none" w:sz="0" w:space="0" w:color="auto"/>
          </w:divBdr>
          <w:divsChild>
            <w:div w:id="1159688267">
              <w:marLeft w:val="0"/>
              <w:marRight w:val="0"/>
              <w:marTop w:val="0"/>
              <w:marBottom w:val="0"/>
              <w:divBdr>
                <w:top w:val="none" w:sz="0" w:space="0" w:color="auto"/>
                <w:left w:val="none" w:sz="0" w:space="0" w:color="auto"/>
                <w:bottom w:val="none" w:sz="0" w:space="0" w:color="auto"/>
                <w:right w:val="none" w:sz="0" w:space="0" w:color="auto"/>
              </w:divBdr>
              <w:divsChild>
                <w:div w:id="11484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4935">
      <w:bodyDiv w:val="1"/>
      <w:marLeft w:val="0"/>
      <w:marRight w:val="0"/>
      <w:marTop w:val="0"/>
      <w:marBottom w:val="0"/>
      <w:divBdr>
        <w:top w:val="none" w:sz="0" w:space="0" w:color="auto"/>
        <w:left w:val="none" w:sz="0" w:space="0" w:color="auto"/>
        <w:bottom w:val="none" w:sz="0" w:space="0" w:color="auto"/>
        <w:right w:val="none" w:sz="0" w:space="0" w:color="auto"/>
      </w:divBdr>
    </w:div>
    <w:div w:id="1011571280">
      <w:bodyDiv w:val="1"/>
      <w:marLeft w:val="0"/>
      <w:marRight w:val="0"/>
      <w:marTop w:val="0"/>
      <w:marBottom w:val="0"/>
      <w:divBdr>
        <w:top w:val="none" w:sz="0" w:space="0" w:color="auto"/>
        <w:left w:val="none" w:sz="0" w:space="0" w:color="auto"/>
        <w:bottom w:val="none" w:sz="0" w:space="0" w:color="auto"/>
        <w:right w:val="none" w:sz="0" w:space="0" w:color="auto"/>
      </w:divBdr>
      <w:divsChild>
        <w:div w:id="1514416953">
          <w:marLeft w:val="0"/>
          <w:marRight w:val="0"/>
          <w:marTop w:val="0"/>
          <w:marBottom w:val="0"/>
          <w:divBdr>
            <w:top w:val="none" w:sz="0" w:space="0" w:color="auto"/>
            <w:left w:val="none" w:sz="0" w:space="0" w:color="auto"/>
            <w:bottom w:val="none" w:sz="0" w:space="0" w:color="auto"/>
            <w:right w:val="none" w:sz="0" w:space="0" w:color="auto"/>
          </w:divBdr>
        </w:div>
      </w:divsChild>
    </w:div>
    <w:div w:id="1016618515">
      <w:bodyDiv w:val="1"/>
      <w:marLeft w:val="0"/>
      <w:marRight w:val="0"/>
      <w:marTop w:val="0"/>
      <w:marBottom w:val="0"/>
      <w:divBdr>
        <w:top w:val="none" w:sz="0" w:space="0" w:color="auto"/>
        <w:left w:val="none" w:sz="0" w:space="0" w:color="auto"/>
        <w:bottom w:val="none" w:sz="0" w:space="0" w:color="auto"/>
        <w:right w:val="none" w:sz="0" w:space="0" w:color="auto"/>
      </w:divBdr>
      <w:divsChild>
        <w:div w:id="1984505473">
          <w:marLeft w:val="0"/>
          <w:marRight w:val="0"/>
          <w:marTop w:val="0"/>
          <w:marBottom w:val="0"/>
          <w:divBdr>
            <w:top w:val="none" w:sz="0" w:space="0" w:color="auto"/>
            <w:left w:val="none" w:sz="0" w:space="0" w:color="auto"/>
            <w:bottom w:val="none" w:sz="0" w:space="0" w:color="auto"/>
            <w:right w:val="none" w:sz="0" w:space="0" w:color="auto"/>
          </w:divBdr>
          <w:divsChild>
            <w:div w:id="1268733741">
              <w:marLeft w:val="0"/>
              <w:marRight w:val="0"/>
              <w:marTop w:val="0"/>
              <w:marBottom w:val="0"/>
              <w:divBdr>
                <w:top w:val="none" w:sz="0" w:space="0" w:color="auto"/>
                <w:left w:val="none" w:sz="0" w:space="0" w:color="auto"/>
                <w:bottom w:val="none" w:sz="0" w:space="0" w:color="auto"/>
                <w:right w:val="none" w:sz="0" w:space="0" w:color="auto"/>
              </w:divBdr>
              <w:divsChild>
                <w:div w:id="12522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6721">
      <w:bodyDiv w:val="1"/>
      <w:marLeft w:val="0"/>
      <w:marRight w:val="0"/>
      <w:marTop w:val="0"/>
      <w:marBottom w:val="0"/>
      <w:divBdr>
        <w:top w:val="none" w:sz="0" w:space="0" w:color="auto"/>
        <w:left w:val="none" w:sz="0" w:space="0" w:color="auto"/>
        <w:bottom w:val="none" w:sz="0" w:space="0" w:color="auto"/>
        <w:right w:val="none" w:sz="0" w:space="0" w:color="auto"/>
      </w:divBdr>
      <w:divsChild>
        <w:div w:id="1304503810">
          <w:marLeft w:val="0"/>
          <w:marRight w:val="0"/>
          <w:marTop w:val="0"/>
          <w:marBottom w:val="0"/>
          <w:divBdr>
            <w:top w:val="none" w:sz="0" w:space="0" w:color="auto"/>
            <w:left w:val="none" w:sz="0" w:space="0" w:color="auto"/>
            <w:bottom w:val="none" w:sz="0" w:space="0" w:color="auto"/>
            <w:right w:val="none" w:sz="0" w:space="0" w:color="auto"/>
          </w:divBdr>
          <w:divsChild>
            <w:div w:id="836651779">
              <w:marLeft w:val="0"/>
              <w:marRight w:val="0"/>
              <w:marTop w:val="0"/>
              <w:marBottom w:val="0"/>
              <w:divBdr>
                <w:top w:val="none" w:sz="0" w:space="0" w:color="auto"/>
                <w:left w:val="none" w:sz="0" w:space="0" w:color="auto"/>
                <w:bottom w:val="none" w:sz="0" w:space="0" w:color="auto"/>
                <w:right w:val="none" w:sz="0" w:space="0" w:color="auto"/>
              </w:divBdr>
              <w:divsChild>
                <w:div w:id="17542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23703964">
      <w:bodyDiv w:val="1"/>
      <w:marLeft w:val="0"/>
      <w:marRight w:val="0"/>
      <w:marTop w:val="0"/>
      <w:marBottom w:val="0"/>
      <w:divBdr>
        <w:top w:val="none" w:sz="0" w:space="0" w:color="auto"/>
        <w:left w:val="none" w:sz="0" w:space="0" w:color="auto"/>
        <w:bottom w:val="none" w:sz="0" w:space="0" w:color="auto"/>
        <w:right w:val="none" w:sz="0" w:space="0" w:color="auto"/>
      </w:divBdr>
    </w:div>
    <w:div w:id="1026099392">
      <w:bodyDiv w:val="1"/>
      <w:marLeft w:val="0"/>
      <w:marRight w:val="0"/>
      <w:marTop w:val="0"/>
      <w:marBottom w:val="0"/>
      <w:divBdr>
        <w:top w:val="none" w:sz="0" w:space="0" w:color="auto"/>
        <w:left w:val="none" w:sz="0" w:space="0" w:color="auto"/>
        <w:bottom w:val="none" w:sz="0" w:space="0" w:color="auto"/>
        <w:right w:val="none" w:sz="0" w:space="0" w:color="auto"/>
      </w:divBdr>
    </w:div>
    <w:div w:id="1032733004">
      <w:bodyDiv w:val="1"/>
      <w:marLeft w:val="0"/>
      <w:marRight w:val="0"/>
      <w:marTop w:val="0"/>
      <w:marBottom w:val="0"/>
      <w:divBdr>
        <w:top w:val="none" w:sz="0" w:space="0" w:color="auto"/>
        <w:left w:val="none" w:sz="0" w:space="0" w:color="auto"/>
        <w:bottom w:val="none" w:sz="0" w:space="0" w:color="auto"/>
        <w:right w:val="none" w:sz="0" w:space="0" w:color="auto"/>
      </w:divBdr>
      <w:divsChild>
        <w:div w:id="2125464217">
          <w:marLeft w:val="0"/>
          <w:marRight w:val="0"/>
          <w:marTop w:val="0"/>
          <w:marBottom w:val="0"/>
          <w:divBdr>
            <w:top w:val="none" w:sz="0" w:space="0" w:color="auto"/>
            <w:left w:val="none" w:sz="0" w:space="0" w:color="auto"/>
            <w:bottom w:val="none" w:sz="0" w:space="0" w:color="auto"/>
            <w:right w:val="none" w:sz="0" w:space="0" w:color="auto"/>
          </w:divBdr>
          <w:divsChild>
            <w:div w:id="1647395664">
              <w:marLeft w:val="0"/>
              <w:marRight w:val="0"/>
              <w:marTop w:val="0"/>
              <w:marBottom w:val="0"/>
              <w:divBdr>
                <w:top w:val="none" w:sz="0" w:space="0" w:color="auto"/>
                <w:left w:val="none" w:sz="0" w:space="0" w:color="auto"/>
                <w:bottom w:val="none" w:sz="0" w:space="0" w:color="auto"/>
                <w:right w:val="none" w:sz="0" w:space="0" w:color="auto"/>
              </w:divBdr>
              <w:divsChild>
                <w:div w:id="8696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2785">
      <w:bodyDiv w:val="1"/>
      <w:marLeft w:val="0"/>
      <w:marRight w:val="0"/>
      <w:marTop w:val="0"/>
      <w:marBottom w:val="0"/>
      <w:divBdr>
        <w:top w:val="none" w:sz="0" w:space="0" w:color="auto"/>
        <w:left w:val="none" w:sz="0" w:space="0" w:color="auto"/>
        <w:bottom w:val="none" w:sz="0" w:space="0" w:color="auto"/>
        <w:right w:val="none" w:sz="0" w:space="0" w:color="auto"/>
      </w:divBdr>
    </w:div>
    <w:div w:id="1047608725">
      <w:bodyDiv w:val="1"/>
      <w:marLeft w:val="0"/>
      <w:marRight w:val="0"/>
      <w:marTop w:val="0"/>
      <w:marBottom w:val="0"/>
      <w:divBdr>
        <w:top w:val="none" w:sz="0" w:space="0" w:color="auto"/>
        <w:left w:val="none" w:sz="0" w:space="0" w:color="auto"/>
        <w:bottom w:val="none" w:sz="0" w:space="0" w:color="auto"/>
        <w:right w:val="none" w:sz="0" w:space="0" w:color="auto"/>
      </w:divBdr>
      <w:divsChild>
        <w:div w:id="843057124">
          <w:marLeft w:val="0"/>
          <w:marRight w:val="0"/>
          <w:marTop w:val="0"/>
          <w:marBottom w:val="0"/>
          <w:divBdr>
            <w:top w:val="none" w:sz="0" w:space="0" w:color="auto"/>
            <w:left w:val="none" w:sz="0" w:space="0" w:color="auto"/>
            <w:bottom w:val="none" w:sz="0" w:space="0" w:color="auto"/>
            <w:right w:val="none" w:sz="0" w:space="0" w:color="auto"/>
          </w:divBdr>
          <w:divsChild>
            <w:div w:id="2035299700">
              <w:marLeft w:val="0"/>
              <w:marRight w:val="0"/>
              <w:marTop w:val="0"/>
              <w:marBottom w:val="0"/>
              <w:divBdr>
                <w:top w:val="none" w:sz="0" w:space="0" w:color="auto"/>
                <w:left w:val="none" w:sz="0" w:space="0" w:color="auto"/>
                <w:bottom w:val="none" w:sz="0" w:space="0" w:color="auto"/>
                <w:right w:val="none" w:sz="0" w:space="0" w:color="auto"/>
              </w:divBdr>
              <w:divsChild>
                <w:div w:id="8235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2915">
      <w:bodyDiv w:val="1"/>
      <w:marLeft w:val="0"/>
      <w:marRight w:val="0"/>
      <w:marTop w:val="0"/>
      <w:marBottom w:val="0"/>
      <w:divBdr>
        <w:top w:val="none" w:sz="0" w:space="0" w:color="auto"/>
        <w:left w:val="none" w:sz="0" w:space="0" w:color="auto"/>
        <w:bottom w:val="none" w:sz="0" w:space="0" w:color="auto"/>
        <w:right w:val="none" w:sz="0" w:space="0" w:color="auto"/>
      </w:divBdr>
    </w:div>
    <w:div w:id="1063135082">
      <w:bodyDiv w:val="1"/>
      <w:marLeft w:val="0"/>
      <w:marRight w:val="0"/>
      <w:marTop w:val="0"/>
      <w:marBottom w:val="0"/>
      <w:divBdr>
        <w:top w:val="none" w:sz="0" w:space="0" w:color="auto"/>
        <w:left w:val="none" w:sz="0" w:space="0" w:color="auto"/>
        <w:bottom w:val="none" w:sz="0" w:space="0" w:color="auto"/>
        <w:right w:val="none" w:sz="0" w:space="0" w:color="auto"/>
      </w:divBdr>
      <w:divsChild>
        <w:div w:id="1692225957">
          <w:marLeft w:val="0"/>
          <w:marRight w:val="0"/>
          <w:marTop w:val="0"/>
          <w:marBottom w:val="0"/>
          <w:divBdr>
            <w:top w:val="none" w:sz="0" w:space="0" w:color="auto"/>
            <w:left w:val="none" w:sz="0" w:space="0" w:color="auto"/>
            <w:bottom w:val="none" w:sz="0" w:space="0" w:color="auto"/>
            <w:right w:val="none" w:sz="0" w:space="0" w:color="auto"/>
          </w:divBdr>
          <w:divsChild>
            <w:div w:id="1599606717">
              <w:marLeft w:val="0"/>
              <w:marRight w:val="0"/>
              <w:marTop w:val="0"/>
              <w:marBottom w:val="0"/>
              <w:divBdr>
                <w:top w:val="none" w:sz="0" w:space="0" w:color="auto"/>
                <w:left w:val="none" w:sz="0" w:space="0" w:color="auto"/>
                <w:bottom w:val="none" w:sz="0" w:space="0" w:color="auto"/>
                <w:right w:val="none" w:sz="0" w:space="0" w:color="auto"/>
              </w:divBdr>
              <w:divsChild>
                <w:div w:id="3157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4952">
      <w:bodyDiv w:val="1"/>
      <w:marLeft w:val="0"/>
      <w:marRight w:val="0"/>
      <w:marTop w:val="0"/>
      <w:marBottom w:val="0"/>
      <w:divBdr>
        <w:top w:val="none" w:sz="0" w:space="0" w:color="auto"/>
        <w:left w:val="none" w:sz="0" w:space="0" w:color="auto"/>
        <w:bottom w:val="none" w:sz="0" w:space="0" w:color="auto"/>
        <w:right w:val="none" w:sz="0" w:space="0" w:color="auto"/>
      </w:divBdr>
    </w:div>
    <w:div w:id="1071003991">
      <w:bodyDiv w:val="1"/>
      <w:marLeft w:val="0"/>
      <w:marRight w:val="0"/>
      <w:marTop w:val="0"/>
      <w:marBottom w:val="0"/>
      <w:divBdr>
        <w:top w:val="none" w:sz="0" w:space="0" w:color="auto"/>
        <w:left w:val="none" w:sz="0" w:space="0" w:color="auto"/>
        <w:bottom w:val="none" w:sz="0" w:space="0" w:color="auto"/>
        <w:right w:val="none" w:sz="0" w:space="0" w:color="auto"/>
      </w:divBdr>
      <w:divsChild>
        <w:div w:id="202451215">
          <w:marLeft w:val="0"/>
          <w:marRight w:val="0"/>
          <w:marTop w:val="0"/>
          <w:marBottom w:val="0"/>
          <w:divBdr>
            <w:top w:val="none" w:sz="0" w:space="0" w:color="auto"/>
            <w:left w:val="none" w:sz="0" w:space="0" w:color="auto"/>
            <w:bottom w:val="none" w:sz="0" w:space="0" w:color="auto"/>
            <w:right w:val="none" w:sz="0" w:space="0" w:color="auto"/>
          </w:divBdr>
          <w:divsChild>
            <w:div w:id="163594778">
              <w:marLeft w:val="0"/>
              <w:marRight w:val="0"/>
              <w:marTop w:val="0"/>
              <w:marBottom w:val="0"/>
              <w:divBdr>
                <w:top w:val="none" w:sz="0" w:space="0" w:color="auto"/>
                <w:left w:val="none" w:sz="0" w:space="0" w:color="auto"/>
                <w:bottom w:val="none" w:sz="0" w:space="0" w:color="auto"/>
                <w:right w:val="none" w:sz="0" w:space="0" w:color="auto"/>
              </w:divBdr>
              <w:divsChild>
                <w:div w:id="3514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6876">
      <w:bodyDiv w:val="1"/>
      <w:marLeft w:val="0"/>
      <w:marRight w:val="0"/>
      <w:marTop w:val="0"/>
      <w:marBottom w:val="0"/>
      <w:divBdr>
        <w:top w:val="none" w:sz="0" w:space="0" w:color="auto"/>
        <w:left w:val="none" w:sz="0" w:space="0" w:color="auto"/>
        <w:bottom w:val="none" w:sz="0" w:space="0" w:color="auto"/>
        <w:right w:val="none" w:sz="0" w:space="0" w:color="auto"/>
      </w:divBdr>
      <w:divsChild>
        <w:div w:id="841359394">
          <w:marLeft w:val="0"/>
          <w:marRight w:val="0"/>
          <w:marTop w:val="0"/>
          <w:marBottom w:val="0"/>
          <w:divBdr>
            <w:top w:val="none" w:sz="0" w:space="0" w:color="auto"/>
            <w:left w:val="none" w:sz="0" w:space="0" w:color="auto"/>
            <w:bottom w:val="none" w:sz="0" w:space="0" w:color="auto"/>
            <w:right w:val="none" w:sz="0" w:space="0" w:color="auto"/>
          </w:divBdr>
          <w:divsChild>
            <w:div w:id="348799505">
              <w:marLeft w:val="0"/>
              <w:marRight w:val="0"/>
              <w:marTop w:val="0"/>
              <w:marBottom w:val="0"/>
              <w:divBdr>
                <w:top w:val="none" w:sz="0" w:space="0" w:color="auto"/>
                <w:left w:val="none" w:sz="0" w:space="0" w:color="auto"/>
                <w:bottom w:val="none" w:sz="0" w:space="0" w:color="auto"/>
                <w:right w:val="none" w:sz="0" w:space="0" w:color="auto"/>
              </w:divBdr>
              <w:divsChild>
                <w:div w:id="10717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20219">
      <w:bodyDiv w:val="1"/>
      <w:marLeft w:val="0"/>
      <w:marRight w:val="0"/>
      <w:marTop w:val="0"/>
      <w:marBottom w:val="0"/>
      <w:divBdr>
        <w:top w:val="none" w:sz="0" w:space="0" w:color="auto"/>
        <w:left w:val="none" w:sz="0" w:space="0" w:color="auto"/>
        <w:bottom w:val="none" w:sz="0" w:space="0" w:color="auto"/>
        <w:right w:val="none" w:sz="0" w:space="0" w:color="auto"/>
      </w:divBdr>
      <w:divsChild>
        <w:div w:id="1715691118">
          <w:marLeft w:val="0"/>
          <w:marRight w:val="0"/>
          <w:marTop w:val="0"/>
          <w:marBottom w:val="0"/>
          <w:divBdr>
            <w:top w:val="none" w:sz="0" w:space="0" w:color="auto"/>
            <w:left w:val="none" w:sz="0" w:space="0" w:color="auto"/>
            <w:bottom w:val="none" w:sz="0" w:space="0" w:color="auto"/>
            <w:right w:val="none" w:sz="0" w:space="0" w:color="auto"/>
          </w:divBdr>
          <w:divsChild>
            <w:div w:id="1720351231">
              <w:marLeft w:val="0"/>
              <w:marRight w:val="0"/>
              <w:marTop w:val="0"/>
              <w:marBottom w:val="0"/>
              <w:divBdr>
                <w:top w:val="none" w:sz="0" w:space="0" w:color="auto"/>
                <w:left w:val="none" w:sz="0" w:space="0" w:color="auto"/>
                <w:bottom w:val="none" w:sz="0" w:space="0" w:color="auto"/>
                <w:right w:val="none" w:sz="0" w:space="0" w:color="auto"/>
              </w:divBdr>
              <w:divsChild>
                <w:div w:id="11649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4299">
      <w:bodyDiv w:val="1"/>
      <w:marLeft w:val="0"/>
      <w:marRight w:val="0"/>
      <w:marTop w:val="0"/>
      <w:marBottom w:val="0"/>
      <w:divBdr>
        <w:top w:val="none" w:sz="0" w:space="0" w:color="auto"/>
        <w:left w:val="none" w:sz="0" w:space="0" w:color="auto"/>
        <w:bottom w:val="none" w:sz="0" w:space="0" w:color="auto"/>
        <w:right w:val="none" w:sz="0" w:space="0" w:color="auto"/>
      </w:divBdr>
      <w:divsChild>
        <w:div w:id="1563099178">
          <w:marLeft w:val="0"/>
          <w:marRight w:val="0"/>
          <w:marTop w:val="0"/>
          <w:marBottom w:val="0"/>
          <w:divBdr>
            <w:top w:val="none" w:sz="0" w:space="0" w:color="auto"/>
            <w:left w:val="none" w:sz="0" w:space="0" w:color="auto"/>
            <w:bottom w:val="none" w:sz="0" w:space="0" w:color="auto"/>
            <w:right w:val="none" w:sz="0" w:space="0" w:color="auto"/>
          </w:divBdr>
          <w:divsChild>
            <w:div w:id="1907184918">
              <w:marLeft w:val="0"/>
              <w:marRight w:val="0"/>
              <w:marTop w:val="0"/>
              <w:marBottom w:val="0"/>
              <w:divBdr>
                <w:top w:val="none" w:sz="0" w:space="0" w:color="auto"/>
                <w:left w:val="none" w:sz="0" w:space="0" w:color="auto"/>
                <w:bottom w:val="none" w:sz="0" w:space="0" w:color="auto"/>
                <w:right w:val="none" w:sz="0" w:space="0" w:color="auto"/>
              </w:divBdr>
              <w:divsChild>
                <w:div w:id="176387940">
                  <w:marLeft w:val="0"/>
                  <w:marRight w:val="0"/>
                  <w:marTop w:val="0"/>
                  <w:marBottom w:val="0"/>
                  <w:divBdr>
                    <w:top w:val="none" w:sz="0" w:space="0" w:color="auto"/>
                    <w:left w:val="none" w:sz="0" w:space="0" w:color="auto"/>
                    <w:bottom w:val="none" w:sz="0" w:space="0" w:color="auto"/>
                    <w:right w:val="none" w:sz="0" w:space="0" w:color="auto"/>
                  </w:divBdr>
                  <w:divsChild>
                    <w:div w:id="18999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44071">
      <w:bodyDiv w:val="1"/>
      <w:marLeft w:val="0"/>
      <w:marRight w:val="0"/>
      <w:marTop w:val="0"/>
      <w:marBottom w:val="0"/>
      <w:divBdr>
        <w:top w:val="none" w:sz="0" w:space="0" w:color="auto"/>
        <w:left w:val="none" w:sz="0" w:space="0" w:color="auto"/>
        <w:bottom w:val="none" w:sz="0" w:space="0" w:color="auto"/>
        <w:right w:val="none" w:sz="0" w:space="0" w:color="auto"/>
      </w:divBdr>
    </w:div>
    <w:div w:id="1086195007">
      <w:bodyDiv w:val="1"/>
      <w:marLeft w:val="0"/>
      <w:marRight w:val="0"/>
      <w:marTop w:val="0"/>
      <w:marBottom w:val="0"/>
      <w:divBdr>
        <w:top w:val="none" w:sz="0" w:space="0" w:color="auto"/>
        <w:left w:val="none" w:sz="0" w:space="0" w:color="auto"/>
        <w:bottom w:val="none" w:sz="0" w:space="0" w:color="auto"/>
        <w:right w:val="none" w:sz="0" w:space="0" w:color="auto"/>
      </w:divBdr>
      <w:divsChild>
        <w:div w:id="109249087">
          <w:marLeft w:val="0"/>
          <w:marRight w:val="0"/>
          <w:marTop w:val="0"/>
          <w:marBottom w:val="0"/>
          <w:divBdr>
            <w:top w:val="none" w:sz="0" w:space="0" w:color="auto"/>
            <w:left w:val="none" w:sz="0" w:space="0" w:color="auto"/>
            <w:bottom w:val="none" w:sz="0" w:space="0" w:color="auto"/>
            <w:right w:val="none" w:sz="0" w:space="0" w:color="auto"/>
          </w:divBdr>
          <w:divsChild>
            <w:div w:id="629285397">
              <w:marLeft w:val="0"/>
              <w:marRight w:val="0"/>
              <w:marTop w:val="0"/>
              <w:marBottom w:val="0"/>
              <w:divBdr>
                <w:top w:val="none" w:sz="0" w:space="0" w:color="auto"/>
                <w:left w:val="none" w:sz="0" w:space="0" w:color="auto"/>
                <w:bottom w:val="none" w:sz="0" w:space="0" w:color="auto"/>
                <w:right w:val="none" w:sz="0" w:space="0" w:color="auto"/>
              </w:divBdr>
              <w:divsChild>
                <w:div w:id="1143231054">
                  <w:marLeft w:val="0"/>
                  <w:marRight w:val="0"/>
                  <w:marTop w:val="0"/>
                  <w:marBottom w:val="0"/>
                  <w:divBdr>
                    <w:top w:val="none" w:sz="0" w:space="0" w:color="auto"/>
                    <w:left w:val="none" w:sz="0" w:space="0" w:color="auto"/>
                    <w:bottom w:val="none" w:sz="0" w:space="0" w:color="auto"/>
                    <w:right w:val="none" w:sz="0" w:space="0" w:color="auto"/>
                  </w:divBdr>
                  <w:divsChild>
                    <w:div w:id="2070689000">
                      <w:marLeft w:val="0"/>
                      <w:marRight w:val="0"/>
                      <w:marTop w:val="0"/>
                      <w:marBottom w:val="0"/>
                      <w:divBdr>
                        <w:top w:val="none" w:sz="0" w:space="0" w:color="auto"/>
                        <w:left w:val="none" w:sz="0" w:space="0" w:color="auto"/>
                        <w:bottom w:val="none" w:sz="0" w:space="0" w:color="auto"/>
                        <w:right w:val="none" w:sz="0" w:space="0" w:color="auto"/>
                      </w:divBdr>
                    </w:div>
                    <w:div w:id="11803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1480">
      <w:bodyDiv w:val="1"/>
      <w:marLeft w:val="0"/>
      <w:marRight w:val="0"/>
      <w:marTop w:val="0"/>
      <w:marBottom w:val="0"/>
      <w:divBdr>
        <w:top w:val="none" w:sz="0" w:space="0" w:color="auto"/>
        <w:left w:val="none" w:sz="0" w:space="0" w:color="auto"/>
        <w:bottom w:val="none" w:sz="0" w:space="0" w:color="auto"/>
        <w:right w:val="none" w:sz="0" w:space="0" w:color="auto"/>
      </w:divBdr>
      <w:divsChild>
        <w:div w:id="1091580770">
          <w:marLeft w:val="0"/>
          <w:marRight w:val="0"/>
          <w:marTop w:val="0"/>
          <w:marBottom w:val="0"/>
          <w:divBdr>
            <w:top w:val="none" w:sz="0" w:space="0" w:color="auto"/>
            <w:left w:val="none" w:sz="0" w:space="0" w:color="auto"/>
            <w:bottom w:val="none" w:sz="0" w:space="0" w:color="auto"/>
            <w:right w:val="none" w:sz="0" w:space="0" w:color="auto"/>
          </w:divBdr>
          <w:divsChild>
            <w:div w:id="1929388920">
              <w:marLeft w:val="0"/>
              <w:marRight w:val="0"/>
              <w:marTop w:val="0"/>
              <w:marBottom w:val="0"/>
              <w:divBdr>
                <w:top w:val="none" w:sz="0" w:space="0" w:color="auto"/>
                <w:left w:val="none" w:sz="0" w:space="0" w:color="auto"/>
                <w:bottom w:val="none" w:sz="0" w:space="0" w:color="auto"/>
                <w:right w:val="none" w:sz="0" w:space="0" w:color="auto"/>
              </w:divBdr>
              <w:divsChild>
                <w:div w:id="4149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5668">
      <w:bodyDiv w:val="1"/>
      <w:marLeft w:val="0"/>
      <w:marRight w:val="0"/>
      <w:marTop w:val="0"/>
      <w:marBottom w:val="0"/>
      <w:divBdr>
        <w:top w:val="none" w:sz="0" w:space="0" w:color="auto"/>
        <w:left w:val="none" w:sz="0" w:space="0" w:color="auto"/>
        <w:bottom w:val="none" w:sz="0" w:space="0" w:color="auto"/>
        <w:right w:val="none" w:sz="0" w:space="0" w:color="auto"/>
      </w:divBdr>
    </w:div>
    <w:div w:id="1101493325">
      <w:bodyDiv w:val="1"/>
      <w:marLeft w:val="0"/>
      <w:marRight w:val="0"/>
      <w:marTop w:val="0"/>
      <w:marBottom w:val="0"/>
      <w:divBdr>
        <w:top w:val="none" w:sz="0" w:space="0" w:color="auto"/>
        <w:left w:val="none" w:sz="0" w:space="0" w:color="auto"/>
        <w:bottom w:val="none" w:sz="0" w:space="0" w:color="auto"/>
        <w:right w:val="none" w:sz="0" w:space="0" w:color="auto"/>
      </w:divBdr>
      <w:divsChild>
        <w:div w:id="1208564859">
          <w:marLeft w:val="0"/>
          <w:marRight w:val="0"/>
          <w:marTop w:val="0"/>
          <w:marBottom w:val="0"/>
          <w:divBdr>
            <w:top w:val="none" w:sz="0" w:space="0" w:color="auto"/>
            <w:left w:val="none" w:sz="0" w:space="0" w:color="auto"/>
            <w:bottom w:val="none" w:sz="0" w:space="0" w:color="auto"/>
            <w:right w:val="none" w:sz="0" w:space="0" w:color="auto"/>
          </w:divBdr>
          <w:divsChild>
            <w:div w:id="1955362206">
              <w:marLeft w:val="0"/>
              <w:marRight w:val="0"/>
              <w:marTop w:val="0"/>
              <w:marBottom w:val="0"/>
              <w:divBdr>
                <w:top w:val="none" w:sz="0" w:space="0" w:color="auto"/>
                <w:left w:val="none" w:sz="0" w:space="0" w:color="auto"/>
                <w:bottom w:val="none" w:sz="0" w:space="0" w:color="auto"/>
                <w:right w:val="none" w:sz="0" w:space="0" w:color="auto"/>
              </w:divBdr>
              <w:divsChild>
                <w:div w:id="4290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1160">
      <w:bodyDiv w:val="1"/>
      <w:marLeft w:val="0"/>
      <w:marRight w:val="0"/>
      <w:marTop w:val="0"/>
      <w:marBottom w:val="0"/>
      <w:divBdr>
        <w:top w:val="none" w:sz="0" w:space="0" w:color="auto"/>
        <w:left w:val="none" w:sz="0" w:space="0" w:color="auto"/>
        <w:bottom w:val="none" w:sz="0" w:space="0" w:color="auto"/>
        <w:right w:val="none" w:sz="0" w:space="0" w:color="auto"/>
      </w:divBdr>
      <w:divsChild>
        <w:div w:id="756487091">
          <w:marLeft w:val="0"/>
          <w:marRight w:val="0"/>
          <w:marTop w:val="0"/>
          <w:marBottom w:val="0"/>
          <w:divBdr>
            <w:top w:val="none" w:sz="0" w:space="0" w:color="auto"/>
            <w:left w:val="none" w:sz="0" w:space="0" w:color="auto"/>
            <w:bottom w:val="none" w:sz="0" w:space="0" w:color="auto"/>
            <w:right w:val="none" w:sz="0" w:space="0" w:color="auto"/>
          </w:divBdr>
          <w:divsChild>
            <w:div w:id="596601461">
              <w:marLeft w:val="0"/>
              <w:marRight w:val="0"/>
              <w:marTop w:val="0"/>
              <w:marBottom w:val="0"/>
              <w:divBdr>
                <w:top w:val="none" w:sz="0" w:space="0" w:color="auto"/>
                <w:left w:val="none" w:sz="0" w:space="0" w:color="auto"/>
                <w:bottom w:val="none" w:sz="0" w:space="0" w:color="auto"/>
                <w:right w:val="none" w:sz="0" w:space="0" w:color="auto"/>
              </w:divBdr>
              <w:divsChild>
                <w:div w:id="16269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5352">
      <w:bodyDiv w:val="1"/>
      <w:marLeft w:val="0"/>
      <w:marRight w:val="0"/>
      <w:marTop w:val="0"/>
      <w:marBottom w:val="0"/>
      <w:divBdr>
        <w:top w:val="none" w:sz="0" w:space="0" w:color="auto"/>
        <w:left w:val="none" w:sz="0" w:space="0" w:color="auto"/>
        <w:bottom w:val="none" w:sz="0" w:space="0" w:color="auto"/>
        <w:right w:val="none" w:sz="0" w:space="0" w:color="auto"/>
      </w:divBdr>
      <w:divsChild>
        <w:div w:id="2014452559">
          <w:marLeft w:val="0"/>
          <w:marRight w:val="0"/>
          <w:marTop w:val="0"/>
          <w:marBottom w:val="0"/>
          <w:divBdr>
            <w:top w:val="none" w:sz="0" w:space="0" w:color="auto"/>
            <w:left w:val="none" w:sz="0" w:space="0" w:color="auto"/>
            <w:bottom w:val="none" w:sz="0" w:space="0" w:color="auto"/>
            <w:right w:val="none" w:sz="0" w:space="0" w:color="auto"/>
          </w:divBdr>
          <w:divsChild>
            <w:div w:id="1932204057">
              <w:marLeft w:val="0"/>
              <w:marRight w:val="0"/>
              <w:marTop w:val="0"/>
              <w:marBottom w:val="0"/>
              <w:divBdr>
                <w:top w:val="none" w:sz="0" w:space="0" w:color="auto"/>
                <w:left w:val="none" w:sz="0" w:space="0" w:color="auto"/>
                <w:bottom w:val="none" w:sz="0" w:space="0" w:color="auto"/>
                <w:right w:val="none" w:sz="0" w:space="0" w:color="auto"/>
              </w:divBdr>
              <w:divsChild>
                <w:div w:id="1989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9213">
      <w:bodyDiv w:val="1"/>
      <w:marLeft w:val="0"/>
      <w:marRight w:val="0"/>
      <w:marTop w:val="0"/>
      <w:marBottom w:val="0"/>
      <w:divBdr>
        <w:top w:val="none" w:sz="0" w:space="0" w:color="auto"/>
        <w:left w:val="none" w:sz="0" w:space="0" w:color="auto"/>
        <w:bottom w:val="none" w:sz="0" w:space="0" w:color="auto"/>
        <w:right w:val="none" w:sz="0" w:space="0" w:color="auto"/>
      </w:divBdr>
      <w:divsChild>
        <w:div w:id="18170009">
          <w:marLeft w:val="0"/>
          <w:marRight w:val="0"/>
          <w:marTop w:val="0"/>
          <w:marBottom w:val="0"/>
          <w:divBdr>
            <w:top w:val="none" w:sz="0" w:space="0" w:color="auto"/>
            <w:left w:val="none" w:sz="0" w:space="0" w:color="auto"/>
            <w:bottom w:val="none" w:sz="0" w:space="0" w:color="auto"/>
            <w:right w:val="none" w:sz="0" w:space="0" w:color="auto"/>
          </w:divBdr>
          <w:divsChild>
            <w:div w:id="36395715">
              <w:marLeft w:val="0"/>
              <w:marRight w:val="0"/>
              <w:marTop w:val="0"/>
              <w:marBottom w:val="0"/>
              <w:divBdr>
                <w:top w:val="none" w:sz="0" w:space="0" w:color="auto"/>
                <w:left w:val="none" w:sz="0" w:space="0" w:color="auto"/>
                <w:bottom w:val="none" w:sz="0" w:space="0" w:color="auto"/>
                <w:right w:val="none" w:sz="0" w:space="0" w:color="auto"/>
              </w:divBdr>
              <w:divsChild>
                <w:div w:id="410809779">
                  <w:marLeft w:val="0"/>
                  <w:marRight w:val="0"/>
                  <w:marTop w:val="0"/>
                  <w:marBottom w:val="0"/>
                  <w:divBdr>
                    <w:top w:val="none" w:sz="0" w:space="0" w:color="auto"/>
                    <w:left w:val="none" w:sz="0" w:space="0" w:color="auto"/>
                    <w:bottom w:val="none" w:sz="0" w:space="0" w:color="auto"/>
                    <w:right w:val="none" w:sz="0" w:space="0" w:color="auto"/>
                  </w:divBdr>
                </w:div>
                <w:div w:id="19402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19563885">
      <w:bodyDiv w:val="1"/>
      <w:marLeft w:val="0"/>
      <w:marRight w:val="0"/>
      <w:marTop w:val="0"/>
      <w:marBottom w:val="0"/>
      <w:divBdr>
        <w:top w:val="none" w:sz="0" w:space="0" w:color="auto"/>
        <w:left w:val="none" w:sz="0" w:space="0" w:color="auto"/>
        <w:bottom w:val="none" w:sz="0" w:space="0" w:color="auto"/>
        <w:right w:val="none" w:sz="0" w:space="0" w:color="auto"/>
      </w:divBdr>
      <w:divsChild>
        <w:div w:id="480732242">
          <w:marLeft w:val="0"/>
          <w:marRight w:val="0"/>
          <w:marTop w:val="0"/>
          <w:marBottom w:val="0"/>
          <w:divBdr>
            <w:top w:val="none" w:sz="0" w:space="0" w:color="auto"/>
            <w:left w:val="none" w:sz="0" w:space="0" w:color="auto"/>
            <w:bottom w:val="none" w:sz="0" w:space="0" w:color="auto"/>
            <w:right w:val="none" w:sz="0" w:space="0" w:color="auto"/>
          </w:divBdr>
          <w:divsChild>
            <w:div w:id="987519416">
              <w:marLeft w:val="0"/>
              <w:marRight w:val="0"/>
              <w:marTop w:val="0"/>
              <w:marBottom w:val="0"/>
              <w:divBdr>
                <w:top w:val="none" w:sz="0" w:space="0" w:color="auto"/>
                <w:left w:val="none" w:sz="0" w:space="0" w:color="auto"/>
                <w:bottom w:val="none" w:sz="0" w:space="0" w:color="auto"/>
                <w:right w:val="none" w:sz="0" w:space="0" w:color="auto"/>
              </w:divBdr>
              <w:divsChild>
                <w:div w:id="6812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1978">
      <w:bodyDiv w:val="1"/>
      <w:marLeft w:val="0"/>
      <w:marRight w:val="0"/>
      <w:marTop w:val="0"/>
      <w:marBottom w:val="0"/>
      <w:divBdr>
        <w:top w:val="none" w:sz="0" w:space="0" w:color="auto"/>
        <w:left w:val="none" w:sz="0" w:space="0" w:color="auto"/>
        <w:bottom w:val="none" w:sz="0" w:space="0" w:color="auto"/>
        <w:right w:val="none" w:sz="0" w:space="0" w:color="auto"/>
      </w:divBdr>
    </w:div>
    <w:div w:id="1123037169">
      <w:bodyDiv w:val="1"/>
      <w:marLeft w:val="0"/>
      <w:marRight w:val="0"/>
      <w:marTop w:val="0"/>
      <w:marBottom w:val="0"/>
      <w:divBdr>
        <w:top w:val="none" w:sz="0" w:space="0" w:color="auto"/>
        <w:left w:val="none" w:sz="0" w:space="0" w:color="auto"/>
        <w:bottom w:val="none" w:sz="0" w:space="0" w:color="auto"/>
        <w:right w:val="none" w:sz="0" w:space="0" w:color="auto"/>
      </w:divBdr>
    </w:div>
    <w:div w:id="1125392163">
      <w:bodyDiv w:val="1"/>
      <w:marLeft w:val="0"/>
      <w:marRight w:val="0"/>
      <w:marTop w:val="0"/>
      <w:marBottom w:val="0"/>
      <w:divBdr>
        <w:top w:val="none" w:sz="0" w:space="0" w:color="auto"/>
        <w:left w:val="none" w:sz="0" w:space="0" w:color="auto"/>
        <w:bottom w:val="none" w:sz="0" w:space="0" w:color="auto"/>
        <w:right w:val="none" w:sz="0" w:space="0" w:color="auto"/>
      </w:divBdr>
    </w:div>
    <w:div w:id="1133979540">
      <w:bodyDiv w:val="1"/>
      <w:marLeft w:val="0"/>
      <w:marRight w:val="0"/>
      <w:marTop w:val="0"/>
      <w:marBottom w:val="0"/>
      <w:divBdr>
        <w:top w:val="none" w:sz="0" w:space="0" w:color="auto"/>
        <w:left w:val="none" w:sz="0" w:space="0" w:color="auto"/>
        <w:bottom w:val="none" w:sz="0" w:space="0" w:color="auto"/>
        <w:right w:val="none" w:sz="0" w:space="0" w:color="auto"/>
      </w:divBdr>
    </w:div>
    <w:div w:id="1140146785">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40345412">
      <w:bodyDiv w:val="1"/>
      <w:marLeft w:val="0"/>
      <w:marRight w:val="0"/>
      <w:marTop w:val="0"/>
      <w:marBottom w:val="0"/>
      <w:divBdr>
        <w:top w:val="none" w:sz="0" w:space="0" w:color="auto"/>
        <w:left w:val="none" w:sz="0" w:space="0" w:color="auto"/>
        <w:bottom w:val="none" w:sz="0" w:space="0" w:color="auto"/>
        <w:right w:val="none" w:sz="0" w:space="0" w:color="auto"/>
      </w:divBdr>
    </w:div>
    <w:div w:id="1141771659">
      <w:bodyDiv w:val="1"/>
      <w:marLeft w:val="0"/>
      <w:marRight w:val="0"/>
      <w:marTop w:val="0"/>
      <w:marBottom w:val="0"/>
      <w:divBdr>
        <w:top w:val="none" w:sz="0" w:space="0" w:color="auto"/>
        <w:left w:val="none" w:sz="0" w:space="0" w:color="auto"/>
        <w:bottom w:val="none" w:sz="0" w:space="0" w:color="auto"/>
        <w:right w:val="none" w:sz="0" w:space="0" w:color="auto"/>
      </w:divBdr>
    </w:div>
    <w:div w:id="1143352292">
      <w:bodyDiv w:val="1"/>
      <w:marLeft w:val="0"/>
      <w:marRight w:val="0"/>
      <w:marTop w:val="0"/>
      <w:marBottom w:val="0"/>
      <w:divBdr>
        <w:top w:val="none" w:sz="0" w:space="0" w:color="auto"/>
        <w:left w:val="none" w:sz="0" w:space="0" w:color="auto"/>
        <w:bottom w:val="none" w:sz="0" w:space="0" w:color="auto"/>
        <w:right w:val="none" w:sz="0" w:space="0" w:color="auto"/>
      </w:divBdr>
      <w:divsChild>
        <w:div w:id="1479958223">
          <w:marLeft w:val="0"/>
          <w:marRight w:val="0"/>
          <w:marTop w:val="0"/>
          <w:marBottom w:val="0"/>
          <w:divBdr>
            <w:top w:val="none" w:sz="0" w:space="0" w:color="auto"/>
            <w:left w:val="none" w:sz="0" w:space="0" w:color="auto"/>
            <w:bottom w:val="none" w:sz="0" w:space="0" w:color="auto"/>
            <w:right w:val="none" w:sz="0" w:space="0" w:color="auto"/>
          </w:divBdr>
          <w:divsChild>
            <w:div w:id="1355882277">
              <w:marLeft w:val="0"/>
              <w:marRight w:val="0"/>
              <w:marTop w:val="0"/>
              <w:marBottom w:val="0"/>
              <w:divBdr>
                <w:top w:val="none" w:sz="0" w:space="0" w:color="auto"/>
                <w:left w:val="none" w:sz="0" w:space="0" w:color="auto"/>
                <w:bottom w:val="none" w:sz="0" w:space="0" w:color="auto"/>
                <w:right w:val="none" w:sz="0" w:space="0" w:color="auto"/>
              </w:divBdr>
              <w:divsChild>
                <w:div w:id="2633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0072">
      <w:bodyDiv w:val="1"/>
      <w:marLeft w:val="0"/>
      <w:marRight w:val="0"/>
      <w:marTop w:val="0"/>
      <w:marBottom w:val="0"/>
      <w:divBdr>
        <w:top w:val="none" w:sz="0" w:space="0" w:color="auto"/>
        <w:left w:val="none" w:sz="0" w:space="0" w:color="auto"/>
        <w:bottom w:val="none" w:sz="0" w:space="0" w:color="auto"/>
        <w:right w:val="none" w:sz="0" w:space="0" w:color="auto"/>
      </w:divBdr>
    </w:div>
    <w:div w:id="1160805435">
      <w:bodyDiv w:val="1"/>
      <w:marLeft w:val="0"/>
      <w:marRight w:val="0"/>
      <w:marTop w:val="0"/>
      <w:marBottom w:val="0"/>
      <w:divBdr>
        <w:top w:val="none" w:sz="0" w:space="0" w:color="auto"/>
        <w:left w:val="none" w:sz="0" w:space="0" w:color="auto"/>
        <w:bottom w:val="none" w:sz="0" w:space="0" w:color="auto"/>
        <w:right w:val="none" w:sz="0" w:space="0" w:color="auto"/>
      </w:divBdr>
      <w:divsChild>
        <w:div w:id="1411004652">
          <w:marLeft w:val="0"/>
          <w:marRight w:val="0"/>
          <w:marTop w:val="0"/>
          <w:marBottom w:val="0"/>
          <w:divBdr>
            <w:top w:val="none" w:sz="0" w:space="0" w:color="auto"/>
            <w:left w:val="none" w:sz="0" w:space="0" w:color="auto"/>
            <w:bottom w:val="none" w:sz="0" w:space="0" w:color="auto"/>
            <w:right w:val="none" w:sz="0" w:space="0" w:color="auto"/>
          </w:divBdr>
          <w:divsChild>
            <w:div w:id="893467024">
              <w:marLeft w:val="0"/>
              <w:marRight w:val="0"/>
              <w:marTop w:val="0"/>
              <w:marBottom w:val="0"/>
              <w:divBdr>
                <w:top w:val="none" w:sz="0" w:space="0" w:color="auto"/>
                <w:left w:val="none" w:sz="0" w:space="0" w:color="auto"/>
                <w:bottom w:val="none" w:sz="0" w:space="0" w:color="auto"/>
                <w:right w:val="none" w:sz="0" w:space="0" w:color="auto"/>
              </w:divBdr>
              <w:divsChild>
                <w:div w:id="4213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1513">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81504762">
      <w:bodyDiv w:val="1"/>
      <w:marLeft w:val="0"/>
      <w:marRight w:val="0"/>
      <w:marTop w:val="0"/>
      <w:marBottom w:val="0"/>
      <w:divBdr>
        <w:top w:val="none" w:sz="0" w:space="0" w:color="auto"/>
        <w:left w:val="none" w:sz="0" w:space="0" w:color="auto"/>
        <w:bottom w:val="none" w:sz="0" w:space="0" w:color="auto"/>
        <w:right w:val="none" w:sz="0" w:space="0" w:color="auto"/>
      </w:divBdr>
    </w:div>
    <w:div w:id="1186211258">
      <w:bodyDiv w:val="1"/>
      <w:marLeft w:val="0"/>
      <w:marRight w:val="0"/>
      <w:marTop w:val="0"/>
      <w:marBottom w:val="0"/>
      <w:divBdr>
        <w:top w:val="none" w:sz="0" w:space="0" w:color="auto"/>
        <w:left w:val="none" w:sz="0" w:space="0" w:color="auto"/>
        <w:bottom w:val="none" w:sz="0" w:space="0" w:color="auto"/>
        <w:right w:val="none" w:sz="0" w:space="0" w:color="auto"/>
      </w:divBdr>
      <w:divsChild>
        <w:div w:id="1163201302">
          <w:marLeft w:val="0"/>
          <w:marRight w:val="0"/>
          <w:marTop w:val="0"/>
          <w:marBottom w:val="0"/>
          <w:divBdr>
            <w:top w:val="none" w:sz="0" w:space="0" w:color="auto"/>
            <w:left w:val="none" w:sz="0" w:space="0" w:color="auto"/>
            <w:bottom w:val="none" w:sz="0" w:space="0" w:color="auto"/>
            <w:right w:val="none" w:sz="0" w:space="0" w:color="auto"/>
          </w:divBdr>
          <w:divsChild>
            <w:div w:id="154802880">
              <w:marLeft w:val="0"/>
              <w:marRight w:val="0"/>
              <w:marTop w:val="0"/>
              <w:marBottom w:val="0"/>
              <w:divBdr>
                <w:top w:val="none" w:sz="0" w:space="0" w:color="auto"/>
                <w:left w:val="none" w:sz="0" w:space="0" w:color="auto"/>
                <w:bottom w:val="none" w:sz="0" w:space="0" w:color="auto"/>
                <w:right w:val="none" w:sz="0" w:space="0" w:color="auto"/>
              </w:divBdr>
              <w:divsChild>
                <w:div w:id="6591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9300">
      <w:bodyDiv w:val="1"/>
      <w:marLeft w:val="0"/>
      <w:marRight w:val="0"/>
      <w:marTop w:val="0"/>
      <w:marBottom w:val="0"/>
      <w:divBdr>
        <w:top w:val="none" w:sz="0" w:space="0" w:color="auto"/>
        <w:left w:val="none" w:sz="0" w:space="0" w:color="auto"/>
        <w:bottom w:val="none" w:sz="0" w:space="0" w:color="auto"/>
        <w:right w:val="none" w:sz="0" w:space="0" w:color="auto"/>
      </w:divBdr>
      <w:divsChild>
        <w:div w:id="716054886">
          <w:marLeft w:val="0"/>
          <w:marRight w:val="0"/>
          <w:marTop w:val="0"/>
          <w:marBottom w:val="0"/>
          <w:divBdr>
            <w:top w:val="none" w:sz="0" w:space="0" w:color="auto"/>
            <w:left w:val="none" w:sz="0" w:space="0" w:color="auto"/>
            <w:bottom w:val="none" w:sz="0" w:space="0" w:color="auto"/>
            <w:right w:val="none" w:sz="0" w:space="0" w:color="auto"/>
          </w:divBdr>
          <w:divsChild>
            <w:div w:id="1842508559">
              <w:marLeft w:val="0"/>
              <w:marRight w:val="0"/>
              <w:marTop w:val="0"/>
              <w:marBottom w:val="0"/>
              <w:divBdr>
                <w:top w:val="none" w:sz="0" w:space="0" w:color="auto"/>
                <w:left w:val="none" w:sz="0" w:space="0" w:color="auto"/>
                <w:bottom w:val="none" w:sz="0" w:space="0" w:color="auto"/>
                <w:right w:val="none" w:sz="0" w:space="0" w:color="auto"/>
              </w:divBdr>
              <w:divsChild>
                <w:div w:id="2066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4191">
      <w:bodyDiv w:val="1"/>
      <w:marLeft w:val="0"/>
      <w:marRight w:val="0"/>
      <w:marTop w:val="0"/>
      <w:marBottom w:val="0"/>
      <w:divBdr>
        <w:top w:val="none" w:sz="0" w:space="0" w:color="auto"/>
        <w:left w:val="none" w:sz="0" w:space="0" w:color="auto"/>
        <w:bottom w:val="none" w:sz="0" w:space="0" w:color="auto"/>
        <w:right w:val="none" w:sz="0" w:space="0" w:color="auto"/>
      </w:divBdr>
    </w:div>
    <w:div w:id="1204488040">
      <w:bodyDiv w:val="1"/>
      <w:marLeft w:val="0"/>
      <w:marRight w:val="0"/>
      <w:marTop w:val="0"/>
      <w:marBottom w:val="0"/>
      <w:divBdr>
        <w:top w:val="none" w:sz="0" w:space="0" w:color="auto"/>
        <w:left w:val="none" w:sz="0" w:space="0" w:color="auto"/>
        <w:bottom w:val="none" w:sz="0" w:space="0" w:color="auto"/>
        <w:right w:val="none" w:sz="0" w:space="0" w:color="auto"/>
      </w:divBdr>
      <w:divsChild>
        <w:div w:id="513888373">
          <w:marLeft w:val="0"/>
          <w:marRight w:val="0"/>
          <w:marTop w:val="0"/>
          <w:marBottom w:val="0"/>
          <w:divBdr>
            <w:top w:val="none" w:sz="0" w:space="0" w:color="auto"/>
            <w:left w:val="none" w:sz="0" w:space="0" w:color="auto"/>
            <w:bottom w:val="none" w:sz="0" w:space="0" w:color="auto"/>
            <w:right w:val="none" w:sz="0" w:space="0" w:color="auto"/>
          </w:divBdr>
          <w:divsChild>
            <w:div w:id="2137868047">
              <w:marLeft w:val="0"/>
              <w:marRight w:val="0"/>
              <w:marTop w:val="0"/>
              <w:marBottom w:val="0"/>
              <w:divBdr>
                <w:top w:val="none" w:sz="0" w:space="0" w:color="auto"/>
                <w:left w:val="none" w:sz="0" w:space="0" w:color="auto"/>
                <w:bottom w:val="none" w:sz="0" w:space="0" w:color="auto"/>
                <w:right w:val="none" w:sz="0" w:space="0" w:color="auto"/>
              </w:divBdr>
              <w:divsChild>
                <w:div w:id="3604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82758">
      <w:bodyDiv w:val="1"/>
      <w:marLeft w:val="0"/>
      <w:marRight w:val="0"/>
      <w:marTop w:val="0"/>
      <w:marBottom w:val="0"/>
      <w:divBdr>
        <w:top w:val="none" w:sz="0" w:space="0" w:color="auto"/>
        <w:left w:val="none" w:sz="0" w:space="0" w:color="auto"/>
        <w:bottom w:val="none" w:sz="0" w:space="0" w:color="auto"/>
        <w:right w:val="none" w:sz="0" w:space="0" w:color="auto"/>
      </w:divBdr>
    </w:div>
    <w:div w:id="1213342908">
      <w:bodyDiv w:val="1"/>
      <w:marLeft w:val="0"/>
      <w:marRight w:val="0"/>
      <w:marTop w:val="0"/>
      <w:marBottom w:val="0"/>
      <w:divBdr>
        <w:top w:val="none" w:sz="0" w:space="0" w:color="auto"/>
        <w:left w:val="none" w:sz="0" w:space="0" w:color="auto"/>
        <w:bottom w:val="none" w:sz="0" w:space="0" w:color="auto"/>
        <w:right w:val="none" w:sz="0" w:space="0" w:color="auto"/>
      </w:divBdr>
    </w:div>
    <w:div w:id="1221863422">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4414180">
      <w:bodyDiv w:val="1"/>
      <w:marLeft w:val="0"/>
      <w:marRight w:val="0"/>
      <w:marTop w:val="0"/>
      <w:marBottom w:val="0"/>
      <w:divBdr>
        <w:top w:val="none" w:sz="0" w:space="0" w:color="auto"/>
        <w:left w:val="none" w:sz="0" w:space="0" w:color="auto"/>
        <w:bottom w:val="none" w:sz="0" w:space="0" w:color="auto"/>
        <w:right w:val="none" w:sz="0" w:space="0" w:color="auto"/>
      </w:divBdr>
      <w:divsChild>
        <w:div w:id="1175999983">
          <w:marLeft w:val="0"/>
          <w:marRight w:val="0"/>
          <w:marTop w:val="0"/>
          <w:marBottom w:val="0"/>
          <w:divBdr>
            <w:top w:val="none" w:sz="0" w:space="0" w:color="auto"/>
            <w:left w:val="none" w:sz="0" w:space="0" w:color="auto"/>
            <w:bottom w:val="none" w:sz="0" w:space="0" w:color="auto"/>
            <w:right w:val="none" w:sz="0" w:space="0" w:color="auto"/>
          </w:divBdr>
          <w:divsChild>
            <w:div w:id="765492341">
              <w:marLeft w:val="0"/>
              <w:marRight w:val="0"/>
              <w:marTop w:val="0"/>
              <w:marBottom w:val="0"/>
              <w:divBdr>
                <w:top w:val="none" w:sz="0" w:space="0" w:color="auto"/>
                <w:left w:val="none" w:sz="0" w:space="0" w:color="auto"/>
                <w:bottom w:val="none" w:sz="0" w:space="0" w:color="auto"/>
                <w:right w:val="none" w:sz="0" w:space="0" w:color="auto"/>
              </w:divBdr>
              <w:divsChild>
                <w:div w:id="3220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1843">
      <w:bodyDiv w:val="1"/>
      <w:marLeft w:val="0"/>
      <w:marRight w:val="0"/>
      <w:marTop w:val="0"/>
      <w:marBottom w:val="0"/>
      <w:divBdr>
        <w:top w:val="none" w:sz="0" w:space="0" w:color="auto"/>
        <w:left w:val="none" w:sz="0" w:space="0" w:color="auto"/>
        <w:bottom w:val="none" w:sz="0" w:space="0" w:color="auto"/>
        <w:right w:val="none" w:sz="0" w:space="0" w:color="auto"/>
      </w:divBdr>
      <w:divsChild>
        <w:div w:id="261764051">
          <w:marLeft w:val="0"/>
          <w:marRight w:val="0"/>
          <w:marTop w:val="0"/>
          <w:marBottom w:val="0"/>
          <w:divBdr>
            <w:top w:val="none" w:sz="0" w:space="0" w:color="auto"/>
            <w:left w:val="none" w:sz="0" w:space="0" w:color="auto"/>
            <w:bottom w:val="none" w:sz="0" w:space="0" w:color="auto"/>
            <w:right w:val="none" w:sz="0" w:space="0" w:color="auto"/>
          </w:divBdr>
          <w:divsChild>
            <w:div w:id="889999046">
              <w:marLeft w:val="0"/>
              <w:marRight w:val="0"/>
              <w:marTop w:val="0"/>
              <w:marBottom w:val="0"/>
              <w:divBdr>
                <w:top w:val="none" w:sz="0" w:space="0" w:color="auto"/>
                <w:left w:val="none" w:sz="0" w:space="0" w:color="auto"/>
                <w:bottom w:val="none" w:sz="0" w:space="0" w:color="auto"/>
                <w:right w:val="none" w:sz="0" w:space="0" w:color="auto"/>
              </w:divBdr>
              <w:divsChild>
                <w:div w:id="17468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29531598">
      <w:bodyDiv w:val="1"/>
      <w:marLeft w:val="0"/>
      <w:marRight w:val="0"/>
      <w:marTop w:val="0"/>
      <w:marBottom w:val="0"/>
      <w:divBdr>
        <w:top w:val="none" w:sz="0" w:space="0" w:color="auto"/>
        <w:left w:val="none" w:sz="0" w:space="0" w:color="auto"/>
        <w:bottom w:val="none" w:sz="0" w:space="0" w:color="auto"/>
        <w:right w:val="none" w:sz="0" w:space="0" w:color="auto"/>
      </w:divBdr>
      <w:divsChild>
        <w:div w:id="145556005">
          <w:marLeft w:val="0"/>
          <w:marRight w:val="0"/>
          <w:marTop w:val="0"/>
          <w:marBottom w:val="0"/>
          <w:divBdr>
            <w:top w:val="none" w:sz="0" w:space="0" w:color="auto"/>
            <w:left w:val="none" w:sz="0" w:space="0" w:color="auto"/>
            <w:bottom w:val="none" w:sz="0" w:space="0" w:color="auto"/>
            <w:right w:val="none" w:sz="0" w:space="0" w:color="auto"/>
          </w:divBdr>
          <w:divsChild>
            <w:div w:id="667169205">
              <w:marLeft w:val="0"/>
              <w:marRight w:val="0"/>
              <w:marTop w:val="0"/>
              <w:marBottom w:val="0"/>
              <w:divBdr>
                <w:top w:val="none" w:sz="0" w:space="0" w:color="auto"/>
                <w:left w:val="none" w:sz="0" w:space="0" w:color="auto"/>
                <w:bottom w:val="none" w:sz="0" w:space="0" w:color="auto"/>
                <w:right w:val="none" w:sz="0" w:space="0" w:color="auto"/>
              </w:divBdr>
              <w:divsChild>
                <w:div w:id="1559439614">
                  <w:marLeft w:val="0"/>
                  <w:marRight w:val="0"/>
                  <w:marTop w:val="0"/>
                  <w:marBottom w:val="0"/>
                  <w:divBdr>
                    <w:top w:val="none" w:sz="0" w:space="0" w:color="auto"/>
                    <w:left w:val="none" w:sz="0" w:space="0" w:color="auto"/>
                    <w:bottom w:val="none" w:sz="0" w:space="0" w:color="auto"/>
                    <w:right w:val="none" w:sz="0" w:space="0" w:color="auto"/>
                  </w:divBdr>
                  <w:divsChild>
                    <w:div w:id="708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61272">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44293855">
      <w:bodyDiv w:val="1"/>
      <w:marLeft w:val="0"/>
      <w:marRight w:val="0"/>
      <w:marTop w:val="0"/>
      <w:marBottom w:val="0"/>
      <w:divBdr>
        <w:top w:val="none" w:sz="0" w:space="0" w:color="auto"/>
        <w:left w:val="none" w:sz="0" w:space="0" w:color="auto"/>
        <w:bottom w:val="none" w:sz="0" w:space="0" w:color="auto"/>
        <w:right w:val="none" w:sz="0" w:space="0" w:color="auto"/>
      </w:divBdr>
    </w:div>
    <w:div w:id="1244798752">
      <w:bodyDiv w:val="1"/>
      <w:marLeft w:val="0"/>
      <w:marRight w:val="0"/>
      <w:marTop w:val="0"/>
      <w:marBottom w:val="0"/>
      <w:divBdr>
        <w:top w:val="none" w:sz="0" w:space="0" w:color="auto"/>
        <w:left w:val="none" w:sz="0" w:space="0" w:color="auto"/>
        <w:bottom w:val="none" w:sz="0" w:space="0" w:color="auto"/>
        <w:right w:val="none" w:sz="0" w:space="0" w:color="auto"/>
      </w:divBdr>
    </w:div>
    <w:div w:id="1250650419">
      <w:bodyDiv w:val="1"/>
      <w:marLeft w:val="0"/>
      <w:marRight w:val="0"/>
      <w:marTop w:val="0"/>
      <w:marBottom w:val="0"/>
      <w:divBdr>
        <w:top w:val="none" w:sz="0" w:space="0" w:color="auto"/>
        <w:left w:val="none" w:sz="0" w:space="0" w:color="auto"/>
        <w:bottom w:val="none" w:sz="0" w:space="0" w:color="auto"/>
        <w:right w:val="none" w:sz="0" w:space="0" w:color="auto"/>
      </w:divBdr>
    </w:div>
    <w:div w:id="1253784847">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6286519">
      <w:bodyDiv w:val="1"/>
      <w:marLeft w:val="0"/>
      <w:marRight w:val="0"/>
      <w:marTop w:val="0"/>
      <w:marBottom w:val="0"/>
      <w:divBdr>
        <w:top w:val="none" w:sz="0" w:space="0" w:color="auto"/>
        <w:left w:val="none" w:sz="0" w:space="0" w:color="auto"/>
        <w:bottom w:val="none" w:sz="0" w:space="0" w:color="auto"/>
        <w:right w:val="none" w:sz="0" w:space="0" w:color="auto"/>
      </w:divBdr>
      <w:divsChild>
        <w:div w:id="404647008">
          <w:marLeft w:val="0"/>
          <w:marRight w:val="0"/>
          <w:marTop w:val="0"/>
          <w:marBottom w:val="0"/>
          <w:divBdr>
            <w:top w:val="none" w:sz="0" w:space="0" w:color="auto"/>
            <w:left w:val="none" w:sz="0" w:space="0" w:color="auto"/>
            <w:bottom w:val="none" w:sz="0" w:space="0" w:color="auto"/>
            <w:right w:val="none" w:sz="0" w:space="0" w:color="auto"/>
          </w:divBdr>
          <w:divsChild>
            <w:div w:id="397359993">
              <w:marLeft w:val="0"/>
              <w:marRight w:val="0"/>
              <w:marTop w:val="0"/>
              <w:marBottom w:val="0"/>
              <w:divBdr>
                <w:top w:val="none" w:sz="0" w:space="0" w:color="auto"/>
                <w:left w:val="none" w:sz="0" w:space="0" w:color="auto"/>
                <w:bottom w:val="none" w:sz="0" w:space="0" w:color="auto"/>
                <w:right w:val="none" w:sz="0" w:space="0" w:color="auto"/>
              </w:divBdr>
              <w:divsChild>
                <w:div w:id="701051301">
                  <w:marLeft w:val="0"/>
                  <w:marRight w:val="0"/>
                  <w:marTop w:val="0"/>
                  <w:marBottom w:val="0"/>
                  <w:divBdr>
                    <w:top w:val="none" w:sz="0" w:space="0" w:color="auto"/>
                    <w:left w:val="none" w:sz="0" w:space="0" w:color="auto"/>
                    <w:bottom w:val="none" w:sz="0" w:space="0" w:color="auto"/>
                    <w:right w:val="none" w:sz="0" w:space="0" w:color="auto"/>
                  </w:divBdr>
                  <w:divsChild>
                    <w:div w:id="9775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67738653">
      <w:bodyDiv w:val="1"/>
      <w:marLeft w:val="0"/>
      <w:marRight w:val="0"/>
      <w:marTop w:val="0"/>
      <w:marBottom w:val="0"/>
      <w:divBdr>
        <w:top w:val="none" w:sz="0" w:space="0" w:color="auto"/>
        <w:left w:val="none" w:sz="0" w:space="0" w:color="auto"/>
        <w:bottom w:val="none" w:sz="0" w:space="0" w:color="auto"/>
        <w:right w:val="none" w:sz="0" w:space="0" w:color="auto"/>
      </w:divBdr>
    </w:div>
    <w:div w:id="1276987607">
      <w:bodyDiv w:val="1"/>
      <w:marLeft w:val="0"/>
      <w:marRight w:val="0"/>
      <w:marTop w:val="0"/>
      <w:marBottom w:val="0"/>
      <w:divBdr>
        <w:top w:val="none" w:sz="0" w:space="0" w:color="auto"/>
        <w:left w:val="none" w:sz="0" w:space="0" w:color="auto"/>
        <w:bottom w:val="none" w:sz="0" w:space="0" w:color="auto"/>
        <w:right w:val="none" w:sz="0" w:space="0" w:color="auto"/>
      </w:divBdr>
    </w:div>
    <w:div w:id="1278298925">
      <w:bodyDiv w:val="1"/>
      <w:marLeft w:val="0"/>
      <w:marRight w:val="0"/>
      <w:marTop w:val="0"/>
      <w:marBottom w:val="0"/>
      <w:divBdr>
        <w:top w:val="none" w:sz="0" w:space="0" w:color="auto"/>
        <w:left w:val="none" w:sz="0" w:space="0" w:color="auto"/>
        <w:bottom w:val="none" w:sz="0" w:space="0" w:color="auto"/>
        <w:right w:val="none" w:sz="0" w:space="0" w:color="auto"/>
      </w:divBdr>
    </w:div>
    <w:div w:id="1283420478">
      <w:bodyDiv w:val="1"/>
      <w:marLeft w:val="0"/>
      <w:marRight w:val="0"/>
      <w:marTop w:val="0"/>
      <w:marBottom w:val="0"/>
      <w:divBdr>
        <w:top w:val="none" w:sz="0" w:space="0" w:color="auto"/>
        <w:left w:val="none" w:sz="0" w:space="0" w:color="auto"/>
        <w:bottom w:val="none" w:sz="0" w:space="0" w:color="auto"/>
        <w:right w:val="none" w:sz="0" w:space="0" w:color="auto"/>
      </w:divBdr>
      <w:divsChild>
        <w:div w:id="427654999">
          <w:marLeft w:val="0"/>
          <w:marRight w:val="0"/>
          <w:marTop w:val="0"/>
          <w:marBottom w:val="0"/>
          <w:divBdr>
            <w:top w:val="none" w:sz="0" w:space="0" w:color="auto"/>
            <w:left w:val="none" w:sz="0" w:space="0" w:color="auto"/>
            <w:bottom w:val="none" w:sz="0" w:space="0" w:color="auto"/>
            <w:right w:val="none" w:sz="0" w:space="0" w:color="auto"/>
          </w:divBdr>
          <w:divsChild>
            <w:div w:id="1213157569">
              <w:marLeft w:val="0"/>
              <w:marRight w:val="0"/>
              <w:marTop w:val="0"/>
              <w:marBottom w:val="0"/>
              <w:divBdr>
                <w:top w:val="none" w:sz="0" w:space="0" w:color="auto"/>
                <w:left w:val="none" w:sz="0" w:space="0" w:color="auto"/>
                <w:bottom w:val="none" w:sz="0" w:space="0" w:color="auto"/>
                <w:right w:val="none" w:sz="0" w:space="0" w:color="auto"/>
              </w:divBdr>
              <w:divsChild>
                <w:div w:id="6322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86041871">
      <w:bodyDiv w:val="1"/>
      <w:marLeft w:val="0"/>
      <w:marRight w:val="0"/>
      <w:marTop w:val="0"/>
      <w:marBottom w:val="0"/>
      <w:divBdr>
        <w:top w:val="none" w:sz="0" w:space="0" w:color="auto"/>
        <w:left w:val="none" w:sz="0" w:space="0" w:color="auto"/>
        <w:bottom w:val="none" w:sz="0" w:space="0" w:color="auto"/>
        <w:right w:val="none" w:sz="0" w:space="0" w:color="auto"/>
      </w:divBdr>
      <w:divsChild>
        <w:div w:id="1501388175">
          <w:marLeft w:val="0"/>
          <w:marRight w:val="0"/>
          <w:marTop w:val="0"/>
          <w:marBottom w:val="0"/>
          <w:divBdr>
            <w:top w:val="none" w:sz="0" w:space="0" w:color="auto"/>
            <w:left w:val="none" w:sz="0" w:space="0" w:color="auto"/>
            <w:bottom w:val="none" w:sz="0" w:space="0" w:color="auto"/>
            <w:right w:val="none" w:sz="0" w:space="0" w:color="auto"/>
          </w:divBdr>
          <w:divsChild>
            <w:div w:id="1227496759">
              <w:marLeft w:val="0"/>
              <w:marRight w:val="0"/>
              <w:marTop w:val="0"/>
              <w:marBottom w:val="0"/>
              <w:divBdr>
                <w:top w:val="none" w:sz="0" w:space="0" w:color="auto"/>
                <w:left w:val="none" w:sz="0" w:space="0" w:color="auto"/>
                <w:bottom w:val="none" w:sz="0" w:space="0" w:color="auto"/>
                <w:right w:val="none" w:sz="0" w:space="0" w:color="auto"/>
              </w:divBdr>
              <w:divsChild>
                <w:div w:id="20942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98215">
      <w:bodyDiv w:val="1"/>
      <w:marLeft w:val="0"/>
      <w:marRight w:val="0"/>
      <w:marTop w:val="0"/>
      <w:marBottom w:val="0"/>
      <w:divBdr>
        <w:top w:val="none" w:sz="0" w:space="0" w:color="auto"/>
        <w:left w:val="none" w:sz="0" w:space="0" w:color="auto"/>
        <w:bottom w:val="none" w:sz="0" w:space="0" w:color="auto"/>
        <w:right w:val="none" w:sz="0" w:space="0" w:color="auto"/>
      </w:divBdr>
      <w:divsChild>
        <w:div w:id="1739009229">
          <w:marLeft w:val="0"/>
          <w:marRight w:val="0"/>
          <w:marTop w:val="0"/>
          <w:marBottom w:val="0"/>
          <w:divBdr>
            <w:top w:val="none" w:sz="0" w:space="0" w:color="auto"/>
            <w:left w:val="none" w:sz="0" w:space="0" w:color="auto"/>
            <w:bottom w:val="none" w:sz="0" w:space="0" w:color="auto"/>
            <w:right w:val="none" w:sz="0" w:space="0" w:color="auto"/>
          </w:divBdr>
          <w:divsChild>
            <w:div w:id="435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sChild>
        <w:div w:id="429546000">
          <w:marLeft w:val="0"/>
          <w:marRight w:val="0"/>
          <w:marTop w:val="0"/>
          <w:marBottom w:val="0"/>
          <w:divBdr>
            <w:top w:val="none" w:sz="0" w:space="0" w:color="auto"/>
            <w:left w:val="none" w:sz="0" w:space="0" w:color="auto"/>
            <w:bottom w:val="none" w:sz="0" w:space="0" w:color="auto"/>
            <w:right w:val="none" w:sz="0" w:space="0" w:color="auto"/>
          </w:divBdr>
          <w:divsChild>
            <w:div w:id="1235317035">
              <w:marLeft w:val="0"/>
              <w:marRight w:val="0"/>
              <w:marTop w:val="0"/>
              <w:marBottom w:val="0"/>
              <w:divBdr>
                <w:top w:val="none" w:sz="0" w:space="0" w:color="auto"/>
                <w:left w:val="none" w:sz="0" w:space="0" w:color="auto"/>
                <w:bottom w:val="none" w:sz="0" w:space="0" w:color="auto"/>
                <w:right w:val="none" w:sz="0" w:space="0" w:color="auto"/>
              </w:divBdr>
              <w:divsChild>
                <w:div w:id="21087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1396">
      <w:bodyDiv w:val="1"/>
      <w:marLeft w:val="0"/>
      <w:marRight w:val="0"/>
      <w:marTop w:val="0"/>
      <w:marBottom w:val="0"/>
      <w:divBdr>
        <w:top w:val="none" w:sz="0" w:space="0" w:color="auto"/>
        <w:left w:val="none" w:sz="0" w:space="0" w:color="auto"/>
        <w:bottom w:val="none" w:sz="0" w:space="0" w:color="auto"/>
        <w:right w:val="none" w:sz="0" w:space="0" w:color="auto"/>
      </w:divBdr>
      <w:divsChild>
        <w:div w:id="1241480640">
          <w:marLeft w:val="0"/>
          <w:marRight w:val="0"/>
          <w:marTop w:val="0"/>
          <w:marBottom w:val="0"/>
          <w:divBdr>
            <w:top w:val="none" w:sz="0" w:space="0" w:color="auto"/>
            <w:left w:val="none" w:sz="0" w:space="0" w:color="auto"/>
            <w:bottom w:val="none" w:sz="0" w:space="0" w:color="auto"/>
            <w:right w:val="none" w:sz="0" w:space="0" w:color="auto"/>
          </w:divBdr>
          <w:divsChild>
            <w:div w:id="2098476578">
              <w:marLeft w:val="0"/>
              <w:marRight w:val="0"/>
              <w:marTop w:val="0"/>
              <w:marBottom w:val="0"/>
              <w:divBdr>
                <w:top w:val="none" w:sz="0" w:space="0" w:color="auto"/>
                <w:left w:val="none" w:sz="0" w:space="0" w:color="auto"/>
                <w:bottom w:val="none" w:sz="0" w:space="0" w:color="auto"/>
                <w:right w:val="none" w:sz="0" w:space="0" w:color="auto"/>
              </w:divBdr>
              <w:divsChild>
                <w:div w:id="631374021">
                  <w:marLeft w:val="0"/>
                  <w:marRight w:val="0"/>
                  <w:marTop w:val="0"/>
                  <w:marBottom w:val="0"/>
                  <w:divBdr>
                    <w:top w:val="none" w:sz="0" w:space="0" w:color="auto"/>
                    <w:left w:val="none" w:sz="0" w:space="0" w:color="auto"/>
                    <w:bottom w:val="none" w:sz="0" w:space="0" w:color="auto"/>
                    <w:right w:val="none" w:sz="0" w:space="0" w:color="auto"/>
                  </w:divBdr>
                  <w:divsChild>
                    <w:div w:id="11036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18761">
      <w:bodyDiv w:val="1"/>
      <w:marLeft w:val="0"/>
      <w:marRight w:val="0"/>
      <w:marTop w:val="0"/>
      <w:marBottom w:val="0"/>
      <w:divBdr>
        <w:top w:val="none" w:sz="0" w:space="0" w:color="auto"/>
        <w:left w:val="none" w:sz="0" w:space="0" w:color="auto"/>
        <w:bottom w:val="none" w:sz="0" w:space="0" w:color="auto"/>
        <w:right w:val="none" w:sz="0" w:space="0" w:color="auto"/>
      </w:divBdr>
      <w:divsChild>
        <w:div w:id="2016032600">
          <w:marLeft w:val="0"/>
          <w:marRight w:val="0"/>
          <w:marTop w:val="0"/>
          <w:marBottom w:val="0"/>
          <w:divBdr>
            <w:top w:val="none" w:sz="0" w:space="0" w:color="auto"/>
            <w:left w:val="none" w:sz="0" w:space="0" w:color="auto"/>
            <w:bottom w:val="none" w:sz="0" w:space="0" w:color="auto"/>
            <w:right w:val="none" w:sz="0" w:space="0" w:color="auto"/>
          </w:divBdr>
          <w:divsChild>
            <w:div w:id="835464585">
              <w:marLeft w:val="0"/>
              <w:marRight w:val="0"/>
              <w:marTop w:val="0"/>
              <w:marBottom w:val="0"/>
              <w:divBdr>
                <w:top w:val="none" w:sz="0" w:space="0" w:color="auto"/>
                <w:left w:val="none" w:sz="0" w:space="0" w:color="auto"/>
                <w:bottom w:val="none" w:sz="0" w:space="0" w:color="auto"/>
                <w:right w:val="none" w:sz="0" w:space="0" w:color="auto"/>
              </w:divBdr>
              <w:divsChild>
                <w:div w:id="1701736644">
                  <w:marLeft w:val="0"/>
                  <w:marRight w:val="0"/>
                  <w:marTop w:val="0"/>
                  <w:marBottom w:val="0"/>
                  <w:divBdr>
                    <w:top w:val="none" w:sz="0" w:space="0" w:color="auto"/>
                    <w:left w:val="none" w:sz="0" w:space="0" w:color="auto"/>
                    <w:bottom w:val="none" w:sz="0" w:space="0" w:color="auto"/>
                    <w:right w:val="none" w:sz="0" w:space="0" w:color="auto"/>
                  </w:divBdr>
                  <w:divsChild>
                    <w:div w:id="1403138798">
                      <w:marLeft w:val="0"/>
                      <w:marRight w:val="0"/>
                      <w:marTop w:val="0"/>
                      <w:marBottom w:val="0"/>
                      <w:divBdr>
                        <w:top w:val="none" w:sz="0" w:space="0" w:color="auto"/>
                        <w:left w:val="none" w:sz="0" w:space="0" w:color="auto"/>
                        <w:bottom w:val="none" w:sz="0" w:space="0" w:color="auto"/>
                        <w:right w:val="none" w:sz="0" w:space="0" w:color="auto"/>
                      </w:divBdr>
                    </w:div>
                    <w:div w:id="16403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11862887">
      <w:bodyDiv w:val="1"/>
      <w:marLeft w:val="0"/>
      <w:marRight w:val="0"/>
      <w:marTop w:val="0"/>
      <w:marBottom w:val="0"/>
      <w:divBdr>
        <w:top w:val="none" w:sz="0" w:space="0" w:color="auto"/>
        <w:left w:val="none" w:sz="0" w:space="0" w:color="auto"/>
        <w:bottom w:val="none" w:sz="0" w:space="0" w:color="auto"/>
        <w:right w:val="none" w:sz="0" w:space="0" w:color="auto"/>
      </w:divBdr>
    </w:div>
    <w:div w:id="1318728747">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29362688">
      <w:bodyDiv w:val="1"/>
      <w:marLeft w:val="0"/>
      <w:marRight w:val="0"/>
      <w:marTop w:val="0"/>
      <w:marBottom w:val="0"/>
      <w:divBdr>
        <w:top w:val="none" w:sz="0" w:space="0" w:color="auto"/>
        <w:left w:val="none" w:sz="0" w:space="0" w:color="auto"/>
        <w:bottom w:val="none" w:sz="0" w:space="0" w:color="auto"/>
        <w:right w:val="none" w:sz="0" w:space="0" w:color="auto"/>
      </w:divBdr>
    </w:div>
    <w:div w:id="1332220327">
      <w:bodyDiv w:val="1"/>
      <w:marLeft w:val="0"/>
      <w:marRight w:val="0"/>
      <w:marTop w:val="0"/>
      <w:marBottom w:val="0"/>
      <w:divBdr>
        <w:top w:val="none" w:sz="0" w:space="0" w:color="auto"/>
        <w:left w:val="none" w:sz="0" w:space="0" w:color="auto"/>
        <w:bottom w:val="none" w:sz="0" w:space="0" w:color="auto"/>
        <w:right w:val="none" w:sz="0" w:space="0" w:color="auto"/>
      </w:divBdr>
      <w:divsChild>
        <w:div w:id="538318248">
          <w:marLeft w:val="0"/>
          <w:marRight w:val="0"/>
          <w:marTop w:val="0"/>
          <w:marBottom w:val="0"/>
          <w:divBdr>
            <w:top w:val="none" w:sz="0" w:space="0" w:color="auto"/>
            <w:left w:val="none" w:sz="0" w:space="0" w:color="auto"/>
            <w:bottom w:val="none" w:sz="0" w:space="0" w:color="auto"/>
            <w:right w:val="none" w:sz="0" w:space="0" w:color="auto"/>
          </w:divBdr>
          <w:divsChild>
            <w:div w:id="224343094">
              <w:marLeft w:val="0"/>
              <w:marRight w:val="0"/>
              <w:marTop w:val="0"/>
              <w:marBottom w:val="0"/>
              <w:divBdr>
                <w:top w:val="none" w:sz="0" w:space="0" w:color="auto"/>
                <w:left w:val="none" w:sz="0" w:space="0" w:color="auto"/>
                <w:bottom w:val="none" w:sz="0" w:space="0" w:color="auto"/>
                <w:right w:val="none" w:sz="0" w:space="0" w:color="auto"/>
              </w:divBdr>
              <w:divsChild>
                <w:div w:id="759450286">
                  <w:marLeft w:val="0"/>
                  <w:marRight w:val="0"/>
                  <w:marTop w:val="0"/>
                  <w:marBottom w:val="0"/>
                  <w:divBdr>
                    <w:top w:val="none" w:sz="0" w:space="0" w:color="auto"/>
                    <w:left w:val="none" w:sz="0" w:space="0" w:color="auto"/>
                    <w:bottom w:val="none" w:sz="0" w:space="0" w:color="auto"/>
                    <w:right w:val="none" w:sz="0" w:space="0" w:color="auto"/>
                  </w:divBdr>
                  <w:divsChild>
                    <w:div w:id="11812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6362">
      <w:bodyDiv w:val="1"/>
      <w:marLeft w:val="0"/>
      <w:marRight w:val="0"/>
      <w:marTop w:val="0"/>
      <w:marBottom w:val="0"/>
      <w:divBdr>
        <w:top w:val="none" w:sz="0" w:space="0" w:color="auto"/>
        <w:left w:val="none" w:sz="0" w:space="0" w:color="auto"/>
        <w:bottom w:val="none" w:sz="0" w:space="0" w:color="auto"/>
        <w:right w:val="none" w:sz="0" w:space="0" w:color="auto"/>
      </w:divBdr>
    </w:div>
    <w:div w:id="1337880481">
      <w:bodyDiv w:val="1"/>
      <w:marLeft w:val="0"/>
      <w:marRight w:val="0"/>
      <w:marTop w:val="0"/>
      <w:marBottom w:val="0"/>
      <w:divBdr>
        <w:top w:val="none" w:sz="0" w:space="0" w:color="auto"/>
        <w:left w:val="none" w:sz="0" w:space="0" w:color="auto"/>
        <w:bottom w:val="none" w:sz="0" w:space="0" w:color="auto"/>
        <w:right w:val="none" w:sz="0" w:space="0" w:color="auto"/>
      </w:divBdr>
      <w:divsChild>
        <w:div w:id="965696283">
          <w:marLeft w:val="0"/>
          <w:marRight w:val="0"/>
          <w:marTop w:val="0"/>
          <w:marBottom w:val="0"/>
          <w:divBdr>
            <w:top w:val="none" w:sz="0" w:space="0" w:color="auto"/>
            <w:left w:val="none" w:sz="0" w:space="0" w:color="auto"/>
            <w:bottom w:val="none" w:sz="0" w:space="0" w:color="auto"/>
            <w:right w:val="none" w:sz="0" w:space="0" w:color="auto"/>
          </w:divBdr>
          <w:divsChild>
            <w:div w:id="1160459713">
              <w:marLeft w:val="0"/>
              <w:marRight w:val="0"/>
              <w:marTop w:val="0"/>
              <w:marBottom w:val="0"/>
              <w:divBdr>
                <w:top w:val="none" w:sz="0" w:space="0" w:color="auto"/>
                <w:left w:val="none" w:sz="0" w:space="0" w:color="auto"/>
                <w:bottom w:val="none" w:sz="0" w:space="0" w:color="auto"/>
                <w:right w:val="none" w:sz="0" w:space="0" w:color="auto"/>
              </w:divBdr>
              <w:divsChild>
                <w:div w:id="9801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39425945">
      <w:bodyDiv w:val="1"/>
      <w:marLeft w:val="0"/>
      <w:marRight w:val="0"/>
      <w:marTop w:val="0"/>
      <w:marBottom w:val="0"/>
      <w:divBdr>
        <w:top w:val="none" w:sz="0" w:space="0" w:color="auto"/>
        <w:left w:val="none" w:sz="0" w:space="0" w:color="auto"/>
        <w:bottom w:val="none" w:sz="0" w:space="0" w:color="auto"/>
        <w:right w:val="none" w:sz="0" w:space="0" w:color="auto"/>
      </w:divBdr>
      <w:divsChild>
        <w:div w:id="329646536">
          <w:marLeft w:val="0"/>
          <w:marRight w:val="0"/>
          <w:marTop w:val="0"/>
          <w:marBottom w:val="0"/>
          <w:divBdr>
            <w:top w:val="none" w:sz="0" w:space="0" w:color="auto"/>
            <w:left w:val="none" w:sz="0" w:space="0" w:color="auto"/>
            <w:bottom w:val="none" w:sz="0" w:space="0" w:color="auto"/>
            <w:right w:val="none" w:sz="0" w:space="0" w:color="auto"/>
          </w:divBdr>
          <w:divsChild>
            <w:div w:id="1448355663">
              <w:marLeft w:val="0"/>
              <w:marRight w:val="0"/>
              <w:marTop w:val="0"/>
              <w:marBottom w:val="0"/>
              <w:divBdr>
                <w:top w:val="none" w:sz="0" w:space="0" w:color="auto"/>
                <w:left w:val="none" w:sz="0" w:space="0" w:color="auto"/>
                <w:bottom w:val="none" w:sz="0" w:space="0" w:color="auto"/>
                <w:right w:val="none" w:sz="0" w:space="0" w:color="auto"/>
              </w:divBdr>
              <w:divsChild>
                <w:div w:id="1057163697">
                  <w:marLeft w:val="0"/>
                  <w:marRight w:val="0"/>
                  <w:marTop w:val="0"/>
                  <w:marBottom w:val="0"/>
                  <w:divBdr>
                    <w:top w:val="none" w:sz="0" w:space="0" w:color="auto"/>
                    <w:left w:val="none" w:sz="0" w:space="0" w:color="auto"/>
                    <w:bottom w:val="none" w:sz="0" w:space="0" w:color="auto"/>
                    <w:right w:val="none" w:sz="0" w:space="0" w:color="auto"/>
                  </w:divBdr>
                  <w:divsChild>
                    <w:div w:id="3604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7529">
      <w:bodyDiv w:val="1"/>
      <w:marLeft w:val="0"/>
      <w:marRight w:val="0"/>
      <w:marTop w:val="0"/>
      <w:marBottom w:val="0"/>
      <w:divBdr>
        <w:top w:val="none" w:sz="0" w:space="0" w:color="auto"/>
        <w:left w:val="none" w:sz="0" w:space="0" w:color="auto"/>
        <w:bottom w:val="none" w:sz="0" w:space="0" w:color="auto"/>
        <w:right w:val="none" w:sz="0" w:space="0" w:color="auto"/>
      </w:divBdr>
      <w:divsChild>
        <w:div w:id="1563055269">
          <w:marLeft w:val="0"/>
          <w:marRight w:val="0"/>
          <w:marTop w:val="0"/>
          <w:marBottom w:val="0"/>
          <w:divBdr>
            <w:top w:val="none" w:sz="0" w:space="0" w:color="auto"/>
            <w:left w:val="none" w:sz="0" w:space="0" w:color="auto"/>
            <w:bottom w:val="none" w:sz="0" w:space="0" w:color="auto"/>
            <w:right w:val="none" w:sz="0" w:space="0" w:color="auto"/>
          </w:divBdr>
          <w:divsChild>
            <w:div w:id="2099909669">
              <w:marLeft w:val="0"/>
              <w:marRight w:val="0"/>
              <w:marTop w:val="0"/>
              <w:marBottom w:val="0"/>
              <w:divBdr>
                <w:top w:val="none" w:sz="0" w:space="0" w:color="auto"/>
                <w:left w:val="none" w:sz="0" w:space="0" w:color="auto"/>
                <w:bottom w:val="none" w:sz="0" w:space="0" w:color="auto"/>
                <w:right w:val="none" w:sz="0" w:space="0" w:color="auto"/>
              </w:divBdr>
              <w:divsChild>
                <w:div w:id="189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5618">
      <w:bodyDiv w:val="1"/>
      <w:marLeft w:val="0"/>
      <w:marRight w:val="0"/>
      <w:marTop w:val="0"/>
      <w:marBottom w:val="0"/>
      <w:divBdr>
        <w:top w:val="none" w:sz="0" w:space="0" w:color="auto"/>
        <w:left w:val="none" w:sz="0" w:space="0" w:color="auto"/>
        <w:bottom w:val="none" w:sz="0" w:space="0" w:color="auto"/>
        <w:right w:val="none" w:sz="0" w:space="0" w:color="auto"/>
      </w:divBdr>
      <w:divsChild>
        <w:div w:id="1636134825">
          <w:marLeft w:val="0"/>
          <w:marRight w:val="0"/>
          <w:marTop w:val="0"/>
          <w:marBottom w:val="0"/>
          <w:divBdr>
            <w:top w:val="none" w:sz="0" w:space="0" w:color="auto"/>
            <w:left w:val="none" w:sz="0" w:space="0" w:color="auto"/>
            <w:bottom w:val="none" w:sz="0" w:space="0" w:color="auto"/>
            <w:right w:val="none" w:sz="0" w:space="0" w:color="auto"/>
          </w:divBdr>
          <w:divsChild>
            <w:div w:id="1521049596">
              <w:marLeft w:val="0"/>
              <w:marRight w:val="0"/>
              <w:marTop w:val="0"/>
              <w:marBottom w:val="0"/>
              <w:divBdr>
                <w:top w:val="none" w:sz="0" w:space="0" w:color="auto"/>
                <w:left w:val="none" w:sz="0" w:space="0" w:color="auto"/>
                <w:bottom w:val="none" w:sz="0" w:space="0" w:color="auto"/>
                <w:right w:val="none" w:sz="0" w:space="0" w:color="auto"/>
              </w:divBdr>
              <w:divsChild>
                <w:div w:id="11686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2587">
      <w:bodyDiv w:val="1"/>
      <w:marLeft w:val="0"/>
      <w:marRight w:val="0"/>
      <w:marTop w:val="0"/>
      <w:marBottom w:val="0"/>
      <w:divBdr>
        <w:top w:val="none" w:sz="0" w:space="0" w:color="auto"/>
        <w:left w:val="none" w:sz="0" w:space="0" w:color="auto"/>
        <w:bottom w:val="none" w:sz="0" w:space="0" w:color="auto"/>
        <w:right w:val="none" w:sz="0" w:space="0" w:color="auto"/>
      </w:divBdr>
    </w:div>
    <w:div w:id="1366098289">
      <w:bodyDiv w:val="1"/>
      <w:marLeft w:val="0"/>
      <w:marRight w:val="0"/>
      <w:marTop w:val="0"/>
      <w:marBottom w:val="0"/>
      <w:divBdr>
        <w:top w:val="none" w:sz="0" w:space="0" w:color="auto"/>
        <w:left w:val="none" w:sz="0" w:space="0" w:color="auto"/>
        <w:bottom w:val="none" w:sz="0" w:space="0" w:color="auto"/>
        <w:right w:val="none" w:sz="0" w:space="0" w:color="auto"/>
      </w:divBdr>
      <w:divsChild>
        <w:div w:id="1029724802">
          <w:marLeft w:val="0"/>
          <w:marRight w:val="0"/>
          <w:marTop w:val="0"/>
          <w:marBottom w:val="0"/>
          <w:divBdr>
            <w:top w:val="none" w:sz="0" w:space="0" w:color="auto"/>
            <w:left w:val="none" w:sz="0" w:space="0" w:color="auto"/>
            <w:bottom w:val="none" w:sz="0" w:space="0" w:color="auto"/>
            <w:right w:val="none" w:sz="0" w:space="0" w:color="auto"/>
          </w:divBdr>
          <w:divsChild>
            <w:div w:id="1409183269">
              <w:marLeft w:val="0"/>
              <w:marRight w:val="0"/>
              <w:marTop w:val="0"/>
              <w:marBottom w:val="0"/>
              <w:divBdr>
                <w:top w:val="none" w:sz="0" w:space="0" w:color="auto"/>
                <w:left w:val="none" w:sz="0" w:space="0" w:color="auto"/>
                <w:bottom w:val="none" w:sz="0" w:space="0" w:color="auto"/>
                <w:right w:val="none" w:sz="0" w:space="0" w:color="auto"/>
              </w:divBdr>
              <w:divsChild>
                <w:div w:id="9413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7124">
      <w:bodyDiv w:val="1"/>
      <w:marLeft w:val="0"/>
      <w:marRight w:val="0"/>
      <w:marTop w:val="0"/>
      <w:marBottom w:val="0"/>
      <w:divBdr>
        <w:top w:val="none" w:sz="0" w:space="0" w:color="auto"/>
        <w:left w:val="none" w:sz="0" w:space="0" w:color="auto"/>
        <w:bottom w:val="none" w:sz="0" w:space="0" w:color="auto"/>
        <w:right w:val="none" w:sz="0" w:space="0" w:color="auto"/>
      </w:divBdr>
    </w:div>
    <w:div w:id="1377007058">
      <w:bodyDiv w:val="1"/>
      <w:marLeft w:val="0"/>
      <w:marRight w:val="0"/>
      <w:marTop w:val="0"/>
      <w:marBottom w:val="0"/>
      <w:divBdr>
        <w:top w:val="none" w:sz="0" w:space="0" w:color="auto"/>
        <w:left w:val="none" w:sz="0" w:space="0" w:color="auto"/>
        <w:bottom w:val="none" w:sz="0" w:space="0" w:color="auto"/>
        <w:right w:val="none" w:sz="0" w:space="0" w:color="auto"/>
      </w:divBdr>
    </w:div>
    <w:div w:id="1379819147">
      <w:bodyDiv w:val="1"/>
      <w:marLeft w:val="0"/>
      <w:marRight w:val="0"/>
      <w:marTop w:val="0"/>
      <w:marBottom w:val="0"/>
      <w:divBdr>
        <w:top w:val="none" w:sz="0" w:space="0" w:color="auto"/>
        <w:left w:val="none" w:sz="0" w:space="0" w:color="auto"/>
        <w:bottom w:val="none" w:sz="0" w:space="0" w:color="auto"/>
        <w:right w:val="none" w:sz="0" w:space="0" w:color="auto"/>
      </w:divBdr>
      <w:divsChild>
        <w:div w:id="858664528">
          <w:marLeft w:val="0"/>
          <w:marRight w:val="0"/>
          <w:marTop w:val="0"/>
          <w:marBottom w:val="0"/>
          <w:divBdr>
            <w:top w:val="none" w:sz="0" w:space="0" w:color="auto"/>
            <w:left w:val="none" w:sz="0" w:space="0" w:color="auto"/>
            <w:bottom w:val="none" w:sz="0" w:space="0" w:color="auto"/>
            <w:right w:val="none" w:sz="0" w:space="0" w:color="auto"/>
          </w:divBdr>
          <w:divsChild>
            <w:div w:id="910847559">
              <w:marLeft w:val="0"/>
              <w:marRight w:val="0"/>
              <w:marTop w:val="0"/>
              <w:marBottom w:val="0"/>
              <w:divBdr>
                <w:top w:val="none" w:sz="0" w:space="0" w:color="auto"/>
                <w:left w:val="none" w:sz="0" w:space="0" w:color="auto"/>
                <w:bottom w:val="none" w:sz="0" w:space="0" w:color="auto"/>
                <w:right w:val="none" w:sz="0" w:space="0" w:color="auto"/>
              </w:divBdr>
              <w:divsChild>
                <w:div w:id="9034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672">
      <w:bodyDiv w:val="1"/>
      <w:marLeft w:val="0"/>
      <w:marRight w:val="0"/>
      <w:marTop w:val="0"/>
      <w:marBottom w:val="0"/>
      <w:divBdr>
        <w:top w:val="none" w:sz="0" w:space="0" w:color="auto"/>
        <w:left w:val="none" w:sz="0" w:space="0" w:color="auto"/>
        <w:bottom w:val="none" w:sz="0" w:space="0" w:color="auto"/>
        <w:right w:val="none" w:sz="0" w:space="0" w:color="auto"/>
      </w:divBdr>
      <w:divsChild>
        <w:div w:id="373235863">
          <w:marLeft w:val="0"/>
          <w:marRight w:val="0"/>
          <w:marTop w:val="0"/>
          <w:marBottom w:val="0"/>
          <w:divBdr>
            <w:top w:val="none" w:sz="0" w:space="0" w:color="auto"/>
            <w:left w:val="none" w:sz="0" w:space="0" w:color="auto"/>
            <w:bottom w:val="none" w:sz="0" w:space="0" w:color="auto"/>
            <w:right w:val="none" w:sz="0" w:space="0" w:color="auto"/>
          </w:divBdr>
          <w:divsChild>
            <w:div w:id="849836384">
              <w:marLeft w:val="0"/>
              <w:marRight w:val="0"/>
              <w:marTop w:val="0"/>
              <w:marBottom w:val="0"/>
              <w:divBdr>
                <w:top w:val="none" w:sz="0" w:space="0" w:color="auto"/>
                <w:left w:val="none" w:sz="0" w:space="0" w:color="auto"/>
                <w:bottom w:val="none" w:sz="0" w:space="0" w:color="auto"/>
                <w:right w:val="none" w:sz="0" w:space="0" w:color="auto"/>
              </w:divBdr>
              <w:divsChild>
                <w:div w:id="17558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3068">
      <w:bodyDiv w:val="1"/>
      <w:marLeft w:val="0"/>
      <w:marRight w:val="0"/>
      <w:marTop w:val="0"/>
      <w:marBottom w:val="0"/>
      <w:divBdr>
        <w:top w:val="none" w:sz="0" w:space="0" w:color="auto"/>
        <w:left w:val="none" w:sz="0" w:space="0" w:color="auto"/>
        <w:bottom w:val="none" w:sz="0" w:space="0" w:color="auto"/>
        <w:right w:val="none" w:sz="0" w:space="0" w:color="auto"/>
      </w:divBdr>
    </w:div>
    <w:div w:id="1399592437">
      <w:bodyDiv w:val="1"/>
      <w:marLeft w:val="0"/>
      <w:marRight w:val="0"/>
      <w:marTop w:val="0"/>
      <w:marBottom w:val="0"/>
      <w:divBdr>
        <w:top w:val="none" w:sz="0" w:space="0" w:color="auto"/>
        <w:left w:val="none" w:sz="0" w:space="0" w:color="auto"/>
        <w:bottom w:val="none" w:sz="0" w:space="0" w:color="auto"/>
        <w:right w:val="none" w:sz="0" w:space="0" w:color="auto"/>
      </w:divBdr>
      <w:divsChild>
        <w:div w:id="164901703">
          <w:marLeft w:val="0"/>
          <w:marRight w:val="0"/>
          <w:marTop w:val="0"/>
          <w:marBottom w:val="0"/>
          <w:divBdr>
            <w:top w:val="none" w:sz="0" w:space="0" w:color="auto"/>
            <w:left w:val="none" w:sz="0" w:space="0" w:color="auto"/>
            <w:bottom w:val="none" w:sz="0" w:space="0" w:color="auto"/>
            <w:right w:val="none" w:sz="0" w:space="0" w:color="auto"/>
          </w:divBdr>
          <w:divsChild>
            <w:div w:id="2058893690">
              <w:marLeft w:val="0"/>
              <w:marRight w:val="0"/>
              <w:marTop w:val="0"/>
              <w:marBottom w:val="0"/>
              <w:divBdr>
                <w:top w:val="none" w:sz="0" w:space="0" w:color="auto"/>
                <w:left w:val="none" w:sz="0" w:space="0" w:color="auto"/>
                <w:bottom w:val="none" w:sz="0" w:space="0" w:color="auto"/>
                <w:right w:val="none" w:sz="0" w:space="0" w:color="auto"/>
              </w:divBdr>
              <w:divsChild>
                <w:div w:id="845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718">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12115455">
      <w:bodyDiv w:val="1"/>
      <w:marLeft w:val="0"/>
      <w:marRight w:val="0"/>
      <w:marTop w:val="0"/>
      <w:marBottom w:val="0"/>
      <w:divBdr>
        <w:top w:val="none" w:sz="0" w:space="0" w:color="auto"/>
        <w:left w:val="none" w:sz="0" w:space="0" w:color="auto"/>
        <w:bottom w:val="none" w:sz="0" w:space="0" w:color="auto"/>
        <w:right w:val="none" w:sz="0" w:space="0" w:color="auto"/>
      </w:divBdr>
    </w:div>
    <w:div w:id="1412311124">
      <w:bodyDiv w:val="1"/>
      <w:marLeft w:val="0"/>
      <w:marRight w:val="0"/>
      <w:marTop w:val="0"/>
      <w:marBottom w:val="0"/>
      <w:divBdr>
        <w:top w:val="none" w:sz="0" w:space="0" w:color="auto"/>
        <w:left w:val="none" w:sz="0" w:space="0" w:color="auto"/>
        <w:bottom w:val="none" w:sz="0" w:space="0" w:color="auto"/>
        <w:right w:val="none" w:sz="0" w:space="0" w:color="auto"/>
      </w:divBdr>
    </w:div>
    <w:div w:id="1413621904">
      <w:bodyDiv w:val="1"/>
      <w:marLeft w:val="0"/>
      <w:marRight w:val="0"/>
      <w:marTop w:val="0"/>
      <w:marBottom w:val="0"/>
      <w:divBdr>
        <w:top w:val="none" w:sz="0" w:space="0" w:color="auto"/>
        <w:left w:val="none" w:sz="0" w:space="0" w:color="auto"/>
        <w:bottom w:val="none" w:sz="0" w:space="0" w:color="auto"/>
        <w:right w:val="none" w:sz="0" w:space="0" w:color="auto"/>
      </w:divBdr>
    </w:div>
    <w:div w:id="1413698404">
      <w:bodyDiv w:val="1"/>
      <w:marLeft w:val="0"/>
      <w:marRight w:val="0"/>
      <w:marTop w:val="0"/>
      <w:marBottom w:val="0"/>
      <w:divBdr>
        <w:top w:val="none" w:sz="0" w:space="0" w:color="auto"/>
        <w:left w:val="none" w:sz="0" w:space="0" w:color="auto"/>
        <w:bottom w:val="none" w:sz="0" w:space="0" w:color="auto"/>
        <w:right w:val="none" w:sz="0" w:space="0" w:color="auto"/>
      </w:divBdr>
      <w:divsChild>
        <w:div w:id="60368367">
          <w:marLeft w:val="0"/>
          <w:marRight w:val="0"/>
          <w:marTop w:val="0"/>
          <w:marBottom w:val="0"/>
          <w:divBdr>
            <w:top w:val="none" w:sz="0" w:space="0" w:color="auto"/>
            <w:left w:val="none" w:sz="0" w:space="0" w:color="auto"/>
            <w:bottom w:val="none" w:sz="0" w:space="0" w:color="auto"/>
            <w:right w:val="none" w:sz="0" w:space="0" w:color="auto"/>
          </w:divBdr>
          <w:divsChild>
            <w:div w:id="183904616">
              <w:marLeft w:val="0"/>
              <w:marRight w:val="0"/>
              <w:marTop w:val="0"/>
              <w:marBottom w:val="0"/>
              <w:divBdr>
                <w:top w:val="none" w:sz="0" w:space="0" w:color="auto"/>
                <w:left w:val="none" w:sz="0" w:space="0" w:color="auto"/>
                <w:bottom w:val="none" w:sz="0" w:space="0" w:color="auto"/>
                <w:right w:val="none" w:sz="0" w:space="0" w:color="auto"/>
              </w:divBdr>
              <w:divsChild>
                <w:div w:id="13438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3839">
      <w:bodyDiv w:val="1"/>
      <w:marLeft w:val="0"/>
      <w:marRight w:val="0"/>
      <w:marTop w:val="0"/>
      <w:marBottom w:val="0"/>
      <w:divBdr>
        <w:top w:val="none" w:sz="0" w:space="0" w:color="auto"/>
        <w:left w:val="none" w:sz="0" w:space="0" w:color="auto"/>
        <w:bottom w:val="none" w:sz="0" w:space="0" w:color="auto"/>
        <w:right w:val="none" w:sz="0" w:space="0" w:color="auto"/>
      </w:divBdr>
    </w:div>
    <w:div w:id="1418407726">
      <w:bodyDiv w:val="1"/>
      <w:marLeft w:val="0"/>
      <w:marRight w:val="0"/>
      <w:marTop w:val="0"/>
      <w:marBottom w:val="0"/>
      <w:divBdr>
        <w:top w:val="none" w:sz="0" w:space="0" w:color="auto"/>
        <w:left w:val="none" w:sz="0" w:space="0" w:color="auto"/>
        <w:bottom w:val="none" w:sz="0" w:space="0" w:color="auto"/>
        <w:right w:val="none" w:sz="0" w:space="0" w:color="auto"/>
      </w:divBdr>
    </w:div>
    <w:div w:id="1423844098">
      <w:bodyDiv w:val="1"/>
      <w:marLeft w:val="0"/>
      <w:marRight w:val="0"/>
      <w:marTop w:val="0"/>
      <w:marBottom w:val="0"/>
      <w:divBdr>
        <w:top w:val="none" w:sz="0" w:space="0" w:color="auto"/>
        <w:left w:val="none" w:sz="0" w:space="0" w:color="auto"/>
        <w:bottom w:val="none" w:sz="0" w:space="0" w:color="auto"/>
        <w:right w:val="none" w:sz="0" w:space="0" w:color="auto"/>
      </w:divBdr>
    </w:div>
    <w:div w:id="1427993293">
      <w:bodyDiv w:val="1"/>
      <w:marLeft w:val="0"/>
      <w:marRight w:val="0"/>
      <w:marTop w:val="0"/>
      <w:marBottom w:val="0"/>
      <w:divBdr>
        <w:top w:val="none" w:sz="0" w:space="0" w:color="auto"/>
        <w:left w:val="none" w:sz="0" w:space="0" w:color="auto"/>
        <w:bottom w:val="none" w:sz="0" w:space="0" w:color="auto"/>
        <w:right w:val="none" w:sz="0" w:space="0" w:color="auto"/>
      </w:divBdr>
    </w:div>
    <w:div w:id="1434278875">
      <w:bodyDiv w:val="1"/>
      <w:marLeft w:val="0"/>
      <w:marRight w:val="0"/>
      <w:marTop w:val="0"/>
      <w:marBottom w:val="0"/>
      <w:divBdr>
        <w:top w:val="none" w:sz="0" w:space="0" w:color="auto"/>
        <w:left w:val="none" w:sz="0" w:space="0" w:color="auto"/>
        <w:bottom w:val="none" w:sz="0" w:space="0" w:color="auto"/>
        <w:right w:val="none" w:sz="0" w:space="0" w:color="auto"/>
      </w:divBdr>
    </w:div>
    <w:div w:id="1442452967">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55637075">
      <w:bodyDiv w:val="1"/>
      <w:marLeft w:val="0"/>
      <w:marRight w:val="0"/>
      <w:marTop w:val="0"/>
      <w:marBottom w:val="0"/>
      <w:divBdr>
        <w:top w:val="none" w:sz="0" w:space="0" w:color="auto"/>
        <w:left w:val="none" w:sz="0" w:space="0" w:color="auto"/>
        <w:bottom w:val="none" w:sz="0" w:space="0" w:color="auto"/>
        <w:right w:val="none" w:sz="0" w:space="0" w:color="auto"/>
      </w:divBdr>
      <w:divsChild>
        <w:div w:id="325865807">
          <w:marLeft w:val="0"/>
          <w:marRight w:val="0"/>
          <w:marTop w:val="0"/>
          <w:marBottom w:val="0"/>
          <w:divBdr>
            <w:top w:val="none" w:sz="0" w:space="0" w:color="auto"/>
            <w:left w:val="none" w:sz="0" w:space="0" w:color="auto"/>
            <w:bottom w:val="none" w:sz="0" w:space="0" w:color="auto"/>
            <w:right w:val="none" w:sz="0" w:space="0" w:color="auto"/>
          </w:divBdr>
          <w:divsChild>
            <w:div w:id="1382098613">
              <w:marLeft w:val="0"/>
              <w:marRight w:val="0"/>
              <w:marTop w:val="0"/>
              <w:marBottom w:val="0"/>
              <w:divBdr>
                <w:top w:val="none" w:sz="0" w:space="0" w:color="auto"/>
                <w:left w:val="none" w:sz="0" w:space="0" w:color="auto"/>
                <w:bottom w:val="none" w:sz="0" w:space="0" w:color="auto"/>
                <w:right w:val="none" w:sz="0" w:space="0" w:color="auto"/>
              </w:divBdr>
              <w:divsChild>
                <w:div w:id="1090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7456">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66384604">
      <w:bodyDiv w:val="1"/>
      <w:marLeft w:val="0"/>
      <w:marRight w:val="0"/>
      <w:marTop w:val="0"/>
      <w:marBottom w:val="0"/>
      <w:divBdr>
        <w:top w:val="none" w:sz="0" w:space="0" w:color="auto"/>
        <w:left w:val="none" w:sz="0" w:space="0" w:color="auto"/>
        <w:bottom w:val="none" w:sz="0" w:space="0" w:color="auto"/>
        <w:right w:val="none" w:sz="0" w:space="0" w:color="auto"/>
      </w:divBdr>
    </w:div>
    <w:div w:id="1468471863">
      <w:bodyDiv w:val="1"/>
      <w:marLeft w:val="0"/>
      <w:marRight w:val="0"/>
      <w:marTop w:val="0"/>
      <w:marBottom w:val="0"/>
      <w:divBdr>
        <w:top w:val="none" w:sz="0" w:space="0" w:color="auto"/>
        <w:left w:val="none" w:sz="0" w:space="0" w:color="auto"/>
        <w:bottom w:val="none" w:sz="0" w:space="0" w:color="auto"/>
        <w:right w:val="none" w:sz="0" w:space="0" w:color="auto"/>
      </w:divBdr>
    </w:div>
    <w:div w:id="1468663633">
      <w:bodyDiv w:val="1"/>
      <w:marLeft w:val="0"/>
      <w:marRight w:val="0"/>
      <w:marTop w:val="0"/>
      <w:marBottom w:val="0"/>
      <w:divBdr>
        <w:top w:val="none" w:sz="0" w:space="0" w:color="auto"/>
        <w:left w:val="none" w:sz="0" w:space="0" w:color="auto"/>
        <w:bottom w:val="none" w:sz="0" w:space="0" w:color="auto"/>
        <w:right w:val="none" w:sz="0" w:space="0" w:color="auto"/>
      </w:divBdr>
      <w:divsChild>
        <w:div w:id="1311445559">
          <w:marLeft w:val="0"/>
          <w:marRight w:val="0"/>
          <w:marTop w:val="0"/>
          <w:marBottom w:val="0"/>
          <w:divBdr>
            <w:top w:val="none" w:sz="0" w:space="0" w:color="auto"/>
            <w:left w:val="none" w:sz="0" w:space="0" w:color="auto"/>
            <w:bottom w:val="none" w:sz="0" w:space="0" w:color="auto"/>
            <w:right w:val="none" w:sz="0" w:space="0" w:color="auto"/>
          </w:divBdr>
          <w:divsChild>
            <w:div w:id="2113090359">
              <w:marLeft w:val="0"/>
              <w:marRight w:val="0"/>
              <w:marTop w:val="0"/>
              <w:marBottom w:val="0"/>
              <w:divBdr>
                <w:top w:val="none" w:sz="0" w:space="0" w:color="auto"/>
                <w:left w:val="none" w:sz="0" w:space="0" w:color="auto"/>
                <w:bottom w:val="none" w:sz="0" w:space="0" w:color="auto"/>
                <w:right w:val="none" w:sz="0" w:space="0" w:color="auto"/>
              </w:divBdr>
              <w:divsChild>
                <w:div w:id="422341993">
                  <w:marLeft w:val="0"/>
                  <w:marRight w:val="0"/>
                  <w:marTop w:val="0"/>
                  <w:marBottom w:val="0"/>
                  <w:divBdr>
                    <w:top w:val="none" w:sz="0" w:space="0" w:color="auto"/>
                    <w:left w:val="none" w:sz="0" w:space="0" w:color="auto"/>
                    <w:bottom w:val="none" w:sz="0" w:space="0" w:color="auto"/>
                    <w:right w:val="none" w:sz="0" w:space="0" w:color="auto"/>
                  </w:divBdr>
                  <w:divsChild>
                    <w:div w:id="538856249">
                      <w:marLeft w:val="0"/>
                      <w:marRight w:val="0"/>
                      <w:marTop w:val="0"/>
                      <w:marBottom w:val="0"/>
                      <w:divBdr>
                        <w:top w:val="none" w:sz="0" w:space="0" w:color="auto"/>
                        <w:left w:val="none" w:sz="0" w:space="0" w:color="auto"/>
                        <w:bottom w:val="none" w:sz="0" w:space="0" w:color="auto"/>
                        <w:right w:val="none" w:sz="0" w:space="0" w:color="auto"/>
                      </w:divBdr>
                    </w:div>
                    <w:div w:id="18393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31667">
      <w:bodyDiv w:val="1"/>
      <w:marLeft w:val="0"/>
      <w:marRight w:val="0"/>
      <w:marTop w:val="0"/>
      <w:marBottom w:val="0"/>
      <w:divBdr>
        <w:top w:val="none" w:sz="0" w:space="0" w:color="auto"/>
        <w:left w:val="none" w:sz="0" w:space="0" w:color="auto"/>
        <w:bottom w:val="none" w:sz="0" w:space="0" w:color="auto"/>
        <w:right w:val="none" w:sz="0" w:space="0" w:color="auto"/>
      </w:divBdr>
      <w:divsChild>
        <w:div w:id="2074543477">
          <w:marLeft w:val="0"/>
          <w:marRight w:val="0"/>
          <w:marTop w:val="0"/>
          <w:marBottom w:val="0"/>
          <w:divBdr>
            <w:top w:val="none" w:sz="0" w:space="0" w:color="auto"/>
            <w:left w:val="none" w:sz="0" w:space="0" w:color="auto"/>
            <w:bottom w:val="none" w:sz="0" w:space="0" w:color="auto"/>
            <w:right w:val="none" w:sz="0" w:space="0" w:color="auto"/>
          </w:divBdr>
          <w:divsChild>
            <w:div w:id="1293169187">
              <w:marLeft w:val="0"/>
              <w:marRight w:val="0"/>
              <w:marTop w:val="0"/>
              <w:marBottom w:val="0"/>
              <w:divBdr>
                <w:top w:val="none" w:sz="0" w:space="0" w:color="auto"/>
                <w:left w:val="none" w:sz="0" w:space="0" w:color="auto"/>
                <w:bottom w:val="none" w:sz="0" w:space="0" w:color="auto"/>
                <w:right w:val="none" w:sz="0" w:space="0" w:color="auto"/>
              </w:divBdr>
              <w:divsChild>
                <w:div w:id="1659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86592">
      <w:bodyDiv w:val="1"/>
      <w:marLeft w:val="0"/>
      <w:marRight w:val="0"/>
      <w:marTop w:val="0"/>
      <w:marBottom w:val="0"/>
      <w:divBdr>
        <w:top w:val="none" w:sz="0" w:space="0" w:color="auto"/>
        <w:left w:val="none" w:sz="0" w:space="0" w:color="auto"/>
        <w:bottom w:val="none" w:sz="0" w:space="0" w:color="auto"/>
        <w:right w:val="none" w:sz="0" w:space="0" w:color="auto"/>
      </w:divBdr>
    </w:div>
    <w:div w:id="1479683208">
      <w:bodyDiv w:val="1"/>
      <w:marLeft w:val="0"/>
      <w:marRight w:val="0"/>
      <w:marTop w:val="0"/>
      <w:marBottom w:val="0"/>
      <w:divBdr>
        <w:top w:val="none" w:sz="0" w:space="0" w:color="auto"/>
        <w:left w:val="none" w:sz="0" w:space="0" w:color="auto"/>
        <w:bottom w:val="none" w:sz="0" w:space="0" w:color="auto"/>
        <w:right w:val="none" w:sz="0" w:space="0" w:color="auto"/>
      </w:divBdr>
    </w:div>
    <w:div w:id="1480656189">
      <w:bodyDiv w:val="1"/>
      <w:marLeft w:val="0"/>
      <w:marRight w:val="0"/>
      <w:marTop w:val="0"/>
      <w:marBottom w:val="0"/>
      <w:divBdr>
        <w:top w:val="none" w:sz="0" w:space="0" w:color="auto"/>
        <w:left w:val="none" w:sz="0" w:space="0" w:color="auto"/>
        <w:bottom w:val="none" w:sz="0" w:space="0" w:color="auto"/>
        <w:right w:val="none" w:sz="0" w:space="0" w:color="auto"/>
      </w:divBdr>
      <w:divsChild>
        <w:div w:id="1740247140">
          <w:marLeft w:val="0"/>
          <w:marRight w:val="0"/>
          <w:marTop w:val="0"/>
          <w:marBottom w:val="0"/>
          <w:divBdr>
            <w:top w:val="none" w:sz="0" w:space="0" w:color="auto"/>
            <w:left w:val="none" w:sz="0" w:space="0" w:color="auto"/>
            <w:bottom w:val="none" w:sz="0" w:space="0" w:color="auto"/>
            <w:right w:val="none" w:sz="0" w:space="0" w:color="auto"/>
          </w:divBdr>
          <w:divsChild>
            <w:div w:id="1207715057">
              <w:marLeft w:val="0"/>
              <w:marRight w:val="0"/>
              <w:marTop w:val="0"/>
              <w:marBottom w:val="0"/>
              <w:divBdr>
                <w:top w:val="none" w:sz="0" w:space="0" w:color="auto"/>
                <w:left w:val="none" w:sz="0" w:space="0" w:color="auto"/>
                <w:bottom w:val="none" w:sz="0" w:space="0" w:color="auto"/>
                <w:right w:val="none" w:sz="0" w:space="0" w:color="auto"/>
              </w:divBdr>
              <w:divsChild>
                <w:div w:id="12347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5842">
      <w:bodyDiv w:val="1"/>
      <w:marLeft w:val="0"/>
      <w:marRight w:val="0"/>
      <w:marTop w:val="0"/>
      <w:marBottom w:val="0"/>
      <w:divBdr>
        <w:top w:val="none" w:sz="0" w:space="0" w:color="auto"/>
        <w:left w:val="none" w:sz="0" w:space="0" w:color="auto"/>
        <w:bottom w:val="none" w:sz="0" w:space="0" w:color="auto"/>
        <w:right w:val="none" w:sz="0" w:space="0" w:color="auto"/>
      </w:divBdr>
    </w:div>
    <w:div w:id="1486582412">
      <w:bodyDiv w:val="1"/>
      <w:marLeft w:val="0"/>
      <w:marRight w:val="0"/>
      <w:marTop w:val="0"/>
      <w:marBottom w:val="0"/>
      <w:divBdr>
        <w:top w:val="none" w:sz="0" w:space="0" w:color="auto"/>
        <w:left w:val="none" w:sz="0" w:space="0" w:color="auto"/>
        <w:bottom w:val="none" w:sz="0" w:space="0" w:color="auto"/>
        <w:right w:val="none" w:sz="0" w:space="0" w:color="auto"/>
      </w:divBdr>
      <w:divsChild>
        <w:div w:id="1558273917">
          <w:marLeft w:val="0"/>
          <w:marRight w:val="0"/>
          <w:marTop w:val="0"/>
          <w:marBottom w:val="0"/>
          <w:divBdr>
            <w:top w:val="none" w:sz="0" w:space="0" w:color="auto"/>
            <w:left w:val="none" w:sz="0" w:space="0" w:color="auto"/>
            <w:bottom w:val="none" w:sz="0" w:space="0" w:color="auto"/>
            <w:right w:val="none" w:sz="0" w:space="0" w:color="auto"/>
          </w:divBdr>
          <w:divsChild>
            <w:div w:id="1142428309">
              <w:marLeft w:val="0"/>
              <w:marRight w:val="0"/>
              <w:marTop w:val="0"/>
              <w:marBottom w:val="0"/>
              <w:divBdr>
                <w:top w:val="none" w:sz="0" w:space="0" w:color="auto"/>
                <w:left w:val="none" w:sz="0" w:space="0" w:color="auto"/>
                <w:bottom w:val="none" w:sz="0" w:space="0" w:color="auto"/>
                <w:right w:val="none" w:sz="0" w:space="0" w:color="auto"/>
              </w:divBdr>
              <w:divsChild>
                <w:div w:id="1057777890">
                  <w:marLeft w:val="0"/>
                  <w:marRight w:val="0"/>
                  <w:marTop w:val="0"/>
                  <w:marBottom w:val="0"/>
                  <w:divBdr>
                    <w:top w:val="none" w:sz="0" w:space="0" w:color="auto"/>
                    <w:left w:val="none" w:sz="0" w:space="0" w:color="auto"/>
                    <w:bottom w:val="none" w:sz="0" w:space="0" w:color="auto"/>
                    <w:right w:val="none" w:sz="0" w:space="0" w:color="auto"/>
                  </w:divBdr>
                  <w:divsChild>
                    <w:div w:id="6395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70976">
      <w:bodyDiv w:val="1"/>
      <w:marLeft w:val="0"/>
      <w:marRight w:val="0"/>
      <w:marTop w:val="0"/>
      <w:marBottom w:val="0"/>
      <w:divBdr>
        <w:top w:val="none" w:sz="0" w:space="0" w:color="auto"/>
        <w:left w:val="none" w:sz="0" w:space="0" w:color="auto"/>
        <w:bottom w:val="none" w:sz="0" w:space="0" w:color="auto"/>
        <w:right w:val="none" w:sz="0" w:space="0" w:color="auto"/>
      </w:divBdr>
    </w:div>
    <w:div w:id="1503549033">
      <w:bodyDiv w:val="1"/>
      <w:marLeft w:val="0"/>
      <w:marRight w:val="0"/>
      <w:marTop w:val="0"/>
      <w:marBottom w:val="0"/>
      <w:divBdr>
        <w:top w:val="none" w:sz="0" w:space="0" w:color="auto"/>
        <w:left w:val="none" w:sz="0" w:space="0" w:color="auto"/>
        <w:bottom w:val="none" w:sz="0" w:space="0" w:color="auto"/>
        <w:right w:val="none" w:sz="0" w:space="0" w:color="auto"/>
      </w:divBdr>
      <w:divsChild>
        <w:div w:id="1981644201">
          <w:marLeft w:val="0"/>
          <w:marRight w:val="0"/>
          <w:marTop w:val="0"/>
          <w:marBottom w:val="0"/>
          <w:divBdr>
            <w:top w:val="none" w:sz="0" w:space="0" w:color="auto"/>
            <w:left w:val="none" w:sz="0" w:space="0" w:color="auto"/>
            <w:bottom w:val="none" w:sz="0" w:space="0" w:color="auto"/>
            <w:right w:val="none" w:sz="0" w:space="0" w:color="auto"/>
          </w:divBdr>
          <w:divsChild>
            <w:div w:id="1560625343">
              <w:marLeft w:val="0"/>
              <w:marRight w:val="0"/>
              <w:marTop w:val="0"/>
              <w:marBottom w:val="0"/>
              <w:divBdr>
                <w:top w:val="none" w:sz="0" w:space="0" w:color="auto"/>
                <w:left w:val="none" w:sz="0" w:space="0" w:color="auto"/>
                <w:bottom w:val="none" w:sz="0" w:space="0" w:color="auto"/>
                <w:right w:val="none" w:sz="0" w:space="0" w:color="auto"/>
              </w:divBdr>
              <w:divsChild>
                <w:div w:id="1987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4292">
      <w:bodyDiv w:val="1"/>
      <w:marLeft w:val="0"/>
      <w:marRight w:val="0"/>
      <w:marTop w:val="0"/>
      <w:marBottom w:val="0"/>
      <w:divBdr>
        <w:top w:val="none" w:sz="0" w:space="0" w:color="auto"/>
        <w:left w:val="none" w:sz="0" w:space="0" w:color="auto"/>
        <w:bottom w:val="none" w:sz="0" w:space="0" w:color="auto"/>
        <w:right w:val="none" w:sz="0" w:space="0" w:color="auto"/>
      </w:divBdr>
    </w:div>
    <w:div w:id="1524708288">
      <w:bodyDiv w:val="1"/>
      <w:marLeft w:val="0"/>
      <w:marRight w:val="0"/>
      <w:marTop w:val="0"/>
      <w:marBottom w:val="0"/>
      <w:divBdr>
        <w:top w:val="none" w:sz="0" w:space="0" w:color="auto"/>
        <w:left w:val="none" w:sz="0" w:space="0" w:color="auto"/>
        <w:bottom w:val="none" w:sz="0" w:space="0" w:color="auto"/>
        <w:right w:val="none" w:sz="0" w:space="0" w:color="auto"/>
      </w:divBdr>
      <w:divsChild>
        <w:div w:id="665279026">
          <w:marLeft w:val="0"/>
          <w:marRight w:val="0"/>
          <w:marTop w:val="0"/>
          <w:marBottom w:val="0"/>
          <w:divBdr>
            <w:top w:val="none" w:sz="0" w:space="0" w:color="auto"/>
            <w:left w:val="none" w:sz="0" w:space="0" w:color="auto"/>
            <w:bottom w:val="none" w:sz="0" w:space="0" w:color="auto"/>
            <w:right w:val="none" w:sz="0" w:space="0" w:color="auto"/>
          </w:divBdr>
          <w:divsChild>
            <w:div w:id="585503683">
              <w:marLeft w:val="0"/>
              <w:marRight w:val="0"/>
              <w:marTop w:val="0"/>
              <w:marBottom w:val="0"/>
              <w:divBdr>
                <w:top w:val="none" w:sz="0" w:space="0" w:color="auto"/>
                <w:left w:val="none" w:sz="0" w:space="0" w:color="auto"/>
                <w:bottom w:val="none" w:sz="0" w:space="0" w:color="auto"/>
                <w:right w:val="none" w:sz="0" w:space="0" w:color="auto"/>
              </w:divBdr>
              <w:divsChild>
                <w:div w:id="13889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9059">
      <w:bodyDiv w:val="1"/>
      <w:marLeft w:val="0"/>
      <w:marRight w:val="0"/>
      <w:marTop w:val="0"/>
      <w:marBottom w:val="0"/>
      <w:divBdr>
        <w:top w:val="none" w:sz="0" w:space="0" w:color="auto"/>
        <w:left w:val="none" w:sz="0" w:space="0" w:color="auto"/>
        <w:bottom w:val="none" w:sz="0" w:space="0" w:color="auto"/>
        <w:right w:val="none" w:sz="0" w:space="0" w:color="auto"/>
      </w:divBdr>
    </w:div>
    <w:div w:id="1530993026">
      <w:bodyDiv w:val="1"/>
      <w:marLeft w:val="0"/>
      <w:marRight w:val="0"/>
      <w:marTop w:val="0"/>
      <w:marBottom w:val="0"/>
      <w:divBdr>
        <w:top w:val="none" w:sz="0" w:space="0" w:color="auto"/>
        <w:left w:val="none" w:sz="0" w:space="0" w:color="auto"/>
        <w:bottom w:val="none" w:sz="0" w:space="0" w:color="auto"/>
        <w:right w:val="none" w:sz="0" w:space="0" w:color="auto"/>
      </w:divBdr>
    </w:div>
    <w:div w:id="1531727482">
      <w:bodyDiv w:val="1"/>
      <w:marLeft w:val="0"/>
      <w:marRight w:val="0"/>
      <w:marTop w:val="0"/>
      <w:marBottom w:val="0"/>
      <w:divBdr>
        <w:top w:val="none" w:sz="0" w:space="0" w:color="auto"/>
        <w:left w:val="none" w:sz="0" w:space="0" w:color="auto"/>
        <w:bottom w:val="none" w:sz="0" w:space="0" w:color="auto"/>
        <w:right w:val="none" w:sz="0" w:space="0" w:color="auto"/>
      </w:divBdr>
    </w:div>
    <w:div w:id="1537084818">
      <w:bodyDiv w:val="1"/>
      <w:marLeft w:val="0"/>
      <w:marRight w:val="0"/>
      <w:marTop w:val="0"/>
      <w:marBottom w:val="0"/>
      <w:divBdr>
        <w:top w:val="none" w:sz="0" w:space="0" w:color="auto"/>
        <w:left w:val="none" w:sz="0" w:space="0" w:color="auto"/>
        <w:bottom w:val="none" w:sz="0" w:space="0" w:color="auto"/>
        <w:right w:val="none" w:sz="0" w:space="0" w:color="auto"/>
      </w:divBdr>
      <w:divsChild>
        <w:div w:id="7801676">
          <w:marLeft w:val="0"/>
          <w:marRight w:val="0"/>
          <w:marTop w:val="0"/>
          <w:marBottom w:val="0"/>
          <w:divBdr>
            <w:top w:val="none" w:sz="0" w:space="0" w:color="auto"/>
            <w:left w:val="none" w:sz="0" w:space="0" w:color="auto"/>
            <w:bottom w:val="none" w:sz="0" w:space="0" w:color="auto"/>
            <w:right w:val="none" w:sz="0" w:space="0" w:color="auto"/>
          </w:divBdr>
        </w:div>
      </w:divsChild>
    </w:div>
    <w:div w:id="1537893560">
      <w:bodyDiv w:val="1"/>
      <w:marLeft w:val="0"/>
      <w:marRight w:val="0"/>
      <w:marTop w:val="0"/>
      <w:marBottom w:val="0"/>
      <w:divBdr>
        <w:top w:val="none" w:sz="0" w:space="0" w:color="auto"/>
        <w:left w:val="none" w:sz="0" w:space="0" w:color="auto"/>
        <w:bottom w:val="none" w:sz="0" w:space="0" w:color="auto"/>
        <w:right w:val="none" w:sz="0" w:space="0" w:color="auto"/>
      </w:divBdr>
    </w:div>
    <w:div w:id="1541670434">
      <w:bodyDiv w:val="1"/>
      <w:marLeft w:val="0"/>
      <w:marRight w:val="0"/>
      <w:marTop w:val="0"/>
      <w:marBottom w:val="0"/>
      <w:divBdr>
        <w:top w:val="none" w:sz="0" w:space="0" w:color="auto"/>
        <w:left w:val="none" w:sz="0" w:space="0" w:color="auto"/>
        <w:bottom w:val="none" w:sz="0" w:space="0" w:color="auto"/>
        <w:right w:val="none" w:sz="0" w:space="0" w:color="auto"/>
      </w:divBdr>
      <w:divsChild>
        <w:div w:id="1593510785">
          <w:marLeft w:val="0"/>
          <w:marRight w:val="0"/>
          <w:marTop w:val="0"/>
          <w:marBottom w:val="0"/>
          <w:divBdr>
            <w:top w:val="none" w:sz="0" w:space="0" w:color="auto"/>
            <w:left w:val="none" w:sz="0" w:space="0" w:color="auto"/>
            <w:bottom w:val="none" w:sz="0" w:space="0" w:color="auto"/>
            <w:right w:val="none" w:sz="0" w:space="0" w:color="auto"/>
          </w:divBdr>
          <w:divsChild>
            <w:div w:id="2013411738">
              <w:marLeft w:val="0"/>
              <w:marRight w:val="0"/>
              <w:marTop w:val="0"/>
              <w:marBottom w:val="0"/>
              <w:divBdr>
                <w:top w:val="none" w:sz="0" w:space="0" w:color="auto"/>
                <w:left w:val="none" w:sz="0" w:space="0" w:color="auto"/>
                <w:bottom w:val="none" w:sz="0" w:space="0" w:color="auto"/>
                <w:right w:val="none" w:sz="0" w:space="0" w:color="auto"/>
              </w:divBdr>
              <w:divsChild>
                <w:div w:id="1141001698">
                  <w:marLeft w:val="0"/>
                  <w:marRight w:val="0"/>
                  <w:marTop w:val="0"/>
                  <w:marBottom w:val="0"/>
                  <w:divBdr>
                    <w:top w:val="none" w:sz="0" w:space="0" w:color="auto"/>
                    <w:left w:val="none" w:sz="0" w:space="0" w:color="auto"/>
                    <w:bottom w:val="none" w:sz="0" w:space="0" w:color="auto"/>
                    <w:right w:val="none" w:sz="0" w:space="0" w:color="auto"/>
                  </w:divBdr>
                  <w:divsChild>
                    <w:div w:id="12637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7634">
      <w:bodyDiv w:val="1"/>
      <w:marLeft w:val="0"/>
      <w:marRight w:val="0"/>
      <w:marTop w:val="0"/>
      <w:marBottom w:val="0"/>
      <w:divBdr>
        <w:top w:val="none" w:sz="0" w:space="0" w:color="auto"/>
        <w:left w:val="none" w:sz="0" w:space="0" w:color="auto"/>
        <w:bottom w:val="none" w:sz="0" w:space="0" w:color="auto"/>
        <w:right w:val="none" w:sz="0" w:space="0" w:color="auto"/>
      </w:divBdr>
      <w:divsChild>
        <w:div w:id="1533231034">
          <w:marLeft w:val="0"/>
          <w:marRight w:val="0"/>
          <w:marTop w:val="0"/>
          <w:marBottom w:val="0"/>
          <w:divBdr>
            <w:top w:val="none" w:sz="0" w:space="0" w:color="auto"/>
            <w:left w:val="none" w:sz="0" w:space="0" w:color="auto"/>
            <w:bottom w:val="none" w:sz="0" w:space="0" w:color="auto"/>
            <w:right w:val="none" w:sz="0" w:space="0" w:color="auto"/>
          </w:divBdr>
          <w:divsChild>
            <w:div w:id="358045291">
              <w:marLeft w:val="0"/>
              <w:marRight w:val="0"/>
              <w:marTop w:val="0"/>
              <w:marBottom w:val="0"/>
              <w:divBdr>
                <w:top w:val="none" w:sz="0" w:space="0" w:color="auto"/>
                <w:left w:val="none" w:sz="0" w:space="0" w:color="auto"/>
                <w:bottom w:val="none" w:sz="0" w:space="0" w:color="auto"/>
                <w:right w:val="none" w:sz="0" w:space="0" w:color="auto"/>
              </w:divBdr>
              <w:divsChild>
                <w:div w:id="716667993">
                  <w:marLeft w:val="0"/>
                  <w:marRight w:val="0"/>
                  <w:marTop w:val="0"/>
                  <w:marBottom w:val="0"/>
                  <w:divBdr>
                    <w:top w:val="none" w:sz="0" w:space="0" w:color="auto"/>
                    <w:left w:val="none" w:sz="0" w:space="0" w:color="auto"/>
                    <w:bottom w:val="none" w:sz="0" w:space="0" w:color="auto"/>
                    <w:right w:val="none" w:sz="0" w:space="0" w:color="auto"/>
                  </w:divBdr>
                  <w:divsChild>
                    <w:div w:id="2988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24592">
      <w:bodyDiv w:val="1"/>
      <w:marLeft w:val="0"/>
      <w:marRight w:val="0"/>
      <w:marTop w:val="0"/>
      <w:marBottom w:val="0"/>
      <w:divBdr>
        <w:top w:val="none" w:sz="0" w:space="0" w:color="auto"/>
        <w:left w:val="none" w:sz="0" w:space="0" w:color="auto"/>
        <w:bottom w:val="none" w:sz="0" w:space="0" w:color="auto"/>
        <w:right w:val="none" w:sz="0" w:space="0" w:color="auto"/>
      </w:divBdr>
    </w:div>
    <w:div w:id="1577780821">
      <w:bodyDiv w:val="1"/>
      <w:marLeft w:val="0"/>
      <w:marRight w:val="0"/>
      <w:marTop w:val="0"/>
      <w:marBottom w:val="0"/>
      <w:divBdr>
        <w:top w:val="none" w:sz="0" w:space="0" w:color="auto"/>
        <w:left w:val="none" w:sz="0" w:space="0" w:color="auto"/>
        <w:bottom w:val="none" w:sz="0" w:space="0" w:color="auto"/>
        <w:right w:val="none" w:sz="0" w:space="0" w:color="auto"/>
      </w:divBdr>
      <w:divsChild>
        <w:div w:id="1175801153">
          <w:marLeft w:val="0"/>
          <w:marRight w:val="0"/>
          <w:marTop w:val="0"/>
          <w:marBottom w:val="0"/>
          <w:divBdr>
            <w:top w:val="none" w:sz="0" w:space="0" w:color="auto"/>
            <w:left w:val="none" w:sz="0" w:space="0" w:color="auto"/>
            <w:bottom w:val="none" w:sz="0" w:space="0" w:color="auto"/>
            <w:right w:val="none" w:sz="0" w:space="0" w:color="auto"/>
          </w:divBdr>
          <w:divsChild>
            <w:div w:id="1019701797">
              <w:marLeft w:val="0"/>
              <w:marRight w:val="0"/>
              <w:marTop w:val="0"/>
              <w:marBottom w:val="0"/>
              <w:divBdr>
                <w:top w:val="none" w:sz="0" w:space="0" w:color="auto"/>
                <w:left w:val="none" w:sz="0" w:space="0" w:color="auto"/>
                <w:bottom w:val="none" w:sz="0" w:space="0" w:color="auto"/>
                <w:right w:val="none" w:sz="0" w:space="0" w:color="auto"/>
              </w:divBdr>
              <w:divsChild>
                <w:div w:id="3549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8061">
      <w:bodyDiv w:val="1"/>
      <w:marLeft w:val="0"/>
      <w:marRight w:val="0"/>
      <w:marTop w:val="0"/>
      <w:marBottom w:val="0"/>
      <w:divBdr>
        <w:top w:val="none" w:sz="0" w:space="0" w:color="auto"/>
        <w:left w:val="none" w:sz="0" w:space="0" w:color="auto"/>
        <w:bottom w:val="none" w:sz="0" w:space="0" w:color="auto"/>
        <w:right w:val="none" w:sz="0" w:space="0" w:color="auto"/>
      </w:divBdr>
    </w:div>
    <w:div w:id="1583031397">
      <w:bodyDiv w:val="1"/>
      <w:marLeft w:val="0"/>
      <w:marRight w:val="0"/>
      <w:marTop w:val="0"/>
      <w:marBottom w:val="0"/>
      <w:divBdr>
        <w:top w:val="none" w:sz="0" w:space="0" w:color="auto"/>
        <w:left w:val="none" w:sz="0" w:space="0" w:color="auto"/>
        <w:bottom w:val="none" w:sz="0" w:space="0" w:color="auto"/>
        <w:right w:val="none" w:sz="0" w:space="0" w:color="auto"/>
      </w:divBdr>
      <w:divsChild>
        <w:div w:id="520322693">
          <w:marLeft w:val="0"/>
          <w:marRight w:val="0"/>
          <w:marTop w:val="0"/>
          <w:marBottom w:val="0"/>
          <w:divBdr>
            <w:top w:val="none" w:sz="0" w:space="0" w:color="auto"/>
            <w:left w:val="none" w:sz="0" w:space="0" w:color="auto"/>
            <w:bottom w:val="none" w:sz="0" w:space="0" w:color="auto"/>
            <w:right w:val="none" w:sz="0" w:space="0" w:color="auto"/>
          </w:divBdr>
          <w:divsChild>
            <w:div w:id="1954243725">
              <w:marLeft w:val="0"/>
              <w:marRight w:val="0"/>
              <w:marTop w:val="0"/>
              <w:marBottom w:val="0"/>
              <w:divBdr>
                <w:top w:val="none" w:sz="0" w:space="0" w:color="auto"/>
                <w:left w:val="none" w:sz="0" w:space="0" w:color="auto"/>
                <w:bottom w:val="none" w:sz="0" w:space="0" w:color="auto"/>
                <w:right w:val="none" w:sz="0" w:space="0" w:color="auto"/>
              </w:divBdr>
              <w:divsChild>
                <w:div w:id="20586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0894291">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597396600">
      <w:bodyDiv w:val="1"/>
      <w:marLeft w:val="0"/>
      <w:marRight w:val="0"/>
      <w:marTop w:val="0"/>
      <w:marBottom w:val="0"/>
      <w:divBdr>
        <w:top w:val="none" w:sz="0" w:space="0" w:color="auto"/>
        <w:left w:val="none" w:sz="0" w:space="0" w:color="auto"/>
        <w:bottom w:val="none" w:sz="0" w:space="0" w:color="auto"/>
        <w:right w:val="none" w:sz="0" w:space="0" w:color="auto"/>
      </w:divBdr>
    </w:div>
    <w:div w:id="1601068275">
      <w:bodyDiv w:val="1"/>
      <w:marLeft w:val="0"/>
      <w:marRight w:val="0"/>
      <w:marTop w:val="0"/>
      <w:marBottom w:val="0"/>
      <w:divBdr>
        <w:top w:val="none" w:sz="0" w:space="0" w:color="auto"/>
        <w:left w:val="none" w:sz="0" w:space="0" w:color="auto"/>
        <w:bottom w:val="none" w:sz="0" w:space="0" w:color="auto"/>
        <w:right w:val="none" w:sz="0" w:space="0" w:color="auto"/>
      </w:divBdr>
      <w:divsChild>
        <w:div w:id="1428966341">
          <w:marLeft w:val="0"/>
          <w:marRight w:val="0"/>
          <w:marTop w:val="0"/>
          <w:marBottom w:val="0"/>
          <w:divBdr>
            <w:top w:val="none" w:sz="0" w:space="0" w:color="auto"/>
            <w:left w:val="none" w:sz="0" w:space="0" w:color="auto"/>
            <w:bottom w:val="none" w:sz="0" w:space="0" w:color="auto"/>
            <w:right w:val="none" w:sz="0" w:space="0" w:color="auto"/>
          </w:divBdr>
          <w:divsChild>
            <w:div w:id="846942833">
              <w:marLeft w:val="0"/>
              <w:marRight w:val="0"/>
              <w:marTop w:val="0"/>
              <w:marBottom w:val="0"/>
              <w:divBdr>
                <w:top w:val="none" w:sz="0" w:space="0" w:color="auto"/>
                <w:left w:val="none" w:sz="0" w:space="0" w:color="auto"/>
                <w:bottom w:val="none" w:sz="0" w:space="0" w:color="auto"/>
                <w:right w:val="none" w:sz="0" w:space="0" w:color="auto"/>
              </w:divBdr>
              <w:divsChild>
                <w:div w:id="857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09654678">
      <w:bodyDiv w:val="1"/>
      <w:marLeft w:val="0"/>
      <w:marRight w:val="0"/>
      <w:marTop w:val="0"/>
      <w:marBottom w:val="0"/>
      <w:divBdr>
        <w:top w:val="none" w:sz="0" w:space="0" w:color="auto"/>
        <w:left w:val="none" w:sz="0" w:space="0" w:color="auto"/>
        <w:bottom w:val="none" w:sz="0" w:space="0" w:color="auto"/>
        <w:right w:val="none" w:sz="0" w:space="0" w:color="auto"/>
      </w:divBdr>
    </w:div>
    <w:div w:id="1616404628">
      <w:bodyDiv w:val="1"/>
      <w:marLeft w:val="0"/>
      <w:marRight w:val="0"/>
      <w:marTop w:val="0"/>
      <w:marBottom w:val="0"/>
      <w:divBdr>
        <w:top w:val="none" w:sz="0" w:space="0" w:color="auto"/>
        <w:left w:val="none" w:sz="0" w:space="0" w:color="auto"/>
        <w:bottom w:val="none" w:sz="0" w:space="0" w:color="auto"/>
        <w:right w:val="none" w:sz="0" w:space="0" w:color="auto"/>
      </w:divBdr>
      <w:divsChild>
        <w:div w:id="1104424065">
          <w:marLeft w:val="0"/>
          <w:marRight w:val="0"/>
          <w:marTop w:val="0"/>
          <w:marBottom w:val="0"/>
          <w:divBdr>
            <w:top w:val="none" w:sz="0" w:space="0" w:color="auto"/>
            <w:left w:val="none" w:sz="0" w:space="0" w:color="auto"/>
            <w:bottom w:val="none" w:sz="0" w:space="0" w:color="auto"/>
            <w:right w:val="none" w:sz="0" w:space="0" w:color="auto"/>
          </w:divBdr>
          <w:divsChild>
            <w:div w:id="203374995">
              <w:marLeft w:val="0"/>
              <w:marRight w:val="0"/>
              <w:marTop w:val="0"/>
              <w:marBottom w:val="0"/>
              <w:divBdr>
                <w:top w:val="none" w:sz="0" w:space="0" w:color="auto"/>
                <w:left w:val="none" w:sz="0" w:space="0" w:color="auto"/>
                <w:bottom w:val="none" w:sz="0" w:space="0" w:color="auto"/>
                <w:right w:val="none" w:sz="0" w:space="0" w:color="auto"/>
              </w:divBdr>
              <w:divsChild>
                <w:div w:id="13726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7478">
      <w:bodyDiv w:val="1"/>
      <w:marLeft w:val="0"/>
      <w:marRight w:val="0"/>
      <w:marTop w:val="0"/>
      <w:marBottom w:val="0"/>
      <w:divBdr>
        <w:top w:val="none" w:sz="0" w:space="0" w:color="auto"/>
        <w:left w:val="none" w:sz="0" w:space="0" w:color="auto"/>
        <w:bottom w:val="none" w:sz="0" w:space="0" w:color="auto"/>
        <w:right w:val="none" w:sz="0" w:space="0" w:color="auto"/>
      </w:divBdr>
      <w:divsChild>
        <w:div w:id="612980010">
          <w:marLeft w:val="0"/>
          <w:marRight w:val="0"/>
          <w:marTop w:val="0"/>
          <w:marBottom w:val="0"/>
          <w:divBdr>
            <w:top w:val="none" w:sz="0" w:space="0" w:color="auto"/>
            <w:left w:val="none" w:sz="0" w:space="0" w:color="auto"/>
            <w:bottom w:val="none" w:sz="0" w:space="0" w:color="auto"/>
            <w:right w:val="none" w:sz="0" w:space="0" w:color="auto"/>
          </w:divBdr>
          <w:divsChild>
            <w:div w:id="42758616">
              <w:marLeft w:val="0"/>
              <w:marRight w:val="0"/>
              <w:marTop w:val="0"/>
              <w:marBottom w:val="0"/>
              <w:divBdr>
                <w:top w:val="none" w:sz="0" w:space="0" w:color="auto"/>
                <w:left w:val="none" w:sz="0" w:space="0" w:color="auto"/>
                <w:bottom w:val="none" w:sz="0" w:space="0" w:color="auto"/>
                <w:right w:val="none" w:sz="0" w:space="0" w:color="auto"/>
              </w:divBdr>
              <w:divsChild>
                <w:div w:id="1549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4688">
      <w:bodyDiv w:val="1"/>
      <w:marLeft w:val="0"/>
      <w:marRight w:val="0"/>
      <w:marTop w:val="0"/>
      <w:marBottom w:val="0"/>
      <w:divBdr>
        <w:top w:val="none" w:sz="0" w:space="0" w:color="auto"/>
        <w:left w:val="none" w:sz="0" w:space="0" w:color="auto"/>
        <w:bottom w:val="none" w:sz="0" w:space="0" w:color="auto"/>
        <w:right w:val="none" w:sz="0" w:space="0" w:color="auto"/>
      </w:divBdr>
    </w:div>
    <w:div w:id="1633169686">
      <w:bodyDiv w:val="1"/>
      <w:marLeft w:val="0"/>
      <w:marRight w:val="0"/>
      <w:marTop w:val="0"/>
      <w:marBottom w:val="0"/>
      <w:divBdr>
        <w:top w:val="none" w:sz="0" w:space="0" w:color="auto"/>
        <w:left w:val="none" w:sz="0" w:space="0" w:color="auto"/>
        <w:bottom w:val="none" w:sz="0" w:space="0" w:color="auto"/>
        <w:right w:val="none" w:sz="0" w:space="0" w:color="auto"/>
      </w:divBdr>
      <w:divsChild>
        <w:div w:id="660812522">
          <w:marLeft w:val="0"/>
          <w:marRight w:val="0"/>
          <w:marTop w:val="0"/>
          <w:marBottom w:val="0"/>
          <w:divBdr>
            <w:top w:val="none" w:sz="0" w:space="0" w:color="auto"/>
            <w:left w:val="none" w:sz="0" w:space="0" w:color="auto"/>
            <w:bottom w:val="none" w:sz="0" w:space="0" w:color="auto"/>
            <w:right w:val="none" w:sz="0" w:space="0" w:color="auto"/>
          </w:divBdr>
          <w:divsChild>
            <w:div w:id="781732623">
              <w:marLeft w:val="0"/>
              <w:marRight w:val="0"/>
              <w:marTop w:val="0"/>
              <w:marBottom w:val="0"/>
              <w:divBdr>
                <w:top w:val="none" w:sz="0" w:space="0" w:color="auto"/>
                <w:left w:val="none" w:sz="0" w:space="0" w:color="auto"/>
                <w:bottom w:val="none" w:sz="0" w:space="0" w:color="auto"/>
                <w:right w:val="none" w:sz="0" w:space="0" w:color="auto"/>
              </w:divBdr>
              <w:divsChild>
                <w:div w:id="959147564">
                  <w:marLeft w:val="0"/>
                  <w:marRight w:val="0"/>
                  <w:marTop w:val="0"/>
                  <w:marBottom w:val="0"/>
                  <w:divBdr>
                    <w:top w:val="none" w:sz="0" w:space="0" w:color="auto"/>
                    <w:left w:val="none" w:sz="0" w:space="0" w:color="auto"/>
                    <w:bottom w:val="none" w:sz="0" w:space="0" w:color="auto"/>
                    <w:right w:val="none" w:sz="0" w:space="0" w:color="auto"/>
                  </w:divBdr>
                  <w:divsChild>
                    <w:div w:id="8236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98844">
      <w:bodyDiv w:val="1"/>
      <w:marLeft w:val="0"/>
      <w:marRight w:val="0"/>
      <w:marTop w:val="0"/>
      <w:marBottom w:val="0"/>
      <w:divBdr>
        <w:top w:val="none" w:sz="0" w:space="0" w:color="auto"/>
        <w:left w:val="none" w:sz="0" w:space="0" w:color="auto"/>
        <w:bottom w:val="none" w:sz="0" w:space="0" w:color="auto"/>
        <w:right w:val="none" w:sz="0" w:space="0" w:color="auto"/>
      </w:divBdr>
    </w:div>
    <w:div w:id="1644120271">
      <w:bodyDiv w:val="1"/>
      <w:marLeft w:val="0"/>
      <w:marRight w:val="0"/>
      <w:marTop w:val="0"/>
      <w:marBottom w:val="0"/>
      <w:divBdr>
        <w:top w:val="none" w:sz="0" w:space="0" w:color="auto"/>
        <w:left w:val="none" w:sz="0" w:space="0" w:color="auto"/>
        <w:bottom w:val="none" w:sz="0" w:space="0" w:color="auto"/>
        <w:right w:val="none" w:sz="0" w:space="0" w:color="auto"/>
      </w:divBdr>
      <w:divsChild>
        <w:div w:id="1429228088">
          <w:marLeft w:val="0"/>
          <w:marRight w:val="0"/>
          <w:marTop w:val="0"/>
          <w:marBottom w:val="0"/>
          <w:divBdr>
            <w:top w:val="none" w:sz="0" w:space="0" w:color="auto"/>
            <w:left w:val="none" w:sz="0" w:space="0" w:color="auto"/>
            <w:bottom w:val="none" w:sz="0" w:space="0" w:color="auto"/>
            <w:right w:val="none" w:sz="0" w:space="0" w:color="auto"/>
          </w:divBdr>
          <w:divsChild>
            <w:div w:id="528227312">
              <w:marLeft w:val="0"/>
              <w:marRight w:val="0"/>
              <w:marTop w:val="0"/>
              <w:marBottom w:val="0"/>
              <w:divBdr>
                <w:top w:val="none" w:sz="0" w:space="0" w:color="auto"/>
                <w:left w:val="none" w:sz="0" w:space="0" w:color="auto"/>
                <w:bottom w:val="none" w:sz="0" w:space="0" w:color="auto"/>
                <w:right w:val="none" w:sz="0" w:space="0" w:color="auto"/>
              </w:divBdr>
              <w:divsChild>
                <w:div w:id="1640107690">
                  <w:marLeft w:val="0"/>
                  <w:marRight w:val="0"/>
                  <w:marTop w:val="0"/>
                  <w:marBottom w:val="0"/>
                  <w:divBdr>
                    <w:top w:val="none" w:sz="0" w:space="0" w:color="auto"/>
                    <w:left w:val="none" w:sz="0" w:space="0" w:color="auto"/>
                    <w:bottom w:val="none" w:sz="0" w:space="0" w:color="auto"/>
                    <w:right w:val="none" w:sz="0" w:space="0" w:color="auto"/>
                  </w:divBdr>
                  <w:divsChild>
                    <w:div w:id="1704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98398">
      <w:bodyDiv w:val="1"/>
      <w:marLeft w:val="0"/>
      <w:marRight w:val="0"/>
      <w:marTop w:val="0"/>
      <w:marBottom w:val="0"/>
      <w:divBdr>
        <w:top w:val="none" w:sz="0" w:space="0" w:color="auto"/>
        <w:left w:val="none" w:sz="0" w:space="0" w:color="auto"/>
        <w:bottom w:val="none" w:sz="0" w:space="0" w:color="auto"/>
        <w:right w:val="none" w:sz="0" w:space="0" w:color="auto"/>
      </w:divBdr>
      <w:divsChild>
        <w:div w:id="894314241">
          <w:marLeft w:val="0"/>
          <w:marRight w:val="0"/>
          <w:marTop w:val="0"/>
          <w:marBottom w:val="0"/>
          <w:divBdr>
            <w:top w:val="none" w:sz="0" w:space="0" w:color="auto"/>
            <w:left w:val="none" w:sz="0" w:space="0" w:color="auto"/>
            <w:bottom w:val="none" w:sz="0" w:space="0" w:color="auto"/>
            <w:right w:val="none" w:sz="0" w:space="0" w:color="auto"/>
          </w:divBdr>
          <w:divsChild>
            <w:div w:id="1157771642">
              <w:marLeft w:val="0"/>
              <w:marRight w:val="0"/>
              <w:marTop w:val="0"/>
              <w:marBottom w:val="0"/>
              <w:divBdr>
                <w:top w:val="none" w:sz="0" w:space="0" w:color="auto"/>
                <w:left w:val="none" w:sz="0" w:space="0" w:color="auto"/>
                <w:bottom w:val="none" w:sz="0" w:space="0" w:color="auto"/>
                <w:right w:val="none" w:sz="0" w:space="0" w:color="auto"/>
              </w:divBdr>
              <w:divsChild>
                <w:div w:id="565334751">
                  <w:marLeft w:val="0"/>
                  <w:marRight w:val="0"/>
                  <w:marTop w:val="0"/>
                  <w:marBottom w:val="0"/>
                  <w:divBdr>
                    <w:top w:val="none" w:sz="0" w:space="0" w:color="auto"/>
                    <w:left w:val="none" w:sz="0" w:space="0" w:color="auto"/>
                    <w:bottom w:val="none" w:sz="0" w:space="0" w:color="auto"/>
                    <w:right w:val="none" w:sz="0" w:space="0" w:color="auto"/>
                  </w:divBdr>
                  <w:divsChild>
                    <w:div w:id="2091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83581">
      <w:bodyDiv w:val="1"/>
      <w:marLeft w:val="0"/>
      <w:marRight w:val="0"/>
      <w:marTop w:val="0"/>
      <w:marBottom w:val="0"/>
      <w:divBdr>
        <w:top w:val="none" w:sz="0" w:space="0" w:color="auto"/>
        <w:left w:val="none" w:sz="0" w:space="0" w:color="auto"/>
        <w:bottom w:val="none" w:sz="0" w:space="0" w:color="auto"/>
        <w:right w:val="none" w:sz="0" w:space="0" w:color="auto"/>
      </w:divBdr>
    </w:div>
    <w:div w:id="1650091548">
      <w:bodyDiv w:val="1"/>
      <w:marLeft w:val="0"/>
      <w:marRight w:val="0"/>
      <w:marTop w:val="0"/>
      <w:marBottom w:val="0"/>
      <w:divBdr>
        <w:top w:val="none" w:sz="0" w:space="0" w:color="auto"/>
        <w:left w:val="none" w:sz="0" w:space="0" w:color="auto"/>
        <w:bottom w:val="none" w:sz="0" w:space="0" w:color="auto"/>
        <w:right w:val="none" w:sz="0" w:space="0" w:color="auto"/>
      </w:divBdr>
    </w:div>
    <w:div w:id="1651128219">
      <w:bodyDiv w:val="1"/>
      <w:marLeft w:val="0"/>
      <w:marRight w:val="0"/>
      <w:marTop w:val="0"/>
      <w:marBottom w:val="0"/>
      <w:divBdr>
        <w:top w:val="none" w:sz="0" w:space="0" w:color="auto"/>
        <w:left w:val="none" w:sz="0" w:space="0" w:color="auto"/>
        <w:bottom w:val="none" w:sz="0" w:space="0" w:color="auto"/>
        <w:right w:val="none" w:sz="0" w:space="0" w:color="auto"/>
      </w:divBdr>
    </w:div>
    <w:div w:id="1651985044">
      <w:bodyDiv w:val="1"/>
      <w:marLeft w:val="0"/>
      <w:marRight w:val="0"/>
      <w:marTop w:val="0"/>
      <w:marBottom w:val="0"/>
      <w:divBdr>
        <w:top w:val="none" w:sz="0" w:space="0" w:color="auto"/>
        <w:left w:val="none" w:sz="0" w:space="0" w:color="auto"/>
        <w:bottom w:val="none" w:sz="0" w:space="0" w:color="auto"/>
        <w:right w:val="none" w:sz="0" w:space="0" w:color="auto"/>
      </w:divBdr>
    </w:div>
    <w:div w:id="1652097237">
      <w:bodyDiv w:val="1"/>
      <w:marLeft w:val="0"/>
      <w:marRight w:val="0"/>
      <w:marTop w:val="0"/>
      <w:marBottom w:val="0"/>
      <w:divBdr>
        <w:top w:val="none" w:sz="0" w:space="0" w:color="auto"/>
        <w:left w:val="none" w:sz="0" w:space="0" w:color="auto"/>
        <w:bottom w:val="none" w:sz="0" w:space="0" w:color="auto"/>
        <w:right w:val="none" w:sz="0" w:space="0" w:color="auto"/>
      </w:divBdr>
      <w:divsChild>
        <w:div w:id="118038793">
          <w:marLeft w:val="0"/>
          <w:marRight w:val="0"/>
          <w:marTop w:val="0"/>
          <w:marBottom w:val="0"/>
          <w:divBdr>
            <w:top w:val="none" w:sz="0" w:space="0" w:color="auto"/>
            <w:left w:val="none" w:sz="0" w:space="0" w:color="auto"/>
            <w:bottom w:val="none" w:sz="0" w:space="0" w:color="auto"/>
            <w:right w:val="none" w:sz="0" w:space="0" w:color="auto"/>
          </w:divBdr>
          <w:divsChild>
            <w:div w:id="1650474969">
              <w:marLeft w:val="0"/>
              <w:marRight w:val="0"/>
              <w:marTop w:val="0"/>
              <w:marBottom w:val="0"/>
              <w:divBdr>
                <w:top w:val="none" w:sz="0" w:space="0" w:color="auto"/>
                <w:left w:val="none" w:sz="0" w:space="0" w:color="auto"/>
                <w:bottom w:val="none" w:sz="0" w:space="0" w:color="auto"/>
                <w:right w:val="none" w:sz="0" w:space="0" w:color="auto"/>
              </w:divBdr>
              <w:divsChild>
                <w:div w:id="179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72368480">
      <w:bodyDiv w:val="1"/>
      <w:marLeft w:val="0"/>
      <w:marRight w:val="0"/>
      <w:marTop w:val="0"/>
      <w:marBottom w:val="0"/>
      <w:divBdr>
        <w:top w:val="none" w:sz="0" w:space="0" w:color="auto"/>
        <w:left w:val="none" w:sz="0" w:space="0" w:color="auto"/>
        <w:bottom w:val="none" w:sz="0" w:space="0" w:color="auto"/>
        <w:right w:val="none" w:sz="0" w:space="0" w:color="auto"/>
      </w:divBdr>
    </w:div>
    <w:div w:id="1675497931">
      <w:bodyDiv w:val="1"/>
      <w:marLeft w:val="0"/>
      <w:marRight w:val="0"/>
      <w:marTop w:val="0"/>
      <w:marBottom w:val="0"/>
      <w:divBdr>
        <w:top w:val="none" w:sz="0" w:space="0" w:color="auto"/>
        <w:left w:val="none" w:sz="0" w:space="0" w:color="auto"/>
        <w:bottom w:val="none" w:sz="0" w:space="0" w:color="auto"/>
        <w:right w:val="none" w:sz="0" w:space="0" w:color="auto"/>
      </w:divBdr>
    </w:div>
    <w:div w:id="1696344691">
      <w:bodyDiv w:val="1"/>
      <w:marLeft w:val="0"/>
      <w:marRight w:val="0"/>
      <w:marTop w:val="0"/>
      <w:marBottom w:val="0"/>
      <w:divBdr>
        <w:top w:val="none" w:sz="0" w:space="0" w:color="auto"/>
        <w:left w:val="none" w:sz="0" w:space="0" w:color="auto"/>
        <w:bottom w:val="none" w:sz="0" w:space="0" w:color="auto"/>
        <w:right w:val="none" w:sz="0" w:space="0" w:color="auto"/>
      </w:divBdr>
    </w:div>
    <w:div w:id="1698458487">
      <w:bodyDiv w:val="1"/>
      <w:marLeft w:val="0"/>
      <w:marRight w:val="0"/>
      <w:marTop w:val="0"/>
      <w:marBottom w:val="0"/>
      <w:divBdr>
        <w:top w:val="none" w:sz="0" w:space="0" w:color="auto"/>
        <w:left w:val="none" w:sz="0" w:space="0" w:color="auto"/>
        <w:bottom w:val="none" w:sz="0" w:space="0" w:color="auto"/>
        <w:right w:val="none" w:sz="0" w:space="0" w:color="auto"/>
      </w:divBdr>
    </w:div>
    <w:div w:id="1698850209">
      <w:bodyDiv w:val="1"/>
      <w:marLeft w:val="0"/>
      <w:marRight w:val="0"/>
      <w:marTop w:val="0"/>
      <w:marBottom w:val="0"/>
      <w:divBdr>
        <w:top w:val="none" w:sz="0" w:space="0" w:color="auto"/>
        <w:left w:val="none" w:sz="0" w:space="0" w:color="auto"/>
        <w:bottom w:val="none" w:sz="0" w:space="0" w:color="auto"/>
        <w:right w:val="none" w:sz="0" w:space="0" w:color="auto"/>
      </w:divBdr>
      <w:divsChild>
        <w:div w:id="1391925746">
          <w:marLeft w:val="0"/>
          <w:marRight w:val="0"/>
          <w:marTop w:val="0"/>
          <w:marBottom w:val="0"/>
          <w:divBdr>
            <w:top w:val="none" w:sz="0" w:space="0" w:color="auto"/>
            <w:left w:val="none" w:sz="0" w:space="0" w:color="auto"/>
            <w:bottom w:val="none" w:sz="0" w:space="0" w:color="auto"/>
            <w:right w:val="none" w:sz="0" w:space="0" w:color="auto"/>
          </w:divBdr>
          <w:divsChild>
            <w:div w:id="656804106">
              <w:marLeft w:val="0"/>
              <w:marRight w:val="0"/>
              <w:marTop w:val="0"/>
              <w:marBottom w:val="0"/>
              <w:divBdr>
                <w:top w:val="none" w:sz="0" w:space="0" w:color="auto"/>
                <w:left w:val="none" w:sz="0" w:space="0" w:color="auto"/>
                <w:bottom w:val="none" w:sz="0" w:space="0" w:color="auto"/>
                <w:right w:val="none" w:sz="0" w:space="0" w:color="auto"/>
              </w:divBdr>
              <w:divsChild>
                <w:div w:id="548148847">
                  <w:marLeft w:val="0"/>
                  <w:marRight w:val="0"/>
                  <w:marTop w:val="0"/>
                  <w:marBottom w:val="0"/>
                  <w:divBdr>
                    <w:top w:val="none" w:sz="0" w:space="0" w:color="auto"/>
                    <w:left w:val="none" w:sz="0" w:space="0" w:color="auto"/>
                    <w:bottom w:val="none" w:sz="0" w:space="0" w:color="auto"/>
                    <w:right w:val="none" w:sz="0" w:space="0" w:color="auto"/>
                  </w:divBdr>
                  <w:divsChild>
                    <w:div w:id="1652447167">
                      <w:marLeft w:val="0"/>
                      <w:marRight w:val="0"/>
                      <w:marTop w:val="0"/>
                      <w:marBottom w:val="0"/>
                      <w:divBdr>
                        <w:top w:val="none" w:sz="0" w:space="0" w:color="auto"/>
                        <w:left w:val="none" w:sz="0" w:space="0" w:color="auto"/>
                        <w:bottom w:val="none" w:sz="0" w:space="0" w:color="auto"/>
                        <w:right w:val="none" w:sz="0" w:space="0" w:color="auto"/>
                      </w:divBdr>
                    </w:div>
                    <w:div w:id="14071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19964">
      <w:bodyDiv w:val="1"/>
      <w:marLeft w:val="0"/>
      <w:marRight w:val="0"/>
      <w:marTop w:val="0"/>
      <w:marBottom w:val="0"/>
      <w:divBdr>
        <w:top w:val="none" w:sz="0" w:space="0" w:color="auto"/>
        <w:left w:val="none" w:sz="0" w:space="0" w:color="auto"/>
        <w:bottom w:val="none" w:sz="0" w:space="0" w:color="auto"/>
        <w:right w:val="none" w:sz="0" w:space="0" w:color="auto"/>
      </w:divBdr>
      <w:divsChild>
        <w:div w:id="1176191890">
          <w:marLeft w:val="0"/>
          <w:marRight w:val="0"/>
          <w:marTop w:val="0"/>
          <w:marBottom w:val="0"/>
          <w:divBdr>
            <w:top w:val="none" w:sz="0" w:space="0" w:color="auto"/>
            <w:left w:val="none" w:sz="0" w:space="0" w:color="auto"/>
            <w:bottom w:val="none" w:sz="0" w:space="0" w:color="auto"/>
            <w:right w:val="none" w:sz="0" w:space="0" w:color="auto"/>
          </w:divBdr>
          <w:divsChild>
            <w:div w:id="1241872638">
              <w:marLeft w:val="0"/>
              <w:marRight w:val="0"/>
              <w:marTop w:val="0"/>
              <w:marBottom w:val="0"/>
              <w:divBdr>
                <w:top w:val="none" w:sz="0" w:space="0" w:color="auto"/>
                <w:left w:val="none" w:sz="0" w:space="0" w:color="auto"/>
                <w:bottom w:val="none" w:sz="0" w:space="0" w:color="auto"/>
                <w:right w:val="none" w:sz="0" w:space="0" w:color="auto"/>
              </w:divBdr>
              <w:divsChild>
                <w:div w:id="338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29435">
      <w:bodyDiv w:val="1"/>
      <w:marLeft w:val="0"/>
      <w:marRight w:val="0"/>
      <w:marTop w:val="0"/>
      <w:marBottom w:val="0"/>
      <w:divBdr>
        <w:top w:val="none" w:sz="0" w:space="0" w:color="auto"/>
        <w:left w:val="none" w:sz="0" w:space="0" w:color="auto"/>
        <w:bottom w:val="none" w:sz="0" w:space="0" w:color="auto"/>
        <w:right w:val="none" w:sz="0" w:space="0" w:color="auto"/>
      </w:divBdr>
      <w:divsChild>
        <w:div w:id="2010785320">
          <w:marLeft w:val="0"/>
          <w:marRight w:val="0"/>
          <w:marTop w:val="0"/>
          <w:marBottom w:val="0"/>
          <w:divBdr>
            <w:top w:val="none" w:sz="0" w:space="0" w:color="auto"/>
            <w:left w:val="none" w:sz="0" w:space="0" w:color="auto"/>
            <w:bottom w:val="none" w:sz="0" w:space="0" w:color="auto"/>
            <w:right w:val="none" w:sz="0" w:space="0" w:color="auto"/>
          </w:divBdr>
          <w:divsChild>
            <w:div w:id="1654407843">
              <w:marLeft w:val="0"/>
              <w:marRight w:val="0"/>
              <w:marTop w:val="0"/>
              <w:marBottom w:val="0"/>
              <w:divBdr>
                <w:top w:val="none" w:sz="0" w:space="0" w:color="auto"/>
                <w:left w:val="none" w:sz="0" w:space="0" w:color="auto"/>
                <w:bottom w:val="none" w:sz="0" w:space="0" w:color="auto"/>
                <w:right w:val="none" w:sz="0" w:space="0" w:color="auto"/>
              </w:divBdr>
              <w:divsChild>
                <w:div w:id="5086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2678">
      <w:bodyDiv w:val="1"/>
      <w:marLeft w:val="0"/>
      <w:marRight w:val="0"/>
      <w:marTop w:val="0"/>
      <w:marBottom w:val="0"/>
      <w:divBdr>
        <w:top w:val="none" w:sz="0" w:space="0" w:color="auto"/>
        <w:left w:val="none" w:sz="0" w:space="0" w:color="auto"/>
        <w:bottom w:val="none" w:sz="0" w:space="0" w:color="auto"/>
        <w:right w:val="none" w:sz="0" w:space="0" w:color="auto"/>
      </w:divBdr>
    </w:div>
    <w:div w:id="1721055644">
      <w:bodyDiv w:val="1"/>
      <w:marLeft w:val="0"/>
      <w:marRight w:val="0"/>
      <w:marTop w:val="0"/>
      <w:marBottom w:val="0"/>
      <w:divBdr>
        <w:top w:val="none" w:sz="0" w:space="0" w:color="auto"/>
        <w:left w:val="none" w:sz="0" w:space="0" w:color="auto"/>
        <w:bottom w:val="none" w:sz="0" w:space="0" w:color="auto"/>
        <w:right w:val="none" w:sz="0" w:space="0" w:color="auto"/>
      </w:divBdr>
      <w:divsChild>
        <w:div w:id="1008100311">
          <w:marLeft w:val="0"/>
          <w:marRight w:val="0"/>
          <w:marTop w:val="0"/>
          <w:marBottom w:val="0"/>
          <w:divBdr>
            <w:top w:val="none" w:sz="0" w:space="0" w:color="auto"/>
            <w:left w:val="none" w:sz="0" w:space="0" w:color="auto"/>
            <w:bottom w:val="none" w:sz="0" w:space="0" w:color="auto"/>
            <w:right w:val="none" w:sz="0" w:space="0" w:color="auto"/>
          </w:divBdr>
          <w:divsChild>
            <w:div w:id="1017536130">
              <w:marLeft w:val="0"/>
              <w:marRight w:val="0"/>
              <w:marTop w:val="0"/>
              <w:marBottom w:val="0"/>
              <w:divBdr>
                <w:top w:val="none" w:sz="0" w:space="0" w:color="auto"/>
                <w:left w:val="none" w:sz="0" w:space="0" w:color="auto"/>
                <w:bottom w:val="none" w:sz="0" w:space="0" w:color="auto"/>
                <w:right w:val="none" w:sz="0" w:space="0" w:color="auto"/>
              </w:divBdr>
              <w:divsChild>
                <w:div w:id="16661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7198">
      <w:bodyDiv w:val="1"/>
      <w:marLeft w:val="0"/>
      <w:marRight w:val="0"/>
      <w:marTop w:val="0"/>
      <w:marBottom w:val="0"/>
      <w:divBdr>
        <w:top w:val="none" w:sz="0" w:space="0" w:color="auto"/>
        <w:left w:val="none" w:sz="0" w:space="0" w:color="auto"/>
        <w:bottom w:val="none" w:sz="0" w:space="0" w:color="auto"/>
        <w:right w:val="none" w:sz="0" w:space="0" w:color="auto"/>
      </w:divBdr>
    </w:div>
    <w:div w:id="1727877199">
      <w:bodyDiv w:val="1"/>
      <w:marLeft w:val="0"/>
      <w:marRight w:val="0"/>
      <w:marTop w:val="0"/>
      <w:marBottom w:val="0"/>
      <w:divBdr>
        <w:top w:val="none" w:sz="0" w:space="0" w:color="auto"/>
        <w:left w:val="none" w:sz="0" w:space="0" w:color="auto"/>
        <w:bottom w:val="none" w:sz="0" w:space="0" w:color="auto"/>
        <w:right w:val="none" w:sz="0" w:space="0" w:color="auto"/>
      </w:divBdr>
    </w:div>
    <w:div w:id="1734158268">
      <w:bodyDiv w:val="1"/>
      <w:marLeft w:val="0"/>
      <w:marRight w:val="0"/>
      <w:marTop w:val="0"/>
      <w:marBottom w:val="0"/>
      <w:divBdr>
        <w:top w:val="none" w:sz="0" w:space="0" w:color="auto"/>
        <w:left w:val="none" w:sz="0" w:space="0" w:color="auto"/>
        <w:bottom w:val="none" w:sz="0" w:space="0" w:color="auto"/>
        <w:right w:val="none" w:sz="0" w:space="0" w:color="auto"/>
      </w:divBdr>
    </w:div>
    <w:div w:id="1738168594">
      <w:bodyDiv w:val="1"/>
      <w:marLeft w:val="0"/>
      <w:marRight w:val="0"/>
      <w:marTop w:val="0"/>
      <w:marBottom w:val="0"/>
      <w:divBdr>
        <w:top w:val="none" w:sz="0" w:space="0" w:color="auto"/>
        <w:left w:val="none" w:sz="0" w:space="0" w:color="auto"/>
        <w:bottom w:val="none" w:sz="0" w:space="0" w:color="auto"/>
        <w:right w:val="none" w:sz="0" w:space="0" w:color="auto"/>
      </w:divBdr>
      <w:divsChild>
        <w:div w:id="1260605128">
          <w:marLeft w:val="0"/>
          <w:marRight w:val="0"/>
          <w:marTop w:val="0"/>
          <w:marBottom w:val="0"/>
          <w:divBdr>
            <w:top w:val="none" w:sz="0" w:space="0" w:color="auto"/>
            <w:left w:val="none" w:sz="0" w:space="0" w:color="auto"/>
            <w:bottom w:val="none" w:sz="0" w:space="0" w:color="auto"/>
            <w:right w:val="none" w:sz="0" w:space="0" w:color="auto"/>
          </w:divBdr>
          <w:divsChild>
            <w:div w:id="1919711749">
              <w:marLeft w:val="0"/>
              <w:marRight w:val="0"/>
              <w:marTop w:val="0"/>
              <w:marBottom w:val="0"/>
              <w:divBdr>
                <w:top w:val="none" w:sz="0" w:space="0" w:color="auto"/>
                <w:left w:val="none" w:sz="0" w:space="0" w:color="auto"/>
                <w:bottom w:val="none" w:sz="0" w:space="0" w:color="auto"/>
                <w:right w:val="none" w:sz="0" w:space="0" w:color="auto"/>
              </w:divBdr>
              <w:divsChild>
                <w:div w:id="16150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11694">
      <w:bodyDiv w:val="1"/>
      <w:marLeft w:val="0"/>
      <w:marRight w:val="0"/>
      <w:marTop w:val="0"/>
      <w:marBottom w:val="0"/>
      <w:divBdr>
        <w:top w:val="none" w:sz="0" w:space="0" w:color="auto"/>
        <w:left w:val="none" w:sz="0" w:space="0" w:color="auto"/>
        <w:bottom w:val="none" w:sz="0" w:space="0" w:color="auto"/>
        <w:right w:val="none" w:sz="0" w:space="0" w:color="auto"/>
      </w:divBdr>
    </w:div>
    <w:div w:id="1739549959">
      <w:bodyDiv w:val="1"/>
      <w:marLeft w:val="0"/>
      <w:marRight w:val="0"/>
      <w:marTop w:val="0"/>
      <w:marBottom w:val="0"/>
      <w:divBdr>
        <w:top w:val="none" w:sz="0" w:space="0" w:color="auto"/>
        <w:left w:val="none" w:sz="0" w:space="0" w:color="auto"/>
        <w:bottom w:val="none" w:sz="0" w:space="0" w:color="auto"/>
        <w:right w:val="none" w:sz="0" w:space="0" w:color="auto"/>
      </w:divBdr>
      <w:divsChild>
        <w:div w:id="1903637877">
          <w:marLeft w:val="0"/>
          <w:marRight w:val="0"/>
          <w:marTop w:val="0"/>
          <w:marBottom w:val="0"/>
          <w:divBdr>
            <w:top w:val="none" w:sz="0" w:space="0" w:color="auto"/>
            <w:left w:val="none" w:sz="0" w:space="0" w:color="auto"/>
            <w:bottom w:val="none" w:sz="0" w:space="0" w:color="auto"/>
            <w:right w:val="none" w:sz="0" w:space="0" w:color="auto"/>
          </w:divBdr>
          <w:divsChild>
            <w:div w:id="889725944">
              <w:marLeft w:val="0"/>
              <w:marRight w:val="0"/>
              <w:marTop w:val="0"/>
              <w:marBottom w:val="0"/>
              <w:divBdr>
                <w:top w:val="none" w:sz="0" w:space="0" w:color="auto"/>
                <w:left w:val="none" w:sz="0" w:space="0" w:color="auto"/>
                <w:bottom w:val="none" w:sz="0" w:space="0" w:color="auto"/>
                <w:right w:val="none" w:sz="0" w:space="0" w:color="auto"/>
              </w:divBdr>
              <w:divsChild>
                <w:div w:id="816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04131">
      <w:bodyDiv w:val="1"/>
      <w:marLeft w:val="0"/>
      <w:marRight w:val="0"/>
      <w:marTop w:val="0"/>
      <w:marBottom w:val="0"/>
      <w:divBdr>
        <w:top w:val="none" w:sz="0" w:space="0" w:color="auto"/>
        <w:left w:val="none" w:sz="0" w:space="0" w:color="auto"/>
        <w:bottom w:val="none" w:sz="0" w:space="0" w:color="auto"/>
        <w:right w:val="none" w:sz="0" w:space="0" w:color="auto"/>
      </w:divBdr>
    </w:div>
    <w:div w:id="1755929996">
      <w:bodyDiv w:val="1"/>
      <w:marLeft w:val="0"/>
      <w:marRight w:val="0"/>
      <w:marTop w:val="0"/>
      <w:marBottom w:val="0"/>
      <w:divBdr>
        <w:top w:val="none" w:sz="0" w:space="0" w:color="auto"/>
        <w:left w:val="none" w:sz="0" w:space="0" w:color="auto"/>
        <w:bottom w:val="none" w:sz="0" w:space="0" w:color="auto"/>
        <w:right w:val="none" w:sz="0" w:space="0" w:color="auto"/>
      </w:divBdr>
    </w:div>
    <w:div w:id="1756055516">
      <w:bodyDiv w:val="1"/>
      <w:marLeft w:val="0"/>
      <w:marRight w:val="0"/>
      <w:marTop w:val="0"/>
      <w:marBottom w:val="0"/>
      <w:divBdr>
        <w:top w:val="none" w:sz="0" w:space="0" w:color="auto"/>
        <w:left w:val="none" w:sz="0" w:space="0" w:color="auto"/>
        <w:bottom w:val="none" w:sz="0" w:space="0" w:color="auto"/>
        <w:right w:val="none" w:sz="0" w:space="0" w:color="auto"/>
      </w:divBdr>
      <w:divsChild>
        <w:div w:id="1314530402">
          <w:marLeft w:val="0"/>
          <w:marRight w:val="0"/>
          <w:marTop w:val="0"/>
          <w:marBottom w:val="0"/>
          <w:divBdr>
            <w:top w:val="none" w:sz="0" w:space="0" w:color="auto"/>
            <w:left w:val="none" w:sz="0" w:space="0" w:color="auto"/>
            <w:bottom w:val="none" w:sz="0" w:space="0" w:color="auto"/>
            <w:right w:val="none" w:sz="0" w:space="0" w:color="auto"/>
          </w:divBdr>
          <w:divsChild>
            <w:div w:id="1265574406">
              <w:marLeft w:val="0"/>
              <w:marRight w:val="0"/>
              <w:marTop w:val="0"/>
              <w:marBottom w:val="0"/>
              <w:divBdr>
                <w:top w:val="none" w:sz="0" w:space="0" w:color="auto"/>
                <w:left w:val="none" w:sz="0" w:space="0" w:color="auto"/>
                <w:bottom w:val="none" w:sz="0" w:space="0" w:color="auto"/>
                <w:right w:val="none" w:sz="0" w:space="0" w:color="auto"/>
              </w:divBdr>
              <w:divsChild>
                <w:div w:id="8985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3408">
      <w:bodyDiv w:val="1"/>
      <w:marLeft w:val="0"/>
      <w:marRight w:val="0"/>
      <w:marTop w:val="0"/>
      <w:marBottom w:val="0"/>
      <w:divBdr>
        <w:top w:val="none" w:sz="0" w:space="0" w:color="auto"/>
        <w:left w:val="none" w:sz="0" w:space="0" w:color="auto"/>
        <w:bottom w:val="none" w:sz="0" w:space="0" w:color="auto"/>
        <w:right w:val="none" w:sz="0" w:space="0" w:color="auto"/>
      </w:divBdr>
    </w:div>
    <w:div w:id="1765374403">
      <w:bodyDiv w:val="1"/>
      <w:marLeft w:val="0"/>
      <w:marRight w:val="0"/>
      <w:marTop w:val="0"/>
      <w:marBottom w:val="0"/>
      <w:divBdr>
        <w:top w:val="none" w:sz="0" w:space="0" w:color="auto"/>
        <w:left w:val="none" w:sz="0" w:space="0" w:color="auto"/>
        <w:bottom w:val="none" w:sz="0" w:space="0" w:color="auto"/>
        <w:right w:val="none" w:sz="0" w:space="0" w:color="auto"/>
      </w:divBdr>
      <w:divsChild>
        <w:div w:id="1318192618">
          <w:marLeft w:val="0"/>
          <w:marRight w:val="0"/>
          <w:marTop w:val="0"/>
          <w:marBottom w:val="0"/>
          <w:divBdr>
            <w:top w:val="none" w:sz="0" w:space="0" w:color="auto"/>
            <w:left w:val="none" w:sz="0" w:space="0" w:color="auto"/>
            <w:bottom w:val="none" w:sz="0" w:space="0" w:color="auto"/>
            <w:right w:val="none" w:sz="0" w:space="0" w:color="auto"/>
          </w:divBdr>
          <w:divsChild>
            <w:div w:id="1342665595">
              <w:marLeft w:val="0"/>
              <w:marRight w:val="0"/>
              <w:marTop w:val="0"/>
              <w:marBottom w:val="0"/>
              <w:divBdr>
                <w:top w:val="none" w:sz="0" w:space="0" w:color="auto"/>
                <w:left w:val="none" w:sz="0" w:space="0" w:color="auto"/>
                <w:bottom w:val="none" w:sz="0" w:space="0" w:color="auto"/>
                <w:right w:val="none" w:sz="0" w:space="0" w:color="auto"/>
              </w:divBdr>
              <w:divsChild>
                <w:div w:id="908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8318">
      <w:bodyDiv w:val="1"/>
      <w:marLeft w:val="0"/>
      <w:marRight w:val="0"/>
      <w:marTop w:val="0"/>
      <w:marBottom w:val="0"/>
      <w:divBdr>
        <w:top w:val="none" w:sz="0" w:space="0" w:color="auto"/>
        <w:left w:val="none" w:sz="0" w:space="0" w:color="auto"/>
        <w:bottom w:val="none" w:sz="0" w:space="0" w:color="auto"/>
        <w:right w:val="none" w:sz="0" w:space="0" w:color="auto"/>
      </w:divBdr>
    </w:div>
    <w:div w:id="1775325867">
      <w:bodyDiv w:val="1"/>
      <w:marLeft w:val="0"/>
      <w:marRight w:val="0"/>
      <w:marTop w:val="0"/>
      <w:marBottom w:val="0"/>
      <w:divBdr>
        <w:top w:val="none" w:sz="0" w:space="0" w:color="auto"/>
        <w:left w:val="none" w:sz="0" w:space="0" w:color="auto"/>
        <w:bottom w:val="none" w:sz="0" w:space="0" w:color="auto"/>
        <w:right w:val="none" w:sz="0" w:space="0" w:color="auto"/>
      </w:divBdr>
      <w:divsChild>
        <w:div w:id="151605523">
          <w:marLeft w:val="0"/>
          <w:marRight w:val="0"/>
          <w:marTop w:val="0"/>
          <w:marBottom w:val="0"/>
          <w:divBdr>
            <w:top w:val="none" w:sz="0" w:space="0" w:color="auto"/>
            <w:left w:val="none" w:sz="0" w:space="0" w:color="auto"/>
            <w:bottom w:val="none" w:sz="0" w:space="0" w:color="auto"/>
            <w:right w:val="none" w:sz="0" w:space="0" w:color="auto"/>
          </w:divBdr>
          <w:divsChild>
            <w:div w:id="101457662">
              <w:marLeft w:val="0"/>
              <w:marRight w:val="0"/>
              <w:marTop w:val="0"/>
              <w:marBottom w:val="0"/>
              <w:divBdr>
                <w:top w:val="none" w:sz="0" w:space="0" w:color="auto"/>
                <w:left w:val="none" w:sz="0" w:space="0" w:color="auto"/>
                <w:bottom w:val="none" w:sz="0" w:space="0" w:color="auto"/>
                <w:right w:val="none" w:sz="0" w:space="0" w:color="auto"/>
              </w:divBdr>
              <w:divsChild>
                <w:div w:id="9771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8863">
      <w:bodyDiv w:val="1"/>
      <w:marLeft w:val="0"/>
      <w:marRight w:val="0"/>
      <w:marTop w:val="0"/>
      <w:marBottom w:val="0"/>
      <w:divBdr>
        <w:top w:val="none" w:sz="0" w:space="0" w:color="auto"/>
        <w:left w:val="none" w:sz="0" w:space="0" w:color="auto"/>
        <w:bottom w:val="none" w:sz="0" w:space="0" w:color="auto"/>
        <w:right w:val="none" w:sz="0" w:space="0" w:color="auto"/>
      </w:divBdr>
      <w:divsChild>
        <w:div w:id="889924197">
          <w:marLeft w:val="0"/>
          <w:marRight w:val="0"/>
          <w:marTop w:val="0"/>
          <w:marBottom w:val="0"/>
          <w:divBdr>
            <w:top w:val="none" w:sz="0" w:space="0" w:color="auto"/>
            <w:left w:val="none" w:sz="0" w:space="0" w:color="auto"/>
            <w:bottom w:val="none" w:sz="0" w:space="0" w:color="auto"/>
            <w:right w:val="none" w:sz="0" w:space="0" w:color="auto"/>
          </w:divBdr>
          <w:divsChild>
            <w:div w:id="1017198554">
              <w:marLeft w:val="0"/>
              <w:marRight w:val="0"/>
              <w:marTop w:val="0"/>
              <w:marBottom w:val="0"/>
              <w:divBdr>
                <w:top w:val="none" w:sz="0" w:space="0" w:color="auto"/>
                <w:left w:val="none" w:sz="0" w:space="0" w:color="auto"/>
                <w:bottom w:val="none" w:sz="0" w:space="0" w:color="auto"/>
                <w:right w:val="none" w:sz="0" w:space="0" w:color="auto"/>
              </w:divBdr>
              <w:divsChild>
                <w:div w:id="1543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6472">
      <w:bodyDiv w:val="1"/>
      <w:marLeft w:val="0"/>
      <w:marRight w:val="0"/>
      <w:marTop w:val="0"/>
      <w:marBottom w:val="0"/>
      <w:divBdr>
        <w:top w:val="none" w:sz="0" w:space="0" w:color="auto"/>
        <w:left w:val="none" w:sz="0" w:space="0" w:color="auto"/>
        <w:bottom w:val="none" w:sz="0" w:space="0" w:color="auto"/>
        <w:right w:val="none" w:sz="0" w:space="0" w:color="auto"/>
      </w:divBdr>
      <w:divsChild>
        <w:div w:id="468473441">
          <w:marLeft w:val="0"/>
          <w:marRight w:val="0"/>
          <w:marTop w:val="0"/>
          <w:marBottom w:val="0"/>
          <w:divBdr>
            <w:top w:val="none" w:sz="0" w:space="0" w:color="auto"/>
            <w:left w:val="none" w:sz="0" w:space="0" w:color="auto"/>
            <w:bottom w:val="none" w:sz="0" w:space="0" w:color="auto"/>
            <w:right w:val="none" w:sz="0" w:space="0" w:color="auto"/>
          </w:divBdr>
          <w:divsChild>
            <w:div w:id="1433816394">
              <w:marLeft w:val="0"/>
              <w:marRight w:val="0"/>
              <w:marTop w:val="0"/>
              <w:marBottom w:val="0"/>
              <w:divBdr>
                <w:top w:val="none" w:sz="0" w:space="0" w:color="auto"/>
                <w:left w:val="none" w:sz="0" w:space="0" w:color="auto"/>
                <w:bottom w:val="none" w:sz="0" w:space="0" w:color="auto"/>
                <w:right w:val="none" w:sz="0" w:space="0" w:color="auto"/>
              </w:divBdr>
              <w:divsChild>
                <w:div w:id="1294284713">
                  <w:marLeft w:val="0"/>
                  <w:marRight w:val="0"/>
                  <w:marTop w:val="0"/>
                  <w:marBottom w:val="0"/>
                  <w:divBdr>
                    <w:top w:val="none" w:sz="0" w:space="0" w:color="auto"/>
                    <w:left w:val="none" w:sz="0" w:space="0" w:color="auto"/>
                    <w:bottom w:val="none" w:sz="0" w:space="0" w:color="auto"/>
                    <w:right w:val="none" w:sz="0" w:space="0" w:color="auto"/>
                  </w:divBdr>
                </w:div>
                <w:div w:id="17002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9559">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797407142">
      <w:bodyDiv w:val="1"/>
      <w:marLeft w:val="0"/>
      <w:marRight w:val="0"/>
      <w:marTop w:val="0"/>
      <w:marBottom w:val="0"/>
      <w:divBdr>
        <w:top w:val="none" w:sz="0" w:space="0" w:color="auto"/>
        <w:left w:val="none" w:sz="0" w:space="0" w:color="auto"/>
        <w:bottom w:val="none" w:sz="0" w:space="0" w:color="auto"/>
        <w:right w:val="none" w:sz="0" w:space="0" w:color="auto"/>
      </w:divBdr>
      <w:divsChild>
        <w:div w:id="837427115">
          <w:marLeft w:val="0"/>
          <w:marRight w:val="0"/>
          <w:marTop w:val="0"/>
          <w:marBottom w:val="0"/>
          <w:divBdr>
            <w:top w:val="none" w:sz="0" w:space="0" w:color="auto"/>
            <w:left w:val="none" w:sz="0" w:space="0" w:color="auto"/>
            <w:bottom w:val="none" w:sz="0" w:space="0" w:color="auto"/>
            <w:right w:val="none" w:sz="0" w:space="0" w:color="auto"/>
          </w:divBdr>
          <w:divsChild>
            <w:div w:id="1498839410">
              <w:marLeft w:val="0"/>
              <w:marRight w:val="0"/>
              <w:marTop w:val="0"/>
              <w:marBottom w:val="0"/>
              <w:divBdr>
                <w:top w:val="none" w:sz="0" w:space="0" w:color="auto"/>
                <w:left w:val="none" w:sz="0" w:space="0" w:color="auto"/>
                <w:bottom w:val="none" w:sz="0" w:space="0" w:color="auto"/>
                <w:right w:val="none" w:sz="0" w:space="0" w:color="auto"/>
              </w:divBdr>
              <w:divsChild>
                <w:div w:id="59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1004">
      <w:bodyDiv w:val="1"/>
      <w:marLeft w:val="0"/>
      <w:marRight w:val="0"/>
      <w:marTop w:val="0"/>
      <w:marBottom w:val="0"/>
      <w:divBdr>
        <w:top w:val="none" w:sz="0" w:space="0" w:color="auto"/>
        <w:left w:val="none" w:sz="0" w:space="0" w:color="auto"/>
        <w:bottom w:val="none" w:sz="0" w:space="0" w:color="auto"/>
        <w:right w:val="none" w:sz="0" w:space="0" w:color="auto"/>
      </w:divBdr>
      <w:divsChild>
        <w:div w:id="1636913571">
          <w:marLeft w:val="0"/>
          <w:marRight w:val="0"/>
          <w:marTop w:val="0"/>
          <w:marBottom w:val="0"/>
          <w:divBdr>
            <w:top w:val="none" w:sz="0" w:space="0" w:color="auto"/>
            <w:left w:val="none" w:sz="0" w:space="0" w:color="auto"/>
            <w:bottom w:val="none" w:sz="0" w:space="0" w:color="auto"/>
            <w:right w:val="none" w:sz="0" w:space="0" w:color="auto"/>
          </w:divBdr>
          <w:divsChild>
            <w:div w:id="1389575281">
              <w:marLeft w:val="0"/>
              <w:marRight w:val="0"/>
              <w:marTop w:val="0"/>
              <w:marBottom w:val="0"/>
              <w:divBdr>
                <w:top w:val="none" w:sz="0" w:space="0" w:color="auto"/>
                <w:left w:val="none" w:sz="0" w:space="0" w:color="auto"/>
                <w:bottom w:val="none" w:sz="0" w:space="0" w:color="auto"/>
                <w:right w:val="none" w:sz="0" w:space="0" w:color="auto"/>
              </w:divBdr>
              <w:divsChild>
                <w:div w:id="10433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4607">
      <w:bodyDiv w:val="1"/>
      <w:marLeft w:val="0"/>
      <w:marRight w:val="0"/>
      <w:marTop w:val="0"/>
      <w:marBottom w:val="0"/>
      <w:divBdr>
        <w:top w:val="none" w:sz="0" w:space="0" w:color="auto"/>
        <w:left w:val="none" w:sz="0" w:space="0" w:color="auto"/>
        <w:bottom w:val="none" w:sz="0" w:space="0" w:color="auto"/>
        <w:right w:val="none" w:sz="0" w:space="0" w:color="auto"/>
      </w:divBdr>
      <w:divsChild>
        <w:div w:id="179972715">
          <w:marLeft w:val="0"/>
          <w:marRight w:val="0"/>
          <w:marTop w:val="0"/>
          <w:marBottom w:val="0"/>
          <w:divBdr>
            <w:top w:val="none" w:sz="0" w:space="0" w:color="auto"/>
            <w:left w:val="none" w:sz="0" w:space="0" w:color="auto"/>
            <w:bottom w:val="none" w:sz="0" w:space="0" w:color="auto"/>
            <w:right w:val="none" w:sz="0" w:space="0" w:color="auto"/>
          </w:divBdr>
          <w:divsChild>
            <w:div w:id="945648812">
              <w:marLeft w:val="0"/>
              <w:marRight w:val="0"/>
              <w:marTop w:val="0"/>
              <w:marBottom w:val="0"/>
              <w:divBdr>
                <w:top w:val="none" w:sz="0" w:space="0" w:color="auto"/>
                <w:left w:val="none" w:sz="0" w:space="0" w:color="auto"/>
                <w:bottom w:val="none" w:sz="0" w:space="0" w:color="auto"/>
                <w:right w:val="none" w:sz="0" w:space="0" w:color="auto"/>
              </w:divBdr>
              <w:divsChild>
                <w:div w:id="312294722">
                  <w:marLeft w:val="0"/>
                  <w:marRight w:val="0"/>
                  <w:marTop w:val="0"/>
                  <w:marBottom w:val="0"/>
                  <w:divBdr>
                    <w:top w:val="none" w:sz="0" w:space="0" w:color="auto"/>
                    <w:left w:val="none" w:sz="0" w:space="0" w:color="auto"/>
                    <w:bottom w:val="none" w:sz="0" w:space="0" w:color="auto"/>
                    <w:right w:val="none" w:sz="0" w:space="0" w:color="auto"/>
                  </w:divBdr>
                  <w:divsChild>
                    <w:div w:id="76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26555480">
      <w:bodyDiv w:val="1"/>
      <w:marLeft w:val="0"/>
      <w:marRight w:val="0"/>
      <w:marTop w:val="0"/>
      <w:marBottom w:val="0"/>
      <w:divBdr>
        <w:top w:val="none" w:sz="0" w:space="0" w:color="auto"/>
        <w:left w:val="none" w:sz="0" w:space="0" w:color="auto"/>
        <w:bottom w:val="none" w:sz="0" w:space="0" w:color="auto"/>
        <w:right w:val="none" w:sz="0" w:space="0" w:color="auto"/>
      </w:divBdr>
      <w:divsChild>
        <w:div w:id="62265358">
          <w:marLeft w:val="0"/>
          <w:marRight w:val="0"/>
          <w:marTop w:val="0"/>
          <w:marBottom w:val="0"/>
          <w:divBdr>
            <w:top w:val="none" w:sz="0" w:space="0" w:color="auto"/>
            <w:left w:val="none" w:sz="0" w:space="0" w:color="auto"/>
            <w:bottom w:val="none" w:sz="0" w:space="0" w:color="auto"/>
            <w:right w:val="none" w:sz="0" w:space="0" w:color="auto"/>
          </w:divBdr>
          <w:divsChild>
            <w:div w:id="1160657807">
              <w:marLeft w:val="0"/>
              <w:marRight w:val="0"/>
              <w:marTop w:val="0"/>
              <w:marBottom w:val="0"/>
              <w:divBdr>
                <w:top w:val="none" w:sz="0" w:space="0" w:color="auto"/>
                <w:left w:val="none" w:sz="0" w:space="0" w:color="auto"/>
                <w:bottom w:val="none" w:sz="0" w:space="0" w:color="auto"/>
                <w:right w:val="none" w:sz="0" w:space="0" w:color="auto"/>
              </w:divBdr>
              <w:divsChild>
                <w:div w:id="161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012">
      <w:bodyDiv w:val="1"/>
      <w:marLeft w:val="0"/>
      <w:marRight w:val="0"/>
      <w:marTop w:val="0"/>
      <w:marBottom w:val="0"/>
      <w:divBdr>
        <w:top w:val="none" w:sz="0" w:space="0" w:color="auto"/>
        <w:left w:val="none" w:sz="0" w:space="0" w:color="auto"/>
        <w:bottom w:val="none" w:sz="0" w:space="0" w:color="auto"/>
        <w:right w:val="none" w:sz="0" w:space="0" w:color="auto"/>
      </w:divBdr>
      <w:divsChild>
        <w:div w:id="1591886739">
          <w:marLeft w:val="0"/>
          <w:marRight w:val="0"/>
          <w:marTop w:val="0"/>
          <w:marBottom w:val="0"/>
          <w:divBdr>
            <w:top w:val="none" w:sz="0" w:space="0" w:color="auto"/>
            <w:left w:val="none" w:sz="0" w:space="0" w:color="auto"/>
            <w:bottom w:val="none" w:sz="0" w:space="0" w:color="auto"/>
            <w:right w:val="none" w:sz="0" w:space="0" w:color="auto"/>
          </w:divBdr>
          <w:divsChild>
            <w:div w:id="12345473">
              <w:marLeft w:val="0"/>
              <w:marRight w:val="0"/>
              <w:marTop w:val="0"/>
              <w:marBottom w:val="0"/>
              <w:divBdr>
                <w:top w:val="none" w:sz="0" w:space="0" w:color="auto"/>
                <w:left w:val="none" w:sz="0" w:space="0" w:color="auto"/>
                <w:bottom w:val="none" w:sz="0" w:space="0" w:color="auto"/>
                <w:right w:val="none" w:sz="0" w:space="0" w:color="auto"/>
              </w:divBdr>
              <w:divsChild>
                <w:div w:id="237174984">
                  <w:marLeft w:val="0"/>
                  <w:marRight w:val="0"/>
                  <w:marTop w:val="0"/>
                  <w:marBottom w:val="0"/>
                  <w:divBdr>
                    <w:top w:val="none" w:sz="0" w:space="0" w:color="auto"/>
                    <w:left w:val="none" w:sz="0" w:space="0" w:color="auto"/>
                    <w:bottom w:val="none" w:sz="0" w:space="0" w:color="auto"/>
                    <w:right w:val="none" w:sz="0" w:space="0" w:color="auto"/>
                  </w:divBdr>
                  <w:divsChild>
                    <w:div w:id="20630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3339">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43660043">
      <w:bodyDiv w:val="1"/>
      <w:marLeft w:val="0"/>
      <w:marRight w:val="0"/>
      <w:marTop w:val="0"/>
      <w:marBottom w:val="0"/>
      <w:divBdr>
        <w:top w:val="none" w:sz="0" w:space="0" w:color="auto"/>
        <w:left w:val="none" w:sz="0" w:space="0" w:color="auto"/>
        <w:bottom w:val="none" w:sz="0" w:space="0" w:color="auto"/>
        <w:right w:val="none" w:sz="0" w:space="0" w:color="auto"/>
      </w:divBdr>
    </w:div>
    <w:div w:id="1849828798">
      <w:bodyDiv w:val="1"/>
      <w:marLeft w:val="0"/>
      <w:marRight w:val="0"/>
      <w:marTop w:val="0"/>
      <w:marBottom w:val="0"/>
      <w:divBdr>
        <w:top w:val="none" w:sz="0" w:space="0" w:color="auto"/>
        <w:left w:val="none" w:sz="0" w:space="0" w:color="auto"/>
        <w:bottom w:val="none" w:sz="0" w:space="0" w:color="auto"/>
        <w:right w:val="none" w:sz="0" w:space="0" w:color="auto"/>
      </w:divBdr>
    </w:div>
    <w:div w:id="1851992482">
      <w:bodyDiv w:val="1"/>
      <w:marLeft w:val="0"/>
      <w:marRight w:val="0"/>
      <w:marTop w:val="0"/>
      <w:marBottom w:val="0"/>
      <w:divBdr>
        <w:top w:val="none" w:sz="0" w:space="0" w:color="auto"/>
        <w:left w:val="none" w:sz="0" w:space="0" w:color="auto"/>
        <w:bottom w:val="none" w:sz="0" w:space="0" w:color="auto"/>
        <w:right w:val="none" w:sz="0" w:space="0" w:color="auto"/>
      </w:divBdr>
    </w:div>
    <w:div w:id="1857499436">
      <w:bodyDiv w:val="1"/>
      <w:marLeft w:val="0"/>
      <w:marRight w:val="0"/>
      <w:marTop w:val="0"/>
      <w:marBottom w:val="0"/>
      <w:divBdr>
        <w:top w:val="none" w:sz="0" w:space="0" w:color="auto"/>
        <w:left w:val="none" w:sz="0" w:space="0" w:color="auto"/>
        <w:bottom w:val="none" w:sz="0" w:space="0" w:color="auto"/>
        <w:right w:val="none" w:sz="0" w:space="0" w:color="auto"/>
      </w:divBdr>
      <w:divsChild>
        <w:div w:id="1163666414">
          <w:marLeft w:val="0"/>
          <w:marRight w:val="0"/>
          <w:marTop w:val="0"/>
          <w:marBottom w:val="0"/>
          <w:divBdr>
            <w:top w:val="none" w:sz="0" w:space="0" w:color="auto"/>
            <w:left w:val="none" w:sz="0" w:space="0" w:color="auto"/>
            <w:bottom w:val="none" w:sz="0" w:space="0" w:color="auto"/>
            <w:right w:val="none" w:sz="0" w:space="0" w:color="auto"/>
          </w:divBdr>
          <w:divsChild>
            <w:div w:id="2129201628">
              <w:marLeft w:val="0"/>
              <w:marRight w:val="0"/>
              <w:marTop w:val="0"/>
              <w:marBottom w:val="0"/>
              <w:divBdr>
                <w:top w:val="none" w:sz="0" w:space="0" w:color="auto"/>
                <w:left w:val="none" w:sz="0" w:space="0" w:color="auto"/>
                <w:bottom w:val="none" w:sz="0" w:space="0" w:color="auto"/>
                <w:right w:val="none" w:sz="0" w:space="0" w:color="auto"/>
              </w:divBdr>
              <w:divsChild>
                <w:div w:id="16274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2184">
      <w:bodyDiv w:val="1"/>
      <w:marLeft w:val="0"/>
      <w:marRight w:val="0"/>
      <w:marTop w:val="0"/>
      <w:marBottom w:val="0"/>
      <w:divBdr>
        <w:top w:val="none" w:sz="0" w:space="0" w:color="auto"/>
        <w:left w:val="none" w:sz="0" w:space="0" w:color="auto"/>
        <w:bottom w:val="none" w:sz="0" w:space="0" w:color="auto"/>
        <w:right w:val="none" w:sz="0" w:space="0" w:color="auto"/>
      </w:divBdr>
      <w:divsChild>
        <w:div w:id="1493524012">
          <w:marLeft w:val="0"/>
          <w:marRight w:val="0"/>
          <w:marTop w:val="0"/>
          <w:marBottom w:val="0"/>
          <w:divBdr>
            <w:top w:val="none" w:sz="0" w:space="0" w:color="auto"/>
            <w:left w:val="none" w:sz="0" w:space="0" w:color="auto"/>
            <w:bottom w:val="none" w:sz="0" w:space="0" w:color="auto"/>
            <w:right w:val="none" w:sz="0" w:space="0" w:color="auto"/>
          </w:divBdr>
          <w:divsChild>
            <w:div w:id="841118523">
              <w:marLeft w:val="0"/>
              <w:marRight w:val="0"/>
              <w:marTop w:val="0"/>
              <w:marBottom w:val="0"/>
              <w:divBdr>
                <w:top w:val="none" w:sz="0" w:space="0" w:color="auto"/>
                <w:left w:val="none" w:sz="0" w:space="0" w:color="auto"/>
                <w:bottom w:val="none" w:sz="0" w:space="0" w:color="auto"/>
                <w:right w:val="none" w:sz="0" w:space="0" w:color="auto"/>
              </w:divBdr>
              <w:divsChild>
                <w:div w:id="7604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74880818">
      <w:bodyDiv w:val="1"/>
      <w:marLeft w:val="0"/>
      <w:marRight w:val="0"/>
      <w:marTop w:val="0"/>
      <w:marBottom w:val="0"/>
      <w:divBdr>
        <w:top w:val="none" w:sz="0" w:space="0" w:color="auto"/>
        <w:left w:val="none" w:sz="0" w:space="0" w:color="auto"/>
        <w:bottom w:val="none" w:sz="0" w:space="0" w:color="auto"/>
        <w:right w:val="none" w:sz="0" w:space="0" w:color="auto"/>
      </w:divBdr>
    </w:div>
    <w:div w:id="1881892694">
      <w:bodyDiv w:val="1"/>
      <w:marLeft w:val="0"/>
      <w:marRight w:val="0"/>
      <w:marTop w:val="0"/>
      <w:marBottom w:val="0"/>
      <w:divBdr>
        <w:top w:val="none" w:sz="0" w:space="0" w:color="auto"/>
        <w:left w:val="none" w:sz="0" w:space="0" w:color="auto"/>
        <w:bottom w:val="none" w:sz="0" w:space="0" w:color="auto"/>
        <w:right w:val="none" w:sz="0" w:space="0" w:color="auto"/>
      </w:divBdr>
      <w:divsChild>
        <w:div w:id="316081045">
          <w:marLeft w:val="0"/>
          <w:marRight w:val="0"/>
          <w:marTop w:val="0"/>
          <w:marBottom w:val="0"/>
          <w:divBdr>
            <w:top w:val="none" w:sz="0" w:space="0" w:color="auto"/>
            <w:left w:val="none" w:sz="0" w:space="0" w:color="auto"/>
            <w:bottom w:val="none" w:sz="0" w:space="0" w:color="auto"/>
            <w:right w:val="none" w:sz="0" w:space="0" w:color="auto"/>
          </w:divBdr>
          <w:divsChild>
            <w:div w:id="1966694043">
              <w:marLeft w:val="0"/>
              <w:marRight w:val="0"/>
              <w:marTop w:val="0"/>
              <w:marBottom w:val="0"/>
              <w:divBdr>
                <w:top w:val="none" w:sz="0" w:space="0" w:color="auto"/>
                <w:left w:val="none" w:sz="0" w:space="0" w:color="auto"/>
                <w:bottom w:val="none" w:sz="0" w:space="0" w:color="auto"/>
                <w:right w:val="none" w:sz="0" w:space="0" w:color="auto"/>
              </w:divBdr>
              <w:divsChild>
                <w:div w:id="12558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898082866">
      <w:bodyDiv w:val="1"/>
      <w:marLeft w:val="0"/>
      <w:marRight w:val="0"/>
      <w:marTop w:val="0"/>
      <w:marBottom w:val="0"/>
      <w:divBdr>
        <w:top w:val="none" w:sz="0" w:space="0" w:color="auto"/>
        <w:left w:val="none" w:sz="0" w:space="0" w:color="auto"/>
        <w:bottom w:val="none" w:sz="0" w:space="0" w:color="auto"/>
        <w:right w:val="none" w:sz="0" w:space="0" w:color="auto"/>
      </w:divBdr>
      <w:divsChild>
        <w:div w:id="933972980">
          <w:marLeft w:val="0"/>
          <w:marRight w:val="0"/>
          <w:marTop w:val="0"/>
          <w:marBottom w:val="0"/>
          <w:divBdr>
            <w:top w:val="none" w:sz="0" w:space="0" w:color="auto"/>
            <w:left w:val="none" w:sz="0" w:space="0" w:color="auto"/>
            <w:bottom w:val="none" w:sz="0" w:space="0" w:color="auto"/>
            <w:right w:val="none" w:sz="0" w:space="0" w:color="auto"/>
          </w:divBdr>
          <w:divsChild>
            <w:div w:id="1946617768">
              <w:marLeft w:val="0"/>
              <w:marRight w:val="0"/>
              <w:marTop w:val="0"/>
              <w:marBottom w:val="0"/>
              <w:divBdr>
                <w:top w:val="none" w:sz="0" w:space="0" w:color="auto"/>
                <w:left w:val="none" w:sz="0" w:space="0" w:color="auto"/>
                <w:bottom w:val="none" w:sz="0" w:space="0" w:color="auto"/>
                <w:right w:val="none" w:sz="0" w:space="0" w:color="auto"/>
              </w:divBdr>
              <w:divsChild>
                <w:div w:id="1279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8836">
      <w:bodyDiv w:val="1"/>
      <w:marLeft w:val="0"/>
      <w:marRight w:val="0"/>
      <w:marTop w:val="0"/>
      <w:marBottom w:val="0"/>
      <w:divBdr>
        <w:top w:val="none" w:sz="0" w:space="0" w:color="auto"/>
        <w:left w:val="none" w:sz="0" w:space="0" w:color="auto"/>
        <w:bottom w:val="none" w:sz="0" w:space="0" w:color="auto"/>
        <w:right w:val="none" w:sz="0" w:space="0" w:color="auto"/>
      </w:divBdr>
      <w:divsChild>
        <w:div w:id="829637042">
          <w:marLeft w:val="0"/>
          <w:marRight w:val="0"/>
          <w:marTop w:val="0"/>
          <w:marBottom w:val="0"/>
          <w:divBdr>
            <w:top w:val="none" w:sz="0" w:space="0" w:color="auto"/>
            <w:left w:val="none" w:sz="0" w:space="0" w:color="auto"/>
            <w:bottom w:val="none" w:sz="0" w:space="0" w:color="auto"/>
            <w:right w:val="none" w:sz="0" w:space="0" w:color="auto"/>
          </w:divBdr>
          <w:divsChild>
            <w:div w:id="401677138">
              <w:marLeft w:val="0"/>
              <w:marRight w:val="0"/>
              <w:marTop w:val="0"/>
              <w:marBottom w:val="0"/>
              <w:divBdr>
                <w:top w:val="none" w:sz="0" w:space="0" w:color="auto"/>
                <w:left w:val="none" w:sz="0" w:space="0" w:color="auto"/>
                <w:bottom w:val="none" w:sz="0" w:space="0" w:color="auto"/>
                <w:right w:val="none" w:sz="0" w:space="0" w:color="auto"/>
              </w:divBdr>
              <w:divsChild>
                <w:div w:id="9346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1155">
      <w:bodyDiv w:val="1"/>
      <w:marLeft w:val="0"/>
      <w:marRight w:val="0"/>
      <w:marTop w:val="0"/>
      <w:marBottom w:val="0"/>
      <w:divBdr>
        <w:top w:val="none" w:sz="0" w:space="0" w:color="auto"/>
        <w:left w:val="none" w:sz="0" w:space="0" w:color="auto"/>
        <w:bottom w:val="none" w:sz="0" w:space="0" w:color="auto"/>
        <w:right w:val="none" w:sz="0" w:space="0" w:color="auto"/>
      </w:divBdr>
      <w:divsChild>
        <w:div w:id="224267181">
          <w:marLeft w:val="0"/>
          <w:marRight w:val="0"/>
          <w:marTop w:val="0"/>
          <w:marBottom w:val="0"/>
          <w:divBdr>
            <w:top w:val="none" w:sz="0" w:space="0" w:color="auto"/>
            <w:left w:val="none" w:sz="0" w:space="0" w:color="auto"/>
            <w:bottom w:val="none" w:sz="0" w:space="0" w:color="auto"/>
            <w:right w:val="none" w:sz="0" w:space="0" w:color="auto"/>
          </w:divBdr>
          <w:divsChild>
            <w:div w:id="138499585">
              <w:marLeft w:val="0"/>
              <w:marRight w:val="0"/>
              <w:marTop w:val="0"/>
              <w:marBottom w:val="0"/>
              <w:divBdr>
                <w:top w:val="none" w:sz="0" w:space="0" w:color="auto"/>
                <w:left w:val="none" w:sz="0" w:space="0" w:color="auto"/>
                <w:bottom w:val="none" w:sz="0" w:space="0" w:color="auto"/>
                <w:right w:val="none" w:sz="0" w:space="0" w:color="auto"/>
              </w:divBdr>
              <w:divsChild>
                <w:div w:id="10272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3216">
      <w:bodyDiv w:val="1"/>
      <w:marLeft w:val="0"/>
      <w:marRight w:val="0"/>
      <w:marTop w:val="0"/>
      <w:marBottom w:val="0"/>
      <w:divBdr>
        <w:top w:val="none" w:sz="0" w:space="0" w:color="auto"/>
        <w:left w:val="none" w:sz="0" w:space="0" w:color="auto"/>
        <w:bottom w:val="none" w:sz="0" w:space="0" w:color="auto"/>
        <w:right w:val="none" w:sz="0" w:space="0" w:color="auto"/>
      </w:divBdr>
      <w:divsChild>
        <w:div w:id="226039015">
          <w:marLeft w:val="0"/>
          <w:marRight w:val="0"/>
          <w:marTop w:val="0"/>
          <w:marBottom w:val="0"/>
          <w:divBdr>
            <w:top w:val="none" w:sz="0" w:space="0" w:color="auto"/>
            <w:left w:val="none" w:sz="0" w:space="0" w:color="auto"/>
            <w:bottom w:val="none" w:sz="0" w:space="0" w:color="auto"/>
            <w:right w:val="none" w:sz="0" w:space="0" w:color="auto"/>
          </w:divBdr>
          <w:divsChild>
            <w:div w:id="1232693169">
              <w:marLeft w:val="0"/>
              <w:marRight w:val="0"/>
              <w:marTop w:val="0"/>
              <w:marBottom w:val="0"/>
              <w:divBdr>
                <w:top w:val="none" w:sz="0" w:space="0" w:color="auto"/>
                <w:left w:val="none" w:sz="0" w:space="0" w:color="auto"/>
                <w:bottom w:val="none" w:sz="0" w:space="0" w:color="auto"/>
                <w:right w:val="none" w:sz="0" w:space="0" w:color="auto"/>
              </w:divBdr>
              <w:divsChild>
                <w:div w:id="9865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2207">
      <w:bodyDiv w:val="1"/>
      <w:marLeft w:val="0"/>
      <w:marRight w:val="0"/>
      <w:marTop w:val="0"/>
      <w:marBottom w:val="0"/>
      <w:divBdr>
        <w:top w:val="none" w:sz="0" w:space="0" w:color="auto"/>
        <w:left w:val="none" w:sz="0" w:space="0" w:color="auto"/>
        <w:bottom w:val="none" w:sz="0" w:space="0" w:color="auto"/>
        <w:right w:val="none" w:sz="0" w:space="0" w:color="auto"/>
      </w:divBdr>
      <w:divsChild>
        <w:div w:id="588126586">
          <w:marLeft w:val="0"/>
          <w:marRight w:val="0"/>
          <w:marTop w:val="0"/>
          <w:marBottom w:val="0"/>
          <w:divBdr>
            <w:top w:val="none" w:sz="0" w:space="0" w:color="auto"/>
            <w:left w:val="none" w:sz="0" w:space="0" w:color="auto"/>
            <w:bottom w:val="none" w:sz="0" w:space="0" w:color="auto"/>
            <w:right w:val="none" w:sz="0" w:space="0" w:color="auto"/>
          </w:divBdr>
          <w:divsChild>
            <w:div w:id="2127967657">
              <w:marLeft w:val="0"/>
              <w:marRight w:val="0"/>
              <w:marTop w:val="0"/>
              <w:marBottom w:val="0"/>
              <w:divBdr>
                <w:top w:val="none" w:sz="0" w:space="0" w:color="auto"/>
                <w:left w:val="none" w:sz="0" w:space="0" w:color="auto"/>
                <w:bottom w:val="none" w:sz="0" w:space="0" w:color="auto"/>
                <w:right w:val="none" w:sz="0" w:space="0" w:color="auto"/>
              </w:divBdr>
              <w:divsChild>
                <w:div w:id="19808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6758">
      <w:bodyDiv w:val="1"/>
      <w:marLeft w:val="0"/>
      <w:marRight w:val="0"/>
      <w:marTop w:val="0"/>
      <w:marBottom w:val="0"/>
      <w:divBdr>
        <w:top w:val="none" w:sz="0" w:space="0" w:color="auto"/>
        <w:left w:val="none" w:sz="0" w:space="0" w:color="auto"/>
        <w:bottom w:val="none" w:sz="0" w:space="0" w:color="auto"/>
        <w:right w:val="none" w:sz="0" w:space="0" w:color="auto"/>
      </w:divBdr>
    </w:div>
    <w:div w:id="1957591029">
      <w:bodyDiv w:val="1"/>
      <w:marLeft w:val="0"/>
      <w:marRight w:val="0"/>
      <w:marTop w:val="0"/>
      <w:marBottom w:val="0"/>
      <w:divBdr>
        <w:top w:val="none" w:sz="0" w:space="0" w:color="auto"/>
        <w:left w:val="none" w:sz="0" w:space="0" w:color="auto"/>
        <w:bottom w:val="none" w:sz="0" w:space="0" w:color="auto"/>
        <w:right w:val="none" w:sz="0" w:space="0" w:color="auto"/>
      </w:divBdr>
      <w:divsChild>
        <w:div w:id="586035326">
          <w:marLeft w:val="0"/>
          <w:marRight w:val="0"/>
          <w:marTop w:val="0"/>
          <w:marBottom w:val="0"/>
          <w:divBdr>
            <w:top w:val="none" w:sz="0" w:space="0" w:color="auto"/>
            <w:left w:val="none" w:sz="0" w:space="0" w:color="auto"/>
            <w:bottom w:val="none" w:sz="0" w:space="0" w:color="auto"/>
            <w:right w:val="none" w:sz="0" w:space="0" w:color="auto"/>
          </w:divBdr>
          <w:divsChild>
            <w:div w:id="35855793">
              <w:marLeft w:val="0"/>
              <w:marRight w:val="0"/>
              <w:marTop w:val="0"/>
              <w:marBottom w:val="0"/>
              <w:divBdr>
                <w:top w:val="none" w:sz="0" w:space="0" w:color="auto"/>
                <w:left w:val="none" w:sz="0" w:space="0" w:color="auto"/>
                <w:bottom w:val="none" w:sz="0" w:space="0" w:color="auto"/>
                <w:right w:val="none" w:sz="0" w:space="0" w:color="auto"/>
              </w:divBdr>
              <w:divsChild>
                <w:div w:id="8669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99129">
      <w:bodyDiv w:val="1"/>
      <w:marLeft w:val="0"/>
      <w:marRight w:val="0"/>
      <w:marTop w:val="0"/>
      <w:marBottom w:val="0"/>
      <w:divBdr>
        <w:top w:val="none" w:sz="0" w:space="0" w:color="auto"/>
        <w:left w:val="none" w:sz="0" w:space="0" w:color="auto"/>
        <w:bottom w:val="none" w:sz="0" w:space="0" w:color="auto"/>
        <w:right w:val="none" w:sz="0" w:space="0" w:color="auto"/>
      </w:divBdr>
      <w:divsChild>
        <w:div w:id="570192263">
          <w:marLeft w:val="0"/>
          <w:marRight w:val="0"/>
          <w:marTop w:val="0"/>
          <w:marBottom w:val="0"/>
          <w:divBdr>
            <w:top w:val="none" w:sz="0" w:space="0" w:color="auto"/>
            <w:left w:val="none" w:sz="0" w:space="0" w:color="auto"/>
            <w:bottom w:val="none" w:sz="0" w:space="0" w:color="auto"/>
            <w:right w:val="none" w:sz="0" w:space="0" w:color="auto"/>
          </w:divBdr>
          <w:divsChild>
            <w:div w:id="25452795">
              <w:marLeft w:val="0"/>
              <w:marRight w:val="0"/>
              <w:marTop w:val="0"/>
              <w:marBottom w:val="0"/>
              <w:divBdr>
                <w:top w:val="none" w:sz="0" w:space="0" w:color="auto"/>
                <w:left w:val="none" w:sz="0" w:space="0" w:color="auto"/>
                <w:bottom w:val="none" w:sz="0" w:space="0" w:color="auto"/>
                <w:right w:val="none" w:sz="0" w:space="0" w:color="auto"/>
              </w:divBdr>
              <w:divsChild>
                <w:div w:id="2299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2594">
      <w:bodyDiv w:val="1"/>
      <w:marLeft w:val="0"/>
      <w:marRight w:val="0"/>
      <w:marTop w:val="0"/>
      <w:marBottom w:val="0"/>
      <w:divBdr>
        <w:top w:val="none" w:sz="0" w:space="0" w:color="auto"/>
        <w:left w:val="none" w:sz="0" w:space="0" w:color="auto"/>
        <w:bottom w:val="none" w:sz="0" w:space="0" w:color="auto"/>
        <w:right w:val="none" w:sz="0" w:space="0" w:color="auto"/>
      </w:divBdr>
      <w:divsChild>
        <w:div w:id="1576554244">
          <w:marLeft w:val="0"/>
          <w:marRight w:val="0"/>
          <w:marTop w:val="0"/>
          <w:marBottom w:val="0"/>
          <w:divBdr>
            <w:top w:val="none" w:sz="0" w:space="0" w:color="auto"/>
            <w:left w:val="none" w:sz="0" w:space="0" w:color="auto"/>
            <w:bottom w:val="none" w:sz="0" w:space="0" w:color="auto"/>
            <w:right w:val="none" w:sz="0" w:space="0" w:color="auto"/>
          </w:divBdr>
          <w:divsChild>
            <w:div w:id="807674104">
              <w:marLeft w:val="0"/>
              <w:marRight w:val="0"/>
              <w:marTop w:val="0"/>
              <w:marBottom w:val="0"/>
              <w:divBdr>
                <w:top w:val="none" w:sz="0" w:space="0" w:color="auto"/>
                <w:left w:val="none" w:sz="0" w:space="0" w:color="auto"/>
                <w:bottom w:val="none" w:sz="0" w:space="0" w:color="auto"/>
                <w:right w:val="none" w:sz="0" w:space="0" w:color="auto"/>
              </w:divBdr>
              <w:divsChild>
                <w:div w:id="16996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1568">
      <w:bodyDiv w:val="1"/>
      <w:marLeft w:val="0"/>
      <w:marRight w:val="0"/>
      <w:marTop w:val="0"/>
      <w:marBottom w:val="0"/>
      <w:divBdr>
        <w:top w:val="none" w:sz="0" w:space="0" w:color="auto"/>
        <w:left w:val="none" w:sz="0" w:space="0" w:color="auto"/>
        <w:bottom w:val="none" w:sz="0" w:space="0" w:color="auto"/>
        <w:right w:val="none" w:sz="0" w:space="0" w:color="auto"/>
      </w:divBdr>
    </w:div>
    <w:div w:id="1964654803">
      <w:bodyDiv w:val="1"/>
      <w:marLeft w:val="0"/>
      <w:marRight w:val="0"/>
      <w:marTop w:val="0"/>
      <w:marBottom w:val="0"/>
      <w:divBdr>
        <w:top w:val="none" w:sz="0" w:space="0" w:color="auto"/>
        <w:left w:val="none" w:sz="0" w:space="0" w:color="auto"/>
        <w:bottom w:val="none" w:sz="0" w:space="0" w:color="auto"/>
        <w:right w:val="none" w:sz="0" w:space="0" w:color="auto"/>
      </w:divBdr>
    </w:div>
    <w:div w:id="1965916046">
      <w:bodyDiv w:val="1"/>
      <w:marLeft w:val="0"/>
      <w:marRight w:val="0"/>
      <w:marTop w:val="0"/>
      <w:marBottom w:val="0"/>
      <w:divBdr>
        <w:top w:val="none" w:sz="0" w:space="0" w:color="auto"/>
        <w:left w:val="none" w:sz="0" w:space="0" w:color="auto"/>
        <w:bottom w:val="none" w:sz="0" w:space="0" w:color="auto"/>
        <w:right w:val="none" w:sz="0" w:space="0" w:color="auto"/>
      </w:divBdr>
      <w:divsChild>
        <w:div w:id="1050346799">
          <w:marLeft w:val="0"/>
          <w:marRight w:val="0"/>
          <w:marTop w:val="0"/>
          <w:marBottom w:val="0"/>
          <w:divBdr>
            <w:top w:val="none" w:sz="0" w:space="0" w:color="auto"/>
            <w:left w:val="none" w:sz="0" w:space="0" w:color="auto"/>
            <w:bottom w:val="none" w:sz="0" w:space="0" w:color="auto"/>
            <w:right w:val="none" w:sz="0" w:space="0" w:color="auto"/>
          </w:divBdr>
          <w:divsChild>
            <w:div w:id="1096513930">
              <w:marLeft w:val="0"/>
              <w:marRight w:val="0"/>
              <w:marTop w:val="0"/>
              <w:marBottom w:val="0"/>
              <w:divBdr>
                <w:top w:val="none" w:sz="0" w:space="0" w:color="auto"/>
                <w:left w:val="none" w:sz="0" w:space="0" w:color="auto"/>
                <w:bottom w:val="none" w:sz="0" w:space="0" w:color="auto"/>
                <w:right w:val="none" w:sz="0" w:space="0" w:color="auto"/>
              </w:divBdr>
              <w:divsChild>
                <w:div w:id="9928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66957997">
      <w:bodyDiv w:val="1"/>
      <w:marLeft w:val="0"/>
      <w:marRight w:val="0"/>
      <w:marTop w:val="0"/>
      <w:marBottom w:val="0"/>
      <w:divBdr>
        <w:top w:val="none" w:sz="0" w:space="0" w:color="auto"/>
        <w:left w:val="none" w:sz="0" w:space="0" w:color="auto"/>
        <w:bottom w:val="none" w:sz="0" w:space="0" w:color="auto"/>
        <w:right w:val="none" w:sz="0" w:space="0" w:color="auto"/>
      </w:divBdr>
    </w:div>
    <w:div w:id="1970891244">
      <w:bodyDiv w:val="1"/>
      <w:marLeft w:val="0"/>
      <w:marRight w:val="0"/>
      <w:marTop w:val="0"/>
      <w:marBottom w:val="0"/>
      <w:divBdr>
        <w:top w:val="none" w:sz="0" w:space="0" w:color="auto"/>
        <w:left w:val="none" w:sz="0" w:space="0" w:color="auto"/>
        <w:bottom w:val="none" w:sz="0" w:space="0" w:color="auto"/>
        <w:right w:val="none" w:sz="0" w:space="0" w:color="auto"/>
      </w:divBdr>
    </w:div>
    <w:div w:id="1977098024">
      <w:bodyDiv w:val="1"/>
      <w:marLeft w:val="0"/>
      <w:marRight w:val="0"/>
      <w:marTop w:val="0"/>
      <w:marBottom w:val="0"/>
      <w:divBdr>
        <w:top w:val="none" w:sz="0" w:space="0" w:color="auto"/>
        <w:left w:val="none" w:sz="0" w:space="0" w:color="auto"/>
        <w:bottom w:val="none" w:sz="0" w:space="0" w:color="auto"/>
        <w:right w:val="none" w:sz="0" w:space="0" w:color="auto"/>
      </w:divBdr>
      <w:divsChild>
        <w:div w:id="248273145">
          <w:marLeft w:val="0"/>
          <w:marRight w:val="0"/>
          <w:marTop w:val="0"/>
          <w:marBottom w:val="0"/>
          <w:divBdr>
            <w:top w:val="none" w:sz="0" w:space="0" w:color="auto"/>
            <w:left w:val="none" w:sz="0" w:space="0" w:color="auto"/>
            <w:bottom w:val="none" w:sz="0" w:space="0" w:color="auto"/>
            <w:right w:val="none" w:sz="0" w:space="0" w:color="auto"/>
          </w:divBdr>
          <w:divsChild>
            <w:div w:id="1872841413">
              <w:marLeft w:val="0"/>
              <w:marRight w:val="0"/>
              <w:marTop w:val="0"/>
              <w:marBottom w:val="0"/>
              <w:divBdr>
                <w:top w:val="none" w:sz="0" w:space="0" w:color="auto"/>
                <w:left w:val="none" w:sz="0" w:space="0" w:color="auto"/>
                <w:bottom w:val="none" w:sz="0" w:space="0" w:color="auto"/>
                <w:right w:val="none" w:sz="0" w:space="0" w:color="auto"/>
              </w:divBdr>
              <w:divsChild>
                <w:div w:id="19927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52433">
      <w:bodyDiv w:val="1"/>
      <w:marLeft w:val="0"/>
      <w:marRight w:val="0"/>
      <w:marTop w:val="0"/>
      <w:marBottom w:val="0"/>
      <w:divBdr>
        <w:top w:val="none" w:sz="0" w:space="0" w:color="auto"/>
        <w:left w:val="none" w:sz="0" w:space="0" w:color="auto"/>
        <w:bottom w:val="none" w:sz="0" w:space="0" w:color="auto"/>
        <w:right w:val="none" w:sz="0" w:space="0" w:color="auto"/>
      </w:divBdr>
    </w:div>
    <w:div w:id="1992710136">
      <w:bodyDiv w:val="1"/>
      <w:marLeft w:val="0"/>
      <w:marRight w:val="0"/>
      <w:marTop w:val="0"/>
      <w:marBottom w:val="0"/>
      <w:divBdr>
        <w:top w:val="none" w:sz="0" w:space="0" w:color="auto"/>
        <w:left w:val="none" w:sz="0" w:space="0" w:color="auto"/>
        <w:bottom w:val="none" w:sz="0" w:space="0" w:color="auto"/>
        <w:right w:val="none" w:sz="0" w:space="0" w:color="auto"/>
      </w:divBdr>
    </w:div>
    <w:div w:id="1995646182">
      <w:bodyDiv w:val="1"/>
      <w:marLeft w:val="0"/>
      <w:marRight w:val="0"/>
      <w:marTop w:val="0"/>
      <w:marBottom w:val="0"/>
      <w:divBdr>
        <w:top w:val="none" w:sz="0" w:space="0" w:color="auto"/>
        <w:left w:val="none" w:sz="0" w:space="0" w:color="auto"/>
        <w:bottom w:val="none" w:sz="0" w:space="0" w:color="auto"/>
        <w:right w:val="none" w:sz="0" w:space="0" w:color="auto"/>
      </w:divBdr>
    </w:div>
    <w:div w:id="200215427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11565668">
      <w:bodyDiv w:val="1"/>
      <w:marLeft w:val="0"/>
      <w:marRight w:val="0"/>
      <w:marTop w:val="0"/>
      <w:marBottom w:val="0"/>
      <w:divBdr>
        <w:top w:val="none" w:sz="0" w:space="0" w:color="auto"/>
        <w:left w:val="none" w:sz="0" w:space="0" w:color="auto"/>
        <w:bottom w:val="none" w:sz="0" w:space="0" w:color="auto"/>
        <w:right w:val="none" w:sz="0" w:space="0" w:color="auto"/>
      </w:divBdr>
    </w:div>
    <w:div w:id="2019387693">
      <w:bodyDiv w:val="1"/>
      <w:marLeft w:val="0"/>
      <w:marRight w:val="0"/>
      <w:marTop w:val="0"/>
      <w:marBottom w:val="0"/>
      <w:divBdr>
        <w:top w:val="none" w:sz="0" w:space="0" w:color="auto"/>
        <w:left w:val="none" w:sz="0" w:space="0" w:color="auto"/>
        <w:bottom w:val="none" w:sz="0" w:space="0" w:color="auto"/>
        <w:right w:val="none" w:sz="0" w:space="0" w:color="auto"/>
      </w:divBdr>
    </w:div>
    <w:div w:id="2022196917">
      <w:bodyDiv w:val="1"/>
      <w:marLeft w:val="0"/>
      <w:marRight w:val="0"/>
      <w:marTop w:val="0"/>
      <w:marBottom w:val="0"/>
      <w:divBdr>
        <w:top w:val="none" w:sz="0" w:space="0" w:color="auto"/>
        <w:left w:val="none" w:sz="0" w:space="0" w:color="auto"/>
        <w:bottom w:val="none" w:sz="0" w:space="0" w:color="auto"/>
        <w:right w:val="none" w:sz="0" w:space="0" w:color="auto"/>
      </w:divBdr>
    </w:div>
    <w:div w:id="2026058923">
      <w:bodyDiv w:val="1"/>
      <w:marLeft w:val="0"/>
      <w:marRight w:val="0"/>
      <w:marTop w:val="0"/>
      <w:marBottom w:val="0"/>
      <w:divBdr>
        <w:top w:val="none" w:sz="0" w:space="0" w:color="auto"/>
        <w:left w:val="none" w:sz="0" w:space="0" w:color="auto"/>
        <w:bottom w:val="none" w:sz="0" w:space="0" w:color="auto"/>
        <w:right w:val="none" w:sz="0" w:space="0" w:color="auto"/>
      </w:divBdr>
    </w:div>
    <w:div w:id="2026595016">
      <w:bodyDiv w:val="1"/>
      <w:marLeft w:val="0"/>
      <w:marRight w:val="0"/>
      <w:marTop w:val="0"/>
      <w:marBottom w:val="0"/>
      <w:divBdr>
        <w:top w:val="none" w:sz="0" w:space="0" w:color="auto"/>
        <w:left w:val="none" w:sz="0" w:space="0" w:color="auto"/>
        <w:bottom w:val="none" w:sz="0" w:space="0" w:color="auto"/>
        <w:right w:val="none" w:sz="0" w:space="0" w:color="auto"/>
      </w:divBdr>
      <w:divsChild>
        <w:div w:id="933245345">
          <w:marLeft w:val="0"/>
          <w:marRight w:val="0"/>
          <w:marTop w:val="0"/>
          <w:marBottom w:val="0"/>
          <w:divBdr>
            <w:top w:val="none" w:sz="0" w:space="0" w:color="auto"/>
            <w:left w:val="none" w:sz="0" w:space="0" w:color="auto"/>
            <w:bottom w:val="none" w:sz="0" w:space="0" w:color="auto"/>
            <w:right w:val="none" w:sz="0" w:space="0" w:color="auto"/>
          </w:divBdr>
          <w:divsChild>
            <w:div w:id="871763713">
              <w:marLeft w:val="0"/>
              <w:marRight w:val="0"/>
              <w:marTop w:val="0"/>
              <w:marBottom w:val="0"/>
              <w:divBdr>
                <w:top w:val="none" w:sz="0" w:space="0" w:color="auto"/>
                <w:left w:val="none" w:sz="0" w:space="0" w:color="auto"/>
                <w:bottom w:val="none" w:sz="0" w:space="0" w:color="auto"/>
                <w:right w:val="none" w:sz="0" w:space="0" w:color="auto"/>
              </w:divBdr>
              <w:divsChild>
                <w:div w:id="4290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28483">
      <w:bodyDiv w:val="1"/>
      <w:marLeft w:val="0"/>
      <w:marRight w:val="0"/>
      <w:marTop w:val="0"/>
      <w:marBottom w:val="0"/>
      <w:divBdr>
        <w:top w:val="none" w:sz="0" w:space="0" w:color="auto"/>
        <w:left w:val="none" w:sz="0" w:space="0" w:color="auto"/>
        <w:bottom w:val="none" w:sz="0" w:space="0" w:color="auto"/>
        <w:right w:val="none" w:sz="0" w:space="0" w:color="auto"/>
      </w:divBdr>
    </w:div>
    <w:div w:id="2045979385">
      <w:bodyDiv w:val="1"/>
      <w:marLeft w:val="0"/>
      <w:marRight w:val="0"/>
      <w:marTop w:val="0"/>
      <w:marBottom w:val="0"/>
      <w:divBdr>
        <w:top w:val="none" w:sz="0" w:space="0" w:color="auto"/>
        <w:left w:val="none" w:sz="0" w:space="0" w:color="auto"/>
        <w:bottom w:val="none" w:sz="0" w:space="0" w:color="auto"/>
        <w:right w:val="none" w:sz="0" w:space="0" w:color="auto"/>
      </w:divBdr>
    </w:div>
    <w:div w:id="2046367692">
      <w:bodyDiv w:val="1"/>
      <w:marLeft w:val="0"/>
      <w:marRight w:val="0"/>
      <w:marTop w:val="0"/>
      <w:marBottom w:val="0"/>
      <w:divBdr>
        <w:top w:val="none" w:sz="0" w:space="0" w:color="auto"/>
        <w:left w:val="none" w:sz="0" w:space="0" w:color="auto"/>
        <w:bottom w:val="none" w:sz="0" w:space="0" w:color="auto"/>
        <w:right w:val="none" w:sz="0" w:space="0" w:color="auto"/>
      </w:divBdr>
      <w:divsChild>
        <w:div w:id="1925333510">
          <w:marLeft w:val="0"/>
          <w:marRight w:val="0"/>
          <w:marTop w:val="0"/>
          <w:marBottom w:val="0"/>
          <w:divBdr>
            <w:top w:val="none" w:sz="0" w:space="0" w:color="auto"/>
            <w:left w:val="none" w:sz="0" w:space="0" w:color="auto"/>
            <w:bottom w:val="none" w:sz="0" w:space="0" w:color="auto"/>
            <w:right w:val="none" w:sz="0" w:space="0" w:color="auto"/>
          </w:divBdr>
          <w:divsChild>
            <w:div w:id="1247568485">
              <w:marLeft w:val="0"/>
              <w:marRight w:val="0"/>
              <w:marTop w:val="0"/>
              <w:marBottom w:val="0"/>
              <w:divBdr>
                <w:top w:val="none" w:sz="0" w:space="0" w:color="auto"/>
                <w:left w:val="none" w:sz="0" w:space="0" w:color="auto"/>
                <w:bottom w:val="none" w:sz="0" w:space="0" w:color="auto"/>
                <w:right w:val="none" w:sz="0" w:space="0" w:color="auto"/>
              </w:divBdr>
              <w:divsChild>
                <w:div w:id="1877427217">
                  <w:marLeft w:val="0"/>
                  <w:marRight w:val="0"/>
                  <w:marTop w:val="0"/>
                  <w:marBottom w:val="0"/>
                  <w:divBdr>
                    <w:top w:val="none" w:sz="0" w:space="0" w:color="auto"/>
                    <w:left w:val="none" w:sz="0" w:space="0" w:color="auto"/>
                    <w:bottom w:val="none" w:sz="0" w:space="0" w:color="auto"/>
                    <w:right w:val="none" w:sz="0" w:space="0" w:color="auto"/>
                  </w:divBdr>
                  <w:divsChild>
                    <w:div w:id="1451978182">
                      <w:marLeft w:val="0"/>
                      <w:marRight w:val="0"/>
                      <w:marTop w:val="0"/>
                      <w:marBottom w:val="0"/>
                      <w:divBdr>
                        <w:top w:val="none" w:sz="0" w:space="0" w:color="auto"/>
                        <w:left w:val="none" w:sz="0" w:space="0" w:color="auto"/>
                        <w:bottom w:val="none" w:sz="0" w:space="0" w:color="auto"/>
                        <w:right w:val="none" w:sz="0" w:space="0" w:color="auto"/>
                      </w:divBdr>
                    </w:div>
                    <w:div w:id="2071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47377">
      <w:bodyDiv w:val="1"/>
      <w:marLeft w:val="0"/>
      <w:marRight w:val="0"/>
      <w:marTop w:val="0"/>
      <w:marBottom w:val="0"/>
      <w:divBdr>
        <w:top w:val="none" w:sz="0" w:space="0" w:color="auto"/>
        <w:left w:val="none" w:sz="0" w:space="0" w:color="auto"/>
        <w:bottom w:val="none" w:sz="0" w:space="0" w:color="auto"/>
        <w:right w:val="none" w:sz="0" w:space="0" w:color="auto"/>
      </w:divBdr>
    </w:div>
    <w:div w:id="2048752462">
      <w:bodyDiv w:val="1"/>
      <w:marLeft w:val="0"/>
      <w:marRight w:val="0"/>
      <w:marTop w:val="0"/>
      <w:marBottom w:val="0"/>
      <w:divBdr>
        <w:top w:val="none" w:sz="0" w:space="0" w:color="auto"/>
        <w:left w:val="none" w:sz="0" w:space="0" w:color="auto"/>
        <w:bottom w:val="none" w:sz="0" w:space="0" w:color="auto"/>
        <w:right w:val="none" w:sz="0" w:space="0" w:color="auto"/>
      </w:divBdr>
      <w:divsChild>
        <w:div w:id="855193924">
          <w:marLeft w:val="0"/>
          <w:marRight w:val="0"/>
          <w:marTop w:val="0"/>
          <w:marBottom w:val="0"/>
          <w:divBdr>
            <w:top w:val="none" w:sz="0" w:space="0" w:color="auto"/>
            <w:left w:val="none" w:sz="0" w:space="0" w:color="auto"/>
            <w:bottom w:val="none" w:sz="0" w:space="0" w:color="auto"/>
            <w:right w:val="none" w:sz="0" w:space="0" w:color="auto"/>
          </w:divBdr>
          <w:divsChild>
            <w:div w:id="417872084">
              <w:marLeft w:val="0"/>
              <w:marRight w:val="0"/>
              <w:marTop w:val="0"/>
              <w:marBottom w:val="0"/>
              <w:divBdr>
                <w:top w:val="none" w:sz="0" w:space="0" w:color="auto"/>
                <w:left w:val="none" w:sz="0" w:space="0" w:color="auto"/>
                <w:bottom w:val="none" w:sz="0" w:space="0" w:color="auto"/>
                <w:right w:val="none" w:sz="0" w:space="0" w:color="auto"/>
              </w:divBdr>
              <w:divsChild>
                <w:div w:id="1590846091">
                  <w:marLeft w:val="0"/>
                  <w:marRight w:val="0"/>
                  <w:marTop w:val="0"/>
                  <w:marBottom w:val="0"/>
                  <w:divBdr>
                    <w:top w:val="none" w:sz="0" w:space="0" w:color="auto"/>
                    <w:left w:val="none" w:sz="0" w:space="0" w:color="auto"/>
                    <w:bottom w:val="none" w:sz="0" w:space="0" w:color="auto"/>
                    <w:right w:val="none" w:sz="0" w:space="0" w:color="auto"/>
                  </w:divBdr>
                  <w:divsChild>
                    <w:div w:id="9679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10225">
      <w:bodyDiv w:val="1"/>
      <w:marLeft w:val="0"/>
      <w:marRight w:val="0"/>
      <w:marTop w:val="0"/>
      <w:marBottom w:val="0"/>
      <w:divBdr>
        <w:top w:val="none" w:sz="0" w:space="0" w:color="auto"/>
        <w:left w:val="none" w:sz="0" w:space="0" w:color="auto"/>
        <w:bottom w:val="none" w:sz="0" w:space="0" w:color="auto"/>
        <w:right w:val="none" w:sz="0" w:space="0" w:color="auto"/>
      </w:divBdr>
      <w:divsChild>
        <w:div w:id="402219985">
          <w:marLeft w:val="0"/>
          <w:marRight w:val="0"/>
          <w:marTop w:val="0"/>
          <w:marBottom w:val="0"/>
          <w:divBdr>
            <w:top w:val="none" w:sz="0" w:space="0" w:color="auto"/>
            <w:left w:val="none" w:sz="0" w:space="0" w:color="auto"/>
            <w:bottom w:val="none" w:sz="0" w:space="0" w:color="auto"/>
            <w:right w:val="none" w:sz="0" w:space="0" w:color="auto"/>
          </w:divBdr>
          <w:divsChild>
            <w:div w:id="1571236854">
              <w:marLeft w:val="0"/>
              <w:marRight w:val="0"/>
              <w:marTop w:val="0"/>
              <w:marBottom w:val="0"/>
              <w:divBdr>
                <w:top w:val="none" w:sz="0" w:space="0" w:color="auto"/>
                <w:left w:val="none" w:sz="0" w:space="0" w:color="auto"/>
                <w:bottom w:val="none" w:sz="0" w:space="0" w:color="auto"/>
                <w:right w:val="none" w:sz="0" w:space="0" w:color="auto"/>
              </w:divBdr>
              <w:divsChild>
                <w:div w:id="4016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1169">
      <w:bodyDiv w:val="1"/>
      <w:marLeft w:val="0"/>
      <w:marRight w:val="0"/>
      <w:marTop w:val="0"/>
      <w:marBottom w:val="0"/>
      <w:divBdr>
        <w:top w:val="none" w:sz="0" w:space="0" w:color="auto"/>
        <w:left w:val="none" w:sz="0" w:space="0" w:color="auto"/>
        <w:bottom w:val="none" w:sz="0" w:space="0" w:color="auto"/>
        <w:right w:val="none" w:sz="0" w:space="0" w:color="auto"/>
      </w:divBdr>
    </w:div>
    <w:div w:id="2050371964">
      <w:bodyDiv w:val="1"/>
      <w:marLeft w:val="0"/>
      <w:marRight w:val="0"/>
      <w:marTop w:val="0"/>
      <w:marBottom w:val="0"/>
      <w:divBdr>
        <w:top w:val="none" w:sz="0" w:space="0" w:color="auto"/>
        <w:left w:val="none" w:sz="0" w:space="0" w:color="auto"/>
        <w:bottom w:val="none" w:sz="0" w:space="0" w:color="auto"/>
        <w:right w:val="none" w:sz="0" w:space="0" w:color="auto"/>
      </w:divBdr>
    </w:div>
    <w:div w:id="2051879473">
      <w:bodyDiv w:val="1"/>
      <w:marLeft w:val="0"/>
      <w:marRight w:val="0"/>
      <w:marTop w:val="0"/>
      <w:marBottom w:val="0"/>
      <w:divBdr>
        <w:top w:val="none" w:sz="0" w:space="0" w:color="auto"/>
        <w:left w:val="none" w:sz="0" w:space="0" w:color="auto"/>
        <w:bottom w:val="none" w:sz="0" w:space="0" w:color="auto"/>
        <w:right w:val="none" w:sz="0" w:space="0" w:color="auto"/>
      </w:divBdr>
      <w:divsChild>
        <w:div w:id="574970689">
          <w:marLeft w:val="0"/>
          <w:marRight w:val="0"/>
          <w:marTop w:val="0"/>
          <w:marBottom w:val="0"/>
          <w:divBdr>
            <w:top w:val="none" w:sz="0" w:space="0" w:color="auto"/>
            <w:left w:val="none" w:sz="0" w:space="0" w:color="auto"/>
            <w:bottom w:val="none" w:sz="0" w:space="0" w:color="auto"/>
            <w:right w:val="none" w:sz="0" w:space="0" w:color="auto"/>
          </w:divBdr>
          <w:divsChild>
            <w:div w:id="17085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2142">
      <w:bodyDiv w:val="1"/>
      <w:marLeft w:val="0"/>
      <w:marRight w:val="0"/>
      <w:marTop w:val="0"/>
      <w:marBottom w:val="0"/>
      <w:divBdr>
        <w:top w:val="none" w:sz="0" w:space="0" w:color="auto"/>
        <w:left w:val="none" w:sz="0" w:space="0" w:color="auto"/>
        <w:bottom w:val="none" w:sz="0" w:space="0" w:color="auto"/>
        <w:right w:val="none" w:sz="0" w:space="0" w:color="auto"/>
      </w:divBdr>
      <w:divsChild>
        <w:div w:id="1056588050">
          <w:marLeft w:val="0"/>
          <w:marRight w:val="0"/>
          <w:marTop w:val="0"/>
          <w:marBottom w:val="0"/>
          <w:divBdr>
            <w:top w:val="none" w:sz="0" w:space="0" w:color="auto"/>
            <w:left w:val="none" w:sz="0" w:space="0" w:color="auto"/>
            <w:bottom w:val="none" w:sz="0" w:space="0" w:color="auto"/>
            <w:right w:val="none" w:sz="0" w:space="0" w:color="auto"/>
          </w:divBdr>
          <w:divsChild>
            <w:div w:id="72242517">
              <w:marLeft w:val="0"/>
              <w:marRight w:val="0"/>
              <w:marTop w:val="0"/>
              <w:marBottom w:val="0"/>
              <w:divBdr>
                <w:top w:val="none" w:sz="0" w:space="0" w:color="auto"/>
                <w:left w:val="none" w:sz="0" w:space="0" w:color="auto"/>
                <w:bottom w:val="none" w:sz="0" w:space="0" w:color="auto"/>
                <w:right w:val="none" w:sz="0" w:space="0" w:color="auto"/>
              </w:divBdr>
              <w:divsChild>
                <w:div w:id="8810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2592">
      <w:bodyDiv w:val="1"/>
      <w:marLeft w:val="0"/>
      <w:marRight w:val="0"/>
      <w:marTop w:val="0"/>
      <w:marBottom w:val="0"/>
      <w:divBdr>
        <w:top w:val="none" w:sz="0" w:space="0" w:color="auto"/>
        <w:left w:val="none" w:sz="0" w:space="0" w:color="auto"/>
        <w:bottom w:val="none" w:sz="0" w:space="0" w:color="auto"/>
        <w:right w:val="none" w:sz="0" w:space="0" w:color="auto"/>
      </w:divBdr>
      <w:divsChild>
        <w:div w:id="1359694206">
          <w:marLeft w:val="0"/>
          <w:marRight w:val="0"/>
          <w:marTop w:val="0"/>
          <w:marBottom w:val="0"/>
          <w:divBdr>
            <w:top w:val="none" w:sz="0" w:space="0" w:color="auto"/>
            <w:left w:val="none" w:sz="0" w:space="0" w:color="auto"/>
            <w:bottom w:val="none" w:sz="0" w:space="0" w:color="auto"/>
            <w:right w:val="none" w:sz="0" w:space="0" w:color="auto"/>
          </w:divBdr>
          <w:divsChild>
            <w:div w:id="2138911866">
              <w:marLeft w:val="0"/>
              <w:marRight w:val="0"/>
              <w:marTop w:val="0"/>
              <w:marBottom w:val="0"/>
              <w:divBdr>
                <w:top w:val="none" w:sz="0" w:space="0" w:color="auto"/>
                <w:left w:val="none" w:sz="0" w:space="0" w:color="auto"/>
                <w:bottom w:val="none" w:sz="0" w:space="0" w:color="auto"/>
                <w:right w:val="none" w:sz="0" w:space="0" w:color="auto"/>
              </w:divBdr>
              <w:divsChild>
                <w:div w:id="678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017">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68600499">
      <w:bodyDiv w:val="1"/>
      <w:marLeft w:val="0"/>
      <w:marRight w:val="0"/>
      <w:marTop w:val="0"/>
      <w:marBottom w:val="0"/>
      <w:divBdr>
        <w:top w:val="none" w:sz="0" w:space="0" w:color="auto"/>
        <w:left w:val="none" w:sz="0" w:space="0" w:color="auto"/>
        <w:bottom w:val="none" w:sz="0" w:space="0" w:color="auto"/>
        <w:right w:val="none" w:sz="0" w:space="0" w:color="auto"/>
      </w:divBdr>
    </w:div>
    <w:div w:id="2077431916">
      <w:bodyDiv w:val="1"/>
      <w:marLeft w:val="0"/>
      <w:marRight w:val="0"/>
      <w:marTop w:val="0"/>
      <w:marBottom w:val="0"/>
      <w:divBdr>
        <w:top w:val="none" w:sz="0" w:space="0" w:color="auto"/>
        <w:left w:val="none" w:sz="0" w:space="0" w:color="auto"/>
        <w:bottom w:val="none" w:sz="0" w:space="0" w:color="auto"/>
        <w:right w:val="none" w:sz="0" w:space="0" w:color="auto"/>
      </w:divBdr>
      <w:divsChild>
        <w:div w:id="1885168453">
          <w:marLeft w:val="0"/>
          <w:marRight w:val="0"/>
          <w:marTop w:val="0"/>
          <w:marBottom w:val="0"/>
          <w:divBdr>
            <w:top w:val="none" w:sz="0" w:space="0" w:color="auto"/>
            <w:left w:val="none" w:sz="0" w:space="0" w:color="auto"/>
            <w:bottom w:val="none" w:sz="0" w:space="0" w:color="auto"/>
            <w:right w:val="none" w:sz="0" w:space="0" w:color="auto"/>
          </w:divBdr>
          <w:divsChild>
            <w:div w:id="1728531648">
              <w:marLeft w:val="0"/>
              <w:marRight w:val="0"/>
              <w:marTop w:val="0"/>
              <w:marBottom w:val="0"/>
              <w:divBdr>
                <w:top w:val="none" w:sz="0" w:space="0" w:color="auto"/>
                <w:left w:val="none" w:sz="0" w:space="0" w:color="auto"/>
                <w:bottom w:val="none" w:sz="0" w:space="0" w:color="auto"/>
                <w:right w:val="none" w:sz="0" w:space="0" w:color="auto"/>
              </w:divBdr>
              <w:divsChild>
                <w:div w:id="2443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3781">
      <w:bodyDiv w:val="1"/>
      <w:marLeft w:val="0"/>
      <w:marRight w:val="0"/>
      <w:marTop w:val="0"/>
      <w:marBottom w:val="0"/>
      <w:divBdr>
        <w:top w:val="none" w:sz="0" w:space="0" w:color="auto"/>
        <w:left w:val="none" w:sz="0" w:space="0" w:color="auto"/>
        <w:bottom w:val="none" w:sz="0" w:space="0" w:color="auto"/>
        <w:right w:val="none" w:sz="0" w:space="0" w:color="auto"/>
      </w:divBdr>
    </w:div>
    <w:div w:id="2090148175">
      <w:bodyDiv w:val="1"/>
      <w:marLeft w:val="0"/>
      <w:marRight w:val="0"/>
      <w:marTop w:val="0"/>
      <w:marBottom w:val="0"/>
      <w:divBdr>
        <w:top w:val="none" w:sz="0" w:space="0" w:color="auto"/>
        <w:left w:val="none" w:sz="0" w:space="0" w:color="auto"/>
        <w:bottom w:val="none" w:sz="0" w:space="0" w:color="auto"/>
        <w:right w:val="none" w:sz="0" w:space="0" w:color="auto"/>
      </w:divBdr>
    </w:div>
    <w:div w:id="2095852497">
      <w:bodyDiv w:val="1"/>
      <w:marLeft w:val="0"/>
      <w:marRight w:val="0"/>
      <w:marTop w:val="0"/>
      <w:marBottom w:val="0"/>
      <w:divBdr>
        <w:top w:val="none" w:sz="0" w:space="0" w:color="auto"/>
        <w:left w:val="none" w:sz="0" w:space="0" w:color="auto"/>
        <w:bottom w:val="none" w:sz="0" w:space="0" w:color="auto"/>
        <w:right w:val="none" w:sz="0" w:space="0" w:color="auto"/>
      </w:divBdr>
      <w:divsChild>
        <w:div w:id="980646591">
          <w:marLeft w:val="0"/>
          <w:marRight w:val="0"/>
          <w:marTop w:val="0"/>
          <w:marBottom w:val="0"/>
          <w:divBdr>
            <w:top w:val="none" w:sz="0" w:space="0" w:color="auto"/>
            <w:left w:val="none" w:sz="0" w:space="0" w:color="auto"/>
            <w:bottom w:val="none" w:sz="0" w:space="0" w:color="auto"/>
            <w:right w:val="none" w:sz="0" w:space="0" w:color="auto"/>
          </w:divBdr>
          <w:divsChild>
            <w:div w:id="1546912746">
              <w:marLeft w:val="439"/>
              <w:marRight w:val="0"/>
              <w:marTop w:val="0"/>
              <w:marBottom w:val="0"/>
              <w:divBdr>
                <w:top w:val="none" w:sz="0" w:space="0" w:color="auto"/>
                <w:left w:val="none" w:sz="0" w:space="0" w:color="auto"/>
                <w:bottom w:val="none" w:sz="0" w:space="0" w:color="auto"/>
                <w:right w:val="none" w:sz="0" w:space="0" w:color="auto"/>
              </w:divBdr>
              <w:divsChild>
                <w:div w:id="807937970">
                  <w:marLeft w:val="0"/>
                  <w:marRight w:val="0"/>
                  <w:marTop w:val="0"/>
                  <w:marBottom w:val="0"/>
                  <w:divBdr>
                    <w:top w:val="none" w:sz="0" w:space="0" w:color="auto"/>
                    <w:left w:val="none" w:sz="0" w:space="0" w:color="auto"/>
                    <w:bottom w:val="none" w:sz="0" w:space="0" w:color="auto"/>
                    <w:right w:val="none" w:sz="0" w:space="0" w:color="auto"/>
                  </w:divBdr>
                  <w:divsChild>
                    <w:div w:id="1292177544">
                      <w:marLeft w:val="0"/>
                      <w:marRight w:val="0"/>
                      <w:marTop w:val="0"/>
                      <w:marBottom w:val="0"/>
                      <w:divBdr>
                        <w:top w:val="none" w:sz="0" w:space="0" w:color="auto"/>
                        <w:left w:val="none" w:sz="0" w:space="0" w:color="auto"/>
                        <w:bottom w:val="none" w:sz="0" w:space="0" w:color="auto"/>
                        <w:right w:val="none" w:sz="0" w:space="0" w:color="auto"/>
                      </w:divBdr>
                    </w:div>
                    <w:div w:id="134448120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04332">
          <w:marLeft w:val="0"/>
          <w:marRight w:val="0"/>
          <w:marTop w:val="0"/>
          <w:marBottom w:val="0"/>
          <w:divBdr>
            <w:top w:val="none" w:sz="0" w:space="0" w:color="auto"/>
            <w:left w:val="none" w:sz="0" w:space="0" w:color="auto"/>
            <w:bottom w:val="none" w:sz="0" w:space="0" w:color="auto"/>
            <w:right w:val="none" w:sz="0" w:space="0" w:color="auto"/>
          </w:divBdr>
        </w:div>
      </w:divsChild>
    </w:div>
    <w:div w:id="2099862932">
      <w:bodyDiv w:val="1"/>
      <w:marLeft w:val="0"/>
      <w:marRight w:val="0"/>
      <w:marTop w:val="0"/>
      <w:marBottom w:val="0"/>
      <w:divBdr>
        <w:top w:val="none" w:sz="0" w:space="0" w:color="auto"/>
        <w:left w:val="none" w:sz="0" w:space="0" w:color="auto"/>
        <w:bottom w:val="none" w:sz="0" w:space="0" w:color="auto"/>
        <w:right w:val="none" w:sz="0" w:space="0" w:color="auto"/>
      </w:divBdr>
      <w:divsChild>
        <w:div w:id="410276009">
          <w:marLeft w:val="1166"/>
          <w:marRight w:val="0"/>
          <w:marTop w:val="0"/>
          <w:marBottom w:val="0"/>
          <w:divBdr>
            <w:top w:val="none" w:sz="0" w:space="0" w:color="auto"/>
            <w:left w:val="none" w:sz="0" w:space="0" w:color="auto"/>
            <w:bottom w:val="none" w:sz="0" w:space="0" w:color="auto"/>
            <w:right w:val="none" w:sz="0" w:space="0" w:color="auto"/>
          </w:divBdr>
        </w:div>
        <w:div w:id="1591506850">
          <w:marLeft w:val="1166"/>
          <w:marRight w:val="0"/>
          <w:marTop w:val="0"/>
          <w:marBottom w:val="0"/>
          <w:divBdr>
            <w:top w:val="none" w:sz="0" w:space="0" w:color="auto"/>
            <w:left w:val="none" w:sz="0" w:space="0" w:color="auto"/>
            <w:bottom w:val="none" w:sz="0" w:space="0" w:color="auto"/>
            <w:right w:val="none" w:sz="0" w:space="0" w:color="auto"/>
          </w:divBdr>
        </w:div>
        <w:div w:id="993728842">
          <w:marLeft w:val="1166"/>
          <w:marRight w:val="0"/>
          <w:marTop w:val="0"/>
          <w:marBottom w:val="0"/>
          <w:divBdr>
            <w:top w:val="none" w:sz="0" w:space="0" w:color="auto"/>
            <w:left w:val="none" w:sz="0" w:space="0" w:color="auto"/>
            <w:bottom w:val="none" w:sz="0" w:space="0" w:color="auto"/>
            <w:right w:val="none" w:sz="0" w:space="0" w:color="auto"/>
          </w:divBdr>
        </w:div>
        <w:div w:id="1176114595">
          <w:marLeft w:val="1166"/>
          <w:marRight w:val="0"/>
          <w:marTop w:val="0"/>
          <w:marBottom w:val="0"/>
          <w:divBdr>
            <w:top w:val="none" w:sz="0" w:space="0" w:color="auto"/>
            <w:left w:val="none" w:sz="0" w:space="0" w:color="auto"/>
            <w:bottom w:val="none" w:sz="0" w:space="0" w:color="auto"/>
            <w:right w:val="none" w:sz="0" w:space="0" w:color="auto"/>
          </w:divBdr>
        </w:div>
        <w:div w:id="1184630100">
          <w:marLeft w:val="1166"/>
          <w:marRight w:val="0"/>
          <w:marTop w:val="0"/>
          <w:marBottom w:val="0"/>
          <w:divBdr>
            <w:top w:val="none" w:sz="0" w:space="0" w:color="auto"/>
            <w:left w:val="none" w:sz="0" w:space="0" w:color="auto"/>
            <w:bottom w:val="none" w:sz="0" w:space="0" w:color="auto"/>
            <w:right w:val="none" w:sz="0" w:space="0" w:color="auto"/>
          </w:divBdr>
        </w:div>
      </w:divsChild>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05030238">
      <w:bodyDiv w:val="1"/>
      <w:marLeft w:val="0"/>
      <w:marRight w:val="0"/>
      <w:marTop w:val="0"/>
      <w:marBottom w:val="0"/>
      <w:divBdr>
        <w:top w:val="none" w:sz="0" w:space="0" w:color="auto"/>
        <w:left w:val="none" w:sz="0" w:space="0" w:color="auto"/>
        <w:bottom w:val="none" w:sz="0" w:space="0" w:color="auto"/>
        <w:right w:val="none" w:sz="0" w:space="0" w:color="auto"/>
      </w:divBdr>
      <w:divsChild>
        <w:div w:id="1493715870">
          <w:marLeft w:val="0"/>
          <w:marRight w:val="0"/>
          <w:marTop w:val="0"/>
          <w:marBottom w:val="0"/>
          <w:divBdr>
            <w:top w:val="none" w:sz="0" w:space="0" w:color="auto"/>
            <w:left w:val="none" w:sz="0" w:space="0" w:color="auto"/>
            <w:bottom w:val="none" w:sz="0" w:space="0" w:color="auto"/>
            <w:right w:val="none" w:sz="0" w:space="0" w:color="auto"/>
          </w:divBdr>
          <w:divsChild>
            <w:div w:id="1734086239">
              <w:marLeft w:val="0"/>
              <w:marRight w:val="0"/>
              <w:marTop w:val="0"/>
              <w:marBottom w:val="0"/>
              <w:divBdr>
                <w:top w:val="none" w:sz="0" w:space="0" w:color="auto"/>
                <w:left w:val="none" w:sz="0" w:space="0" w:color="auto"/>
                <w:bottom w:val="none" w:sz="0" w:space="0" w:color="auto"/>
                <w:right w:val="none" w:sz="0" w:space="0" w:color="auto"/>
              </w:divBdr>
              <w:divsChild>
                <w:div w:id="16323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55577">
      <w:bodyDiv w:val="1"/>
      <w:marLeft w:val="0"/>
      <w:marRight w:val="0"/>
      <w:marTop w:val="0"/>
      <w:marBottom w:val="0"/>
      <w:divBdr>
        <w:top w:val="none" w:sz="0" w:space="0" w:color="auto"/>
        <w:left w:val="none" w:sz="0" w:space="0" w:color="auto"/>
        <w:bottom w:val="none" w:sz="0" w:space="0" w:color="auto"/>
        <w:right w:val="none" w:sz="0" w:space="0" w:color="auto"/>
      </w:divBdr>
      <w:divsChild>
        <w:div w:id="781461720">
          <w:marLeft w:val="0"/>
          <w:marRight w:val="0"/>
          <w:marTop w:val="0"/>
          <w:marBottom w:val="0"/>
          <w:divBdr>
            <w:top w:val="none" w:sz="0" w:space="0" w:color="auto"/>
            <w:left w:val="none" w:sz="0" w:space="0" w:color="auto"/>
            <w:bottom w:val="none" w:sz="0" w:space="0" w:color="auto"/>
            <w:right w:val="none" w:sz="0" w:space="0" w:color="auto"/>
          </w:divBdr>
          <w:divsChild>
            <w:div w:id="2098792359">
              <w:marLeft w:val="0"/>
              <w:marRight w:val="0"/>
              <w:marTop w:val="0"/>
              <w:marBottom w:val="0"/>
              <w:divBdr>
                <w:top w:val="none" w:sz="0" w:space="0" w:color="auto"/>
                <w:left w:val="none" w:sz="0" w:space="0" w:color="auto"/>
                <w:bottom w:val="none" w:sz="0" w:space="0" w:color="auto"/>
                <w:right w:val="none" w:sz="0" w:space="0" w:color="auto"/>
              </w:divBdr>
              <w:divsChild>
                <w:div w:id="1764523517">
                  <w:marLeft w:val="0"/>
                  <w:marRight w:val="0"/>
                  <w:marTop w:val="0"/>
                  <w:marBottom w:val="0"/>
                  <w:divBdr>
                    <w:top w:val="none" w:sz="0" w:space="0" w:color="auto"/>
                    <w:left w:val="none" w:sz="0" w:space="0" w:color="auto"/>
                    <w:bottom w:val="none" w:sz="0" w:space="0" w:color="auto"/>
                    <w:right w:val="none" w:sz="0" w:space="0" w:color="auto"/>
                  </w:divBdr>
                  <w:divsChild>
                    <w:div w:id="18117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05204">
      <w:bodyDiv w:val="1"/>
      <w:marLeft w:val="0"/>
      <w:marRight w:val="0"/>
      <w:marTop w:val="0"/>
      <w:marBottom w:val="0"/>
      <w:divBdr>
        <w:top w:val="none" w:sz="0" w:space="0" w:color="auto"/>
        <w:left w:val="none" w:sz="0" w:space="0" w:color="auto"/>
        <w:bottom w:val="none" w:sz="0" w:space="0" w:color="auto"/>
        <w:right w:val="none" w:sz="0" w:space="0" w:color="auto"/>
      </w:divBdr>
      <w:divsChild>
        <w:div w:id="800924164">
          <w:marLeft w:val="0"/>
          <w:marRight w:val="0"/>
          <w:marTop w:val="0"/>
          <w:marBottom w:val="0"/>
          <w:divBdr>
            <w:top w:val="none" w:sz="0" w:space="0" w:color="auto"/>
            <w:left w:val="none" w:sz="0" w:space="0" w:color="auto"/>
            <w:bottom w:val="none" w:sz="0" w:space="0" w:color="auto"/>
            <w:right w:val="none" w:sz="0" w:space="0" w:color="auto"/>
          </w:divBdr>
          <w:divsChild>
            <w:div w:id="1829714332">
              <w:marLeft w:val="0"/>
              <w:marRight w:val="0"/>
              <w:marTop w:val="0"/>
              <w:marBottom w:val="0"/>
              <w:divBdr>
                <w:top w:val="none" w:sz="0" w:space="0" w:color="auto"/>
                <w:left w:val="none" w:sz="0" w:space="0" w:color="auto"/>
                <w:bottom w:val="none" w:sz="0" w:space="0" w:color="auto"/>
                <w:right w:val="none" w:sz="0" w:space="0" w:color="auto"/>
              </w:divBdr>
              <w:divsChild>
                <w:div w:id="17939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7737">
      <w:bodyDiv w:val="1"/>
      <w:marLeft w:val="0"/>
      <w:marRight w:val="0"/>
      <w:marTop w:val="0"/>
      <w:marBottom w:val="0"/>
      <w:divBdr>
        <w:top w:val="none" w:sz="0" w:space="0" w:color="auto"/>
        <w:left w:val="none" w:sz="0" w:space="0" w:color="auto"/>
        <w:bottom w:val="none" w:sz="0" w:space="0" w:color="auto"/>
        <w:right w:val="none" w:sz="0" w:space="0" w:color="auto"/>
      </w:divBdr>
    </w:div>
    <w:div w:id="2121413931">
      <w:bodyDiv w:val="1"/>
      <w:marLeft w:val="0"/>
      <w:marRight w:val="0"/>
      <w:marTop w:val="0"/>
      <w:marBottom w:val="0"/>
      <w:divBdr>
        <w:top w:val="none" w:sz="0" w:space="0" w:color="auto"/>
        <w:left w:val="none" w:sz="0" w:space="0" w:color="auto"/>
        <w:bottom w:val="none" w:sz="0" w:space="0" w:color="auto"/>
        <w:right w:val="none" w:sz="0" w:space="0" w:color="auto"/>
      </w:divBdr>
    </w:div>
    <w:div w:id="2121486909">
      <w:bodyDiv w:val="1"/>
      <w:marLeft w:val="0"/>
      <w:marRight w:val="0"/>
      <w:marTop w:val="0"/>
      <w:marBottom w:val="0"/>
      <w:divBdr>
        <w:top w:val="none" w:sz="0" w:space="0" w:color="auto"/>
        <w:left w:val="none" w:sz="0" w:space="0" w:color="auto"/>
        <w:bottom w:val="none" w:sz="0" w:space="0" w:color="auto"/>
        <w:right w:val="none" w:sz="0" w:space="0" w:color="auto"/>
      </w:divBdr>
      <w:divsChild>
        <w:div w:id="178011554">
          <w:marLeft w:val="0"/>
          <w:marRight w:val="0"/>
          <w:marTop w:val="0"/>
          <w:marBottom w:val="0"/>
          <w:divBdr>
            <w:top w:val="none" w:sz="0" w:space="0" w:color="auto"/>
            <w:left w:val="none" w:sz="0" w:space="0" w:color="auto"/>
            <w:bottom w:val="none" w:sz="0" w:space="0" w:color="auto"/>
            <w:right w:val="none" w:sz="0" w:space="0" w:color="auto"/>
          </w:divBdr>
          <w:divsChild>
            <w:div w:id="586307774">
              <w:marLeft w:val="0"/>
              <w:marRight w:val="0"/>
              <w:marTop w:val="0"/>
              <w:marBottom w:val="0"/>
              <w:divBdr>
                <w:top w:val="none" w:sz="0" w:space="0" w:color="auto"/>
                <w:left w:val="none" w:sz="0" w:space="0" w:color="auto"/>
                <w:bottom w:val="none" w:sz="0" w:space="0" w:color="auto"/>
                <w:right w:val="none" w:sz="0" w:space="0" w:color="auto"/>
              </w:divBdr>
              <w:divsChild>
                <w:div w:id="20811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72832">
      <w:bodyDiv w:val="1"/>
      <w:marLeft w:val="0"/>
      <w:marRight w:val="0"/>
      <w:marTop w:val="0"/>
      <w:marBottom w:val="0"/>
      <w:divBdr>
        <w:top w:val="none" w:sz="0" w:space="0" w:color="auto"/>
        <w:left w:val="none" w:sz="0" w:space="0" w:color="auto"/>
        <w:bottom w:val="none" w:sz="0" w:space="0" w:color="auto"/>
        <w:right w:val="none" w:sz="0" w:space="0" w:color="auto"/>
      </w:divBdr>
    </w:div>
    <w:div w:id="2128892699">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31776136">
      <w:bodyDiv w:val="1"/>
      <w:marLeft w:val="0"/>
      <w:marRight w:val="0"/>
      <w:marTop w:val="0"/>
      <w:marBottom w:val="0"/>
      <w:divBdr>
        <w:top w:val="none" w:sz="0" w:space="0" w:color="auto"/>
        <w:left w:val="none" w:sz="0" w:space="0" w:color="auto"/>
        <w:bottom w:val="none" w:sz="0" w:space="0" w:color="auto"/>
        <w:right w:val="none" w:sz="0" w:space="0" w:color="auto"/>
      </w:divBdr>
    </w:div>
    <w:div w:id="21322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image" Target="media/image1.png"/><Relationship Id="rId18" Type="http://schemas.openxmlformats.org/officeDocument/2006/relationships/hyperlink" Target="https://www.ihe.ca/download/ihe_quality_appraisal_checklist_for_case_series_studies.docx" TargetMode="External"/><Relationship Id="rId26" Type="http://schemas.openxmlformats.org/officeDocument/2006/relationships/hyperlink" Target="http://msac.gov.au/internet/msac/publishing.nsf/Content/Home-1" TargetMode="External"/><Relationship Id="rId3" Type="http://schemas.openxmlformats.org/officeDocument/2006/relationships/styles" Target="styles.xml"/><Relationship Id="rId21" Type="http://schemas.openxmlformats.org/officeDocument/2006/relationships/hyperlink" Target="https://www.ihe.ca/download/ihe_quality_appraisal_checklist_for_case_series_studies.docx" TargetMode="External"/><Relationship Id="rId7" Type="http://schemas.openxmlformats.org/officeDocument/2006/relationships/endnotes" Target="endnotes.xml"/><Relationship Id="rId12" Type="http://schemas.openxmlformats.org/officeDocument/2006/relationships/hyperlink" Target="http://www.msac.gov.au/internet/msac/publishing.nsf/Content/F13805DBB4878F62CA2587C7001071EF/$File/1709%20-%20Final%20PSD_Mar-Apr2022_v2.docx" TargetMode="External"/><Relationship Id="rId17" Type="http://schemas.openxmlformats.org/officeDocument/2006/relationships/hyperlink" Target="https://www.ihe.ca/download/ihe_quality_appraisal_checklist_for_case_series_studies.docx" TargetMode="External"/><Relationship Id="rId25" Type="http://schemas.openxmlformats.org/officeDocument/2006/relationships/hyperlink" Target="http://www.msac.gov.au/internet/msac/publishing.nsf/Content/F13805DBB4878F62CA2587C7001071EF/$File/1709%20-%20Final%20PSD_Mar-Apr2022_v2.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ihe.ca/download/ihe_quality_appraisal_checklist_for_case_series_studie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203361E9D7C61A2DCA2583B70004823F/$File/1532%20Final%20PSD_Nov2020.docx" TargetMode="External"/><Relationship Id="rId24" Type="http://schemas.openxmlformats.org/officeDocument/2006/relationships/hyperlink" Target="http://www.msac.gov.au/internet/msac/publishing.nsf/Content/44A08BDC13521B3ACA2582260017FF4B/$File/1526%20-%20Final%20PSD.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msac.gov.au/internet/msac/publishing.nsf/Content/203361E9D7C61A2DCA2583B70004823F/$File/1532%20Final%20PSD_Nov2020.docx" TargetMode="External"/><Relationship Id="rId28" Type="http://schemas.openxmlformats.org/officeDocument/2006/relationships/footer" Target="footer2.xml"/><Relationship Id="rId10" Type="http://schemas.openxmlformats.org/officeDocument/2006/relationships/hyperlink" Target="http://www.msac.gov.au/internet/msac/publishing.nsf/Content/44A08BDC13521B3ACA2582260017FF4B/$File/1526%20-%20Final%20PSD.docx" TargetMode="External"/><Relationship Id="rId19" Type="http://schemas.openxmlformats.org/officeDocument/2006/relationships/hyperlink" Target="https://www.ihe.ca/download/ihe_quality_appraisal_checklist_for_case_series_studies.docx" TargetMode="External"/><Relationship Id="rId4" Type="http://schemas.openxmlformats.org/officeDocument/2006/relationships/settings" Target="settings.xml"/><Relationship Id="rId9" Type="http://schemas.openxmlformats.org/officeDocument/2006/relationships/hyperlink" Target="https://pubmed.ncbi.nlm.nih.gov/35732829/" TargetMode="External"/><Relationship Id="rId14" Type="http://schemas.openxmlformats.org/officeDocument/2006/relationships/hyperlink" Target="https://www.aihw.gov.au/reports/cancer/cancer-data-in-australia/contents/cancer-summary-data-visualisation" TargetMode="External"/><Relationship Id="rId22" Type="http://schemas.openxmlformats.org/officeDocument/2006/relationships/hyperlink" Target="https://www.ihe.ca/download/ihe_quality_appraisal_checklist_for_case_series_studies.docx"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ayocliniclabs.com/~/media/it-mmfiles/special-instructions/Targeted_Genes_Interrogated_by_OncoHeme_Next-Generation_Sequencing.pdf" TargetMode="External"/><Relationship Id="rId1" Type="http://schemas.openxmlformats.org/officeDocument/2006/relationships/hyperlink" Target="https://panelapp.agha.umc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FE90-A4BC-4974-AA90-4ECDCF6D29B1}">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44</Pages>
  <Words>20051</Words>
  <Characters>114294</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2023-02-21T03:47:00Z</dcterms:created>
  <dcterms:modified xsi:type="dcterms:W3CDTF">2023-02-24T00:00:00Z</dcterms:modified>
</cp:coreProperties>
</file>