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E8DF" w14:textId="20470559" w:rsidR="00772829" w:rsidRPr="00CE28E3" w:rsidRDefault="00E96E47" w:rsidP="00772829">
      <w:pPr>
        <w:spacing w:after="240"/>
        <w:jc w:val="center"/>
        <w:rPr>
          <w:b/>
          <w:i/>
          <w:szCs w:val="24"/>
          <w:highlight w:val="yellow"/>
        </w:rPr>
      </w:pPr>
      <w:r>
        <w:rPr>
          <w:noProof/>
        </w:rPr>
        <w:drawing>
          <wp:inline distT="0" distB="0" distL="0" distR="0" wp14:anchorId="5FA4EB11" wp14:editId="54DACCCE">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B4FF3F1" w14:textId="77777777" w:rsidR="00E96E47" w:rsidRDefault="00E96E47" w:rsidP="00E96E47">
      <w:pPr>
        <w:pStyle w:val="Subtitle"/>
        <w:spacing w:before="480"/>
        <w:rPr>
          <w:rFonts w:eastAsiaTheme="majorEastAsia"/>
          <w:i w:val="0"/>
          <w:sz w:val="36"/>
          <w:szCs w:val="36"/>
          <w:lang w:eastAsia="en-US"/>
        </w:rPr>
      </w:pPr>
      <w:r w:rsidRPr="00E96E47">
        <w:rPr>
          <w:rFonts w:eastAsiaTheme="majorEastAsia"/>
          <w:i w:val="0"/>
          <w:sz w:val="36"/>
          <w:szCs w:val="36"/>
          <w:lang w:eastAsia="en-US"/>
        </w:rPr>
        <w:t xml:space="preserve">Public Summary Document </w:t>
      </w:r>
    </w:p>
    <w:p w14:paraId="64DD6C79" w14:textId="46D1023F" w:rsidR="00A64B20" w:rsidRPr="00A64B20" w:rsidRDefault="00772829" w:rsidP="00A64B20">
      <w:pPr>
        <w:pStyle w:val="Subtitle"/>
      </w:pPr>
      <w:r w:rsidRPr="00CE28E3">
        <w:t xml:space="preserve">Application No. </w:t>
      </w:r>
      <w:r w:rsidR="00A64B20">
        <w:t xml:space="preserve">1671 - </w:t>
      </w:r>
      <w:r w:rsidR="00A64B20" w:rsidRPr="00A64B20">
        <w:t>Targeted carrier testing for severe monogenic conditions</w:t>
      </w:r>
    </w:p>
    <w:p w14:paraId="35263561" w14:textId="419906E8" w:rsidR="00772829" w:rsidRPr="00CE28E3" w:rsidRDefault="00772829" w:rsidP="00A64B20">
      <w:pPr>
        <w:tabs>
          <w:tab w:val="left" w:pos="3686"/>
        </w:tabs>
        <w:spacing w:after="240"/>
        <w:ind w:left="3600" w:hanging="360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A64B20">
        <w:rPr>
          <w:rFonts w:ascii="Arial" w:hAnsi="Arial" w:cs="Arial"/>
          <w:b/>
          <w:szCs w:val="24"/>
        </w:rPr>
        <w:t>Royal College of Pathologists of Australasia (RCPA)</w:t>
      </w:r>
    </w:p>
    <w:p w14:paraId="205FADE8" w14:textId="4E86881F" w:rsidR="00A73FC7" w:rsidRDefault="00772829" w:rsidP="00D327EB">
      <w:pPr>
        <w:tabs>
          <w:tab w:val="left" w:pos="3686"/>
        </w:tabs>
        <w:spacing w:after="360"/>
        <w:rPr>
          <w:rFonts w:ascii="Arial" w:hAnsi="Arial" w:cs="Arial"/>
          <w:b/>
          <w:szCs w:val="24"/>
        </w:rPr>
      </w:pPr>
      <w:r w:rsidRPr="00CE28E3">
        <w:rPr>
          <w:rFonts w:ascii="Arial" w:hAnsi="Arial" w:cs="Arial"/>
          <w:b/>
          <w:szCs w:val="24"/>
        </w:rPr>
        <w:t xml:space="preserve">Date of </w:t>
      </w:r>
      <w:r w:rsidR="00E96E47">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E96E47">
        <w:rPr>
          <w:rFonts w:ascii="Arial" w:hAnsi="Arial" w:cs="Arial"/>
          <w:b/>
          <w:szCs w:val="24"/>
        </w:rPr>
        <w:t>28-29 July</w:t>
      </w:r>
      <w:r w:rsidR="00ED2CA1">
        <w:rPr>
          <w:rFonts w:ascii="Arial" w:hAnsi="Arial" w:cs="Arial"/>
          <w:b/>
          <w:szCs w:val="24"/>
        </w:rPr>
        <w:t xml:space="preserve"> 2022</w:t>
      </w:r>
      <w:bookmarkStart w:id="0" w:name="_Hlk103938359"/>
    </w:p>
    <w:p w14:paraId="3F4154D5" w14:textId="77777777" w:rsidR="00096B48" w:rsidRPr="00B03EAB" w:rsidRDefault="00096B48" w:rsidP="00096B48">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1" w:name="_Toc103096501"/>
      <w:bookmarkEnd w:id="0"/>
      <w:r>
        <w:t>1.</w:t>
      </w:r>
      <w:r>
        <w:tab/>
      </w:r>
      <w:r w:rsidR="00772829" w:rsidRPr="00CE28E3">
        <w:t xml:space="preserve">Purpose </w:t>
      </w:r>
      <w:r w:rsidR="00772829" w:rsidRPr="00CE28E3">
        <w:rPr>
          <w:szCs w:val="32"/>
        </w:rPr>
        <w:t>of</w:t>
      </w:r>
      <w:r w:rsidR="00772829" w:rsidRPr="00CE28E3">
        <w:t xml:space="preserve"> application</w:t>
      </w:r>
      <w:bookmarkEnd w:id="1"/>
    </w:p>
    <w:p w14:paraId="6ED40C09" w14:textId="0A21748B" w:rsidR="00766C14" w:rsidRDefault="00766C14" w:rsidP="00766C14">
      <w:bookmarkStart w:id="2" w:name="_Hlk69734469"/>
      <w:r w:rsidRPr="00766C14">
        <w:t>An application requesting Medicare Benefits Schedule (MBS) listing of targeted carrier testing for nine severe monogenic conditions was received from the Royal College of Pathologists of Australasia (RCPA) by the Department of Health</w:t>
      </w:r>
      <w:r w:rsidR="00003D88">
        <w:t xml:space="preserve"> and Aged Care</w:t>
      </w:r>
      <w:r w:rsidRPr="00766C14">
        <w:t>.</w:t>
      </w:r>
    </w:p>
    <w:p w14:paraId="78A6A9C3" w14:textId="77777777" w:rsidR="00E96E47" w:rsidRDefault="00E96E47" w:rsidP="00E96E47">
      <w:pPr>
        <w:pStyle w:val="Heading2"/>
        <w:numPr>
          <w:ilvl w:val="0"/>
          <w:numId w:val="0"/>
        </w:numPr>
      </w:pPr>
      <w:r>
        <w:t>2.</w:t>
      </w:r>
      <w:r>
        <w:tab/>
        <w:t>MSAC’s advice to the Minister</w:t>
      </w:r>
    </w:p>
    <w:p w14:paraId="2D742DE3" w14:textId="6799106F" w:rsidR="000B5E96" w:rsidRDefault="000B5E96" w:rsidP="000B5E96">
      <w:pPr>
        <w:rPr>
          <w:szCs w:val="24"/>
        </w:rPr>
      </w:pPr>
      <w:r>
        <w:t>After considering the strength of the available evidence in relation to comparative safety, clinical effectiveness</w:t>
      </w:r>
      <w:r w:rsidR="004F31D8">
        <w:t>,</w:t>
      </w:r>
      <w:r>
        <w:t xml:space="preserve"> cost-effectiveness</w:t>
      </w:r>
      <w:r w:rsidR="004F31D8">
        <w:t xml:space="preserve"> and total cost</w:t>
      </w:r>
      <w:r>
        <w:t xml:space="preserve">, </w:t>
      </w:r>
      <w:r>
        <w:rPr>
          <w:szCs w:val="24"/>
        </w:rPr>
        <w:t xml:space="preserve">MSAC supported the creation of a new Medicare Benefits Schedule (MBS) item for reproductive carrier testing of individuals who are of reproductive age and who identify as being of Ashkenazi Jewish descent to detect genetic variants known to cause nine severely disabling and/or life-threatening monogenic conditions that are highly prevalent in this community. From the public consultation </w:t>
      </w:r>
      <w:r w:rsidR="00966426">
        <w:rPr>
          <w:szCs w:val="24"/>
        </w:rPr>
        <w:t xml:space="preserve">input </w:t>
      </w:r>
      <w:r>
        <w:rPr>
          <w:szCs w:val="24"/>
        </w:rPr>
        <w:t xml:space="preserve">received in the context of this application, MSAC was confident that such individuals within this community would be capable of this necessary </w:t>
      </w:r>
      <w:proofErr w:type="gramStart"/>
      <w:r>
        <w:rPr>
          <w:szCs w:val="24"/>
        </w:rPr>
        <w:t>self-identification</w:t>
      </w:r>
      <w:r w:rsidR="00F422F5">
        <w:rPr>
          <w:szCs w:val="24"/>
        </w:rPr>
        <w:t>,</w:t>
      </w:r>
      <w:r>
        <w:rPr>
          <w:szCs w:val="24"/>
        </w:rPr>
        <w:t xml:space="preserve"> and</w:t>
      </w:r>
      <w:proofErr w:type="gramEnd"/>
      <w:r>
        <w:rPr>
          <w:szCs w:val="24"/>
        </w:rPr>
        <w:t xml:space="preserve"> would be prepared to do so. MSAC considered that this test</w:t>
      </w:r>
      <w:r w:rsidR="00A44A79">
        <w:rPr>
          <w:szCs w:val="24"/>
        </w:rPr>
        <w:t>ing</w:t>
      </w:r>
      <w:r>
        <w:rPr>
          <w:szCs w:val="24"/>
        </w:rPr>
        <w:t xml:space="preserve"> would only be </w:t>
      </w:r>
      <w:r w:rsidR="00830F4F">
        <w:rPr>
          <w:szCs w:val="24"/>
        </w:rPr>
        <w:t xml:space="preserve">clinically </w:t>
      </w:r>
      <w:r>
        <w:rPr>
          <w:szCs w:val="24"/>
        </w:rPr>
        <w:t xml:space="preserve">effective for people of Ashkenazi Jewish descent, but that future applications </w:t>
      </w:r>
      <w:r w:rsidR="00830F4F">
        <w:rPr>
          <w:szCs w:val="24"/>
        </w:rPr>
        <w:t xml:space="preserve">to MSAC </w:t>
      </w:r>
      <w:r>
        <w:rPr>
          <w:szCs w:val="24"/>
        </w:rPr>
        <w:t>could propose testing of other groups at increased risk</w:t>
      </w:r>
      <w:r w:rsidR="00F422F5">
        <w:rPr>
          <w:szCs w:val="24"/>
        </w:rPr>
        <w:t xml:space="preserve"> for specific heritable conditions</w:t>
      </w:r>
      <w:r w:rsidR="00F173D1">
        <w:rPr>
          <w:szCs w:val="24"/>
        </w:rPr>
        <w:t xml:space="preserve">, </w:t>
      </w:r>
      <w:r w:rsidR="00A44A79">
        <w:rPr>
          <w:szCs w:val="24"/>
        </w:rPr>
        <w:t>relative</w:t>
      </w:r>
      <w:r w:rsidR="00F173D1">
        <w:rPr>
          <w:szCs w:val="24"/>
        </w:rPr>
        <w:t xml:space="preserve"> to the general population</w:t>
      </w:r>
      <w:r>
        <w:rPr>
          <w:szCs w:val="24"/>
        </w:rPr>
        <w:t>. MSAC also supported related MBS items for reproductive partner testing</w:t>
      </w:r>
      <w:r w:rsidR="000B29A3">
        <w:rPr>
          <w:szCs w:val="24"/>
        </w:rPr>
        <w:t xml:space="preserve"> (</w:t>
      </w:r>
      <w:r w:rsidR="009C705F">
        <w:rPr>
          <w:szCs w:val="24"/>
        </w:rPr>
        <w:t>for non-Ashkenazi Jewish partners</w:t>
      </w:r>
      <w:r w:rsidR="000B29A3">
        <w:rPr>
          <w:szCs w:val="24"/>
        </w:rPr>
        <w:t>)</w:t>
      </w:r>
      <w:r>
        <w:rPr>
          <w:szCs w:val="24"/>
        </w:rPr>
        <w:t xml:space="preserve"> and </w:t>
      </w:r>
      <w:proofErr w:type="spellStart"/>
      <w:r>
        <w:rPr>
          <w:szCs w:val="24"/>
        </w:rPr>
        <w:t>fetal</w:t>
      </w:r>
      <w:proofErr w:type="spellEnd"/>
      <w:r>
        <w:rPr>
          <w:szCs w:val="24"/>
        </w:rPr>
        <w:t xml:space="preserve"> </w:t>
      </w:r>
      <w:proofErr w:type="gramStart"/>
      <w:r>
        <w:rPr>
          <w:szCs w:val="24"/>
        </w:rPr>
        <w:t>testing, but</w:t>
      </w:r>
      <w:proofErr w:type="gramEnd"/>
      <w:r>
        <w:rPr>
          <w:szCs w:val="24"/>
        </w:rPr>
        <w:t xml:space="preserve"> advised that </w:t>
      </w:r>
      <w:r w:rsidR="00F422F5">
        <w:rPr>
          <w:szCs w:val="24"/>
        </w:rPr>
        <w:t>the</w:t>
      </w:r>
      <w:r w:rsidR="000B29A3">
        <w:rPr>
          <w:szCs w:val="24"/>
        </w:rPr>
        <w:t xml:space="preserve"> proposed</w:t>
      </w:r>
      <w:r w:rsidR="00F422F5">
        <w:rPr>
          <w:szCs w:val="24"/>
        </w:rPr>
        <w:t xml:space="preserve"> </w:t>
      </w:r>
      <w:r>
        <w:rPr>
          <w:szCs w:val="24"/>
        </w:rPr>
        <w:t xml:space="preserve">re-analysis </w:t>
      </w:r>
      <w:r w:rsidR="00F422F5">
        <w:rPr>
          <w:szCs w:val="24"/>
        </w:rPr>
        <w:t xml:space="preserve">item </w:t>
      </w:r>
      <w:r>
        <w:rPr>
          <w:szCs w:val="24"/>
        </w:rPr>
        <w:t>is not required</w:t>
      </w:r>
      <w:r w:rsidR="000B29A3">
        <w:rPr>
          <w:szCs w:val="24"/>
        </w:rPr>
        <w:t xml:space="preserve"> and was therefore not supported</w:t>
      </w:r>
      <w:r>
        <w:rPr>
          <w:szCs w:val="24"/>
        </w:rPr>
        <w:t>.</w:t>
      </w:r>
      <w:r w:rsidR="000B29A3" w:rsidRPr="000B29A3">
        <w:rPr>
          <w:szCs w:val="24"/>
        </w:rPr>
        <w:t xml:space="preserve"> </w:t>
      </w:r>
      <w:r w:rsidR="000B29A3">
        <w:rPr>
          <w:szCs w:val="24"/>
        </w:rPr>
        <w:t xml:space="preserve">MSAC advised that the value of supported tests mostly arises from the improved basis for reproductive </w:t>
      </w:r>
      <w:proofErr w:type="gramStart"/>
      <w:r w:rsidR="000B29A3">
        <w:rPr>
          <w:szCs w:val="24"/>
        </w:rPr>
        <w:t>decision-making, and</w:t>
      </w:r>
      <w:proofErr w:type="gramEnd"/>
      <w:r w:rsidR="000B29A3">
        <w:rPr>
          <w:szCs w:val="24"/>
        </w:rPr>
        <w:t xml:space="preserve"> accepted that many of these decisions had also been shown to consequently reduce overall costs to the healthcare system.</w:t>
      </w:r>
    </w:p>
    <w:p w14:paraId="2CCB9D4B" w14:textId="77777777" w:rsidR="00E96E47" w:rsidRDefault="00E96E47" w:rsidP="00E96E47">
      <w:pPr>
        <w:spacing w:after="240"/>
        <w:rPr>
          <w:rFonts w:asciiTheme="minorHAnsi" w:hAnsiTheme="minorHAnsi"/>
          <w:iCs/>
        </w:rPr>
      </w:pPr>
    </w:p>
    <w:tbl>
      <w:tblPr>
        <w:tblStyle w:val="TableGrid"/>
        <w:tblW w:w="0" w:type="auto"/>
        <w:tblLook w:val="04A0" w:firstRow="1" w:lastRow="0" w:firstColumn="1" w:lastColumn="0" w:noHBand="0" w:noVBand="1"/>
        <w:tblDescription w:val="Consumer summary of MSAC consideration"/>
      </w:tblPr>
      <w:tblGrid>
        <w:gridCol w:w="9016"/>
      </w:tblGrid>
      <w:tr w:rsidR="00E96E47" w14:paraId="27D97F7A" w14:textId="77777777" w:rsidTr="00E96E47">
        <w:trPr>
          <w:tblHeader/>
        </w:trPr>
        <w:tc>
          <w:tcPr>
            <w:tcW w:w="9016" w:type="dxa"/>
            <w:tcBorders>
              <w:top w:val="single" w:sz="4" w:space="0" w:color="auto"/>
              <w:left w:val="single" w:sz="4" w:space="0" w:color="auto"/>
              <w:bottom w:val="single" w:sz="4" w:space="0" w:color="auto"/>
              <w:right w:val="single" w:sz="4" w:space="0" w:color="auto"/>
            </w:tcBorders>
            <w:hideMark/>
          </w:tcPr>
          <w:p w14:paraId="1A5E1F0A" w14:textId="77777777" w:rsidR="00E96E47" w:rsidRPr="00E96E47" w:rsidRDefault="00E96E47">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lastRenderedPageBreak/>
              <w:t>Consumer summary</w:t>
            </w:r>
          </w:p>
        </w:tc>
      </w:tr>
      <w:tr w:rsidR="00E96E47" w14:paraId="556C28AE" w14:textId="77777777" w:rsidTr="00E96E47">
        <w:tc>
          <w:tcPr>
            <w:tcW w:w="9016" w:type="dxa"/>
            <w:tcBorders>
              <w:top w:val="single" w:sz="4" w:space="0" w:color="auto"/>
              <w:left w:val="single" w:sz="4" w:space="0" w:color="auto"/>
              <w:bottom w:val="single" w:sz="4" w:space="0" w:color="auto"/>
              <w:right w:val="single" w:sz="4" w:space="0" w:color="auto"/>
            </w:tcBorders>
            <w:hideMark/>
          </w:tcPr>
          <w:p w14:paraId="2F62F941" w14:textId="730CF0D1" w:rsidR="000B5E96" w:rsidRPr="000B5E96" w:rsidRDefault="000B5E96" w:rsidP="000B5E96">
            <w:pPr>
              <w:pStyle w:val="Default"/>
              <w:spacing w:after="240"/>
              <w:rPr>
                <w:rFonts w:ascii="Franklin Gothic Book" w:hAnsi="Franklin Gothic Book"/>
                <w:iCs/>
                <w:color w:val="auto"/>
                <w:sz w:val="22"/>
                <w:szCs w:val="22"/>
              </w:rPr>
            </w:pPr>
            <w:r w:rsidRPr="000B5E96">
              <w:rPr>
                <w:rFonts w:ascii="Franklin Gothic Book" w:hAnsi="Franklin Gothic Book"/>
                <w:iCs/>
                <w:color w:val="auto"/>
                <w:sz w:val="22"/>
                <w:szCs w:val="22"/>
              </w:rPr>
              <w:t xml:space="preserve">This is an application from the Royal College of Pathologists of Australasia </w:t>
            </w:r>
            <w:r w:rsidR="00A77703">
              <w:rPr>
                <w:rFonts w:ascii="Franklin Gothic Book" w:hAnsi="Franklin Gothic Book"/>
                <w:iCs/>
                <w:color w:val="auto"/>
                <w:sz w:val="22"/>
                <w:szCs w:val="22"/>
              </w:rPr>
              <w:t xml:space="preserve">(RCPA) </w:t>
            </w:r>
            <w:r w:rsidRPr="000B5E96">
              <w:rPr>
                <w:rFonts w:ascii="Franklin Gothic Book" w:hAnsi="Franklin Gothic Book"/>
                <w:iCs/>
                <w:color w:val="auto"/>
                <w:sz w:val="22"/>
                <w:szCs w:val="22"/>
              </w:rPr>
              <w:t xml:space="preserve">requesting Medicare Benefits Schedule (MBS) listing of </w:t>
            </w:r>
            <w:r w:rsidR="00130334">
              <w:rPr>
                <w:rFonts w:ascii="Franklin Gothic Book" w:hAnsi="Franklin Gothic Book"/>
                <w:iCs/>
                <w:color w:val="auto"/>
                <w:sz w:val="22"/>
                <w:szCs w:val="22"/>
              </w:rPr>
              <w:t xml:space="preserve">reproductive </w:t>
            </w:r>
            <w:r w:rsidR="00521E6A">
              <w:rPr>
                <w:rFonts w:ascii="Franklin Gothic Book" w:hAnsi="Franklin Gothic Book"/>
                <w:iCs/>
                <w:color w:val="auto"/>
                <w:sz w:val="22"/>
                <w:szCs w:val="22"/>
              </w:rPr>
              <w:t>carrier</w:t>
            </w:r>
            <w:r w:rsidRPr="000B5E96">
              <w:rPr>
                <w:rFonts w:ascii="Franklin Gothic Book" w:hAnsi="Franklin Gothic Book"/>
                <w:iCs/>
                <w:color w:val="auto"/>
                <w:sz w:val="22"/>
                <w:szCs w:val="22"/>
              </w:rPr>
              <w:t xml:space="preserve"> </w:t>
            </w:r>
            <w:r w:rsidR="00130334" w:rsidRPr="000B5E96">
              <w:rPr>
                <w:rFonts w:ascii="Franklin Gothic Book" w:hAnsi="Franklin Gothic Book"/>
                <w:iCs/>
                <w:color w:val="auto"/>
                <w:sz w:val="22"/>
                <w:szCs w:val="22"/>
              </w:rPr>
              <w:t xml:space="preserve">genetic </w:t>
            </w:r>
            <w:r w:rsidRPr="000B5E96">
              <w:rPr>
                <w:rFonts w:ascii="Franklin Gothic Book" w:hAnsi="Franklin Gothic Book"/>
                <w:iCs/>
                <w:color w:val="auto"/>
                <w:sz w:val="22"/>
                <w:szCs w:val="22"/>
              </w:rPr>
              <w:t xml:space="preserve">testing for </w:t>
            </w:r>
            <w:r w:rsidR="00130334">
              <w:rPr>
                <w:rFonts w:ascii="Franklin Gothic Book" w:hAnsi="Franklin Gothic Book"/>
                <w:iCs/>
                <w:color w:val="auto"/>
                <w:sz w:val="22"/>
                <w:szCs w:val="22"/>
              </w:rPr>
              <w:t>specific variants in 12 genes relating to</w:t>
            </w:r>
            <w:r w:rsidR="00521E6A" w:rsidRPr="00521E6A">
              <w:rPr>
                <w:rFonts w:ascii="Franklin Gothic Book" w:hAnsi="Franklin Gothic Book"/>
                <w:iCs/>
                <w:color w:val="auto"/>
                <w:sz w:val="22"/>
                <w:szCs w:val="20"/>
                <w:lang w:val="en-US"/>
              </w:rPr>
              <w:t xml:space="preserve"> 9 </w:t>
            </w:r>
            <w:r w:rsidR="00130334">
              <w:rPr>
                <w:rFonts w:ascii="Franklin Gothic Book" w:hAnsi="Franklin Gothic Book"/>
                <w:iCs/>
                <w:color w:val="auto"/>
                <w:sz w:val="22"/>
                <w:szCs w:val="20"/>
                <w:lang w:val="en-US"/>
              </w:rPr>
              <w:t xml:space="preserve">severe </w:t>
            </w:r>
            <w:r w:rsidR="00521E6A" w:rsidRPr="00521E6A">
              <w:rPr>
                <w:rFonts w:ascii="Franklin Gothic Book" w:hAnsi="Franklin Gothic Book"/>
                <w:iCs/>
                <w:color w:val="auto"/>
                <w:sz w:val="22"/>
                <w:szCs w:val="20"/>
                <w:lang w:val="en-US"/>
              </w:rPr>
              <w:t>conditions</w:t>
            </w:r>
            <w:r w:rsidRPr="000B5E96">
              <w:rPr>
                <w:rFonts w:ascii="Franklin Gothic Book" w:hAnsi="Franklin Gothic Book"/>
                <w:iCs/>
                <w:color w:val="auto"/>
                <w:sz w:val="22"/>
                <w:szCs w:val="22"/>
              </w:rPr>
              <w:t xml:space="preserve"> </w:t>
            </w:r>
            <w:r w:rsidR="00130334">
              <w:rPr>
                <w:rFonts w:ascii="Franklin Gothic Book" w:hAnsi="Franklin Gothic Book"/>
                <w:iCs/>
                <w:color w:val="auto"/>
                <w:sz w:val="22"/>
                <w:szCs w:val="22"/>
              </w:rPr>
              <w:t xml:space="preserve">that are </w:t>
            </w:r>
            <w:r w:rsidR="00F173D1">
              <w:rPr>
                <w:rFonts w:ascii="Franklin Gothic Book" w:hAnsi="Franklin Gothic Book"/>
                <w:iCs/>
                <w:color w:val="auto"/>
                <w:sz w:val="22"/>
                <w:szCs w:val="22"/>
              </w:rPr>
              <w:t xml:space="preserve">much more </w:t>
            </w:r>
            <w:r w:rsidRPr="000B5E96">
              <w:rPr>
                <w:rFonts w:ascii="Franklin Gothic Book" w:hAnsi="Franklin Gothic Book"/>
                <w:iCs/>
                <w:color w:val="auto"/>
                <w:sz w:val="22"/>
                <w:szCs w:val="22"/>
              </w:rPr>
              <w:t>commonly found in the Ashkenazi Jewish population</w:t>
            </w:r>
            <w:r w:rsidR="00F173D1">
              <w:rPr>
                <w:rFonts w:ascii="Franklin Gothic Book" w:hAnsi="Franklin Gothic Book"/>
                <w:iCs/>
                <w:color w:val="auto"/>
                <w:sz w:val="22"/>
                <w:szCs w:val="22"/>
              </w:rPr>
              <w:t xml:space="preserve"> than in the general population</w:t>
            </w:r>
            <w:r w:rsidRPr="000B5E96">
              <w:rPr>
                <w:rFonts w:ascii="Franklin Gothic Book" w:hAnsi="Franklin Gothic Book"/>
                <w:iCs/>
                <w:color w:val="auto"/>
                <w:sz w:val="22"/>
                <w:szCs w:val="22"/>
              </w:rPr>
              <w:t xml:space="preserve">. The conditions are Tay-Sachs disease, Canavan disease, </w:t>
            </w:r>
            <w:r w:rsidR="00130334">
              <w:rPr>
                <w:rFonts w:ascii="Franklin Gothic Book" w:hAnsi="Franklin Gothic Book"/>
                <w:iCs/>
                <w:color w:val="auto"/>
                <w:sz w:val="22"/>
                <w:szCs w:val="22"/>
              </w:rPr>
              <w:t>F</w:t>
            </w:r>
            <w:r w:rsidRPr="000B5E96">
              <w:rPr>
                <w:rFonts w:ascii="Franklin Gothic Book" w:hAnsi="Franklin Gothic Book"/>
                <w:iCs/>
                <w:color w:val="auto"/>
                <w:sz w:val="22"/>
                <w:szCs w:val="22"/>
              </w:rPr>
              <w:t xml:space="preserve">amilial dysautonomia, </w:t>
            </w:r>
            <w:proofErr w:type="spellStart"/>
            <w:r w:rsidR="00130334">
              <w:rPr>
                <w:rFonts w:ascii="Franklin Gothic Book" w:hAnsi="Franklin Gothic Book"/>
                <w:iCs/>
                <w:color w:val="auto"/>
                <w:sz w:val="22"/>
                <w:szCs w:val="22"/>
              </w:rPr>
              <w:t>M</w:t>
            </w:r>
            <w:r w:rsidRPr="000B5E96">
              <w:rPr>
                <w:rFonts w:ascii="Franklin Gothic Book" w:hAnsi="Franklin Gothic Book"/>
                <w:iCs/>
                <w:color w:val="auto"/>
                <w:sz w:val="22"/>
                <w:szCs w:val="22"/>
              </w:rPr>
              <w:t>ucolipidosis</w:t>
            </w:r>
            <w:proofErr w:type="spellEnd"/>
            <w:r w:rsidRPr="000B5E96">
              <w:rPr>
                <w:rFonts w:ascii="Franklin Gothic Book" w:hAnsi="Franklin Gothic Book"/>
                <w:iCs/>
                <w:color w:val="auto"/>
                <w:sz w:val="22"/>
                <w:szCs w:val="22"/>
              </w:rPr>
              <w:t xml:space="preserve"> type IV, </w:t>
            </w:r>
            <w:r w:rsidR="00130334">
              <w:rPr>
                <w:rFonts w:ascii="Franklin Gothic Book" w:hAnsi="Franklin Gothic Book"/>
                <w:iCs/>
                <w:color w:val="auto"/>
                <w:sz w:val="22"/>
                <w:szCs w:val="22"/>
              </w:rPr>
              <w:t>G</w:t>
            </w:r>
            <w:r w:rsidRPr="000B5E96">
              <w:rPr>
                <w:rFonts w:ascii="Franklin Gothic Book" w:hAnsi="Franklin Gothic Book"/>
                <w:iCs/>
                <w:color w:val="auto"/>
                <w:sz w:val="22"/>
                <w:szCs w:val="22"/>
              </w:rPr>
              <w:t>lycogen storage disease type 1, Fanconi anaemia type C, Gaucher disease type 1, Niemann Pick disease type A and Bloom syndrome.</w:t>
            </w:r>
            <w:r w:rsidR="00130334">
              <w:rPr>
                <w:rFonts w:ascii="Franklin Gothic Book" w:hAnsi="Franklin Gothic Book"/>
                <w:iCs/>
                <w:color w:val="auto"/>
                <w:sz w:val="22"/>
                <w:szCs w:val="22"/>
              </w:rPr>
              <w:t xml:space="preserve"> The test would also include testing for variants that cause Cystic Fibrosis, Spinal muscular atrophy and Fragile-X syndrome, though</w:t>
            </w:r>
            <w:r w:rsidR="000B29A3">
              <w:rPr>
                <w:rFonts w:ascii="Franklin Gothic Book" w:hAnsi="Franklin Gothic Book"/>
                <w:iCs/>
                <w:color w:val="auto"/>
                <w:sz w:val="22"/>
                <w:szCs w:val="22"/>
              </w:rPr>
              <w:t xml:space="preserve"> as</w:t>
            </w:r>
            <w:r w:rsidR="00130334">
              <w:rPr>
                <w:rFonts w:ascii="Franklin Gothic Book" w:hAnsi="Franklin Gothic Book"/>
                <w:iCs/>
                <w:color w:val="auto"/>
                <w:sz w:val="22"/>
                <w:szCs w:val="22"/>
              </w:rPr>
              <w:t xml:space="preserve"> </w:t>
            </w:r>
            <w:r w:rsidR="000B29A3">
              <w:rPr>
                <w:rFonts w:ascii="Franklin Gothic Book" w:hAnsi="Franklin Gothic Book"/>
                <w:iCs/>
                <w:color w:val="auto"/>
                <w:sz w:val="22"/>
                <w:szCs w:val="22"/>
              </w:rPr>
              <w:t xml:space="preserve">reproductive carrier testing for these conditions in the general population has already been supported by MSAC and will be MBS listed from 1 November 2023, the </w:t>
            </w:r>
            <w:r w:rsidR="000B29A3" w:rsidRPr="000B29A3">
              <w:rPr>
                <w:rFonts w:ascii="Franklin Gothic Book" w:hAnsi="Franklin Gothic Book"/>
                <w:iCs/>
                <w:color w:val="auto"/>
                <w:sz w:val="22"/>
                <w:szCs w:val="22"/>
              </w:rPr>
              <w:t xml:space="preserve">comparative safety, clinical </w:t>
            </w:r>
            <w:proofErr w:type="gramStart"/>
            <w:r w:rsidR="000B29A3" w:rsidRPr="000B29A3">
              <w:rPr>
                <w:rFonts w:ascii="Franklin Gothic Book" w:hAnsi="Franklin Gothic Book"/>
                <w:iCs/>
                <w:color w:val="auto"/>
                <w:sz w:val="22"/>
                <w:szCs w:val="22"/>
              </w:rPr>
              <w:t>effectiveness</w:t>
            </w:r>
            <w:proofErr w:type="gramEnd"/>
            <w:r w:rsidR="000B29A3" w:rsidRPr="000B29A3">
              <w:rPr>
                <w:rFonts w:ascii="Franklin Gothic Book" w:hAnsi="Franklin Gothic Book"/>
                <w:iCs/>
                <w:color w:val="auto"/>
                <w:sz w:val="22"/>
                <w:szCs w:val="22"/>
              </w:rPr>
              <w:t xml:space="preserve"> and cost-effectiveness</w:t>
            </w:r>
            <w:r w:rsidR="000B29A3">
              <w:rPr>
                <w:rFonts w:ascii="Franklin Gothic Book" w:hAnsi="Franklin Gothic Book"/>
                <w:iCs/>
                <w:color w:val="auto"/>
                <w:sz w:val="22"/>
                <w:szCs w:val="22"/>
              </w:rPr>
              <w:t xml:space="preserve"> of testing for these conditions under the proposed intervention</w:t>
            </w:r>
            <w:r w:rsidR="00130334">
              <w:rPr>
                <w:rFonts w:ascii="Franklin Gothic Book" w:hAnsi="Franklin Gothic Book"/>
                <w:iCs/>
                <w:color w:val="auto"/>
                <w:sz w:val="22"/>
                <w:szCs w:val="22"/>
              </w:rPr>
              <w:t xml:space="preserve"> was not </w:t>
            </w:r>
            <w:r w:rsidR="009C705F">
              <w:rPr>
                <w:rFonts w:ascii="Franklin Gothic Book" w:hAnsi="Franklin Gothic Book"/>
                <w:iCs/>
                <w:color w:val="auto"/>
                <w:sz w:val="22"/>
                <w:szCs w:val="22"/>
              </w:rPr>
              <w:t>examined again</w:t>
            </w:r>
            <w:r w:rsidR="000B29A3">
              <w:rPr>
                <w:rFonts w:ascii="Franklin Gothic Book" w:hAnsi="Franklin Gothic Book"/>
                <w:iCs/>
                <w:color w:val="auto"/>
                <w:sz w:val="22"/>
                <w:szCs w:val="22"/>
              </w:rPr>
              <w:t xml:space="preserve"> as </w:t>
            </w:r>
            <w:r w:rsidR="00130334">
              <w:rPr>
                <w:rFonts w:ascii="Franklin Gothic Book" w:hAnsi="Franklin Gothic Book"/>
                <w:iCs/>
                <w:color w:val="auto"/>
                <w:sz w:val="22"/>
                <w:szCs w:val="22"/>
              </w:rPr>
              <w:t xml:space="preserve">part of this </w:t>
            </w:r>
            <w:r w:rsidR="000B29A3">
              <w:rPr>
                <w:rFonts w:ascii="Franklin Gothic Book" w:hAnsi="Franklin Gothic Book"/>
                <w:iCs/>
                <w:color w:val="auto"/>
                <w:sz w:val="22"/>
                <w:szCs w:val="22"/>
              </w:rPr>
              <w:t>application</w:t>
            </w:r>
            <w:r w:rsidR="00130334">
              <w:rPr>
                <w:rFonts w:ascii="Franklin Gothic Book" w:hAnsi="Franklin Gothic Book"/>
                <w:iCs/>
                <w:color w:val="auto"/>
                <w:sz w:val="22"/>
                <w:szCs w:val="22"/>
              </w:rPr>
              <w:t>.</w:t>
            </w:r>
          </w:p>
          <w:p w14:paraId="5B19665F" w14:textId="527F81AD" w:rsidR="000B5E96" w:rsidRPr="000B5E96" w:rsidRDefault="000B5E96" w:rsidP="000B5E96">
            <w:pPr>
              <w:pStyle w:val="Default"/>
              <w:spacing w:after="240"/>
              <w:rPr>
                <w:rFonts w:ascii="Franklin Gothic Book" w:hAnsi="Franklin Gothic Book"/>
                <w:iCs/>
                <w:color w:val="auto"/>
                <w:sz w:val="22"/>
                <w:szCs w:val="22"/>
              </w:rPr>
            </w:pPr>
            <w:r w:rsidRPr="000B5E96">
              <w:rPr>
                <w:rFonts w:ascii="Franklin Gothic Book" w:hAnsi="Franklin Gothic Book"/>
                <w:iCs/>
                <w:color w:val="auto"/>
                <w:sz w:val="22"/>
                <w:szCs w:val="22"/>
              </w:rPr>
              <w:t xml:space="preserve">People with Ashkenazi Jewish ancestry have a one in five chance (20%) of being a genetic carrier for at least one of these conditions. These conditions are all </w:t>
            </w:r>
            <w:r w:rsidR="00130334">
              <w:rPr>
                <w:rFonts w:ascii="Franklin Gothic Book" w:hAnsi="Franklin Gothic Book"/>
                <w:iCs/>
                <w:color w:val="auto"/>
                <w:sz w:val="22"/>
                <w:szCs w:val="22"/>
              </w:rPr>
              <w:t xml:space="preserve">caused by variants </w:t>
            </w:r>
            <w:r w:rsidRPr="000B5E96">
              <w:rPr>
                <w:rFonts w:ascii="Franklin Gothic Book" w:hAnsi="Franklin Gothic Book"/>
                <w:iCs/>
                <w:color w:val="auto"/>
                <w:sz w:val="22"/>
                <w:szCs w:val="22"/>
              </w:rPr>
              <w:t xml:space="preserve">found </w:t>
            </w:r>
            <w:r w:rsidR="00130334">
              <w:rPr>
                <w:rFonts w:ascii="Franklin Gothic Book" w:hAnsi="Franklin Gothic Book"/>
                <w:iCs/>
                <w:color w:val="auto"/>
                <w:sz w:val="22"/>
                <w:szCs w:val="22"/>
              </w:rPr>
              <w:t>within</w:t>
            </w:r>
            <w:r w:rsidR="00130334" w:rsidRPr="000B5E96">
              <w:rPr>
                <w:rFonts w:ascii="Franklin Gothic Book" w:hAnsi="Franklin Gothic Book"/>
                <w:iCs/>
                <w:color w:val="auto"/>
                <w:sz w:val="22"/>
                <w:szCs w:val="22"/>
              </w:rPr>
              <w:t xml:space="preserve"> </w:t>
            </w:r>
            <w:r w:rsidRPr="000B5E96">
              <w:rPr>
                <w:rFonts w:ascii="Franklin Gothic Book" w:hAnsi="Franklin Gothic Book"/>
                <w:iCs/>
                <w:color w:val="auto"/>
                <w:sz w:val="22"/>
                <w:szCs w:val="22"/>
              </w:rPr>
              <w:t>a single gene (monogenic) and are either autosomal recessive or X-linked. Autosomal recessive means that an affected person needs to inherit two copies (one from each parent)</w:t>
            </w:r>
            <w:r w:rsidR="00CF2412">
              <w:rPr>
                <w:rFonts w:ascii="Franklin Gothic Book" w:hAnsi="Franklin Gothic Book"/>
                <w:iCs/>
                <w:color w:val="auto"/>
                <w:sz w:val="22"/>
                <w:szCs w:val="22"/>
              </w:rPr>
              <w:t xml:space="preserve"> of the altered gene</w:t>
            </w:r>
            <w:r w:rsidRPr="000B5E96">
              <w:rPr>
                <w:rFonts w:ascii="Franklin Gothic Book" w:hAnsi="Franklin Gothic Book"/>
                <w:iCs/>
                <w:color w:val="auto"/>
                <w:sz w:val="22"/>
                <w:szCs w:val="22"/>
              </w:rPr>
              <w:t xml:space="preserve"> to have the condition. X-linked means the gene is on the X chromosome, meaning that male children</w:t>
            </w:r>
            <w:r w:rsidR="00CF2412">
              <w:rPr>
                <w:rFonts w:ascii="Franklin Gothic Book" w:hAnsi="Franklin Gothic Book"/>
                <w:iCs/>
                <w:color w:val="auto"/>
                <w:sz w:val="22"/>
                <w:szCs w:val="22"/>
              </w:rPr>
              <w:t xml:space="preserve"> (who </w:t>
            </w:r>
            <w:r w:rsidR="003E689A">
              <w:rPr>
                <w:rFonts w:ascii="Franklin Gothic Book" w:hAnsi="Franklin Gothic Book"/>
                <w:iCs/>
                <w:color w:val="auto"/>
                <w:sz w:val="22"/>
                <w:szCs w:val="22"/>
              </w:rPr>
              <w:t>carry</w:t>
            </w:r>
            <w:r w:rsidR="00CF2412">
              <w:rPr>
                <w:rFonts w:ascii="Franklin Gothic Book" w:hAnsi="Franklin Gothic Book"/>
                <w:iCs/>
                <w:color w:val="auto"/>
                <w:sz w:val="22"/>
                <w:szCs w:val="22"/>
              </w:rPr>
              <w:t xml:space="preserve"> only one X chromosome)</w:t>
            </w:r>
            <w:r w:rsidRPr="000B5E96">
              <w:rPr>
                <w:rFonts w:ascii="Franklin Gothic Book" w:hAnsi="Franklin Gothic Book"/>
                <w:iCs/>
                <w:color w:val="auto"/>
                <w:sz w:val="22"/>
                <w:szCs w:val="22"/>
              </w:rPr>
              <w:t xml:space="preserve"> are more commonly affected.</w:t>
            </w:r>
            <w:r w:rsidR="00130334">
              <w:rPr>
                <w:rFonts w:ascii="Franklin Gothic Book" w:hAnsi="Franklin Gothic Book"/>
                <w:iCs/>
                <w:color w:val="auto"/>
                <w:sz w:val="22"/>
                <w:szCs w:val="22"/>
              </w:rPr>
              <w:t xml:space="preserve"> Because</w:t>
            </w:r>
            <w:r w:rsidRPr="000B5E96">
              <w:rPr>
                <w:rFonts w:ascii="Franklin Gothic Book" w:hAnsi="Franklin Gothic Book"/>
                <w:iCs/>
                <w:color w:val="auto"/>
                <w:sz w:val="22"/>
                <w:szCs w:val="22"/>
              </w:rPr>
              <w:t xml:space="preserve"> the conditions are </w:t>
            </w:r>
            <w:r w:rsidR="00130334">
              <w:rPr>
                <w:rFonts w:ascii="Franklin Gothic Book" w:hAnsi="Franklin Gothic Book"/>
                <w:iCs/>
                <w:color w:val="auto"/>
                <w:sz w:val="22"/>
                <w:szCs w:val="22"/>
              </w:rPr>
              <w:t xml:space="preserve">inherited in an </w:t>
            </w:r>
            <w:r w:rsidRPr="000B5E96">
              <w:rPr>
                <w:rFonts w:ascii="Franklin Gothic Book" w:hAnsi="Franklin Gothic Book"/>
                <w:iCs/>
                <w:color w:val="auto"/>
                <w:sz w:val="22"/>
                <w:szCs w:val="22"/>
              </w:rPr>
              <w:t>autosomal recessive or X-linked</w:t>
            </w:r>
            <w:r w:rsidR="00F422F5" w:rsidRPr="000B5E96">
              <w:rPr>
                <w:rFonts w:ascii="Franklin Gothic Book" w:hAnsi="Franklin Gothic Book"/>
                <w:iCs/>
                <w:color w:val="auto"/>
                <w:sz w:val="22"/>
                <w:szCs w:val="22"/>
              </w:rPr>
              <w:t xml:space="preserve"> recessive</w:t>
            </w:r>
            <w:r w:rsidR="00130334">
              <w:rPr>
                <w:rFonts w:ascii="Franklin Gothic Book" w:hAnsi="Franklin Gothic Book"/>
                <w:iCs/>
                <w:color w:val="auto"/>
                <w:sz w:val="22"/>
                <w:szCs w:val="22"/>
              </w:rPr>
              <w:t xml:space="preserve"> way</w:t>
            </w:r>
            <w:r w:rsidRPr="000B5E96">
              <w:rPr>
                <w:rFonts w:ascii="Franklin Gothic Book" w:hAnsi="Franklin Gothic Book"/>
                <w:iCs/>
                <w:color w:val="auto"/>
                <w:sz w:val="22"/>
                <w:szCs w:val="22"/>
              </w:rPr>
              <w:t>, the chances of having an affected child are one in four (25%) if the parents are carriers.</w:t>
            </w:r>
          </w:p>
          <w:p w14:paraId="787929F8" w14:textId="0260AAC2" w:rsidR="000B5E96" w:rsidRPr="000B5E96" w:rsidRDefault="000B5E96" w:rsidP="000B5E96">
            <w:pPr>
              <w:pStyle w:val="Default"/>
              <w:spacing w:after="240"/>
              <w:rPr>
                <w:rFonts w:ascii="Franklin Gothic Book" w:hAnsi="Franklin Gothic Book"/>
                <w:iCs/>
                <w:color w:val="auto"/>
                <w:sz w:val="22"/>
                <w:szCs w:val="22"/>
              </w:rPr>
            </w:pPr>
            <w:r w:rsidRPr="000B5E96">
              <w:rPr>
                <w:rFonts w:ascii="Franklin Gothic Book" w:hAnsi="Franklin Gothic Book"/>
                <w:iCs/>
                <w:color w:val="auto"/>
                <w:sz w:val="22"/>
                <w:szCs w:val="22"/>
              </w:rPr>
              <w:t>The nine conditions are all severe and cause shortened life expectanc</w:t>
            </w:r>
            <w:r w:rsidR="00F422F5">
              <w:rPr>
                <w:rFonts w:ascii="Franklin Gothic Book" w:hAnsi="Franklin Gothic Book"/>
                <w:iCs/>
                <w:color w:val="auto"/>
                <w:sz w:val="22"/>
                <w:szCs w:val="22"/>
              </w:rPr>
              <w:t>y</w:t>
            </w:r>
            <w:r w:rsidRPr="000B5E96">
              <w:rPr>
                <w:rFonts w:ascii="Franklin Gothic Book" w:hAnsi="Franklin Gothic Book"/>
                <w:iCs/>
                <w:color w:val="auto"/>
                <w:sz w:val="22"/>
                <w:szCs w:val="22"/>
              </w:rPr>
              <w:t xml:space="preserve"> as few, if any, </w:t>
            </w:r>
            <w:r w:rsidR="00F422F5">
              <w:rPr>
                <w:rFonts w:ascii="Franklin Gothic Book" w:hAnsi="Franklin Gothic Book"/>
                <w:iCs/>
                <w:color w:val="auto"/>
                <w:sz w:val="22"/>
                <w:szCs w:val="22"/>
              </w:rPr>
              <w:t xml:space="preserve">curative </w:t>
            </w:r>
            <w:r w:rsidRPr="000B5E96">
              <w:rPr>
                <w:rFonts w:ascii="Franklin Gothic Book" w:hAnsi="Franklin Gothic Book"/>
                <w:iCs/>
                <w:color w:val="auto"/>
                <w:sz w:val="22"/>
                <w:szCs w:val="22"/>
              </w:rPr>
              <w:t xml:space="preserve">treatments are available. Having a child born with these conditions causes significant burden to affected children and their families, to society and to the healthcare system. Many </w:t>
            </w:r>
            <w:proofErr w:type="gramStart"/>
            <w:r w:rsidRPr="000B5E96">
              <w:rPr>
                <w:rFonts w:ascii="Franklin Gothic Book" w:hAnsi="Franklin Gothic Book"/>
                <w:iCs/>
                <w:color w:val="auto"/>
                <w:sz w:val="22"/>
                <w:szCs w:val="22"/>
              </w:rPr>
              <w:t>Ashkenazi</w:t>
            </w:r>
            <w:proofErr w:type="gramEnd"/>
            <w:r w:rsidRPr="000B5E96">
              <w:rPr>
                <w:rFonts w:ascii="Franklin Gothic Book" w:hAnsi="Franklin Gothic Book"/>
                <w:iCs/>
                <w:color w:val="auto"/>
                <w:sz w:val="22"/>
                <w:szCs w:val="22"/>
              </w:rPr>
              <w:t xml:space="preserve"> Jewish people currently pay for </w:t>
            </w:r>
            <w:r w:rsidR="00130334">
              <w:rPr>
                <w:rFonts w:ascii="Franklin Gothic Book" w:hAnsi="Franklin Gothic Book"/>
                <w:iCs/>
                <w:color w:val="auto"/>
                <w:sz w:val="22"/>
                <w:szCs w:val="22"/>
              </w:rPr>
              <w:t>reproductive carrier</w:t>
            </w:r>
            <w:r w:rsidR="00130334" w:rsidRPr="000B5E96">
              <w:rPr>
                <w:rFonts w:ascii="Franklin Gothic Book" w:hAnsi="Franklin Gothic Book"/>
                <w:iCs/>
                <w:color w:val="auto"/>
                <w:sz w:val="22"/>
                <w:szCs w:val="22"/>
              </w:rPr>
              <w:t xml:space="preserve"> </w:t>
            </w:r>
            <w:r w:rsidRPr="000B5E96">
              <w:rPr>
                <w:rFonts w:ascii="Franklin Gothic Book" w:hAnsi="Franklin Gothic Book"/>
                <w:iCs/>
                <w:color w:val="auto"/>
                <w:sz w:val="22"/>
                <w:szCs w:val="22"/>
              </w:rPr>
              <w:t xml:space="preserve">testing themselves, and </w:t>
            </w:r>
            <w:r w:rsidR="0049350C">
              <w:rPr>
                <w:rFonts w:ascii="Franklin Gothic Book" w:hAnsi="Franklin Gothic Book"/>
                <w:iCs/>
                <w:color w:val="auto"/>
                <w:sz w:val="22"/>
                <w:szCs w:val="22"/>
              </w:rPr>
              <w:t>some people can access charit</w:t>
            </w:r>
            <w:r w:rsidR="00B37593">
              <w:rPr>
                <w:rFonts w:ascii="Franklin Gothic Book" w:hAnsi="Franklin Gothic Book"/>
                <w:iCs/>
                <w:color w:val="auto"/>
                <w:sz w:val="22"/>
                <w:szCs w:val="22"/>
              </w:rPr>
              <w:t>y-</w:t>
            </w:r>
            <w:r w:rsidRPr="000B5E96">
              <w:rPr>
                <w:rFonts w:ascii="Franklin Gothic Book" w:hAnsi="Franklin Gothic Book"/>
                <w:iCs/>
                <w:color w:val="auto"/>
                <w:sz w:val="22"/>
                <w:szCs w:val="22"/>
              </w:rPr>
              <w:t>fund</w:t>
            </w:r>
            <w:r w:rsidR="0049350C">
              <w:rPr>
                <w:rFonts w:ascii="Franklin Gothic Book" w:hAnsi="Franklin Gothic Book"/>
                <w:iCs/>
                <w:color w:val="auto"/>
                <w:sz w:val="22"/>
                <w:szCs w:val="22"/>
              </w:rPr>
              <w:t>ed test</w:t>
            </w:r>
            <w:r w:rsidRPr="000B5E96">
              <w:rPr>
                <w:rFonts w:ascii="Franklin Gothic Book" w:hAnsi="Franklin Gothic Book"/>
                <w:iCs/>
                <w:color w:val="auto"/>
                <w:sz w:val="22"/>
                <w:szCs w:val="22"/>
              </w:rPr>
              <w:t>ing. Therefore, access is largely limited to those who can afford to pay for it.</w:t>
            </w:r>
          </w:p>
          <w:p w14:paraId="21F93804" w14:textId="71A3F062" w:rsidR="009C705F" w:rsidRDefault="000B5E96" w:rsidP="000B5E96">
            <w:pPr>
              <w:pStyle w:val="Default"/>
              <w:spacing w:after="240"/>
              <w:rPr>
                <w:rFonts w:ascii="Franklin Gothic Book" w:hAnsi="Franklin Gothic Book"/>
                <w:iCs/>
                <w:color w:val="auto"/>
                <w:sz w:val="22"/>
                <w:szCs w:val="22"/>
              </w:rPr>
            </w:pPr>
            <w:r w:rsidRPr="000B5E96">
              <w:rPr>
                <w:rFonts w:ascii="Franklin Gothic Book" w:hAnsi="Franklin Gothic Book"/>
                <w:iCs/>
                <w:color w:val="auto"/>
                <w:sz w:val="22"/>
                <w:szCs w:val="22"/>
              </w:rPr>
              <w:t xml:space="preserve">The application </w:t>
            </w:r>
            <w:r w:rsidR="000B29A3">
              <w:rPr>
                <w:rFonts w:ascii="Franklin Gothic Book" w:hAnsi="Franklin Gothic Book"/>
                <w:iCs/>
                <w:color w:val="auto"/>
                <w:sz w:val="22"/>
                <w:szCs w:val="22"/>
              </w:rPr>
              <w:t>propose</w:t>
            </w:r>
            <w:r w:rsidR="009C705F">
              <w:rPr>
                <w:rFonts w:ascii="Franklin Gothic Book" w:hAnsi="Franklin Gothic Book"/>
                <w:iCs/>
                <w:color w:val="auto"/>
                <w:sz w:val="22"/>
                <w:szCs w:val="22"/>
              </w:rPr>
              <w:t>d</w:t>
            </w:r>
            <w:r w:rsidR="000B29A3">
              <w:rPr>
                <w:rFonts w:ascii="Franklin Gothic Book" w:hAnsi="Franklin Gothic Book"/>
                <w:iCs/>
                <w:color w:val="auto"/>
                <w:sz w:val="22"/>
                <w:szCs w:val="22"/>
              </w:rPr>
              <w:t xml:space="preserve"> </w:t>
            </w:r>
            <w:r w:rsidR="00130334">
              <w:rPr>
                <w:rFonts w:ascii="Franklin Gothic Book" w:hAnsi="Franklin Gothic Book"/>
                <w:iCs/>
                <w:color w:val="auto"/>
                <w:sz w:val="22"/>
                <w:szCs w:val="22"/>
              </w:rPr>
              <w:t xml:space="preserve">testing for a panel of specific </w:t>
            </w:r>
            <w:r w:rsidR="00B37593">
              <w:rPr>
                <w:rFonts w:ascii="Franklin Gothic Book" w:hAnsi="Franklin Gothic Book"/>
                <w:iCs/>
                <w:color w:val="auto"/>
                <w:sz w:val="22"/>
                <w:szCs w:val="22"/>
              </w:rPr>
              <w:t xml:space="preserve">genetic </w:t>
            </w:r>
            <w:r w:rsidR="00130334">
              <w:rPr>
                <w:rFonts w:ascii="Franklin Gothic Book" w:hAnsi="Franklin Gothic Book"/>
                <w:iCs/>
                <w:color w:val="auto"/>
                <w:sz w:val="22"/>
                <w:szCs w:val="22"/>
              </w:rPr>
              <w:t>variants</w:t>
            </w:r>
            <w:r w:rsidR="00130334" w:rsidRPr="000B5E96">
              <w:rPr>
                <w:rFonts w:ascii="Franklin Gothic Book" w:hAnsi="Franklin Gothic Book"/>
                <w:iCs/>
                <w:color w:val="auto"/>
                <w:sz w:val="22"/>
                <w:szCs w:val="22"/>
              </w:rPr>
              <w:t xml:space="preserve"> </w:t>
            </w:r>
            <w:r w:rsidRPr="000B5E96">
              <w:rPr>
                <w:rFonts w:ascii="Franklin Gothic Book" w:hAnsi="Franklin Gothic Book"/>
                <w:iCs/>
                <w:color w:val="auto"/>
                <w:sz w:val="22"/>
                <w:szCs w:val="22"/>
              </w:rPr>
              <w:t xml:space="preserve">that </w:t>
            </w:r>
            <w:r w:rsidR="007D750B">
              <w:rPr>
                <w:rFonts w:ascii="Franklin Gothic Book" w:hAnsi="Franklin Gothic Book"/>
                <w:iCs/>
                <w:color w:val="auto"/>
                <w:sz w:val="22"/>
                <w:szCs w:val="22"/>
              </w:rPr>
              <w:t>are more common</w:t>
            </w:r>
            <w:r w:rsidRPr="000B5E96">
              <w:rPr>
                <w:rFonts w:ascii="Franklin Gothic Book" w:hAnsi="Franklin Gothic Book"/>
                <w:iCs/>
                <w:color w:val="auto"/>
                <w:sz w:val="22"/>
                <w:szCs w:val="22"/>
              </w:rPr>
              <w:t xml:space="preserve"> in the Ashkenazi Jewish population. MSAC considered it appropriate to limit </w:t>
            </w:r>
            <w:r w:rsidR="0014588A">
              <w:rPr>
                <w:rFonts w:ascii="Franklin Gothic Book" w:hAnsi="Franklin Gothic Book"/>
                <w:iCs/>
                <w:color w:val="auto"/>
                <w:sz w:val="22"/>
                <w:szCs w:val="22"/>
              </w:rPr>
              <w:t>panel</w:t>
            </w:r>
            <w:r w:rsidR="0014588A" w:rsidRPr="000B5E96">
              <w:rPr>
                <w:rFonts w:ascii="Franklin Gothic Book" w:hAnsi="Franklin Gothic Book"/>
                <w:iCs/>
                <w:color w:val="auto"/>
                <w:sz w:val="22"/>
                <w:szCs w:val="22"/>
              </w:rPr>
              <w:t xml:space="preserve"> </w:t>
            </w:r>
            <w:r w:rsidRPr="000B5E96">
              <w:rPr>
                <w:rFonts w:ascii="Franklin Gothic Book" w:hAnsi="Franklin Gothic Book"/>
                <w:iCs/>
                <w:color w:val="auto"/>
                <w:sz w:val="22"/>
                <w:szCs w:val="22"/>
              </w:rPr>
              <w:t>testing to this group of people</w:t>
            </w:r>
            <w:r w:rsidR="00130334">
              <w:rPr>
                <w:rFonts w:ascii="Franklin Gothic Book" w:hAnsi="Franklin Gothic Book"/>
                <w:iCs/>
                <w:color w:val="auto"/>
                <w:sz w:val="22"/>
                <w:szCs w:val="22"/>
              </w:rPr>
              <w:t xml:space="preserve">, as the </w:t>
            </w:r>
            <w:r w:rsidR="0014588A">
              <w:rPr>
                <w:rFonts w:ascii="Franklin Gothic Book" w:hAnsi="Franklin Gothic Book"/>
                <w:iCs/>
                <w:color w:val="auto"/>
                <w:sz w:val="22"/>
                <w:szCs w:val="22"/>
              </w:rPr>
              <w:t xml:space="preserve">panel </w:t>
            </w:r>
            <w:r w:rsidR="00130334">
              <w:rPr>
                <w:rFonts w:ascii="Franklin Gothic Book" w:hAnsi="Franklin Gothic Book"/>
                <w:iCs/>
                <w:color w:val="auto"/>
                <w:sz w:val="22"/>
                <w:szCs w:val="22"/>
              </w:rPr>
              <w:t xml:space="preserve">test is not designed to detect </w:t>
            </w:r>
            <w:r w:rsidR="0049350C">
              <w:rPr>
                <w:rFonts w:ascii="Franklin Gothic Book" w:hAnsi="Franklin Gothic Book"/>
                <w:iCs/>
                <w:color w:val="auto"/>
                <w:sz w:val="22"/>
                <w:szCs w:val="22"/>
              </w:rPr>
              <w:t>any other variants.</w:t>
            </w:r>
            <w:r w:rsidRPr="000B5E96">
              <w:rPr>
                <w:rFonts w:ascii="Franklin Gothic Book" w:hAnsi="Franklin Gothic Book"/>
                <w:iCs/>
                <w:color w:val="auto"/>
                <w:sz w:val="22"/>
                <w:szCs w:val="22"/>
              </w:rPr>
              <w:t xml:space="preserve"> Most people who have Ashkenazi Jewish heritage are aware of their ethnicity and self-identify as being Ashkenazi Jewish</w:t>
            </w:r>
            <w:r w:rsidR="00E50349">
              <w:rPr>
                <w:rFonts w:ascii="Franklin Gothic Book" w:hAnsi="Franklin Gothic Book"/>
                <w:iCs/>
                <w:color w:val="auto"/>
                <w:sz w:val="22"/>
                <w:szCs w:val="22"/>
              </w:rPr>
              <w:t xml:space="preserve">, and MSAC considered that they would be prepared to self-identify to receive </w:t>
            </w:r>
            <w:r w:rsidR="00602D87">
              <w:rPr>
                <w:rFonts w:ascii="Franklin Gothic Book" w:hAnsi="Franklin Gothic Book"/>
                <w:iCs/>
                <w:color w:val="auto"/>
                <w:sz w:val="22"/>
                <w:szCs w:val="22"/>
              </w:rPr>
              <w:t xml:space="preserve">reproductive carrier </w:t>
            </w:r>
            <w:r w:rsidR="00E50349">
              <w:rPr>
                <w:rFonts w:ascii="Franklin Gothic Book" w:hAnsi="Franklin Gothic Book"/>
                <w:iCs/>
                <w:color w:val="auto"/>
                <w:sz w:val="22"/>
                <w:szCs w:val="22"/>
              </w:rPr>
              <w:t>testing</w:t>
            </w:r>
            <w:r w:rsidRPr="000B5E96">
              <w:rPr>
                <w:rFonts w:ascii="Franklin Gothic Book" w:hAnsi="Franklin Gothic Book"/>
                <w:iCs/>
                <w:color w:val="auto"/>
                <w:sz w:val="22"/>
                <w:szCs w:val="22"/>
              </w:rPr>
              <w:t>.</w:t>
            </w:r>
          </w:p>
          <w:p w14:paraId="3A62F272" w14:textId="3949C821" w:rsidR="000C7531" w:rsidRDefault="009C705F" w:rsidP="000B5E96">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Where both people in a reproductive couple are of Ashkenazi Jewish </w:t>
            </w:r>
            <w:r w:rsidR="00602D87">
              <w:rPr>
                <w:rFonts w:ascii="Franklin Gothic Book" w:hAnsi="Franklin Gothic Book"/>
                <w:iCs/>
                <w:color w:val="auto"/>
                <w:sz w:val="22"/>
                <w:szCs w:val="22"/>
              </w:rPr>
              <w:t>descent</w:t>
            </w:r>
            <w:r>
              <w:rPr>
                <w:rFonts w:ascii="Franklin Gothic Book" w:hAnsi="Franklin Gothic Book"/>
                <w:iCs/>
                <w:color w:val="auto"/>
                <w:sz w:val="22"/>
                <w:szCs w:val="22"/>
              </w:rPr>
              <w:t xml:space="preserve">, they would both be able to use the panel test. But where a person of Ashkenazi Jewish </w:t>
            </w:r>
            <w:r w:rsidR="00602D87">
              <w:rPr>
                <w:rFonts w:ascii="Franklin Gothic Book" w:hAnsi="Franklin Gothic Book"/>
                <w:iCs/>
                <w:color w:val="auto"/>
                <w:sz w:val="22"/>
                <w:szCs w:val="22"/>
              </w:rPr>
              <w:t xml:space="preserve">descent </w:t>
            </w:r>
            <w:r>
              <w:rPr>
                <w:rFonts w:ascii="Franklin Gothic Book" w:hAnsi="Franklin Gothic Book"/>
                <w:iCs/>
                <w:color w:val="auto"/>
                <w:sz w:val="22"/>
                <w:szCs w:val="22"/>
              </w:rPr>
              <w:t xml:space="preserve">has a reproductive partner of non-Ashkenazi Jewish </w:t>
            </w:r>
            <w:r w:rsidR="00602D87">
              <w:rPr>
                <w:rFonts w:ascii="Franklin Gothic Book" w:hAnsi="Franklin Gothic Book"/>
                <w:iCs/>
                <w:color w:val="auto"/>
                <w:sz w:val="22"/>
                <w:szCs w:val="22"/>
              </w:rPr>
              <w:t>descent</w:t>
            </w:r>
            <w:r>
              <w:rPr>
                <w:rFonts w:ascii="Franklin Gothic Book" w:hAnsi="Franklin Gothic Book"/>
                <w:iCs/>
                <w:color w:val="auto"/>
                <w:sz w:val="22"/>
                <w:szCs w:val="22"/>
              </w:rPr>
              <w:t xml:space="preserve">, then that partner is not </w:t>
            </w:r>
            <w:r w:rsidR="00602D87">
              <w:rPr>
                <w:rFonts w:ascii="Franklin Gothic Book" w:hAnsi="Franklin Gothic Book"/>
                <w:iCs/>
                <w:color w:val="auto"/>
                <w:sz w:val="22"/>
                <w:szCs w:val="22"/>
              </w:rPr>
              <w:t xml:space="preserve">necessarily </w:t>
            </w:r>
            <w:r>
              <w:rPr>
                <w:rFonts w:ascii="Franklin Gothic Book" w:hAnsi="Franklin Gothic Book"/>
                <w:iCs/>
                <w:color w:val="auto"/>
                <w:sz w:val="22"/>
                <w:szCs w:val="22"/>
              </w:rPr>
              <w:t xml:space="preserve">likely to have the variants that are more common in the Ashkenazi Jewish population. </w:t>
            </w:r>
          </w:p>
          <w:p w14:paraId="15F81636" w14:textId="11CB67C3" w:rsidR="000C7531" w:rsidRDefault="00D774C9" w:rsidP="000B5E96">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I</w:t>
            </w:r>
            <w:r w:rsidR="009C705F">
              <w:rPr>
                <w:rFonts w:ascii="Franklin Gothic Book" w:hAnsi="Franklin Gothic Book"/>
                <w:iCs/>
                <w:color w:val="auto"/>
                <w:sz w:val="22"/>
                <w:szCs w:val="22"/>
              </w:rPr>
              <w:t xml:space="preserve">f the Ashkenazi Jewish partner </w:t>
            </w:r>
            <w:r w:rsidR="0014588A">
              <w:rPr>
                <w:rFonts w:ascii="Franklin Gothic Book" w:hAnsi="Franklin Gothic Book"/>
                <w:iCs/>
                <w:color w:val="auto"/>
                <w:sz w:val="22"/>
                <w:szCs w:val="22"/>
              </w:rPr>
              <w:t>is found to have</w:t>
            </w:r>
            <w:r w:rsidR="009C705F">
              <w:rPr>
                <w:rFonts w:ascii="Franklin Gothic Book" w:hAnsi="Franklin Gothic Book"/>
                <w:iCs/>
                <w:color w:val="auto"/>
                <w:sz w:val="22"/>
                <w:szCs w:val="22"/>
              </w:rPr>
              <w:t xml:space="preserve"> a variant (or variants), then </w:t>
            </w:r>
            <w:r w:rsidR="00602D87">
              <w:rPr>
                <w:rFonts w:ascii="Franklin Gothic Book" w:hAnsi="Franklin Gothic Book"/>
                <w:iCs/>
                <w:color w:val="auto"/>
                <w:sz w:val="22"/>
                <w:szCs w:val="22"/>
              </w:rPr>
              <w:t>their</w:t>
            </w:r>
            <w:r w:rsidR="009C705F">
              <w:rPr>
                <w:rFonts w:ascii="Franklin Gothic Book" w:hAnsi="Franklin Gothic Book"/>
                <w:iCs/>
                <w:color w:val="auto"/>
                <w:sz w:val="22"/>
                <w:szCs w:val="22"/>
              </w:rPr>
              <w:t xml:space="preserve"> non-Ashkenazi Jewish partner </w:t>
            </w:r>
            <w:r>
              <w:rPr>
                <w:rFonts w:ascii="Franklin Gothic Book" w:hAnsi="Franklin Gothic Book"/>
                <w:iCs/>
                <w:color w:val="auto"/>
                <w:sz w:val="22"/>
                <w:szCs w:val="22"/>
              </w:rPr>
              <w:t>can</w:t>
            </w:r>
            <w:r w:rsidR="009C705F">
              <w:rPr>
                <w:rFonts w:ascii="Franklin Gothic Book" w:hAnsi="Franklin Gothic Book"/>
                <w:iCs/>
                <w:color w:val="auto"/>
                <w:sz w:val="22"/>
                <w:szCs w:val="22"/>
              </w:rPr>
              <w:t xml:space="preserve"> be tested</w:t>
            </w:r>
            <w:r w:rsidR="0088357F">
              <w:rPr>
                <w:rFonts w:ascii="Franklin Gothic Book" w:hAnsi="Franklin Gothic Book"/>
                <w:iCs/>
                <w:color w:val="auto"/>
                <w:sz w:val="22"/>
                <w:szCs w:val="22"/>
              </w:rPr>
              <w:t>.</w:t>
            </w:r>
            <w:r>
              <w:rPr>
                <w:rFonts w:ascii="Franklin Gothic Book" w:hAnsi="Franklin Gothic Book"/>
                <w:iCs/>
                <w:color w:val="auto"/>
                <w:sz w:val="22"/>
                <w:szCs w:val="22"/>
              </w:rPr>
              <w:t xml:space="preserve"> </w:t>
            </w:r>
            <w:r w:rsidR="0088357F">
              <w:rPr>
                <w:rFonts w:ascii="Franklin Gothic Book" w:hAnsi="Franklin Gothic Book"/>
                <w:iCs/>
                <w:color w:val="auto"/>
                <w:sz w:val="22"/>
                <w:szCs w:val="22"/>
              </w:rPr>
              <w:t>T</w:t>
            </w:r>
            <w:r>
              <w:rPr>
                <w:rFonts w:ascii="Franklin Gothic Book" w:hAnsi="Franklin Gothic Book"/>
                <w:iCs/>
                <w:color w:val="auto"/>
                <w:sz w:val="22"/>
                <w:szCs w:val="22"/>
              </w:rPr>
              <w:t>his test needs to check</w:t>
            </w:r>
            <w:r w:rsidR="009C705F">
              <w:rPr>
                <w:rFonts w:ascii="Franklin Gothic Book" w:hAnsi="Franklin Gothic Book"/>
                <w:iCs/>
                <w:color w:val="auto"/>
                <w:sz w:val="22"/>
                <w:szCs w:val="22"/>
              </w:rPr>
              <w:t xml:space="preserve"> all variants in the same gene (or genes) in which the</w:t>
            </w:r>
            <w:r w:rsidR="00602D87">
              <w:rPr>
                <w:rFonts w:ascii="Franklin Gothic Book" w:hAnsi="Franklin Gothic Book"/>
                <w:iCs/>
                <w:color w:val="auto"/>
                <w:sz w:val="22"/>
                <w:szCs w:val="22"/>
              </w:rPr>
              <w:t xml:space="preserve"> Ashkenazi Jewish</w:t>
            </w:r>
            <w:r w:rsidR="009C705F">
              <w:rPr>
                <w:rFonts w:ascii="Franklin Gothic Book" w:hAnsi="Franklin Gothic Book"/>
                <w:iCs/>
                <w:color w:val="auto"/>
                <w:sz w:val="22"/>
                <w:szCs w:val="22"/>
              </w:rPr>
              <w:t xml:space="preserve"> partner has a </w:t>
            </w:r>
            <w:r w:rsidR="00602D87">
              <w:rPr>
                <w:rFonts w:ascii="Franklin Gothic Book" w:hAnsi="Franklin Gothic Book"/>
                <w:iCs/>
                <w:color w:val="auto"/>
                <w:sz w:val="22"/>
                <w:szCs w:val="22"/>
              </w:rPr>
              <w:t xml:space="preserve">genetic </w:t>
            </w:r>
            <w:r w:rsidR="009C705F">
              <w:rPr>
                <w:rFonts w:ascii="Franklin Gothic Book" w:hAnsi="Franklin Gothic Book"/>
                <w:iCs/>
                <w:color w:val="auto"/>
                <w:sz w:val="22"/>
                <w:szCs w:val="22"/>
              </w:rPr>
              <w:t>variant</w:t>
            </w:r>
            <w:r w:rsidR="0088357F">
              <w:rPr>
                <w:rFonts w:ascii="Franklin Gothic Book" w:hAnsi="Franklin Gothic Book"/>
                <w:iCs/>
                <w:color w:val="auto"/>
                <w:sz w:val="22"/>
                <w:szCs w:val="22"/>
              </w:rPr>
              <w:t xml:space="preserve">, as opposed to only the specific genetic variants that are more common in the </w:t>
            </w:r>
            <w:r w:rsidR="0088357F" w:rsidRPr="000B5E96">
              <w:rPr>
                <w:rFonts w:ascii="Franklin Gothic Book" w:hAnsi="Franklin Gothic Book"/>
                <w:iCs/>
                <w:color w:val="auto"/>
                <w:sz w:val="22"/>
                <w:szCs w:val="22"/>
              </w:rPr>
              <w:t>Ashkenazi Jewish population</w:t>
            </w:r>
            <w:r w:rsidR="0088357F">
              <w:rPr>
                <w:rFonts w:ascii="Franklin Gothic Book" w:hAnsi="Franklin Gothic Book"/>
                <w:iCs/>
                <w:color w:val="auto"/>
                <w:sz w:val="22"/>
                <w:szCs w:val="22"/>
              </w:rPr>
              <w:t>.</w:t>
            </w:r>
            <w:r w:rsidR="009C705F">
              <w:rPr>
                <w:rFonts w:ascii="Franklin Gothic Book" w:hAnsi="Franklin Gothic Book"/>
                <w:iCs/>
                <w:color w:val="auto"/>
                <w:sz w:val="22"/>
                <w:szCs w:val="22"/>
              </w:rPr>
              <w:t xml:space="preserve"> MSAC considered that supporting this test for non-Ashkenazi Jewish reproductive partners would allow couples in which only one reproductive partner is </w:t>
            </w:r>
            <w:r w:rsidR="0014588A">
              <w:rPr>
                <w:rFonts w:ascii="Franklin Gothic Book" w:hAnsi="Franklin Gothic Book"/>
                <w:iCs/>
                <w:color w:val="auto"/>
                <w:sz w:val="22"/>
                <w:szCs w:val="22"/>
              </w:rPr>
              <w:t xml:space="preserve">of </w:t>
            </w:r>
            <w:r w:rsidR="009C705F">
              <w:rPr>
                <w:rFonts w:ascii="Franklin Gothic Book" w:hAnsi="Franklin Gothic Book"/>
                <w:iCs/>
                <w:color w:val="auto"/>
                <w:sz w:val="22"/>
                <w:szCs w:val="22"/>
              </w:rPr>
              <w:t>Ashkenazi Jewish</w:t>
            </w:r>
            <w:r w:rsidR="0014588A">
              <w:rPr>
                <w:rFonts w:ascii="Franklin Gothic Book" w:hAnsi="Franklin Gothic Book"/>
                <w:iCs/>
                <w:color w:val="auto"/>
                <w:sz w:val="22"/>
                <w:szCs w:val="22"/>
              </w:rPr>
              <w:t xml:space="preserve"> descent</w:t>
            </w:r>
            <w:r w:rsidR="009C705F">
              <w:rPr>
                <w:rFonts w:ascii="Franklin Gothic Book" w:hAnsi="Franklin Gothic Book"/>
                <w:iCs/>
                <w:color w:val="auto"/>
                <w:sz w:val="22"/>
                <w:szCs w:val="22"/>
              </w:rPr>
              <w:t xml:space="preserve"> to make informed reproductive decisions.</w:t>
            </w:r>
            <w:r w:rsidR="00066FFE">
              <w:rPr>
                <w:rFonts w:ascii="Franklin Gothic Book" w:hAnsi="Franklin Gothic Book"/>
                <w:iCs/>
                <w:color w:val="auto"/>
                <w:sz w:val="22"/>
                <w:szCs w:val="22"/>
              </w:rPr>
              <w:t xml:space="preserve"> </w:t>
            </w:r>
          </w:p>
          <w:p w14:paraId="5B4C0FAB" w14:textId="435859CA" w:rsidR="000B5E96" w:rsidRPr="000B5E96" w:rsidRDefault="00066FFE" w:rsidP="000B5E96">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MSAC also supported </w:t>
            </w:r>
            <w:proofErr w:type="spellStart"/>
            <w:r>
              <w:rPr>
                <w:rFonts w:ascii="Franklin Gothic Book" w:hAnsi="Franklin Gothic Book"/>
                <w:iCs/>
                <w:color w:val="auto"/>
                <w:sz w:val="22"/>
                <w:szCs w:val="22"/>
              </w:rPr>
              <w:t>fetal</w:t>
            </w:r>
            <w:proofErr w:type="spellEnd"/>
            <w:r>
              <w:rPr>
                <w:rFonts w:ascii="Franklin Gothic Book" w:hAnsi="Franklin Gothic Book"/>
                <w:iCs/>
                <w:color w:val="auto"/>
                <w:sz w:val="22"/>
                <w:szCs w:val="22"/>
              </w:rPr>
              <w:t xml:space="preserve"> testing for couples who are at risk of having a child affected by one of these </w:t>
            </w:r>
            <w:r w:rsidR="000C7531">
              <w:rPr>
                <w:rFonts w:ascii="Franklin Gothic Book" w:hAnsi="Franklin Gothic Book"/>
                <w:iCs/>
                <w:color w:val="auto"/>
                <w:sz w:val="22"/>
                <w:szCs w:val="22"/>
              </w:rPr>
              <w:t>conditions</w:t>
            </w:r>
            <w:r>
              <w:rPr>
                <w:rFonts w:ascii="Franklin Gothic Book" w:hAnsi="Franklin Gothic Book"/>
                <w:iCs/>
                <w:color w:val="auto"/>
                <w:sz w:val="22"/>
                <w:szCs w:val="22"/>
              </w:rPr>
              <w:t>.</w:t>
            </w:r>
          </w:p>
          <w:p w14:paraId="100207A3" w14:textId="36A5CDEC" w:rsidR="000B5E96" w:rsidRPr="000B5E96" w:rsidRDefault="000B5E96" w:rsidP="000B5E96">
            <w:pPr>
              <w:pStyle w:val="Default"/>
              <w:spacing w:after="240"/>
              <w:rPr>
                <w:rFonts w:ascii="Franklin Gothic Book" w:hAnsi="Franklin Gothic Book"/>
                <w:iCs/>
                <w:color w:val="auto"/>
                <w:sz w:val="22"/>
                <w:szCs w:val="22"/>
              </w:rPr>
            </w:pPr>
            <w:r w:rsidRPr="000B5E96">
              <w:rPr>
                <w:rFonts w:ascii="Franklin Gothic Book" w:hAnsi="Franklin Gothic Book"/>
                <w:iCs/>
                <w:color w:val="auto"/>
                <w:sz w:val="22"/>
                <w:szCs w:val="22"/>
              </w:rPr>
              <w:t xml:space="preserve">MSAC considered the proposed genetic testing to be effective in that it </w:t>
            </w:r>
            <w:r w:rsidR="00F422F5">
              <w:rPr>
                <w:rFonts w:ascii="Franklin Gothic Book" w:hAnsi="Franklin Gothic Book"/>
                <w:iCs/>
                <w:color w:val="auto"/>
                <w:sz w:val="22"/>
                <w:szCs w:val="22"/>
              </w:rPr>
              <w:t>enabled</w:t>
            </w:r>
            <w:r w:rsidR="00F422F5" w:rsidRPr="000B5E96">
              <w:rPr>
                <w:rFonts w:ascii="Franklin Gothic Book" w:hAnsi="Franklin Gothic Book"/>
                <w:iCs/>
                <w:color w:val="auto"/>
                <w:sz w:val="22"/>
                <w:szCs w:val="22"/>
              </w:rPr>
              <w:t xml:space="preserve"> </w:t>
            </w:r>
            <w:r w:rsidRPr="000B5E96">
              <w:rPr>
                <w:rFonts w:ascii="Franklin Gothic Book" w:hAnsi="Franklin Gothic Book"/>
                <w:iCs/>
                <w:color w:val="auto"/>
                <w:sz w:val="22"/>
                <w:szCs w:val="22"/>
              </w:rPr>
              <w:t xml:space="preserve">people </w:t>
            </w:r>
            <w:r w:rsidR="00F422F5">
              <w:rPr>
                <w:rFonts w:ascii="Franklin Gothic Book" w:hAnsi="Franklin Gothic Book"/>
                <w:iCs/>
                <w:color w:val="auto"/>
                <w:sz w:val="22"/>
                <w:szCs w:val="22"/>
              </w:rPr>
              <w:t xml:space="preserve">to make improved </w:t>
            </w:r>
            <w:r w:rsidRPr="000B5E96">
              <w:rPr>
                <w:rFonts w:ascii="Franklin Gothic Book" w:hAnsi="Franklin Gothic Book"/>
                <w:iCs/>
                <w:color w:val="auto"/>
                <w:sz w:val="22"/>
                <w:szCs w:val="22"/>
              </w:rPr>
              <w:t xml:space="preserve">reproductive choices, it is very good value for money, and there were no safety </w:t>
            </w:r>
            <w:r w:rsidRPr="000B5E96">
              <w:rPr>
                <w:rFonts w:ascii="Franklin Gothic Book" w:hAnsi="Franklin Gothic Book"/>
                <w:iCs/>
                <w:color w:val="auto"/>
                <w:sz w:val="22"/>
                <w:szCs w:val="22"/>
              </w:rPr>
              <w:lastRenderedPageBreak/>
              <w:t xml:space="preserve">concerns about the testing. </w:t>
            </w:r>
            <w:r w:rsidR="00E50349">
              <w:rPr>
                <w:rFonts w:ascii="Franklin Gothic Book" w:hAnsi="Franklin Gothic Book"/>
                <w:iCs/>
                <w:color w:val="auto"/>
                <w:sz w:val="22"/>
                <w:szCs w:val="22"/>
              </w:rPr>
              <w:t>MSAC considered the cost to the MBS to publicly fund this testing was acceptable.</w:t>
            </w:r>
          </w:p>
          <w:p w14:paraId="38EBBD00" w14:textId="70D5ECEF" w:rsidR="000B5E96" w:rsidRPr="000B5E96" w:rsidRDefault="000B5E96" w:rsidP="000B5E96">
            <w:pPr>
              <w:pStyle w:val="Default"/>
              <w:spacing w:after="240"/>
              <w:rPr>
                <w:rFonts w:ascii="Franklin Gothic Book" w:hAnsi="Franklin Gothic Book"/>
                <w:b/>
                <w:bCs/>
                <w:iCs/>
                <w:color w:val="auto"/>
                <w:sz w:val="22"/>
                <w:szCs w:val="22"/>
              </w:rPr>
            </w:pPr>
            <w:r w:rsidRPr="000B5E96">
              <w:rPr>
                <w:rFonts w:ascii="Franklin Gothic Book" w:hAnsi="Franklin Gothic Book"/>
                <w:b/>
                <w:bCs/>
                <w:iCs/>
                <w:color w:val="auto"/>
                <w:sz w:val="22"/>
                <w:szCs w:val="22"/>
              </w:rPr>
              <w:t xml:space="preserve">MSAC’s advice to the </w:t>
            </w:r>
            <w:proofErr w:type="gramStart"/>
            <w:r w:rsidRPr="000B5E96">
              <w:rPr>
                <w:rFonts w:ascii="Franklin Gothic Book" w:hAnsi="Franklin Gothic Book"/>
                <w:b/>
                <w:bCs/>
                <w:iCs/>
                <w:color w:val="auto"/>
                <w:sz w:val="22"/>
                <w:szCs w:val="22"/>
              </w:rPr>
              <w:t>Commonwealth Minister</w:t>
            </w:r>
            <w:proofErr w:type="gramEnd"/>
            <w:r w:rsidRPr="000B5E96">
              <w:rPr>
                <w:rFonts w:ascii="Franklin Gothic Book" w:hAnsi="Franklin Gothic Book"/>
                <w:b/>
                <w:bCs/>
                <w:iCs/>
                <w:color w:val="auto"/>
                <w:sz w:val="22"/>
                <w:szCs w:val="22"/>
              </w:rPr>
              <w:t xml:space="preserve"> for Health</w:t>
            </w:r>
            <w:r w:rsidR="00003D88">
              <w:rPr>
                <w:rFonts w:ascii="Franklin Gothic Book" w:hAnsi="Franklin Gothic Book"/>
                <w:b/>
                <w:bCs/>
                <w:iCs/>
                <w:color w:val="auto"/>
                <w:sz w:val="22"/>
                <w:szCs w:val="22"/>
              </w:rPr>
              <w:t xml:space="preserve"> and Aged Care</w:t>
            </w:r>
          </w:p>
          <w:p w14:paraId="4709937E" w14:textId="086E0715" w:rsidR="00E96E47" w:rsidRDefault="000B5E96" w:rsidP="000B5E96">
            <w:pPr>
              <w:pStyle w:val="Default"/>
              <w:spacing w:after="240"/>
              <w:rPr>
                <w:rFonts w:ascii="Times New Roman" w:hAnsi="Times New Roman"/>
                <w:i/>
                <w:color w:val="auto"/>
              </w:rPr>
            </w:pPr>
            <w:r w:rsidRPr="000B5E96">
              <w:rPr>
                <w:rFonts w:ascii="Franklin Gothic Book" w:hAnsi="Franklin Gothic Book"/>
                <w:iCs/>
                <w:color w:val="auto"/>
                <w:sz w:val="22"/>
                <w:szCs w:val="22"/>
              </w:rPr>
              <w:t xml:space="preserve">MSAC supported Medicare Benefits Schedule (MBS) listing of </w:t>
            </w:r>
            <w:r w:rsidR="00E50349">
              <w:rPr>
                <w:rFonts w:ascii="Franklin Gothic Book" w:hAnsi="Franklin Gothic Book"/>
                <w:iCs/>
                <w:color w:val="auto"/>
                <w:sz w:val="22"/>
                <w:szCs w:val="22"/>
              </w:rPr>
              <w:t xml:space="preserve">reproductive carrier </w:t>
            </w:r>
            <w:r w:rsidRPr="000B5E96">
              <w:rPr>
                <w:rFonts w:ascii="Franklin Gothic Book" w:hAnsi="Franklin Gothic Book"/>
                <w:iCs/>
                <w:color w:val="auto"/>
                <w:sz w:val="22"/>
                <w:szCs w:val="22"/>
              </w:rPr>
              <w:t>testing for</w:t>
            </w:r>
            <w:r w:rsidR="00E50349">
              <w:rPr>
                <w:rFonts w:ascii="Franklin Gothic Book" w:hAnsi="Franklin Gothic Book"/>
                <w:iCs/>
                <w:color w:val="auto"/>
                <w:sz w:val="22"/>
                <w:szCs w:val="22"/>
              </w:rPr>
              <w:t xml:space="preserve"> specific</w:t>
            </w:r>
            <w:r w:rsidR="00B36E2B" w:rsidRPr="00521E6A">
              <w:rPr>
                <w:rFonts w:ascii="Franklin Gothic Book" w:hAnsi="Franklin Gothic Book"/>
                <w:iCs/>
                <w:color w:val="auto"/>
                <w:sz w:val="22"/>
                <w:szCs w:val="20"/>
                <w:lang w:val="en-US"/>
              </w:rPr>
              <w:t xml:space="preserve"> </w:t>
            </w:r>
            <w:r w:rsidR="00E50349">
              <w:rPr>
                <w:rFonts w:ascii="Franklin Gothic Book" w:hAnsi="Franklin Gothic Book"/>
                <w:iCs/>
                <w:color w:val="auto"/>
                <w:sz w:val="22"/>
                <w:szCs w:val="20"/>
                <w:lang w:val="en-US"/>
              </w:rPr>
              <w:t>genetic variants that cause nine severe</w:t>
            </w:r>
            <w:r w:rsidR="00B36E2B" w:rsidRPr="00521E6A">
              <w:rPr>
                <w:rFonts w:ascii="Franklin Gothic Book" w:hAnsi="Franklin Gothic Book"/>
                <w:iCs/>
                <w:color w:val="auto"/>
                <w:sz w:val="22"/>
                <w:szCs w:val="20"/>
                <w:lang w:val="en-US"/>
              </w:rPr>
              <w:t xml:space="preserve"> conditions </w:t>
            </w:r>
            <w:r w:rsidRPr="000B5E96">
              <w:rPr>
                <w:rFonts w:ascii="Franklin Gothic Book" w:hAnsi="Franklin Gothic Book"/>
                <w:iCs/>
                <w:color w:val="auto"/>
                <w:sz w:val="22"/>
                <w:szCs w:val="22"/>
              </w:rPr>
              <w:t>commonly found in the Ashkenazi Jewish population</w:t>
            </w:r>
            <w:r w:rsidR="007F437B">
              <w:rPr>
                <w:rFonts w:ascii="Franklin Gothic Book" w:hAnsi="Franklin Gothic Book"/>
                <w:iCs/>
                <w:color w:val="auto"/>
                <w:sz w:val="22"/>
                <w:szCs w:val="22"/>
              </w:rPr>
              <w:t xml:space="preserve">, and MBS items </w:t>
            </w:r>
            <w:bookmarkStart w:id="3" w:name="_Hlk112658847"/>
            <w:r w:rsidR="007F437B">
              <w:rPr>
                <w:rFonts w:ascii="Franklin Gothic Book" w:hAnsi="Franklin Gothic Book"/>
                <w:iCs/>
                <w:color w:val="auto"/>
                <w:sz w:val="22"/>
                <w:szCs w:val="22"/>
              </w:rPr>
              <w:t>for the testing of reproductive partners of Ashkenazi Jewish people (</w:t>
            </w:r>
            <w:r w:rsidR="009C705F">
              <w:rPr>
                <w:rFonts w:ascii="Franklin Gothic Book" w:hAnsi="Franklin Gothic Book"/>
                <w:iCs/>
                <w:color w:val="auto"/>
                <w:sz w:val="22"/>
                <w:szCs w:val="22"/>
              </w:rPr>
              <w:t>who are not Ashkenazi Jewish</w:t>
            </w:r>
            <w:r w:rsidR="007F437B">
              <w:rPr>
                <w:rFonts w:ascii="Franklin Gothic Book" w:hAnsi="Franklin Gothic Book"/>
                <w:iCs/>
                <w:color w:val="auto"/>
                <w:sz w:val="22"/>
                <w:szCs w:val="22"/>
              </w:rPr>
              <w:t xml:space="preserve">) </w:t>
            </w:r>
            <w:bookmarkEnd w:id="3"/>
            <w:r w:rsidR="007F437B">
              <w:rPr>
                <w:rFonts w:ascii="Franklin Gothic Book" w:hAnsi="Franklin Gothic Book"/>
                <w:iCs/>
                <w:color w:val="auto"/>
                <w:sz w:val="22"/>
                <w:szCs w:val="22"/>
              </w:rPr>
              <w:t xml:space="preserve">and </w:t>
            </w:r>
            <w:proofErr w:type="spellStart"/>
            <w:r w:rsidR="007F437B">
              <w:rPr>
                <w:rFonts w:ascii="Franklin Gothic Book" w:hAnsi="Franklin Gothic Book"/>
                <w:iCs/>
                <w:color w:val="auto"/>
                <w:sz w:val="22"/>
                <w:szCs w:val="22"/>
              </w:rPr>
              <w:t>fetal</w:t>
            </w:r>
            <w:proofErr w:type="spellEnd"/>
            <w:r w:rsidR="007F437B">
              <w:rPr>
                <w:rFonts w:ascii="Franklin Gothic Book" w:hAnsi="Franklin Gothic Book"/>
                <w:iCs/>
                <w:color w:val="auto"/>
                <w:sz w:val="22"/>
                <w:szCs w:val="22"/>
              </w:rPr>
              <w:t xml:space="preserve"> testing</w:t>
            </w:r>
            <w:r w:rsidRPr="000B5E96">
              <w:rPr>
                <w:rFonts w:ascii="Franklin Gothic Book" w:hAnsi="Franklin Gothic Book"/>
                <w:iCs/>
                <w:color w:val="auto"/>
                <w:sz w:val="22"/>
                <w:szCs w:val="22"/>
              </w:rPr>
              <w:t xml:space="preserve">. MSAC considered the testing to be safe, </w:t>
            </w:r>
            <w:proofErr w:type="gramStart"/>
            <w:r w:rsidRPr="000B5E96">
              <w:rPr>
                <w:rFonts w:ascii="Franklin Gothic Book" w:hAnsi="Franklin Gothic Book"/>
                <w:iCs/>
                <w:color w:val="auto"/>
                <w:sz w:val="22"/>
                <w:szCs w:val="22"/>
              </w:rPr>
              <w:t>effective</w:t>
            </w:r>
            <w:proofErr w:type="gramEnd"/>
            <w:r w:rsidRPr="000B5E96">
              <w:rPr>
                <w:rFonts w:ascii="Franklin Gothic Book" w:hAnsi="Franklin Gothic Book"/>
                <w:iCs/>
                <w:color w:val="auto"/>
                <w:sz w:val="22"/>
                <w:szCs w:val="22"/>
              </w:rPr>
              <w:t xml:space="preserve"> and good value for money</w:t>
            </w:r>
            <w:r w:rsidR="00E50349">
              <w:rPr>
                <w:rFonts w:ascii="Franklin Gothic Book" w:hAnsi="Franklin Gothic Book"/>
                <w:iCs/>
                <w:color w:val="auto"/>
                <w:sz w:val="22"/>
                <w:szCs w:val="22"/>
              </w:rPr>
              <w:t xml:space="preserve">, and that it has an acceptable </w:t>
            </w:r>
            <w:r w:rsidR="00966426">
              <w:rPr>
                <w:rFonts w:ascii="Franklin Gothic Book" w:hAnsi="Franklin Gothic Book"/>
                <w:iCs/>
                <w:color w:val="auto"/>
                <w:sz w:val="22"/>
                <w:szCs w:val="22"/>
              </w:rPr>
              <w:t xml:space="preserve">total </w:t>
            </w:r>
            <w:r w:rsidR="00E50349">
              <w:rPr>
                <w:rFonts w:ascii="Franklin Gothic Book" w:hAnsi="Franklin Gothic Book"/>
                <w:iCs/>
                <w:color w:val="auto"/>
                <w:sz w:val="22"/>
                <w:szCs w:val="22"/>
              </w:rPr>
              <w:t>cost to the MBS</w:t>
            </w:r>
            <w:r w:rsidRPr="000B5E96">
              <w:rPr>
                <w:rFonts w:ascii="Franklin Gothic Book" w:hAnsi="Franklin Gothic Book"/>
                <w:iCs/>
                <w:color w:val="auto"/>
                <w:sz w:val="22"/>
                <w:szCs w:val="22"/>
              </w:rPr>
              <w:t>.</w:t>
            </w:r>
          </w:p>
        </w:tc>
      </w:tr>
    </w:tbl>
    <w:p w14:paraId="3161883C" w14:textId="77777777" w:rsidR="00E96E47" w:rsidRDefault="00E96E47" w:rsidP="00E96E47">
      <w:pPr>
        <w:pStyle w:val="Heading2"/>
        <w:numPr>
          <w:ilvl w:val="0"/>
          <w:numId w:val="0"/>
        </w:numPr>
      </w:pPr>
      <w:r>
        <w:lastRenderedPageBreak/>
        <w:t>3.</w:t>
      </w:r>
      <w:r>
        <w:tab/>
        <w:t>Summary of consideration and rationale for MSAC’s advice</w:t>
      </w:r>
    </w:p>
    <w:p w14:paraId="085D449D" w14:textId="56AABB29" w:rsidR="000B5E96" w:rsidRDefault="000B5E96" w:rsidP="000B5E96">
      <w:r>
        <w:t xml:space="preserve">MSAC noted that this was a new application for targeted </w:t>
      </w:r>
      <w:r w:rsidR="00E50349">
        <w:t xml:space="preserve">reproductive </w:t>
      </w:r>
      <w:r>
        <w:t xml:space="preserve">carrier testing for </w:t>
      </w:r>
      <w:r w:rsidR="00130334">
        <w:t xml:space="preserve">specific </w:t>
      </w:r>
      <w:r w:rsidR="00E50349">
        <w:t xml:space="preserve">founder </w:t>
      </w:r>
      <w:r w:rsidR="00130334">
        <w:t xml:space="preserve">variants in </w:t>
      </w:r>
      <w:r>
        <w:t xml:space="preserve">12 genes associated with nine severe autosomal recessive and X-linked </w:t>
      </w:r>
      <w:r w:rsidR="00F422F5">
        <w:t xml:space="preserve">recessive </w:t>
      </w:r>
      <w:r>
        <w:t>monogenic conditions</w:t>
      </w:r>
      <w:r w:rsidR="00BE05D4">
        <w:t xml:space="preserve"> </w:t>
      </w:r>
      <w:r w:rsidR="00F173D1">
        <w:t xml:space="preserve">much more </w:t>
      </w:r>
      <w:r w:rsidR="00BE05D4">
        <w:t>commonly found in the Ashkenazi Jewish population</w:t>
      </w:r>
      <w:r w:rsidR="00F173D1">
        <w:t xml:space="preserve"> than in the general population</w:t>
      </w:r>
      <w:r w:rsidR="00BE05D4">
        <w:t>, these nine conditions being</w:t>
      </w:r>
      <w:r>
        <w:t xml:space="preserve">: Tay-Sachs disease (TSD), Canavan disease, familial dysautonomia, </w:t>
      </w:r>
      <w:proofErr w:type="spellStart"/>
      <w:r>
        <w:t>mucolipidosis</w:t>
      </w:r>
      <w:proofErr w:type="spellEnd"/>
      <w:r>
        <w:t xml:space="preserve"> type IV, glycogen storage disease type 1, Fanconi anaemia type C, Gaucher disease type 1, Niemann Pick disease type A and Bloom syndrome. </w:t>
      </w:r>
      <w:r w:rsidR="00AF0345">
        <w:t>MSAC noted t</w:t>
      </w:r>
      <w:r>
        <w:t xml:space="preserve">hese recessive genetic conditions are responsible for significant morbidity and mortality in </w:t>
      </w:r>
      <w:r w:rsidR="00DD2CA7">
        <w:t>affected individuals</w:t>
      </w:r>
      <w:r>
        <w:t xml:space="preserve">; one in five (20%) of </w:t>
      </w:r>
      <w:r w:rsidR="00BE6A01">
        <w:t>Ashkenazi Jewish</w:t>
      </w:r>
      <w:r>
        <w:t xml:space="preserve"> individuals who undergo genetic testing will be carriers for one or more of these conditions.</w:t>
      </w:r>
      <w:r w:rsidR="00F173D1">
        <w:t xml:space="preserve"> </w:t>
      </w:r>
      <w:r w:rsidR="000F6631">
        <w:t>Couples</w:t>
      </w:r>
      <w:r w:rsidR="00F173D1">
        <w:t xml:space="preserve"> in the general population </w:t>
      </w:r>
      <w:r w:rsidR="000F6631">
        <w:t xml:space="preserve">planning pregnancy </w:t>
      </w:r>
      <w:r w:rsidR="00F173D1">
        <w:t xml:space="preserve">would </w:t>
      </w:r>
      <w:r w:rsidR="000F6631">
        <w:t xml:space="preserve">typically </w:t>
      </w:r>
      <w:r w:rsidR="00F173D1">
        <w:t xml:space="preserve">be at very low risk for </w:t>
      </w:r>
      <w:r w:rsidR="000F6631">
        <w:t xml:space="preserve">having </w:t>
      </w:r>
      <w:r w:rsidR="0049350C">
        <w:t xml:space="preserve">an affected </w:t>
      </w:r>
      <w:r w:rsidR="000F6631">
        <w:t>child</w:t>
      </w:r>
      <w:r w:rsidR="0049350C">
        <w:t xml:space="preserve"> and the risk would be of having only one of these conditions</w:t>
      </w:r>
      <w:r w:rsidR="00F173D1">
        <w:t>.</w:t>
      </w:r>
      <w:r w:rsidR="00BE6A01" w:rsidRPr="00BE6A01">
        <w:rPr>
          <w:iCs/>
        </w:rPr>
        <w:t xml:space="preserve"> </w:t>
      </w:r>
      <w:r w:rsidR="00BE6A01">
        <w:rPr>
          <w:iCs/>
        </w:rPr>
        <w:t xml:space="preserve">MSAC noted the applicant proposed that the test in practice would also include testing for variants that cause Cystic </w:t>
      </w:r>
      <w:r w:rsidR="007F220D">
        <w:rPr>
          <w:iCs/>
        </w:rPr>
        <w:t>f</w:t>
      </w:r>
      <w:r w:rsidR="00BE6A01">
        <w:rPr>
          <w:iCs/>
        </w:rPr>
        <w:t>ibrosis</w:t>
      </w:r>
      <w:r w:rsidR="0065175E">
        <w:rPr>
          <w:iCs/>
        </w:rPr>
        <w:t xml:space="preserve"> (CF)</w:t>
      </w:r>
      <w:r w:rsidR="00BE6A01">
        <w:rPr>
          <w:iCs/>
        </w:rPr>
        <w:t xml:space="preserve">, Spinal muscular atrophy </w:t>
      </w:r>
      <w:r w:rsidR="0065175E">
        <w:rPr>
          <w:iCs/>
        </w:rPr>
        <w:t xml:space="preserve">(SMA) </w:t>
      </w:r>
      <w:r w:rsidR="00BE6A01">
        <w:rPr>
          <w:iCs/>
        </w:rPr>
        <w:t>and Fragile-X syndrome</w:t>
      </w:r>
      <w:r w:rsidR="0065175E">
        <w:rPr>
          <w:iCs/>
        </w:rPr>
        <w:t xml:space="preserve"> (FXS)</w:t>
      </w:r>
      <w:r w:rsidR="003A4106">
        <w:rPr>
          <w:iCs/>
        </w:rPr>
        <w:t xml:space="preserve">. </w:t>
      </w:r>
      <w:proofErr w:type="gramStart"/>
      <w:r w:rsidR="003A4106">
        <w:rPr>
          <w:iCs/>
        </w:rPr>
        <w:t>However</w:t>
      </w:r>
      <w:proofErr w:type="gramEnd"/>
      <w:r w:rsidR="003A4106">
        <w:rPr>
          <w:iCs/>
        </w:rPr>
        <w:t xml:space="preserve"> since testing for these conditions has</w:t>
      </w:r>
      <w:r w:rsidR="00BE6A01">
        <w:rPr>
          <w:iCs/>
        </w:rPr>
        <w:t xml:space="preserve"> </w:t>
      </w:r>
      <w:r w:rsidR="003A4106">
        <w:rPr>
          <w:iCs/>
        </w:rPr>
        <w:t xml:space="preserve">previously </w:t>
      </w:r>
      <w:r w:rsidR="00BE6A01">
        <w:rPr>
          <w:iCs/>
        </w:rPr>
        <w:t xml:space="preserve">been supported for public funding (MSAC application 1573), </w:t>
      </w:r>
      <w:r w:rsidR="003A4106">
        <w:rPr>
          <w:iCs/>
        </w:rPr>
        <w:t xml:space="preserve">the </w:t>
      </w:r>
      <w:r w:rsidR="00D83167">
        <w:rPr>
          <w:iCs/>
        </w:rPr>
        <w:t xml:space="preserve">current assessment does not include a reanalysis of the three </w:t>
      </w:r>
      <w:r w:rsidR="001E609C">
        <w:rPr>
          <w:iCs/>
        </w:rPr>
        <w:t xml:space="preserve">supported </w:t>
      </w:r>
      <w:r w:rsidR="003A4106">
        <w:rPr>
          <w:iCs/>
        </w:rPr>
        <w:t>tests</w:t>
      </w:r>
      <w:r w:rsidR="00D83167">
        <w:rPr>
          <w:iCs/>
        </w:rPr>
        <w:t>.</w:t>
      </w:r>
    </w:p>
    <w:p w14:paraId="3F5CEB71" w14:textId="17501362" w:rsidR="000B43AF" w:rsidRDefault="000B5E96" w:rsidP="000B5E96">
      <w:r>
        <w:t>MSAC noted that the proposed test was</w:t>
      </w:r>
      <w:r w:rsidR="00995C09">
        <w:t xml:space="preserve"> a genetic </w:t>
      </w:r>
      <w:r>
        <w:t>panel test, performed in National Association of Testing Authorities</w:t>
      </w:r>
      <w:r w:rsidR="00AF0345">
        <w:t>-</w:t>
      </w:r>
      <w:r>
        <w:t xml:space="preserve"> (NATA-)accredited lab</w:t>
      </w:r>
      <w:r w:rsidR="00AF0345">
        <w:t>oratorie</w:t>
      </w:r>
      <w:r>
        <w:t xml:space="preserve">s with appropriate supervision arrangements. </w:t>
      </w:r>
      <w:r w:rsidR="00AF0345">
        <w:t>MSAC noted t</w:t>
      </w:r>
      <w:r>
        <w:t xml:space="preserve">he proposal is </w:t>
      </w:r>
      <w:r w:rsidR="00AF0345">
        <w:t>method-</w:t>
      </w:r>
      <w:r>
        <w:t xml:space="preserve">agnostic. Currently, carrier testing in the </w:t>
      </w:r>
      <w:r w:rsidR="00BE6A01">
        <w:t>Ashkenazi Jewish</w:t>
      </w:r>
      <w:r>
        <w:t xml:space="preserve"> population is undertaken on a user-pays basis or through small-scale programs funded by private organisations for targeted populations, such as New South Wales high school students. MSAC thus considered there to be inequity of access </w:t>
      </w:r>
      <w:r w:rsidR="00AF0345">
        <w:t>to reproductive carrier</w:t>
      </w:r>
      <w:r>
        <w:t xml:space="preserve"> testing</w:t>
      </w:r>
      <w:r w:rsidR="002B2882">
        <w:t xml:space="preserve"> and noted the high community demand in the </w:t>
      </w:r>
      <w:r w:rsidR="00BE6A01">
        <w:t>Ashkenazi Jewish</w:t>
      </w:r>
      <w:r w:rsidR="002B2882">
        <w:t xml:space="preserve"> population to access such testing</w:t>
      </w:r>
      <w:r w:rsidR="00F173D1">
        <w:t xml:space="preserve"> given the known severity of the </w:t>
      </w:r>
      <w:r w:rsidR="000F6631">
        <w:t xml:space="preserve">nominated </w:t>
      </w:r>
      <w:r w:rsidR="00CB64C9">
        <w:t>conditions</w:t>
      </w:r>
      <w:r w:rsidR="000B43AF">
        <w:t xml:space="preserve">. </w:t>
      </w:r>
    </w:p>
    <w:p w14:paraId="3729E01B" w14:textId="6331F0B0" w:rsidR="00CD460E" w:rsidRDefault="000B5E96" w:rsidP="000B5E96">
      <w:r>
        <w:t>MSAC noted the proposed MBS item descriptors</w:t>
      </w:r>
      <w:r w:rsidR="00260934">
        <w:t xml:space="preserve">, and that </w:t>
      </w:r>
      <w:r w:rsidR="00BE6A01">
        <w:t>in them Ashkenazi Jewish</w:t>
      </w:r>
      <w:r w:rsidR="00260934">
        <w:t xml:space="preserve"> ethnicity is characterised indirectly, by requiring individuals to have “greater than 10% risk” of being a carrier of the conditions in the testing panel to be eligible for testing</w:t>
      </w:r>
      <w:r w:rsidR="000A4AAD">
        <w:t>, which MSAC considered unclear and potentially leading to leakage</w:t>
      </w:r>
      <w:r>
        <w:t xml:space="preserve">. </w:t>
      </w:r>
      <w:bookmarkStart w:id="4" w:name="_Hlk114651163"/>
      <w:r w:rsidR="00AF0345">
        <w:t xml:space="preserve">MSAC noted that the applicant’s pre-MSAC response emphasised that the </w:t>
      </w:r>
      <w:r w:rsidR="00260934">
        <w:t xml:space="preserve">genetic </w:t>
      </w:r>
      <w:r w:rsidR="00AF0345">
        <w:t xml:space="preserve">variants </w:t>
      </w:r>
      <w:r w:rsidR="00260934">
        <w:t xml:space="preserve">proposed to be </w:t>
      </w:r>
      <w:r w:rsidR="00AF0345">
        <w:t xml:space="preserve">included </w:t>
      </w:r>
      <w:r w:rsidR="00260934">
        <w:t>in</w:t>
      </w:r>
      <w:r w:rsidR="00AF0345">
        <w:t xml:space="preserve"> the </w:t>
      </w:r>
      <w:r w:rsidR="00260934">
        <w:t>test</w:t>
      </w:r>
      <w:r w:rsidR="00AF0345">
        <w:t xml:space="preserve"> </w:t>
      </w:r>
      <w:r w:rsidR="00A44A79">
        <w:t xml:space="preserve">(1671 PICO, Table 2) </w:t>
      </w:r>
      <w:r w:rsidR="00AF0345">
        <w:t xml:space="preserve">were specifically chosen to cater to individuals of </w:t>
      </w:r>
      <w:r w:rsidR="00BE6A01">
        <w:t>Ashkenazi Jewish</w:t>
      </w:r>
      <w:r w:rsidR="00AF0345">
        <w:t xml:space="preserve"> descent and would be of limited value in other populations. MSAC agreed that the test would only be effective for people with </w:t>
      </w:r>
      <w:r w:rsidR="00BE6A01">
        <w:t>Ashkenazi Jewish</w:t>
      </w:r>
      <w:r w:rsidR="00AF0345">
        <w:t xml:space="preserve"> descent</w:t>
      </w:r>
      <w:r w:rsidR="000A4AAD">
        <w:t>, noting that the</w:t>
      </w:r>
      <w:r w:rsidR="007328FA">
        <w:t>se</w:t>
      </w:r>
      <w:r w:rsidR="000A4AAD">
        <w:t xml:space="preserve"> founder variants </w:t>
      </w:r>
      <w:r w:rsidR="007328FA">
        <w:t>are not seen in</w:t>
      </w:r>
      <w:r w:rsidR="000A4AAD">
        <w:t xml:space="preserve"> the Sephardic Jewish population</w:t>
      </w:r>
      <w:r w:rsidR="00607E0B">
        <w:t xml:space="preserve"> or other populations</w:t>
      </w:r>
      <w:r w:rsidR="00AF0345">
        <w:t xml:space="preserve">. </w:t>
      </w:r>
      <w:bookmarkEnd w:id="4"/>
      <w:r w:rsidR="00AF0345">
        <w:t xml:space="preserve">MSAC considered that explicitly stating the test is for individuals of </w:t>
      </w:r>
      <w:r w:rsidR="00BE6A01">
        <w:t>Ashkenazi Jewish</w:t>
      </w:r>
      <w:r w:rsidR="00AF0345">
        <w:t xml:space="preserve"> descent would reduce potential confusion as to the appropriate </w:t>
      </w:r>
      <w:r w:rsidR="00D83167">
        <w:t xml:space="preserve">persons </w:t>
      </w:r>
      <w:r w:rsidR="00AF0345">
        <w:t xml:space="preserve">to receive this test, and </w:t>
      </w:r>
      <w:r w:rsidR="00260934">
        <w:t>that</w:t>
      </w:r>
      <w:r w:rsidR="00BE6A01">
        <w:t xml:space="preserve"> for existing tests where the eligible population is defined based on pre-test increased risk, the population is defined unambiguously</w:t>
      </w:r>
      <w:r w:rsidR="00260934">
        <w:t xml:space="preserve">. MSAC also noted the </w:t>
      </w:r>
      <w:r w:rsidR="00260934">
        <w:lastRenderedPageBreak/>
        <w:t>applicant’s pre-MSAC response, which</w:t>
      </w:r>
      <w:r w:rsidR="00260934" w:rsidDel="00244021">
        <w:t xml:space="preserve"> </w:t>
      </w:r>
      <w:r w:rsidR="00260934">
        <w:t xml:space="preserve">acknowledged ESC’s concerns about the appropriateness of defining testing eligibility based on ethnicity but considered that this testing represents positive discrimination for a previously under-catered-for group. </w:t>
      </w:r>
      <w:r w:rsidR="00AF0345">
        <w:t xml:space="preserve">MSAC acknowledged the </w:t>
      </w:r>
      <w:r w:rsidR="00260934">
        <w:t xml:space="preserve">potential </w:t>
      </w:r>
      <w:r w:rsidR="00AF0345">
        <w:t>p</w:t>
      </w:r>
      <w:r w:rsidR="00260934">
        <w:t xml:space="preserve">erceived harms in explicitly describing the </w:t>
      </w:r>
      <w:r w:rsidR="00BE6A01">
        <w:t>eligible</w:t>
      </w:r>
      <w:r w:rsidR="00260934">
        <w:t xml:space="preserve"> test population </w:t>
      </w:r>
      <w:r w:rsidR="00116891">
        <w:t>based on ethnicity</w:t>
      </w:r>
      <w:r w:rsidR="00BE6A01">
        <w:t>,</w:t>
      </w:r>
      <w:r w:rsidR="00116891">
        <w:t xml:space="preserve"> </w:t>
      </w:r>
      <w:r w:rsidR="00BE6A01">
        <w:t xml:space="preserve">though </w:t>
      </w:r>
      <w:r w:rsidR="00116891">
        <w:t xml:space="preserve">considered that most people of </w:t>
      </w:r>
      <w:r w:rsidR="00BE6A01">
        <w:t>Ashkenazi Jewish</w:t>
      </w:r>
      <w:r w:rsidR="00116891">
        <w:t xml:space="preserve"> heritage are aware of their heritage and </w:t>
      </w:r>
      <w:r w:rsidR="00BE6A01">
        <w:t xml:space="preserve">already </w:t>
      </w:r>
      <w:r w:rsidR="00116891">
        <w:t xml:space="preserve">self-identify as being </w:t>
      </w:r>
      <w:r w:rsidR="00BE6A01">
        <w:t>Ashkenazi Jewish, including to access existing privately funded reproductive carrier testing</w:t>
      </w:r>
      <w:r w:rsidR="00116891">
        <w:t>.</w:t>
      </w:r>
      <w:r w:rsidR="00BE6A01">
        <w:t xml:space="preserve"> On balance, MSAC advised that </w:t>
      </w:r>
      <w:r w:rsidR="00DD1C13">
        <w:t xml:space="preserve">it was appropriate that </w:t>
      </w:r>
      <w:r w:rsidR="00BE6A01">
        <w:t xml:space="preserve">‘the patient of reproductive age’ as described in the </w:t>
      </w:r>
      <w:r w:rsidR="00DD1C13">
        <w:t xml:space="preserve">MBS item </w:t>
      </w:r>
      <w:r w:rsidR="00BE6A01">
        <w:t xml:space="preserve">descriptor should be explicitly described as being of Ashkenazi Jewish descent. </w:t>
      </w:r>
    </w:p>
    <w:p w14:paraId="2BE44D6C" w14:textId="23B7C331" w:rsidR="000B5E96" w:rsidRDefault="000B5E96" w:rsidP="000B5E96">
      <w:r>
        <w:t xml:space="preserve">MSAC acknowledged that there are other </w:t>
      </w:r>
      <w:r w:rsidR="00EC680C">
        <w:t xml:space="preserve">specific </w:t>
      </w:r>
      <w:r w:rsidR="00DD2CA7">
        <w:t>populations that have a higher th</w:t>
      </w:r>
      <w:r w:rsidR="00EC680C">
        <w:t>a</w:t>
      </w:r>
      <w:r w:rsidR="00DD2CA7">
        <w:t>n</w:t>
      </w:r>
      <w:r w:rsidR="00EC680C">
        <w:t xml:space="preserve"> general</w:t>
      </w:r>
      <w:r w:rsidR="00DD2CA7">
        <w:t xml:space="preserve"> population-risk for certain severe or life-limiting </w:t>
      </w:r>
      <w:proofErr w:type="gramStart"/>
      <w:r w:rsidR="00DD2CA7">
        <w:t>conditions,</w:t>
      </w:r>
      <w:r>
        <w:t xml:space="preserve"> and</w:t>
      </w:r>
      <w:proofErr w:type="gramEnd"/>
      <w:r>
        <w:t xml:space="preserve"> </w:t>
      </w:r>
      <w:r w:rsidR="00DD1C13">
        <w:t xml:space="preserve">advised it </w:t>
      </w:r>
      <w:r>
        <w:t>would welcome applications for genetic testing in these populations</w:t>
      </w:r>
      <w:r w:rsidR="00F173D1">
        <w:t xml:space="preserve"> providing the increased pre-test </w:t>
      </w:r>
      <w:r w:rsidR="00DD1C13">
        <w:t>risk</w:t>
      </w:r>
      <w:r w:rsidR="00F173D1">
        <w:t xml:space="preserve"> can be adequately defined</w:t>
      </w:r>
      <w:r w:rsidR="00DD1C13">
        <w:t xml:space="preserve"> and evidenced</w:t>
      </w:r>
      <w:r>
        <w:t>.</w:t>
      </w:r>
      <w:r w:rsidR="00DD1C13">
        <w:t xml:space="preserve"> MSAC removed practice note 1 on AAAA, as this reflected the applicant’s initial proposal that the test be generalised across all ethnicities, which the applicant no longer proposed after PASC consideration.</w:t>
      </w:r>
    </w:p>
    <w:p w14:paraId="707AEC45" w14:textId="706EDD92" w:rsidR="000B5E96" w:rsidRDefault="004A757F" w:rsidP="000B5E96">
      <w:r>
        <w:t xml:space="preserve">MSAC noted that the applicant’s </w:t>
      </w:r>
      <w:r w:rsidR="000B5E96">
        <w:t xml:space="preserve">pre-MSAC response agreed </w:t>
      </w:r>
      <w:r w:rsidR="00DD1C13">
        <w:t xml:space="preserve">with ESC’s suggestion </w:t>
      </w:r>
      <w:r w:rsidR="000B5E96">
        <w:t xml:space="preserve">to </w:t>
      </w:r>
      <w:r w:rsidR="000A4AAD">
        <w:t xml:space="preserve">remove “asymptomatic” and </w:t>
      </w:r>
      <w:r w:rsidR="000B5E96">
        <w:t xml:space="preserve">make MBS item AAAA </w:t>
      </w:r>
      <w:r w:rsidR="00DD1C13">
        <w:t xml:space="preserve">also </w:t>
      </w:r>
      <w:r w:rsidR="000B5E96">
        <w:t>available to symptomatic individuals.</w:t>
      </w:r>
      <w:r w:rsidR="00741385">
        <w:t xml:space="preserve"> MSAC </w:t>
      </w:r>
      <w:r w:rsidR="000A4AAD">
        <w:t xml:space="preserve">considered that individuals symptomatic for one </w:t>
      </w:r>
      <w:r w:rsidR="007F437B">
        <w:t xml:space="preserve">or more </w:t>
      </w:r>
      <w:r w:rsidR="000A4AAD">
        <w:t xml:space="preserve">of the listed </w:t>
      </w:r>
      <w:r w:rsidR="007F437B">
        <w:t xml:space="preserve">conditions </w:t>
      </w:r>
      <w:r w:rsidR="000A4AAD">
        <w:t>should not be ineligible to receive reproductive carrier testing</w:t>
      </w:r>
      <w:r w:rsidR="007F437B">
        <w:t xml:space="preserve"> to assess their carrier status for the remaining listed conditions</w:t>
      </w:r>
      <w:r w:rsidR="000A4AAD">
        <w:t xml:space="preserve">, and so </w:t>
      </w:r>
      <w:r w:rsidR="00741385">
        <w:t xml:space="preserve">agreed this </w:t>
      </w:r>
      <w:r w:rsidR="000A4AAD">
        <w:t>was appropriate</w:t>
      </w:r>
      <w:r w:rsidR="008A2CC6">
        <w:t>.</w:t>
      </w:r>
      <w:r w:rsidR="003970E0">
        <w:t xml:space="preserve"> MSAC also considered that reproductive partner testing should be available to the partners of not only individuals who are carriers of the conditions listed in item AAAA, but also the partners of individuals who are affected by one of these conditions. MSAC therefore advised CCCC should be amended to also include the partners of individuals affected by these </w:t>
      </w:r>
      <w:r w:rsidR="00990EBE">
        <w:t>conditions</w:t>
      </w:r>
      <w:r w:rsidR="003970E0">
        <w:t xml:space="preserve">. MSAC noted that the economic and financial analyses had not included </w:t>
      </w:r>
      <w:r w:rsidR="007F220D">
        <w:t xml:space="preserve">the partners of individuals affected by these </w:t>
      </w:r>
      <w:proofErr w:type="gramStart"/>
      <w:r w:rsidR="007F220D">
        <w:t>conditions</w:t>
      </w:r>
      <w:r w:rsidR="003970E0">
        <w:t>, but</w:t>
      </w:r>
      <w:proofErr w:type="gramEnd"/>
      <w:r w:rsidR="003970E0">
        <w:t xml:space="preserve"> considered that the impact would be low.</w:t>
      </w:r>
    </w:p>
    <w:p w14:paraId="36C70136" w14:textId="7C90B169" w:rsidR="000B5E96" w:rsidRDefault="000B5E96" w:rsidP="000B5E96">
      <w:r>
        <w:t xml:space="preserve">MSAC </w:t>
      </w:r>
      <w:r w:rsidR="00DD1C13">
        <w:t xml:space="preserve">noted that </w:t>
      </w:r>
      <w:r w:rsidR="00E40290">
        <w:t xml:space="preserve">the </w:t>
      </w:r>
      <w:r w:rsidR="00DD1C13">
        <w:t xml:space="preserve">AAAA practice note </w:t>
      </w:r>
      <w:r w:rsidR="00DA7B32">
        <w:t>recommended</w:t>
      </w:r>
      <w:r w:rsidR="00DD1C13">
        <w:t xml:space="preserve"> simultaneous testing of </w:t>
      </w:r>
      <w:r w:rsidR="00DA7B32">
        <w:t>any</w:t>
      </w:r>
      <w:r w:rsidR="00DD1C13">
        <w:t xml:space="preserve"> reproductive partners </w:t>
      </w:r>
      <w:r w:rsidR="00DA7B32">
        <w:t xml:space="preserve">not already tested </w:t>
      </w:r>
      <w:r w:rsidR="00DD1C13">
        <w:t xml:space="preserve">where the couple is already </w:t>
      </w:r>
      <w:proofErr w:type="gramStart"/>
      <w:r w:rsidR="00DD1C13">
        <w:t>pregnant, and</w:t>
      </w:r>
      <w:proofErr w:type="gramEnd"/>
      <w:r w:rsidR="00DD1C13">
        <w:t xml:space="preserve"> </w:t>
      </w:r>
      <w:r>
        <w:t xml:space="preserve">considered that simultaneous testing of reproductive partners is appropriate if </w:t>
      </w:r>
      <w:r w:rsidR="007946A7">
        <w:t xml:space="preserve">the reproductive partner </w:t>
      </w:r>
      <w:r>
        <w:t xml:space="preserve">of the </w:t>
      </w:r>
      <w:r w:rsidR="007946A7">
        <w:t xml:space="preserve">identified carrier </w:t>
      </w:r>
      <w:r>
        <w:t xml:space="preserve">is </w:t>
      </w:r>
      <w:r w:rsidR="007946A7">
        <w:t xml:space="preserve">also </w:t>
      </w:r>
      <w:r>
        <w:t>at high risk</w:t>
      </w:r>
      <w:r w:rsidR="007946A7">
        <w:t xml:space="preserve"> (</w:t>
      </w:r>
      <w:r w:rsidR="00CD16BB">
        <w:t>i.e.,</w:t>
      </w:r>
      <w:r w:rsidR="007946A7">
        <w:t xml:space="preserve"> also of Ashkenazi Jewish descent and so also able to access AAAA)</w:t>
      </w:r>
      <w:r>
        <w:t xml:space="preserve">. </w:t>
      </w:r>
    </w:p>
    <w:p w14:paraId="783B1CDA" w14:textId="7ECD949D" w:rsidR="00E40290" w:rsidRPr="003F3928" w:rsidRDefault="00E40290" w:rsidP="000B5E96">
      <w:pPr>
        <w:rPr>
          <w:lang w:val="en-US"/>
        </w:rPr>
      </w:pPr>
      <w:bookmarkStart w:id="5" w:name="_Hlk112681782"/>
      <w:bookmarkStart w:id="6" w:name="_Hlk112937483"/>
      <w:r>
        <w:t>MSAC noted that</w:t>
      </w:r>
      <w:r w:rsidR="005F41E5">
        <w:t xml:space="preserve"> reproductive partners who do not have Ashkenazi Jewish heritage are </w:t>
      </w:r>
      <w:r w:rsidR="00A73E83">
        <w:t>very</w:t>
      </w:r>
      <w:r w:rsidR="005F41E5">
        <w:t xml:space="preserve"> unlikely to carry one of the specific founder variants tested in AAAA. For these</w:t>
      </w:r>
      <w:r>
        <w:t xml:space="preserve"> reproductive partners</w:t>
      </w:r>
      <w:r w:rsidR="008A5A79">
        <w:t>,</w:t>
      </w:r>
      <w:r w:rsidR="008A5A79" w:rsidRPr="008A5A79">
        <w:t xml:space="preserve"> </w:t>
      </w:r>
      <w:r w:rsidR="008A5A79">
        <w:t>CCCC provides sequencing</w:t>
      </w:r>
      <w:r>
        <w:t xml:space="preserve"> </w:t>
      </w:r>
      <w:r w:rsidR="00675C72">
        <w:t>of</w:t>
      </w:r>
      <w:r>
        <w:t xml:space="preserve"> the gene (or genes) in which the</w:t>
      </w:r>
      <w:r w:rsidR="00554591">
        <w:t>ir</w:t>
      </w:r>
      <w:r>
        <w:t xml:space="preserve"> Ashkenazi Jewish reproductive partner has been found to have a variant (or variants). MSAC </w:t>
      </w:r>
      <w:r w:rsidR="005F41E5">
        <w:t xml:space="preserve">further </w:t>
      </w:r>
      <w:r>
        <w:t xml:space="preserve">noted that reproductive carrier testing for CF, SMA and FXS </w:t>
      </w:r>
      <w:r w:rsidR="00290A7E">
        <w:t>will in future</w:t>
      </w:r>
      <w:r w:rsidR="00554591">
        <w:t xml:space="preserve"> </w:t>
      </w:r>
      <w:r>
        <w:t>be available under the items supported under application 1573</w:t>
      </w:r>
      <w:r w:rsidR="0008211A">
        <w:t>,</w:t>
      </w:r>
      <w:r>
        <w:t xml:space="preserve"> </w:t>
      </w:r>
      <w:r w:rsidR="0008211A">
        <w:t>which will be high</w:t>
      </w:r>
      <w:r w:rsidR="006C2D28">
        <w:t>er</w:t>
      </w:r>
      <w:r w:rsidR="0008211A">
        <w:t xml:space="preserve"> volume</w:t>
      </w:r>
      <w:r w:rsidR="008D1007">
        <w:t xml:space="preserve"> and cheaper</w:t>
      </w:r>
      <w:r w:rsidR="0008211A">
        <w:t xml:space="preserve"> testing. MSAC considered that </w:t>
      </w:r>
      <w:r w:rsidR="00D3511B">
        <w:t>where the Ashkenazi Jewish partner has a</w:t>
      </w:r>
      <w:r w:rsidR="0008211A">
        <w:t xml:space="preserve"> </w:t>
      </w:r>
      <w:r w:rsidR="00D3511B">
        <w:t xml:space="preserve">CF/SMA/FXS variant, it </w:t>
      </w:r>
      <w:r w:rsidR="0008211A">
        <w:t xml:space="preserve">would </w:t>
      </w:r>
      <w:r w:rsidR="006C2D28">
        <w:t xml:space="preserve">therefore </w:t>
      </w:r>
      <w:r w:rsidR="0008211A">
        <w:t xml:space="preserve">be more cost-effective </w:t>
      </w:r>
      <w:r w:rsidR="00D3511B">
        <w:t xml:space="preserve">to </w:t>
      </w:r>
      <w:r w:rsidR="00914B60">
        <w:t xml:space="preserve">provide reproductive partner testing under the items supported in 1573 </w:t>
      </w:r>
      <w:r w:rsidR="00D3511B">
        <w:t>than</w:t>
      </w:r>
      <w:r w:rsidR="00914B60">
        <w:t xml:space="preserve"> whole gene sequencing under</w:t>
      </w:r>
      <w:r w:rsidR="00D3511B">
        <w:t xml:space="preserve"> </w:t>
      </w:r>
      <w:proofErr w:type="gramStart"/>
      <w:r w:rsidR="00D3511B">
        <w:t>CCCC</w:t>
      </w:r>
      <w:r w:rsidR="0008211A">
        <w:t>, and</w:t>
      </w:r>
      <w:proofErr w:type="gramEnd"/>
      <w:r w:rsidR="0008211A">
        <w:t xml:space="preserve"> advised that testing </w:t>
      </w:r>
      <w:r w:rsidR="006C2D28">
        <w:t>for</w:t>
      </w:r>
      <w:r w:rsidR="0008211A">
        <w:t xml:space="preserve"> </w:t>
      </w:r>
      <w:r w:rsidR="006C2D28">
        <w:t xml:space="preserve">the reproductive partners of </w:t>
      </w:r>
      <w:r w:rsidR="00D3511B">
        <w:t xml:space="preserve">Ashkenazi Jewish </w:t>
      </w:r>
      <w:r w:rsidR="002E323B">
        <w:t xml:space="preserve">individuals affected by or </w:t>
      </w:r>
      <w:r w:rsidR="00D3511B">
        <w:t xml:space="preserve">carriers of </w:t>
      </w:r>
      <w:r w:rsidR="0008211A">
        <w:t xml:space="preserve">CF/SMA/FXS </w:t>
      </w:r>
      <w:r w:rsidR="002E323B">
        <w:t xml:space="preserve">variants </w:t>
      </w:r>
      <w:r w:rsidR="0008211A">
        <w:t xml:space="preserve">should be done under 1573 items and not </w:t>
      </w:r>
      <w:r w:rsidR="00D3511B">
        <w:t xml:space="preserve">under </w:t>
      </w:r>
      <w:r w:rsidR="0008211A">
        <w:t xml:space="preserve">CCCC. MSAC </w:t>
      </w:r>
      <w:r>
        <w:t xml:space="preserve">advised that </w:t>
      </w:r>
      <w:r w:rsidR="00D3511B">
        <w:t xml:space="preserve">the </w:t>
      </w:r>
      <w:r>
        <w:t>reproductive partner</w:t>
      </w:r>
      <w:bookmarkStart w:id="7" w:name="_Hlk112682009"/>
      <w:r w:rsidR="00D3511B">
        <w:t>s</w:t>
      </w:r>
      <w:r w:rsidR="0008211A">
        <w:t xml:space="preserve"> </w:t>
      </w:r>
      <w:r w:rsidR="006C2D28">
        <w:t xml:space="preserve">of </w:t>
      </w:r>
      <w:r w:rsidR="00D3511B">
        <w:t xml:space="preserve">Ashkenazi Jewish </w:t>
      </w:r>
      <w:r w:rsidR="002E323B">
        <w:t xml:space="preserve">individuals affected </w:t>
      </w:r>
      <w:proofErr w:type="gramStart"/>
      <w:r w:rsidR="002E323B">
        <w:t>by</w:t>
      </w:r>
      <w:proofErr w:type="gramEnd"/>
      <w:r w:rsidR="002E323B">
        <w:t xml:space="preserve"> or </w:t>
      </w:r>
      <w:r w:rsidR="006C2D28">
        <w:t xml:space="preserve">carriers of </w:t>
      </w:r>
      <w:r w:rsidR="00D3511B">
        <w:t>the remaining</w:t>
      </w:r>
      <w:r w:rsidR="0008211A">
        <w:t xml:space="preserve"> </w:t>
      </w:r>
      <w:r w:rsidR="00D3511B">
        <w:t>conditions described in item AAAA</w:t>
      </w:r>
      <w:r w:rsidR="0008211A">
        <w:t xml:space="preserve"> </w:t>
      </w:r>
      <w:r w:rsidR="00554591">
        <w:t xml:space="preserve">should </w:t>
      </w:r>
      <w:r w:rsidR="00DB43E7">
        <w:t>remain</w:t>
      </w:r>
      <w:r w:rsidR="00554591">
        <w:t xml:space="preserve"> eligible for</w:t>
      </w:r>
      <w:r>
        <w:t xml:space="preserve"> </w:t>
      </w:r>
      <w:r w:rsidR="00D3511B">
        <w:t xml:space="preserve">both </w:t>
      </w:r>
      <w:r w:rsidR="0004073E">
        <w:t>gene sequencing</w:t>
      </w:r>
      <w:r>
        <w:t xml:space="preserve"> under CCCC and </w:t>
      </w:r>
      <w:r w:rsidR="00554591">
        <w:t>carrier test</w:t>
      </w:r>
      <w:r w:rsidR="00675C72">
        <w:t>ing</w:t>
      </w:r>
      <w:r w:rsidR="00554591">
        <w:t xml:space="preserve"> under </w:t>
      </w:r>
      <w:r w:rsidR="00805366">
        <w:t xml:space="preserve">the </w:t>
      </w:r>
      <w:r>
        <w:t>1573</w:t>
      </w:r>
      <w:r w:rsidR="00554591">
        <w:t xml:space="preserve"> </w:t>
      </w:r>
      <w:bookmarkEnd w:id="7"/>
      <w:r w:rsidR="00805366">
        <w:t>items</w:t>
      </w:r>
      <w:bookmarkEnd w:id="5"/>
      <w:r w:rsidR="00FC7880">
        <w:t xml:space="preserve">. </w:t>
      </w:r>
      <w:bookmarkStart w:id="8" w:name="_Hlk112939280"/>
      <w:r w:rsidR="00FC7880">
        <w:t xml:space="preserve">MSAC noted the </w:t>
      </w:r>
      <w:r w:rsidR="00E736D8">
        <w:t>assessment</w:t>
      </w:r>
      <w:r w:rsidR="00FC7880">
        <w:t xml:space="preserve"> had assumed reproductive partner testing under CCCC would replace services under 1573 items</w:t>
      </w:r>
      <w:r w:rsidR="00D3511B">
        <w:t xml:space="preserve"> for </w:t>
      </w:r>
      <w:bookmarkEnd w:id="8"/>
      <w:r w:rsidR="003D358B">
        <w:t xml:space="preserve">all conditions on the panel, </w:t>
      </w:r>
      <w:r w:rsidR="00E736D8">
        <w:t xml:space="preserve">so the financial </w:t>
      </w:r>
      <w:r w:rsidR="001A26DE">
        <w:t xml:space="preserve">analysis </w:t>
      </w:r>
      <w:r w:rsidR="001A26DE" w:rsidRPr="001A26DE">
        <w:rPr>
          <w:lang w:val="en-US"/>
        </w:rPr>
        <w:t>will have overestimated the cost of CCCC services and overestimated the offset from 1573 services replaced</w:t>
      </w:r>
      <w:r w:rsidR="000A37C0">
        <w:t>.</w:t>
      </w:r>
      <w:bookmarkEnd w:id="6"/>
    </w:p>
    <w:p w14:paraId="0B864F0F" w14:textId="2BA3DA7E" w:rsidR="000B5E96" w:rsidRDefault="000B5E96" w:rsidP="000B5E96">
      <w:r>
        <w:lastRenderedPageBreak/>
        <w:t xml:space="preserve">MSAC noted the application </w:t>
      </w:r>
      <w:r w:rsidR="006C13D4">
        <w:t xml:space="preserve">proposed </w:t>
      </w:r>
      <w:r>
        <w:t>MBS item EEEE for re-analysis</w:t>
      </w:r>
      <w:r w:rsidR="00DD2CA7">
        <w:t xml:space="preserve"> of the initial </w:t>
      </w:r>
      <w:proofErr w:type="gramStart"/>
      <w:r w:rsidR="00DD1C13">
        <w:t>results</w:t>
      </w:r>
      <w:r w:rsidR="007F437B">
        <w:t>,</w:t>
      </w:r>
      <w:r>
        <w:t xml:space="preserve"> </w:t>
      </w:r>
      <w:r w:rsidR="007F437B">
        <w:t>and</w:t>
      </w:r>
      <w:proofErr w:type="gramEnd"/>
      <w:r>
        <w:t xml:space="preserve"> </w:t>
      </w:r>
      <w:r w:rsidR="00DD1C13">
        <w:t xml:space="preserve">recalled that it had previously supported re-analysis for “previously unreported </w:t>
      </w:r>
      <w:r w:rsidR="000A4AAD">
        <w:t xml:space="preserve">germline </w:t>
      </w:r>
      <w:r w:rsidR="00DD1C13">
        <w:t>variants” (</w:t>
      </w:r>
      <w:r w:rsidR="00CD16BB">
        <w:t>e.g.,</w:t>
      </w:r>
      <w:r w:rsidR="00DD1C13">
        <w:t xml:space="preserve"> MBS item 73360)</w:t>
      </w:r>
      <w:r w:rsidR="000A4AAD">
        <w:t xml:space="preserve"> in the context of exome/genome sequencing</w:t>
      </w:r>
      <w:r w:rsidR="00DD1C13">
        <w:t>. MSAC</w:t>
      </w:r>
      <w:r>
        <w:t xml:space="preserve"> </w:t>
      </w:r>
      <w:r w:rsidR="000A4AAD">
        <w:t xml:space="preserve">advised </w:t>
      </w:r>
      <w:r w:rsidR="00DD1C13">
        <w:t>re-analysis</w:t>
      </w:r>
      <w:r>
        <w:t xml:space="preserve"> </w:t>
      </w:r>
      <w:r w:rsidR="00DD1C13">
        <w:t>was not</w:t>
      </w:r>
      <w:r>
        <w:t xml:space="preserve"> </w:t>
      </w:r>
      <w:r w:rsidR="000A4AAD">
        <w:t xml:space="preserve">appropriate </w:t>
      </w:r>
      <w:r w:rsidR="00DD1C13">
        <w:t>for this testing</w:t>
      </w:r>
      <w:r w:rsidR="00E71473">
        <w:t xml:space="preserve"> as, although the items are method</w:t>
      </w:r>
      <w:r w:rsidR="00421C93">
        <w:t>-</w:t>
      </w:r>
      <w:r w:rsidR="00E71473">
        <w:t xml:space="preserve">agnostic, in line with current clinical practice and the proposed schedule fees it is unlikely they will be used for exome/genome sequencing. </w:t>
      </w:r>
      <w:proofErr w:type="gramStart"/>
      <w:r w:rsidR="00E71473">
        <w:t>Therefore</w:t>
      </w:r>
      <w:proofErr w:type="gramEnd"/>
      <w:r w:rsidR="00DD1C13">
        <w:t xml:space="preserve"> all tested variants would be reported </w:t>
      </w:r>
      <w:r w:rsidR="000A4AAD">
        <w:t>upfront</w:t>
      </w:r>
      <w:r w:rsidR="00DD1C13">
        <w:t xml:space="preserve"> and no unreported variants would remain for potential future re-analysis</w:t>
      </w:r>
      <w:r>
        <w:t>.</w:t>
      </w:r>
    </w:p>
    <w:p w14:paraId="3A93AF24" w14:textId="52340640" w:rsidR="000B5E96" w:rsidRDefault="000B5E96" w:rsidP="000B5E96">
      <w:r>
        <w:t xml:space="preserve">MSAC noted </w:t>
      </w:r>
      <w:r w:rsidR="00A44A79">
        <w:t>AAAA was proposed to be requestable “</w:t>
      </w:r>
      <w:r w:rsidR="00A44A79" w:rsidRPr="00A44A79">
        <w:t>by or on behalf of a medical practitioner who manages the treatment of the patient</w:t>
      </w:r>
      <w:r w:rsidR="00A44A79">
        <w:t>”,</w:t>
      </w:r>
      <w:r w:rsidR="00111F82">
        <w:t xml:space="preserve"> and</w:t>
      </w:r>
      <w:r w:rsidR="00A44A79">
        <w:t xml:space="preserve"> CCCC “</w:t>
      </w:r>
      <w:r w:rsidR="00A44A79" w:rsidRPr="00A44A79">
        <w:t>by or on behalf of a specialist or consultant physician who manages the treatment of the patient</w:t>
      </w:r>
      <w:r w:rsidR="00A44A79">
        <w:t>”</w:t>
      </w:r>
      <w:r w:rsidR="000C29B1">
        <w:t xml:space="preserve">. </w:t>
      </w:r>
      <w:r w:rsidR="0086382A">
        <w:t xml:space="preserve">MSAC considered that appropriate requestors for reproductive carrier testing include general practitioners, so restriction </w:t>
      </w:r>
      <w:r w:rsidR="00111F82">
        <w:t xml:space="preserve">of CCCC </w:t>
      </w:r>
      <w:r w:rsidR="0086382A">
        <w:t xml:space="preserve">to a specialist was not appropriate. </w:t>
      </w:r>
      <w:r w:rsidR="00E71473">
        <w:t xml:space="preserve">Consistent with this advice, </w:t>
      </w:r>
      <w:r w:rsidR="0086382A">
        <w:t xml:space="preserve">MSAC </w:t>
      </w:r>
      <w:r w:rsidR="00E71473">
        <w:t xml:space="preserve">also </w:t>
      </w:r>
      <w:r w:rsidR="0086382A">
        <w:t xml:space="preserve">recalled </w:t>
      </w:r>
      <w:r w:rsidR="00E71473">
        <w:t xml:space="preserve">that for </w:t>
      </w:r>
      <w:r w:rsidR="0086382A">
        <w:t xml:space="preserve">reproductive carrier testing </w:t>
      </w:r>
      <w:r w:rsidR="00E71473">
        <w:t>supported</w:t>
      </w:r>
      <w:r w:rsidR="0086382A">
        <w:t xml:space="preserve"> under application 1573 it had supported </w:t>
      </w:r>
      <w:r w:rsidR="00E71473">
        <w:t xml:space="preserve">referrals by </w:t>
      </w:r>
      <w:r w:rsidR="0086382A">
        <w:t>medical practitioner</w:t>
      </w:r>
      <w:r w:rsidR="00111F82">
        <w:t>s without restriction</w:t>
      </w:r>
      <w:r w:rsidR="00E71473">
        <w:t>.</w:t>
      </w:r>
      <w:r w:rsidR="00A44A79">
        <w:t xml:space="preserve"> </w:t>
      </w:r>
      <w:r w:rsidR="00111F82">
        <w:t xml:space="preserve">MSAC noted that </w:t>
      </w:r>
      <w:r w:rsidR="00A44A79">
        <w:t xml:space="preserve">GGGG </w:t>
      </w:r>
      <w:r w:rsidR="00111F82">
        <w:t xml:space="preserve">was proposed to be requestable </w:t>
      </w:r>
      <w:r w:rsidR="00A44A79">
        <w:t>“</w:t>
      </w:r>
      <w:r w:rsidR="00A44A79" w:rsidRPr="000A323C">
        <w:t>by a consultant physician practising as a clinical geneticist</w:t>
      </w:r>
      <w:r w:rsidR="00A44A79">
        <w:t xml:space="preserve">”. MSAC considered that </w:t>
      </w:r>
      <w:r>
        <w:t xml:space="preserve">the usual requestors for </w:t>
      </w:r>
      <w:proofErr w:type="spellStart"/>
      <w:r w:rsidR="00A44A79">
        <w:t>fetal</w:t>
      </w:r>
      <w:proofErr w:type="spellEnd"/>
      <w:r w:rsidR="00E03637">
        <w:t xml:space="preserve"> </w:t>
      </w:r>
      <w:r>
        <w:t>testing are clinical geneticists, matern</w:t>
      </w:r>
      <w:r w:rsidR="00DD2CA7">
        <w:t>al</w:t>
      </w:r>
      <w:r>
        <w:t>-</w:t>
      </w:r>
      <w:proofErr w:type="spellStart"/>
      <w:r>
        <w:t>fetal</w:t>
      </w:r>
      <w:proofErr w:type="spellEnd"/>
      <w:r>
        <w:t xml:space="preserve"> medicine specialists and obstetricians, </w:t>
      </w:r>
      <w:r w:rsidR="00A44A79">
        <w:t>and advised</w:t>
      </w:r>
      <w:r>
        <w:t xml:space="preserve"> </w:t>
      </w:r>
      <w:r w:rsidR="00A44A79">
        <w:t xml:space="preserve">GGGG should be requestable by </w:t>
      </w:r>
      <w:r w:rsidR="004D5F63">
        <w:t>specialist or consultant physician</w:t>
      </w:r>
      <w:r w:rsidR="00BF0481">
        <w:t>s</w:t>
      </w:r>
      <w:r>
        <w:t>.</w:t>
      </w:r>
    </w:p>
    <w:p w14:paraId="5260BF7F" w14:textId="12B29996" w:rsidR="00805366" w:rsidRDefault="0026403E" w:rsidP="000B5E96">
      <w:r>
        <w:t xml:space="preserve">MSAC noted that the proposed GGGG item descriptor stated that “the pregnancy is a singleton pregnancy” but </w:t>
      </w:r>
      <w:r w:rsidR="000B5E96">
        <w:t xml:space="preserve">considered MBS item GGGG should </w:t>
      </w:r>
      <w:r w:rsidR="00E03637">
        <w:t>be eligible in</w:t>
      </w:r>
      <w:r w:rsidR="000B5E96">
        <w:t xml:space="preserve"> pregnancies</w:t>
      </w:r>
      <w:r w:rsidR="00E03637">
        <w:t xml:space="preserve"> with more than one </w:t>
      </w:r>
      <w:proofErr w:type="spellStart"/>
      <w:r w:rsidR="00E03637">
        <w:t>fetus</w:t>
      </w:r>
      <w:proofErr w:type="spellEnd"/>
      <w:r w:rsidR="000B5E96">
        <w:t>, as this is routine clinical practice.</w:t>
      </w:r>
      <w:r w:rsidR="000C4A97">
        <w:t xml:space="preserve"> MSAC advised that in the case of multiple pregnancies, it intended </w:t>
      </w:r>
      <w:proofErr w:type="spellStart"/>
      <w:r w:rsidR="000C4A97">
        <w:t>fetal</w:t>
      </w:r>
      <w:proofErr w:type="spellEnd"/>
      <w:r w:rsidR="000C4A97">
        <w:t xml:space="preserve"> testing to be billed on a per </w:t>
      </w:r>
      <w:proofErr w:type="spellStart"/>
      <w:r w:rsidR="000C4A97">
        <w:t>fetus</w:t>
      </w:r>
      <w:proofErr w:type="spellEnd"/>
      <w:r w:rsidR="000C4A97">
        <w:t xml:space="preserve"> basis.</w:t>
      </w:r>
      <w:r w:rsidR="003F3AE5">
        <w:t xml:space="preserve"> MSAC noted th</w:t>
      </w:r>
      <w:r w:rsidR="00960284">
        <w:t xml:space="preserve">at billing per </w:t>
      </w:r>
      <w:proofErr w:type="spellStart"/>
      <w:r w:rsidR="00960284">
        <w:t>fetus</w:t>
      </w:r>
      <w:proofErr w:type="spellEnd"/>
      <w:r w:rsidR="00960284">
        <w:t xml:space="preserve"> for</w:t>
      </w:r>
      <w:r w:rsidR="003F3AE5">
        <w:t xml:space="preserve"> multiple pregnancies was not included in the </w:t>
      </w:r>
      <w:r w:rsidR="00A73E83">
        <w:t xml:space="preserve">economic or </w:t>
      </w:r>
      <w:r w:rsidR="003F3AE5">
        <w:t xml:space="preserve">financial </w:t>
      </w:r>
      <w:proofErr w:type="gramStart"/>
      <w:r w:rsidR="003F3AE5">
        <w:t>analyses, but</w:t>
      </w:r>
      <w:proofErr w:type="gramEnd"/>
      <w:r w:rsidR="003F3AE5">
        <w:t xml:space="preserve"> considered the impact would be</w:t>
      </w:r>
      <w:r w:rsidR="00805366">
        <w:t xml:space="preserve"> low.</w:t>
      </w:r>
      <w:bookmarkStart w:id="9" w:name="_Hlk112680832"/>
    </w:p>
    <w:p w14:paraId="4EB2D6DD" w14:textId="7CC1D0D3" w:rsidR="000B5E96" w:rsidRDefault="000B5E96" w:rsidP="000B5E96">
      <w:bookmarkStart w:id="10" w:name="_Hlk112831469"/>
      <w:r>
        <w:t xml:space="preserve">MSAC noted that </w:t>
      </w:r>
      <w:r w:rsidR="000C4A97">
        <w:t>item GGGG was proposed to be available “</w:t>
      </w:r>
      <w:r w:rsidR="000C4A97" w:rsidRPr="000C4A97">
        <w:t>where both prospective parents are known to be affected by or carriers of autosomal recessive variants or one parent is known to be affected by or a carrier of an X-linked pathogenic variant/s</w:t>
      </w:r>
      <w:r w:rsidR="000C4A97">
        <w:t xml:space="preserve">”. MSAC considered that </w:t>
      </w:r>
      <w:r w:rsidR="00897A01">
        <w:t>usually</w:t>
      </w:r>
      <w:r w:rsidR="000C4A97">
        <w:t xml:space="preserve"> both parents’ genotypes </w:t>
      </w:r>
      <w:r w:rsidR="00897A01">
        <w:t>are</w:t>
      </w:r>
      <w:r w:rsidR="000C4A97">
        <w:t xml:space="preserve"> known, but </w:t>
      </w:r>
      <w:r>
        <w:t>where one parent</w:t>
      </w:r>
      <w:r w:rsidR="00897A01">
        <w:t xml:space="preserve"> is a</w:t>
      </w:r>
      <w:r w:rsidR="00D878DE">
        <w:t>ffected or a</w:t>
      </w:r>
      <w:r>
        <w:t xml:space="preserve"> carrier </w:t>
      </w:r>
      <w:r w:rsidR="00897A01">
        <w:t>and the other</w:t>
      </w:r>
      <w:r w:rsidR="000C4A97">
        <w:t xml:space="preserve"> parent is unavailable</w:t>
      </w:r>
      <w:r w:rsidR="0032097E">
        <w:t xml:space="preserve"> </w:t>
      </w:r>
      <w:r w:rsidR="00897A01">
        <w:t xml:space="preserve">for </w:t>
      </w:r>
      <w:r w:rsidR="0032097E">
        <w:t>testing</w:t>
      </w:r>
      <w:r w:rsidR="00990EBE">
        <w:t>,</w:t>
      </w:r>
      <w:r>
        <w:t xml:space="preserve"> </w:t>
      </w:r>
      <w:r w:rsidR="00990EBE">
        <w:t xml:space="preserve">the treating practitioner and provider </w:t>
      </w:r>
      <w:r w:rsidR="003327AA">
        <w:t xml:space="preserve">together with the patient </w:t>
      </w:r>
      <w:r w:rsidR="00990EBE">
        <w:t>may decide t</w:t>
      </w:r>
      <w:r>
        <w:t xml:space="preserve">o pursue </w:t>
      </w:r>
      <w:proofErr w:type="spellStart"/>
      <w:r w:rsidR="00897A01">
        <w:t>fetal</w:t>
      </w:r>
      <w:proofErr w:type="spellEnd"/>
      <w:r>
        <w:t xml:space="preserve"> testing</w:t>
      </w:r>
      <w:r w:rsidR="00990EBE">
        <w:t xml:space="preserve"> based on</w:t>
      </w:r>
      <w:r>
        <w:t xml:space="preserve"> the </w:t>
      </w:r>
      <w:r w:rsidR="003327AA">
        <w:t xml:space="preserve">patient’s </w:t>
      </w:r>
      <w:r>
        <w:t xml:space="preserve">circumstances. </w:t>
      </w:r>
      <w:r w:rsidR="000C4A97">
        <w:t xml:space="preserve">MSAC </w:t>
      </w:r>
      <w:r w:rsidR="00AD7AC0">
        <w:t xml:space="preserve">therefore </w:t>
      </w:r>
      <w:r w:rsidR="000C4A97">
        <w:t>advised that GGGG should not</w:t>
      </w:r>
      <w:r w:rsidR="00BD5A9A">
        <w:t xml:space="preserve"> necessarily</w:t>
      </w:r>
      <w:r w:rsidR="000C4A97">
        <w:t xml:space="preserve"> require both parents</w:t>
      </w:r>
      <w:r w:rsidR="00E40290">
        <w:t>’</w:t>
      </w:r>
      <w:r w:rsidR="000C4A97">
        <w:t xml:space="preserve"> genotypes be known beforehand</w:t>
      </w:r>
      <w:r w:rsidR="008B3B83">
        <w:t xml:space="preserve"> for autosomal recessive variants</w:t>
      </w:r>
      <w:r w:rsidR="00CD16BB">
        <w:t>.</w:t>
      </w:r>
      <w:bookmarkEnd w:id="9"/>
      <w:r w:rsidR="00006196">
        <w:t xml:space="preserve"> </w:t>
      </w:r>
      <w:bookmarkStart w:id="11" w:name="_Hlk112740784"/>
      <w:r w:rsidR="00006196">
        <w:t>MSAC considered that its expansion of</w:t>
      </w:r>
      <w:r w:rsidR="00990EBE">
        <w:t xml:space="preserve"> item GGGG to</w:t>
      </w:r>
      <w:r w:rsidR="004A5FCB">
        <w:t xml:space="preserve"> include where </w:t>
      </w:r>
      <w:r w:rsidR="00990EBE">
        <w:t xml:space="preserve">only </w:t>
      </w:r>
      <w:r w:rsidR="004A5FCB">
        <w:t xml:space="preserve">one parent’s genotype is known </w:t>
      </w:r>
      <w:r w:rsidR="00990EBE">
        <w:t>is</w:t>
      </w:r>
      <w:r w:rsidR="00006196">
        <w:t xml:space="preserve"> clinically appropriate and would likely have minimal overall impact to the</w:t>
      </w:r>
      <w:r w:rsidR="00990EBE">
        <w:t xml:space="preserve"> economic and</w:t>
      </w:r>
      <w:r w:rsidR="00006196">
        <w:t xml:space="preserve"> financial analyses.</w:t>
      </w:r>
      <w:bookmarkEnd w:id="11"/>
    </w:p>
    <w:p w14:paraId="3DE9AD82" w14:textId="23B93364" w:rsidR="000B5E96" w:rsidRDefault="000B5E96" w:rsidP="000B5E96">
      <w:bookmarkStart w:id="12" w:name="_Hlk114651403"/>
      <w:bookmarkEnd w:id="10"/>
      <w:r>
        <w:t xml:space="preserve">MSAC </w:t>
      </w:r>
      <w:r w:rsidR="006C13D4">
        <w:t xml:space="preserve">considered </w:t>
      </w:r>
      <w:r w:rsidR="00871891">
        <w:t>that</w:t>
      </w:r>
      <w:r w:rsidR="006C13D4">
        <w:t xml:space="preserve"> the cost for laboratories to test only a </w:t>
      </w:r>
      <w:r w:rsidR="00871891">
        <w:t>small pre-</w:t>
      </w:r>
      <w:r w:rsidR="006C13D4">
        <w:t>defined set of single nucleotide polymorphisms (SNPs) would be small</w:t>
      </w:r>
      <w:r w:rsidR="00871891">
        <w:t xml:space="preserve">, and </w:t>
      </w:r>
      <w:r w:rsidR="006C13D4">
        <w:t xml:space="preserve">agreed it was appropriate that AAAA had a </w:t>
      </w:r>
      <w:r w:rsidR="00871891">
        <w:t xml:space="preserve">proposed </w:t>
      </w:r>
      <w:r w:rsidR="006C13D4">
        <w:t xml:space="preserve">fee only a small amount greater than the CF/SMA/FXS testing, which has a fee of $400, and accepted the applicant’s proposed fee of $425 for AAAA. </w:t>
      </w:r>
      <w:bookmarkEnd w:id="12"/>
      <w:r w:rsidR="006C13D4">
        <w:t xml:space="preserve">MSAC considered that the proposed fee of $1200 for testing non-Ashkenazi Jewish reproductive partners </w:t>
      </w:r>
      <w:r w:rsidR="00DA7B32">
        <w:t xml:space="preserve">under CCCC </w:t>
      </w:r>
      <w:r w:rsidR="006C13D4">
        <w:t xml:space="preserve">is appropriate given </w:t>
      </w:r>
      <w:r w:rsidR="00CB05F1">
        <w:t xml:space="preserve">the test provided under AAAA would not be suitable for non-Ashkenazi Jewish partners, and so </w:t>
      </w:r>
      <w:r w:rsidR="006C13D4">
        <w:t xml:space="preserve">the </w:t>
      </w:r>
      <w:r w:rsidR="00871891">
        <w:t xml:space="preserve">test </w:t>
      </w:r>
      <w:r w:rsidR="006C13D4">
        <w:t>require</w:t>
      </w:r>
      <w:r w:rsidR="00CB05F1">
        <w:t>s</w:t>
      </w:r>
      <w:r w:rsidR="006C13D4">
        <w:t xml:space="preserve"> sequencing of the whole of the gene (or genes) in which the Ashkenazi Jewish reproductive partner is a known carrier. MSAC </w:t>
      </w:r>
      <w:r w:rsidR="00CB05F1">
        <w:t xml:space="preserve">therefore </w:t>
      </w:r>
      <w:r w:rsidR="006C13D4">
        <w:t xml:space="preserve">advised it supported a fee of $1200 </w:t>
      </w:r>
      <w:r w:rsidR="00DA7B32">
        <w:t>for CCCC</w:t>
      </w:r>
      <w:r w:rsidR="006C13D4">
        <w:t xml:space="preserve"> in line with its previously supported fees for </w:t>
      </w:r>
      <w:r w:rsidR="00DA7B32">
        <w:t>gene sequencing in reproductive partners</w:t>
      </w:r>
      <w:r w:rsidR="006C13D4">
        <w:t>. MSAC agreed with ESC</w:t>
      </w:r>
      <w:r w:rsidR="00871891">
        <w:t xml:space="preserve"> and the applicant in the pre-MSAC response</w:t>
      </w:r>
      <w:r w:rsidR="006C13D4">
        <w:t xml:space="preserve"> that a </w:t>
      </w:r>
      <w:r>
        <w:t>fee</w:t>
      </w:r>
      <w:r w:rsidR="006C13D4">
        <w:t xml:space="preserve"> of $100 was </w:t>
      </w:r>
      <w:r w:rsidR="00871891">
        <w:t xml:space="preserve">much </w:t>
      </w:r>
      <w:r w:rsidR="006C13D4">
        <w:t>to</w:t>
      </w:r>
      <w:r w:rsidR="00DA7B32">
        <w:t>o</w:t>
      </w:r>
      <w:r w:rsidR="006C13D4">
        <w:t xml:space="preserve"> low</w:t>
      </w:r>
      <w:r>
        <w:t xml:space="preserve"> </w:t>
      </w:r>
      <w:r w:rsidR="00871891">
        <w:t xml:space="preserve">to cover the cost of </w:t>
      </w:r>
      <w:proofErr w:type="spellStart"/>
      <w:r w:rsidR="00DA7B32">
        <w:t>fetal</w:t>
      </w:r>
      <w:proofErr w:type="spellEnd"/>
      <w:r w:rsidR="00DA7B32">
        <w:t xml:space="preserve"> testing under </w:t>
      </w:r>
      <w:r>
        <w:t>GGGG.</w:t>
      </w:r>
      <w:r w:rsidR="006C13D4">
        <w:t xml:space="preserve"> MSAC advised it supported a fee of $1600 for GGGG, in line with </w:t>
      </w:r>
      <w:r w:rsidR="00DA7B32">
        <w:t>its previously supported fees</w:t>
      </w:r>
      <w:r>
        <w:t xml:space="preserve"> </w:t>
      </w:r>
      <w:r w:rsidR="00DA7B32">
        <w:t xml:space="preserve">for variant-specific </w:t>
      </w:r>
      <w:proofErr w:type="spellStart"/>
      <w:r w:rsidR="00DA7B32">
        <w:t>fetal</w:t>
      </w:r>
      <w:proofErr w:type="spellEnd"/>
      <w:r w:rsidR="00DA7B32">
        <w:t xml:space="preserve"> testing (1585 CCCC).</w:t>
      </w:r>
    </w:p>
    <w:p w14:paraId="48B22A2B" w14:textId="16CA925E" w:rsidR="000B5E96" w:rsidRDefault="000B5E96" w:rsidP="000B5E96">
      <w:r>
        <w:t xml:space="preserve">MSAC </w:t>
      </w:r>
      <w:r w:rsidR="00DA7B32">
        <w:t xml:space="preserve">noted the PICO and economic analysis had restricted the population of couples and </w:t>
      </w:r>
      <w:proofErr w:type="spellStart"/>
      <w:r w:rsidR="00DA7B32">
        <w:t>fetal</w:t>
      </w:r>
      <w:proofErr w:type="spellEnd"/>
      <w:r w:rsidR="00DA7B32">
        <w:t xml:space="preserve"> testing to pregnancies in the first trimester. MSAC </w:t>
      </w:r>
      <w:r>
        <w:t xml:space="preserve">considered it </w:t>
      </w:r>
      <w:r w:rsidR="00DA7B32">
        <w:t xml:space="preserve">would be </w:t>
      </w:r>
      <w:r>
        <w:t xml:space="preserve">inappropriate to </w:t>
      </w:r>
      <w:r w:rsidR="00DA7B32">
        <w:lastRenderedPageBreak/>
        <w:t xml:space="preserve">impose </w:t>
      </w:r>
      <w:r>
        <w:t>gestational age limits because there is variation across Australia in laws</w:t>
      </w:r>
      <w:r w:rsidR="00DD2CA7">
        <w:t xml:space="preserve"> relating to</w:t>
      </w:r>
      <w:r w:rsidR="00DD2CA7" w:rsidRPr="00DD2CA7">
        <w:t xml:space="preserve"> </w:t>
      </w:r>
      <w:r w:rsidR="00DD2CA7">
        <w:t>termination of pregnancy</w:t>
      </w:r>
      <w:r w:rsidR="00607E0B">
        <w:t>.</w:t>
      </w:r>
      <w:r>
        <w:t xml:space="preserve"> </w:t>
      </w:r>
      <w:r w:rsidR="00607E0B">
        <w:t xml:space="preserve">MSAC noted that </w:t>
      </w:r>
      <w:r w:rsidR="00EF3646" w:rsidRPr="001A509C">
        <w:t xml:space="preserve">many tests are done by amniocentesis in </w:t>
      </w:r>
      <w:r w:rsidR="00EF3646">
        <w:t xml:space="preserve">the </w:t>
      </w:r>
      <w:r w:rsidR="00EF3646" w:rsidRPr="001A509C">
        <w:t>second trimester</w:t>
      </w:r>
      <w:r w:rsidR="00EF3646">
        <w:t xml:space="preserve"> and </w:t>
      </w:r>
      <w:r w:rsidR="00607E0B">
        <w:t>considered that a restriction based on gestation</w:t>
      </w:r>
      <w:r w:rsidR="004B2E8B">
        <w:t>al age</w:t>
      </w:r>
      <w:r w:rsidR="00607E0B">
        <w:t xml:space="preserve"> </w:t>
      </w:r>
      <w:r w:rsidR="00DD2CA7">
        <w:t xml:space="preserve">could </w:t>
      </w:r>
      <w:r w:rsidR="00E03637">
        <w:t xml:space="preserve">inadvertently </w:t>
      </w:r>
      <w:r w:rsidR="00DD2CA7">
        <w:t xml:space="preserve">limit the </w:t>
      </w:r>
      <w:r>
        <w:t>potential obstetric/neonatal value in knowing</w:t>
      </w:r>
      <w:r w:rsidR="00741385">
        <w:t xml:space="preserve"> </w:t>
      </w:r>
      <w:r>
        <w:t>a child will be affected</w:t>
      </w:r>
      <w:r w:rsidR="00DD2CA7">
        <w:t xml:space="preserve"> or not</w:t>
      </w:r>
      <w:r>
        <w:t>.</w:t>
      </w:r>
      <w:r w:rsidR="001A509C">
        <w:t xml:space="preserve"> </w:t>
      </w:r>
      <w:r w:rsidR="0086382A">
        <w:t>MSAC also noted that GGGG was proposed to be restricted to “one test per pregnancy” but</w:t>
      </w:r>
      <w:r w:rsidR="001A509C">
        <w:t xml:space="preserve"> considered that</w:t>
      </w:r>
      <w:r w:rsidR="008F1B9E">
        <w:t xml:space="preserve"> </w:t>
      </w:r>
      <w:r w:rsidR="004B2E8B">
        <w:t xml:space="preserve">the risk of potential leakage of testing for item GGGG is rare as patients do not </w:t>
      </w:r>
      <w:r w:rsidR="008F1B9E">
        <w:t>have diagnostic</w:t>
      </w:r>
      <w:r w:rsidR="002E29BC">
        <w:t xml:space="preserve"> </w:t>
      </w:r>
      <w:r w:rsidR="004B2E8B">
        <w:t xml:space="preserve">tests more than once </w:t>
      </w:r>
      <w:r w:rsidR="002E29BC">
        <w:t>in a pregnancy</w:t>
      </w:r>
      <w:r w:rsidR="006E2D7F">
        <w:t xml:space="preserve"> if avoidable</w:t>
      </w:r>
      <w:r w:rsidR="002E29BC">
        <w:t>. MSAC also noted that testing</w:t>
      </w:r>
      <w:r w:rsidR="008F1B9E">
        <w:t xml:space="preserve"> of chorionic villus samples</w:t>
      </w:r>
      <w:r w:rsidR="002E29BC">
        <w:t xml:space="preserve"> may </w:t>
      </w:r>
      <w:r w:rsidR="008F1B9E">
        <w:t xml:space="preserve">in rare cases </w:t>
      </w:r>
      <w:r w:rsidR="002E29BC">
        <w:t xml:space="preserve">be inconclusive due to significant maternal cell contamination, </w:t>
      </w:r>
      <w:r w:rsidR="0086382A">
        <w:t>in which case</w:t>
      </w:r>
      <w:r w:rsidR="002E29BC">
        <w:t xml:space="preserve"> </w:t>
      </w:r>
      <w:r w:rsidR="0086382A">
        <w:t xml:space="preserve">testing of </w:t>
      </w:r>
      <w:r w:rsidR="002E29BC">
        <w:t xml:space="preserve">an amniocentesis </w:t>
      </w:r>
      <w:r w:rsidR="0086382A">
        <w:t xml:space="preserve">sample </w:t>
      </w:r>
      <w:r w:rsidR="002E29BC">
        <w:t xml:space="preserve">may </w:t>
      </w:r>
      <w:r w:rsidR="0086382A">
        <w:t xml:space="preserve">also </w:t>
      </w:r>
      <w:r w:rsidR="002E29BC">
        <w:t>be required.</w:t>
      </w:r>
      <w:r w:rsidR="008F1B9E">
        <w:t xml:space="preserve"> MSAC</w:t>
      </w:r>
      <w:r w:rsidR="00607E0B">
        <w:t xml:space="preserve"> </w:t>
      </w:r>
      <w:r w:rsidR="006E2D7F">
        <w:t xml:space="preserve">thus </w:t>
      </w:r>
      <w:r w:rsidR="00607E0B">
        <w:t xml:space="preserve">advised </w:t>
      </w:r>
      <w:r w:rsidR="002E29BC">
        <w:t>that frequency restriction</w:t>
      </w:r>
      <w:r w:rsidR="001A509C" w:rsidRPr="001A509C">
        <w:t xml:space="preserve"> </w:t>
      </w:r>
      <w:r w:rsidR="008F1B9E">
        <w:t xml:space="preserve">on GGGG </w:t>
      </w:r>
      <w:r w:rsidR="001A509C" w:rsidRPr="001A509C">
        <w:t>should be removed</w:t>
      </w:r>
      <w:r w:rsidR="001A509C">
        <w:t>.</w:t>
      </w:r>
    </w:p>
    <w:p w14:paraId="76089A92" w14:textId="17416370" w:rsidR="000B5E96" w:rsidRDefault="000B5E96" w:rsidP="000B5E96">
      <w:r>
        <w:t xml:space="preserve">MSAC </w:t>
      </w:r>
      <w:r w:rsidR="00161D54">
        <w:t xml:space="preserve">considered </w:t>
      </w:r>
      <w:r>
        <w:t>that this type of testing does not normally require hospital treatment or accommodation</w:t>
      </w:r>
      <w:r w:rsidR="00161D54">
        <w:t xml:space="preserve">, and therefore advised that it should be classified as Type C under the </w:t>
      </w:r>
      <w:r w:rsidR="00161D54" w:rsidRPr="0065175E">
        <w:rPr>
          <w:i/>
          <w:iCs/>
        </w:rPr>
        <w:t>Private Health Insurance (Benefits Requirements) Rules 2011</w:t>
      </w:r>
      <w:r>
        <w:t>.</w:t>
      </w:r>
    </w:p>
    <w:p w14:paraId="431EC2E8" w14:textId="2D6F3B36" w:rsidR="000B5E96" w:rsidRDefault="000B5E96" w:rsidP="000B5E96">
      <w:r>
        <w:t xml:space="preserve">MSAC </w:t>
      </w:r>
      <w:r w:rsidR="00003D88">
        <w:t xml:space="preserve">supported </w:t>
      </w:r>
      <w:r>
        <w:t>the following MBS item descriptors</w:t>
      </w:r>
      <w:r w:rsidR="00751B36">
        <w:t>:</w:t>
      </w:r>
    </w:p>
    <w:p w14:paraId="4060E5C6" w14:textId="1F3F6361" w:rsidR="000A4AAD" w:rsidRDefault="000A4AAD" w:rsidP="0065175E">
      <w:pPr>
        <w:pStyle w:val="Caption"/>
      </w:pPr>
      <w:r>
        <w:t xml:space="preserve">Table </w:t>
      </w:r>
      <w:r w:rsidR="00D411CB">
        <w:fldChar w:fldCharType="begin"/>
      </w:r>
      <w:r w:rsidR="00D411CB">
        <w:instrText xml:space="preserve"> SEQ Table \* ARABIC </w:instrText>
      </w:r>
      <w:r w:rsidR="00D411CB">
        <w:fldChar w:fldCharType="separate"/>
      </w:r>
      <w:r w:rsidR="0065175E">
        <w:rPr>
          <w:noProof/>
        </w:rPr>
        <w:t>1</w:t>
      </w:r>
      <w:r w:rsidR="00D411CB">
        <w:rPr>
          <w:noProof/>
        </w:rPr>
        <w:fldChar w:fldCharType="end"/>
      </w:r>
      <w:r>
        <w:tab/>
        <w:t>MSAC’s supported MBS item</w:t>
      </w:r>
      <w:r w:rsidR="008F1B9E">
        <w:t>s</w:t>
      </w:r>
      <w:r>
        <w:t xml:space="preserve"> </w:t>
      </w:r>
    </w:p>
    <w:tbl>
      <w:tblPr>
        <w:tblStyle w:val="TableGrid"/>
        <w:tblW w:w="0" w:type="auto"/>
        <w:tblLook w:val="04A0" w:firstRow="1" w:lastRow="0" w:firstColumn="1" w:lastColumn="0" w:noHBand="0" w:noVBand="1"/>
      </w:tblPr>
      <w:tblGrid>
        <w:gridCol w:w="4508"/>
        <w:gridCol w:w="4508"/>
      </w:tblGrid>
      <w:tr w:rsidR="002E29BC" w14:paraId="5E33E97F" w14:textId="77777777" w:rsidTr="002E29BC">
        <w:trPr>
          <w:trHeight w:val="293"/>
        </w:trPr>
        <w:tc>
          <w:tcPr>
            <w:tcW w:w="4508" w:type="dxa"/>
            <w:tcBorders>
              <w:top w:val="single" w:sz="4" w:space="0" w:color="auto"/>
              <w:left w:val="single" w:sz="4" w:space="0" w:color="auto"/>
              <w:bottom w:val="nil"/>
              <w:right w:val="nil"/>
            </w:tcBorders>
            <w:hideMark/>
          </w:tcPr>
          <w:p w14:paraId="0925E44B" w14:textId="77777777" w:rsidR="002E29BC" w:rsidRDefault="002E29BC" w:rsidP="002E29BC">
            <w:pPr>
              <w:pStyle w:val="Tabletext0"/>
            </w:pPr>
            <w:r>
              <w:t>Category 6 (Pathology Services)</w:t>
            </w:r>
          </w:p>
        </w:tc>
        <w:tc>
          <w:tcPr>
            <w:tcW w:w="4508" w:type="dxa"/>
            <w:tcBorders>
              <w:top w:val="single" w:sz="4" w:space="0" w:color="auto"/>
              <w:left w:val="nil"/>
              <w:bottom w:val="nil"/>
              <w:right w:val="single" w:sz="4" w:space="0" w:color="auto"/>
            </w:tcBorders>
          </w:tcPr>
          <w:p w14:paraId="344BE243" w14:textId="50BF918E" w:rsidR="002E29BC" w:rsidRDefault="002E29BC">
            <w:pPr>
              <w:pStyle w:val="Tabletext0"/>
              <w:jc w:val="right"/>
            </w:pPr>
            <w:r>
              <w:t>Group P7 Genetics</w:t>
            </w:r>
          </w:p>
        </w:tc>
      </w:tr>
      <w:tr w:rsidR="000B5E96" w14:paraId="35F4E2A3" w14:textId="77777777" w:rsidTr="000B5E96">
        <w:tc>
          <w:tcPr>
            <w:tcW w:w="9016" w:type="dxa"/>
            <w:gridSpan w:val="2"/>
            <w:tcBorders>
              <w:top w:val="single" w:sz="4" w:space="0" w:color="auto"/>
              <w:left w:val="single" w:sz="4" w:space="0" w:color="auto"/>
              <w:bottom w:val="single" w:sz="4" w:space="0" w:color="auto"/>
              <w:right w:val="single" w:sz="4" w:space="0" w:color="auto"/>
            </w:tcBorders>
          </w:tcPr>
          <w:p w14:paraId="0891A015" w14:textId="035C88BE" w:rsidR="000B5E96" w:rsidRDefault="000B5E96">
            <w:pPr>
              <w:pStyle w:val="Tabletext0"/>
            </w:pPr>
            <w:r>
              <w:t>MBS item AAAA</w:t>
            </w:r>
          </w:p>
          <w:p w14:paraId="0FF68465" w14:textId="77777777" w:rsidR="009C1D74" w:rsidRDefault="009C1D74">
            <w:pPr>
              <w:pStyle w:val="Tabletext0"/>
            </w:pPr>
          </w:p>
          <w:p w14:paraId="4B819978" w14:textId="77777777" w:rsidR="009C1D74" w:rsidRDefault="009C1D74" w:rsidP="009C1D74">
            <w:pPr>
              <w:pStyle w:val="Tabletext0"/>
            </w:pPr>
            <w:r>
              <w:t>Characterisation of germline pathogenic or likely pathogenic gene variants:</w:t>
            </w:r>
          </w:p>
          <w:p w14:paraId="45E96184" w14:textId="77777777" w:rsidR="009C1D74" w:rsidRDefault="009C1D74" w:rsidP="009C1D74">
            <w:pPr>
              <w:pStyle w:val="Tabletext0"/>
              <w:numPr>
                <w:ilvl w:val="0"/>
                <w:numId w:val="53"/>
              </w:numPr>
              <w:jc w:val="left"/>
            </w:pPr>
            <w:r>
              <w:t>in at least the following genes:</w:t>
            </w:r>
          </w:p>
          <w:p w14:paraId="254EE563" w14:textId="77777777" w:rsidR="009C1D74" w:rsidRDefault="009C1D74" w:rsidP="009C1D74">
            <w:pPr>
              <w:pStyle w:val="Tabletext0"/>
              <w:numPr>
                <w:ilvl w:val="0"/>
                <w:numId w:val="54"/>
              </w:numPr>
              <w:jc w:val="left"/>
              <w:rPr>
                <w:i/>
                <w:iCs/>
              </w:rPr>
            </w:pPr>
            <w:r>
              <w:rPr>
                <w:i/>
                <w:iCs/>
              </w:rPr>
              <w:t>ASPA</w:t>
            </w:r>
          </w:p>
          <w:p w14:paraId="5EC2D809" w14:textId="77777777" w:rsidR="009C1D74" w:rsidRDefault="009C1D74" w:rsidP="009C1D74">
            <w:pPr>
              <w:pStyle w:val="Tabletext0"/>
              <w:numPr>
                <w:ilvl w:val="0"/>
                <w:numId w:val="54"/>
              </w:numPr>
              <w:jc w:val="left"/>
              <w:rPr>
                <w:i/>
                <w:iCs/>
              </w:rPr>
            </w:pPr>
            <w:r>
              <w:rPr>
                <w:i/>
                <w:iCs/>
              </w:rPr>
              <w:t>BLM</w:t>
            </w:r>
          </w:p>
          <w:p w14:paraId="73E6BFA3" w14:textId="77777777" w:rsidR="009C1D74" w:rsidRDefault="009C1D74" w:rsidP="009C1D74">
            <w:pPr>
              <w:pStyle w:val="Tabletext0"/>
              <w:numPr>
                <w:ilvl w:val="0"/>
                <w:numId w:val="54"/>
              </w:numPr>
              <w:jc w:val="left"/>
              <w:rPr>
                <w:i/>
                <w:iCs/>
              </w:rPr>
            </w:pPr>
            <w:r>
              <w:rPr>
                <w:i/>
                <w:iCs/>
              </w:rPr>
              <w:t>CFTR</w:t>
            </w:r>
          </w:p>
          <w:p w14:paraId="7652BF68" w14:textId="77777777" w:rsidR="009C1D74" w:rsidRDefault="009C1D74" w:rsidP="009C1D74">
            <w:pPr>
              <w:pStyle w:val="Tabletext0"/>
              <w:numPr>
                <w:ilvl w:val="0"/>
                <w:numId w:val="54"/>
              </w:numPr>
              <w:jc w:val="left"/>
              <w:rPr>
                <w:i/>
                <w:iCs/>
              </w:rPr>
            </w:pPr>
            <w:r>
              <w:rPr>
                <w:i/>
                <w:iCs/>
              </w:rPr>
              <w:t>ELP1</w:t>
            </w:r>
          </w:p>
          <w:p w14:paraId="5F85E7E6" w14:textId="77777777" w:rsidR="009C1D74" w:rsidRDefault="009C1D74" w:rsidP="009C1D74">
            <w:pPr>
              <w:pStyle w:val="Tabletext0"/>
              <w:numPr>
                <w:ilvl w:val="0"/>
                <w:numId w:val="54"/>
              </w:numPr>
              <w:jc w:val="left"/>
              <w:rPr>
                <w:i/>
                <w:iCs/>
              </w:rPr>
            </w:pPr>
            <w:r>
              <w:rPr>
                <w:i/>
                <w:iCs/>
              </w:rPr>
              <w:t>FANCA</w:t>
            </w:r>
          </w:p>
          <w:p w14:paraId="2F1E4AC8" w14:textId="77777777" w:rsidR="009C1D74" w:rsidRDefault="009C1D74" w:rsidP="009C1D74">
            <w:pPr>
              <w:pStyle w:val="Tabletext0"/>
              <w:numPr>
                <w:ilvl w:val="0"/>
                <w:numId w:val="54"/>
              </w:numPr>
              <w:jc w:val="left"/>
              <w:rPr>
                <w:i/>
                <w:iCs/>
              </w:rPr>
            </w:pPr>
            <w:r>
              <w:rPr>
                <w:i/>
                <w:iCs/>
              </w:rPr>
              <w:t>FANCC</w:t>
            </w:r>
          </w:p>
          <w:p w14:paraId="3827A789" w14:textId="77777777" w:rsidR="009C1D74" w:rsidRDefault="009C1D74" w:rsidP="009C1D74">
            <w:pPr>
              <w:pStyle w:val="Tabletext0"/>
              <w:numPr>
                <w:ilvl w:val="0"/>
                <w:numId w:val="54"/>
              </w:numPr>
              <w:jc w:val="left"/>
              <w:rPr>
                <w:i/>
                <w:iCs/>
              </w:rPr>
            </w:pPr>
            <w:r>
              <w:rPr>
                <w:i/>
                <w:iCs/>
              </w:rPr>
              <w:t>FANCG</w:t>
            </w:r>
          </w:p>
          <w:p w14:paraId="6452F42E" w14:textId="77777777" w:rsidR="009C1D74" w:rsidRDefault="009C1D74" w:rsidP="009C1D74">
            <w:pPr>
              <w:pStyle w:val="Tabletext0"/>
              <w:numPr>
                <w:ilvl w:val="0"/>
                <w:numId w:val="54"/>
              </w:numPr>
              <w:jc w:val="left"/>
              <w:rPr>
                <w:i/>
                <w:iCs/>
              </w:rPr>
            </w:pPr>
            <w:r>
              <w:rPr>
                <w:i/>
                <w:iCs/>
              </w:rPr>
              <w:t>FMR1</w:t>
            </w:r>
          </w:p>
          <w:p w14:paraId="5D6E7881" w14:textId="77777777" w:rsidR="009C1D74" w:rsidRDefault="009C1D74" w:rsidP="009C1D74">
            <w:pPr>
              <w:pStyle w:val="Tabletext0"/>
              <w:numPr>
                <w:ilvl w:val="0"/>
                <w:numId w:val="54"/>
              </w:numPr>
              <w:jc w:val="left"/>
              <w:rPr>
                <w:i/>
                <w:iCs/>
              </w:rPr>
            </w:pPr>
            <w:r>
              <w:rPr>
                <w:i/>
                <w:iCs/>
              </w:rPr>
              <w:t>G6PC1</w:t>
            </w:r>
          </w:p>
          <w:p w14:paraId="7211C700" w14:textId="77777777" w:rsidR="009C1D74" w:rsidRDefault="009C1D74" w:rsidP="009C1D74">
            <w:pPr>
              <w:pStyle w:val="Tabletext0"/>
              <w:numPr>
                <w:ilvl w:val="0"/>
                <w:numId w:val="54"/>
              </w:numPr>
              <w:jc w:val="left"/>
              <w:rPr>
                <w:i/>
                <w:iCs/>
              </w:rPr>
            </w:pPr>
            <w:proofErr w:type="gramStart"/>
            <w:r>
              <w:rPr>
                <w:i/>
                <w:iCs/>
              </w:rPr>
              <w:t>GBA1;</w:t>
            </w:r>
            <w:proofErr w:type="gramEnd"/>
          </w:p>
          <w:p w14:paraId="2F0C388C" w14:textId="77777777" w:rsidR="009C1D74" w:rsidRDefault="009C1D74" w:rsidP="009C1D74">
            <w:pPr>
              <w:pStyle w:val="Tabletext0"/>
              <w:numPr>
                <w:ilvl w:val="0"/>
                <w:numId w:val="54"/>
              </w:numPr>
              <w:jc w:val="left"/>
              <w:rPr>
                <w:i/>
                <w:iCs/>
              </w:rPr>
            </w:pPr>
            <w:proofErr w:type="gramStart"/>
            <w:r>
              <w:rPr>
                <w:i/>
                <w:iCs/>
              </w:rPr>
              <w:t>HEXA;</w:t>
            </w:r>
            <w:proofErr w:type="gramEnd"/>
          </w:p>
          <w:p w14:paraId="02E21BEB" w14:textId="77777777" w:rsidR="009C1D74" w:rsidRDefault="009C1D74" w:rsidP="009C1D74">
            <w:pPr>
              <w:pStyle w:val="Tabletext0"/>
              <w:numPr>
                <w:ilvl w:val="0"/>
                <w:numId w:val="54"/>
              </w:numPr>
              <w:jc w:val="left"/>
              <w:rPr>
                <w:i/>
                <w:iCs/>
              </w:rPr>
            </w:pPr>
            <w:proofErr w:type="gramStart"/>
            <w:r>
              <w:rPr>
                <w:i/>
                <w:iCs/>
              </w:rPr>
              <w:t>MCOLN1;</w:t>
            </w:r>
            <w:proofErr w:type="gramEnd"/>
          </w:p>
          <w:p w14:paraId="3755BDAB" w14:textId="77777777" w:rsidR="009C1D74" w:rsidRDefault="009C1D74" w:rsidP="009C1D74">
            <w:pPr>
              <w:pStyle w:val="Tabletext0"/>
              <w:numPr>
                <w:ilvl w:val="0"/>
                <w:numId w:val="54"/>
              </w:numPr>
              <w:jc w:val="left"/>
              <w:rPr>
                <w:i/>
                <w:iCs/>
              </w:rPr>
            </w:pPr>
            <w:proofErr w:type="gramStart"/>
            <w:r>
              <w:rPr>
                <w:i/>
                <w:iCs/>
              </w:rPr>
              <w:t>SLC37A4;</w:t>
            </w:r>
            <w:proofErr w:type="gramEnd"/>
          </w:p>
          <w:p w14:paraId="6F5A24E8" w14:textId="77777777" w:rsidR="009C1D74" w:rsidRDefault="009C1D74" w:rsidP="009C1D74">
            <w:pPr>
              <w:pStyle w:val="Tabletext0"/>
              <w:numPr>
                <w:ilvl w:val="0"/>
                <w:numId w:val="54"/>
              </w:numPr>
              <w:jc w:val="left"/>
            </w:pPr>
            <w:r>
              <w:rPr>
                <w:i/>
                <w:iCs/>
              </w:rPr>
              <w:t>SMN1</w:t>
            </w:r>
            <w:r>
              <w:t>; and</w:t>
            </w:r>
          </w:p>
          <w:p w14:paraId="7046DCAD" w14:textId="77777777" w:rsidR="009C1D74" w:rsidRDefault="009C1D74" w:rsidP="009C1D74">
            <w:pPr>
              <w:pStyle w:val="Tabletext0"/>
              <w:numPr>
                <w:ilvl w:val="0"/>
                <w:numId w:val="54"/>
              </w:numPr>
              <w:jc w:val="left"/>
              <w:rPr>
                <w:i/>
                <w:iCs/>
              </w:rPr>
            </w:pPr>
            <w:r>
              <w:rPr>
                <w:i/>
                <w:iCs/>
              </w:rPr>
              <w:t>SMPD1</w:t>
            </w:r>
          </w:p>
          <w:p w14:paraId="698CD78D" w14:textId="77777777" w:rsidR="009C1D74" w:rsidRDefault="009C1D74" w:rsidP="009C1D74">
            <w:pPr>
              <w:pStyle w:val="Tabletext0"/>
              <w:ind w:left="1440"/>
            </w:pPr>
          </w:p>
          <w:p w14:paraId="5B361C0E" w14:textId="7E9CA0EB" w:rsidR="009C1D74" w:rsidRPr="008F1B9E" w:rsidRDefault="009C1D74" w:rsidP="009C1D74">
            <w:pPr>
              <w:pStyle w:val="Tabletext0"/>
              <w:numPr>
                <w:ilvl w:val="0"/>
                <w:numId w:val="53"/>
              </w:numPr>
              <w:jc w:val="left"/>
            </w:pPr>
            <w:r>
              <w:t xml:space="preserve">in a </w:t>
            </w:r>
            <w:bookmarkStart w:id="13" w:name="_Hlk111122536"/>
            <w:r>
              <w:t xml:space="preserve">patient of </w:t>
            </w:r>
            <w:r w:rsidRPr="008F1B9E">
              <w:t xml:space="preserve">reproductive age who </w:t>
            </w:r>
            <w:r w:rsidRPr="00A27155">
              <w:t xml:space="preserve">is of Ashkenazi Jewish </w:t>
            </w:r>
            <w:bookmarkEnd w:id="13"/>
            <w:r w:rsidRPr="00A27155">
              <w:t>descent</w:t>
            </w:r>
            <w:r w:rsidRPr="006B6DBE">
              <w:t xml:space="preserve"> </w:t>
            </w:r>
            <w:r w:rsidRPr="008F1B9E">
              <w:t xml:space="preserve">for the purpose of ascertaining their carrier status </w:t>
            </w:r>
            <w:r w:rsidRPr="00A27155">
              <w:t>for</w:t>
            </w:r>
            <w:r w:rsidRPr="008F1B9E">
              <w:t>:</w:t>
            </w:r>
          </w:p>
          <w:p w14:paraId="45DF2B23" w14:textId="77777777" w:rsidR="009C1D74" w:rsidRDefault="009C1D74" w:rsidP="009C1D74">
            <w:pPr>
              <w:pStyle w:val="Tabletext0"/>
              <w:numPr>
                <w:ilvl w:val="0"/>
                <w:numId w:val="55"/>
              </w:numPr>
              <w:jc w:val="left"/>
            </w:pPr>
            <w:r>
              <w:t>Bloom syndrome</w:t>
            </w:r>
          </w:p>
          <w:p w14:paraId="1D86C6B1" w14:textId="77777777" w:rsidR="009C1D74" w:rsidRDefault="009C1D74" w:rsidP="009C1D74">
            <w:pPr>
              <w:pStyle w:val="Tabletext0"/>
              <w:numPr>
                <w:ilvl w:val="0"/>
                <w:numId w:val="55"/>
              </w:numPr>
              <w:jc w:val="left"/>
            </w:pPr>
            <w:r>
              <w:t>Canavan disease</w:t>
            </w:r>
          </w:p>
          <w:p w14:paraId="56813A22" w14:textId="77777777" w:rsidR="009C1D74" w:rsidRDefault="009C1D74" w:rsidP="009C1D74">
            <w:pPr>
              <w:pStyle w:val="Tabletext0"/>
              <w:numPr>
                <w:ilvl w:val="0"/>
                <w:numId w:val="55"/>
              </w:numPr>
              <w:jc w:val="left"/>
            </w:pPr>
            <w:r>
              <w:t>Cystic fibrosis</w:t>
            </w:r>
          </w:p>
          <w:p w14:paraId="36A00F48" w14:textId="77777777" w:rsidR="009C1D74" w:rsidRDefault="009C1D74" w:rsidP="009C1D74">
            <w:pPr>
              <w:pStyle w:val="Tabletext0"/>
              <w:numPr>
                <w:ilvl w:val="0"/>
                <w:numId w:val="55"/>
              </w:numPr>
              <w:jc w:val="left"/>
            </w:pPr>
            <w:r>
              <w:t>Familial dysautonomia</w:t>
            </w:r>
          </w:p>
          <w:p w14:paraId="35770A55" w14:textId="77777777" w:rsidR="009C1D74" w:rsidRDefault="009C1D74" w:rsidP="009C1D74">
            <w:pPr>
              <w:pStyle w:val="Tabletext0"/>
              <w:numPr>
                <w:ilvl w:val="0"/>
                <w:numId w:val="55"/>
              </w:numPr>
              <w:jc w:val="left"/>
            </w:pPr>
            <w:r>
              <w:t>Fanconi anaemia type C</w:t>
            </w:r>
          </w:p>
          <w:p w14:paraId="32D43C2A" w14:textId="77777777" w:rsidR="009C1D74" w:rsidRDefault="009C1D74" w:rsidP="009C1D74">
            <w:pPr>
              <w:pStyle w:val="Tabletext0"/>
              <w:numPr>
                <w:ilvl w:val="0"/>
                <w:numId w:val="55"/>
              </w:numPr>
              <w:jc w:val="left"/>
            </w:pPr>
            <w:r>
              <w:t>Fragile-X syndrome</w:t>
            </w:r>
          </w:p>
          <w:p w14:paraId="1314F692" w14:textId="77777777" w:rsidR="009C1D74" w:rsidRDefault="009C1D74" w:rsidP="009C1D74">
            <w:pPr>
              <w:pStyle w:val="Tabletext0"/>
              <w:numPr>
                <w:ilvl w:val="0"/>
                <w:numId w:val="55"/>
              </w:numPr>
              <w:jc w:val="left"/>
            </w:pPr>
            <w:r>
              <w:t>Gaucher disease</w:t>
            </w:r>
          </w:p>
          <w:p w14:paraId="2643F451" w14:textId="77777777" w:rsidR="009C1D74" w:rsidRDefault="009C1D74" w:rsidP="009C1D74">
            <w:pPr>
              <w:pStyle w:val="Tabletext0"/>
              <w:numPr>
                <w:ilvl w:val="0"/>
                <w:numId w:val="55"/>
              </w:numPr>
              <w:jc w:val="left"/>
            </w:pPr>
            <w:r>
              <w:t>Glycogen storage disease type I</w:t>
            </w:r>
          </w:p>
          <w:p w14:paraId="18008086" w14:textId="77777777" w:rsidR="009C1D74" w:rsidRDefault="009C1D74" w:rsidP="009C1D74">
            <w:pPr>
              <w:pStyle w:val="Tabletext0"/>
              <w:numPr>
                <w:ilvl w:val="0"/>
                <w:numId w:val="55"/>
              </w:numPr>
              <w:jc w:val="left"/>
            </w:pPr>
            <w:proofErr w:type="spellStart"/>
            <w:r>
              <w:t>Mucolipidosis</w:t>
            </w:r>
            <w:proofErr w:type="spellEnd"/>
            <w:r>
              <w:t xml:space="preserve"> type IV</w:t>
            </w:r>
          </w:p>
          <w:p w14:paraId="664F57E3" w14:textId="77777777" w:rsidR="009C1D74" w:rsidRDefault="009C1D74" w:rsidP="009C1D74">
            <w:pPr>
              <w:pStyle w:val="Tabletext0"/>
              <w:numPr>
                <w:ilvl w:val="0"/>
                <w:numId w:val="55"/>
              </w:numPr>
              <w:jc w:val="left"/>
            </w:pPr>
            <w:r>
              <w:t>Niemann-Pick disease type A</w:t>
            </w:r>
          </w:p>
          <w:p w14:paraId="0CEB9D0C" w14:textId="77777777" w:rsidR="009C1D74" w:rsidRDefault="009C1D74" w:rsidP="009C1D74">
            <w:pPr>
              <w:pStyle w:val="Tabletext0"/>
              <w:numPr>
                <w:ilvl w:val="0"/>
                <w:numId w:val="55"/>
              </w:numPr>
              <w:jc w:val="left"/>
            </w:pPr>
            <w:r>
              <w:lastRenderedPageBreak/>
              <w:t>Spinal muscular atrophy</w:t>
            </w:r>
          </w:p>
          <w:p w14:paraId="45F49952" w14:textId="75151158" w:rsidR="009C1D74" w:rsidRDefault="009C1D74" w:rsidP="009C1D74">
            <w:pPr>
              <w:pStyle w:val="Tabletext0"/>
              <w:numPr>
                <w:ilvl w:val="0"/>
                <w:numId w:val="55"/>
              </w:numPr>
              <w:jc w:val="left"/>
            </w:pPr>
            <w:r>
              <w:t>Tay-Sachs disease</w:t>
            </w:r>
          </w:p>
          <w:p w14:paraId="444750A8" w14:textId="77777777" w:rsidR="00E538F9" w:rsidRDefault="00E538F9" w:rsidP="00D60748">
            <w:pPr>
              <w:pStyle w:val="Tabletext0"/>
              <w:ind w:left="1440"/>
              <w:jc w:val="left"/>
            </w:pPr>
          </w:p>
          <w:p w14:paraId="303CF125" w14:textId="35D2CB79" w:rsidR="000B5E96" w:rsidRDefault="007B0FDE">
            <w:pPr>
              <w:pStyle w:val="Tabletext0"/>
            </w:pPr>
            <w:r>
              <w:t xml:space="preserve">Applicable once </w:t>
            </w:r>
            <w:r w:rsidR="000B5E96">
              <w:t>per lifetime.</w:t>
            </w:r>
          </w:p>
          <w:p w14:paraId="2CFBE937" w14:textId="77777777" w:rsidR="000B5E96" w:rsidRDefault="000B5E96">
            <w:pPr>
              <w:pStyle w:val="Tabletext0"/>
            </w:pPr>
          </w:p>
          <w:p w14:paraId="572EB57A" w14:textId="77777777" w:rsidR="000B5E96" w:rsidRDefault="000B5E96">
            <w:pPr>
              <w:pStyle w:val="Tabletext0"/>
            </w:pPr>
            <w:r>
              <w:rPr>
                <w:b/>
                <w:bCs/>
              </w:rPr>
              <w:t>Fee</w:t>
            </w:r>
            <w:r>
              <w:t xml:space="preserve">: $425.00 </w:t>
            </w:r>
            <w:r>
              <w:rPr>
                <w:b/>
                <w:bCs/>
              </w:rPr>
              <w:t>Benefit</w:t>
            </w:r>
            <w:r>
              <w:t>: 75% = $318.75 85% = $361.25</w:t>
            </w:r>
          </w:p>
        </w:tc>
      </w:tr>
      <w:tr w:rsidR="000B5E96" w14:paraId="437A47D5" w14:textId="77777777" w:rsidTr="000B5E96">
        <w:tc>
          <w:tcPr>
            <w:tcW w:w="9016" w:type="dxa"/>
            <w:gridSpan w:val="2"/>
            <w:tcBorders>
              <w:top w:val="single" w:sz="4" w:space="0" w:color="auto"/>
              <w:left w:val="single" w:sz="4" w:space="0" w:color="auto"/>
              <w:bottom w:val="single" w:sz="4" w:space="0" w:color="auto"/>
              <w:right w:val="single" w:sz="4" w:space="0" w:color="auto"/>
            </w:tcBorders>
            <w:hideMark/>
          </w:tcPr>
          <w:p w14:paraId="0EA74E7A" w14:textId="6681F09B" w:rsidR="000B5E96" w:rsidRDefault="000B5E96" w:rsidP="00D740C9">
            <w:pPr>
              <w:pStyle w:val="Tabletext0"/>
            </w:pPr>
            <w:r>
              <w:lastRenderedPageBreak/>
              <w:t>Category 6 (</w:t>
            </w:r>
            <w:r w:rsidR="00D740C9">
              <w:t>Pathology Services</w:t>
            </w:r>
            <w:r>
              <w:t xml:space="preserve">) – Group P7 </w:t>
            </w:r>
            <w:r w:rsidR="00D740C9">
              <w:t>Genetics</w:t>
            </w:r>
          </w:p>
        </w:tc>
      </w:tr>
      <w:tr w:rsidR="000B5E96" w14:paraId="444B63E9" w14:textId="77777777" w:rsidTr="000B5E96">
        <w:tc>
          <w:tcPr>
            <w:tcW w:w="9016" w:type="dxa"/>
            <w:gridSpan w:val="2"/>
            <w:tcBorders>
              <w:top w:val="single" w:sz="4" w:space="0" w:color="auto"/>
              <w:left w:val="single" w:sz="4" w:space="0" w:color="auto"/>
              <w:bottom w:val="single" w:sz="4" w:space="0" w:color="auto"/>
              <w:right w:val="single" w:sz="4" w:space="0" w:color="auto"/>
            </w:tcBorders>
          </w:tcPr>
          <w:p w14:paraId="452281FB" w14:textId="77777777" w:rsidR="000B5E96" w:rsidRDefault="000B5E96">
            <w:pPr>
              <w:pStyle w:val="Tabletext0"/>
            </w:pPr>
            <w:r>
              <w:t>MBS item CCCC</w:t>
            </w:r>
          </w:p>
          <w:p w14:paraId="57E15E96" w14:textId="77777777" w:rsidR="000B5E96" w:rsidRDefault="000B5E96">
            <w:pPr>
              <w:pStyle w:val="Tabletext0"/>
            </w:pPr>
          </w:p>
          <w:p w14:paraId="7BF6899D" w14:textId="745F908D" w:rsidR="000B5E96" w:rsidRDefault="000B5E96" w:rsidP="004B27E4">
            <w:pPr>
              <w:pStyle w:val="Tabletext0"/>
            </w:pPr>
            <w:r>
              <w:t xml:space="preserve">Whole gene sequencing of a gene or genes described in item AAAA, in a patient who is </w:t>
            </w:r>
            <w:bookmarkStart w:id="14" w:name="_Hlk112862740"/>
            <w:r>
              <w:t xml:space="preserve">the reproductive partner of an individual who is </w:t>
            </w:r>
            <w:r w:rsidR="00EB3135">
              <w:t xml:space="preserve">affected by or </w:t>
            </w:r>
            <w:r>
              <w:t xml:space="preserve">a known genetic carrier </w:t>
            </w:r>
            <w:bookmarkEnd w:id="14"/>
            <w:r>
              <w:t>of one or more conditions described in item AAAA</w:t>
            </w:r>
            <w:r w:rsidR="00D3511B">
              <w:t xml:space="preserve"> other than cystic fibrosis, fragile-X syndrome or spinal muscular atrophy</w:t>
            </w:r>
            <w:r>
              <w:t>,</w:t>
            </w:r>
            <w:r w:rsidR="006B6DBE">
              <w:t xml:space="preserve"> </w:t>
            </w:r>
            <w:r>
              <w:t>for the purpose of determining the couple’s combined reproductive risk of the conditions, if:</w:t>
            </w:r>
          </w:p>
          <w:p w14:paraId="3C0A462B" w14:textId="396FBCD0" w:rsidR="000B5E96" w:rsidRDefault="000B5E96" w:rsidP="004B27E4">
            <w:pPr>
              <w:pStyle w:val="Tabletext0"/>
            </w:pPr>
          </w:p>
          <w:p w14:paraId="7132BC74" w14:textId="68FC8B0E" w:rsidR="000B5E96" w:rsidRDefault="000B5E96" w:rsidP="00291DA4">
            <w:pPr>
              <w:pStyle w:val="Tabletext0"/>
              <w:numPr>
                <w:ilvl w:val="0"/>
                <w:numId w:val="56"/>
              </w:numPr>
              <w:jc w:val="left"/>
            </w:pPr>
            <w:r>
              <w:t>the patient is not eligible for a service to which item AAAA applies; and</w:t>
            </w:r>
          </w:p>
          <w:p w14:paraId="4274B05E" w14:textId="40C81C5C" w:rsidR="000B5E96" w:rsidRDefault="000B5E96" w:rsidP="00291DA4">
            <w:pPr>
              <w:pStyle w:val="Tabletext0"/>
              <w:numPr>
                <w:ilvl w:val="0"/>
                <w:numId w:val="56"/>
              </w:numPr>
              <w:jc w:val="left"/>
            </w:pPr>
            <w:r>
              <w:t>the patient has not received a service to which item AAAA applies; and</w:t>
            </w:r>
          </w:p>
          <w:p w14:paraId="119ED44D" w14:textId="19E088C8" w:rsidR="000B5E96" w:rsidRDefault="000B5E96" w:rsidP="00291DA4">
            <w:pPr>
              <w:pStyle w:val="Tabletext0"/>
              <w:numPr>
                <w:ilvl w:val="0"/>
                <w:numId w:val="56"/>
              </w:numPr>
              <w:jc w:val="left"/>
            </w:pPr>
            <w:r>
              <w:t>the patient has not received a service to which this item applies for the purpose of determining their reproductive risk with their current reproductive partner.</w:t>
            </w:r>
          </w:p>
          <w:p w14:paraId="0F0922F5" w14:textId="77777777" w:rsidR="00161D54" w:rsidRDefault="00161D54">
            <w:pPr>
              <w:pStyle w:val="Tabletext0"/>
            </w:pPr>
          </w:p>
          <w:p w14:paraId="154352C2" w14:textId="60855997" w:rsidR="000B5E96" w:rsidRDefault="007B0FDE">
            <w:pPr>
              <w:pStyle w:val="Tabletext0"/>
            </w:pPr>
            <w:r>
              <w:t>Applicable once</w:t>
            </w:r>
            <w:r w:rsidR="00161D54">
              <w:t xml:space="preserve"> per couple per lifetime.</w:t>
            </w:r>
          </w:p>
          <w:p w14:paraId="6FAE0A30" w14:textId="77777777" w:rsidR="00161D54" w:rsidRDefault="00161D54">
            <w:pPr>
              <w:pStyle w:val="Tabletext0"/>
            </w:pPr>
          </w:p>
          <w:p w14:paraId="52CAAC93" w14:textId="2B9E9F74" w:rsidR="000B5E96" w:rsidRDefault="000B5E96">
            <w:pPr>
              <w:pStyle w:val="Tabletext0"/>
            </w:pPr>
            <w:r>
              <w:rPr>
                <w:b/>
                <w:bCs/>
              </w:rPr>
              <w:t>Fee</w:t>
            </w:r>
            <w:r>
              <w:t xml:space="preserve">:  $1,200.00 </w:t>
            </w:r>
            <w:r>
              <w:rPr>
                <w:b/>
                <w:bCs/>
              </w:rPr>
              <w:t>Benefit:</w:t>
            </w:r>
            <w:r>
              <w:t xml:space="preserve"> 75% = $900.00 85% = $1,112.10*</w:t>
            </w:r>
          </w:p>
        </w:tc>
      </w:tr>
      <w:tr w:rsidR="000B5E96" w14:paraId="369458D3" w14:textId="77777777" w:rsidTr="000B5E96">
        <w:tc>
          <w:tcPr>
            <w:tcW w:w="9016" w:type="dxa"/>
            <w:gridSpan w:val="2"/>
            <w:tcBorders>
              <w:top w:val="single" w:sz="4" w:space="0" w:color="auto"/>
              <w:left w:val="single" w:sz="4" w:space="0" w:color="auto"/>
              <w:bottom w:val="single" w:sz="4" w:space="0" w:color="auto"/>
              <w:right w:val="single" w:sz="4" w:space="0" w:color="auto"/>
            </w:tcBorders>
            <w:hideMark/>
          </w:tcPr>
          <w:p w14:paraId="1B44B9B0" w14:textId="77777777" w:rsidR="000B5E96" w:rsidRDefault="000B5E96">
            <w:pPr>
              <w:pStyle w:val="Tabletext0"/>
            </w:pPr>
            <w:r>
              <w:t>Category 6 (Pathology Services) – Group P7 Genetics</w:t>
            </w:r>
          </w:p>
        </w:tc>
      </w:tr>
      <w:tr w:rsidR="000B5E96" w14:paraId="129A8CB4" w14:textId="77777777" w:rsidTr="00D95F1D">
        <w:trPr>
          <w:trHeight w:val="2462"/>
        </w:trPr>
        <w:tc>
          <w:tcPr>
            <w:tcW w:w="9016" w:type="dxa"/>
            <w:gridSpan w:val="2"/>
            <w:tcBorders>
              <w:top w:val="single" w:sz="4" w:space="0" w:color="auto"/>
              <w:left w:val="single" w:sz="4" w:space="0" w:color="auto"/>
              <w:bottom w:val="single" w:sz="4" w:space="0" w:color="auto"/>
              <w:right w:val="single" w:sz="4" w:space="0" w:color="auto"/>
            </w:tcBorders>
          </w:tcPr>
          <w:p w14:paraId="74205FDB" w14:textId="77777777" w:rsidR="000B5E96" w:rsidRDefault="000B5E96">
            <w:pPr>
              <w:pStyle w:val="Tabletext0"/>
            </w:pPr>
            <w:r>
              <w:t>MBS item GGGG</w:t>
            </w:r>
          </w:p>
          <w:p w14:paraId="190A4029" w14:textId="77777777" w:rsidR="000B5E96" w:rsidRDefault="000B5E96">
            <w:pPr>
              <w:pStyle w:val="Tabletext0"/>
            </w:pPr>
          </w:p>
          <w:p w14:paraId="394C1214" w14:textId="23E41C8A" w:rsidR="000B5E96" w:rsidRDefault="000B5E96">
            <w:pPr>
              <w:pStyle w:val="Tabletext0"/>
            </w:pPr>
            <w:bookmarkStart w:id="15" w:name="_Hlk112936913"/>
            <w:bookmarkStart w:id="16" w:name="_Hlk112742657"/>
            <w:r>
              <w:t xml:space="preserve">Testing of a pregnant patient, </w:t>
            </w:r>
            <w:bookmarkStart w:id="17" w:name="_Hlk112680800"/>
            <w:r>
              <w:t xml:space="preserve">where </w:t>
            </w:r>
            <w:r w:rsidR="007C4997">
              <w:t xml:space="preserve">at least </w:t>
            </w:r>
            <w:r w:rsidR="00254A61">
              <w:t xml:space="preserve">one </w:t>
            </w:r>
            <w:r>
              <w:t xml:space="preserve">prospective parent </w:t>
            </w:r>
            <w:r w:rsidR="007C4997">
              <w:t xml:space="preserve">is </w:t>
            </w:r>
            <w:r>
              <w:t xml:space="preserve">known to be </w:t>
            </w:r>
            <w:bookmarkStart w:id="18" w:name="_Hlk112862681"/>
            <w:r>
              <w:t xml:space="preserve">affected by or </w:t>
            </w:r>
            <w:r w:rsidR="0032097E">
              <w:t xml:space="preserve">is a </w:t>
            </w:r>
            <w:r w:rsidR="007C4997">
              <w:t xml:space="preserve">genetic </w:t>
            </w:r>
            <w:r>
              <w:t xml:space="preserve">carrier of </w:t>
            </w:r>
            <w:bookmarkEnd w:id="17"/>
            <w:r w:rsidR="007C4997">
              <w:t>one or more</w:t>
            </w:r>
            <w:r>
              <w:t xml:space="preserve"> </w:t>
            </w:r>
            <w:r w:rsidR="008E5184">
              <w:t>condition</w:t>
            </w:r>
            <w:r w:rsidR="007C4997">
              <w:t>s</w:t>
            </w:r>
            <w:r w:rsidR="008E5184">
              <w:t xml:space="preserve"> </w:t>
            </w:r>
            <w:bookmarkEnd w:id="18"/>
            <w:r w:rsidR="008E5184">
              <w:t>described</w:t>
            </w:r>
            <w:r>
              <w:t xml:space="preserve"> in </w:t>
            </w:r>
            <w:r w:rsidR="008E5184">
              <w:t xml:space="preserve">item </w:t>
            </w:r>
            <w:r>
              <w:t>AAAA, for the purpose of determining whether familial variant</w:t>
            </w:r>
            <w:r w:rsidR="00BD5A9A">
              <w:t>/</w:t>
            </w:r>
            <w:r>
              <w:t xml:space="preserve">s are present in the </w:t>
            </w:r>
            <w:proofErr w:type="spellStart"/>
            <w:r>
              <w:t>fetus</w:t>
            </w:r>
            <w:proofErr w:type="spellEnd"/>
            <w:r w:rsidRPr="008F1B9E">
              <w:t xml:space="preserve">, </w:t>
            </w:r>
            <w:bookmarkEnd w:id="15"/>
            <w:r>
              <w:t>if:</w:t>
            </w:r>
            <w:bookmarkEnd w:id="16"/>
          </w:p>
          <w:p w14:paraId="3DD397FC" w14:textId="77777777" w:rsidR="00CC028F" w:rsidRDefault="00CC028F">
            <w:pPr>
              <w:pStyle w:val="Tabletext0"/>
            </w:pPr>
          </w:p>
          <w:p w14:paraId="5B5813A6" w14:textId="7470611E" w:rsidR="000B5E96" w:rsidRDefault="000B5E96">
            <w:pPr>
              <w:pStyle w:val="Tabletext0"/>
            </w:pPr>
            <w:r>
              <w:t xml:space="preserve">(a) </w:t>
            </w:r>
            <w:r w:rsidR="00403CC0">
              <w:t xml:space="preserve">the </w:t>
            </w:r>
            <w:r>
              <w:t xml:space="preserve">detection is requested by a </w:t>
            </w:r>
            <w:r w:rsidR="00EF3646" w:rsidRPr="001B2CB5">
              <w:t xml:space="preserve">specialist or </w:t>
            </w:r>
            <w:r>
              <w:t>consultant physician; and</w:t>
            </w:r>
          </w:p>
          <w:p w14:paraId="5CF69C6C" w14:textId="472DD914" w:rsidR="000B5E96" w:rsidRDefault="000B5E96">
            <w:pPr>
              <w:pStyle w:val="Tabletext0"/>
            </w:pPr>
            <w:r>
              <w:t>(</w:t>
            </w:r>
            <w:r w:rsidR="00521335">
              <w:t>b</w:t>
            </w:r>
            <w:r>
              <w:t xml:space="preserve">) </w:t>
            </w:r>
            <w:r w:rsidR="00403CC0">
              <w:t xml:space="preserve">the </w:t>
            </w:r>
            <w:proofErr w:type="spellStart"/>
            <w:r>
              <w:t>fetus</w:t>
            </w:r>
            <w:proofErr w:type="spellEnd"/>
            <w:r>
              <w:t xml:space="preserve"> is at 25% or more risk of inheriting a </w:t>
            </w:r>
            <w:r w:rsidR="008E5184">
              <w:t>condition described</w:t>
            </w:r>
            <w:r>
              <w:t xml:space="preserve"> in</w:t>
            </w:r>
            <w:r w:rsidR="008E5184">
              <w:t xml:space="preserve"> item</w:t>
            </w:r>
            <w:r>
              <w:t xml:space="preserve"> AAAA.</w:t>
            </w:r>
          </w:p>
          <w:p w14:paraId="7BDBC242" w14:textId="77777777" w:rsidR="000B5E96" w:rsidRDefault="000B5E96">
            <w:pPr>
              <w:pStyle w:val="Tabletext0"/>
            </w:pPr>
          </w:p>
          <w:p w14:paraId="38B854D0" w14:textId="27E8EE56" w:rsidR="000B5E96" w:rsidRDefault="00EB445A" w:rsidP="00EB445A">
            <w:pPr>
              <w:pStyle w:val="Tabletext0"/>
            </w:pPr>
            <w:r>
              <w:t xml:space="preserve">Fee:  $1,600.00 </w:t>
            </w:r>
            <w:r>
              <w:rPr>
                <w:b/>
                <w:bCs/>
              </w:rPr>
              <w:t>Benefit:</w:t>
            </w:r>
            <w:r>
              <w:t xml:space="preserve"> 75% = $1,200.00 85% = $1,512.10*</w:t>
            </w:r>
          </w:p>
        </w:tc>
      </w:tr>
    </w:tbl>
    <w:p w14:paraId="690901FA" w14:textId="77777777" w:rsidR="006C13D4" w:rsidRDefault="006C13D4" w:rsidP="0065175E">
      <w:pPr>
        <w:pStyle w:val="Tablenotes0"/>
        <w:spacing w:before="0"/>
      </w:pPr>
      <w:r w:rsidRPr="006C13D4">
        <w:t>* = 85% benefit reflects the 1 November 2021 Greatest Permissible Gap (GPG) of $87.90. All out-of-hospital Medicare services that have an MBS fee of $586.20 or more will attract a benefit that is greater than 85% of the MBS fee – being the schedule fee less the GPG amount. The GPG amount is indexed annually on 1 November in line with the Consumer Price Index (CPI) (June quarter).</w:t>
      </w:r>
    </w:p>
    <w:p w14:paraId="7293169E" w14:textId="039C9B23" w:rsidR="00DD1C13" w:rsidRPr="0065175E" w:rsidRDefault="00DD1C13" w:rsidP="000B5E96">
      <w:pPr>
        <w:rPr>
          <w:rFonts w:ascii="Arial Narrow" w:hAnsi="Arial Narrow"/>
        </w:rPr>
      </w:pPr>
      <w:r w:rsidRPr="0065175E">
        <w:rPr>
          <w:rFonts w:ascii="Arial Narrow" w:hAnsi="Arial Narrow"/>
          <w:b/>
          <w:bCs/>
        </w:rPr>
        <w:t xml:space="preserve">AAAA </w:t>
      </w:r>
      <w:r w:rsidRPr="0065175E">
        <w:rPr>
          <w:rFonts w:ascii="Arial Narrow" w:hAnsi="Arial Narrow"/>
          <w:b/>
        </w:rPr>
        <w:t xml:space="preserve">Practice </w:t>
      </w:r>
      <w:r w:rsidRPr="008F1B9E">
        <w:rPr>
          <w:rFonts w:ascii="Arial Narrow" w:hAnsi="Arial Narrow"/>
          <w:b/>
        </w:rPr>
        <w:t>Note:</w:t>
      </w:r>
      <w:r w:rsidRPr="0065175E">
        <w:rPr>
          <w:rFonts w:ascii="Arial Narrow" w:hAnsi="Arial Narrow"/>
        </w:rPr>
        <w:t xml:space="preserve"> </w:t>
      </w:r>
      <w:r w:rsidR="00F3663D">
        <w:rPr>
          <w:rFonts w:ascii="Arial Narrow" w:hAnsi="Arial Narrow"/>
        </w:rPr>
        <w:t>W</w:t>
      </w:r>
      <w:r w:rsidR="00F3663D" w:rsidRPr="0065175E">
        <w:rPr>
          <w:rFonts w:ascii="Arial Narrow" w:hAnsi="Arial Narrow"/>
        </w:rPr>
        <w:t xml:space="preserve">here </w:t>
      </w:r>
      <w:r w:rsidRPr="0065175E">
        <w:rPr>
          <w:rFonts w:ascii="Arial Narrow" w:hAnsi="Arial Narrow"/>
        </w:rPr>
        <w:t>the couple is already pregnant</w:t>
      </w:r>
      <w:r w:rsidR="00F3663D">
        <w:rPr>
          <w:rFonts w:ascii="Arial Narrow" w:hAnsi="Arial Narrow"/>
        </w:rPr>
        <w:t xml:space="preserve"> and both patients are </w:t>
      </w:r>
      <w:r w:rsidR="00F3663D" w:rsidRPr="00F3663D">
        <w:rPr>
          <w:rFonts w:ascii="Arial Narrow" w:hAnsi="Arial Narrow"/>
        </w:rPr>
        <w:t>of Ashkenazi Jewish descent</w:t>
      </w:r>
      <w:r w:rsidRPr="0065175E">
        <w:rPr>
          <w:rFonts w:ascii="Arial Narrow" w:hAnsi="Arial Narrow"/>
        </w:rPr>
        <w:t>, concurrent testing of any partner(s) not already tested is recommended.</w:t>
      </w:r>
    </w:p>
    <w:p w14:paraId="138D2B89" w14:textId="7316C5DF" w:rsidR="000B5E96" w:rsidRDefault="000B5E96" w:rsidP="000B5E96">
      <w:r>
        <w:t>MSAC noted and agreed with the clinical management algorithm.</w:t>
      </w:r>
    </w:p>
    <w:p w14:paraId="29CBF106" w14:textId="7E89C2D8" w:rsidR="000B5E96" w:rsidRDefault="0065175E" w:rsidP="000B5E96">
      <w:r>
        <w:t xml:space="preserve">MSAC noted that </w:t>
      </w:r>
      <w:r w:rsidR="00BE6A01">
        <w:t>Ashkenazi Jewish</w:t>
      </w:r>
      <w:r w:rsidR="000B5E96">
        <w:t xml:space="preserve"> individuals are at a &gt;10% personal risk of being a heterozygous genetic carrier of a clinically significant disorder associated with pathogenic or likely pathogenic variants of the genes in the testing panel. </w:t>
      </w:r>
      <w:r>
        <w:t xml:space="preserve">MSAC considered there to be high clinical need for this testing, as the conditions have a severe impact on the affected child and their family, as well as society. </w:t>
      </w:r>
      <w:r w:rsidR="006624FD">
        <w:t>MSAC noted in gauging the demand that i</w:t>
      </w:r>
      <w:r w:rsidR="000B5E96">
        <w:t xml:space="preserve">n 2016, Australia’s total Jewish population was approximately 117,903 </w:t>
      </w:r>
      <w:r w:rsidR="006624FD">
        <w:t xml:space="preserve">with the </w:t>
      </w:r>
      <w:r w:rsidR="000B5E96">
        <w:t xml:space="preserve">majority </w:t>
      </w:r>
      <w:r w:rsidR="006624FD">
        <w:t>being</w:t>
      </w:r>
      <w:r w:rsidR="000B5E96">
        <w:t xml:space="preserve"> </w:t>
      </w:r>
      <w:r w:rsidR="00BE6A01">
        <w:t>Ashkenazi Jewish</w:t>
      </w:r>
      <w:r w:rsidR="00751B36">
        <w:t>,</w:t>
      </w:r>
      <w:r w:rsidR="006624FD">
        <w:t xml:space="preserve"> and t</w:t>
      </w:r>
      <w:r w:rsidR="000B5E96">
        <w:t xml:space="preserve">here were 1,224 </w:t>
      </w:r>
      <w:r w:rsidR="00751B36">
        <w:t xml:space="preserve">annual </w:t>
      </w:r>
      <w:r w:rsidR="000B5E96">
        <w:t xml:space="preserve">births among the </w:t>
      </w:r>
      <w:r w:rsidR="00BE6A01">
        <w:t>Jewish</w:t>
      </w:r>
      <w:r w:rsidR="000B5E96">
        <w:t xml:space="preserve"> population</w:t>
      </w:r>
      <w:r w:rsidR="00EB445A">
        <w:rPr>
          <w:rStyle w:val="FootnoteReference"/>
        </w:rPr>
        <w:footnoteReference w:id="2"/>
      </w:r>
      <w:r w:rsidR="000B5E96">
        <w:t>.</w:t>
      </w:r>
    </w:p>
    <w:p w14:paraId="0FEA4D3F" w14:textId="348724E0" w:rsidR="000B5E96" w:rsidRDefault="000B5E96" w:rsidP="000B5E96">
      <w:r>
        <w:lastRenderedPageBreak/>
        <w:t>MSAC considered the base case comparator (</w:t>
      </w:r>
      <w:r w:rsidR="0065175E">
        <w:t xml:space="preserve">reproductive carrier testing for </w:t>
      </w:r>
      <w:r>
        <w:t>CF/SMA/FXS</w:t>
      </w:r>
      <w:r w:rsidR="0065175E">
        <w:t>, previously supported</w:t>
      </w:r>
      <w:r>
        <w:t xml:space="preserve"> </w:t>
      </w:r>
      <w:r w:rsidR="0065175E">
        <w:t xml:space="preserve">under </w:t>
      </w:r>
      <w:r>
        <w:t>Application 1573) to be appropriate</w:t>
      </w:r>
      <w:r w:rsidR="002B2882">
        <w:t>, noting that</w:t>
      </w:r>
      <w:r w:rsidR="0065175E">
        <w:t xml:space="preserve"> this testing will be listed on the MBS on 1 November </w:t>
      </w:r>
      <w:r w:rsidR="007B0FDE">
        <w:t>2023</w:t>
      </w:r>
      <w:r w:rsidR="002B2882">
        <w:rPr>
          <w:iCs/>
        </w:rPr>
        <w:t>.</w:t>
      </w:r>
    </w:p>
    <w:p w14:paraId="2AA22A1A" w14:textId="3F9E7519" w:rsidR="000B5E96" w:rsidRDefault="000B5E96" w:rsidP="000B5E96">
      <w:r>
        <w:t xml:space="preserve">MSAC noted that the application could not identify any studies that met the inclusion criteria for assessing direct test to health outcomes or evidence of targeted carrier testing for severe monogenic conditions compared to genetic carrier testing for CF, SMA and FXS, or to no genetic carrier testing. </w:t>
      </w:r>
      <w:r w:rsidR="00CD16BB">
        <w:t>Therefore,</w:t>
      </w:r>
      <w:r w:rsidR="00C86D33">
        <w:t xml:space="preserve"> a linked evidence approach was adopted, which </w:t>
      </w:r>
      <w:r>
        <w:t>identified 18 studies</w:t>
      </w:r>
      <w:r w:rsidR="00C86D33">
        <w:t xml:space="preserve">, though </w:t>
      </w:r>
      <w:r w:rsidR="00691F90">
        <w:t xml:space="preserve">all </w:t>
      </w:r>
      <w:r>
        <w:t>18 studies</w:t>
      </w:r>
      <w:r w:rsidR="00C86D33">
        <w:t xml:space="preserve"> were assessed as having </w:t>
      </w:r>
      <w:r>
        <w:t>a high risk of bias.</w:t>
      </w:r>
    </w:p>
    <w:p w14:paraId="2A35F479" w14:textId="7B274671" w:rsidR="000B5E96" w:rsidRDefault="000B5E96" w:rsidP="000B5E96">
      <w:r>
        <w:t xml:space="preserve">MSAC noted ESC’s concern about the potential </w:t>
      </w:r>
      <w:r w:rsidR="005566FC">
        <w:t xml:space="preserve">for </w:t>
      </w:r>
      <w:r>
        <w:t xml:space="preserve">psychological harm </w:t>
      </w:r>
      <w:r w:rsidR="005566FC">
        <w:t>in</w:t>
      </w:r>
      <w:r>
        <w:t xml:space="preserve"> </w:t>
      </w:r>
      <w:r w:rsidR="002906D9">
        <w:t xml:space="preserve">undergoing </w:t>
      </w:r>
      <w:r>
        <w:t xml:space="preserve">pre-implantation genetic </w:t>
      </w:r>
      <w:proofErr w:type="gramStart"/>
      <w:r>
        <w:t>diagnosis, but</w:t>
      </w:r>
      <w:proofErr w:type="gramEnd"/>
      <w:r>
        <w:t xml:space="preserve"> noted the lack of evidence </w:t>
      </w:r>
      <w:r w:rsidR="00095C6B">
        <w:t xml:space="preserve">for </w:t>
      </w:r>
      <w:r>
        <w:t xml:space="preserve">this. MSAC noted a school-based study showed low levels of anxiety regarding this genetic testing. MSAC noted that there was no comparative evidence identified for the safety of targeted carrier testing for severe monogenic conditions compared with genetic carrier testing for CF, SMA and FXS. </w:t>
      </w:r>
      <w:r w:rsidR="00095C6B">
        <w:t>On balance</w:t>
      </w:r>
      <w:r>
        <w:t xml:space="preserve">, MSAC </w:t>
      </w:r>
      <w:r w:rsidR="00095C6B">
        <w:t xml:space="preserve">advised the testing was likely safe, though </w:t>
      </w:r>
      <w:r w:rsidR="004B217B">
        <w:t xml:space="preserve">it acknowledged </w:t>
      </w:r>
      <w:r w:rsidR="00095C6B">
        <w:t xml:space="preserve">that some uncertainty remained </w:t>
      </w:r>
      <w:r>
        <w:t>regard</w:t>
      </w:r>
      <w:r w:rsidR="00095C6B">
        <w:t>ing</w:t>
      </w:r>
      <w:r>
        <w:t xml:space="preserve"> the </w:t>
      </w:r>
      <w:r w:rsidR="004B217B">
        <w:t>potential psychological harms</w:t>
      </w:r>
      <w:r w:rsidR="00C86D33">
        <w:t xml:space="preserve"> of </w:t>
      </w:r>
      <w:r w:rsidR="004B217B">
        <w:t xml:space="preserve">reproductive carrier </w:t>
      </w:r>
      <w:r w:rsidR="00C86D33">
        <w:t>testing</w:t>
      </w:r>
      <w:r>
        <w:t>.</w:t>
      </w:r>
    </w:p>
    <w:p w14:paraId="72F0954E" w14:textId="3800F8A7" w:rsidR="000B5E96" w:rsidRDefault="000B5E96" w:rsidP="000B5E96">
      <w:r>
        <w:t xml:space="preserve">MSAC noted that an evaluation of school-based TSD testing programs in the </w:t>
      </w:r>
      <w:r w:rsidR="00BE6A01">
        <w:t>Ashkenazi Jewish</w:t>
      </w:r>
      <w:r>
        <w:t xml:space="preserve"> population showed that these programs have high levels of participation (&gt;98%), and that no Australian testing program participant has had a TSD-affected child, representing 100% health outcomes effectiveness in this cohort. Thus, MSAC considered it reasonable to assume superior</w:t>
      </w:r>
      <w:r w:rsidR="00C86D33">
        <w:t xml:space="preserve"> effectiveness of the proposed carrier testing</w:t>
      </w:r>
      <w:r w:rsidR="00C069D8">
        <w:t xml:space="preserve"> relative to the comparator</w:t>
      </w:r>
      <w:r>
        <w:t xml:space="preserve"> as it would identify more carriers and provide more people with informed reproductive choices.</w:t>
      </w:r>
    </w:p>
    <w:p w14:paraId="129CB8E4" w14:textId="42DD9690" w:rsidR="000B5E96" w:rsidRDefault="000B5E96" w:rsidP="000B5E96">
      <w:r>
        <w:t xml:space="preserve">MSAC noted that the economic evaluation was a cost-effectiveness analysis. </w:t>
      </w:r>
      <w:r w:rsidR="00EB445A">
        <w:rPr>
          <w:szCs w:val="24"/>
        </w:rPr>
        <w:t xml:space="preserve">MSAC considered that the value of the test mostly arose from the improved basis for reproductive </w:t>
      </w:r>
      <w:proofErr w:type="gramStart"/>
      <w:r w:rsidR="00EB445A">
        <w:rPr>
          <w:szCs w:val="24"/>
        </w:rPr>
        <w:t>decision-making, and</w:t>
      </w:r>
      <w:proofErr w:type="gramEnd"/>
      <w:r w:rsidR="00EB445A">
        <w:rPr>
          <w:szCs w:val="24"/>
        </w:rPr>
        <w:t xml:space="preserve"> accepted that many of these decisions had also been shown to consequently reduce overall costs to the healthcare system. </w:t>
      </w:r>
      <w:r w:rsidRPr="00847BB2">
        <w:t xml:space="preserve">MSAC noted that the proposed testing (items AAAA and CCCC) has dominant cost-effectiveness when lifetime healthcare costs are </w:t>
      </w:r>
      <w:proofErr w:type="gramStart"/>
      <w:r w:rsidR="002E5496" w:rsidRPr="00847BB2">
        <w:t>taken into account</w:t>
      </w:r>
      <w:proofErr w:type="gramEnd"/>
      <w:r w:rsidR="00095C6B" w:rsidRPr="00847BB2">
        <w:t xml:space="preserve">, </w:t>
      </w:r>
      <w:r w:rsidR="008F6DE1" w:rsidRPr="00847BB2">
        <w:t>and</w:t>
      </w:r>
      <w:r w:rsidR="00095C6B" w:rsidRPr="00847BB2">
        <w:t xml:space="preserve"> when only the costs of testing are taken into account the</w:t>
      </w:r>
      <w:r w:rsidR="007D750B" w:rsidRPr="00847BB2">
        <w:t xml:space="preserve"> incremental cost-effectiveness ratio</w:t>
      </w:r>
      <w:r w:rsidR="00095C6B" w:rsidRPr="00847BB2">
        <w:t xml:space="preserve"> </w:t>
      </w:r>
      <w:r w:rsidR="007D750B" w:rsidRPr="00847BB2">
        <w:t>(</w:t>
      </w:r>
      <w:r w:rsidR="00095C6B" w:rsidRPr="00847BB2">
        <w:t>ICER</w:t>
      </w:r>
      <w:r w:rsidR="007D750B" w:rsidRPr="00847BB2">
        <w:t>)</w:t>
      </w:r>
      <w:r w:rsidR="00095C6B" w:rsidRPr="00847BB2">
        <w:t xml:space="preserve"> is $2 per affected birth averted</w:t>
      </w:r>
      <w:r w:rsidRPr="00847BB2">
        <w:t>.</w:t>
      </w:r>
      <w:r>
        <w:t xml:space="preserve"> MSAC agreed with ESC that </w:t>
      </w:r>
      <w:r w:rsidR="00155A52" w:rsidRPr="00A73FC7">
        <w:rPr>
          <w:rFonts w:eastAsia="Calibri" w:cs="Times New Roman"/>
          <w:iCs/>
        </w:rPr>
        <w:t xml:space="preserve">testing in the </w:t>
      </w:r>
      <w:r w:rsidR="00155A52">
        <w:rPr>
          <w:rFonts w:eastAsia="Calibri" w:cs="Times New Roman"/>
          <w:iCs/>
        </w:rPr>
        <w:t>preconception</w:t>
      </w:r>
      <w:r w:rsidR="00155A52" w:rsidRPr="00A73FC7">
        <w:rPr>
          <w:rFonts w:eastAsia="Calibri" w:cs="Times New Roman"/>
          <w:iCs/>
        </w:rPr>
        <w:t xml:space="preserve"> stage </w:t>
      </w:r>
      <w:r w:rsidR="00155A52">
        <w:rPr>
          <w:rFonts w:eastAsia="Calibri" w:cs="Times New Roman"/>
          <w:iCs/>
        </w:rPr>
        <w:t xml:space="preserve">was more cost-effective (in the sense of resulting in a lower ICER per </w:t>
      </w:r>
      <w:r w:rsidR="007D750B">
        <w:rPr>
          <w:rFonts w:eastAsia="Calibri" w:cs="Times New Roman"/>
          <w:iCs/>
        </w:rPr>
        <w:t xml:space="preserve">affected birth </w:t>
      </w:r>
      <w:r w:rsidR="00155A52">
        <w:rPr>
          <w:rFonts w:eastAsia="Calibri" w:cs="Times New Roman"/>
          <w:iCs/>
        </w:rPr>
        <w:t xml:space="preserve">averted) </w:t>
      </w:r>
      <w:r w:rsidR="00155A52" w:rsidRPr="00A73FC7">
        <w:rPr>
          <w:rFonts w:eastAsia="Calibri" w:cs="Times New Roman"/>
          <w:iCs/>
        </w:rPr>
        <w:t xml:space="preserve">than </w:t>
      </w:r>
      <w:r w:rsidR="00155A52">
        <w:rPr>
          <w:rFonts w:eastAsia="Calibri" w:cs="Times New Roman"/>
          <w:iCs/>
        </w:rPr>
        <w:t xml:space="preserve">pre-natal </w:t>
      </w:r>
      <w:r w:rsidR="00155A52" w:rsidRPr="00A73FC7">
        <w:rPr>
          <w:rFonts w:eastAsia="Calibri" w:cs="Times New Roman"/>
          <w:iCs/>
        </w:rPr>
        <w:t>testing (notably for TSD</w:t>
      </w:r>
      <w:r w:rsidR="00155A52">
        <w:rPr>
          <w:rFonts w:eastAsia="Calibri" w:cs="Times New Roman"/>
          <w:iCs/>
        </w:rPr>
        <w:t>).</w:t>
      </w:r>
    </w:p>
    <w:p w14:paraId="216DB781" w14:textId="76956629" w:rsidR="000B5E96" w:rsidRDefault="000B5E96" w:rsidP="000B5E96">
      <w:r>
        <w:t xml:space="preserve">MSAC noted that </w:t>
      </w:r>
      <w:r w:rsidR="00D54EC1">
        <w:t xml:space="preserve">the model calculations </w:t>
      </w:r>
      <w:r w:rsidR="00003D88">
        <w:t xml:space="preserve">used </w:t>
      </w:r>
      <w:r>
        <w:t xml:space="preserve">an artificial population of 100,000 patients </w:t>
      </w:r>
      <w:r w:rsidR="001C0FA5">
        <w:t xml:space="preserve">along with assumptions about the </w:t>
      </w:r>
      <w:r w:rsidR="00003D88">
        <w:t>proportions</w:t>
      </w:r>
      <w:r w:rsidR="001C0FA5">
        <w:t xml:space="preserve"> of </w:t>
      </w:r>
      <w:r>
        <w:t>preconception</w:t>
      </w:r>
      <w:r w:rsidR="001C0FA5">
        <w:t xml:space="preserve"> versus </w:t>
      </w:r>
      <w:r>
        <w:t>prenatal</w:t>
      </w:r>
      <w:r w:rsidR="00003D88">
        <w:t xml:space="preserve"> reproductive carrier testing</w:t>
      </w:r>
      <w:r>
        <w:t>,</w:t>
      </w:r>
      <w:r w:rsidR="001C0FA5">
        <w:t xml:space="preserve"> and </w:t>
      </w:r>
      <w:r w:rsidR="00003D88">
        <w:t xml:space="preserve">made </w:t>
      </w:r>
      <w:r w:rsidR="001C0FA5">
        <w:t>assumptions about the share of couple</w:t>
      </w:r>
      <w:r w:rsidR="00003D88">
        <w:t xml:space="preserve">s requiring a combination of AAAA &amp; </w:t>
      </w:r>
      <w:r w:rsidR="009A38E0">
        <w:t xml:space="preserve">CCCC </w:t>
      </w:r>
      <w:r w:rsidR="00003D88">
        <w:t xml:space="preserve">(i.e. </w:t>
      </w:r>
      <w:r w:rsidR="00EB445A">
        <w:t xml:space="preserve">reproductive couples in which </w:t>
      </w:r>
      <w:r w:rsidR="00003D88">
        <w:t xml:space="preserve">one partner is not Ashkenazi Jewish and so ineligible for AAAA) </w:t>
      </w:r>
      <w:r w:rsidR="001C0FA5">
        <w:t>in order to generate outcomes</w:t>
      </w:r>
      <w:r w:rsidR="00AD50B3">
        <w:t xml:space="preserve"> in term of the number of </w:t>
      </w:r>
      <w:r>
        <w:t>potentially affected</w:t>
      </w:r>
      <w:r w:rsidR="001C0FA5">
        <w:t xml:space="preserve"> </w:t>
      </w:r>
      <w:r w:rsidR="00AD50B3">
        <w:t xml:space="preserve">births and the </w:t>
      </w:r>
      <w:r w:rsidR="00EB445A">
        <w:t xml:space="preserve">lifetime healthcare </w:t>
      </w:r>
      <w:r w:rsidR="00AD50B3">
        <w:t xml:space="preserve">costs associated with these </w:t>
      </w:r>
      <w:r w:rsidR="00EB445A">
        <w:t>conditions</w:t>
      </w:r>
      <w:r>
        <w:t xml:space="preserve">. The main drivers of the model were the specificity of genetic carrier testing for severe monogenic conditions and the lifetime costs of </w:t>
      </w:r>
      <w:r w:rsidR="00EB445A">
        <w:t>health</w:t>
      </w:r>
      <w:r>
        <w:t xml:space="preserve">care. MSAC noted ESC’s concern that the proportion of </w:t>
      </w:r>
      <w:r w:rsidR="00EB445A">
        <w:t>preconception</w:t>
      </w:r>
      <w:r>
        <w:t xml:space="preserve"> v</w:t>
      </w:r>
      <w:r w:rsidR="00751B36">
        <w:t>ersu</w:t>
      </w:r>
      <w:r>
        <w:t>s pre-natal testing (base case: 20% vs 80%</w:t>
      </w:r>
      <w:r w:rsidR="00751B36">
        <w:t>)</w:t>
      </w:r>
      <w:r w:rsidR="00D54EC1">
        <w:t xml:space="preserve"> was based on a general population estimate,</w:t>
      </w:r>
      <w:r w:rsidR="00EB445A">
        <w:t xml:space="preserve"> and </w:t>
      </w:r>
      <w:r w:rsidR="00751B36">
        <w:t>that</w:t>
      </w:r>
      <w:r w:rsidR="00EB445A">
        <w:t xml:space="preserve"> the proportion of preconception testing</w:t>
      </w:r>
      <w:r>
        <w:t xml:space="preserve"> may be an additional driver of cost-effectiveness that had been insufficiently explored</w:t>
      </w:r>
      <w:r w:rsidR="00EB445A">
        <w:t xml:space="preserve">. </w:t>
      </w:r>
      <w:r w:rsidR="00751B36">
        <w:t xml:space="preserve">MSAC noted the rejoinder included calculations showing that adjusting the uptake rate by 10% results in a maximum 26% change in the total financial costs of listing. </w:t>
      </w:r>
      <w:r w:rsidR="00EB445A">
        <w:t>MSAC considered that individuals of Ashkenazi Jewish descent may have heightened awareness of their risk</w:t>
      </w:r>
      <w:r w:rsidR="00F70F25">
        <w:t xml:space="preserve"> of conditions</w:t>
      </w:r>
      <w:r w:rsidR="00EB445A">
        <w:t xml:space="preserve"> and greater uptake of preconception testing</w:t>
      </w:r>
      <w:r>
        <w:t xml:space="preserve"> and </w:t>
      </w:r>
      <w:r w:rsidR="00EB445A">
        <w:t xml:space="preserve">so </w:t>
      </w:r>
      <w:r>
        <w:t xml:space="preserve">the estimated uptake may be </w:t>
      </w:r>
      <w:r w:rsidR="00751B36">
        <w:t>an underestimate</w:t>
      </w:r>
      <w:r>
        <w:t xml:space="preserve">. </w:t>
      </w:r>
    </w:p>
    <w:p w14:paraId="09259DF1" w14:textId="7A55859C" w:rsidR="000B5E96" w:rsidRDefault="000B5E96" w:rsidP="000B5E96">
      <w:r>
        <w:t>MSAC noted the financial impact</w:t>
      </w:r>
      <w:r w:rsidR="00583396">
        <w:t xml:space="preserve"> to the MBS was estimated at $220,919</w:t>
      </w:r>
      <w:r w:rsidR="005534EE">
        <w:t xml:space="preserve"> in year 1 (assumed 2021-22)</w:t>
      </w:r>
      <w:r w:rsidR="00583396">
        <w:t xml:space="preserve"> decreasing to $111,338 in year 6</w:t>
      </w:r>
      <w:r w:rsidR="009A38E0">
        <w:t xml:space="preserve"> (</w:t>
      </w:r>
      <w:r w:rsidR="005534EE">
        <w:t xml:space="preserve">assumed 2026-27; </w:t>
      </w:r>
      <w:r w:rsidR="009A38E0">
        <w:t xml:space="preserve">noting the financial impact assumes </w:t>
      </w:r>
      <w:r w:rsidR="005534EE">
        <w:t>an average annual financial saving to the MBS of $</w:t>
      </w:r>
      <w:r w:rsidR="005534EE" w:rsidRPr="005534EE">
        <w:t>91</w:t>
      </w:r>
      <w:r w:rsidR="005534EE">
        <w:t>,</w:t>
      </w:r>
      <w:r w:rsidR="005534EE" w:rsidRPr="005534EE">
        <w:t>884</w:t>
      </w:r>
      <w:r w:rsidR="005534EE">
        <w:t xml:space="preserve"> from 1 November 2023, </w:t>
      </w:r>
      <w:r w:rsidR="005534EE">
        <w:lastRenderedPageBreak/>
        <w:t>associated with the listing of CF/SMA/FXS testing supported under MSAC 1573)</w:t>
      </w:r>
      <w:r w:rsidR="00583396">
        <w:t xml:space="preserve">, MSAC also noted a small </w:t>
      </w:r>
      <w:r w:rsidR="004D5F93">
        <w:t xml:space="preserve">potential </w:t>
      </w:r>
      <w:r w:rsidR="00583396">
        <w:t xml:space="preserve">increase in financial cost to </w:t>
      </w:r>
      <w:r w:rsidR="007D750B">
        <w:t xml:space="preserve">the </w:t>
      </w:r>
      <w:r w:rsidR="00583396">
        <w:t>State</w:t>
      </w:r>
      <w:r w:rsidR="00AC49C6">
        <w:t>s</w:t>
      </w:r>
      <w:r w:rsidR="00583396">
        <w:t>/</w:t>
      </w:r>
      <w:r w:rsidR="004D5F93">
        <w:t>Territories for</w:t>
      </w:r>
      <w:r w:rsidR="00583396">
        <w:t xml:space="preserve"> terminations. MSAC considered these to be reasonable estimates, and advised they resulted in an acceptable financial cost</w:t>
      </w:r>
      <w:r>
        <w:t xml:space="preserve">. </w:t>
      </w:r>
      <w:r w:rsidR="00583396">
        <w:t xml:space="preserve"> </w:t>
      </w:r>
    </w:p>
    <w:p w14:paraId="181710B8" w14:textId="48BF52EA" w:rsidR="00F018F9" w:rsidRDefault="00F018F9" w:rsidP="000B5E96">
      <w:r>
        <w:t xml:space="preserve">MSAC noted advice from </w:t>
      </w:r>
      <w:r w:rsidRPr="00F018F9">
        <w:t xml:space="preserve">the National Pathology Accreditation Advisory Council </w:t>
      </w:r>
      <w:r>
        <w:t xml:space="preserve">(NPAAC) that there is no </w:t>
      </w:r>
      <w:r w:rsidRPr="00F018F9">
        <w:rPr>
          <w:lang w:val="en-US"/>
        </w:rPr>
        <w:t xml:space="preserve">specific </w:t>
      </w:r>
      <w:r>
        <w:rPr>
          <w:lang w:val="en-US"/>
        </w:rPr>
        <w:t>external quality assurance (</w:t>
      </w:r>
      <w:r w:rsidRPr="00F018F9">
        <w:rPr>
          <w:lang w:val="en-US"/>
        </w:rPr>
        <w:t>EQA</w:t>
      </w:r>
      <w:r>
        <w:rPr>
          <w:lang w:val="en-US"/>
        </w:rPr>
        <w:t>)</w:t>
      </w:r>
      <w:r w:rsidRPr="00F018F9">
        <w:rPr>
          <w:lang w:val="en-US"/>
        </w:rPr>
        <w:t xml:space="preserve"> program for this </w:t>
      </w:r>
      <w:r w:rsidR="004D5F93">
        <w:rPr>
          <w:lang w:val="en-US"/>
        </w:rPr>
        <w:t xml:space="preserve">particular </w:t>
      </w:r>
      <w:r w:rsidRPr="00F018F9">
        <w:rPr>
          <w:lang w:val="en-US"/>
        </w:rPr>
        <w:t xml:space="preserve">panel in Australia or </w:t>
      </w:r>
      <w:proofErr w:type="gramStart"/>
      <w:r w:rsidRPr="00F018F9">
        <w:rPr>
          <w:lang w:val="en-US"/>
        </w:rPr>
        <w:t>internationally</w:t>
      </w:r>
      <w:r>
        <w:rPr>
          <w:lang w:val="en-US"/>
        </w:rPr>
        <w:t>, and</w:t>
      </w:r>
      <w:proofErr w:type="gramEnd"/>
      <w:r>
        <w:rPr>
          <w:lang w:val="en-US"/>
        </w:rPr>
        <w:t xml:space="preserve"> considered that testing would need to </w:t>
      </w:r>
      <w:r w:rsidR="004D5F93">
        <w:rPr>
          <w:lang w:val="en-US"/>
        </w:rPr>
        <w:t>follow standard technology-based</w:t>
      </w:r>
      <w:r>
        <w:rPr>
          <w:lang w:val="en-US"/>
        </w:rPr>
        <w:t xml:space="preserve"> EQA</w:t>
      </w:r>
      <w:r w:rsidRPr="00F018F9">
        <w:rPr>
          <w:lang w:val="en-US"/>
        </w:rPr>
        <w:t>.</w:t>
      </w:r>
    </w:p>
    <w:p w14:paraId="6710B69D" w14:textId="253AB6CA" w:rsidR="00772829" w:rsidRDefault="00E96E47" w:rsidP="002A18BE">
      <w:pPr>
        <w:pStyle w:val="Heading2"/>
        <w:numPr>
          <w:ilvl w:val="0"/>
          <w:numId w:val="0"/>
        </w:numPr>
      </w:pPr>
      <w:bookmarkStart w:id="19" w:name="_Toc103096502"/>
      <w:bookmarkEnd w:id="2"/>
      <w:r>
        <w:t>4</w:t>
      </w:r>
      <w:r w:rsidR="00C36633">
        <w:t>.</w:t>
      </w:r>
      <w:r w:rsidR="00C36633">
        <w:tab/>
      </w:r>
      <w:r w:rsidR="00772829" w:rsidRPr="00CE28E3">
        <w:t>Background</w:t>
      </w:r>
      <w:bookmarkEnd w:id="19"/>
    </w:p>
    <w:p w14:paraId="27B37B65" w14:textId="1DAC6AB8" w:rsidR="00EF5BE3" w:rsidRDefault="00EF5BE3" w:rsidP="00EF5BE3">
      <w:pPr>
        <w:jc w:val="both"/>
      </w:pPr>
      <w:r>
        <w:t>T</w:t>
      </w:r>
      <w:r w:rsidRPr="00BC2CE8">
        <w:t xml:space="preserve">he Royal College of Pathologists of Australasia (RCPA) </w:t>
      </w:r>
      <w:r>
        <w:t xml:space="preserve">submitted MSAC Application 1671 for Medicare Benefits Schedule (MBS) funding of targeted genetic carrier testing for severe monogenic conditions that, although relatively rare in the broader Australian population, are </w:t>
      </w:r>
      <w:r w:rsidRPr="00017FFA">
        <w:t xml:space="preserve">highly prevalent in </w:t>
      </w:r>
      <w:r>
        <w:t xml:space="preserve">certain </w:t>
      </w:r>
      <w:r w:rsidRPr="00017FFA">
        <w:t>ethnic groups</w:t>
      </w:r>
      <w:r>
        <w:t>. As submitted, the application sought the listing of new MBS items for genetic testing for any severe monogenic condition prevalent in any subpopulation, plus CF, SMA and FXS. The RCPA envisaged referrers and providers would determine the conditions to be tested for based on their patient’s ethnic heritage, as informed by published, publicly accessible gene variant lists.</w:t>
      </w:r>
    </w:p>
    <w:p w14:paraId="0DADBABF" w14:textId="7A86CD43" w:rsidR="00EF5BE3" w:rsidRDefault="00E32DB5" w:rsidP="00EF5BE3">
      <w:r>
        <w:t xml:space="preserve">Following the </w:t>
      </w:r>
      <w:r w:rsidR="00EF5BE3">
        <w:t>PASC</w:t>
      </w:r>
      <w:r>
        <w:t xml:space="preserve"> meeting, the applicant agreed to</w:t>
      </w:r>
      <w:r w:rsidR="00EF5BE3">
        <w:t xml:space="preserve"> limit</w:t>
      </w:r>
      <w:r>
        <w:t xml:space="preserve"> this application</w:t>
      </w:r>
      <w:r w:rsidR="00EF5BE3">
        <w:t xml:space="preserve"> to patients of Ashkenazi Jewish heritage. The intervention was consequently limited to variants in genes associated with the following nine conditions, plus those associated with CF, SMA and FXS: </w:t>
      </w:r>
    </w:p>
    <w:p w14:paraId="5CE1EBFB" w14:textId="77777777" w:rsidR="00EF5BE3" w:rsidRDefault="00EF5BE3" w:rsidP="00EF5BE3">
      <w:pPr>
        <w:pStyle w:val="ListParagraph"/>
        <w:widowControl w:val="0"/>
        <w:numPr>
          <w:ilvl w:val="0"/>
          <w:numId w:val="45"/>
        </w:numPr>
        <w:spacing w:before="0" w:after="0" w:line="240" w:lineRule="auto"/>
      </w:pPr>
      <w:r>
        <w:t>Bloom Syndrome (BS)</w:t>
      </w:r>
    </w:p>
    <w:p w14:paraId="6226D7AB" w14:textId="77777777" w:rsidR="00EF5BE3" w:rsidRDefault="00EF5BE3" w:rsidP="00EF5BE3">
      <w:pPr>
        <w:pStyle w:val="ListParagraph"/>
        <w:widowControl w:val="0"/>
        <w:numPr>
          <w:ilvl w:val="0"/>
          <w:numId w:val="45"/>
        </w:numPr>
        <w:spacing w:before="0" w:after="0" w:line="240" w:lineRule="auto"/>
      </w:pPr>
      <w:r>
        <w:t>Canavan disease (CD)</w:t>
      </w:r>
    </w:p>
    <w:p w14:paraId="072CB303" w14:textId="77777777" w:rsidR="00EF5BE3" w:rsidRDefault="00EF5BE3" w:rsidP="00EF5BE3">
      <w:pPr>
        <w:pStyle w:val="ListParagraph"/>
        <w:widowControl w:val="0"/>
        <w:numPr>
          <w:ilvl w:val="0"/>
          <w:numId w:val="45"/>
        </w:numPr>
        <w:spacing w:before="0" w:after="0" w:line="240" w:lineRule="auto"/>
      </w:pPr>
      <w:r>
        <w:t>Familial dysautonomia (FD)</w:t>
      </w:r>
    </w:p>
    <w:p w14:paraId="58DC1F2E" w14:textId="77777777" w:rsidR="00EF5BE3" w:rsidRDefault="00EF5BE3" w:rsidP="00EF5BE3">
      <w:pPr>
        <w:pStyle w:val="ListParagraph"/>
        <w:widowControl w:val="0"/>
        <w:numPr>
          <w:ilvl w:val="0"/>
          <w:numId w:val="45"/>
        </w:numPr>
        <w:spacing w:before="0" w:after="0" w:line="240" w:lineRule="auto"/>
      </w:pPr>
      <w:r>
        <w:t>Fanconi anaemia type C (FA)</w:t>
      </w:r>
    </w:p>
    <w:p w14:paraId="0FA4FE2E" w14:textId="77777777" w:rsidR="00EF5BE3" w:rsidRDefault="00EF5BE3" w:rsidP="00EF5BE3">
      <w:pPr>
        <w:pStyle w:val="ListParagraph"/>
        <w:widowControl w:val="0"/>
        <w:numPr>
          <w:ilvl w:val="0"/>
          <w:numId w:val="45"/>
        </w:numPr>
        <w:spacing w:before="0" w:after="0" w:line="240" w:lineRule="auto"/>
      </w:pPr>
      <w:r>
        <w:t>Gaucher disease (GD)</w:t>
      </w:r>
    </w:p>
    <w:p w14:paraId="47B7F5B7" w14:textId="77777777" w:rsidR="00EF5BE3" w:rsidRDefault="00EF5BE3" w:rsidP="00EF5BE3">
      <w:pPr>
        <w:pStyle w:val="ListParagraph"/>
        <w:widowControl w:val="0"/>
        <w:numPr>
          <w:ilvl w:val="0"/>
          <w:numId w:val="45"/>
        </w:numPr>
        <w:spacing w:before="0" w:after="0" w:line="240" w:lineRule="auto"/>
      </w:pPr>
      <w:r>
        <w:t>Glycogen storage disease type 1 (GSD1)</w:t>
      </w:r>
    </w:p>
    <w:p w14:paraId="775A407F" w14:textId="77777777" w:rsidR="00EF5BE3" w:rsidRDefault="00EF5BE3" w:rsidP="00EF5BE3">
      <w:pPr>
        <w:pStyle w:val="ListParagraph"/>
        <w:widowControl w:val="0"/>
        <w:numPr>
          <w:ilvl w:val="0"/>
          <w:numId w:val="45"/>
        </w:numPr>
        <w:spacing w:before="0" w:after="0" w:line="240" w:lineRule="auto"/>
      </w:pPr>
      <w:proofErr w:type="spellStart"/>
      <w:r>
        <w:t>Mucolipidosis</w:t>
      </w:r>
      <w:proofErr w:type="spellEnd"/>
      <w:r>
        <w:t xml:space="preserve"> type IV (MLD)</w:t>
      </w:r>
    </w:p>
    <w:p w14:paraId="5C69523A" w14:textId="77777777" w:rsidR="00EF5BE3" w:rsidRDefault="00EF5BE3" w:rsidP="00EF5BE3">
      <w:pPr>
        <w:pStyle w:val="ListParagraph"/>
        <w:widowControl w:val="0"/>
        <w:numPr>
          <w:ilvl w:val="0"/>
          <w:numId w:val="45"/>
        </w:numPr>
        <w:spacing w:before="0" w:after="0" w:line="240" w:lineRule="auto"/>
      </w:pPr>
      <w:r>
        <w:t xml:space="preserve">Niemann Pick Disease </w:t>
      </w:r>
      <w:proofErr w:type="gramStart"/>
      <w:r>
        <w:t>type</w:t>
      </w:r>
      <w:proofErr w:type="gramEnd"/>
      <w:r>
        <w:t xml:space="preserve"> A (NPD)</w:t>
      </w:r>
    </w:p>
    <w:p w14:paraId="4F847248" w14:textId="77777777" w:rsidR="00EF5BE3" w:rsidRDefault="00EF5BE3" w:rsidP="00EF5BE3">
      <w:pPr>
        <w:pStyle w:val="ListParagraph"/>
        <w:widowControl w:val="0"/>
        <w:numPr>
          <w:ilvl w:val="0"/>
          <w:numId w:val="45"/>
        </w:numPr>
        <w:spacing w:before="0" w:after="0" w:line="240" w:lineRule="auto"/>
      </w:pPr>
      <w:r>
        <w:t>Tay-Sachs Disease (TSD)</w:t>
      </w:r>
    </w:p>
    <w:p w14:paraId="358FDF8C" w14:textId="7BAE5DFE" w:rsidR="00EF5BE3" w:rsidRDefault="00766C14" w:rsidP="00EF5BE3">
      <w:r>
        <w:t>MSAC has not previously considered the use of targeted carrier testing for the nine severe monogenic conditions</w:t>
      </w:r>
      <w:r w:rsidR="00C836AA">
        <w:t xml:space="preserve"> nominated in this application</w:t>
      </w:r>
      <w:r>
        <w:t xml:space="preserve">. </w:t>
      </w:r>
      <w:r w:rsidR="00EF5BE3">
        <w:t xml:space="preserve">ESC and MSAC </w:t>
      </w:r>
      <w:r w:rsidR="007B0FDE">
        <w:t>considered</w:t>
      </w:r>
      <w:r w:rsidR="00EF5BE3">
        <w:t xml:space="preserve"> a related application, </w:t>
      </w:r>
      <w:r w:rsidR="00EF5BE3">
        <w:rPr>
          <w:bCs/>
        </w:rPr>
        <w:t>MSAC Application 1637, for e</w:t>
      </w:r>
      <w:r w:rsidR="00EF5BE3" w:rsidRPr="007041AC">
        <w:rPr>
          <w:bCs/>
        </w:rPr>
        <w:t>xpanded reproductive carrier testing of</w:t>
      </w:r>
      <w:r w:rsidR="00EF5BE3">
        <w:rPr>
          <w:bCs/>
        </w:rPr>
        <w:t xml:space="preserve"> </w:t>
      </w:r>
      <w:r w:rsidR="00EF5BE3" w:rsidRPr="007041AC">
        <w:rPr>
          <w:bCs/>
        </w:rPr>
        <w:t>couples for joint carrier status of genes</w:t>
      </w:r>
      <w:r w:rsidR="00EF5BE3">
        <w:rPr>
          <w:bCs/>
        </w:rPr>
        <w:t xml:space="preserve"> </w:t>
      </w:r>
      <w:r w:rsidR="00EF5BE3" w:rsidRPr="007041AC">
        <w:rPr>
          <w:bCs/>
        </w:rPr>
        <w:t>associated with autosomal recessive and</w:t>
      </w:r>
      <w:r w:rsidR="00EF5BE3">
        <w:rPr>
          <w:bCs/>
        </w:rPr>
        <w:t xml:space="preserve"> </w:t>
      </w:r>
      <w:r w:rsidR="00EF5BE3" w:rsidRPr="007041AC">
        <w:rPr>
          <w:bCs/>
        </w:rPr>
        <w:t>X-linked conditions</w:t>
      </w:r>
      <w:r w:rsidR="00EF5BE3">
        <w:rPr>
          <w:bCs/>
        </w:rPr>
        <w:t xml:space="preserve"> at the June and July </w:t>
      </w:r>
      <w:r w:rsidR="00E32DB5">
        <w:rPr>
          <w:bCs/>
        </w:rPr>
        <w:t xml:space="preserve">2022 </w:t>
      </w:r>
      <w:r w:rsidR="00EF5BE3">
        <w:rPr>
          <w:bCs/>
        </w:rPr>
        <w:t>meeting</w:t>
      </w:r>
      <w:r w:rsidR="007B0FDE">
        <w:rPr>
          <w:bCs/>
        </w:rPr>
        <w:t>s</w:t>
      </w:r>
      <w:r w:rsidR="00EF5BE3">
        <w:rPr>
          <w:bCs/>
        </w:rPr>
        <w:t xml:space="preserve"> respectively (i.e., the same meetings at which MSAC Application 1671 </w:t>
      </w:r>
      <w:r w:rsidR="007B0FDE">
        <w:rPr>
          <w:bCs/>
        </w:rPr>
        <w:t>was</w:t>
      </w:r>
      <w:r w:rsidR="00E37849">
        <w:rPr>
          <w:bCs/>
        </w:rPr>
        <w:t xml:space="preserve"> </w:t>
      </w:r>
      <w:r w:rsidR="00EF5BE3">
        <w:rPr>
          <w:bCs/>
        </w:rPr>
        <w:t>considered).</w:t>
      </w:r>
    </w:p>
    <w:p w14:paraId="1904D75F" w14:textId="23DA7F22" w:rsidR="00766C14" w:rsidRDefault="00766C14" w:rsidP="003D1E13">
      <w:r>
        <w:t>In July 2020, MSAC supported public funding of application 1573 for three-gene reproductive carrier test</w:t>
      </w:r>
      <w:r w:rsidR="007344E1">
        <w:t>ing</w:t>
      </w:r>
      <w:r>
        <w:t xml:space="preserve"> </w:t>
      </w:r>
      <w:bookmarkStart w:id="20" w:name="_Hlk111122117"/>
      <w:r>
        <w:t xml:space="preserve">to detect </w:t>
      </w:r>
      <w:r w:rsidR="007B0FDE">
        <w:t>CF</w:t>
      </w:r>
      <w:r>
        <w:t xml:space="preserve">, </w:t>
      </w:r>
      <w:r w:rsidR="007B0FDE">
        <w:t>FXS</w:t>
      </w:r>
      <w:r>
        <w:t xml:space="preserve"> and spinal muscular</w:t>
      </w:r>
      <w:r w:rsidR="007B0FDE">
        <w:t xml:space="preserve"> SMA</w:t>
      </w:r>
      <w:bookmarkEnd w:id="20"/>
      <w:r>
        <w:t xml:space="preserve">. </w:t>
      </w:r>
      <w:r w:rsidR="00EF5BE3" w:rsidRPr="00EF5BE3">
        <w:t>In Budget 2022-23, the Australian Government agreed to the listing of items supported under MSAC Application 1573 from 1 November 2023</w:t>
      </w:r>
      <w:r w:rsidR="00EF5BE3">
        <w:t>.</w:t>
      </w:r>
    </w:p>
    <w:p w14:paraId="184DA5A7" w14:textId="2DD4B6E4" w:rsidR="00766C14" w:rsidRDefault="00766C14" w:rsidP="003D1E13">
      <w:r>
        <w:t>At the time of drafting this Department-Contracted Assessment Report (DCAR), no MBS items were</w:t>
      </w:r>
      <w:r w:rsidDel="007344E1">
        <w:t xml:space="preserve"> </w:t>
      </w:r>
      <w:r w:rsidR="007344E1">
        <w:t xml:space="preserve">listed </w:t>
      </w:r>
      <w:r>
        <w:t>for the three-condition panel supported in MSAC application 1573</w:t>
      </w:r>
      <w:r w:rsidR="008E4E6C">
        <w:t xml:space="preserve"> </w:t>
      </w:r>
      <w:r w:rsidR="007723A2">
        <w:rPr>
          <w:noProof/>
        </w:rPr>
        <w:t>(Medical Services Advisory Committee (MSAC), 2020)</w:t>
      </w:r>
      <w:r>
        <w:t>.</w:t>
      </w:r>
    </w:p>
    <w:p w14:paraId="71E14A07" w14:textId="44C76B4F" w:rsidR="00E44E21" w:rsidRPr="00766C14" w:rsidRDefault="00E44E21" w:rsidP="003D1E13">
      <w:r>
        <w:t>Genetic testing for CF is currently available through the MBS under certain circumstances (MBS items 73345, 73346, 73347, 73348, 73349, 73350).</w:t>
      </w:r>
    </w:p>
    <w:p w14:paraId="6F52500A" w14:textId="3A4FADBB" w:rsidR="00772829" w:rsidRPr="00CE28E3" w:rsidRDefault="00E96E47" w:rsidP="002A18BE">
      <w:pPr>
        <w:pStyle w:val="Heading2"/>
        <w:numPr>
          <w:ilvl w:val="0"/>
          <w:numId w:val="0"/>
        </w:numPr>
      </w:pPr>
      <w:bookmarkStart w:id="21" w:name="_Toc103096503"/>
      <w:r>
        <w:lastRenderedPageBreak/>
        <w:t>5</w:t>
      </w:r>
      <w:r w:rsidR="00C36633">
        <w:t>.</w:t>
      </w:r>
      <w:r w:rsidR="00C36633">
        <w:tab/>
      </w:r>
      <w:r w:rsidR="00772829" w:rsidRPr="00CE28E3">
        <w:t>Prerequisites to implementation of any funding advice</w:t>
      </w:r>
      <w:bookmarkEnd w:id="21"/>
    </w:p>
    <w:p w14:paraId="3E390399" w14:textId="46C82084" w:rsidR="008E4E6C" w:rsidRDefault="00F018F9" w:rsidP="008E4E6C">
      <w:r>
        <w:t xml:space="preserve">Genetic testing for disease should be undertaken in a National Association of Testing Authorities (NATA) accredited laboratory. NPAAC advised that expertise for this testing already exists as it is currently undertaken in Australia. NPAAC advised that there is no </w:t>
      </w:r>
      <w:r w:rsidRPr="00F018F9">
        <w:rPr>
          <w:lang w:val="en-US"/>
        </w:rPr>
        <w:t>specific EQA program for this panel in Australia or internationally</w:t>
      </w:r>
      <w:r>
        <w:rPr>
          <w:lang w:val="en-US"/>
        </w:rPr>
        <w:t>, and that a</w:t>
      </w:r>
      <w:r w:rsidRPr="00F018F9">
        <w:rPr>
          <w:lang w:val="en-US"/>
        </w:rPr>
        <w:t>lternatives include established EQA programs for single genes of common disorders, or sample swap with other Australian laboratories.</w:t>
      </w:r>
    </w:p>
    <w:p w14:paraId="44C3B242" w14:textId="358B3674" w:rsidR="00772829" w:rsidRDefault="00E96E47" w:rsidP="002A18BE">
      <w:pPr>
        <w:pStyle w:val="Heading2"/>
        <w:numPr>
          <w:ilvl w:val="0"/>
          <w:numId w:val="0"/>
        </w:numPr>
      </w:pPr>
      <w:bookmarkStart w:id="22" w:name="_Toc103096504"/>
      <w:r>
        <w:t>6</w:t>
      </w:r>
      <w:r w:rsidR="00C36633">
        <w:t>.</w:t>
      </w:r>
      <w:r w:rsidR="00C36633">
        <w:tab/>
      </w:r>
      <w:r w:rsidR="00772829" w:rsidRPr="00CE28E3">
        <w:t>Proposal for public funding</w:t>
      </w:r>
      <w:bookmarkEnd w:id="22"/>
    </w:p>
    <w:p w14:paraId="4096AFD3" w14:textId="2B5E633B" w:rsidR="00BF5E4F" w:rsidRPr="00BF5E4F" w:rsidRDefault="008E4E6C" w:rsidP="003D1E13">
      <w:r w:rsidRPr="00BF5E4F">
        <w:t xml:space="preserve">The applicant </w:t>
      </w:r>
      <w:r w:rsidR="00662665">
        <w:t>proposed</w:t>
      </w:r>
      <w:r w:rsidRPr="00BF5E4F">
        <w:t xml:space="preserve"> the intervention be publicly funded through the MBS. Proposed new MBS item descriptors (as considered by PASC) are presented in</w:t>
      </w:r>
      <w:r w:rsidR="004248EF" w:rsidRPr="00BF5E4F">
        <w:t xml:space="preserve"> </w:t>
      </w:r>
      <w:r w:rsidR="003A0B9B">
        <w:t>Table</w:t>
      </w:r>
      <w:r w:rsidR="007260EF">
        <w:t>s</w:t>
      </w:r>
      <w:r w:rsidR="003A0B9B">
        <w:t xml:space="preserve"> </w:t>
      </w:r>
      <w:r w:rsidR="007260EF">
        <w:t>2-5</w:t>
      </w:r>
      <w:r w:rsidR="00BF5E4F">
        <w:t>.</w:t>
      </w:r>
    </w:p>
    <w:p w14:paraId="3D645485" w14:textId="3AB4962F" w:rsidR="008E4E6C" w:rsidRDefault="008E4E6C" w:rsidP="003D1E13">
      <w:r w:rsidRPr="00E94D0D">
        <w:t>Testing would be delivered only by</w:t>
      </w:r>
      <w:r w:rsidRPr="00E94D0D">
        <w:rPr>
          <w:rFonts w:asciiTheme="minorHAnsi" w:hAnsiTheme="minorHAnsi"/>
          <w:sz w:val="20"/>
        </w:rPr>
        <w:t xml:space="preserve"> </w:t>
      </w:r>
      <w:r w:rsidRPr="00E94D0D">
        <w:t>National Association of Testing Authorities</w:t>
      </w:r>
      <w:r>
        <w:t xml:space="preserve"> (</w:t>
      </w:r>
      <w:r w:rsidRPr="00E94D0D">
        <w:t>NATA</w:t>
      </w:r>
      <w:r>
        <w:t>)-a</w:t>
      </w:r>
      <w:r w:rsidRPr="00E94D0D">
        <w:t xml:space="preserve">ccredited </w:t>
      </w:r>
      <w:r>
        <w:t>p</w:t>
      </w:r>
      <w:r w:rsidRPr="00E94D0D">
        <w:t xml:space="preserve">athology </w:t>
      </w:r>
      <w:r>
        <w:t>l</w:t>
      </w:r>
      <w:r w:rsidRPr="00E94D0D">
        <w:t xml:space="preserve">aboratories (as defined in </w:t>
      </w:r>
      <w:r>
        <w:t xml:space="preserve">the </w:t>
      </w:r>
      <w:r w:rsidRPr="00E94D0D">
        <w:t xml:space="preserve">MBS Pathology </w:t>
      </w:r>
      <w:r>
        <w:t>Services T</w:t>
      </w:r>
      <w:r w:rsidRPr="00E94D0D">
        <w:t xml:space="preserve">able) by referral only by registered </w:t>
      </w:r>
      <w:r>
        <w:t>m</w:t>
      </w:r>
      <w:r w:rsidRPr="00E94D0D">
        <w:t xml:space="preserve">edical </w:t>
      </w:r>
      <w:r>
        <w:t>p</w:t>
      </w:r>
      <w:r w:rsidRPr="00E94D0D">
        <w:t>ractitioners in line with other tests in the MBS Pathology</w:t>
      </w:r>
      <w:r>
        <w:t xml:space="preserve"> Services</w:t>
      </w:r>
      <w:r w:rsidRPr="00E94D0D">
        <w:t xml:space="preserve"> Table. Interpretation of results would be provided by approved practising pathologists with appropriate </w:t>
      </w:r>
      <w:r>
        <w:t>s</w:t>
      </w:r>
      <w:r w:rsidRPr="00E94D0D">
        <w:t xml:space="preserve">cope of </w:t>
      </w:r>
      <w:r>
        <w:t>p</w:t>
      </w:r>
      <w:r w:rsidRPr="00E94D0D">
        <w:t>ractice, or medical scientists under supervision in an accredited medical pathology service.</w:t>
      </w:r>
      <w:r>
        <w:t xml:space="preserve"> </w:t>
      </w:r>
      <w:r w:rsidRPr="00E94D0D">
        <w:t xml:space="preserve">All women considering pregnancy </w:t>
      </w:r>
      <w:r w:rsidR="00291FA7">
        <w:t xml:space="preserve">and </w:t>
      </w:r>
      <w:r w:rsidR="007344E1">
        <w:t>where they or their reproductive partner have a</w:t>
      </w:r>
      <w:r w:rsidR="00291FA7">
        <w:t xml:space="preserve"> &gt;10% personal risk </w:t>
      </w:r>
      <w:r w:rsidRPr="00E94D0D">
        <w:t xml:space="preserve">should be referred for antenatal testing by either their treating </w:t>
      </w:r>
      <w:r>
        <w:t>g</w:t>
      </w:r>
      <w:r w:rsidRPr="00E94D0D">
        <w:t xml:space="preserve">eneral </w:t>
      </w:r>
      <w:r>
        <w:t>p</w:t>
      </w:r>
      <w:r w:rsidRPr="00E94D0D">
        <w:t>ractitioner or obstetrician.</w:t>
      </w:r>
    </w:p>
    <w:p w14:paraId="4D0B3441" w14:textId="77777777" w:rsidR="008E4E6C" w:rsidRDefault="008E4E6C" w:rsidP="003D1E13">
      <w:pPr>
        <w:rPr>
          <w:iCs/>
        </w:rPr>
      </w:pPr>
      <w:r>
        <w:rPr>
          <w:iCs/>
        </w:rPr>
        <w:t>Several changes were made to the MBS item descriptors following a post-PASC meeting.</w:t>
      </w:r>
    </w:p>
    <w:p w14:paraId="41E07575" w14:textId="77777777" w:rsidR="008E4E6C" w:rsidRPr="00E94D0D" w:rsidRDefault="008E4E6C" w:rsidP="003D1E13">
      <w:pPr>
        <w:rPr>
          <w:iCs/>
        </w:rPr>
      </w:pPr>
      <w:r w:rsidRPr="00E94D0D">
        <w:rPr>
          <w:iCs/>
        </w:rPr>
        <w:t>PASC agreed with the following items:</w:t>
      </w:r>
    </w:p>
    <w:p w14:paraId="5B06ED28" w14:textId="649FEC08" w:rsidR="008E4E6C" w:rsidRPr="00E94D0D" w:rsidRDefault="008E4E6C" w:rsidP="008E4E6C">
      <w:pPr>
        <w:numPr>
          <w:ilvl w:val="0"/>
          <w:numId w:val="30"/>
        </w:numPr>
        <w:spacing w:before="0" w:after="0"/>
        <w:rPr>
          <w:iCs/>
        </w:rPr>
      </w:pPr>
      <w:r w:rsidRPr="00E94D0D">
        <w:rPr>
          <w:iCs/>
        </w:rPr>
        <w:t>Item AAAA</w:t>
      </w:r>
      <w:r>
        <w:rPr>
          <w:iCs/>
        </w:rPr>
        <w:t xml:space="preserve"> (</w:t>
      </w:r>
      <w:r w:rsidR="003A0B9B">
        <w:t xml:space="preserve">Table </w:t>
      </w:r>
      <w:r w:rsidR="007260EF">
        <w:rPr>
          <w:noProof/>
        </w:rPr>
        <w:t>2</w:t>
      </w:r>
      <w:r>
        <w:rPr>
          <w:iCs/>
        </w:rPr>
        <w:t>)</w:t>
      </w:r>
    </w:p>
    <w:p w14:paraId="33C507B3" w14:textId="662EC9A4" w:rsidR="008E4E6C" w:rsidRPr="00E94D0D" w:rsidRDefault="008E4E6C" w:rsidP="008E4E6C">
      <w:pPr>
        <w:numPr>
          <w:ilvl w:val="0"/>
          <w:numId w:val="30"/>
        </w:numPr>
        <w:spacing w:before="0" w:after="0"/>
        <w:rPr>
          <w:iCs/>
        </w:rPr>
      </w:pPr>
      <w:r w:rsidRPr="00E94D0D">
        <w:rPr>
          <w:iCs/>
        </w:rPr>
        <w:t>Item CCCC</w:t>
      </w:r>
      <w:r>
        <w:rPr>
          <w:iCs/>
        </w:rPr>
        <w:t xml:space="preserve"> (</w:t>
      </w:r>
      <w:r w:rsidR="003A0B9B">
        <w:t xml:space="preserve">Table </w:t>
      </w:r>
      <w:r w:rsidR="007260EF">
        <w:rPr>
          <w:noProof/>
        </w:rPr>
        <w:t>3</w:t>
      </w:r>
      <w:r>
        <w:rPr>
          <w:iCs/>
        </w:rPr>
        <w:t>)</w:t>
      </w:r>
    </w:p>
    <w:p w14:paraId="28C534A5" w14:textId="2BFA9782" w:rsidR="008E4E6C" w:rsidRDefault="008E4E6C" w:rsidP="008E4E6C">
      <w:pPr>
        <w:numPr>
          <w:ilvl w:val="0"/>
          <w:numId w:val="30"/>
        </w:numPr>
        <w:spacing w:before="0" w:after="0"/>
        <w:rPr>
          <w:iCs/>
        </w:rPr>
      </w:pPr>
      <w:r w:rsidRPr="00E94D0D">
        <w:rPr>
          <w:iCs/>
        </w:rPr>
        <w:t>Item EEEE</w:t>
      </w:r>
      <w:r>
        <w:rPr>
          <w:iCs/>
        </w:rPr>
        <w:t xml:space="preserve"> (</w:t>
      </w:r>
      <w:r w:rsidR="003A0B9B">
        <w:t xml:space="preserve">Table </w:t>
      </w:r>
      <w:r w:rsidR="007260EF">
        <w:rPr>
          <w:noProof/>
        </w:rPr>
        <w:t>4</w:t>
      </w:r>
      <w:r>
        <w:rPr>
          <w:iCs/>
        </w:rPr>
        <w:t>)</w:t>
      </w:r>
    </w:p>
    <w:p w14:paraId="308176E2" w14:textId="47932487" w:rsidR="008E4E6C" w:rsidRPr="00BF5E4F" w:rsidRDefault="00BF5E4F" w:rsidP="003D1E13">
      <w:pPr>
        <w:numPr>
          <w:ilvl w:val="0"/>
          <w:numId w:val="30"/>
        </w:numPr>
        <w:spacing w:before="0"/>
        <w:ind w:left="499" w:hanging="357"/>
      </w:pPr>
      <w:r w:rsidRPr="00BF5E4F">
        <w:rPr>
          <w:iCs/>
        </w:rPr>
        <w:t>Item GGGG (</w:t>
      </w:r>
      <w:r w:rsidR="003A0B9B">
        <w:t xml:space="preserve">Table </w:t>
      </w:r>
      <w:r w:rsidR="007260EF">
        <w:rPr>
          <w:noProof/>
        </w:rPr>
        <w:t>5</w:t>
      </w:r>
      <w:r w:rsidRPr="00BF5E4F">
        <w:rPr>
          <w:iCs/>
        </w:rPr>
        <w:t>)</w:t>
      </w:r>
      <w:r w:rsidR="008E4E6C" w:rsidRPr="00BF5E4F">
        <w:rPr>
          <w:iCs/>
        </w:rPr>
        <w:t>.</w:t>
      </w:r>
    </w:p>
    <w:p w14:paraId="71BA86E1" w14:textId="77777777" w:rsidR="008E4E6C" w:rsidRPr="001F1792" w:rsidRDefault="008E4E6C" w:rsidP="003D1E13">
      <w:pPr>
        <w:rPr>
          <w:iCs/>
        </w:rPr>
      </w:pPr>
      <w:bookmarkStart w:id="23" w:name="_Ref98194029"/>
      <w:bookmarkStart w:id="24" w:name="_Ref98194000"/>
      <w:r w:rsidRPr="001F1792">
        <w:rPr>
          <w:iCs/>
        </w:rPr>
        <w:t>PASC removed the applicant’s proposed item BBBB, testing of pregnant patients, on the basis that pregnant patients are of reproductive age and so would be able to access publicly funded testing under proposed item AAAA.</w:t>
      </w:r>
    </w:p>
    <w:p w14:paraId="1BD54A38" w14:textId="50958A1C" w:rsidR="008E4E6C" w:rsidRPr="001F1792" w:rsidRDefault="008E4E6C" w:rsidP="003D1E13">
      <w:pPr>
        <w:rPr>
          <w:iCs/>
        </w:rPr>
      </w:pPr>
      <w:r w:rsidRPr="001F1792">
        <w:rPr>
          <w:iCs/>
        </w:rPr>
        <w:t>PASC removed Item FFFF, interpretation of genetic carrier test results, on the basis that it would be unnecessary to support medical practitioners in providing advice to couples</w:t>
      </w:r>
      <w:r w:rsidR="00C836AA">
        <w:rPr>
          <w:iCs/>
        </w:rPr>
        <w:t>, given this is encompassed under other consultation items</w:t>
      </w:r>
      <w:r w:rsidRPr="001F1792">
        <w:rPr>
          <w:iCs/>
        </w:rPr>
        <w:t>.</w:t>
      </w:r>
    </w:p>
    <w:p w14:paraId="608D1025" w14:textId="7A5DB62E" w:rsidR="008E4E6C" w:rsidRDefault="008E4E6C" w:rsidP="003D1E13">
      <w:pPr>
        <w:rPr>
          <w:iCs/>
        </w:rPr>
      </w:pPr>
      <w:r w:rsidRPr="001F1792">
        <w:rPr>
          <w:iCs/>
        </w:rPr>
        <w:t>At the post-PASC meeting, the applicant agreed that a separate item for the cascade testing of first-degree biological relatives (DDDD) is not needed as this population ha</w:t>
      </w:r>
      <w:r>
        <w:rPr>
          <w:iCs/>
        </w:rPr>
        <w:t>s</w:t>
      </w:r>
      <w:r w:rsidRPr="001F1792">
        <w:rPr>
          <w:iCs/>
        </w:rPr>
        <w:t xml:space="preserve"> &gt;10% personal risk and so </w:t>
      </w:r>
      <w:r>
        <w:rPr>
          <w:iCs/>
        </w:rPr>
        <w:t>is</w:t>
      </w:r>
      <w:r w:rsidRPr="001F1792">
        <w:rPr>
          <w:iCs/>
        </w:rPr>
        <w:t xml:space="preserve"> already captured under AAAA.</w:t>
      </w:r>
    </w:p>
    <w:p w14:paraId="1EB1586D" w14:textId="72ED21C3" w:rsidR="008E4E6C" w:rsidRDefault="00D2787C" w:rsidP="00D2787C">
      <w:pPr>
        <w:pStyle w:val="Caption"/>
      </w:pPr>
      <w:bookmarkStart w:id="25" w:name="_Ref101381871"/>
      <w:bookmarkStart w:id="26" w:name="_Toc103096599"/>
      <w:r>
        <w:lastRenderedPageBreak/>
        <w:t xml:space="preserve">Table </w:t>
      </w:r>
      <w:r w:rsidR="007260EF">
        <w:t>2</w:t>
      </w:r>
      <w:bookmarkEnd w:id="23"/>
      <w:bookmarkEnd w:id="25"/>
      <w:r w:rsidR="00656956">
        <w:tab/>
      </w:r>
      <w:r w:rsidR="00DE52F7">
        <w:t>Proposed item descriptor for targeted carrier testing</w:t>
      </w:r>
      <w:bookmarkEnd w:id="24"/>
      <w:bookmarkEnd w:id="26"/>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8E4E6C" w:rsidRPr="00CE28E3" w14:paraId="73058920" w14:textId="77777777" w:rsidTr="00001BBB">
        <w:trPr>
          <w:cantSplit/>
          <w:trHeight w:val="350"/>
          <w:tblHeader/>
        </w:trPr>
        <w:tc>
          <w:tcPr>
            <w:tcW w:w="9016" w:type="dxa"/>
          </w:tcPr>
          <w:p w14:paraId="149A002D" w14:textId="77777777" w:rsidR="008E4E6C" w:rsidRPr="00170D5B" w:rsidRDefault="008E4E6C" w:rsidP="00001BBB">
            <w:pPr>
              <w:pStyle w:val="TableText"/>
            </w:pPr>
            <w:r>
              <w:t>Category 6 (Pathology Services) – Group P7 Genetics</w:t>
            </w:r>
          </w:p>
        </w:tc>
      </w:tr>
      <w:tr w:rsidR="008E4E6C" w:rsidRPr="00CE28E3" w14:paraId="0FCC4D68" w14:textId="77777777" w:rsidTr="00001BBB">
        <w:trPr>
          <w:cantSplit/>
          <w:tblHeader/>
        </w:trPr>
        <w:tc>
          <w:tcPr>
            <w:tcW w:w="9016" w:type="dxa"/>
          </w:tcPr>
          <w:p w14:paraId="366A751B" w14:textId="77777777" w:rsidR="008E4E6C" w:rsidRDefault="008E4E6C" w:rsidP="00001BBB">
            <w:pPr>
              <w:pStyle w:val="TableText"/>
            </w:pPr>
            <w:r>
              <w:t>MBS item AAAA</w:t>
            </w:r>
          </w:p>
          <w:p w14:paraId="0CD69BA8" w14:textId="38720114" w:rsidR="008E4E6C" w:rsidRDefault="008E4E6C" w:rsidP="003D1E13">
            <w:pPr>
              <w:pStyle w:val="TableText"/>
              <w:spacing w:before="240"/>
            </w:pPr>
            <w:r>
              <w:t xml:space="preserve">Testing of asymptomatic individuals of reproductive age, for the presence of pathogenic or likely pathogenic variants </w:t>
            </w:r>
            <w:proofErr w:type="gramStart"/>
            <w:r>
              <w:t>in order to</w:t>
            </w:r>
            <w:proofErr w:type="gramEnd"/>
            <w:r>
              <w:t xml:space="preserve"> ascertain their carrier status, in a panel of genes causing severe monogenic disorders that must include the </w:t>
            </w:r>
            <w:r>
              <w:rPr>
                <w:i/>
                <w:iCs/>
              </w:rPr>
              <w:t>CFTR</w:t>
            </w:r>
            <w:r>
              <w:t xml:space="preserve">, </w:t>
            </w:r>
            <w:r>
              <w:rPr>
                <w:i/>
                <w:iCs/>
              </w:rPr>
              <w:t>SMN1</w:t>
            </w:r>
            <w:r>
              <w:t xml:space="preserve">, </w:t>
            </w:r>
            <w:r>
              <w:rPr>
                <w:i/>
                <w:iCs/>
              </w:rPr>
              <w:t xml:space="preserve">FMR1, HEXA, ASPA, ELP1, MCOLN1, G6PC1, SLC37A4, FANCA, FANCC, FANCG, </w:t>
            </w:r>
            <w:r w:rsidR="00161D54">
              <w:rPr>
                <w:i/>
                <w:iCs/>
              </w:rPr>
              <w:t>GBA1</w:t>
            </w:r>
            <w:r>
              <w:rPr>
                <w:i/>
                <w:iCs/>
              </w:rPr>
              <w:t>, SMPD1,</w:t>
            </w:r>
            <w:r>
              <w:t xml:space="preserve"> and</w:t>
            </w:r>
            <w:r>
              <w:rPr>
                <w:i/>
                <w:iCs/>
              </w:rPr>
              <w:t xml:space="preserve"> BLM</w:t>
            </w:r>
            <w:r w:rsidRPr="00CB075C">
              <w:t xml:space="preserve"> genes, </w:t>
            </w:r>
            <w:bookmarkStart w:id="27" w:name="_Hlk112660905"/>
            <w:r>
              <w:t>requested by or on behalf of a medical practitioner who manages the treatment of the patient.</w:t>
            </w:r>
            <w:bookmarkEnd w:id="27"/>
          </w:p>
          <w:p w14:paraId="40EEE173" w14:textId="77777777" w:rsidR="008E4E6C" w:rsidRDefault="008E4E6C" w:rsidP="003D1E13">
            <w:pPr>
              <w:pStyle w:val="TableText"/>
              <w:spacing w:before="240"/>
            </w:pPr>
            <w:r>
              <w:t xml:space="preserve">Individuals must have a &gt;10% personal risk of being a genetic carrier of any of the clinical disorders associated with pathogenic or likely pathogenic variants of genes in the testing panel, namely Cystic Fibrosis, Spinal Muscular Atrophy, Fragile X Syndrome, Tay Sachs Disease, Canavan disease, Familial dysautonomia, </w:t>
            </w:r>
            <w:proofErr w:type="spellStart"/>
            <w:r>
              <w:t>Mucolipidosis</w:t>
            </w:r>
            <w:proofErr w:type="spellEnd"/>
            <w:r>
              <w:t xml:space="preserve"> Type IV, Glycogen storage disease type 1, Fanconi anaemia type C, Gaucher disease, Niemann Pick Disease </w:t>
            </w:r>
            <w:proofErr w:type="gramStart"/>
            <w:r>
              <w:t>type</w:t>
            </w:r>
            <w:proofErr w:type="gramEnd"/>
            <w:r>
              <w:t xml:space="preserve"> A, and Bloom Syndrome.</w:t>
            </w:r>
          </w:p>
          <w:p w14:paraId="2473F6B5" w14:textId="77777777" w:rsidR="008E4E6C" w:rsidRPr="00C0345A" w:rsidRDefault="008E4E6C" w:rsidP="003D1E13">
            <w:pPr>
              <w:pStyle w:val="TableText"/>
              <w:spacing w:before="240"/>
              <w:rPr>
                <w:szCs w:val="20"/>
              </w:rPr>
            </w:pPr>
            <w:r>
              <w:t>One test per lifetime.</w:t>
            </w:r>
          </w:p>
        </w:tc>
      </w:tr>
      <w:tr w:rsidR="008E4E6C" w:rsidRPr="00CE28E3" w14:paraId="56F04A16" w14:textId="77777777" w:rsidTr="00001BBB">
        <w:trPr>
          <w:cantSplit/>
          <w:trHeight w:val="223"/>
          <w:tblHeader/>
        </w:trPr>
        <w:tc>
          <w:tcPr>
            <w:tcW w:w="9016" w:type="dxa"/>
          </w:tcPr>
          <w:p w14:paraId="2BC2457B" w14:textId="77777777" w:rsidR="008E4E6C" w:rsidRPr="00E3330E" w:rsidRDefault="008E4E6C" w:rsidP="00001BBB">
            <w:pPr>
              <w:pStyle w:val="TableText"/>
              <w:rPr>
                <w:snapToGrid w:val="0"/>
                <w:szCs w:val="20"/>
              </w:rPr>
            </w:pPr>
            <w:r>
              <w:t xml:space="preserve">Fee:  </w:t>
            </w:r>
            <w:r w:rsidRPr="001C3AA1">
              <w:t>$</w:t>
            </w:r>
            <w:r>
              <w:t>425</w:t>
            </w:r>
          </w:p>
        </w:tc>
      </w:tr>
    </w:tbl>
    <w:p w14:paraId="5B5715FE" w14:textId="38D645E2" w:rsidR="008E4E6C" w:rsidRDefault="008E4E6C" w:rsidP="00656956">
      <w:pPr>
        <w:pStyle w:val="Tablenotes0"/>
        <w:spacing w:before="0"/>
      </w:pPr>
      <w:r w:rsidRPr="000D6651">
        <w:rPr>
          <w:b/>
        </w:rPr>
        <w:t>Practice Note 1:</w:t>
      </w:r>
      <w:r w:rsidRPr="00EA4C61">
        <w:t xml:space="preserve"> For individuals of Ashkenazi Jewish ancestry, the panel </w:t>
      </w:r>
      <w:r w:rsidRPr="00EA4C61">
        <w:rPr>
          <w:i/>
          <w:iCs/>
        </w:rPr>
        <w:t>must also</w:t>
      </w:r>
      <w:r w:rsidRPr="00EA4C61">
        <w:t xml:space="preserve"> include </w:t>
      </w:r>
      <w:r w:rsidRPr="00EA4C61">
        <w:rPr>
          <w:i/>
          <w:iCs/>
        </w:rPr>
        <w:t>HEXA,</w:t>
      </w:r>
      <w:r w:rsidRPr="00EA4C61">
        <w:t xml:space="preserve"> </w:t>
      </w:r>
      <w:r w:rsidRPr="00EA4C61">
        <w:rPr>
          <w:i/>
          <w:iCs/>
        </w:rPr>
        <w:t xml:space="preserve">ELP1, SMPD1, ASPA, FANCC, BLM </w:t>
      </w:r>
      <w:r w:rsidRPr="00EA4C61">
        <w:t xml:space="preserve">and </w:t>
      </w:r>
      <w:r w:rsidRPr="00EA4C61">
        <w:rPr>
          <w:i/>
          <w:iCs/>
        </w:rPr>
        <w:t>MCOLN1</w:t>
      </w:r>
      <w:r w:rsidRPr="00EA4C61">
        <w:t>. Additional genes may also be included in the panel using standardised pathology lists of genes according to ethnic risk. The reference source for these gene lists will be provided by the applicant.</w:t>
      </w:r>
      <w:r>
        <w:t xml:space="preserve"> </w:t>
      </w:r>
      <w:r w:rsidRPr="000D6651">
        <w:rPr>
          <w:b/>
        </w:rPr>
        <w:t>Practice Note 2:</w:t>
      </w:r>
      <w:r w:rsidRPr="00EA4C61">
        <w:t xml:space="preserve"> where the couple is already pregnant, concurrent testing of any partner(s) not already tested is recommended.</w:t>
      </w:r>
    </w:p>
    <w:p w14:paraId="36F38F9C" w14:textId="08A01B95" w:rsidR="008E4E6C" w:rsidRDefault="00656956" w:rsidP="00656956">
      <w:pPr>
        <w:pStyle w:val="Caption"/>
      </w:pPr>
      <w:bookmarkStart w:id="28" w:name="_Ref98194043"/>
      <w:bookmarkStart w:id="29" w:name="_Toc103096600"/>
      <w:r>
        <w:t xml:space="preserve">Table </w:t>
      </w:r>
      <w:bookmarkEnd w:id="28"/>
      <w:r w:rsidR="007260EF">
        <w:rPr>
          <w:noProof/>
        </w:rPr>
        <w:t>3</w:t>
      </w:r>
      <w:r>
        <w:tab/>
      </w:r>
      <w:r w:rsidR="008E4E6C" w:rsidRPr="000E41DC">
        <w:t>Proposed item descriptor testing of the reproductive partner</w:t>
      </w:r>
      <w:bookmarkEnd w:id="29"/>
    </w:p>
    <w:tbl>
      <w:tblPr>
        <w:tblStyle w:val="TableGrid"/>
        <w:tblW w:w="0" w:type="auto"/>
        <w:tblLook w:val="04A0" w:firstRow="1" w:lastRow="0" w:firstColumn="1" w:lastColumn="0" w:noHBand="0" w:noVBand="1"/>
      </w:tblPr>
      <w:tblGrid>
        <w:gridCol w:w="9016"/>
      </w:tblGrid>
      <w:tr w:rsidR="008E4E6C" w:rsidRPr="00DE3D6C" w14:paraId="7CE50114" w14:textId="77777777" w:rsidTr="00001BBB">
        <w:tc>
          <w:tcPr>
            <w:tcW w:w="9016" w:type="dxa"/>
          </w:tcPr>
          <w:p w14:paraId="38D92173" w14:textId="77777777" w:rsidR="008E4E6C" w:rsidRPr="00DE3D6C" w:rsidRDefault="008E4E6C" w:rsidP="00001BBB">
            <w:pPr>
              <w:pStyle w:val="Tabletext0"/>
            </w:pPr>
            <w:r w:rsidRPr="00DB11DC">
              <w:t>Category 6 (Pathology Services) – Group P7 Genetics</w:t>
            </w:r>
          </w:p>
        </w:tc>
      </w:tr>
      <w:tr w:rsidR="008E4E6C" w:rsidRPr="00DE3D6C" w14:paraId="13C2A57B" w14:textId="77777777" w:rsidTr="00001BBB">
        <w:tc>
          <w:tcPr>
            <w:tcW w:w="9016" w:type="dxa"/>
          </w:tcPr>
          <w:p w14:paraId="78676754" w14:textId="77777777" w:rsidR="008E4E6C" w:rsidRDefault="008E4E6C" w:rsidP="00001BBB">
            <w:pPr>
              <w:pStyle w:val="Tabletext0"/>
            </w:pPr>
            <w:r>
              <w:t>MBS item CCCC</w:t>
            </w:r>
          </w:p>
          <w:p w14:paraId="79AAB94F" w14:textId="77777777" w:rsidR="008E4E6C" w:rsidRDefault="008E4E6C" w:rsidP="003D1E13">
            <w:pPr>
              <w:pStyle w:val="Tabletext0"/>
              <w:spacing w:before="240"/>
            </w:pPr>
            <w:r>
              <w:t>Genetic testing of the reproductive partner of an individual who has a &gt;10% personal risk of being a heterozygous genetic carrier of serious clinical disorders associated with pathogenic or likely pathogenic variants of genes as described in AAAA, for all variants within the relevant gene(s) in which their reproductive partner carries a variant, for the purpose of determining the couple’s reproductive risk of this condition. The tested individual must not have received a service described in AAAA. Requested by or on behalf of a specialist or consultant physician who manages the treatment of the patient.</w:t>
            </w:r>
          </w:p>
          <w:p w14:paraId="3D4B7B36" w14:textId="77777777" w:rsidR="008E4E6C" w:rsidRPr="00DE3D6C" w:rsidRDefault="008E4E6C" w:rsidP="003D1E13">
            <w:pPr>
              <w:pStyle w:val="Tabletext0"/>
              <w:spacing w:before="240"/>
            </w:pPr>
            <w:bookmarkStart w:id="30" w:name="_Hlk107303648"/>
            <w:r>
              <w:t>One test per couple per lifetime</w:t>
            </w:r>
            <w:bookmarkEnd w:id="30"/>
            <w:r>
              <w:t>.</w:t>
            </w:r>
          </w:p>
        </w:tc>
      </w:tr>
      <w:tr w:rsidR="008E4E6C" w:rsidRPr="00DE3D6C" w14:paraId="66D3A069" w14:textId="77777777" w:rsidTr="00001BBB">
        <w:tc>
          <w:tcPr>
            <w:tcW w:w="9016" w:type="dxa"/>
          </w:tcPr>
          <w:p w14:paraId="2D531183" w14:textId="77777777" w:rsidR="008E4E6C" w:rsidRDefault="008E4E6C" w:rsidP="00001BBB">
            <w:pPr>
              <w:pStyle w:val="Tabletext0"/>
            </w:pPr>
            <w:r>
              <w:t>Fee:  $1200</w:t>
            </w:r>
          </w:p>
        </w:tc>
      </w:tr>
    </w:tbl>
    <w:p w14:paraId="5FBDC378" w14:textId="38492810" w:rsidR="008E4E6C" w:rsidRDefault="00656956" w:rsidP="003D6646">
      <w:pPr>
        <w:pStyle w:val="Caption"/>
      </w:pPr>
      <w:bookmarkStart w:id="31" w:name="_Ref98194046"/>
      <w:bookmarkStart w:id="32" w:name="_Toc103096601"/>
      <w:r>
        <w:t xml:space="preserve">Table </w:t>
      </w:r>
      <w:bookmarkEnd w:id="31"/>
      <w:r w:rsidR="007260EF">
        <w:rPr>
          <w:noProof/>
        </w:rPr>
        <w:t>4</w:t>
      </w:r>
      <w:r>
        <w:tab/>
      </w:r>
      <w:r w:rsidR="008E4E6C" w:rsidRPr="006147B9">
        <w:t>Proposed item descriptor for re-analysis of genetic test results arising from previously performed</w:t>
      </w:r>
      <w:bookmarkEnd w:id="32"/>
    </w:p>
    <w:tbl>
      <w:tblPr>
        <w:tblStyle w:val="TableGrid"/>
        <w:tblW w:w="0" w:type="auto"/>
        <w:tblLook w:val="04A0" w:firstRow="1" w:lastRow="0" w:firstColumn="1" w:lastColumn="0" w:noHBand="0" w:noVBand="1"/>
      </w:tblPr>
      <w:tblGrid>
        <w:gridCol w:w="9016"/>
      </w:tblGrid>
      <w:tr w:rsidR="008E4E6C" w:rsidRPr="00DE3D6C" w14:paraId="4DA9F00D" w14:textId="77777777" w:rsidTr="00001BBB">
        <w:tc>
          <w:tcPr>
            <w:tcW w:w="9016" w:type="dxa"/>
          </w:tcPr>
          <w:p w14:paraId="0E00BEF2" w14:textId="77777777" w:rsidR="008E4E6C" w:rsidRPr="00DE3D6C" w:rsidRDefault="008E4E6C" w:rsidP="003D6646">
            <w:pPr>
              <w:pStyle w:val="Tabletext0"/>
              <w:keepNext/>
            </w:pPr>
            <w:r w:rsidRPr="00DB11DC">
              <w:t>Category 6 (Pathology Services) – Group P7 Genetics</w:t>
            </w:r>
          </w:p>
        </w:tc>
      </w:tr>
      <w:tr w:rsidR="008E4E6C" w:rsidRPr="00DE3D6C" w14:paraId="332D964C" w14:textId="77777777" w:rsidTr="00001BBB">
        <w:tc>
          <w:tcPr>
            <w:tcW w:w="9016" w:type="dxa"/>
          </w:tcPr>
          <w:p w14:paraId="0B6B0E06" w14:textId="77777777" w:rsidR="008E4E6C" w:rsidRDefault="008E4E6C" w:rsidP="003D6646">
            <w:pPr>
              <w:pStyle w:val="Tabletext0"/>
              <w:keepNext/>
            </w:pPr>
            <w:r>
              <w:t>MBS item EEEE</w:t>
            </w:r>
          </w:p>
          <w:p w14:paraId="66D18A75" w14:textId="77777777" w:rsidR="008E4E6C" w:rsidRDefault="008E4E6C" w:rsidP="003D1E13">
            <w:pPr>
              <w:pStyle w:val="Tabletext0"/>
              <w:keepNext/>
              <w:spacing w:before="240"/>
            </w:pPr>
            <w:r>
              <w:t>Re-analysis of genetic test results arising from testing previously performed under Items AAAA, for the purpose of identifying previously unreported pathogenic or likely pathogenic variants in genes included on the gene panel to determine genetic carrier status, where the pathogenicity of these variant(/s) was not known at the time of the previous analysis.</w:t>
            </w:r>
          </w:p>
          <w:p w14:paraId="60AE753C" w14:textId="77777777" w:rsidR="008E4E6C" w:rsidRDefault="008E4E6C" w:rsidP="003D1E13">
            <w:pPr>
              <w:pStyle w:val="Tabletext0"/>
              <w:keepNext/>
              <w:spacing w:before="240"/>
            </w:pPr>
            <w:r>
              <w:t>Performed at least five years after a service to which AAAA</w:t>
            </w:r>
            <w:r w:rsidRPr="008E4E6C">
              <w:rPr>
                <w:strike/>
                <w:color w:val="5B9BD5" w:themeColor="accent1"/>
              </w:rPr>
              <w:t xml:space="preserve">, </w:t>
            </w:r>
            <w:r w:rsidRPr="008B6D3D">
              <w:rPr>
                <w:strike/>
                <w:color w:val="5B9BD5" w:themeColor="accent1"/>
              </w:rPr>
              <w:t>or BBBB</w:t>
            </w:r>
            <w:r w:rsidRPr="008E4E6C">
              <w:rPr>
                <w:strike/>
                <w:color w:val="5B9BD5" w:themeColor="accent1"/>
              </w:rPr>
              <w:t>, or DDDD</w:t>
            </w:r>
            <w:r>
              <w:t xml:space="preserve"> applies.</w:t>
            </w:r>
          </w:p>
          <w:p w14:paraId="1FD46B85" w14:textId="77777777" w:rsidR="008E4E6C" w:rsidRPr="00DE3D6C" w:rsidRDefault="008E4E6C" w:rsidP="003D6646">
            <w:pPr>
              <w:pStyle w:val="Tabletext0"/>
              <w:keepNext/>
            </w:pPr>
            <w:r>
              <w:t>Applicable only twice per lifetime.</w:t>
            </w:r>
          </w:p>
        </w:tc>
      </w:tr>
      <w:tr w:rsidR="008E4E6C" w:rsidRPr="00DE3D6C" w14:paraId="4C0A41E1" w14:textId="77777777" w:rsidTr="00001BBB">
        <w:tc>
          <w:tcPr>
            <w:tcW w:w="9016" w:type="dxa"/>
          </w:tcPr>
          <w:p w14:paraId="76EBB84C" w14:textId="77777777" w:rsidR="008E4E6C" w:rsidRDefault="008E4E6C" w:rsidP="003D6646">
            <w:pPr>
              <w:pStyle w:val="Tabletext0"/>
              <w:keepNext/>
            </w:pPr>
            <w:r>
              <w:t>Fee:  $ 100</w:t>
            </w:r>
          </w:p>
        </w:tc>
      </w:tr>
    </w:tbl>
    <w:p w14:paraId="3B38428E" w14:textId="7472B07E" w:rsidR="002F4E73" w:rsidRDefault="008B6D3D" w:rsidP="00AC26B2">
      <w:pPr>
        <w:pStyle w:val="TableFigureFooter"/>
        <w:spacing w:before="0"/>
      </w:pPr>
      <w:bookmarkStart w:id="33" w:name="_Ref98194050"/>
      <w:r>
        <w:t xml:space="preserve">Note: As </w:t>
      </w:r>
      <w:r w:rsidRPr="00A241C8">
        <w:t xml:space="preserve">it was agreed at the post-PASC meeting that </w:t>
      </w:r>
      <w:r>
        <w:t xml:space="preserve">BBBB and </w:t>
      </w:r>
      <w:r w:rsidRPr="00A241C8">
        <w:t xml:space="preserve">DDDD </w:t>
      </w:r>
      <w:r>
        <w:t>are</w:t>
      </w:r>
      <w:r w:rsidRPr="00A241C8">
        <w:t xml:space="preserve"> not required, the descriptor for EEEE </w:t>
      </w:r>
      <w:r>
        <w:t>was</w:t>
      </w:r>
      <w:r w:rsidRPr="00A241C8">
        <w:t xml:space="preserve"> amended</w:t>
      </w:r>
      <w:r w:rsidR="00DA3C51">
        <w:t xml:space="preserve"> to</w:t>
      </w:r>
      <w:r w:rsidRPr="00A241C8">
        <w:t xml:space="preserve"> </w:t>
      </w:r>
      <w:r w:rsidR="00DA3C51">
        <w:t xml:space="preserve">remove </w:t>
      </w:r>
      <w:r>
        <w:t xml:space="preserve">reference to BBBB and DDDD </w:t>
      </w:r>
      <w:r w:rsidR="00DA3C51">
        <w:t>(blue strikethrough font</w:t>
      </w:r>
      <w:r>
        <w:t>)</w:t>
      </w:r>
      <w:r w:rsidRPr="00A241C8">
        <w:t>.</w:t>
      </w:r>
    </w:p>
    <w:p w14:paraId="1A4CAE2B" w14:textId="20930569" w:rsidR="008B6D3D" w:rsidRPr="0082318F" w:rsidRDefault="002F4E73" w:rsidP="00BF5E4F">
      <w:r w:rsidRPr="0082318F">
        <w:t xml:space="preserve">While the fee for </w:t>
      </w:r>
      <w:r w:rsidR="00462C40">
        <w:t>I</w:t>
      </w:r>
      <w:r w:rsidRPr="0082318F">
        <w:t xml:space="preserve">tem EEEE was designated in the application and PICO confirmation at $100, this fee does not align </w:t>
      </w:r>
      <w:r w:rsidR="004A4B10" w:rsidRPr="004A4B10">
        <w:t>with the fee of $500.00 for similar items previously supported under MSAC 1585 and 1599</w:t>
      </w:r>
      <w:r w:rsidR="004A4B10">
        <w:t xml:space="preserve">. </w:t>
      </w:r>
      <w:r w:rsidR="00115857" w:rsidRPr="00115857">
        <w:t xml:space="preserve">It was not possible to include </w:t>
      </w:r>
      <w:r w:rsidR="00115857">
        <w:t>i</w:t>
      </w:r>
      <w:r w:rsidR="00115857" w:rsidRPr="00115857">
        <w:t xml:space="preserve">tem EEEE in the financial estimates model, </w:t>
      </w:r>
      <w:r w:rsidR="00115857" w:rsidRPr="00115857">
        <w:lastRenderedPageBreak/>
        <w:t>as the impact and prevalence of currently unknown pathogenic or likely pathogenic variants is inherently uncertain</w:t>
      </w:r>
      <w:r w:rsidR="00400AFF">
        <w:t xml:space="preserve">. </w:t>
      </w:r>
    </w:p>
    <w:p w14:paraId="408E41C2" w14:textId="599725BE" w:rsidR="008E4E6C" w:rsidRDefault="00656956" w:rsidP="00656956">
      <w:pPr>
        <w:pStyle w:val="Caption"/>
      </w:pPr>
      <w:bookmarkStart w:id="34" w:name="_Ref101381897"/>
      <w:bookmarkStart w:id="35" w:name="_Toc103096602"/>
      <w:r>
        <w:t xml:space="preserve">Table </w:t>
      </w:r>
      <w:bookmarkEnd w:id="33"/>
      <w:bookmarkEnd w:id="34"/>
      <w:r w:rsidR="007260EF">
        <w:rPr>
          <w:noProof/>
        </w:rPr>
        <w:t>5</w:t>
      </w:r>
      <w:r>
        <w:tab/>
      </w:r>
      <w:r w:rsidR="008E4E6C" w:rsidRPr="00500B48">
        <w:t xml:space="preserve">Proposed item descriptor for </w:t>
      </w:r>
      <w:bookmarkEnd w:id="35"/>
      <w:proofErr w:type="spellStart"/>
      <w:r w:rsidR="00891BD4">
        <w:t>fetal</w:t>
      </w:r>
      <w:proofErr w:type="spellEnd"/>
      <w:r w:rsidR="00891BD4">
        <w:t xml:space="preserve"> testing</w:t>
      </w:r>
    </w:p>
    <w:tbl>
      <w:tblPr>
        <w:tblStyle w:val="TableGrid"/>
        <w:tblW w:w="0" w:type="auto"/>
        <w:tblLook w:val="04A0" w:firstRow="1" w:lastRow="0" w:firstColumn="1" w:lastColumn="0" w:noHBand="0" w:noVBand="1"/>
      </w:tblPr>
      <w:tblGrid>
        <w:gridCol w:w="9016"/>
      </w:tblGrid>
      <w:tr w:rsidR="008E4E6C" w:rsidRPr="00DE3D6C" w14:paraId="68B04716" w14:textId="77777777" w:rsidTr="00001BBB">
        <w:tc>
          <w:tcPr>
            <w:tcW w:w="9016" w:type="dxa"/>
          </w:tcPr>
          <w:p w14:paraId="2C7D9455" w14:textId="77777777" w:rsidR="008E4E6C" w:rsidRPr="00DE3D6C" w:rsidRDefault="008E4E6C" w:rsidP="00001BBB">
            <w:pPr>
              <w:pStyle w:val="Tabletext0"/>
            </w:pPr>
            <w:r w:rsidRPr="00DB11DC">
              <w:t>Category 6 (Pathology Services) – Group P7 Genetics</w:t>
            </w:r>
          </w:p>
        </w:tc>
      </w:tr>
      <w:tr w:rsidR="008E4E6C" w:rsidRPr="00DE3D6C" w14:paraId="37125BB4" w14:textId="77777777" w:rsidTr="00001BBB">
        <w:tc>
          <w:tcPr>
            <w:tcW w:w="9016" w:type="dxa"/>
          </w:tcPr>
          <w:p w14:paraId="4DA3F866" w14:textId="77777777" w:rsidR="008E4E6C" w:rsidRDefault="008E4E6C" w:rsidP="00001BBB">
            <w:pPr>
              <w:pStyle w:val="Tabletext0"/>
            </w:pPr>
            <w:r>
              <w:t>MBS item GGGG</w:t>
            </w:r>
          </w:p>
          <w:p w14:paraId="2E0CAC12" w14:textId="77777777" w:rsidR="008E4E6C" w:rsidRDefault="008E4E6C" w:rsidP="003D1E13">
            <w:pPr>
              <w:pStyle w:val="Tabletext0"/>
              <w:spacing w:before="240"/>
            </w:pPr>
            <w:r w:rsidRPr="000A323C">
              <w:t xml:space="preserve">Testing of a pregnant patient, where one or both prospective parents are known to be affected by or carriers of known pathogenic variant/s causative of </w:t>
            </w:r>
            <w:r>
              <w:t>a disease tested for in AAAA</w:t>
            </w:r>
            <w:r w:rsidRPr="000A323C">
              <w:t xml:space="preserve">, for the purpose of determining whether </w:t>
            </w:r>
            <w:r>
              <w:t>familial</w:t>
            </w:r>
            <w:r w:rsidRPr="000A323C">
              <w:t xml:space="preserve"> variants are present in the </w:t>
            </w:r>
            <w:proofErr w:type="spellStart"/>
            <w:r w:rsidRPr="000A323C">
              <w:t>fetus</w:t>
            </w:r>
            <w:proofErr w:type="spellEnd"/>
            <w:r w:rsidRPr="000A323C">
              <w:t xml:space="preserve">, if: </w:t>
            </w:r>
          </w:p>
          <w:p w14:paraId="3731FC3E" w14:textId="77777777" w:rsidR="008E4E6C" w:rsidRDefault="008E4E6C" w:rsidP="00001BBB">
            <w:pPr>
              <w:pStyle w:val="Tabletext0"/>
            </w:pPr>
            <w:r w:rsidRPr="000A323C">
              <w:t xml:space="preserve">(a) </w:t>
            </w:r>
            <w:r>
              <w:t>The pregnancy is a singleton pregnancy; and</w:t>
            </w:r>
          </w:p>
          <w:p w14:paraId="13A697DD" w14:textId="77777777" w:rsidR="008E4E6C" w:rsidRDefault="008E4E6C" w:rsidP="00001BBB">
            <w:pPr>
              <w:pStyle w:val="Tabletext0"/>
            </w:pPr>
            <w:r>
              <w:t xml:space="preserve">(b) </w:t>
            </w:r>
            <w:r w:rsidRPr="000A323C">
              <w:t xml:space="preserve">The detection is requested by a consultant physician practising as a clinical geneticist; </w:t>
            </w:r>
            <w:r>
              <w:t>and</w:t>
            </w:r>
          </w:p>
          <w:p w14:paraId="791CBBBE" w14:textId="77777777" w:rsidR="008E4E6C" w:rsidRDefault="008E4E6C" w:rsidP="00001BBB">
            <w:pPr>
              <w:pStyle w:val="Tabletext0"/>
            </w:pPr>
            <w:r w:rsidRPr="000A323C">
              <w:t>(</w:t>
            </w:r>
            <w:r>
              <w:t>c</w:t>
            </w:r>
            <w:r w:rsidRPr="000A323C">
              <w:t xml:space="preserve">) The </w:t>
            </w:r>
            <w:proofErr w:type="spellStart"/>
            <w:r w:rsidRPr="000A323C">
              <w:t>fetus</w:t>
            </w:r>
            <w:proofErr w:type="spellEnd"/>
            <w:r w:rsidRPr="000A323C">
              <w:t xml:space="preserve"> is at 25% or more risk of inheriting a monogenic variant known to cause </w:t>
            </w:r>
            <w:r>
              <w:t xml:space="preserve">a </w:t>
            </w:r>
            <w:r w:rsidRPr="000A323C">
              <w:t>disease</w:t>
            </w:r>
            <w:r>
              <w:t xml:space="preserve"> tested for in AAAA</w:t>
            </w:r>
            <w:r w:rsidRPr="000A323C">
              <w:t>.</w:t>
            </w:r>
          </w:p>
          <w:p w14:paraId="7463E342" w14:textId="77777777" w:rsidR="008E4E6C" w:rsidRPr="00DE3D6C" w:rsidRDefault="008E4E6C" w:rsidP="003D1E13">
            <w:pPr>
              <w:pStyle w:val="Tabletext0"/>
              <w:spacing w:before="240"/>
            </w:pPr>
            <w:r>
              <w:t>One test per pregnancy.</w:t>
            </w:r>
          </w:p>
        </w:tc>
      </w:tr>
      <w:tr w:rsidR="008E4E6C" w:rsidRPr="00DE3D6C" w14:paraId="11D3BEF8" w14:textId="77777777" w:rsidTr="00001BBB">
        <w:tc>
          <w:tcPr>
            <w:tcW w:w="9016" w:type="dxa"/>
          </w:tcPr>
          <w:p w14:paraId="5654E4A0" w14:textId="77777777" w:rsidR="008E4E6C" w:rsidRDefault="008E4E6C" w:rsidP="00001BBB">
            <w:pPr>
              <w:pStyle w:val="Tabletext0"/>
            </w:pPr>
            <w:r>
              <w:t>Fee:  $ 100</w:t>
            </w:r>
          </w:p>
        </w:tc>
      </w:tr>
    </w:tbl>
    <w:p w14:paraId="47E147B6" w14:textId="3E1CCF71" w:rsidR="0082318F" w:rsidRPr="0082318F" w:rsidRDefault="00115857" w:rsidP="004579B6">
      <w:r w:rsidRPr="00115857">
        <w:t>As with Item EEEE, PASC advised that the fee for GGGG will need to be increased. A proxy for this fee would be MBS item CCCC in MSAC 1585 which was set at $1600. As the appropriateness of this fee has not been discussed by PASC, ESC or MSAC in the context of this application, the original applicant proposed fee of $100 was included as the base case in the evaluation, and the higher fee of $1600 was included in a sensitivity analysis</w:t>
      </w:r>
      <w:r w:rsidR="00AC26B2">
        <w:t>.</w:t>
      </w:r>
      <w:r w:rsidR="00BC29BE">
        <w:t xml:space="preserve"> </w:t>
      </w:r>
    </w:p>
    <w:p w14:paraId="34E0B08F" w14:textId="24733006" w:rsidR="00772829" w:rsidRDefault="00E96E47" w:rsidP="002A18BE">
      <w:pPr>
        <w:pStyle w:val="Heading2"/>
        <w:numPr>
          <w:ilvl w:val="0"/>
          <w:numId w:val="0"/>
        </w:numPr>
      </w:pPr>
      <w:bookmarkStart w:id="36" w:name="_Toc103096505"/>
      <w:r>
        <w:t>7</w:t>
      </w:r>
      <w:r w:rsidR="00C36633">
        <w:t>.</w:t>
      </w:r>
      <w:r w:rsidR="00C36633">
        <w:tab/>
      </w:r>
      <w:r w:rsidR="00772829" w:rsidRPr="00CE28E3">
        <w:t>Population</w:t>
      </w:r>
      <w:bookmarkEnd w:id="36"/>
      <w:r w:rsidR="00772829" w:rsidRPr="00CE28E3">
        <w:t xml:space="preserve"> </w:t>
      </w:r>
    </w:p>
    <w:p w14:paraId="4589F195" w14:textId="40781B0F" w:rsidR="00656956" w:rsidRPr="00F91232" w:rsidRDefault="00656956" w:rsidP="00656956">
      <w:pPr>
        <w:pStyle w:val="Instructionaltext"/>
        <w:rPr>
          <w:color w:val="auto"/>
        </w:rPr>
      </w:pPr>
      <w:r>
        <w:rPr>
          <w:color w:val="auto"/>
        </w:rPr>
        <w:t xml:space="preserve">One PICO set was defined in the PICO confirmation. </w:t>
      </w:r>
      <w:r w:rsidRPr="00D4123E">
        <w:rPr>
          <w:color w:val="auto"/>
        </w:rPr>
        <w:t>The</w:t>
      </w:r>
      <w:r w:rsidR="00001BBB" w:rsidDel="000644C9">
        <w:rPr>
          <w:color w:val="auto"/>
        </w:rPr>
        <w:t xml:space="preserve"> </w:t>
      </w:r>
      <w:r w:rsidRPr="00D4123E">
        <w:rPr>
          <w:color w:val="auto"/>
        </w:rPr>
        <w:t xml:space="preserve">target population for carrier testing is people of Ashkenazi Jewish ancestry who have a &gt;10% risk of being a heterozygous genetic carrier of </w:t>
      </w:r>
      <w:r w:rsidR="00E068DC">
        <w:rPr>
          <w:color w:val="auto"/>
        </w:rPr>
        <w:t xml:space="preserve">any of </w:t>
      </w:r>
      <w:r w:rsidR="00646D95">
        <w:rPr>
          <w:color w:val="auto"/>
        </w:rPr>
        <w:t>the</w:t>
      </w:r>
      <w:r w:rsidRPr="00D4123E">
        <w:rPr>
          <w:color w:val="auto"/>
        </w:rPr>
        <w:t xml:space="preserve"> nine severe autosomal recessive and X-linked conditions</w:t>
      </w:r>
      <w:r>
        <w:rPr>
          <w:color w:val="auto"/>
        </w:rPr>
        <w:t>:</w:t>
      </w:r>
      <w:r w:rsidRPr="00D4123E">
        <w:rPr>
          <w:color w:val="auto"/>
        </w:rPr>
        <w:t xml:space="preserve"> </w:t>
      </w:r>
      <w:r w:rsidRPr="00F91232">
        <w:rPr>
          <w:iCs/>
          <w:color w:val="auto"/>
        </w:rPr>
        <w:t xml:space="preserve">Tay Sachs Disease (TSD), Canavan disease (CD), Familial dysautonomia (FD), </w:t>
      </w:r>
      <w:proofErr w:type="spellStart"/>
      <w:r w:rsidRPr="00F91232">
        <w:rPr>
          <w:iCs/>
          <w:color w:val="auto"/>
        </w:rPr>
        <w:t>Mucolipidosis</w:t>
      </w:r>
      <w:proofErr w:type="spellEnd"/>
      <w:r w:rsidRPr="00F91232">
        <w:rPr>
          <w:iCs/>
          <w:color w:val="auto"/>
        </w:rPr>
        <w:t xml:space="preserve"> Type IV (MLD), Glycogen storage disease type 1 (GSD1), Fanconi anaemia type C (FA), Gaucher disease type 1 (GD), Niemann Pick Disease type A (NPD), and Bloom Syndrome (BS)</w:t>
      </w:r>
      <w:r>
        <w:rPr>
          <w:iCs/>
          <w:color w:val="auto"/>
        </w:rPr>
        <w:t>.</w:t>
      </w:r>
    </w:p>
    <w:p w14:paraId="5805BF63" w14:textId="5F119A1C" w:rsidR="00656956" w:rsidRDefault="00656956" w:rsidP="00656956">
      <w:pPr>
        <w:rPr>
          <w:iCs/>
        </w:rPr>
      </w:pPr>
      <w:r>
        <w:rPr>
          <w:iCs/>
        </w:rPr>
        <w:t>At present,</w:t>
      </w:r>
      <w:r w:rsidRPr="00915E7B">
        <w:rPr>
          <w:iCs/>
        </w:rPr>
        <w:t xml:space="preserve"> genetic </w:t>
      </w:r>
      <w:r w:rsidR="00001BBB">
        <w:rPr>
          <w:iCs/>
        </w:rPr>
        <w:t>testing</w:t>
      </w:r>
      <w:r>
        <w:rPr>
          <w:iCs/>
        </w:rPr>
        <w:t xml:space="preserve"> has been </w:t>
      </w:r>
      <w:r w:rsidR="00001BBB">
        <w:rPr>
          <w:iCs/>
        </w:rPr>
        <w:t>recommended</w:t>
      </w:r>
      <w:r>
        <w:rPr>
          <w:iCs/>
        </w:rPr>
        <w:t xml:space="preserve"> by MSAC in th</w:t>
      </w:r>
      <w:r w:rsidR="00001BBB">
        <w:rPr>
          <w:iCs/>
        </w:rPr>
        <w:t>e general</w:t>
      </w:r>
      <w:r>
        <w:rPr>
          <w:iCs/>
        </w:rPr>
        <w:t xml:space="preserve"> population </w:t>
      </w:r>
      <w:r w:rsidRPr="00915E7B">
        <w:rPr>
          <w:iCs/>
        </w:rPr>
        <w:t>for</w:t>
      </w:r>
      <w:r>
        <w:rPr>
          <w:iCs/>
        </w:rPr>
        <w:t xml:space="preserve"> t</w:t>
      </w:r>
      <w:r w:rsidR="00001BBB">
        <w:rPr>
          <w:iCs/>
        </w:rPr>
        <w:t xml:space="preserve">wo </w:t>
      </w:r>
      <w:r w:rsidRPr="00915E7B">
        <w:rPr>
          <w:iCs/>
        </w:rPr>
        <w:t>autosomal recessive genes responsible for SMA,</w:t>
      </w:r>
      <w:r>
        <w:rPr>
          <w:iCs/>
        </w:rPr>
        <w:t xml:space="preserve"> </w:t>
      </w:r>
      <w:r w:rsidRPr="00915E7B">
        <w:rPr>
          <w:iCs/>
        </w:rPr>
        <w:t xml:space="preserve">CF, </w:t>
      </w:r>
      <w:r w:rsidRPr="00915E7B" w:rsidDel="00001BBB">
        <w:rPr>
          <w:iCs/>
        </w:rPr>
        <w:t>and</w:t>
      </w:r>
      <w:r w:rsidR="00001BBB">
        <w:rPr>
          <w:iCs/>
        </w:rPr>
        <w:t xml:space="preserve"> the</w:t>
      </w:r>
      <w:r w:rsidRPr="00915E7B">
        <w:rPr>
          <w:iCs/>
        </w:rPr>
        <w:t xml:space="preserve"> </w:t>
      </w:r>
      <w:r w:rsidR="00001BBB">
        <w:rPr>
          <w:iCs/>
        </w:rPr>
        <w:t xml:space="preserve">X-linked gene for </w:t>
      </w:r>
      <w:r w:rsidRPr="00915E7B">
        <w:rPr>
          <w:iCs/>
        </w:rPr>
        <w:t>FXS</w:t>
      </w:r>
      <w:r>
        <w:rPr>
          <w:iCs/>
        </w:rPr>
        <w:t xml:space="preserve"> (</w:t>
      </w:r>
      <w:r w:rsidRPr="00915E7B">
        <w:rPr>
          <w:iCs/>
        </w:rPr>
        <w:t xml:space="preserve">supported </w:t>
      </w:r>
      <w:r>
        <w:rPr>
          <w:iCs/>
        </w:rPr>
        <w:t xml:space="preserve">by </w:t>
      </w:r>
      <w:r w:rsidRPr="00915E7B">
        <w:rPr>
          <w:iCs/>
        </w:rPr>
        <w:t xml:space="preserve">MSAC in </w:t>
      </w:r>
      <w:r>
        <w:rPr>
          <w:iCs/>
        </w:rPr>
        <w:t>A</w:t>
      </w:r>
      <w:r w:rsidRPr="00915E7B">
        <w:rPr>
          <w:iCs/>
        </w:rPr>
        <w:t>pplication 1573</w:t>
      </w:r>
      <w:r>
        <w:rPr>
          <w:iCs/>
        </w:rPr>
        <w:t xml:space="preserve">); however, this medical service </w:t>
      </w:r>
      <w:r w:rsidR="00AB1BE3">
        <w:rPr>
          <w:iCs/>
        </w:rPr>
        <w:t xml:space="preserve">will </w:t>
      </w:r>
      <w:r>
        <w:rPr>
          <w:iCs/>
        </w:rPr>
        <w:t>not</w:t>
      </w:r>
      <w:r w:rsidDel="00AB1BE3">
        <w:rPr>
          <w:iCs/>
        </w:rPr>
        <w:t xml:space="preserve"> </w:t>
      </w:r>
      <w:r w:rsidR="00AB1BE3">
        <w:rPr>
          <w:iCs/>
        </w:rPr>
        <w:t>be</w:t>
      </w:r>
      <w:r>
        <w:rPr>
          <w:iCs/>
        </w:rPr>
        <w:t xml:space="preserve"> </w:t>
      </w:r>
      <w:r w:rsidR="00001BBB">
        <w:rPr>
          <w:iCs/>
        </w:rPr>
        <w:t>reimbursed</w:t>
      </w:r>
      <w:r>
        <w:rPr>
          <w:iCs/>
        </w:rPr>
        <w:t xml:space="preserve"> through the MBS</w:t>
      </w:r>
      <w:r w:rsidR="00AB1BE3">
        <w:rPr>
          <w:iCs/>
        </w:rPr>
        <w:t xml:space="preserve"> until 1 November 2023</w:t>
      </w:r>
      <w:r w:rsidRPr="00915E7B">
        <w:rPr>
          <w:iCs/>
        </w:rPr>
        <w:t>.</w:t>
      </w:r>
      <w:r>
        <w:rPr>
          <w:iCs/>
        </w:rPr>
        <w:t xml:space="preserve"> In practice, the </w:t>
      </w:r>
      <w:r w:rsidR="000644C9">
        <w:rPr>
          <w:iCs/>
        </w:rPr>
        <w:t xml:space="preserve">additional genes proposed for the </w:t>
      </w:r>
      <w:r>
        <w:rPr>
          <w:iCs/>
        </w:rPr>
        <w:t xml:space="preserve">new panel will be offered together with the </w:t>
      </w:r>
      <w:r w:rsidR="000644C9">
        <w:rPr>
          <w:iCs/>
        </w:rPr>
        <w:t xml:space="preserve">already supported </w:t>
      </w:r>
      <w:r>
        <w:t>test</w:t>
      </w:r>
      <w:r w:rsidR="000644C9">
        <w:t>ing</w:t>
      </w:r>
      <w:r>
        <w:t xml:space="preserve"> </w:t>
      </w:r>
      <w:r>
        <w:rPr>
          <w:iCs/>
        </w:rPr>
        <w:t xml:space="preserve">for SMA, CF and FXS </w:t>
      </w:r>
      <w:r w:rsidR="00F85906">
        <w:rPr>
          <w:iCs/>
        </w:rPr>
        <w:t xml:space="preserve">under the items proposed in this </w:t>
      </w:r>
      <w:proofErr w:type="gramStart"/>
      <w:r w:rsidR="00F85906">
        <w:rPr>
          <w:iCs/>
        </w:rPr>
        <w:t xml:space="preserve">application, </w:t>
      </w:r>
      <w:r>
        <w:rPr>
          <w:iCs/>
        </w:rPr>
        <w:t>and</w:t>
      </w:r>
      <w:proofErr w:type="gramEnd"/>
      <w:r>
        <w:rPr>
          <w:iCs/>
        </w:rPr>
        <w:t xml:space="preserve"> provide additive benefits o</w:t>
      </w:r>
      <w:r w:rsidR="00C836AA">
        <w:rPr>
          <w:iCs/>
        </w:rPr>
        <w:t>f</w:t>
      </w:r>
      <w:r>
        <w:rPr>
          <w:iCs/>
        </w:rPr>
        <w:t xml:space="preserve"> genetic </w:t>
      </w:r>
      <w:r w:rsidR="00C836AA">
        <w:rPr>
          <w:iCs/>
        </w:rPr>
        <w:t>testing</w:t>
      </w:r>
      <w:r>
        <w:rPr>
          <w:iCs/>
        </w:rPr>
        <w:t xml:space="preserve"> in the </w:t>
      </w:r>
      <w:r w:rsidR="00C836AA">
        <w:rPr>
          <w:iCs/>
        </w:rPr>
        <w:t>at-risk</w:t>
      </w:r>
      <w:r>
        <w:rPr>
          <w:iCs/>
        </w:rPr>
        <w:t xml:space="preserve"> population. </w:t>
      </w:r>
    </w:p>
    <w:p w14:paraId="6F8C2622" w14:textId="66CC06D5" w:rsidR="00656956" w:rsidRDefault="00656956" w:rsidP="00656956">
      <w:pPr>
        <w:rPr>
          <w:noProof/>
          <w:lang w:eastAsia="en-AU"/>
        </w:rPr>
      </w:pPr>
      <w:r w:rsidRPr="00853261">
        <w:rPr>
          <w:noProof/>
          <w:lang w:eastAsia="en-AU"/>
        </w:rPr>
        <w:t>There is no clinical management pathway for individuals prior to receiving the intervention. Carrier testing is designed to identify  individuals</w:t>
      </w:r>
      <w:r w:rsidR="00B64146">
        <w:rPr>
          <w:noProof/>
          <w:lang w:eastAsia="en-AU"/>
        </w:rPr>
        <w:t xml:space="preserve"> at-risk for </w:t>
      </w:r>
      <w:r w:rsidR="008C1A06">
        <w:rPr>
          <w:noProof/>
          <w:lang w:eastAsia="en-AU"/>
        </w:rPr>
        <w:t>being</w:t>
      </w:r>
      <w:r w:rsidR="00B64146">
        <w:rPr>
          <w:noProof/>
          <w:lang w:eastAsia="en-AU"/>
        </w:rPr>
        <w:t xml:space="preserve"> a </w:t>
      </w:r>
      <w:r w:rsidR="008C1A06">
        <w:rPr>
          <w:noProof/>
          <w:lang w:eastAsia="en-AU"/>
        </w:rPr>
        <w:t>carrier of</w:t>
      </w:r>
      <w:r w:rsidR="00B64146">
        <w:rPr>
          <w:noProof/>
          <w:lang w:eastAsia="en-AU"/>
        </w:rPr>
        <w:t xml:space="preserve"> one or more of the nominated conditions</w:t>
      </w:r>
      <w:r w:rsidRPr="00853261">
        <w:rPr>
          <w:noProof/>
          <w:lang w:eastAsia="en-AU"/>
        </w:rPr>
        <w:t>.</w:t>
      </w:r>
    </w:p>
    <w:p w14:paraId="6E9FD924" w14:textId="0DF6EE6E" w:rsidR="00656956" w:rsidRPr="00BB1B8A" w:rsidRDefault="00656956" w:rsidP="00656956">
      <w:pPr>
        <w:rPr>
          <w:noProof/>
          <w:lang w:eastAsia="en-AU"/>
        </w:rPr>
      </w:pPr>
      <w:r w:rsidRPr="00BB1B8A">
        <w:rPr>
          <w:noProof/>
          <w:lang w:eastAsia="en-AU"/>
        </w:rPr>
        <w:t xml:space="preserve">In Australia, genetic testing for </w:t>
      </w:r>
      <w:r w:rsidR="00001BBB">
        <w:rPr>
          <w:noProof/>
          <w:lang w:eastAsia="en-AU"/>
        </w:rPr>
        <w:t xml:space="preserve">the nominated </w:t>
      </w:r>
      <w:r w:rsidRPr="00BB1B8A">
        <w:rPr>
          <w:noProof/>
          <w:lang w:eastAsia="en-AU"/>
        </w:rPr>
        <w:t xml:space="preserve">severe monogenic disorders is currently accessible to some at-risk individuals in the Ashkenazi Jewish population via the following pathways: </w:t>
      </w:r>
    </w:p>
    <w:p w14:paraId="055A1E69" w14:textId="77777777" w:rsidR="00656956" w:rsidRPr="00BB1B8A" w:rsidRDefault="00656956" w:rsidP="00656956">
      <w:pPr>
        <w:numPr>
          <w:ilvl w:val="0"/>
          <w:numId w:val="31"/>
        </w:numPr>
        <w:spacing w:before="0" w:after="0"/>
        <w:rPr>
          <w:noProof/>
          <w:u w:val="dotted"/>
          <w:lang w:eastAsia="en-AU"/>
        </w:rPr>
      </w:pPr>
      <w:r w:rsidRPr="00BB1B8A">
        <w:rPr>
          <w:noProof/>
          <w:lang w:eastAsia="en-AU"/>
        </w:rPr>
        <w:t>cohort high-school-based preconception testing</w:t>
      </w:r>
    </w:p>
    <w:p w14:paraId="6D4D5E03" w14:textId="5AE16CFF" w:rsidR="00656956" w:rsidRPr="00BB1B8A" w:rsidRDefault="00656956" w:rsidP="00656956">
      <w:pPr>
        <w:numPr>
          <w:ilvl w:val="0"/>
          <w:numId w:val="31"/>
        </w:numPr>
        <w:spacing w:before="0" w:after="0"/>
        <w:rPr>
          <w:noProof/>
          <w:u w:val="dotted"/>
          <w:lang w:eastAsia="en-AU"/>
        </w:rPr>
      </w:pPr>
      <w:r w:rsidRPr="00BB1B8A">
        <w:rPr>
          <w:noProof/>
          <w:lang w:eastAsia="en-AU"/>
        </w:rPr>
        <w:t>preconception testing prior to marriage</w:t>
      </w:r>
    </w:p>
    <w:p w14:paraId="4C1C77F3" w14:textId="77777777" w:rsidR="00656956" w:rsidRPr="00853261" w:rsidRDefault="00656956" w:rsidP="00656956">
      <w:pPr>
        <w:numPr>
          <w:ilvl w:val="0"/>
          <w:numId w:val="31"/>
        </w:numPr>
        <w:spacing w:before="0"/>
        <w:rPr>
          <w:noProof/>
          <w:u w:val="dotted"/>
          <w:lang w:eastAsia="en-AU"/>
        </w:rPr>
      </w:pPr>
      <w:r w:rsidRPr="00BB1B8A">
        <w:rPr>
          <w:noProof/>
          <w:lang w:eastAsia="en-AU"/>
        </w:rPr>
        <w:t>antenatal testing early in pregnancy</w:t>
      </w:r>
    </w:p>
    <w:p w14:paraId="50E1A491" w14:textId="77777777" w:rsidR="000644C9" w:rsidRDefault="000644C9" w:rsidP="000644C9">
      <w:r>
        <w:lastRenderedPageBreak/>
        <w:t>Carrier testing in the Ashkenazi Jewish population is currently undertaken by individuals either on a user-pays basis, or in small-scale programs funded by private organisations, which are mostly limited to high school students.</w:t>
      </w:r>
    </w:p>
    <w:p w14:paraId="5B09F628" w14:textId="77777777" w:rsidR="00656956" w:rsidRPr="00853261" w:rsidRDefault="00656956" w:rsidP="00656956">
      <w:pPr>
        <w:pStyle w:val="Instructionaltext"/>
        <w:spacing w:after="0"/>
        <w:rPr>
          <w:color w:val="auto"/>
        </w:rPr>
      </w:pPr>
      <w:r w:rsidRPr="00853261">
        <w:rPr>
          <w:color w:val="auto"/>
        </w:rPr>
        <w:t>Couples identified as being at high risk of having an affected child would be referred to a clinical geneticist, maternal-</w:t>
      </w:r>
      <w:proofErr w:type="spellStart"/>
      <w:r w:rsidRPr="00853261">
        <w:rPr>
          <w:color w:val="auto"/>
        </w:rPr>
        <w:t>fetal</w:t>
      </w:r>
      <w:proofErr w:type="spellEnd"/>
      <w:r w:rsidRPr="00853261">
        <w:rPr>
          <w:color w:val="auto"/>
        </w:rPr>
        <w:t xml:space="preserve"> medicine service, a specialist obstetrician, or to a genetics health professional under appropriate medical supervision.</w:t>
      </w:r>
    </w:p>
    <w:p w14:paraId="28353BC4" w14:textId="77777777" w:rsidR="00656956" w:rsidRPr="00853261" w:rsidRDefault="00656956" w:rsidP="00656956">
      <w:pPr>
        <w:pStyle w:val="Instructionaltext"/>
        <w:spacing w:after="0"/>
        <w:rPr>
          <w:color w:val="auto"/>
        </w:rPr>
      </w:pPr>
      <w:r w:rsidRPr="00853261">
        <w:rPr>
          <w:color w:val="auto"/>
        </w:rPr>
        <w:t xml:space="preserve">It is likely that the introduction of this service prior to conception would increase the use of services such as </w:t>
      </w:r>
      <w:r w:rsidRPr="006C76C6">
        <w:rPr>
          <w:i/>
          <w:iCs/>
          <w:color w:val="auto"/>
        </w:rPr>
        <w:t>in vitro</w:t>
      </w:r>
      <w:r>
        <w:rPr>
          <w:color w:val="auto"/>
        </w:rPr>
        <w:t xml:space="preserve"> fertilisation</w:t>
      </w:r>
      <w:r w:rsidRPr="00853261">
        <w:rPr>
          <w:color w:val="auto"/>
        </w:rPr>
        <w:t xml:space="preserve"> and preimplantation genetic diagnosis. </w:t>
      </w:r>
      <w:r>
        <w:rPr>
          <w:color w:val="auto"/>
        </w:rPr>
        <w:t>T</w:t>
      </w:r>
      <w:r w:rsidRPr="00853261">
        <w:rPr>
          <w:color w:val="auto"/>
        </w:rPr>
        <w:t xml:space="preserve">he introduction of carrier testing for couples who are already pregnant may increase services such as </w:t>
      </w:r>
      <w:r>
        <w:rPr>
          <w:color w:val="auto"/>
        </w:rPr>
        <w:t>chorionic villus sampling</w:t>
      </w:r>
      <w:r w:rsidRPr="00853261">
        <w:rPr>
          <w:color w:val="auto"/>
        </w:rPr>
        <w:t xml:space="preserve"> or amniocentesis and termination.</w:t>
      </w:r>
    </w:p>
    <w:p w14:paraId="1D42A2E0" w14:textId="2958C32B" w:rsidR="00656956" w:rsidRPr="007C6D4F" w:rsidRDefault="00656956" w:rsidP="00656956">
      <w:pPr>
        <w:pStyle w:val="Instructionaltext"/>
        <w:rPr>
          <w:color w:val="auto"/>
        </w:rPr>
      </w:pPr>
      <w:r w:rsidRPr="007C6D4F">
        <w:rPr>
          <w:color w:val="auto"/>
        </w:rPr>
        <w:t xml:space="preserve">The assessment report addresses the requirements of the </w:t>
      </w:r>
      <w:r>
        <w:rPr>
          <w:color w:val="auto"/>
        </w:rPr>
        <w:t>ratifi</w:t>
      </w:r>
      <w:r w:rsidRPr="007C6D4F">
        <w:rPr>
          <w:color w:val="auto"/>
        </w:rPr>
        <w:t>ed PICO</w:t>
      </w:r>
      <w:r w:rsidR="003C7093">
        <w:rPr>
          <w:color w:val="auto"/>
        </w:rPr>
        <w:t xml:space="preserve"> </w:t>
      </w:r>
      <w:r w:rsidR="007723A2">
        <w:rPr>
          <w:noProof/>
          <w:color w:val="auto"/>
        </w:rPr>
        <w:t>(PICO Advisory SubCommittee, 2021)</w:t>
      </w:r>
      <w:r w:rsidRPr="007C6D4F">
        <w:rPr>
          <w:color w:val="auto"/>
        </w:rPr>
        <w:t>.</w:t>
      </w:r>
    </w:p>
    <w:p w14:paraId="66BDFCC1" w14:textId="720B45E2" w:rsidR="00772829" w:rsidRDefault="00E96E47" w:rsidP="002A18BE">
      <w:pPr>
        <w:pStyle w:val="Heading2"/>
        <w:numPr>
          <w:ilvl w:val="0"/>
          <w:numId w:val="0"/>
        </w:numPr>
      </w:pPr>
      <w:bookmarkStart w:id="37" w:name="_Toc103096506"/>
      <w:r>
        <w:t>8</w:t>
      </w:r>
      <w:r w:rsidR="00C36633">
        <w:t>.</w:t>
      </w:r>
      <w:r w:rsidR="00C36633">
        <w:tab/>
      </w:r>
      <w:r w:rsidR="00772829" w:rsidRPr="00CE28E3">
        <w:t>Comparator</w:t>
      </w:r>
      <w:bookmarkEnd w:id="37"/>
    </w:p>
    <w:p w14:paraId="27A4A4D3" w14:textId="184E8205" w:rsidR="00656956" w:rsidRDefault="00656956" w:rsidP="00656956">
      <w:r>
        <w:t xml:space="preserve">The base case comparator for the proposed carrier testing is genetic carrier testing for SMA, CF, and FXS, as supported by MSAC </w:t>
      </w:r>
      <w:r w:rsidR="007723A2">
        <w:rPr>
          <w:noProof/>
        </w:rPr>
        <w:t>(Medical Services Advisory Committee (MSAC), 2020)</w:t>
      </w:r>
      <w:r>
        <w:t xml:space="preserve">. </w:t>
      </w:r>
    </w:p>
    <w:p w14:paraId="47BC3A84" w14:textId="45CC6CE1" w:rsidR="00772829" w:rsidRPr="00CE28E3" w:rsidRDefault="00E96E47" w:rsidP="002A18BE">
      <w:pPr>
        <w:pStyle w:val="Heading2"/>
        <w:numPr>
          <w:ilvl w:val="0"/>
          <w:numId w:val="0"/>
        </w:numPr>
      </w:pPr>
      <w:bookmarkStart w:id="38" w:name="_Toc103096507"/>
      <w:r>
        <w:t>9</w:t>
      </w:r>
      <w:r w:rsidR="00C36633">
        <w:t>.</w:t>
      </w:r>
      <w:r w:rsidR="00C36633">
        <w:tab/>
      </w:r>
      <w:r w:rsidR="00772829" w:rsidRPr="00CE28E3">
        <w:t xml:space="preserve">Summary of public consultation </w:t>
      </w:r>
      <w:r w:rsidR="0052575D">
        <w:t>input</w:t>
      </w:r>
      <w:bookmarkEnd w:id="38"/>
    </w:p>
    <w:p w14:paraId="7E85D63D" w14:textId="59252CA9" w:rsidR="00656956" w:rsidRPr="00D411CB" w:rsidRDefault="00656956" w:rsidP="00656956">
      <w:pPr>
        <w:pStyle w:val="Instructionaltext"/>
        <w:rPr>
          <w:color w:val="auto"/>
        </w:rPr>
      </w:pPr>
      <w:r w:rsidRPr="00141681">
        <w:rPr>
          <w:color w:val="auto"/>
        </w:rPr>
        <w:t>Input was received from one individual and one organisation, the Victorian Clinical Genetics Service (VCGS). Feedback was mixed, with both supportive and unsupportive perspectives received, however both responses did not agree with testing eligibility being defined by ethnicity.</w:t>
      </w:r>
      <w:r w:rsidR="004A3E9D" w:rsidRPr="004A3E9D">
        <w:rPr>
          <w:rFonts w:asciiTheme="minorHAnsi" w:hAnsiTheme="minorHAnsi" w:cstheme="minorHAnsi"/>
        </w:rPr>
        <w:t xml:space="preserve"> </w:t>
      </w:r>
      <w:r w:rsidR="004A3E9D" w:rsidRPr="00D411CB">
        <w:rPr>
          <w:rFonts w:asciiTheme="minorHAnsi" w:hAnsiTheme="minorHAnsi" w:cstheme="minorHAnsi"/>
          <w:color w:val="auto"/>
        </w:rPr>
        <w:t>Following PASC, input was received from Private Pathology Australia (PPA), Australian Genomics Health Alliance (AGHA), Australian Pathology (AP), Human Genetics Society of Australasia (HGSA), Royal Australian College of General Practitioners (RACGP) and SMA Australia.</w:t>
      </w:r>
    </w:p>
    <w:p w14:paraId="6F78E5CE" w14:textId="77777777" w:rsidR="00656956" w:rsidRPr="00141681" w:rsidRDefault="00656956" w:rsidP="00656956">
      <w:pPr>
        <w:pStyle w:val="Instructionaltext"/>
        <w:rPr>
          <w:color w:val="auto"/>
        </w:rPr>
      </w:pPr>
      <w:r w:rsidRPr="00141681">
        <w:rPr>
          <w:color w:val="auto"/>
        </w:rPr>
        <w:t>The advantages of the proposed testing were stated to be:</w:t>
      </w:r>
    </w:p>
    <w:p w14:paraId="0C151596" w14:textId="77777777" w:rsidR="00656956" w:rsidRPr="00141681" w:rsidRDefault="00656956" w:rsidP="003D1E13">
      <w:pPr>
        <w:pStyle w:val="Instructionaltext"/>
        <w:numPr>
          <w:ilvl w:val="0"/>
          <w:numId w:val="32"/>
        </w:numPr>
        <w:spacing w:after="120"/>
        <w:ind w:left="714" w:hanging="357"/>
        <w:rPr>
          <w:color w:val="auto"/>
        </w:rPr>
      </w:pPr>
      <w:r w:rsidRPr="00141681">
        <w:rPr>
          <w:color w:val="auto"/>
        </w:rPr>
        <w:t>Preconception genetic testing may facilitate disease prevention and, in the context of IVF, may avoid suffering and child loss.</w:t>
      </w:r>
    </w:p>
    <w:p w14:paraId="1FE9D7D0" w14:textId="77777777" w:rsidR="00656956" w:rsidRPr="00141681" w:rsidRDefault="00656956" w:rsidP="003D1E13">
      <w:pPr>
        <w:pStyle w:val="Instructionaltext"/>
        <w:numPr>
          <w:ilvl w:val="0"/>
          <w:numId w:val="32"/>
        </w:numPr>
        <w:spacing w:after="120"/>
        <w:ind w:left="714" w:hanging="357"/>
        <w:rPr>
          <w:color w:val="auto"/>
        </w:rPr>
      </w:pPr>
      <w:r w:rsidRPr="00141681">
        <w:rPr>
          <w:color w:val="auto"/>
        </w:rPr>
        <w:t>MBS funding of preconception genetic testing would promote equity of access.</w:t>
      </w:r>
    </w:p>
    <w:p w14:paraId="69090281" w14:textId="77777777" w:rsidR="00656956" w:rsidRPr="00141681" w:rsidRDefault="00656956" w:rsidP="003D1E13">
      <w:pPr>
        <w:pStyle w:val="Instructionaltext"/>
        <w:numPr>
          <w:ilvl w:val="0"/>
          <w:numId w:val="32"/>
        </w:numPr>
        <w:spacing w:after="120"/>
        <w:ind w:left="714" w:hanging="357"/>
        <w:rPr>
          <w:color w:val="auto"/>
        </w:rPr>
      </w:pPr>
      <w:r w:rsidRPr="00141681">
        <w:rPr>
          <w:color w:val="auto"/>
        </w:rPr>
        <w:t>MBS funding of preconception genetic testing may reduce the cost of caring for children with severe disease.</w:t>
      </w:r>
    </w:p>
    <w:p w14:paraId="19B1F4B2" w14:textId="77777777" w:rsidR="00656956" w:rsidRPr="00141681" w:rsidRDefault="00656956" w:rsidP="00656956">
      <w:pPr>
        <w:pStyle w:val="Instructionaltext"/>
        <w:rPr>
          <w:color w:val="auto"/>
        </w:rPr>
      </w:pPr>
      <w:r w:rsidRPr="00141681">
        <w:rPr>
          <w:color w:val="auto"/>
        </w:rPr>
        <w:t>The disadvantages of the proposed testing were stated to be:</w:t>
      </w:r>
    </w:p>
    <w:p w14:paraId="5B04FE5E" w14:textId="4B875EA6" w:rsidR="00656956" w:rsidRPr="00141681" w:rsidRDefault="00656956" w:rsidP="00656956">
      <w:pPr>
        <w:pStyle w:val="Instructionaltext"/>
        <w:numPr>
          <w:ilvl w:val="0"/>
          <w:numId w:val="33"/>
        </w:numPr>
        <w:rPr>
          <w:color w:val="auto"/>
        </w:rPr>
      </w:pPr>
      <w:r w:rsidRPr="00141681">
        <w:rPr>
          <w:color w:val="auto"/>
        </w:rPr>
        <w:t xml:space="preserve">It is difficult to gauge an individual’s </w:t>
      </w:r>
      <w:r w:rsidR="00C93578">
        <w:rPr>
          <w:color w:val="auto"/>
        </w:rPr>
        <w:t xml:space="preserve">pre-test </w:t>
      </w:r>
      <w:r w:rsidRPr="00141681">
        <w:rPr>
          <w:color w:val="auto"/>
        </w:rPr>
        <w:t>risk of severe monogenic disorders.</w:t>
      </w:r>
    </w:p>
    <w:p w14:paraId="699F54B5" w14:textId="77777777" w:rsidR="00656956" w:rsidRPr="00141681" w:rsidRDefault="00656956" w:rsidP="00656956">
      <w:pPr>
        <w:pStyle w:val="Instructionaltext"/>
        <w:numPr>
          <w:ilvl w:val="0"/>
          <w:numId w:val="33"/>
        </w:numPr>
        <w:rPr>
          <w:color w:val="auto"/>
        </w:rPr>
      </w:pPr>
      <w:r w:rsidRPr="00141681">
        <w:rPr>
          <w:color w:val="auto"/>
        </w:rPr>
        <w:t>Defining the population by ethnic ancestry may become ineffective as some patients may not know their ethnic ancestry, may be from multiethnic backgrounds or, may have a partner of a different ethnicity that is not captured in the proposed population.</w:t>
      </w:r>
    </w:p>
    <w:p w14:paraId="20818790" w14:textId="2914C72F" w:rsidR="00656956" w:rsidRPr="00141681" w:rsidRDefault="00656956" w:rsidP="00656956">
      <w:pPr>
        <w:pStyle w:val="Instructionaltext"/>
        <w:rPr>
          <w:color w:val="auto"/>
        </w:rPr>
      </w:pPr>
      <w:r w:rsidRPr="00141681">
        <w:rPr>
          <w:color w:val="auto"/>
        </w:rPr>
        <w:t>The following other points were raised:</w:t>
      </w:r>
    </w:p>
    <w:p w14:paraId="243A50B1" w14:textId="77777777" w:rsidR="00656956" w:rsidRPr="00141681" w:rsidRDefault="00656956" w:rsidP="003D1E13">
      <w:pPr>
        <w:pStyle w:val="Instructionaltext"/>
        <w:numPr>
          <w:ilvl w:val="0"/>
          <w:numId w:val="33"/>
        </w:numPr>
        <w:spacing w:after="120"/>
        <w:ind w:left="714" w:hanging="357"/>
        <w:rPr>
          <w:color w:val="auto"/>
        </w:rPr>
      </w:pPr>
      <w:r w:rsidRPr="00141681">
        <w:rPr>
          <w:color w:val="auto"/>
        </w:rPr>
        <w:t>The population may be extended to include all prospective parents or other ethnicities with high risk for severe monogenic conditions.</w:t>
      </w:r>
    </w:p>
    <w:p w14:paraId="6C3664AC" w14:textId="7A3B87D6" w:rsidR="00656956" w:rsidRPr="00141681" w:rsidRDefault="00656956" w:rsidP="003D1E13">
      <w:pPr>
        <w:pStyle w:val="Instructionaltext"/>
        <w:numPr>
          <w:ilvl w:val="0"/>
          <w:numId w:val="33"/>
        </w:numPr>
        <w:spacing w:after="120"/>
        <w:ind w:left="714" w:hanging="357"/>
        <w:rPr>
          <w:color w:val="auto"/>
        </w:rPr>
      </w:pPr>
      <w:r w:rsidRPr="00141681">
        <w:rPr>
          <w:color w:val="auto"/>
        </w:rPr>
        <w:t xml:space="preserve">The targeted gene panel should be broad to target </w:t>
      </w:r>
      <w:r w:rsidR="00B25834">
        <w:rPr>
          <w:color w:val="auto"/>
        </w:rPr>
        <w:t xml:space="preserve">the </w:t>
      </w:r>
      <w:r w:rsidRPr="00141681">
        <w:rPr>
          <w:color w:val="auto"/>
        </w:rPr>
        <w:t>common</w:t>
      </w:r>
      <w:r w:rsidR="00B25834">
        <w:rPr>
          <w:color w:val="auto"/>
        </w:rPr>
        <w:t>ly occurring</w:t>
      </w:r>
      <w:r w:rsidRPr="00141681">
        <w:rPr>
          <w:color w:val="auto"/>
        </w:rPr>
        <w:t xml:space="preserve"> autosomal recessive conditions</w:t>
      </w:r>
      <w:r w:rsidR="00B25834">
        <w:rPr>
          <w:color w:val="auto"/>
        </w:rPr>
        <w:t xml:space="preserve"> with increased incidence compared to the general population</w:t>
      </w:r>
      <w:r w:rsidRPr="00141681">
        <w:rPr>
          <w:color w:val="auto"/>
        </w:rPr>
        <w:t>.</w:t>
      </w:r>
    </w:p>
    <w:p w14:paraId="7DC11A89" w14:textId="16DEBBD5" w:rsidR="00656956" w:rsidRPr="00141681" w:rsidRDefault="00656956" w:rsidP="003D1E13">
      <w:pPr>
        <w:pStyle w:val="Instructionaltext"/>
        <w:numPr>
          <w:ilvl w:val="0"/>
          <w:numId w:val="33"/>
        </w:numPr>
        <w:spacing w:after="120"/>
        <w:ind w:left="714" w:hanging="357"/>
        <w:rPr>
          <w:color w:val="auto"/>
        </w:rPr>
      </w:pPr>
      <w:r w:rsidRPr="00141681">
        <w:rPr>
          <w:color w:val="auto"/>
        </w:rPr>
        <w:lastRenderedPageBreak/>
        <w:t xml:space="preserve">In the prenatal test setting both partners should be </w:t>
      </w:r>
      <w:r w:rsidR="00BB46E2">
        <w:rPr>
          <w:color w:val="auto"/>
        </w:rPr>
        <w:t>tested</w:t>
      </w:r>
      <w:r w:rsidR="00BB46E2" w:rsidRPr="00141681">
        <w:rPr>
          <w:color w:val="auto"/>
        </w:rPr>
        <w:t xml:space="preserve"> </w:t>
      </w:r>
      <w:r w:rsidRPr="00141681">
        <w:rPr>
          <w:color w:val="auto"/>
        </w:rPr>
        <w:t>concurrently.</w:t>
      </w:r>
    </w:p>
    <w:p w14:paraId="03C7A1F1" w14:textId="6E9593AF" w:rsidR="00772829" w:rsidRPr="00CE28E3" w:rsidRDefault="00E96E47" w:rsidP="002A18BE">
      <w:pPr>
        <w:pStyle w:val="Heading2"/>
        <w:numPr>
          <w:ilvl w:val="0"/>
          <w:numId w:val="0"/>
        </w:numPr>
      </w:pPr>
      <w:bookmarkStart w:id="39" w:name="_Toc103096508"/>
      <w:r>
        <w:t>10</w:t>
      </w:r>
      <w:r w:rsidR="00C36633">
        <w:t>.</w:t>
      </w:r>
      <w:r w:rsidR="00C36633">
        <w:tab/>
      </w:r>
      <w:r w:rsidR="00772829" w:rsidRPr="00CE28E3">
        <w:t>Characteristics of the evidence base</w:t>
      </w:r>
      <w:bookmarkEnd w:id="39"/>
    </w:p>
    <w:p w14:paraId="4AE2982E" w14:textId="1519C792" w:rsidR="004153E8" w:rsidRDefault="00D91353" w:rsidP="003D1E13">
      <w:r>
        <w:t xml:space="preserve">No studies met the inclusion criteria for assessing the direct </w:t>
      </w:r>
      <w:r w:rsidR="004153E8">
        <w:t xml:space="preserve">from </w:t>
      </w:r>
      <w:r>
        <w:t xml:space="preserve">test </w:t>
      </w:r>
      <w:r w:rsidR="004153E8">
        <w:t xml:space="preserve">to health outcomes </w:t>
      </w:r>
      <w:r w:rsidR="001147ED">
        <w:t xml:space="preserve">or </w:t>
      </w:r>
      <w:r w:rsidR="004153E8">
        <w:t xml:space="preserve">evidence of targeted carrier testing for severe monogenic conditions compared to genetic carrier testing for CF, SMA, and FXS, or to no genetic </w:t>
      </w:r>
      <w:r w:rsidR="008C1A06">
        <w:t xml:space="preserve">carrier </w:t>
      </w:r>
      <w:r w:rsidR="004153E8">
        <w:t>testing.</w:t>
      </w:r>
    </w:p>
    <w:p w14:paraId="4A419128" w14:textId="634BA426" w:rsidR="00D91353" w:rsidRPr="003251C2" w:rsidRDefault="00E068DC" w:rsidP="003D1E13">
      <w:r>
        <w:t>A l</w:t>
      </w:r>
      <w:r w:rsidR="004153E8">
        <w:t xml:space="preserve">inked evidence approach was therefore attempted. </w:t>
      </w:r>
      <w:r w:rsidR="00990D35">
        <w:t>Eighteen</w:t>
      </w:r>
      <w:r w:rsidR="00D91353">
        <w:t xml:space="preserve"> </w:t>
      </w:r>
      <w:r w:rsidR="004153E8">
        <w:t>studies reporting on the diagnostic yield of targeted genetic testing, change in reproductive decision-making, health outcomes, and safety were identified</w:t>
      </w:r>
      <w:r w:rsidR="00A31B2A">
        <w:t xml:space="preserve"> (</w:t>
      </w:r>
      <w:r w:rsidR="003A0B9B" w:rsidRPr="00CE28E3">
        <w:t>Table</w:t>
      </w:r>
      <w:r w:rsidR="003A0B9B">
        <w:t> </w:t>
      </w:r>
      <w:r w:rsidR="007260EF">
        <w:rPr>
          <w:noProof/>
        </w:rPr>
        <w:t>6</w:t>
      </w:r>
      <w:r w:rsidR="00A31B2A">
        <w:t>)</w:t>
      </w:r>
      <w:r w:rsidR="004153E8">
        <w:t>. None of these studies had a relevant comparator.</w:t>
      </w:r>
    </w:p>
    <w:p w14:paraId="005968B3" w14:textId="67E53080" w:rsidR="00956ACE" w:rsidRPr="00CE28E3" w:rsidRDefault="00956ACE" w:rsidP="009A06F4">
      <w:pPr>
        <w:pStyle w:val="Caption"/>
        <w:rPr>
          <w:sz w:val="16"/>
          <w:szCs w:val="16"/>
        </w:rPr>
      </w:pPr>
      <w:bookmarkStart w:id="40" w:name="_Ref69725659"/>
      <w:bookmarkStart w:id="41" w:name="_Ref98176691"/>
      <w:bookmarkStart w:id="42" w:name="_Toc103096603"/>
      <w:r w:rsidRPr="00CE28E3">
        <w:t>Table</w:t>
      </w:r>
      <w:r w:rsidR="004A4FDF">
        <w:t> </w:t>
      </w:r>
      <w:bookmarkEnd w:id="40"/>
      <w:r w:rsidR="007260EF">
        <w:rPr>
          <w:noProof/>
        </w:rPr>
        <w:t>6</w:t>
      </w:r>
      <w:r w:rsidRPr="00CE28E3">
        <w:tab/>
        <w:t>Key features of the included evidence</w:t>
      </w:r>
      <w:bookmarkEnd w:id="41"/>
      <w:bookmarkEnd w:id="42"/>
    </w:p>
    <w:tbl>
      <w:tblPr>
        <w:tblStyle w:val="TableGrid1"/>
        <w:tblW w:w="5000" w:type="pct"/>
        <w:tblLook w:val="04A0" w:firstRow="1" w:lastRow="0" w:firstColumn="1" w:lastColumn="0" w:noHBand="0" w:noVBand="1"/>
      </w:tblPr>
      <w:tblGrid>
        <w:gridCol w:w="1816"/>
        <w:gridCol w:w="3325"/>
        <w:gridCol w:w="1938"/>
        <w:gridCol w:w="1937"/>
      </w:tblGrid>
      <w:tr w:rsidR="00956ACE" w:rsidRPr="00CE28E3" w14:paraId="530E3954" w14:textId="77777777" w:rsidTr="00B8535F">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43" w:name="ColumnTitle_Table4"/>
            <w:bookmarkStart w:id="44" w:name="_Hlk68276288"/>
            <w:bookmarkEnd w:id="43"/>
            <w:r>
              <w:rPr>
                <w:b/>
              </w:rPr>
              <w:t>Criteri</w:t>
            </w:r>
            <w:r w:rsidR="004D4425">
              <w:rPr>
                <w:b/>
              </w:rPr>
              <w:t>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670650">
            <w:pPr>
              <w:pStyle w:val="TableText"/>
              <w:keepNext/>
              <w:rPr>
                <w:b/>
              </w:rPr>
            </w:pPr>
            <w:r w:rsidRPr="00CE28E3">
              <w:rPr>
                <w:b/>
              </w:rPr>
              <w:t>Overall risk of bias in evidence base</w:t>
            </w:r>
          </w:p>
        </w:tc>
      </w:tr>
      <w:tr w:rsidR="00956ACE" w:rsidRPr="00CE28E3" w14:paraId="34571304"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63BA3949" w14:textId="44433E49" w:rsidR="00956ACE" w:rsidRPr="00CE28E3" w:rsidRDefault="00C83B2A" w:rsidP="00670650">
            <w:pPr>
              <w:pStyle w:val="TableText"/>
              <w:keepNext/>
            </w:pPr>
            <w:r>
              <w:t>Diagnostic yield</w:t>
            </w:r>
          </w:p>
        </w:tc>
        <w:tc>
          <w:tcPr>
            <w:tcW w:w="1844" w:type="pct"/>
            <w:tcBorders>
              <w:top w:val="single" w:sz="4" w:space="0" w:color="auto"/>
              <w:left w:val="single" w:sz="4" w:space="0" w:color="auto"/>
              <w:bottom w:val="single" w:sz="4" w:space="0" w:color="auto"/>
              <w:right w:val="single" w:sz="4" w:space="0" w:color="auto"/>
            </w:tcBorders>
            <w:hideMark/>
          </w:tcPr>
          <w:p w14:paraId="7A348354" w14:textId="6A87E9CA" w:rsidR="00956ACE" w:rsidRPr="00C83B2A" w:rsidRDefault="00C83B2A" w:rsidP="00C83B2A">
            <w:pPr>
              <w:pStyle w:val="TableText"/>
            </w:pPr>
            <w:r w:rsidRPr="00C83B2A">
              <w:t>Case series and ecological studies</w:t>
            </w:r>
            <w:r w:rsidR="00B2624F">
              <w:t xml:space="preserve"> reporting carrier frequency and couple carrier frequency</w:t>
            </w:r>
          </w:p>
        </w:tc>
        <w:tc>
          <w:tcPr>
            <w:tcW w:w="1075" w:type="pct"/>
            <w:tcBorders>
              <w:top w:val="single" w:sz="4" w:space="0" w:color="auto"/>
              <w:left w:val="single" w:sz="4" w:space="0" w:color="auto"/>
              <w:bottom w:val="single" w:sz="4" w:space="0" w:color="auto"/>
              <w:right w:val="single" w:sz="4" w:space="0" w:color="auto"/>
            </w:tcBorders>
            <w:hideMark/>
          </w:tcPr>
          <w:p w14:paraId="4B9F173D" w14:textId="08AF6BA4" w:rsidR="00956ACE" w:rsidRPr="00CE28E3" w:rsidRDefault="00D411CB" w:rsidP="00670650">
            <w:pPr>
              <w:pStyle w:val="TableText"/>
              <w:keepNext/>
            </w:pPr>
            <w:sdt>
              <w:sdtPr>
                <w:id w:val="1454910707"/>
                <w14:checkbox>
                  <w14:checked w14:val="1"/>
                  <w14:checkedState w14:val="2612" w14:font="MS Gothic"/>
                  <w14:uncheckedState w14:val="2610" w14:font="MS Gothic"/>
                </w14:checkbox>
              </w:sdtPr>
              <w:sdtEndPr/>
              <w:sdtContent>
                <w:r w:rsidR="00C83B2A">
                  <w:rPr>
                    <w:rFonts w:ascii="MS Gothic" w:eastAsia="MS Gothic" w:hAnsi="MS Gothic" w:hint="eastAsia"/>
                  </w:rPr>
                  <w:t>☒</w:t>
                </w:r>
              </w:sdtContent>
            </w:sdt>
            <w:r w:rsidR="00956ACE" w:rsidRPr="00CE28E3">
              <w:tab/>
              <w:t>k=</w:t>
            </w:r>
            <w:r w:rsidR="00C83B2A">
              <w:t>11</w:t>
            </w:r>
            <w:r w:rsidR="00956ACE" w:rsidRPr="00CE28E3">
              <w:tab/>
              <w:t>n</w:t>
            </w:r>
            <w:r w:rsidR="00C83B2A">
              <w:t>&gt;100,624</w:t>
            </w:r>
          </w:p>
        </w:tc>
        <w:tc>
          <w:tcPr>
            <w:tcW w:w="1074" w:type="pct"/>
            <w:tcBorders>
              <w:top w:val="single" w:sz="4" w:space="0" w:color="auto"/>
              <w:left w:val="single" w:sz="4" w:space="0" w:color="auto"/>
              <w:bottom w:val="single" w:sz="4" w:space="0" w:color="auto"/>
              <w:right w:val="single" w:sz="4" w:space="0" w:color="auto"/>
            </w:tcBorders>
            <w:hideMark/>
          </w:tcPr>
          <w:p w14:paraId="314B6464" w14:textId="11FCD163" w:rsidR="00956ACE" w:rsidRPr="00C83B2A" w:rsidRDefault="00C83B2A" w:rsidP="00C83B2A">
            <w:pPr>
              <w:pStyle w:val="TableText"/>
            </w:pPr>
            <w:r w:rsidRPr="00C83B2A">
              <w:t>High risk</w:t>
            </w:r>
          </w:p>
        </w:tc>
      </w:tr>
      <w:tr w:rsidR="00956ACE" w:rsidRPr="00CE28E3" w14:paraId="020F989B"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252A909C" w14:textId="559A440D" w:rsidR="00956ACE" w:rsidRPr="00CE28E3" w:rsidRDefault="00956ACE" w:rsidP="00670650">
            <w:pPr>
              <w:pStyle w:val="TableText"/>
              <w:keepNext/>
            </w:pPr>
            <w:r w:rsidRPr="00CE28E3">
              <w:t>Change in patient management</w:t>
            </w:r>
          </w:p>
        </w:tc>
        <w:tc>
          <w:tcPr>
            <w:tcW w:w="1844" w:type="pct"/>
            <w:tcBorders>
              <w:top w:val="single" w:sz="4" w:space="0" w:color="auto"/>
              <w:left w:val="single" w:sz="4" w:space="0" w:color="auto"/>
              <w:bottom w:val="single" w:sz="4" w:space="0" w:color="auto"/>
              <w:right w:val="single" w:sz="4" w:space="0" w:color="auto"/>
            </w:tcBorders>
            <w:hideMark/>
          </w:tcPr>
          <w:p w14:paraId="6CFA7EE5" w14:textId="688ED6B5" w:rsidR="00956ACE" w:rsidRPr="00CE28E3" w:rsidRDefault="00B2624F" w:rsidP="00670650">
            <w:pPr>
              <w:pStyle w:val="TableText"/>
              <w:keepNext/>
            </w:pPr>
            <w:r>
              <w:t>Case series and an ecological study reporting reproductive decision-making</w:t>
            </w:r>
          </w:p>
        </w:tc>
        <w:tc>
          <w:tcPr>
            <w:tcW w:w="1075" w:type="pct"/>
            <w:tcBorders>
              <w:top w:val="single" w:sz="4" w:space="0" w:color="auto"/>
              <w:left w:val="single" w:sz="4" w:space="0" w:color="auto"/>
              <w:bottom w:val="single" w:sz="4" w:space="0" w:color="auto"/>
              <w:right w:val="single" w:sz="4" w:space="0" w:color="auto"/>
            </w:tcBorders>
            <w:hideMark/>
          </w:tcPr>
          <w:p w14:paraId="60E3094E" w14:textId="5AA265CF" w:rsidR="00956ACE" w:rsidRPr="00CE28E3" w:rsidRDefault="00D411CB" w:rsidP="00670650">
            <w:pPr>
              <w:pStyle w:val="TableText"/>
              <w:keepNext/>
            </w:pPr>
            <w:sdt>
              <w:sdtPr>
                <w:id w:val="-1943214893"/>
                <w14:checkbox>
                  <w14:checked w14:val="1"/>
                  <w14:checkedState w14:val="2612" w14:font="MS Gothic"/>
                  <w14:uncheckedState w14:val="2610" w14:font="MS Gothic"/>
                </w14:checkbox>
              </w:sdtPr>
              <w:sdtEndPr/>
              <w:sdtContent>
                <w:r w:rsidR="00D91353">
                  <w:rPr>
                    <w:rFonts w:ascii="MS Gothic" w:eastAsia="MS Gothic" w:hAnsi="MS Gothic" w:hint="eastAsia"/>
                  </w:rPr>
                  <w:t>☒</w:t>
                </w:r>
              </w:sdtContent>
            </w:sdt>
            <w:r w:rsidR="00956ACE" w:rsidRPr="00CE28E3">
              <w:tab/>
              <w:t>k=</w:t>
            </w:r>
            <w:r w:rsidR="00B2624F">
              <w:t>2</w:t>
            </w:r>
            <w:r w:rsidR="00956ACE" w:rsidRPr="00CE28E3">
              <w:tab/>
              <w:t>n</w:t>
            </w:r>
            <w:r w:rsidR="00B2624F">
              <w:t>&gt;125,223</w:t>
            </w:r>
          </w:p>
        </w:tc>
        <w:tc>
          <w:tcPr>
            <w:tcW w:w="1074" w:type="pct"/>
            <w:tcBorders>
              <w:top w:val="single" w:sz="4" w:space="0" w:color="auto"/>
              <w:left w:val="single" w:sz="4" w:space="0" w:color="auto"/>
              <w:bottom w:val="single" w:sz="4" w:space="0" w:color="auto"/>
              <w:right w:val="single" w:sz="4" w:space="0" w:color="auto"/>
            </w:tcBorders>
            <w:hideMark/>
          </w:tcPr>
          <w:p w14:paraId="00E8E7C1" w14:textId="43BD86AE" w:rsidR="00956ACE" w:rsidRPr="00CE28E3" w:rsidRDefault="00B2624F" w:rsidP="00670650">
            <w:pPr>
              <w:pStyle w:val="TableText"/>
              <w:keepNext/>
            </w:pPr>
            <w:r w:rsidRPr="00C83B2A">
              <w:t>High risk</w:t>
            </w:r>
          </w:p>
        </w:tc>
      </w:tr>
      <w:tr w:rsidR="002A0D60" w:rsidRPr="00CE28E3" w14:paraId="074AB5B9" w14:textId="77777777" w:rsidTr="00824458">
        <w:tc>
          <w:tcPr>
            <w:tcW w:w="1007" w:type="pct"/>
            <w:tcBorders>
              <w:top w:val="single" w:sz="4" w:space="0" w:color="auto"/>
              <w:left w:val="single" w:sz="4" w:space="0" w:color="auto"/>
              <w:bottom w:val="nil"/>
              <w:right w:val="single" w:sz="4" w:space="0" w:color="auto"/>
            </w:tcBorders>
          </w:tcPr>
          <w:p w14:paraId="35E12570" w14:textId="577F9C41" w:rsidR="002A0D60" w:rsidRDefault="002A0D60" w:rsidP="00670650">
            <w:pPr>
              <w:pStyle w:val="TableText"/>
              <w:keepNext/>
            </w:pPr>
            <w:r w:rsidRPr="00CE28E3">
              <w:t>Health outcomes</w:t>
            </w:r>
          </w:p>
        </w:tc>
        <w:tc>
          <w:tcPr>
            <w:tcW w:w="1844" w:type="pct"/>
            <w:tcBorders>
              <w:top w:val="single" w:sz="4" w:space="0" w:color="auto"/>
              <w:left w:val="single" w:sz="4" w:space="0" w:color="auto"/>
              <w:bottom w:val="nil"/>
              <w:right w:val="single" w:sz="4" w:space="0" w:color="auto"/>
            </w:tcBorders>
          </w:tcPr>
          <w:p w14:paraId="196613AE" w14:textId="089C2F38" w:rsidR="002A0D60" w:rsidRPr="00D91353" w:rsidRDefault="00D91353" w:rsidP="00D91353">
            <w:pPr>
              <w:pStyle w:val="TableText"/>
            </w:pPr>
            <w:r w:rsidRPr="00D91353">
              <w:t>Ecological study</w:t>
            </w:r>
          </w:p>
        </w:tc>
        <w:tc>
          <w:tcPr>
            <w:tcW w:w="1075" w:type="pct"/>
            <w:tcBorders>
              <w:top w:val="single" w:sz="4" w:space="0" w:color="auto"/>
              <w:left w:val="single" w:sz="4" w:space="0" w:color="auto"/>
              <w:bottom w:val="nil"/>
              <w:right w:val="single" w:sz="4" w:space="0" w:color="auto"/>
            </w:tcBorders>
          </w:tcPr>
          <w:p w14:paraId="7C0DB374" w14:textId="67130D77" w:rsidR="002A0D60" w:rsidRDefault="00D91353" w:rsidP="00D91353">
            <w:pPr>
              <w:pStyle w:val="TableText"/>
              <w:keepNext/>
            </w:pPr>
            <w:r>
              <w:rPr>
                <w:rFonts w:ascii="MS Gothic" w:eastAsia="MS Gothic" w:hAnsi="MS Gothic" w:hint="eastAsia"/>
              </w:rPr>
              <w:t>☒</w:t>
            </w:r>
            <w:r w:rsidRPr="00CE28E3">
              <w:tab/>
              <w:t>k=</w:t>
            </w:r>
            <w:r>
              <w:t>1</w:t>
            </w:r>
            <w:r w:rsidRPr="00CE28E3">
              <w:tab/>
              <w:t>n=</w:t>
            </w:r>
            <w:r>
              <w:t>NR</w:t>
            </w:r>
          </w:p>
        </w:tc>
        <w:tc>
          <w:tcPr>
            <w:tcW w:w="1074" w:type="pct"/>
            <w:tcBorders>
              <w:top w:val="single" w:sz="4" w:space="0" w:color="auto"/>
              <w:left w:val="single" w:sz="4" w:space="0" w:color="auto"/>
              <w:bottom w:val="nil"/>
              <w:right w:val="single" w:sz="4" w:space="0" w:color="auto"/>
            </w:tcBorders>
          </w:tcPr>
          <w:p w14:paraId="34AA60A7" w14:textId="33456DA2" w:rsidR="002A0D60" w:rsidRPr="00BC4972" w:rsidRDefault="002A0D60" w:rsidP="00670650">
            <w:pPr>
              <w:pStyle w:val="TableText"/>
              <w:keepNext/>
              <w:rPr>
                <w:color w:val="258221"/>
              </w:rPr>
            </w:pPr>
            <w:r w:rsidRPr="00C83B2A">
              <w:t>High risk</w:t>
            </w:r>
          </w:p>
        </w:tc>
      </w:tr>
      <w:tr w:rsidR="00956ACE" w:rsidRPr="00CE28E3" w14:paraId="0A575DD3" w14:textId="77777777" w:rsidTr="002A0D60">
        <w:tc>
          <w:tcPr>
            <w:tcW w:w="1007" w:type="pct"/>
            <w:tcBorders>
              <w:top w:val="single" w:sz="4" w:space="0" w:color="auto"/>
              <w:left w:val="single" w:sz="4" w:space="0" w:color="auto"/>
              <w:bottom w:val="nil"/>
              <w:right w:val="single" w:sz="4" w:space="0" w:color="auto"/>
            </w:tcBorders>
            <w:hideMark/>
          </w:tcPr>
          <w:p w14:paraId="2B5E1C59" w14:textId="1FB3CFC8" w:rsidR="00956ACE" w:rsidRPr="00CE28E3" w:rsidRDefault="002A0D60" w:rsidP="00670650">
            <w:pPr>
              <w:pStyle w:val="TableText"/>
              <w:keepNext/>
            </w:pPr>
            <w:r>
              <w:t>Safety</w:t>
            </w:r>
          </w:p>
        </w:tc>
        <w:tc>
          <w:tcPr>
            <w:tcW w:w="1844" w:type="pct"/>
            <w:tcBorders>
              <w:top w:val="single" w:sz="4" w:space="0" w:color="auto"/>
              <w:left w:val="single" w:sz="4" w:space="0" w:color="auto"/>
              <w:bottom w:val="nil"/>
              <w:right w:val="single" w:sz="4" w:space="0" w:color="auto"/>
            </w:tcBorders>
          </w:tcPr>
          <w:p w14:paraId="54723D7C" w14:textId="329BDFCF" w:rsidR="00956ACE" w:rsidRPr="00CE28E3" w:rsidRDefault="002A0D60" w:rsidP="00670650">
            <w:pPr>
              <w:pStyle w:val="TableText"/>
              <w:keepNext/>
            </w:pPr>
            <w:r>
              <w:t>Cross-sectional studies and a before-after study on the psychological harms of targeted carrier testing</w:t>
            </w:r>
          </w:p>
        </w:tc>
        <w:tc>
          <w:tcPr>
            <w:tcW w:w="1075" w:type="pct"/>
            <w:tcBorders>
              <w:top w:val="single" w:sz="4" w:space="0" w:color="auto"/>
              <w:left w:val="single" w:sz="4" w:space="0" w:color="auto"/>
              <w:bottom w:val="nil"/>
              <w:right w:val="single" w:sz="4" w:space="0" w:color="auto"/>
            </w:tcBorders>
          </w:tcPr>
          <w:p w14:paraId="496A8CDC" w14:textId="06773BE9" w:rsidR="00956ACE" w:rsidRPr="00CE28E3" w:rsidRDefault="00D411CB" w:rsidP="00670650">
            <w:pPr>
              <w:pStyle w:val="TableText"/>
              <w:keepNext/>
            </w:pPr>
            <w:sdt>
              <w:sdtPr>
                <w:id w:val="-605892943"/>
                <w14:checkbox>
                  <w14:checked w14:val="1"/>
                  <w14:checkedState w14:val="2612" w14:font="MS Gothic"/>
                  <w14:uncheckedState w14:val="2610" w14:font="MS Gothic"/>
                </w14:checkbox>
              </w:sdtPr>
              <w:sdtEndPr/>
              <w:sdtContent>
                <w:r w:rsidR="002A0D60">
                  <w:rPr>
                    <w:rFonts w:ascii="MS Gothic" w:eastAsia="MS Gothic" w:hAnsi="MS Gothic" w:hint="eastAsia"/>
                  </w:rPr>
                  <w:t>☒</w:t>
                </w:r>
              </w:sdtContent>
            </w:sdt>
            <w:r w:rsidR="00956ACE" w:rsidRPr="00CE28E3">
              <w:tab/>
              <w:t>k=</w:t>
            </w:r>
            <w:r w:rsidR="002A0D60">
              <w:t>3</w:t>
            </w:r>
            <w:r w:rsidR="00956ACE" w:rsidRPr="00CE28E3">
              <w:tab/>
              <w:t>n=</w:t>
            </w:r>
            <w:r w:rsidR="002A0D60">
              <w:t>521</w:t>
            </w:r>
          </w:p>
        </w:tc>
        <w:tc>
          <w:tcPr>
            <w:tcW w:w="1074" w:type="pct"/>
            <w:tcBorders>
              <w:top w:val="single" w:sz="4" w:space="0" w:color="auto"/>
              <w:left w:val="single" w:sz="4" w:space="0" w:color="auto"/>
              <w:bottom w:val="nil"/>
              <w:right w:val="single" w:sz="4" w:space="0" w:color="auto"/>
            </w:tcBorders>
            <w:hideMark/>
          </w:tcPr>
          <w:p w14:paraId="17AAB10F" w14:textId="332EE57A" w:rsidR="00956ACE" w:rsidRPr="00CE28E3" w:rsidRDefault="00D91353" w:rsidP="00670650">
            <w:pPr>
              <w:pStyle w:val="TableText"/>
              <w:keepNext/>
            </w:pPr>
            <w:r>
              <w:t>High risk</w:t>
            </w:r>
          </w:p>
        </w:tc>
      </w:tr>
      <w:tr w:rsidR="00956ACE" w:rsidRPr="00CE28E3" w14:paraId="08C1132B" w14:textId="77777777" w:rsidTr="002A0D60">
        <w:tc>
          <w:tcPr>
            <w:tcW w:w="1007" w:type="pct"/>
            <w:tcBorders>
              <w:top w:val="nil"/>
              <w:left w:val="single" w:sz="4" w:space="0" w:color="auto"/>
              <w:bottom w:val="single" w:sz="4" w:space="0" w:color="auto"/>
              <w:right w:val="single" w:sz="4" w:space="0" w:color="auto"/>
            </w:tcBorders>
          </w:tcPr>
          <w:p w14:paraId="1119C155" w14:textId="5DBBF0FA" w:rsidR="00956ACE" w:rsidRPr="00CE28E3" w:rsidRDefault="002A0D60" w:rsidP="00670650">
            <w:pPr>
              <w:pStyle w:val="TableText"/>
              <w:keepNext/>
            </w:pPr>
            <w:r>
              <w:t>Safety of downstream changes in management</w:t>
            </w:r>
          </w:p>
        </w:tc>
        <w:tc>
          <w:tcPr>
            <w:tcW w:w="1844" w:type="pct"/>
            <w:tcBorders>
              <w:top w:val="nil"/>
              <w:left w:val="single" w:sz="4" w:space="0" w:color="auto"/>
              <w:bottom w:val="single" w:sz="4" w:space="0" w:color="auto"/>
              <w:right w:val="single" w:sz="4" w:space="0" w:color="auto"/>
            </w:tcBorders>
          </w:tcPr>
          <w:p w14:paraId="241AA423" w14:textId="709EF202" w:rsidR="00956ACE" w:rsidRPr="00CE28E3" w:rsidRDefault="002A0D60" w:rsidP="00670650">
            <w:pPr>
              <w:pStyle w:val="TableText"/>
              <w:keepNext/>
            </w:pPr>
            <w:r>
              <w:t>Cross-sectional, cohort and qualitative studies on the psychological harms of PGD</w:t>
            </w:r>
          </w:p>
        </w:tc>
        <w:tc>
          <w:tcPr>
            <w:tcW w:w="1075" w:type="pct"/>
            <w:tcBorders>
              <w:top w:val="nil"/>
              <w:left w:val="single" w:sz="4" w:space="0" w:color="auto"/>
              <w:bottom w:val="single" w:sz="4" w:space="0" w:color="auto"/>
              <w:right w:val="single" w:sz="4" w:space="0" w:color="auto"/>
            </w:tcBorders>
          </w:tcPr>
          <w:p w14:paraId="7A8C7715" w14:textId="37EFB60C" w:rsidR="00956ACE" w:rsidRPr="00CE28E3" w:rsidRDefault="00D411CB" w:rsidP="00670650">
            <w:pPr>
              <w:pStyle w:val="TableText"/>
              <w:keepNext/>
            </w:pPr>
            <w:sdt>
              <w:sdtPr>
                <w:id w:val="-1216044709"/>
                <w14:checkbox>
                  <w14:checked w14:val="1"/>
                  <w14:checkedState w14:val="2612" w14:font="MS Gothic"/>
                  <w14:uncheckedState w14:val="2610" w14:font="MS Gothic"/>
                </w14:checkbox>
              </w:sdtPr>
              <w:sdtEndPr/>
              <w:sdtContent>
                <w:r w:rsidR="002A0D60">
                  <w:rPr>
                    <w:rFonts w:ascii="MS Gothic" w:eastAsia="MS Gothic" w:hAnsi="MS Gothic" w:hint="eastAsia"/>
                  </w:rPr>
                  <w:t>☒</w:t>
                </w:r>
              </w:sdtContent>
            </w:sdt>
            <w:r w:rsidR="00956ACE" w:rsidRPr="00CE28E3">
              <w:tab/>
              <w:t>k=</w:t>
            </w:r>
            <w:r w:rsidR="002A0D60">
              <w:t>3</w:t>
            </w:r>
            <w:r w:rsidR="00956ACE" w:rsidRPr="00CE28E3">
              <w:tab/>
              <w:t>n=</w:t>
            </w:r>
            <w:r w:rsidR="002A0D60">
              <w:t>54</w:t>
            </w:r>
          </w:p>
        </w:tc>
        <w:tc>
          <w:tcPr>
            <w:tcW w:w="1074" w:type="pct"/>
            <w:tcBorders>
              <w:top w:val="nil"/>
              <w:left w:val="single" w:sz="4" w:space="0" w:color="auto"/>
              <w:bottom w:val="single" w:sz="4" w:space="0" w:color="auto"/>
              <w:right w:val="single" w:sz="4" w:space="0" w:color="auto"/>
            </w:tcBorders>
          </w:tcPr>
          <w:p w14:paraId="79C15404" w14:textId="7ABD9FCE" w:rsidR="00956ACE" w:rsidRPr="00D91353" w:rsidRDefault="00D91353" w:rsidP="00D91353">
            <w:pPr>
              <w:pStyle w:val="TableText"/>
            </w:pPr>
            <w:r w:rsidRPr="00D91353">
              <w:t>At risk of bias</w:t>
            </w:r>
          </w:p>
        </w:tc>
      </w:tr>
    </w:tbl>
    <w:p w14:paraId="52644E1E" w14:textId="77777777" w:rsidR="00B2624F" w:rsidRDefault="00956ACE" w:rsidP="00EB0436">
      <w:pPr>
        <w:pStyle w:val="TableFigureFooter"/>
        <w:spacing w:before="0"/>
        <w:contextualSpacing/>
      </w:pPr>
      <w:bookmarkStart w:id="45" w:name="_Hlk68276301"/>
      <w:bookmarkEnd w:id="44"/>
      <w:r w:rsidRPr="00CE28E3">
        <w:t>k=number of studies, n=number of patients.</w:t>
      </w:r>
    </w:p>
    <w:p w14:paraId="36B53B57" w14:textId="36B67361" w:rsidR="00956ACE" w:rsidRPr="00CE28E3" w:rsidRDefault="00D91353" w:rsidP="00B8535F">
      <w:pPr>
        <w:pStyle w:val="TableFigureFooter"/>
      </w:pPr>
      <w:r>
        <w:t xml:space="preserve">NR=not reported; </w:t>
      </w:r>
      <w:r w:rsidR="00B2624F">
        <w:t>PGD=preimplantation genetic diagnosis</w:t>
      </w:r>
    </w:p>
    <w:p w14:paraId="3B9FC2AD" w14:textId="7084370D" w:rsidR="00772829" w:rsidRPr="00CE28E3" w:rsidRDefault="00E96E47" w:rsidP="002A18BE">
      <w:pPr>
        <w:pStyle w:val="Heading2"/>
        <w:numPr>
          <w:ilvl w:val="0"/>
          <w:numId w:val="0"/>
        </w:numPr>
      </w:pPr>
      <w:bookmarkStart w:id="46" w:name="_Toc103096509"/>
      <w:bookmarkEnd w:id="45"/>
      <w:r>
        <w:t>11</w:t>
      </w:r>
      <w:r w:rsidR="00C36633">
        <w:t>.</w:t>
      </w:r>
      <w:r w:rsidR="00C36633">
        <w:tab/>
      </w:r>
      <w:r w:rsidR="00772829" w:rsidRPr="00CE28E3">
        <w:t>Comparative safety</w:t>
      </w:r>
      <w:bookmarkEnd w:id="46"/>
    </w:p>
    <w:p w14:paraId="5171C211" w14:textId="02810912" w:rsidR="00331BF3" w:rsidRDefault="00331BF3" w:rsidP="00331BF3">
      <w:r>
        <w:t xml:space="preserve">Three studies reporting on the psychological harms of targeted carrier testing for </w:t>
      </w:r>
      <w:proofErr w:type="gramStart"/>
      <w:r>
        <w:t>TSD</w:t>
      </w:r>
      <w:proofErr w:type="gramEnd"/>
      <w:r>
        <w:t xml:space="preserve"> and other conditions offered through Australian Jewish high-school programs </w:t>
      </w:r>
      <w:r w:rsidR="00E378D4">
        <w:t xml:space="preserve">in Sydney </w:t>
      </w:r>
      <w:r w:rsidR="007723A2">
        <w:rPr>
          <w:noProof/>
        </w:rPr>
        <w:t>(Barlow-Stewart et al., 2022)</w:t>
      </w:r>
      <w:r w:rsidR="00973494">
        <w:rPr>
          <w:rStyle w:val="FootnoteReference"/>
        </w:rPr>
        <w:footnoteReference w:id="3"/>
      </w:r>
      <w:r w:rsidR="00350A0B">
        <w:t xml:space="preserve"> </w:t>
      </w:r>
      <w:r w:rsidR="00E378D4">
        <w:t xml:space="preserve">and Melbourne </w:t>
      </w:r>
      <w:r w:rsidR="007723A2">
        <w:rPr>
          <w:noProof/>
        </w:rPr>
        <w:t>(Curd et al., 2014</w:t>
      </w:r>
      <w:r w:rsidR="00973494">
        <w:rPr>
          <w:rStyle w:val="FootnoteReference"/>
          <w:noProof/>
        </w:rPr>
        <w:footnoteReference w:id="4"/>
      </w:r>
      <w:r w:rsidR="007723A2">
        <w:rPr>
          <w:noProof/>
        </w:rPr>
        <w:t>; Ioannou et al., 2010</w:t>
      </w:r>
      <w:r w:rsidR="00973494">
        <w:rPr>
          <w:rStyle w:val="FootnoteReference"/>
          <w:noProof/>
        </w:rPr>
        <w:footnoteReference w:id="5"/>
      </w:r>
      <w:r w:rsidR="007723A2">
        <w:rPr>
          <w:noProof/>
        </w:rPr>
        <w:t>)</w:t>
      </w:r>
      <w:r w:rsidR="00350A0B">
        <w:t xml:space="preserve"> </w:t>
      </w:r>
      <w:r>
        <w:t>were identified.</w:t>
      </w:r>
      <w:r w:rsidR="00E378D4">
        <w:t xml:space="preserve"> Measures included anxiety scales (State Trait Anxiety Inventory, STAI), predicted feelings, Decision Regret Scale, and impact of </w:t>
      </w:r>
      <w:r w:rsidR="00F40715">
        <w:t xml:space="preserve">event on detected carriers. Overall, </w:t>
      </w:r>
      <w:r w:rsidR="00B26C06">
        <w:t xml:space="preserve">psychological harms such as anxiety and decision regret were rare; most participants scored below clinically significant </w:t>
      </w:r>
      <w:r w:rsidR="00481B17">
        <w:t>thresholds</w:t>
      </w:r>
      <w:r w:rsidR="00B26C06">
        <w:t xml:space="preserve">. </w:t>
      </w:r>
      <w:r w:rsidR="00481B17">
        <w:t xml:space="preserve">Concern tended to decrease after </w:t>
      </w:r>
      <w:r w:rsidR="00E068DC">
        <w:t xml:space="preserve">the </w:t>
      </w:r>
      <w:r w:rsidR="00481B17">
        <w:t>genetic information session part of the program. In a follow up study 5-11 years after carrier testing, no</w:t>
      </w:r>
      <w:r w:rsidR="00B26C06">
        <w:t xml:space="preserve"> differences in anxiety and decision regret were observed between carriers and non-carriers.</w:t>
      </w:r>
    </w:p>
    <w:p w14:paraId="3D7574AA" w14:textId="0FF791D2" w:rsidR="00481B17" w:rsidRDefault="00481B17" w:rsidP="00481B17">
      <w:r>
        <w:lastRenderedPageBreak/>
        <w:t>Key limitations include low level of evidence (</w:t>
      </w:r>
      <w:r w:rsidR="006C2475">
        <w:t>two cross-sectional and one before-after study) without a comparator, risk of bias present in all three studies, and that n</w:t>
      </w:r>
      <w:r>
        <w:t xml:space="preserve">one of the studies was adequately powered to detect clinically significant differences. Notwithstanding some concerns regarding the </w:t>
      </w:r>
      <w:proofErr w:type="gramStart"/>
      <w:r>
        <w:t>particular setting</w:t>
      </w:r>
      <w:proofErr w:type="gramEnd"/>
      <w:r>
        <w:t xml:space="preserve"> of the three studies (i.e., Jewish high-school programs), they are most likely applicable to the population of interest, considering that they were conducted in Australia and in populations with a high proportion of Ashkenazi Jewish ancestry.</w:t>
      </w:r>
      <w:r w:rsidR="006C2475">
        <w:t xml:space="preserve"> The certainty of evidence (GRADE) was graded as very low quality.</w:t>
      </w:r>
    </w:p>
    <w:p w14:paraId="27A1ED26" w14:textId="29BC86DC" w:rsidR="00550DCA" w:rsidRDefault="00550DCA" w:rsidP="00481B17">
      <w:r>
        <w:t xml:space="preserve">Three studies reporting on the psychological harms of preimplantation genetic diagnosis conducted in </w:t>
      </w:r>
      <w:r w:rsidR="00615040">
        <w:t>Sydney</w:t>
      </w:r>
      <w:r w:rsidR="00CF018F">
        <w:t xml:space="preserve"> </w:t>
      </w:r>
      <w:r w:rsidR="007723A2">
        <w:rPr>
          <w:noProof/>
        </w:rPr>
        <w:t>(Karatas et al., 2010a</w:t>
      </w:r>
      <w:r w:rsidR="00973494">
        <w:rPr>
          <w:rStyle w:val="FootnoteReference"/>
          <w:noProof/>
        </w:rPr>
        <w:footnoteReference w:id="6"/>
      </w:r>
      <w:r w:rsidR="007723A2">
        <w:rPr>
          <w:noProof/>
        </w:rPr>
        <w:t>; Karatas et al., 2011</w:t>
      </w:r>
      <w:r w:rsidR="00580A96">
        <w:rPr>
          <w:rStyle w:val="FootnoteReference"/>
          <w:noProof/>
        </w:rPr>
        <w:footnoteReference w:id="7"/>
      </w:r>
      <w:r w:rsidR="007723A2">
        <w:rPr>
          <w:noProof/>
        </w:rPr>
        <w:t>; Karatas et al., 2010b</w:t>
      </w:r>
      <w:r w:rsidR="00580A96">
        <w:rPr>
          <w:rStyle w:val="FootnoteReference"/>
          <w:noProof/>
        </w:rPr>
        <w:footnoteReference w:id="8"/>
      </w:r>
      <w:r w:rsidR="007723A2">
        <w:rPr>
          <w:noProof/>
        </w:rPr>
        <w:t>)</w:t>
      </w:r>
      <w:r w:rsidR="00615040">
        <w:t xml:space="preserve">, </w:t>
      </w:r>
      <w:r>
        <w:t>were presented as supplementary evidence</w:t>
      </w:r>
      <w:r w:rsidR="001E680D">
        <w:t xml:space="preserve"> only</w:t>
      </w:r>
      <w:r>
        <w:t>,</w:t>
      </w:r>
      <w:r w:rsidR="001E680D">
        <w:t xml:space="preserve"> due to</w:t>
      </w:r>
      <w:r>
        <w:t xml:space="preserve"> several applicability issues (conducted in </w:t>
      </w:r>
      <w:r w:rsidR="001E680D">
        <w:t>the general population, treatment performed due to severe monogenic conditions</w:t>
      </w:r>
      <w:r w:rsidR="007D4B68">
        <w:t xml:space="preserve">, albeit different conditions than the nine conditions tested in </w:t>
      </w:r>
      <w:r w:rsidR="001E680D">
        <w:t>this assessment). The evidence suggested</w:t>
      </w:r>
      <w:r>
        <w:t xml:space="preserve"> </w:t>
      </w:r>
      <w:r w:rsidR="001E680D">
        <w:t xml:space="preserve">preimplantation genetic diagnosis may increase anxiety in women, which tends to return to baseline levels if successful pregnancy is established. Some women experienced significant emotional burden and clinically significant psychological distress during the process. Depression scores did not </w:t>
      </w:r>
      <w:r w:rsidR="007D4B68">
        <w:t xml:space="preserve">increase </w:t>
      </w:r>
      <w:r w:rsidR="001E680D">
        <w:t>significantly during the treatment.</w:t>
      </w:r>
    </w:p>
    <w:p w14:paraId="29AE1239" w14:textId="2B40D112" w:rsidR="007C1020" w:rsidRDefault="007C1020" w:rsidP="007C1020">
      <w:r>
        <w:t>Key limitations include limited applicability (as discussed above), low level of evidence (one cross-sectional, one longitudinal cohort and one qualitative study) without a comparator, risk of bias present in all three studies, and that none of the studies was adequately powered to detect clinically significant differences. The certainty of evidence (GRADE) was graded as very low quality.</w:t>
      </w:r>
    </w:p>
    <w:p w14:paraId="0B2B2AF6" w14:textId="2485EEA5" w:rsidR="007C1020" w:rsidRDefault="007C1020" w:rsidP="00481B17">
      <w:r>
        <w:t>No other evidence on the safety of downstream consequences of targeted carrier testing for severe monogenic conditions was identified.</w:t>
      </w:r>
    </w:p>
    <w:p w14:paraId="4120EA76" w14:textId="1BEEDE91" w:rsidR="00B43944" w:rsidRDefault="00B43944" w:rsidP="00481B17">
      <w:r>
        <w:t xml:space="preserve">No comparative evidence for </w:t>
      </w:r>
      <w:r w:rsidR="007B0CF2">
        <w:t xml:space="preserve">the safety of </w:t>
      </w:r>
      <w:r>
        <w:t xml:space="preserve">targeted carrier testing for severe monogenic conditions compared with genetic carrier testing for CF, SMA and FXS or with no genetic testing was identified. Considering both the proposed intervention and comparator 1 use similar technology, the </w:t>
      </w:r>
      <w:r w:rsidR="000934BA">
        <w:t>two interventions are</w:t>
      </w:r>
      <w:r>
        <w:t xml:space="preserve"> </w:t>
      </w:r>
      <w:r w:rsidR="000934BA">
        <w:t>likely of similar safety</w:t>
      </w:r>
      <w:r w:rsidR="003E2417">
        <w:t>. However,</w:t>
      </w:r>
      <w:r w:rsidR="000934BA">
        <w:t xml:space="preserve"> </w:t>
      </w:r>
      <w:r w:rsidR="007723A2">
        <w:rPr>
          <w:noProof/>
        </w:rPr>
        <w:t>Ioannou et al. (2010)</w:t>
      </w:r>
      <w:r w:rsidR="000934BA">
        <w:t xml:space="preserve"> reported that, compared with a historical cohort that only tested for TSD, increasing the number of conditions tested</w:t>
      </w:r>
      <w:r w:rsidR="00102286">
        <w:t>,</w:t>
      </w:r>
      <w:r w:rsidR="000934BA">
        <w:t xml:space="preserve"> increased predicted negative feelings if </w:t>
      </w:r>
      <w:r w:rsidR="00102286">
        <w:t xml:space="preserve">a study </w:t>
      </w:r>
      <w:r w:rsidR="00E1279A">
        <w:t xml:space="preserve">participant </w:t>
      </w:r>
      <w:r w:rsidR="00030DB7">
        <w:t>was</w:t>
      </w:r>
      <w:r w:rsidR="00102286">
        <w:t xml:space="preserve"> </w:t>
      </w:r>
      <w:r w:rsidR="00E1279A">
        <w:t xml:space="preserve">to be </w:t>
      </w:r>
      <w:r w:rsidR="000934BA">
        <w:t xml:space="preserve">detected </w:t>
      </w:r>
      <w:r w:rsidR="00E1279A">
        <w:t>as</w:t>
      </w:r>
      <w:r w:rsidR="000934BA">
        <w:t xml:space="preserve"> a carrier.</w:t>
      </w:r>
    </w:p>
    <w:p w14:paraId="3717AA01" w14:textId="22EC2654" w:rsidR="00772829" w:rsidRPr="00CE28E3" w:rsidRDefault="00C36633" w:rsidP="002A18BE">
      <w:pPr>
        <w:pStyle w:val="Heading2"/>
        <w:numPr>
          <w:ilvl w:val="0"/>
          <w:numId w:val="0"/>
        </w:numPr>
      </w:pPr>
      <w:bookmarkStart w:id="47" w:name="_Toc103096510"/>
      <w:r>
        <w:t>1</w:t>
      </w:r>
      <w:r w:rsidR="00E96E47">
        <w:t>2</w:t>
      </w:r>
      <w:r>
        <w:t>.</w:t>
      </w:r>
      <w:r>
        <w:tab/>
      </w:r>
      <w:r w:rsidR="00772829" w:rsidRPr="00CE28E3">
        <w:t>Comparative effectiveness</w:t>
      </w:r>
      <w:bookmarkEnd w:id="47"/>
    </w:p>
    <w:p w14:paraId="57760ED3" w14:textId="40F0A124" w:rsidR="002F0696" w:rsidRDefault="002F0696" w:rsidP="002F0696">
      <w:r>
        <w:t>No</w:t>
      </w:r>
      <w:r w:rsidRPr="0058511C">
        <w:t xml:space="preserve"> direct test to health outcomes evidence </w:t>
      </w:r>
      <w:r>
        <w:t xml:space="preserve">was identified </w:t>
      </w:r>
      <w:r w:rsidRPr="0058511C">
        <w:t xml:space="preserve">for </w:t>
      </w:r>
      <w:r>
        <w:t>targeted carrier testing for severe monogenic conditions compared to genetic carrier testing for CF, SMA and FXS, or to no genetic testing.</w:t>
      </w:r>
      <w:r w:rsidRPr="0058511C">
        <w:t xml:space="preserve"> </w:t>
      </w:r>
      <w:r>
        <w:t>A</w:t>
      </w:r>
      <w:r w:rsidRPr="0058511C">
        <w:t xml:space="preserve"> linked </w:t>
      </w:r>
      <w:r>
        <w:t xml:space="preserve">evidence </w:t>
      </w:r>
      <w:r w:rsidRPr="0058511C">
        <w:t xml:space="preserve">approach was </w:t>
      </w:r>
      <w:r>
        <w:t>t</w:t>
      </w:r>
      <w:r w:rsidRPr="0058511C">
        <w:t>herefore attempted.</w:t>
      </w:r>
    </w:p>
    <w:p w14:paraId="76CE611A" w14:textId="5A861F91" w:rsidR="00685433" w:rsidRDefault="002F0696" w:rsidP="00685433">
      <w:r>
        <w:t xml:space="preserve">The only </w:t>
      </w:r>
      <w:r w:rsidRPr="002F0696">
        <w:rPr>
          <w:rStyle w:val="Emphasis"/>
        </w:rPr>
        <w:t>test accuracy</w:t>
      </w:r>
      <w:r>
        <w:t xml:space="preserve"> measure for targeted carrier testing for severe monogenic conditions was diagnostic yield</w:t>
      </w:r>
      <w:r w:rsidR="001F2107">
        <w:t xml:space="preserve"> in the Ashkenazi Jewish population</w:t>
      </w:r>
      <w:r>
        <w:t xml:space="preserve">. Eleven studies were identified, none had a relevant comparator. All studies </w:t>
      </w:r>
      <w:proofErr w:type="gramStart"/>
      <w:r>
        <w:t>were considered to be</w:t>
      </w:r>
      <w:proofErr w:type="gramEnd"/>
      <w:r>
        <w:t xml:space="preserve"> at high risk of bias. The results, including the variability (range) of carrier frequencies for individual diseases reported across studies, are summarised in </w:t>
      </w:r>
      <w:r w:rsidR="003A0B9B">
        <w:t xml:space="preserve">Table </w:t>
      </w:r>
      <w:r w:rsidR="007260EF">
        <w:rPr>
          <w:noProof/>
        </w:rPr>
        <w:t>7</w:t>
      </w:r>
      <w:r w:rsidR="00685433">
        <w:t>.</w:t>
      </w:r>
      <w:r>
        <w:t xml:space="preserve"> </w:t>
      </w:r>
      <w:r w:rsidR="00685433">
        <w:t>The certainty of evidence (GRADE) was graded as very low quality.</w:t>
      </w:r>
    </w:p>
    <w:p w14:paraId="65E895FD" w14:textId="6675F735" w:rsidR="002F0696" w:rsidRDefault="002F0696" w:rsidP="002F0696">
      <w:pPr>
        <w:pStyle w:val="Caption"/>
      </w:pPr>
      <w:bookmarkStart w:id="48" w:name="_Ref98233517"/>
      <w:bookmarkStart w:id="49" w:name="_Toc103096604"/>
      <w:r>
        <w:lastRenderedPageBreak/>
        <w:t xml:space="preserve">Table </w:t>
      </w:r>
      <w:bookmarkEnd w:id="48"/>
      <w:r w:rsidR="007260EF">
        <w:rPr>
          <w:noProof/>
        </w:rPr>
        <w:t>7</w:t>
      </w:r>
      <w:r>
        <w:tab/>
      </w:r>
      <w:r>
        <w:rPr>
          <w:rFonts w:cs="Arial"/>
          <w:snapToGrid w:val="0"/>
          <w:szCs w:val="16"/>
        </w:rPr>
        <w:t xml:space="preserve">Variability </w:t>
      </w:r>
      <w:r w:rsidRPr="00CE28E3">
        <w:rPr>
          <w:rFonts w:cs="Arial"/>
          <w:snapToGrid w:val="0"/>
          <w:szCs w:val="16"/>
        </w:rPr>
        <w:t xml:space="preserve">of </w:t>
      </w:r>
      <w:r>
        <w:rPr>
          <w:rFonts w:cs="Arial"/>
          <w:snapToGrid w:val="0"/>
          <w:szCs w:val="16"/>
        </w:rPr>
        <w:t>carrier frequencies</w:t>
      </w:r>
      <w:r w:rsidRPr="00CE28E3">
        <w:rPr>
          <w:rFonts w:cs="Arial"/>
          <w:snapToGrid w:val="0"/>
          <w:szCs w:val="16"/>
        </w:rPr>
        <w:t xml:space="preserve"> </w:t>
      </w:r>
      <w:r>
        <w:rPr>
          <w:rFonts w:cs="Arial"/>
          <w:snapToGrid w:val="0"/>
          <w:szCs w:val="16"/>
        </w:rPr>
        <w:t xml:space="preserve">of severe monogenic conditions </w:t>
      </w:r>
      <w:r w:rsidRPr="00CE28E3">
        <w:rPr>
          <w:rFonts w:cs="Arial"/>
          <w:snapToGrid w:val="0"/>
          <w:szCs w:val="16"/>
        </w:rPr>
        <w:t xml:space="preserve">across the </w:t>
      </w:r>
      <w:r w:rsidRPr="00952683">
        <w:rPr>
          <w:rFonts w:cs="Arial"/>
          <w:snapToGrid w:val="0"/>
          <w:szCs w:val="16"/>
        </w:rPr>
        <w:t>studies</w:t>
      </w:r>
      <w:bookmarkEnd w:id="49"/>
    </w:p>
    <w:tbl>
      <w:tblPr>
        <w:tblStyle w:val="TableGrid"/>
        <w:tblW w:w="0" w:type="auto"/>
        <w:tblLayout w:type="fixed"/>
        <w:tblLook w:val="04A0" w:firstRow="1" w:lastRow="0" w:firstColumn="1" w:lastColumn="0" w:noHBand="0" w:noVBand="1"/>
      </w:tblPr>
      <w:tblGrid>
        <w:gridCol w:w="1361"/>
        <w:gridCol w:w="850"/>
        <w:gridCol w:w="851"/>
        <w:gridCol w:w="850"/>
        <w:gridCol w:w="851"/>
        <w:gridCol w:w="850"/>
        <w:gridCol w:w="851"/>
        <w:gridCol w:w="850"/>
        <w:gridCol w:w="851"/>
        <w:gridCol w:w="851"/>
      </w:tblGrid>
      <w:tr w:rsidR="00656956" w14:paraId="5478B984" w14:textId="77777777" w:rsidTr="008F6884">
        <w:trPr>
          <w:cantSplit/>
          <w:tblHeader/>
        </w:trPr>
        <w:tc>
          <w:tcPr>
            <w:tcW w:w="1361" w:type="dxa"/>
            <w:tcBorders>
              <w:top w:val="single" w:sz="4" w:space="0" w:color="auto"/>
              <w:left w:val="single" w:sz="4" w:space="0" w:color="auto"/>
              <w:bottom w:val="nil"/>
              <w:right w:val="single" w:sz="4" w:space="0" w:color="auto"/>
            </w:tcBorders>
          </w:tcPr>
          <w:p w14:paraId="26CEFDDB" w14:textId="77777777" w:rsidR="00656956" w:rsidRPr="00E06D16" w:rsidRDefault="00656956" w:rsidP="00001BBB">
            <w:pPr>
              <w:pStyle w:val="TableHeading0"/>
            </w:pPr>
            <w:r w:rsidRPr="00E06D16">
              <w:t>Study ID</w:t>
            </w:r>
          </w:p>
        </w:tc>
        <w:tc>
          <w:tcPr>
            <w:tcW w:w="850" w:type="dxa"/>
            <w:tcBorders>
              <w:top w:val="single" w:sz="4" w:space="0" w:color="auto"/>
              <w:left w:val="single" w:sz="4" w:space="0" w:color="auto"/>
              <w:bottom w:val="single" w:sz="4" w:space="0" w:color="auto"/>
              <w:right w:val="nil"/>
            </w:tcBorders>
          </w:tcPr>
          <w:p w14:paraId="6DED7719" w14:textId="77777777" w:rsidR="00656956" w:rsidRPr="00E06D16" w:rsidRDefault="00656956" w:rsidP="00001BBB">
            <w:pPr>
              <w:pStyle w:val="TableHeadingCA"/>
            </w:pPr>
          </w:p>
        </w:tc>
        <w:tc>
          <w:tcPr>
            <w:tcW w:w="851" w:type="dxa"/>
            <w:tcBorders>
              <w:top w:val="single" w:sz="4" w:space="0" w:color="auto"/>
              <w:left w:val="nil"/>
              <w:bottom w:val="single" w:sz="4" w:space="0" w:color="auto"/>
              <w:right w:val="nil"/>
            </w:tcBorders>
          </w:tcPr>
          <w:p w14:paraId="49FEF14B" w14:textId="77777777" w:rsidR="00656956" w:rsidRPr="00E06D16" w:rsidRDefault="00656956" w:rsidP="00001BBB">
            <w:pPr>
              <w:pStyle w:val="TableHeadingCA"/>
            </w:pPr>
          </w:p>
        </w:tc>
        <w:tc>
          <w:tcPr>
            <w:tcW w:w="850" w:type="dxa"/>
            <w:tcBorders>
              <w:top w:val="single" w:sz="4" w:space="0" w:color="auto"/>
              <w:left w:val="nil"/>
              <w:bottom w:val="single" w:sz="4" w:space="0" w:color="auto"/>
              <w:right w:val="nil"/>
            </w:tcBorders>
          </w:tcPr>
          <w:p w14:paraId="547BA3C9" w14:textId="77777777" w:rsidR="00656956" w:rsidRPr="00E06D16" w:rsidRDefault="00656956" w:rsidP="00001BBB">
            <w:pPr>
              <w:pStyle w:val="TableHeadingCA"/>
            </w:pPr>
          </w:p>
        </w:tc>
        <w:tc>
          <w:tcPr>
            <w:tcW w:w="2552" w:type="dxa"/>
            <w:gridSpan w:val="3"/>
            <w:tcBorders>
              <w:top w:val="single" w:sz="4" w:space="0" w:color="auto"/>
              <w:left w:val="nil"/>
              <w:bottom w:val="single" w:sz="4" w:space="0" w:color="auto"/>
              <w:right w:val="nil"/>
            </w:tcBorders>
          </w:tcPr>
          <w:p w14:paraId="4DB95F38" w14:textId="579B42FB" w:rsidR="00656956" w:rsidRPr="00E06D16" w:rsidRDefault="00656956" w:rsidP="00001BBB">
            <w:pPr>
              <w:pStyle w:val="TableHeadingCA"/>
            </w:pPr>
            <w:r>
              <w:t>Carrier frequency</w:t>
            </w:r>
          </w:p>
        </w:tc>
        <w:tc>
          <w:tcPr>
            <w:tcW w:w="850" w:type="dxa"/>
            <w:tcBorders>
              <w:top w:val="single" w:sz="4" w:space="0" w:color="auto"/>
              <w:left w:val="nil"/>
              <w:bottom w:val="single" w:sz="4" w:space="0" w:color="auto"/>
              <w:right w:val="nil"/>
            </w:tcBorders>
          </w:tcPr>
          <w:p w14:paraId="5B86C12E" w14:textId="77777777" w:rsidR="00656956" w:rsidRPr="00E06D16" w:rsidRDefault="00656956" w:rsidP="00001BBB">
            <w:pPr>
              <w:pStyle w:val="TableHeadingCA"/>
            </w:pPr>
          </w:p>
        </w:tc>
        <w:tc>
          <w:tcPr>
            <w:tcW w:w="851" w:type="dxa"/>
            <w:tcBorders>
              <w:top w:val="single" w:sz="4" w:space="0" w:color="auto"/>
              <w:left w:val="nil"/>
              <w:bottom w:val="single" w:sz="4" w:space="0" w:color="auto"/>
              <w:right w:val="nil"/>
            </w:tcBorders>
          </w:tcPr>
          <w:p w14:paraId="5BADF9BF" w14:textId="77777777" w:rsidR="00656956" w:rsidRPr="00E06D16" w:rsidRDefault="00656956" w:rsidP="00001BBB">
            <w:pPr>
              <w:pStyle w:val="TableHeadingCA"/>
            </w:pPr>
          </w:p>
        </w:tc>
        <w:tc>
          <w:tcPr>
            <w:tcW w:w="851" w:type="dxa"/>
            <w:tcBorders>
              <w:top w:val="single" w:sz="4" w:space="0" w:color="auto"/>
              <w:left w:val="nil"/>
              <w:bottom w:val="single" w:sz="4" w:space="0" w:color="auto"/>
              <w:right w:val="single" w:sz="4" w:space="0" w:color="auto"/>
            </w:tcBorders>
          </w:tcPr>
          <w:p w14:paraId="3C52EDC7" w14:textId="77777777" w:rsidR="00656956" w:rsidRPr="00E06D16" w:rsidRDefault="00656956" w:rsidP="00001BBB">
            <w:pPr>
              <w:pStyle w:val="TableHeadingCA"/>
            </w:pPr>
          </w:p>
        </w:tc>
      </w:tr>
      <w:tr w:rsidR="002F0696" w14:paraId="02BBBB18" w14:textId="77777777" w:rsidTr="008F6884">
        <w:trPr>
          <w:cantSplit/>
          <w:tblHeader/>
        </w:trPr>
        <w:tc>
          <w:tcPr>
            <w:tcW w:w="1361" w:type="dxa"/>
            <w:tcBorders>
              <w:top w:val="nil"/>
              <w:left w:val="single" w:sz="4" w:space="0" w:color="auto"/>
              <w:bottom w:val="single" w:sz="4" w:space="0" w:color="auto"/>
              <w:right w:val="single" w:sz="4" w:space="0" w:color="auto"/>
            </w:tcBorders>
          </w:tcPr>
          <w:p w14:paraId="3671EF12" w14:textId="77777777" w:rsidR="002F0696" w:rsidRPr="00E06D16" w:rsidRDefault="002F0696" w:rsidP="00001BBB">
            <w:pPr>
              <w:pStyle w:val="TableHeadingCA"/>
            </w:pPr>
          </w:p>
        </w:tc>
        <w:tc>
          <w:tcPr>
            <w:tcW w:w="850" w:type="dxa"/>
            <w:tcBorders>
              <w:top w:val="single" w:sz="4" w:space="0" w:color="auto"/>
              <w:left w:val="single" w:sz="4" w:space="0" w:color="auto"/>
            </w:tcBorders>
          </w:tcPr>
          <w:p w14:paraId="4BED5184" w14:textId="77777777" w:rsidR="002F0696" w:rsidRPr="00E06D16" w:rsidRDefault="002F0696" w:rsidP="00001BBB">
            <w:pPr>
              <w:pStyle w:val="TableHeadingCA"/>
            </w:pPr>
            <w:r w:rsidRPr="00E06D16">
              <w:t>TSD</w:t>
            </w:r>
          </w:p>
        </w:tc>
        <w:tc>
          <w:tcPr>
            <w:tcW w:w="851" w:type="dxa"/>
            <w:tcBorders>
              <w:top w:val="single" w:sz="4" w:space="0" w:color="auto"/>
            </w:tcBorders>
          </w:tcPr>
          <w:p w14:paraId="6A5D15D5" w14:textId="77777777" w:rsidR="002F0696" w:rsidRPr="00E06D16" w:rsidRDefault="002F0696" w:rsidP="00001BBB">
            <w:pPr>
              <w:pStyle w:val="TableHeadingCA"/>
            </w:pPr>
            <w:r w:rsidRPr="00E06D16">
              <w:t>CD</w:t>
            </w:r>
          </w:p>
        </w:tc>
        <w:tc>
          <w:tcPr>
            <w:tcW w:w="850" w:type="dxa"/>
            <w:tcBorders>
              <w:top w:val="single" w:sz="4" w:space="0" w:color="auto"/>
            </w:tcBorders>
          </w:tcPr>
          <w:p w14:paraId="101B8744" w14:textId="77777777" w:rsidR="002F0696" w:rsidRPr="00E06D16" w:rsidRDefault="002F0696" w:rsidP="00001BBB">
            <w:pPr>
              <w:pStyle w:val="TableHeadingCA"/>
            </w:pPr>
            <w:r w:rsidRPr="00E06D16">
              <w:t>FD</w:t>
            </w:r>
          </w:p>
        </w:tc>
        <w:tc>
          <w:tcPr>
            <w:tcW w:w="851" w:type="dxa"/>
            <w:tcBorders>
              <w:top w:val="single" w:sz="4" w:space="0" w:color="auto"/>
            </w:tcBorders>
          </w:tcPr>
          <w:p w14:paraId="0B20EAFD" w14:textId="77777777" w:rsidR="002F0696" w:rsidRPr="00E06D16" w:rsidRDefault="002F0696" w:rsidP="00001BBB">
            <w:pPr>
              <w:pStyle w:val="TableHeadingCA"/>
            </w:pPr>
            <w:r w:rsidRPr="00E06D16">
              <w:t>MLD</w:t>
            </w:r>
          </w:p>
        </w:tc>
        <w:tc>
          <w:tcPr>
            <w:tcW w:w="850" w:type="dxa"/>
            <w:tcBorders>
              <w:top w:val="single" w:sz="4" w:space="0" w:color="auto"/>
            </w:tcBorders>
          </w:tcPr>
          <w:p w14:paraId="08E390A1" w14:textId="77777777" w:rsidR="002F0696" w:rsidRPr="00E06D16" w:rsidRDefault="002F0696" w:rsidP="00001BBB">
            <w:pPr>
              <w:pStyle w:val="TableHeadingCA"/>
            </w:pPr>
            <w:r w:rsidRPr="00E06D16">
              <w:t>GSD1</w:t>
            </w:r>
          </w:p>
        </w:tc>
        <w:tc>
          <w:tcPr>
            <w:tcW w:w="851" w:type="dxa"/>
            <w:tcBorders>
              <w:top w:val="single" w:sz="4" w:space="0" w:color="auto"/>
            </w:tcBorders>
          </w:tcPr>
          <w:p w14:paraId="1D30241E" w14:textId="77777777" w:rsidR="002F0696" w:rsidRPr="00E06D16" w:rsidRDefault="002F0696" w:rsidP="00001BBB">
            <w:pPr>
              <w:pStyle w:val="TableHeadingCA"/>
            </w:pPr>
            <w:r w:rsidRPr="00E06D16">
              <w:t>FA</w:t>
            </w:r>
          </w:p>
        </w:tc>
        <w:tc>
          <w:tcPr>
            <w:tcW w:w="850" w:type="dxa"/>
            <w:tcBorders>
              <w:top w:val="single" w:sz="4" w:space="0" w:color="auto"/>
            </w:tcBorders>
          </w:tcPr>
          <w:p w14:paraId="5AE64C24" w14:textId="77777777" w:rsidR="002F0696" w:rsidRPr="00E06D16" w:rsidRDefault="002F0696" w:rsidP="00001BBB">
            <w:pPr>
              <w:pStyle w:val="TableHeadingCA"/>
            </w:pPr>
            <w:r w:rsidRPr="00E06D16">
              <w:t>GD</w:t>
            </w:r>
          </w:p>
        </w:tc>
        <w:tc>
          <w:tcPr>
            <w:tcW w:w="851" w:type="dxa"/>
            <w:tcBorders>
              <w:top w:val="single" w:sz="4" w:space="0" w:color="auto"/>
            </w:tcBorders>
          </w:tcPr>
          <w:p w14:paraId="5003F897" w14:textId="77777777" w:rsidR="002F0696" w:rsidRPr="00E06D16" w:rsidRDefault="002F0696" w:rsidP="00001BBB">
            <w:pPr>
              <w:pStyle w:val="TableHeadingCA"/>
            </w:pPr>
            <w:r w:rsidRPr="00E06D16">
              <w:t>NPD</w:t>
            </w:r>
          </w:p>
        </w:tc>
        <w:tc>
          <w:tcPr>
            <w:tcW w:w="851" w:type="dxa"/>
            <w:tcBorders>
              <w:top w:val="single" w:sz="4" w:space="0" w:color="auto"/>
            </w:tcBorders>
          </w:tcPr>
          <w:p w14:paraId="436487D4" w14:textId="77777777" w:rsidR="002F0696" w:rsidRPr="00E06D16" w:rsidRDefault="002F0696" w:rsidP="00001BBB">
            <w:pPr>
              <w:pStyle w:val="TableHeadingCA"/>
            </w:pPr>
            <w:r w:rsidRPr="00E06D16">
              <w:t>BS</w:t>
            </w:r>
          </w:p>
        </w:tc>
      </w:tr>
      <w:tr w:rsidR="002F0696" w14:paraId="1A5613E9" w14:textId="77777777" w:rsidTr="008F6884">
        <w:trPr>
          <w:cantSplit/>
        </w:trPr>
        <w:tc>
          <w:tcPr>
            <w:tcW w:w="1361" w:type="dxa"/>
            <w:tcBorders>
              <w:top w:val="single" w:sz="4" w:space="0" w:color="auto"/>
            </w:tcBorders>
          </w:tcPr>
          <w:p w14:paraId="77052A7C" w14:textId="06FCA09C" w:rsidR="002F0696" w:rsidRDefault="007723A2" w:rsidP="00001BBB">
            <w:pPr>
              <w:pStyle w:val="TableText"/>
            </w:pPr>
            <w:r>
              <w:rPr>
                <w:noProof/>
              </w:rPr>
              <w:t>Akler et al. (2020)</w:t>
            </w:r>
            <w:r w:rsidR="003E1A35">
              <w:rPr>
                <w:rStyle w:val="FootnoteReference"/>
              </w:rPr>
              <w:footnoteReference w:id="9"/>
            </w:r>
          </w:p>
        </w:tc>
        <w:tc>
          <w:tcPr>
            <w:tcW w:w="850" w:type="dxa"/>
            <w:vAlign w:val="center"/>
          </w:tcPr>
          <w:p w14:paraId="1C3BBBAE" w14:textId="77777777" w:rsidR="002F0696" w:rsidRDefault="002F0696" w:rsidP="00001BBB">
            <w:pPr>
              <w:pStyle w:val="TableText"/>
              <w:jc w:val="center"/>
            </w:pPr>
            <w:r>
              <w:t>1 in 28</w:t>
            </w:r>
          </w:p>
        </w:tc>
        <w:tc>
          <w:tcPr>
            <w:tcW w:w="851" w:type="dxa"/>
            <w:vAlign w:val="center"/>
          </w:tcPr>
          <w:p w14:paraId="3A9BCA84" w14:textId="77777777" w:rsidR="002F0696" w:rsidRDefault="002F0696" w:rsidP="00001BBB">
            <w:pPr>
              <w:pStyle w:val="TableText"/>
              <w:jc w:val="center"/>
            </w:pPr>
            <w:r>
              <w:t>1 in 50</w:t>
            </w:r>
          </w:p>
        </w:tc>
        <w:tc>
          <w:tcPr>
            <w:tcW w:w="850" w:type="dxa"/>
            <w:vAlign w:val="center"/>
          </w:tcPr>
          <w:p w14:paraId="05B50EA9" w14:textId="77777777" w:rsidR="002F0696" w:rsidRDefault="002F0696" w:rsidP="00001BBB">
            <w:pPr>
              <w:pStyle w:val="TableText"/>
              <w:jc w:val="center"/>
            </w:pPr>
            <w:r>
              <w:t>1 in 33</w:t>
            </w:r>
          </w:p>
        </w:tc>
        <w:tc>
          <w:tcPr>
            <w:tcW w:w="851" w:type="dxa"/>
            <w:vAlign w:val="center"/>
          </w:tcPr>
          <w:p w14:paraId="0E0021AB" w14:textId="77777777" w:rsidR="002F0696" w:rsidRDefault="002F0696" w:rsidP="00001BBB">
            <w:pPr>
              <w:pStyle w:val="TableText"/>
              <w:jc w:val="center"/>
            </w:pPr>
            <w:r>
              <w:t>1 in 99</w:t>
            </w:r>
          </w:p>
        </w:tc>
        <w:tc>
          <w:tcPr>
            <w:tcW w:w="850" w:type="dxa"/>
            <w:vAlign w:val="center"/>
          </w:tcPr>
          <w:p w14:paraId="36186068" w14:textId="77777777" w:rsidR="002F0696" w:rsidRDefault="002F0696" w:rsidP="00001BBB">
            <w:pPr>
              <w:pStyle w:val="TableText"/>
              <w:jc w:val="center"/>
            </w:pPr>
            <w:r>
              <w:t>1 in 94</w:t>
            </w:r>
          </w:p>
        </w:tc>
        <w:tc>
          <w:tcPr>
            <w:tcW w:w="851" w:type="dxa"/>
            <w:vAlign w:val="center"/>
          </w:tcPr>
          <w:p w14:paraId="603753F7" w14:textId="77777777" w:rsidR="002F0696" w:rsidRDefault="002F0696" w:rsidP="00001BBB">
            <w:pPr>
              <w:pStyle w:val="TableText"/>
              <w:jc w:val="center"/>
            </w:pPr>
            <w:r>
              <w:t>1 in 96</w:t>
            </w:r>
          </w:p>
        </w:tc>
        <w:tc>
          <w:tcPr>
            <w:tcW w:w="850" w:type="dxa"/>
            <w:vAlign w:val="center"/>
          </w:tcPr>
          <w:p w14:paraId="459D10EF" w14:textId="77777777" w:rsidR="002F0696" w:rsidRDefault="002F0696" w:rsidP="00001BBB">
            <w:pPr>
              <w:pStyle w:val="TableText"/>
              <w:jc w:val="center"/>
            </w:pPr>
            <w:r>
              <w:t>1 in 17</w:t>
            </w:r>
          </w:p>
        </w:tc>
        <w:tc>
          <w:tcPr>
            <w:tcW w:w="851" w:type="dxa"/>
            <w:vAlign w:val="center"/>
          </w:tcPr>
          <w:p w14:paraId="359F7160" w14:textId="77777777" w:rsidR="002F0696" w:rsidRDefault="002F0696" w:rsidP="00001BBB">
            <w:pPr>
              <w:pStyle w:val="TableText"/>
              <w:jc w:val="center"/>
            </w:pPr>
            <w:r>
              <w:t>1 in 102</w:t>
            </w:r>
          </w:p>
        </w:tc>
        <w:tc>
          <w:tcPr>
            <w:tcW w:w="851" w:type="dxa"/>
            <w:vAlign w:val="center"/>
          </w:tcPr>
          <w:p w14:paraId="40CD2D77" w14:textId="77777777" w:rsidR="002F0696" w:rsidRDefault="002F0696" w:rsidP="00001BBB">
            <w:pPr>
              <w:pStyle w:val="TableText"/>
              <w:jc w:val="center"/>
            </w:pPr>
            <w:r>
              <w:t>1 in 121</w:t>
            </w:r>
          </w:p>
        </w:tc>
      </w:tr>
      <w:tr w:rsidR="002F0696" w14:paraId="4CB276E0" w14:textId="77777777" w:rsidTr="008F6884">
        <w:trPr>
          <w:cantSplit/>
        </w:trPr>
        <w:tc>
          <w:tcPr>
            <w:tcW w:w="1361" w:type="dxa"/>
          </w:tcPr>
          <w:p w14:paraId="734697C6" w14:textId="41BC71D3" w:rsidR="002F0696" w:rsidRDefault="007723A2" w:rsidP="00001BBB">
            <w:pPr>
              <w:pStyle w:val="TableText"/>
            </w:pPr>
            <w:r>
              <w:rPr>
                <w:noProof/>
              </w:rPr>
              <w:t>Cecchi et al. (2019)</w:t>
            </w:r>
            <w:r w:rsidR="003E1A35">
              <w:rPr>
                <w:rStyle w:val="FootnoteReference"/>
              </w:rPr>
              <w:footnoteReference w:id="10"/>
            </w:r>
          </w:p>
        </w:tc>
        <w:tc>
          <w:tcPr>
            <w:tcW w:w="850" w:type="dxa"/>
            <w:vAlign w:val="center"/>
          </w:tcPr>
          <w:p w14:paraId="763987BA" w14:textId="77777777" w:rsidR="002F0696" w:rsidRDefault="002F0696" w:rsidP="00001BBB">
            <w:pPr>
              <w:pStyle w:val="TableText"/>
              <w:jc w:val="center"/>
            </w:pPr>
            <w:r>
              <w:t>1 in 33</w:t>
            </w:r>
          </w:p>
        </w:tc>
        <w:tc>
          <w:tcPr>
            <w:tcW w:w="851" w:type="dxa"/>
            <w:vAlign w:val="center"/>
          </w:tcPr>
          <w:p w14:paraId="1818F411" w14:textId="77777777" w:rsidR="002F0696" w:rsidRDefault="002F0696" w:rsidP="00001BBB">
            <w:pPr>
              <w:pStyle w:val="TableText"/>
              <w:jc w:val="center"/>
            </w:pPr>
            <w:r w:rsidRPr="00812A36">
              <w:t>NR</w:t>
            </w:r>
          </w:p>
        </w:tc>
        <w:tc>
          <w:tcPr>
            <w:tcW w:w="850" w:type="dxa"/>
            <w:vAlign w:val="center"/>
          </w:tcPr>
          <w:p w14:paraId="1057EFA5" w14:textId="77777777" w:rsidR="002F0696" w:rsidRDefault="002F0696" w:rsidP="00001BBB">
            <w:pPr>
              <w:pStyle w:val="TableText"/>
              <w:jc w:val="center"/>
            </w:pPr>
            <w:r w:rsidRPr="00812A36">
              <w:t>NR</w:t>
            </w:r>
          </w:p>
        </w:tc>
        <w:tc>
          <w:tcPr>
            <w:tcW w:w="851" w:type="dxa"/>
            <w:vAlign w:val="center"/>
          </w:tcPr>
          <w:p w14:paraId="18913AA7" w14:textId="77777777" w:rsidR="002F0696" w:rsidRDefault="002F0696" w:rsidP="00001BBB">
            <w:pPr>
              <w:pStyle w:val="TableText"/>
              <w:jc w:val="center"/>
            </w:pPr>
            <w:r w:rsidRPr="00812A36">
              <w:t>NR</w:t>
            </w:r>
          </w:p>
        </w:tc>
        <w:tc>
          <w:tcPr>
            <w:tcW w:w="850" w:type="dxa"/>
            <w:vAlign w:val="center"/>
          </w:tcPr>
          <w:p w14:paraId="1683C481" w14:textId="77777777" w:rsidR="002F0696" w:rsidRDefault="002F0696" w:rsidP="00001BBB">
            <w:pPr>
              <w:pStyle w:val="TableText"/>
              <w:jc w:val="center"/>
            </w:pPr>
            <w:r w:rsidRPr="00812A36">
              <w:t>NR</w:t>
            </w:r>
          </w:p>
        </w:tc>
        <w:tc>
          <w:tcPr>
            <w:tcW w:w="851" w:type="dxa"/>
            <w:vAlign w:val="center"/>
          </w:tcPr>
          <w:p w14:paraId="5816464E" w14:textId="77777777" w:rsidR="002F0696" w:rsidRDefault="002F0696" w:rsidP="00001BBB">
            <w:pPr>
              <w:pStyle w:val="TableText"/>
              <w:jc w:val="center"/>
            </w:pPr>
            <w:r w:rsidRPr="00812A36">
              <w:t>NR</w:t>
            </w:r>
          </w:p>
        </w:tc>
        <w:tc>
          <w:tcPr>
            <w:tcW w:w="850" w:type="dxa"/>
            <w:vAlign w:val="center"/>
          </w:tcPr>
          <w:p w14:paraId="6993F613" w14:textId="77777777" w:rsidR="002F0696" w:rsidRDefault="002F0696" w:rsidP="00001BBB">
            <w:pPr>
              <w:pStyle w:val="TableText"/>
              <w:jc w:val="center"/>
            </w:pPr>
            <w:r w:rsidRPr="00812A36">
              <w:t>NR</w:t>
            </w:r>
          </w:p>
        </w:tc>
        <w:tc>
          <w:tcPr>
            <w:tcW w:w="851" w:type="dxa"/>
            <w:vAlign w:val="center"/>
          </w:tcPr>
          <w:p w14:paraId="6C542BA3" w14:textId="77777777" w:rsidR="002F0696" w:rsidRDefault="002F0696" w:rsidP="00001BBB">
            <w:pPr>
              <w:pStyle w:val="TableText"/>
              <w:jc w:val="center"/>
            </w:pPr>
            <w:r w:rsidRPr="00812A36">
              <w:t>NR</w:t>
            </w:r>
          </w:p>
        </w:tc>
        <w:tc>
          <w:tcPr>
            <w:tcW w:w="851" w:type="dxa"/>
            <w:vAlign w:val="center"/>
          </w:tcPr>
          <w:p w14:paraId="741B0C44" w14:textId="77777777" w:rsidR="002F0696" w:rsidRDefault="002F0696" w:rsidP="00001BBB">
            <w:pPr>
              <w:pStyle w:val="TableText"/>
              <w:jc w:val="center"/>
            </w:pPr>
            <w:r w:rsidRPr="00812A36">
              <w:t>NR</w:t>
            </w:r>
          </w:p>
        </w:tc>
      </w:tr>
      <w:tr w:rsidR="002F0696" w14:paraId="0D27DEED" w14:textId="77777777" w:rsidTr="008F6884">
        <w:trPr>
          <w:cantSplit/>
        </w:trPr>
        <w:tc>
          <w:tcPr>
            <w:tcW w:w="1361" w:type="dxa"/>
          </w:tcPr>
          <w:p w14:paraId="7587580C" w14:textId="43B155FF" w:rsidR="002F0696" w:rsidRDefault="007723A2" w:rsidP="00001BBB">
            <w:pPr>
              <w:pStyle w:val="TableText"/>
            </w:pPr>
            <w:r>
              <w:rPr>
                <w:noProof/>
              </w:rPr>
              <w:t>Fares et al. (2008)</w:t>
            </w:r>
          </w:p>
        </w:tc>
        <w:tc>
          <w:tcPr>
            <w:tcW w:w="850" w:type="dxa"/>
            <w:vAlign w:val="center"/>
          </w:tcPr>
          <w:p w14:paraId="6449BB0B" w14:textId="77777777" w:rsidR="002F0696" w:rsidRDefault="002F0696" w:rsidP="00001BBB">
            <w:pPr>
              <w:pStyle w:val="TableText"/>
              <w:jc w:val="center"/>
            </w:pPr>
            <w:r>
              <w:t>NR</w:t>
            </w:r>
          </w:p>
        </w:tc>
        <w:tc>
          <w:tcPr>
            <w:tcW w:w="851" w:type="dxa"/>
            <w:vAlign w:val="center"/>
          </w:tcPr>
          <w:p w14:paraId="7B998A68" w14:textId="77777777" w:rsidR="002F0696" w:rsidRDefault="002F0696" w:rsidP="00001BBB">
            <w:pPr>
              <w:pStyle w:val="TableText"/>
              <w:jc w:val="center"/>
            </w:pPr>
            <w:r>
              <w:t>1 in 82</w:t>
            </w:r>
          </w:p>
        </w:tc>
        <w:tc>
          <w:tcPr>
            <w:tcW w:w="850" w:type="dxa"/>
            <w:vAlign w:val="center"/>
          </w:tcPr>
          <w:p w14:paraId="4C5FA9D2" w14:textId="77777777" w:rsidR="002F0696" w:rsidRDefault="002F0696" w:rsidP="00001BBB">
            <w:pPr>
              <w:pStyle w:val="TableText"/>
              <w:jc w:val="center"/>
            </w:pPr>
            <w:r>
              <w:t>1 in 29</w:t>
            </w:r>
          </w:p>
        </w:tc>
        <w:tc>
          <w:tcPr>
            <w:tcW w:w="851" w:type="dxa"/>
            <w:vAlign w:val="center"/>
          </w:tcPr>
          <w:p w14:paraId="0D02C8D1" w14:textId="77777777" w:rsidR="002F0696" w:rsidRDefault="002F0696" w:rsidP="00001BBB">
            <w:pPr>
              <w:pStyle w:val="TableText"/>
              <w:jc w:val="center"/>
            </w:pPr>
            <w:r>
              <w:t>1 in 67</w:t>
            </w:r>
          </w:p>
        </w:tc>
        <w:tc>
          <w:tcPr>
            <w:tcW w:w="850" w:type="dxa"/>
            <w:vAlign w:val="center"/>
          </w:tcPr>
          <w:p w14:paraId="3EDEA024" w14:textId="77777777" w:rsidR="002F0696" w:rsidRDefault="002F0696" w:rsidP="00001BBB">
            <w:pPr>
              <w:pStyle w:val="TableText"/>
              <w:jc w:val="center"/>
            </w:pPr>
            <w:r>
              <w:t>NR</w:t>
            </w:r>
          </w:p>
        </w:tc>
        <w:tc>
          <w:tcPr>
            <w:tcW w:w="851" w:type="dxa"/>
            <w:vAlign w:val="center"/>
          </w:tcPr>
          <w:p w14:paraId="7DB250FA" w14:textId="77777777" w:rsidR="002F0696" w:rsidRDefault="002F0696" w:rsidP="00001BBB">
            <w:pPr>
              <w:pStyle w:val="TableText"/>
              <w:jc w:val="center"/>
            </w:pPr>
            <w:r>
              <w:t>1 in 77</w:t>
            </w:r>
          </w:p>
        </w:tc>
        <w:tc>
          <w:tcPr>
            <w:tcW w:w="850" w:type="dxa"/>
            <w:vAlign w:val="center"/>
          </w:tcPr>
          <w:p w14:paraId="3CD98719" w14:textId="77777777" w:rsidR="002F0696" w:rsidRDefault="002F0696" w:rsidP="00001BBB">
            <w:pPr>
              <w:pStyle w:val="TableText"/>
              <w:jc w:val="center"/>
            </w:pPr>
            <w:r>
              <w:t>1 in 17</w:t>
            </w:r>
          </w:p>
        </w:tc>
        <w:tc>
          <w:tcPr>
            <w:tcW w:w="851" w:type="dxa"/>
            <w:vAlign w:val="center"/>
          </w:tcPr>
          <w:p w14:paraId="0020A2BA" w14:textId="77777777" w:rsidR="002F0696" w:rsidRDefault="002F0696" w:rsidP="00001BBB">
            <w:pPr>
              <w:pStyle w:val="TableText"/>
              <w:jc w:val="center"/>
            </w:pPr>
            <w:r>
              <w:t>1 in 103</w:t>
            </w:r>
          </w:p>
        </w:tc>
        <w:tc>
          <w:tcPr>
            <w:tcW w:w="851" w:type="dxa"/>
            <w:vAlign w:val="center"/>
          </w:tcPr>
          <w:p w14:paraId="7F0F6879" w14:textId="77777777" w:rsidR="002F0696" w:rsidRDefault="002F0696" w:rsidP="00001BBB">
            <w:pPr>
              <w:pStyle w:val="TableText"/>
              <w:jc w:val="center"/>
            </w:pPr>
            <w:r>
              <w:t>1 in 157</w:t>
            </w:r>
          </w:p>
        </w:tc>
      </w:tr>
      <w:tr w:rsidR="002F0696" w14:paraId="28631AE0" w14:textId="77777777" w:rsidTr="008F6884">
        <w:trPr>
          <w:cantSplit/>
        </w:trPr>
        <w:tc>
          <w:tcPr>
            <w:tcW w:w="1361" w:type="dxa"/>
          </w:tcPr>
          <w:p w14:paraId="4D9FDA6D" w14:textId="74113BCC" w:rsidR="002F0696" w:rsidRDefault="007723A2" w:rsidP="00001BBB">
            <w:pPr>
              <w:pStyle w:val="TableText"/>
            </w:pPr>
            <w:r>
              <w:rPr>
                <w:noProof/>
              </w:rPr>
              <w:t>Hantash et al. (2006)</w:t>
            </w:r>
            <w:r w:rsidR="003E1A35">
              <w:rPr>
                <w:rStyle w:val="FootnoteReference"/>
              </w:rPr>
              <w:footnoteReference w:id="11"/>
            </w:r>
          </w:p>
        </w:tc>
        <w:tc>
          <w:tcPr>
            <w:tcW w:w="850" w:type="dxa"/>
            <w:vAlign w:val="center"/>
          </w:tcPr>
          <w:p w14:paraId="088B6782" w14:textId="77777777" w:rsidR="002F0696" w:rsidRDefault="002F0696" w:rsidP="00001BBB">
            <w:pPr>
              <w:pStyle w:val="TableText"/>
              <w:jc w:val="center"/>
            </w:pPr>
            <w:r>
              <w:t>NR</w:t>
            </w:r>
          </w:p>
        </w:tc>
        <w:tc>
          <w:tcPr>
            <w:tcW w:w="851" w:type="dxa"/>
            <w:vAlign w:val="center"/>
          </w:tcPr>
          <w:p w14:paraId="670EACE2" w14:textId="77777777" w:rsidR="002F0696" w:rsidRDefault="002F0696" w:rsidP="00001BBB">
            <w:pPr>
              <w:pStyle w:val="TableText"/>
              <w:jc w:val="center"/>
            </w:pPr>
            <w:r w:rsidRPr="001A3EA1">
              <w:t>NR</w:t>
            </w:r>
          </w:p>
        </w:tc>
        <w:tc>
          <w:tcPr>
            <w:tcW w:w="850" w:type="dxa"/>
            <w:vAlign w:val="center"/>
          </w:tcPr>
          <w:p w14:paraId="390B3EF5" w14:textId="77777777" w:rsidR="002F0696" w:rsidRDefault="002F0696" w:rsidP="00001BBB">
            <w:pPr>
              <w:pStyle w:val="TableText"/>
              <w:jc w:val="center"/>
            </w:pPr>
            <w:r w:rsidRPr="001A3EA1">
              <w:t>NR</w:t>
            </w:r>
          </w:p>
        </w:tc>
        <w:tc>
          <w:tcPr>
            <w:tcW w:w="851" w:type="dxa"/>
            <w:vAlign w:val="center"/>
          </w:tcPr>
          <w:p w14:paraId="7F7B0335" w14:textId="77777777" w:rsidR="002F0696" w:rsidRDefault="002F0696" w:rsidP="00001BBB">
            <w:pPr>
              <w:pStyle w:val="TableText"/>
              <w:jc w:val="center"/>
            </w:pPr>
            <w:r>
              <w:t>1 in 103</w:t>
            </w:r>
          </w:p>
        </w:tc>
        <w:tc>
          <w:tcPr>
            <w:tcW w:w="850" w:type="dxa"/>
            <w:vAlign w:val="center"/>
          </w:tcPr>
          <w:p w14:paraId="2D371007" w14:textId="77777777" w:rsidR="002F0696" w:rsidRDefault="002F0696" w:rsidP="00001BBB">
            <w:pPr>
              <w:pStyle w:val="TableText"/>
              <w:jc w:val="center"/>
            </w:pPr>
            <w:r w:rsidRPr="00DA0796">
              <w:t>NR</w:t>
            </w:r>
          </w:p>
        </w:tc>
        <w:tc>
          <w:tcPr>
            <w:tcW w:w="851" w:type="dxa"/>
            <w:vAlign w:val="center"/>
          </w:tcPr>
          <w:p w14:paraId="346E951D" w14:textId="77777777" w:rsidR="002F0696" w:rsidRDefault="002F0696" w:rsidP="00001BBB">
            <w:pPr>
              <w:pStyle w:val="TableText"/>
              <w:jc w:val="center"/>
            </w:pPr>
            <w:r w:rsidRPr="00DA0796">
              <w:t>NR</w:t>
            </w:r>
          </w:p>
        </w:tc>
        <w:tc>
          <w:tcPr>
            <w:tcW w:w="850" w:type="dxa"/>
            <w:vAlign w:val="center"/>
          </w:tcPr>
          <w:p w14:paraId="115B58B2" w14:textId="77777777" w:rsidR="002F0696" w:rsidRDefault="002F0696" w:rsidP="00001BBB">
            <w:pPr>
              <w:pStyle w:val="TableText"/>
              <w:jc w:val="center"/>
            </w:pPr>
            <w:r w:rsidRPr="00DA0796">
              <w:t>NR</w:t>
            </w:r>
          </w:p>
        </w:tc>
        <w:tc>
          <w:tcPr>
            <w:tcW w:w="851" w:type="dxa"/>
            <w:vAlign w:val="center"/>
          </w:tcPr>
          <w:p w14:paraId="7866725D" w14:textId="77777777" w:rsidR="002F0696" w:rsidRDefault="002F0696" w:rsidP="00001BBB">
            <w:pPr>
              <w:pStyle w:val="TableText"/>
              <w:jc w:val="center"/>
            </w:pPr>
            <w:r w:rsidRPr="00DA0796">
              <w:t>NR</w:t>
            </w:r>
          </w:p>
        </w:tc>
        <w:tc>
          <w:tcPr>
            <w:tcW w:w="851" w:type="dxa"/>
            <w:vAlign w:val="center"/>
          </w:tcPr>
          <w:p w14:paraId="0D3E417D" w14:textId="77777777" w:rsidR="002F0696" w:rsidRDefault="002F0696" w:rsidP="00001BBB">
            <w:pPr>
              <w:pStyle w:val="TableText"/>
              <w:jc w:val="center"/>
            </w:pPr>
            <w:r w:rsidRPr="00DA0796">
              <w:t>NR</w:t>
            </w:r>
          </w:p>
        </w:tc>
      </w:tr>
      <w:tr w:rsidR="002F0696" w14:paraId="5A3BA169" w14:textId="77777777" w:rsidTr="008F6884">
        <w:trPr>
          <w:cantSplit/>
        </w:trPr>
        <w:tc>
          <w:tcPr>
            <w:tcW w:w="1361" w:type="dxa"/>
          </w:tcPr>
          <w:p w14:paraId="7D0ABB45" w14:textId="369EF852" w:rsidR="002F0696" w:rsidRDefault="007723A2" w:rsidP="00001BBB">
            <w:pPr>
              <w:pStyle w:val="TableText"/>
            </w:pPr>
            <w:r>
              <w:rPr>
                <w:noProof/>
              </w:rPr>
              <w:t>Howell et al. (2004)</w:t>
            </w:r>
            <w:r w:rsidR="003E1A35">
              <w:rPr>
                <w:rStyle w:val="FootnoteReference"/>
              </w:rPr>
              <w:footnoteReference w:id="12"/>
            </w:r>
          </w:p>
        </w:tc>
        <w:tc>
          <w:tcPr>
            <w:tcW w:w="850" w:type="dxa"/>
            <w:vAlign w:val="center"/>
          </w:tcPr>
          <w:p w14:paraId="1FBF333D" w14:textId="77777777" w:rsidR="002F0696" w:rsidRDefault="002F0696" w:rsidP="00001BBB">
            <w:pPr>
              <w:pStyle w:val="TableText"/>
              <w:jc w:val="center"/>
            </w:pPr>
            <w:r>
              <w:t>NR</w:t>
            </w:r>
          </w:p>
        </w:tc>
        <w:tc>
          <w:tcPr>
            <w:tcW w:w="851" w:type="dxa"/>
            <w:vAlign w:val="center"/>
          </w:tcPr>
          <w:p w14:paraId="051D77AA" w14:textId="77777777" w:rsidR="002F0696" w:rsidRDefault="002F0696" w:rsidP="00001BBB">
            <w:pPr>
              <w:pStyle w:val="TableText"/>
              <w:jc w:val="center"/>
            </w:pPr>
            <w:r>
              <w:t>1 in 46 (95% CI 1 in 30 to 1 in 77)</w:t>
            </w:r>
          </w:p>
        </w:tc>
        <w:tc>
          <w:tcPr>
            <w:tcW w:w="850" w:type="dxa"/>
            <w:vAlign w:val="center"/>
          </w:tcPr>
          <w:p w14:paraId="568479B1" w14:textId="77777777" w:rsidR="002F0696" w:rsidRDefault="002F0696" w:rsidP="00001BBB">
            <w:pPr>
              <w:pStyle w:val="TableText"/>
              <w:jc w:val="center"/>
            </w:pPr>
            <w:r w:rsidRPr="00352D59">
              <w:t>NR</w:t>
            </w:r>
          </w:p>
        </w:tc>
        <w:tc>
          <w:tcPr>
            <w:tcW w:w="851" w:type="dxa"/>
            <w:vAlign w:val="center"/>
          </w:tcPr>
          <w:p w14:paraId="333D5956" w14:textId="77777777" w:rsidR="002F0696" w:rsidRDefault="002F0696" w:rsidP="00001BBB">
            <w:pPr>
              <w:pStyle w:val="TableText"/>
              <w:jc w:val="center"/>
            </w:pPr>
            <w:r w:rsidRPr="00352D59">
              <w:t>NR</w:t>
            </w:r>
          </w:p>
        </w:tc>
        <w:tc>
          <w:tcPr>
            <w:tcW w:w="850" w:type="dxa"/>
            <w:vAlign w:val="center"/>
          </w:tcPr>
          <w:p w14:paraId="53991082" w14:textId="77777777" w:rsidR="002F0696" w:rsidRDefault="002F0696" w:rsidP="00001BBB">
            <w:pPr>
              <w:pStyle w:val="TableText"/>
              <w:jc w:val="center"/>
            </w:pPr>
            <w:r w:rsidRPr="006A265E">
              <w:t>NR</w:t>
            </w:r>
          </w:p>
        </w:tc>
        <w:tc>
          <w:tcPr>
            <w:tcW w:w="851" w:type="dxa"/>
            <w:vAlign w:val="center"/>
          </w:tcPr>
          <w:p w14:paraId="321B2405" w14:textId="77777777" w:rsidR="002F0696" w:rsidRDefault="002F0696" w:rsidP="00001BBB">
            <w:pPr>
              <w:pStyle w:val="TableText"/>
              <w:jc w:val="center"/>
            </w:pPr>
            <w:r w:rsidRPr="006A265E">
              <w:t>NR</w:t>
            </w:r>
          </w:p>
        </w:tc>
        <w:tc>
          <w:tcPr>
            <w:tcW w:w="850" w:type="dxa"/>
            <w:vAlign w:val="center"/>
          </w:tcPr>
          <w:p w14:paraId="564190A8" w14:textId="77777777" w:rsidR="002F0696" w:rsidRDefault="002F0696" w:rsidP="00001BBB">
            <w:pPr>
              <w:pStyle w:val="TableText"/>
              <w:jc w:val="center"/>
            </w:pPr>
            <w:r w:rsidRPr="006A265E">
              <w:t>NR</w:t>
            </w:r>
          </w:p>
        </w:tc>
        <w:tc>
          <w:tcPr>
            <w:tcW w:w="851" w:type="dxa"/>
            <w:vAlign w:val="center"/>
          </w:tcPr>
          <w:p w14:paraId="2C5769C1" w14:textId="77777777" w:rsidR="002F0696" w:rsidRDefault="002F0696" w:rsidP="00001BBB">
            <w:pPr>
              <w:pStyle w:val="TableText"/>
              <w:jc w:val="center"/>
            </w:pPr>
            <w:r w:rsidRPr="006A265E">
              <w:t>NR</w:t>
            </w:r>
          </w:p>
        </w:tc>
        <w:tc>
          <w:tcPr>
            <w:tcW w:w="851" w:type="dxa"/>
            <w:vAlign w:val="center"/>
          </w:tcPr>
          <w:p w14:paraId="3080DA18" w14:textId="77777777" w:rsidR="002F0696" w:rsidRDefault="002F0696" w:rsidP="00001BBB">
            <w:pPr>
              <w:pStyle w:val="TableText"/>
              <w:jc w:val="center"/>
            </w:pPr>
            <w:r w:rsidRPr="006A265E">
              <w:t>NR</w:t>
            </w:r>
          </w:p>
        </w:tc>
      </w:tr>
      <w:tr w:rsidR="002F0696" w14:paraId="303A2BFF" w14:textId="77777777" w:rsidTr="008F6884">
        <w:trPr>
          <w:cantSplit/>
        </w:trPr>
        <w:tc>
          <w:tcPr>
            <w:tcW w:w="1361" w:type="dxa"/>
          </w:tcPr>
          <w:p w14:paraId="3CAC190E" w14:textId="0678B255" w:rsidR="002F0696" w:rsidRDefault="007723A2" w:rsidP="00001BBB">
            <w:pPr>
              <w:pStyle w:val="TableText"/>
            </w:pPr>
            <w:r>
              <w:rPr>
                <w:noProof/>
              </w:rPr>
              <w:t>Lew et al. (2011)</w:t>
            </w:r>
            <w:r w:rsidR="003E1A35">
              <w:rPr>
                <w:rStyle w:val="FootnoteReference"/>
              </w:rPr>
              <w:footnoteReference w:id="13"/>
            </w:r>
          </w:p>
        </w:tc>
        <w:tc>
          <w:tcPr>
            <w:tcW w:w="850" w:type="dxa"/>
            <w:vAlign w:val="center"/>
          </w:tcPr>
          <w:p w14:paraId="3149F4BF" w14:textId="77777777" w:rsidR="002F0696" w:rsidRDefault="002F0696" w:rsidP="00001BBB">
            <w:pPr>
              <w:pStyle w:val="TableText"/>
              <w:jc w:val="center"/>
            </w:pPr>
            <w:r>
              <w:t>1 in 23</w:t>
            </w:r>
          </w:p>
        </w:tc>
        <w:tc>
          <w:tcPr>
            <w:tcW w:w="851" w:type="dxa"/>
            <w:vAlign w:val="center"/>
          </w:tcPr>
          <w:p w14:paraId="7D3F01E0" w14:textId="77777777" w:rsidR="002F0696" w:rsidRDefault="002F0696" w:rsidP="00001BBB">
            <w:pPr>
              <w:pStyle w:val="TableText"/>
              <w:jc w:val="center"/>
            </w:pPr>
            <w:r>
              <w:t>NR</w:t>
            </w:r>
          </w:p>
        </w:tc>
        <w:tc>
          <w:tcPr>
            <w:tcW w:w="850" w:type="dxa"/>
            <w:vAlign w:val="center"/>
          </w:tcPr>
          <w:p w14:paraId="7537DAF1" w14:textId="77777777" w:rsidR="002F0696" w:rsidRDefault="002F0696" w:rsidP="00001BBB">
            <w:pPr>
              <w:pStyle w:val="TableText"/>
              <w:jc w:val="center"/>
            </w:pPr>
            <w:r>
              <w:t>NR</w:t>
            </w:r>
          </w:p>
        </w:tc>
        <w:tc>
          <w:tcPr>
            <w:tcW w:w="851" w:type="dxa"/>
            <w:vAlign w:val="center"/>
          </w:tcPr>
          <w:p w14:paraId="7AD75764" w14:textId="77777777" w:rsidR="002F0696" w:rsidRDefault="002F0696" w:rsidP="00001BBB">
            <w:pPr>
              <w:pStyle w:val="TableText"/>
              <w:jc w:val="center"/>
            </w:pPr>
            <w:r w:rsidRPr="00E10E1F">
              <w:t>NR</w:t>
            </w:r>
          </w:p>
        </w:tc>
        <w:tc>
          <w:tcPr>
            <w:tcW w:w="850" w:type="dxa"/>
            <w:vAlign w:val="center"/>
          </w:tcPr>
          <w:p w14:paraId="3240A3AC" w14:textId="77777777" w:rsidR="002F0696" w:rsidRDefault="002F0696" w:rsidP="00001BBB">
            <w:pPr>
              <w:pStyle w:val="TableText"/>
              <w:jc w:val="center"/>
            </w:pPr>
            <w:r w:rsidRPr="00E10E1F">
              <w:t>NR</w:t>
            </w:r>
          </w:p>
        </w:tc>
        <w:tc>
          <w:tcPr>
            <w:tcW w:w="851" w:type="dxa"/>
            <w:vAlign w:val="center"/>
          </w:tcPr>
          <w:p w14:paraId="74D3B933" w14:textId="77777777" w:rsidR="002F0696" w:rsidRDefault="002F0696" w:rsidP="00001BBB">
            <w:pPr>
              <w:pStyle w:val="TableText"/>
              <w:jc w:val="center"/>
            </w:pPr>
            <w:r w:rsidRPr="00E10E1F">
              <w:t>NR</w:t>
            </w:r>
          </w:p>
        </w:tc>
        <w:tc>
          <w:tcPr>
            <w:tcW w:w="850" w:type="dxa"/>
            <w:vAlign w:val="center"/>
          </w:tcPr>
          <w:p w14:paraId="7974D0CF" w14:textId="77777777" w:rsidR="002F0696" w:rsidRDefault="002F0696" w:rsidP="00001BBB">
            <w:pPr>
              <w:pStyle w:val="TableText"/>
              <w:jc w:val="center"/>
            </w:pPr>
            <w:r w:rsidRPr="00E10E1F">
              <w:t>NR</w:t>
            </w:r>
          </w:p>
        </w:tc>
        <w:tc>
          <w:tcPr>
            <w:tcW w:w="851" w:type="dxa"/>
            <w:vAlign w:val="center"/>
          </w:tcPr>
          <w:p w14:paraId="117B9C00" w14:textId="77777777" w:rsidR="002F0696" w:rsidRDefault="002F0696" w:rsidP="00001BBB">
            <w:pPr>
              <w:pStyle w:val="TableText"/>
              <w:jc w:val="center"/>
            </w:pPr>
            <w:r w:rsidRPr="00E10E1F">
              <w:t>NR</w:t>
            </w:r>
          </w:p>
        </w:tc>
        <w:tc>
          <w:tcPr>
            <w:tcW w:w="851" w:type="dxa"/>
            <w:vAlign w:val="center"/>
          </w:tcPr>
          <w:p w14:paraId="4E1C56C9" w14:textId="77777777" w:rsidR="002F0696" w:rsidRDefault="002F0696" w:rsidP="00001BBB">
            <w:pPr>
              <w:pStyle w:val="TableText"/>
              <w:jc w:val="center"/>
            </w:pPr>
            <w:r w:rsidRPr="00E10E1F">
              <w:t>NR</w:t>
            </w:r>
          </w:p>
        </w:tc>
      </w:tr>
      <w:tr w:rsidR="002F0696" w14:paraId="20267339" w14:textId="77777777" w:rsidTr="008F6884">
        <w:trPr>
          <w:cantSplit/>
        </w:trPr>
        <w:tc>
          <w:tcPr>
            <w:tcW w:w="1361" w:type="dxa"/>
          </w:tcPr>
          <w:p w14:paraId="42B69A59" w14:textId="1948239B" w:rsidR="002F0696" w:rsidRDefault="007723A2" w:rsidP="00001BBB">
            <w:pPr>
              <w:pStyle w:val="TableText"/>
            </w:pPr>
            <w:r>
              <w:rPr>
                <w:noProof/>
              </w:rPr>
              <w:t>Scott et al. (2010)</w:t>
            </w:r>
            <w:r w:rsidR="00216477">
              <w:rPr>
                <w:rStyle w:val="FootnoteReference"/>
              </w:rPr>
              <w:footnoteReference w:id="14"/>
            </w:r>
          </w:p>
        </w:tc>
        <w:tc>
          <w:tcPr>
            <w:tcW w:w="850" w:type="dxa"/>
            <w:vAlign w:val="center"/>
          </w:tcPr>
          <w:p w14:paraId="724C1176" w14:textId="77777777" w:rsidR="002F0696" w:rsidRDefault="002F0696" w:rsidP="00001BBB">
            <w:pPr>
              <w:pStyle w:val="TableText"/>
              <w:jc w:val="center"/>
            </w:pPr>
            <w:r>
              <w:t>1 in 27.4</w:t>
            </w:r>
          </w:p>
        </w:tc>
        <w:tc>
          <w:tcPr>
            <w:tcW w:w="851" w:type="dxa"/>
            <w:vAlign w:val="center"/>
          </w:tcPr>
          <w:p w14:paraId="6B46C07E" w14:textId="77777777" w:rsidR="002F0696" w:rsidRDefault="002F0696" w:rsidP="00001BBB">
            <w:pPr>
              <w:pStyle w:val="TableText"/>
              <w:jc w:val="center"/>
            </w:pPr>
            <w:r>
              <w:t>1 in 55.0</w:t>
            </w:r>
          </w:p>
        </w:tc>
        <w:tc>
          <w:tcPr>
            <w:tcW w:w="850" w:type="dxa"/>
            <w:vAlign w:val="center"/>
          </w:tcPr>
          <w:p w14:paraId="14539FE1" w14:textId="77777777" w:rsidR="002F0696" w:rsidRDefault="002F0696" w:rsidP="00001BBB">
            <w:pPr>
              <w:pStyle w:val="TableText"/>
              <w:jc w:val="center"/>
            </w:pPr>
            <w:r>
              <w:t>1 in 30.7</w:t>
            </w:r>
          </w:p>
        </w:tc>
        <w:tc>
          <w:tcPr>
            <w:tcW w:w="851" w:type="dxa"/>
            <w:vAlign w:val="center"/>
          </w:tcPr>
          <w:p w14:paraId="67294930" w14:textId="77777777" w:rsidR="002F0696" w:rsidRDefault="002F0696" w:rsidP="00001BBB">
            <w:pPr>
              <w:pStyle w:val="TableText"/>
              <w:jc w:val="center"/>
            </w:pPr>
            <w:r>
              <w:t>1 in 88.6</w:t>
            </w:r>
          </w:p>
        </w:tc>
        <w:tc>
          <w:tcPr>
            <w:tcW w:w="850" w:type="dxa"/>
            <w:vAlign w:val="center"/>
          </w:tcPr>
          <w:p w14:paraId="35E99719" w14:textId="77777777" w:rsidR="002F0696" w:rsidRDefault="002F0696" w:rsidP="00001BBB">
            <w:pPr>
              <w:pStyle w:val="TableText"/>
              <w:jc w:val="center"/>
            </w:pPr>
            <w:r>
              <w:t>1 in 64.1</w:t>
            </w:r>
          </w:p>
        </w:tc>
        <w:tc>
          <w:tcPr>
            <w:tcW w:w="851" w:type="dxa"/>
            <w:vAlign w:val="center"/>
          </w:tcPr>
          <w:p w14:paraId="5D5659B2" w14:textId="77777777" w:rsidR="002F0696" w:rsidRDefault="002F0696" w:rsidP="00001BBB">
            <w:pPr>
              <w:pStyle w:val="TableText"/>
              <w:jc w:val="center"/>
            </w:pPr>
            <w:r>
              <w:t>1 in 100.3</w:t>
            </w:r>
          </w:p>
        </w:tc>
        <w:tc>
          <w:tcPr>
            <w:tcW w:w="850" w:type="dxa"/>
            <w:vAlign w:val="center"/>
          </w:tcPr>
          <w:p w14:paraId="54BBE3AB" w14:textId="77777777" w:rsidR="002F0696" w:rsidRDefault="002F0696" w:rsidP="00001BBB">
            <w:pPr>
              <w:pStyle w:val="TableText"/>
              <w:jc w:val="center"/>
            </w:pPr>
            <w:r>
              <w:t>1 in 15.2</w:t>
            </w:r>
          </w:p>
        </w:tc>
        <w:tc>
          <w:tcPr>
            <w:tcW w:w="851" w:type="dxa"/>
            <w:vAlign w:val="center"/>
          </w:tcPr>
          <w:p w14:paraId="471A0770" w14:textId="32D1905D" w:rsidR="002F0696" w:rsidRDefault="002F0696" w:rsidP="00001BBB">
            <w:pPr>
              <w:pStyle w:val="TableText"/>
              <w:jc w:val="center"/>
            </w:pPr>
            <w:r>
              <w:t>1 in 115.0</w:t>
            </w:r>
          </w:p>
        </w:tc>
        <w:tc>
          <w:tcPr>
            <w:tcW w:w="851" w:type="dxa"/>
            <w:vAlign w:val="center"/>
          </w:tcPr>
          <w:p w14:paraId="4C9C383E" w14:textId="77777777" w:rsidR="002F0696" w:rsidRDefault="002F0696" w:rsidP="00001BBB">
            <w:pPr>
              <w:pStyle w:val="TableText"/>
              <w:jc w:val="center"/>
            </w:pPr>
            <w:r>
              <w:t>1 in 133.7</w:t>
            </w:r>
          </w:p>
        </w:tc>
      </w:tr>
      <w:tr w:rsidR="002F0696" w14:paraId="75EF88E1" w14:textId="77777777" w:rsidTr="008F6884">
        <w:trPr>
          <w:cantSplit/>
        </w:trPr>
        <w:tc>
          <w:tcPr>
            <w:tcW w:w="1361" w:type="dxa"/>
          </w:tcPr>
          <w:p w14:paraId="7E1F1D3B" w14:textId="33AD789C" w:rsidR="002F0696" w:rsidRDefault="007723A2" w:rsidP="00001BBB">
            <w:pPr>
              <w:pStyle w:val="TableText"/>
            </w:pPr>
            <w:r>
              <w:rPr>
                <w:noProof/>
              </w:rPr>
              <w:t>Shao et al. (2015)</w:t>
            </w:r>
            <w:r w:rsidR="00216477">
              <w:rPr>
                <w:rStyle w:val="FootnoteReference"/>
              </w:rPr>
              <w:footnoteReference w:id="15"/>
            </w:r>
          </w:p>
        </w:tc>
        <w:tc>
          <w:tcPr>
            <w:tcW w:w="850" w:type="dxa"/>
            <w:vAlign w:val="center"/>
          </w:tcPr>
          <w:p w14:paraId="0AB1643C" w14:textId="77777777" w:rsidR="002F0696" w:rsidRDefault="002F0696" w:rsidP="00001BBB">
            <w:pPr>
              <w:pStyle w:val="TableText"/>
              <w:jc w:val="center"/>
            </w:pPr>
            <w:r>
              <w:t>1 in 29</w:t>
            </w:r>
          </w:p>
        </w:tc>
        <w:tc>
          <w:tcPr>
            <w:tcW w:w="851" w:type="dxa"/>
            <w:vAlign w:val="center"/>
          </w:tcPr>
          <w:p w14:paraId="525F18C1" w14:textId="77777777" w:rsidR="002F0696" w:rsidRDefault="002F0696" w:rsidP="00001BBB">
            <w:pPr>
              <w:pStyle w:val="TableText"/>
              <w:jc w:val="center"/>
            </w:pPr>
            <w:r>
              <w:t>1 in 85</w:t>
            </w:r>
          </w:p>
        </w:tc>
        <w:tc>
          <w:tcPr>
            <w:tcW w:w="850" w:type="dxa"/>
            <w:vAlign w:val="center"/>
          </w:tcPr>
          <w:p w14:paraId="25457E7B" w14:textId="77777777" w:rsidR="002F0696" w:rsidRDefault="002F0696" w:rsidP="00001BBB">
            <w:pPr>
              <w:pStyle w:val="TableText"/>
              <w:jc w:val="center"/>
            </w:pPr>
            <w:r>
              <w:t>1 in 42</w:t>
            </w:r>
          </w:p>
        </w:tc>
        <w:tc>
          <w:tcPr>
            <w:tcW w:w="851" w:type="dxa"/>
            <w:vAlign w:val="center"/>
          </w:tcPr>
          <w:p w14:paraId="7611EA67" w14:textId="77777777" w:rsidR="002F0696" w:rsidRDefault="002F0696" w:rsidP="00001BBB">
            <w:pPr>
              <w:pStyle w:val="TableText"/>
              <w:jc w:val="center"/>
            </w:pPr>
            <w:r>
              <w:t>1 in 63</w:t>
            </w:r>
          </w:p>
        </w:tc>
        <w:tc>
          <w:tcPr>
            <w:tcW w:w="850" w:type="dxa"/>
            <w:vAlign w:val="center"/>
          </w:tcPr>
          <w:p w14:paraId="285A7AB0" w14:textId="77777777" w:rsidR="002F0696" w:rsidRDefault="002F0696" w:rsidP="00001BBB">
            <w:pPr>
              <w:pStyle w:val="TableText"/>
              <w:jc w:val="center"/>
            </w:pPr>
            <w:r>
              <w:t>1 in 85</w:t>
            </w:r>
          </w:p>
        </w:tc>
        <w:tc>
          <w:tcPr>
            <w:tcW w:w="851" w:type="dxa"/>
            <w:vAlign w:val="center"/>
          </w:tcPr>
          <w:p w14:paraId="322182C9" w14:textId="77777777" w:rsidR="002F0696" w:rsidRDefault="002F0696" w:rsidP="00001BBB">
            <w:pPr>
              <w:pStyle w:val="TableText"/>
              <w:jc w:val="center"/>
            </w:pPr>
            <w:r>
              <w:t>1 in 85</w:t>
            </w:r>
          </w:p>
        </w:tc>
        <w:tc>
          <w:tcPr>
            <w:tcW w:w="850" w:type="dxa"/>
            <w:vAlign w:val="center"/>
          </w:tcPr>
          <w:p w14:paraId="4AA3327C" w14:textId="77777777" w:rsidR="002F0696" w:rsidRDefault="002F0696" w:rsidP="00001BBB">
            <w:pPr>
              <w:pStyle w:val="TableText"/>
              <w:jc w:val="center"/>
            </w:pPr>
            <w:r>
              <w:t>1 in 14</w:t>
            </w:r>
          </w:p>
        </w:tc>
        <w:tc>
          <w:tcPr>
            <w:tcW w:w="851" w:type="dxa"/>
            <w:vAlign w:val="center"/>
          </w:tcPr>
          <w:p w14:paraId="71D4943D" w14:textId="77777777" w:rsidR="002F0696" w:rsidRDefault="002F0696" w:rsidP="00001BBB">
            <w:pPr>
              <w:pStyle w:val="TableText"/>
              <w:jc w:val="center"/>
            </w:pPr>
            <w:r>
              <w:t>1 in 171</w:t>
            </w:r>
          </w:p>
        </w:tc>
        <w:tc>
          <w:tcPr>
            <w:tcW w:w="851" w:type="dxa"/>
            <w:vAlign w:val="center"/>
          </w:tcPr>
          <w:p w14:paraId="0347D629" w14:textId="77777777" w:rsidR="002F0696" w:rsidRDefault="002F0696" w:rsidP="00001BBB">
            <w:pPr>
              <w:pStyle w:val="TableText"/>
              <w:jc w:val="center"/>
            </w:pPr>
            <w:r>
              <w:t>1 in 136</w:t>
            </w:r>
          </w:p>
        </w:tc>
      </w:tr>
      <w:tr w:rsidR="002F0696" w14:paraId="76F5BA80" w14:textId="77777777" w:rsidTr="008F6884">
        <w:trPr>
          <w:cantSplit/>
        </w:trPr>
        <w:tc>
          <w:tcPr>
            <w:tcW w:w="1361" w:type="dxa"/>
          </w:tcPr>
          <w:p w14:paraId="01632378" w14:textId="13513B70" w:rsidR="002F0696" w:rsidRDefault="007723A2" w:rsidP="00001BBB">
            <w:pPr>
              <w:pStyle w:val="TableText"/>
            </w:pPr>
            <w:r>
              <w:rPr>
                <w:noProof/>
              </w:rPr>
              <w:t>Singer et al. (2020)</w:t>
            </w:r>
            <w:r w:rsidR="00216477">
              <w:rPr>
                <w:rStyle w:val="FootnoteReference"/>
              </w:rPr>
              <w:footnoteReference w:id="16"/>
            </w:r>
          </w:p>
        </w:tc>
        <w:tc>
          <w:tcPr>
            <w:tcW w:w="850" w:type="dxa"/>
            <w:vAlign w:val="center"/>
          </w:tcPr>
          <w:p w14:paraId="53546339" w14:textId="77777777" w:rsidR="002F0696" w:rsidRDefault="002F0696" w:rsidP="00001BBB">
            <w:pPr>
              <w:pStyle w:val="TableText"/>
              <w:jc w:val="center"/>
            </w:pPr>
            <w:r>
              <w:t>1 in 43</w:t>
            </w:r>
          </w:p>
        </w:tc>
        <w:tc>
          <w:tcPr>
            <w:tcW w:w="851" w:type="dxa"/>
            <w:vAlign w:val="center"/>
          </w:tcPr>
          <w:p w14:paraId="676F5720" w14:textId="77777777" w:rsidR="002F0696" w:rsidRDefault="002F0696" w:rsidP="00001BBB">
            <w:pPr>
              <w:pStyle w:val="TableText"/>
              <w:jc w:val="center"/>
            </w:pPr>
            <w:r>
              <w:t>1 in 63</w:t>
            </w:r>
          </w:p>
        </w:tc>
        <w:tc>
          <w:tcPr>
            <w:tcW w:w="850" w:type="dxa"/>
            <w:vAlign w:val="center"/>
          </w:tcPr>
          <w:p w14:paraId="356E4EA0" w14:textId="77777777" w:rsidR="002F0696" w:rsidRDefault="002F0696" w:rsidP="00001BBB">
            <w:pPr>
              <w:pStyle w:val="TableText"/>
              <w:jc w:val="center"/>
            </w:pPr>
            <w:r>
              <w:t>1 in 37</w:t>
            </w:r>
          </w:p>
        </w:tc>
        <w:tc>
          <w:tcPr>
            <w:tcW w:w="851" w:type="dxa"/>
            <w:vAlign w:val="center"/>
          </w:tcPr>
          <w:p w14:paraId="63CB2E75" w14:textId="77777777" w:rsidR="002F0696" w:rsidRDefault="002F0696" w:rsidP="00001BBB">
            <w:pPr>
              <w:pStyle w:val="TableText"/>
              <w:jc w:val="center"/>
            </w:pPr>
            <w:r w:rsidRPr="00352D59">
              <w:t>NR</w:t>
            </w:r>
          </w:p>
        </w:tc>
        <w:tc>
          <w:tcPr>
            <w:tcW w:w="850" w:type="dxa"/>
            <w:vAlign w:val="center"/>
          </w:tcPr>
          <w:p w14:paraId="04C232A6" w14:textId="77777777" w:rsidR="002F0696" w:rsidRDefault="002F0696" w:rsidP="00001BBB">
            <w:pPr>
              <w:pStyle w:val="TableText"/>
              <w:jc w:val="center"/>
            </w:pPr>
            <w:r w:rsidRPr="006A265E">
              <w:t>NR</w:t>
            </w:r>
          </w:p>
        </w:tc>
        <w:tc>
          <w:tcPr>
            <w:tcW w:w="851" w:type="dxa"/>
            <w:vAlign w:val="center"/>
          </w:tcPr>
          <w:p w14:paraId="291DAC40" w14:textId="77777777" w:rsidR="002F0696" w:rsidRDefault="002F0696" w:rsidP="00001BBB">
            <w:pPr>
              <w:pStyle w:val="TableText"/>
              <w:jc w:val="center"/>
            </w:pPr>
            <w:r w:rsidRPr="006A265E">
              <w:t>NR</w:t>
            </w:r>
          </w:p>
        </w:tc>
        <w:tc>
          <w:tcPr>
            <w:tcW w:w="850" w:type="dxa"/>
            <w:vAlign w:val="center"/>
          </w:tcPr>
          <w:p w14:paraId="7265D196" w14:textId="77777777" w:rsidR="002F0696" w:rsidRDefault="002F0696" w:rsidP="00001BBB">
            <w:pPr>
              <w:pStyle w:val="TableText"/>
              <w:jc w:val="center"/>
            </w:pPr>
            <w:r w:rsidRPr="006A265E">
              <w:t>NR</w:t>
            </w:r>
          </w:p>
        </w:tc>
        <w:tc>
          <w:tcPr>
            <w:tcW w:w="851" w:type="dxa"/>
            <w:vAlign w:val="center"/>
          </w:tcPr>
          <w:p w14:paraId="47266C7D" w14:textId="77777777" w:rsidR="002F0696" w:rsidRDefault="002F0696" w:rsidP="00001BBB">
            <w:pPr>
              <w:pStyle w:val="TableText"/>
              <w:jc w:val="center"/>
            </w:pPr>
            <w:r w:rsidRPr="006A265E">
              <w:t>NR</w:t>
            </w:r>
          </w:p>
        </w:tc>
        <w:tc>
          <w:tcPr>
            <w:tcW w:w="851" w:type="dxa"/>
            <w:vAlign w:val="center"/>
          </w:tcPr>
          <w:p w14:paraId="281CE123" w14:textId="77777777" w:rsidR="002F0696" w:rsidRDefault="002F0696" w:rsidP="00001BBB">
            <w:pPr>
              <w:pStyle w:val="TableText"/>
              <w:jc w:val="center"/>
            </w:pPr>
            <w:r w:rsidRPr="006A265E">
              <w:t>NR</w:t>
            </w:r>
          </w:p>
        </w:tc>
      </w:tr>
      <w:tr w:rsidR="002F0696" w14:paraId="40EFA5B5" w14:textId="77777777" w:rsidTr="008F6884">
        <w:trPr>
          <w:cantSplit/>
        </w:trPr>
        <w:tc>
          <w:tcPr>
            <w:tcW w:w="1361" w:type="dxa"/>
          </w:tcPr>
          <w:p w14:paraId="4C00C8F2" w14:textId="6DBCFB25" w:rsidR="002F0696" w:rsidRDefault="007723A2" w:rsidP="00001BBB">
            <w:pPr>
              <w:pStyle w:val="TableText"/>
            </w:pPr>
            <w:r>
              <w:rPr>
                <w:noProof/>
              </w:rPr>
              <w:t>Zlotogora et al. (2016)</w:t>
            </w:r>
            <w:r w:rsidR="00216477">
              <w:rPr>
                <w:rStyle w:val="FootnoteReference"/>
              </w:rPr>
              <w:footnoteReference w:id="17"/>
            </w:r>
          </w:p>
        </w:tc>
        <w:tc>
          <w:tcPr>
            <w:tcW w:w="850" w:type="dxa"/>
            <w:vAlign w:val="center"/>
          </w:tcPr>
          <w:p w14:paraId="5529BCE9" w14:textId="77777777" w:rsidR="002F0696" w:rsidRDefault="002F0696" w:rsidP="00001BBB">
            <w:pPr>
              <w:pStyle w:val="TableText"/>
              <w:jc w:val="center"/>
            </w:pPr>
            <w:r>
              <w:t>1 in 45</w:t>
            </w:r>
          </w:p>
        </w:tc>
        <w:tc>
          <w:tcPr>
            <w:tcW w:w="851" w:type="dxa"/>
            <w:vAlign w:val="center"/>
          </w:tcPr>
          <w:p w14:paraId="3D411E0C" w14:textId="77777777" w:rsidR="002F0696" w:rsidRDefault="002F0696" w:rsidP="00001BBB">
            <w:pPr>
              <w:pStyle w:val="TableText"/>
              <w:jc w:val="center"/>
            </w:pPr>
            <w:r>
              <w:t>1 in 63</w:t>
            </w:r>
          </w:p>
        </w:tc>
        <w:tc>
          <w:tcPr>
            <w:tcW w:w="850" w:type="dxa"/>
            <w:vAlign w:val="center"/>
          </w:tcPr>
          <w:p w14:paraId="062A7F51" w14:textId="77777777" w:rsidR="002F0696" w:rsidRDefault="002F0696" w:rsidP="00001BBB">
            <w:pPr>
              <w:pStyle w:val="TableText"/>
              <w:jc w:val="center"/>
            </w:pPr>
            <w:r>
              <w:t>1 in 38</w:t>
            </w:r>
          </w:p>
        </w:tc>
        <w:tc>
          <w:tcPr>
            <w:tcW w:w="851" w:type="dxa"/>
            <w:vAlign w:val="center"/>
          </w:tcPr>
          <w:p w14:paraId="2762E872" w14:textId="77777777" w:rsidR="002F0696" w:rsidRDefault="002F0696" w:rsidP="00001BBB">
            <w:pPr>
              <w:pStyle w:val="TableText"/>
              <w:jc w:val="center"/>
            </w:pPr>
            <w:r w:rsidRPr="00E10E1F">
              <w:t>NR</w:t>
            </w:r>
          </w:p>
        </w:tc>
        <w:tc>
          <w:tcPr>
            <w:tcW w:w="850" w:type="dxa"/>
            <w:vAlign w:val="center"/>
          </w:tcPr>
          <w:p w14:paraId="187C22BA" w14:textId="77777777" w:rsidR="002F0696" w:rsidRDefault="002F0696" w:rsidP="00001BBB">
            <w:pPr>
              <w:pStyle w:val="TableText"/>
              <w:jc w:val="center"/>
            </w:pPr>
            <w:r w:rsidRPr="00E10E1F">
              <w:t>NR</w:t>
            </w:r>
          </w:p>
        </w:tc>
        <w:tc>
          <w:tcPr>
            <w:tcW w:w="851" w:type="dxa"/>
            <w:vAlign w:val="center"/>
          </w:tcPr>
          <w:p w14:paraId="6D4CEDB8" w14:textId="77777777" w:rsidR="002F0696" w:rsidRDefault="002F0696" w:rsidP="00001BBB">
            <w:pPr>
              <w:pStyle w:val="TableText"/>
              <w:jc w:val="center"/>
            </w:pPr>
            <w:r w:rsidRPr="00E10E1F">
              <w:t>NR</w:t>
            </w:r>
          </w:p>
        </w:tc>
        <w:tc>
          <w:tcPr>
            <w:tcW w:w="850" w:type="dxa"/>
            <w:vAlign w:val="center"/>
          </w:tcPr>
          <w:p w14:paraId="3B4895DE" w14:textId="77777777" w:rsidR="002F0696" w:rsidRDefault="002F0696" w:rsidP="00001BBB">
            <w:pPr>
              <w:pStyle w:val="TableText"/>
              <w:jc w:val="center"/>
            </w:pPr>
            <w:r w:rsidRPr="00E10E1F">
              <w:t>NR</w:t>
            </w:r>
          </w:p>
        </w:tc>
        <w:tc>
          <w:tcPr>
            <w:tcW w:w="851" w:type="dxa"/>
            <w:vAlign w:val="center"/>
          </w:tcPr>
          <w:p w14:paraId="6AAA4062" w14:textId="77777777" w:rsidR="002F0696" w:rsidRDefault="002F0696" w:rsidP="00001BBB">
            <w:pPr>
              <w:pStyle w:val="TableText"/>
              <w:jc w:val="center"/>
            </w:pPr>
            <w:r w:rsidRPr="00E10E1F">
              <w:t>NR</w:t>
            </w:r>
          </w:p>
        </w:tc>
        <w:tc>
          <w:tcPr>
            <w:tcW w:w="851" w:type="dxa"/>
            <w:vAlign w:val="center"/>
          </w:tcPr>
          <w:p w14:paraId="2074EE88" w14:textId="77777777" w:rsidR="002F0696" w:rsidRDefault="002F0696" w:rsidP="00001BBB">
            <w:pPr>
              <w:pStyle w:val="TableText"/>
              <w:jc w:val="center"/>
            </w:pPr>
            <w:r w:rsidRPr="00E10E1F">
              <w:t>NR</w:t>
            </w:r>
          </w:p>
        </w:tc>
      </w:tr>
      <w:tr w:rsidR="002F0696" w14:paraId="653D802F" w14:textId="77777777" w:rsidTr="008F6884">
        <w:trPr>
          <w:cantSplit/>
        </w:trPr>
        <w:tc>
          <w:tcPr>
            <w:tcW w:w="1361" w:type="dxa"/>
          </w:tcPr>
          <w:p w14:paraId="44B4E37A" w14:textId="326FB230" w:rsidR="002F0696" w:rsidRPr="005B4831" w:rsidRDefault="002F0696" w:rsidP="00001BBB">
            <w:pPr>
              <w:pStyle w:val="TableText"/>
            </w:pPr>
            <w:r w:rsidRPr="005B4831">
              <w:t>Range</w:t>
            </w:r>
          </w:p>
        </w:tc>
        <w:tc>
          <w:tcPr>
            <w:tcW w:w="850" w:type="dxa"/>
            <w:vAlign w:val="center"/>
          </w:tcPr>
          <w:p w14:paraId="6A87872D" w14:textId="77777777" w:rsidR="002F0696" w:rsidRDefault="002F0696" w:rsidP="00001BBB">
            <w:pPr>
              <w:pStyle w:val="TableText"/>
              <w:jc w:val="center"/>
            </w:pPr>
            <w:r>
              <w:t>1 in 23 to 1 in 45</w:t>
            </w:r>
          </w:p>
        </w:tc>
        <w:tc>
          <w:tcPr>
            <w:tcW w:w="851" w:type="dxa"/>
            <w:vAlign w:val="center"/>
          </w:tcPr>
          <w:p w14:paraId="6C59AA9A" w14:textId="77777777" w:rsidR="002F0696" w:rsidRDefault="002F0696" w:rsidP="00001BBB">
            <w:pPr>
              <w:pStyle w:val="TableText"/>
              <w:jc w:val="center"/>
            </w:pPr>
            <w:r>
              <w:t>1 in 46 to 1 in 82</w:t>
            </w:r>
          </w:p>
        </w:tc>
        <w:tc>
          <w:tcPr>
            <w:tcW w:w="850" w:type="dxa"/>
            <w:vAlign w:val="center"/>
          </w:tcPr>
          <w:p w14:paraId="46F2CD4E" w14:textId="77777777" w:rsidR="002F0696" w:rsidRDefault="002F0696" w:rsidP="00001BBB">
            <w:pPr>
              <w:pStyle w:val="TableText"/>
              <w:jc w:val="center"/>
            </w:pPr>
            <w:r>
              <w:t>1 in 29 to 1 in 42</w:t>
            </w:r>
          </w:p>
        </w:tc>
        <w:tc>
          <w:tcPr>
            <w:tcW w:w="851" w:type="dxa"/>
            <w:vAlign w:val="center"/>
          </w:tcPr>
          <w:p w14:paraId="6BBB10CF" w14:textId="77777777" w:rsidR="002F0696" w:rsidRDefault="002F0696" w:rsidP="00001BBB">
            <w:pPr>
              <w:pStyle w:val="TableText"/>
              <w:jc w:val="center"/>
            </w:pPr>
            <w:r>
              <w:t>1 in 63 to 1 in 103</w:t>
            </w:r>
          </w:p>
        </w:tc>
        <w:tc>
          <w:tcPr>
            <w:tcW w:w="850" w:type="dxa"/>
            <w:vAlign w:val="center"/>
          </w:tcPr>
          <w:p w14:paraId="0280CF7C" w14:textId="77777777" w:rsidR="002F0696" w:rsidRDefault="002F0696" w:rsidP="00001BBB">
            <w:pPr>
              <w:pStyle w:val="TableText"/>
              <w:jc w:val="center"/>
            </w:pPr>
            <w:r>
              <w:t>1 in 64.1 to 1 in 94</w:t>
            </w:r>
          </w:p>
        </w:tc>
        <w:tc>
          <w:tcPr>
            <w:tcW w:w="851" w:type="dxa"/>
            <w:vAlign w:val="center"/>
          </w:tcPr>
          <w:p w14:paraId="22A48C4F" w14:textId="77777777" w:rsidR="002F0696" w:rsidRDefault="002F0696" w:rsidP="00001BBB">
            <w:pPr>
              <w:pStyle w:val="TableText"/>
              <w:jc w:val="center"/>
            </w:pPr>
            <w:r>
              <w:t>1 in 77 to 1 in 100.3</w:t>
            </w:r>
          </w:p>
        </w:tc>
        <w:tc>
          <w:tcPr>
            <w:tcW w:w="850" w:type="dxa"/>
            <w:vAlign w:val="center"/>
          </w:tcPr>
          <w:p w14:paraId="1DA77863" w14:textId="77777777" w:rsidR="002F0696" w:rsidRDefault="002F0696" w:rsidP="00001BBB">
            <w:pPr>
              <w:pStyle w:val="TableText"/>
              <w:jc w:val="center"/>
            </w:pPr>
            <w:r>
              <w:t>1 in 14 to 1 in 17</w:t>
            </w:r>
          </w:p>
        </w:tc>
        <w:tc>
          <w:tcPr>
            <w:tcW w:w="851" w:type="dxa"/>
            <w:vAlign w:val="center"/>
          </w:tcPr>
          <w:p w14:paraId="3CC23599" w14:textId="77777777" w:rsidR="002F0696" w:rsidRDefault="002F0696" w:rsidP="00001BBB">
            <w:pPr>
              <w:pStyle w:val="TableText"/>
              <w:jc w:val="center"/>
            </w:pPr>
            <w:r>
              <w:t>1 in 102 to 1 in 171</w:t>
            </w:r>
          </w:p>
        </w:tc>
        <w:tc>
          <w:tcPr>
            <w:tcW w:w="851" w:type="dxa"/>
            <w:vAlign w:val="center"/>
          </w:tcPr>
          <w:p w14:paraId="018EFAF0" w14:textId="3B7F1859" w:rsidR="002F0696" w:rsidRDefault="002F0696" w:rsidP="00001BBB">
            <w:pPr>
              <w:pStyle w:val="TableText"/>
              <w:jc w:val="center"/>
            </w:pPr>
            <w:r>
              <w:t>1 in 121 to 1 in 157</w:t>
            </w:r>
          </w:p>
        </w:tc>
      </w:tr>
    </w:tbl>
    <w:p w14:paraId="036B715B" w14:textId="77777777" w:rsidR="002F0696" w:rsidRDefault="002F0696" w:rsidP="00656956">
      <w:pPr>
        <w:pStyle w:val="Tablenotes"/>
        <w:spacing w:before="0"/>
      </w:pPr>
      <w:r w:rsidRPr="00E06D16">
        <w:t>BS=Bloom syndrome; CD=Canavan disease; CI=confidence interval; FA=Fanconi anaemia type C; FD=familial dysautonomia; FXS=fragile X syndrome; GD=Gaucher disease; GSD1=glycogen storage disease type 1; MLD=</w:t>
      </w:r>
      <w:proofErr w:type="spellStart"/>
      <w:r w:rsidRPr="00E06D16">
        <w:t>mucolipidosis</w:t>
      </w:r>
      <w:proofErr w:type="spellEnd"/>
      <w:r w:rsidRPr="00E06D16">
        <w:t xml:space="preserve"> type IV; NPD=Niemann-Pick disease type A; NR=not reported; TSD=Tay-Sachs disease</w:t>
      </w:r>
    </w:p>
    <w:p w14:paraId="5FA0853B" w14:textId="6FBEF603" w:rsidR="00350A0B" w:rsidRDefault="00350A0B" w:rsidP="003D1E13">
      <w:pPr>
        <w:spacing w:before="240"/>
      </w:pPr>
      <w:r>
        <w:t xml:space="preserve">Change in management was addressed in two studies reporting on reproductive decision-making. Both studies were single-arm and at high risk of bias. One study reported all three carrier </w:t>
      </w:r>
      <w:r>
        <w:lastRenderedPageBreak/>
        <w:t xml:space="preserve">couples detected through their program elected to pursue prenatal diagnosis in subsequent pregnancies </w:t>
      </w:r>
      <w:r w:rsidR="007723A2">
        <w:rPr>
          <w:noProof/>
        </w:rPr>
        <w:t>(Shao et al., 2015)</w:t>
      </w:r>
      <w:r>
        <w:t>.</w:t>
      </w:r>
      <w:r w:rsidR="00B229FD">
        <w:t xml:space="preserve"> </w:t>
      </w:r>
      <w:r w:rsidR="007723A2">
        <w:rPr>
          <w:noProof/>
        </w:rPr>
        <w:t>Singer et al. (2020)</w:t>
      </w:r>
      <w:r w:rsidR="00B229FD">
        <w:t xml:space="preserve"> reported the number of pregnancy terminations due to genetically affected </w:t>
      </w:r>
      <w:proofErr w:type="spellStart"/>
      <w:r w:rsidR="00B229FD" w:rsidDel="005B0321">
        <w:t>fetuses</w:t>
      </w:r>
      <w:proofErr w:type="spellEnd"/>
      <w:r w:rsidR="00B229FD">
        <w:t xml:space="preserve"> (</w:t>
      </w:r>
      <w:r w:rsidR="003A0B9B" w:rsidRPr="00CE28E3">
        <w:t>Table</w:t>
      </w:r>
      <w:r w:rsidR="003A0B9B">
        <w:t> </w:t>
      </w:r>
      <w:r w:rsidR="007260EF">
        <w:rPr>
          <w:noProof/>
        </w:rPr>
        <w:t>8</w:t>
      </w:r>
      <w:r w:rsidR="00B229FD">
        <w:t>).</w:t>
      </w:r>
    </w:p>
    <w:p w14:paraId="11E49AEB" w14:textId="77777777" w:rsidR="00B229FD" w:rsidRDefault="00B229FD" w:rsidP="00B229FD">
      <w:r>
        <w:t>The certainty of evidence (GRADE) was graded as very low quality.</w:t>
      </w:r>
    </w:p>
    <w:p w14:paraId="2FADC767" w14:textId="0BF0B92B" w:rsidR="00B229FD" w:rsidRPr="00CE28E3" w:rsidRDefault="00B229FD" w:rsidP="00B229FD">
      <w:pPr>
        <w:pStyle w:val="Caption"/>
        <w:rPr>
          <w:rFonts w:cs="Arial"/>
          <w:snapToGrid w:val="0"/>
          <w:szCs w:val="16"/>
        </w:rPr>
      </w:pPr>
      <w:bookmarkStart w:id="50" w:name="_Ref98234420"/>
      <w:bookmarkStart w:id="51" w:name="_Toc103096605"/>
      <w:r w:rsidRPr="00CE28E3">
        <w:t>Table</w:t>
      </w:r>
      <w:r>
        <w:t> </w:t>
      </w:r>
      <w:bookmarkEnd w:id="50"/>
      <w:r w:rsidR="007260EF">
        <w:rPr>
          <w:noProof/>
        </w:rPr>
        <w:t>8</w:t>
      </w:r>
      <w:r w:rsidRPr="00CE28E3">
        <w:tab/>
      </w:r>
      <w:r>
        <w:rPr>
          <w:rFonts w:cs="Arial"/>
          <w:snapToGrid w:val="0"/>
          <w:szCs w:val="16"/>
        </w:rPr>
        <w:t xml:space="preserve">Rates of prenatal diagnosis, pregnancy termination and affected live-born children with selected diseases in 2014-2017 </w:t>
      </w:r>
      <w:r w:rsidR="007723A2">
        <w:rPr>
          <w:rFonts w:cs="Arial"/>
          <w:noProof/>
          <w:snapToGrid w:val="0"/>
          <w:szCs w:val="16"/>
        </w:rPr>
        <w:t>(Singer et al., 2020)</w:t>
      </w:r>
      <w:bookmarkEnd w:id="51"/>
    </w:p>
    <w:tbl>
      <w:tblPr>
        <w:tblStyle w:val="TableGrid1"/>
        <w:tblW w:w="4984" w:type="pct"/>
        <w:tblInd w:w="28" w:type="dxa"/>
        <w:tblLayout w:type="fixed"/>
        <w:tblCellMar>
          <w:left w:w="28" w:type="dxa"/>
          <w:right w:w="28" w:type="dxa"/>
        </w:tblCellMar>
        <w:tblLook w:val="04A0" w:firstRow="1" w:lastRow="0" w:firstColumn="1" w:lastColumn="0" w:noHBand="0" w:noVBand="1"/>
      </w:tblPr>
      <w:tblGrid>
        <w:gridCol w:w="1284"/>
        <w:gridCol w:w="953"/>
        <w:gridCol w:w="1416"/>
        <w:gridCol w:w="1485"/>
        <w:gridCol w:w="1283"/>
        <w:gridCol w:w="1283"/>
        <w:gridCol w:w="1283"/>
      </w:tblGrid>
      <w:tr w:rsidR="00B229FD" w:rsidRPr="006465F3" w14:paraId="0D09B9BD" w14:textId="77777777" w:rsidTr="00001BBB">
        <w:trPr>
          <w:cnfStyle w:val="100000000000" w:firstRow="1" w:lastRow="0" w:firstColumn="0" w:lastColumn="0" w:oddVBand="0" w:evenVBand="0" w:oddHBand="0" w:evenHBand="0" w:firstRowFirstColumn="0" w:firstRowLastColumn="0" w:lastRowFirstColumn="0" w:lastRowLastColumn="0"/>
          <w:tblHeader/>
        </w:trPr>
        <w:tc>
          <w:tcPr>
            <w:tcW w:w="714" w:type="pct"/>
            <w:tcBorders>
              <w:bottom w:val="single" w:sz="4" w:space="0" w:color="auto"/>
            </w:tcBorders>
            <w:shd w:val="clear" w:color="auto" w:fill="auto"/>
          </w:tcPr>
          <w:p w14:paraId="38C77816" w14:textId="77777777" w:rsidR="00B229FD" w:rsidRPr="0096631D" w:rsidRDefault="00B229FD" w:rsidP="00001BBB">
            <w:pPr>
              <w:pStyle w:val="TableHeading"/>
            </w:pPr>
            <w:r w:rsidRPr="0096631D">
              <w:t>Study ID</w:t>
            </w:r>
          </w:p>
        </w:tc>
        <w:tc>
          <w:tcPr>
            <w:tcW w:w="530" w:type="pct"/>
            <w:tcBorders>
              <w:bottom w:val="single" w:sz="4" w:space="0" w:color="auto"/>
            </w:tcBorders>
          </w:tcPr>
          <w:p w14:paraId="5756AA46" w14:textId="77777777" w:rsidR="00B229FD" w:rsidRPr="0096631D" w:rsidRDefault="00B229FD" w:rsidP="00001BBB">
            <w:pPr>
              <w:pStyle w:val="TableHeading"/>
            </w:pPr>
            <w:r w:rsidRPr="0096631D">
              <w:t>Risk of bias</w:t>
            </w:r>
          </w:p>
        </w:tc>
        <w:tc>
          <w:tcPr>
            <w:tcW w:w="788" w:type="pct"/>
            <w:shd w:val="clear" w:color="auto" w:fill="auto"/>
          </w:tcPr>
          <w:p w14:paraId="32CF27CE" w14:textId="77777777" w:rsidR="00B229FD" w:rsidRPr="0096631D" w:rsidRDefault="00B229FD" w:rsidP="00001BBB">
            <w:pPr>
              <w:pStyle w:val="TableHeading"/>
            </w:pPr>
            <w:r w:rsidRPr="0096631D">
              <w:t>Condition tested for</w:t>
            </w:r>
          </w:p>
        </w:tc>
        <w:tc>
          <w:tcPr>
            <w:tcW w:w="826" w:type="pct"/>
            <w:shd w:val="clear" w:color="auto" w:fill="auto"/>
          </w:tcPr>
          <w:p w14:paraId="5036E4A6" w14:textId="77777777" w:rsidR="00B229FD" w:rsidRPr="0096631D" w:rsidRDefault="00B229FD" w:rsidP="00001BBB">
            <w:pPr>
              <w:pStyle w:val="TableHeading"/>
            </w:pPr>
            <w:r w:rsidRPr="0096631D">
              <w:t>Carrier frequency</w:t>
            </w:r>
          </w:p>
        </w:tc>
        <w:tc>
          <w:tcPr>
            <w:tcW w:w="714" w:type="pct"/>
            <w:shd w:val="clear" w:color="auto" w:fill="auto"/>
          </w:tcPr>
          <w:p w14:paraId="64EE93D6" w14:textId="77777777" w:rsidR="00B229FD" w:rsidRPr="0096631D" w:rsidRDefault="00B229FD" w:rsidP="00001BBB">
            <w:pPr>
              <w:pStyle w:val="TableHeading"/>
            </w:pPr>
            <w:r w:rsidRPr="0096631D">
              <w:t>Prenatal testing (n)</w:t>
            </w:r>
          </w:p>
        </w:tc>
        <w:tc>
          <w:tcPr>
            <w:tcW w:w="714" w:type="pct"/>
          </w:tcPr>
          <w:p w14:paraId="2FAA6949" w14:textId="77777777" w:rsidR="00B229FD" w:rsidRPr="0096631D" w:rsidRDefault="00B229FD" w:rsidP="00001BBB">
            <w:pPr>
              <w:pStyle w:val="TableHeading"/>
            </w:pPr>
            <w:r w:rsidRPr="0096631D">
              <w:t>Pregnancy terminations (n)</w:t>
            </w:r>
          </w:p>
        </w:tc>
        <w:tc>
          <w:tcPr>
            <w:tcW w:w="714" w:type="pct"/>
            <w:shd w:val="clear" w:color="auto" w:fill="auto"/>
          </w:tcPr>
          <w:p w14:paraId="3795E89E" w14:textId="77777777" w:rsidR="00B229FD" w:rsidRPr="0096631D" w:rsidRDefault="00B229FD" w:rsidP="00001BBB">
            <w:pPr>
              <w:pStyle w:val="TableHeading"/>
            </w:pPr>
            <w:r w:rsidRPr="0096631D">
              <w:t>Observed affected births (n)</w:t>
            </w:r>
          </w:p>
        </w:tc>
      </w:tr>
      <w:tr w:rsidR="00B229FD" w:rsidRPr="006465F3" w14:paraId="5E4FC3EC" w14:textId="77777777" w:rsidTr="00001BBB">
        <w:tc>
          <w:tcPr>
            <w:tcW w:w="714" w:type="pct"/>
            <w:tcBorders>
              <w:top w:val="single" w:sz="4" w:space="0" w:color="auto"/>
              <w:left w:val="single" w:sz="4" w:space="0" w:color="auto"/>
              <w:bottom w:val="nil"/>
              <w:right w:val="single" w:sz="4" w:space="0" w:color="auto"/>
            </w:tcBorders>
            <w:shd w:val="clear" w:color="auto" w:fill="auto"/>
          </w:tcPr>
          <w:p w14:paraId="49272DF3" w14:textId="04949403" w:rsidR="00B229FD" w:rsidRPr="00160AC8" w:rsidRDefault="007723A2" w:rsidP="00001BBB">
            <w:pPr>
              <w:pStyle w:val="Tabletext0"/>
              <w:jc w:val="left"/>
              <w:rPr>
                <w:snapToGrid w:val="0"/>
              </w:rPr>
            </w:pPr>
            <w:r>
              <w:rPr>
                <w:noProof/>
              </w:rPr>
              <w:t>Singer et al. (</w:t>
            </w:r>
            <w:proofErr w:type="gramStart"/>
            <w:r>
              <w:rPr>
                <w:noProof/>
              </w:rPr>
              <w:t>2020)</w:t>
            </w:r>
            <w:r w:rsidR="00B229FD">
              <w:t>*</w:t>
            </w:r>
            <w:proofErr w:type="gramEnd"/>
          </w:p>
        </w:tc>
        <w:tc>
          <w:tcPr>
            <w:tcW w:w="530" w:type="pct"/>
            <w:tcBorders>
              <w:top w:val="single" w:sz="4" w:space="0" w:color="auto"/>
              <w:left w:val="single" w:sz="4" w:space="0" w:color="auto"/>
              <w:bottom w:val="nil"/>
              <w:right w:val="single" w:sz="4" w:space="0" w:color="auto"/>
            </w:tcBorders>
          </w:tcPr>
          <w:p w14:paraId="7F1A9625" w14:textId="77777777" w:rsidR="00B229FD" w:rsidRPr="006465F3" w:rsidRDefault="00B229FD" w:rsidP="00001BBB">
            <w:pPr>
              <w:pStyle w:val="Tabletext0"/>
              <w:rPr>
                <w:snapToGrid w:val="0"/>
              </w:rPr>
            </w:pPr>
            <w:r>
              <w:rPr>
                <w:snapToGrid w:val="0"/>
              </w:rPr>
              <w:t>High</w:t>
            </w:r>
          </w:p>
        </w:tc>
        <w:tc>
          <w:tcPr>
            <w:tcW w:w="788" w:type="pct"/>
            <w:tcBorders>
              <w:left w:val="single" w:sz="4" w:space="0" w:color="auto"/>
            </w:tcBorders>
            <w:shd w:val="clear" w:color="auto" w:fill="auto"/>
            <w:vAlign w:val="center"/>
          </w:tcPr>
          <w:p w14:paraId="39FF0599" w14:textId="77777777" w:rsidR="00B229FD" w:rsidRPr="006465F3" w:rsidRDefault="00B229FD" w:rsidP="00001BBB">
            <w:pPr>
              <w:pStyle w:val="Tabletext0"/>
              <w:jc w:val="left"/>
              <w:rPr>
                <w:snapToGrid w:val="0"/>
              </w:rPr>
            </w:pPr>
            <w:r>
              <w:t>TSD</w:t>
            </w:r>
            <w:r>
              <w:rPr>
                <w:snapToGrid w:val="0"/>
              </w:rPr>
              <w:t xml:space="preserve"> (AJ, North African and Balkan Jews)</w:t>
            </w:r>
          </w:p>
        </w:tc>
        <w:tc>
          <w:tcPr>
            <w:tcW w:w="826" w:type="pct"/>
            <w:shd w:val="clear" w:color="auto" w:fill="auto"/>
            <w:vAlign w:val="center"/>
          </w:tcPr>
          <w:p w14:paraId="078697AD" w14:textId="77777777" w:rsidR="00B229FD" w:rsidRDefault="00B229FD" w:rsidP="00001BBB">
            <w:pPr>
              <w:pStyle w:val="Tabletext0"/>
              <w:jc w:val="center"/>
              <w:rPr>
                <w:snapToGrid w:val="0"/>
              </w:rPr>
            </w:pPr>
            <w:r>
              <w:rPr>
                <w:snapToGrid w:val="0"/>
              </w:rPr>
              <w:t>n=2,872/124,499</w:t>
            </w:r>
          </w:p>
          <w:p w14:paraId="51757A33" w14:textId="77777777" w:rsidR="00B229FD" w:rsidRPr="006465F3" w:rsidRDefault="00B229FD" w:rsidP="00001BBB">
            <w:pPr>
              <w:pStyle w:val="Tabletext0"/>
              <w:jc w:val="center"/>
              <w:rPr>
                <w:snapToGrid w:val="0"/>
              </w:rPr>
            </w:pPr>
            <w:r>
              <w:rPr>
                <w:snapToGrid w:val="0"/>
              </w:rPr>
              <w:t>1 in 43</w:t>
            </w:r>
          </w:p>
        </w:tc>
        <w:tc>
          <w:tcPr>
            <w:tcW w:w="714" w:type="pct"/>
            <w:shd w:val="clear" w:color="auto" w:fill="auto"/>
            <w:vAlign w:val="center"/>
          </w:tcPr>
          <w:p w14:paraId="22DDD2C4" w14:textId="77777777" w:rsidR="00B229FD" w:rsidRPr="006465F3" w:rsidRDefault="00B229FD" w:rsidP="00001BBB">
            <w:pPr>
              <w:pStyle w:val="Tabletext0"/>
              <w:jc w:val="center"/>
              <w:rPr>
                <w:snapToGrid w:val="0"/>
              </w:rPr>
            </w:pPr>
            <w:r>
              <w:rPr>
                <w:snapToGrid w:val="0"/>
              </w:rPr>
              <w:t>123</w:t>
            </w:r>
          </w:p>
        </w:tc>
        <w:tc>
          <w:tcPr>
            <w:tcW w:w="714" w:type="pct"/>
            <w:tcBorders>
              <w:top w:val="single" w:sz="4" w:space="0" w:color="auto"/>
            </w:tcBorders>
            <w:vAlign w:val="center"/>
          </w:tcPr>
          <w:p w14:paraId="32EB73AF" w14:textId="77777777" w:rsidR="00B229FD" w:rsidRPr="006465F3" w:rsidRDefault="00B229FD" w:rsidP="00001BBB">
            <w:pPr>
              <w:pStyle w:val="Tabletext0"/>
              <w:jc w:val="center"/>
              <w:rPr>
                <w:snapToGrid w:val="0"/>
              </w:rPr>
            </w:pPr>
            <w:r>
              <w:rPr>
                <w:snapToGrid w:val="0"/>
              </w:rPr>
              <w:t>21</w:t>
            </w:r>
          </w:p>
        </w:tc>
        <w:tc>
          <w:tcPr>
            <w:tcW w:w="714" w:type="pct"/>
            <w:tcBorders>
              <w:top w:val="single" w:sz="4" w:space="0" w:color="auto"/>
            </w:tcBorders>
            <w:shd w:val="clear" w:color="auto" w:fill="auto"/>
            <w:vAlign w:val="center"/>
          </w:tcPr>
          <w:p w14:paraId="0DC1C92F" w14:textId="77777777" w:rsidR="00B229FD" w:rsidRPr="006465F3" w:rsidRDefault="00B229FD" w:rsidP="00001BBB">
            <w:pPr>
              <w:pStyle w:val="Tabletext0"/>
              <w:jc w:val="center"/>
              <w:rPr>
                <w:snapToGrid w:val="0"/>
              </w:rPr>
            </w:pPr>
            <w:r>
              <w:rPr>
                <w:snapToGrid w:val="0"/>
              </w:rPr>
              <w:t>4</w:t>
            </w:r>
          </w:p>
        </w:tc>
      </w:tr>
      <w:tr w:rsidR="00B229FD" w:rsidRPr="006465F3" w14:paraId="404686E7" w14:textId="77777777" w:rsidTr="00001BBB">
        <w:tc>
          <w:tcPr>
            <w:tcW w:w="714" w:type="pct"/>
            <w:tcBorders>
              <w:top w:val="nil"/>
              <w:left w:val="single" w:sz="4" w:space="0" w:color="auto"/>
              <w:bottom w:val="nil"/>
              <w:right w:val="single" w:sz="4" w:space="0" w:color="auto"/>
            </w:tcBorders>
            <w:shd w:val="clear" w:color="auto" w:fill="auto"/>
          </w:tcPr>
          <w:p w14:paraId="351C2940" w14:textId="77777777" w:rsidR="00B229FD" w:rsidRPr="00160AC8" w:rsidRDefault="00B229FD" w:rsidP="00001BBB">
            <w:pPr>
              <w:pStyle w:val="Tabletext0"/>
              <w:jc w:val="left"/>
            </w:pPr>
          </w:p>
        </w:tc>
        <w:tc>
          <w:tcPr>
            <w:tcW w:w="530" w:type="pct"/>
            <w:tcBorders>
              <w:top w:val="nil"/>
              <w:left w:val="single" w:sz="4" w:space="0" w:color="auto"/>
              <w:bottom w:val="nil"/>
              <w:right w:val="single" w:sz="4" w:space="0" w:color="auto"/>
            </w:tcBorders>
          </w:tcPr>
          <w:p w14:paraId="1467410A" w14:textId="77777777" w:rsidR="00B229FD" w:rsidRPr="006465F3" w:rsidRDefault="00B229FD" w:rsidP="00001BBB">
            <w:pPr>
              <w:pStyle w:val="Tabletext0"/>
              <w:rPr>
                <w:snapToGrid w:val="0"/>
              </w:rPr>
            </w:pPr>
          </w:p>
        </w:tc>
        <w:tc>
          <w:tcPr>
            <w:tcW w:w="788" w:type="pct"/>
            <w:tcBorders>
              <w:left w:val="single" w:sz="4" w:space="0" w:color="auto"/>
            </w:tcBorders>
            <w:shd w:val="clear" w:color="auto" w:fill="auto"/>
            <w:vAlign w:val="center"/>
          </w:tcPr>
          <w:p w14:paraId="5836C65E" w14:textId="77777777" w:rsidR="00B229FD" w:rsidRDefault="00B229FD" w:rsidP="00001BBB">
            <w:pPr>
              <w:pStyle w:val="Tabletext0"/>
              <w:jc w:val="left"/>
            </w:pPr>
            <w:r>
              <w:t>CD (AJ)</w:t>
            </w:r>
          </w:p>
        </w:tc>
        <w:tc>
          <w:tcPr>
            <w:tcW w:w="826" w:type="pct"/>
            <w:shd w:val="clear" w:color="auto" w:fill="auto"/>
            <w:vAlign w:val="center"/>
          </w:tcPr>
          <w:p w14:paraId="4864E4A8" w14:textId="77777777" w:rsidR="00B229FD" w:rsidRDefault="00B229FD" w:rsidP="00001BBB">
            <w:pPr>
              <w:pStyle w:val="Tabletext0"/>
              <w:jc w:val="center"/>
              <w:rPr>
                <w:snapToGrid w:val="0"/>
              </w:rPr>
            </w:pPr>
            <w:r>
              <w:rPr>
                <w:snapToGrid w:val="0"/>
              </w:rPr>
              <w:t>n=1,310/82,244</w:t>
            </w:r>
          </w:p>
          <w:p w14:paraId="61A4D912" w14:textId="77777777" w:rsidR="00B229FD" w:rsidRPr="006465F3" w:rsidRDefault="00B229FD" w:rsidP="00001BBB">
            <w:pPr>
              <w:pStyle w:val="Tabletext0"/>
              <w:jc w:val="center"/>
              <w:rPr>
                <w:snapToGrid w:val="0"/>
              </w:rPr>
            </w:pPr>
            <w:r>
              <w:rPr>
                <w:snapToGrid w:val="0"/>
              </w:rPr>
              <w:t>1 in 63</w:t>
            </w:r>
          </w:p>
        </w:tc>
        <w:tc>
          <w:tcPr>
            <w:tcW w:w="714" w:type="pct"/>
            <w:shd w:val="clear" w:color="auto" w:fill="auto"/>
            <w:vAlign w:val="center"/>
          </w:tcPr>
          <w:p w14:paraId="0C2871CA" w14:textId="77777777" w:rsidR="00B229FD" w:rsidRPr="006465F3" w:rsidRDefault="00B229FD" w:rsidP="00001BBB">
            <w:pPr>
              <w:pStyle w:val="Tabletext0"/>
              <w:jc w:val="center"/>
              <w:rPr>
                <w:snapToGrid w:val="0"/>
              </w:rPr>
            </w:pPr>
            <w:r>
              <w:rPr>
                <w:snapToGrid w:val="0"/>
              </w:rPr>
              <w:t>24</w:t>
            </w:r>
          </w:p>
        </w:tc>
        <w:tc>
          <w:tcPr>
            <w:tcW w:w="714" w:type="pct"/>
            <w:tcBorders>
              <w:top w:val="single" w:sz="4" w:space="0" w:color="auto"/>
            </w:tcBorders>
            <w:vAlign w:val="center"/>
          </w:tcPr>
          <w:p w14:paraId="06A21B97" w14:textId="77777777" w:rsidR="00B229FD" w:rsidRPr="006465F3" w:rsidRDefault="00B229FD" w:rsidP="00001BBB">
            <w:pPr>
              <w:pStyle w:val="Tabletext0"/>
              <w:jc w:val="center"/>
              <w:rPr>
                <w:snapToGrid w:val="0"/>
              </w:rPr>
            </w:pPr>
            <w:r>
              <w:rPr>
                <w:snapToGrid w:val="0"/>
              </w:rPr>
              <w:t>6</w:t>
            </w:r>
          </w:p>
        </w:tc>
        <w:tc>
          <w:tcPr>
            <w:tcW w:w="714" w:type="pct"/>
            <w:tcBorders>
              <w:top w:val="single" w:sz="4" w:space="0" w:color="auto"/>
            </w:tcBorders>
            <w:shd w:val="clear" w:color="auto" w:fill="auto"/>
            <w:vAlign w:val="center"/>
          </w:tcPr>
          <w:p w14:paraId="14093518" w14:textId="77777777" w:rsidR="00B229FD" w:rsidRPr="006465F3" w:rsidRDefault="00B229FD" w:rsidP="00001BBB">
            <w:pPr>
              <w:pStyle w:val="Tabletext0"/>
              <w:jc w:val="center"/>
              <w:rPr>
                <w:snapToGrid w:val="0"/>
              </w:rPr>
            </w:pPr>
            <w:r>
              <w:rPr>
                <w:snapToGrid w:val="0"/>
              </w:rPr>
              <w:t>1</w:t>
            </w:r>
          </w:p>
        </w:tc>
      </w:tr>
      <w:tr w:rsidR="00B229FD" w:rsidRPr="006465F3" w14:paraId="44029E4F" w14:textId="77777777" w:rsidTr="00001BBB">
        <w:tc>
          <w:tcPr>
            <w:tcW w:w="714" w:type="pct"/>
            <w:tcBorders>
              <w:top w:val="nil"/>
              <w:left w:val="single" w:sz="4" w:space="0" w:color="auto"/>
              <w:bottom w:val="single" w:sz="4" w:space="0" w:color="auto"/>
              <w:right w:val="single" w:sz="4" w:space="0" w:color="auto"/>
            </w:tcBorders>
            <w:shd w:val="clear" w:color="auto" w:fill="auto"/>
          </w:tcPr>
          <w:p w14:paraId="6CB213B2" w14:textId="77777777" w:rsidR="00B229FD" w:rsidRPr="00160AC8" w:rsidRDefault="00B229FD" w:rsidP="00001BBB">
            <w:pPr>
              <w:pStyle w:val="Tabletext0"/>
              <w:jc w:val="left"/>
            </w:pPr>
          </w:p>
        </w:tc>
        <w:tc>
          <w:tcPr>
            <w:tcW w:w="530" w:type="pct"/>
            <w:tcBorders>
              <w:top w:val="nil"/>
              <w:left w:val="single" w:sz="4" w:space="0" w:color="auto"/>
              <w:bottom w:val="single" w:sz="4" w:space="0" w:color="auto"/>
              <w:right w:val="single" w:sz="4" w:space="0" w:color="auto"/>
            </w:tcBorders>
          </w:tcPr>
          <w:p w14:paraId="06AA9452" w14:textId="77777777" w:rsidR="00B229FD" w:rsidRPr="006465F3" w:rsidRDefault="00B229FD" w:rsidP="00001BBB">
            <w:pPr>
              <w:pStyle w:val="Tabletext0"/>
              <w:rPr>
                <w:snapToGrid w:val="0"/>
              </w:rPr>
            </w:pPr>
          </w:p>
        </w:tc>
        <w:tc>
          <w:tcPr>
            <w:tcW w:w="788" w:type="pct"/>
            <w:tcBorders>
              <w:left w:val="single" w:sz="4" w:space="0" w:color="auto"/>
            </w:tcBorders>
            <w:shd w:val="clear" w:color="auto" w:fill="auto"/>
            <w:vAlign w:val="center"/>
          </w:tcPr>
          <w:p w14:paraId="5908BC9E" w14:textId="77777777" w:rsidR="00B229FD" w:rsidRDefault="00B229FD" w:rsidP="00001BBB">
            <w:pPr>
              <w:pStyle w:val="Tabletext0"/>
              <w:jc w:val="left"/>
            </w:pPr>
            <w:r>
              <w:t>FD (</w:t>
            </w:r>
            <w:r>
              <w:rPr>
                <w:snapToGrid w:val="0"/>
              </w:rPr>
              <w:t>AJ and Balkan Jews)</w:t>
            </w:r>
          </w:p>
        </w:tc>
        <w:tc>
          <w:tcPr>
            <w:tcW w:w="826" w:type="pct"/>
            <w:shd w:val="clear" w:color="auto" w:fill="auto"/>
            <w:vAlign w:val="center"/>
          </w:tcPr>
          <w:p w14:paraId="3F38E765" w14:textId="77777777" w:rsidR="00B229FD" w:rsidRDefault="00B229FD" w:rsidP="00001BBB">
            <w:pPr>
              <w:pStyle w:val="Tabletext0"/>
              <w:jc w:val="center"/>
              <w:rPr>
                <w:snapToGrid w:val="0"/>
              </w:rPr>
            </w:pPr>
            <w:r>
              <w:rPr>
                <w:snapToGrid w:val="0"/>
              </w:rPr>
              <w:t>n=2,214/82,453</w:t>
            </w:r>
          </w:p>
          <w:p w14:paraId="0511DA0C" w14:textId="77777777" w:rsidR="00B229FD" w:rsidRPr="006465F3" w:rsidRDefault="00B229FD" w:rsidP="00001BBB">
            <w:pPr>
              <w:pStyle w:val="Tabletext0"/>
              <w:jc w:val="center"/>
              <w:rPr>
                <w:snapToGrid w:val="0"/>
              </w:rPr>
            </w:pPr>
            <w:r>
              <w:rPr>
                <w:snapToGrid w:val="0"/>
              </w:rPr>
              <w:t>1 in 37</w:t>
            </w:r>
          </w:p>
        </w:tc>
        <w:tc>
          <w:tcPr>
            <w:tcW w:w="714" w:type="pct"/>
            <w:shd w:val="clear" w:color="auto" w:fill="auto"/>
            <w:vAlign w:val="center"/>
          </w:tcPr>
          <w:p w14:paraId="18E6B55C" w14:textId="77777777" w:rsidR="00B229FD" w:rsidRPr="006465F3" w:rsidRDefault="00B229FD" w:rsidP="00001BBB">
            <w:pPr>
              <w:pStyle w:val="Tabletext0"/>
              <w:jc w:val="center"/>
              <w:rPr>
                <w:snapToGrid w:val="0"/>
              </w:rPr>
            </w:pPr>
            <w:r>
              <w:rPr>
                <w:snapToGrid w:val="0"/>
              </w:rPr>
              <w:t>68</w:t>
            </w:r>
          </w:p>
        </w:tc>
        <w:tc>
          <w:tcPr>
            <w:tcW w:w="714" w:type="pct"/>
            <w:tcBorders>
              <w:top w:val="single" w:sz="4" w:space="0" w:color="auto"/>
            </w:tcBorders>
            <w:vAlign w:val="center"/>
          </w:tcPr>
          <w:p w14:paraId="65C84A55" w14:textId="77777777" w:rsidR="00B229FD" w:rsidRPr="006465F3" w:rsidRDefault="00B229FD" w:rsidP="00001BBB">
            <w:pPr>
              <w:pStyle w:val="Tabletext0"/>
              <w:jc w:val="center"/>
              <w:rPr>
                <w:snapToGrid w:val="0"/>
              </w:rPr>
            </w:pPr>
            <w:r>
              <w:rPr>
                <w:snapToGrid w:val="0"/>
              </w:rPr>
              <w:t>18</w:t>
            </w:r>
          </w:p>
        </w:tc>
        <w:tc>
          <w:tcPr>
            <w:tcW w:w="714" w:type="pct"/>
            <w:tcBorders>
              <w:top w:val="single" w:sz="4" w:space="0" w:color="auto"/>
            </w:tcBorders>
            <w:shd w:val="clear" w:color="auto" w:fill="auto"/>
            <w:vAlign w:val="center"/>
          </w:tcPr>
          <w:p w14:paraId="4FD89CC2" w14:textId="77777777" w:rsidR="00B229FD" w:rsidRPr="006465F3" w:rsidRDefault="00B229FD" w:rsidP="00001BBB">
            <w:pPr>
              <w:pStyle w:val="Tabletext0"/>
              <w:jc w:val="center"/>
              <w:rPr>
                <w:snapToGrid w:val="0"/>
              </w:rPr>
            </w:pPr>
            <w:r>
              <w:rPr>
                <w:snapToGrid w:val="0"/>
              </w:rPr>
              <w:t>2</w:t>
            </w:r>
          </w:p>
        </w:tc>
      </w:tr>
    </w:tbl>
    <w:p w14:paraId="55C208B9" w14:textId="77777777" w:rsidR="00B229FD" w:rsidRDefault="00B229FD" w:rsidP="00656956">
      <w:pPr>
        <w:pStyle w:val="Tablenotes"/>
        <w:spacing w:before="0"/>
      </w:pPr>
      <w:r>
        <w:t>AJ=Ashkenazi Jewish; CD=Canavan disease; FD=familial dysautonomia; NPD=Niemann-Pick disease type A; TSD=Tay-Sachs disease</w:t>
      </w:r>
    </w:p>
    <w:p w14:paraId="27B7BFE0" w14:textId="2F2855B0" w:rsidR="003E2417" w:rsidRDefault="003E2417" w:rsidP="003D1E13">
      <w:pPr>
        <w:spacing w:before="240"/>
      </w:pPr>
      <w:r>
        <w:t xml:space="preserve">For evidence of health outcomes, one ecological study studied the relationship between Jewish high-school students </w:t>
      </w:r>
      <w:r w:rsidR="00BB46E2">
        <w:t xml:space="preserve">testing </w:t>
      </w:r>
      <w:r>
        <w:t xml:space="preserve">programs for TSD and the incidence of TSD-affected births in Sydney and Melbourne </w:t>
      </w:r>
      <w:r w:rsidR="007723A2">
        <w:rPr>
          <w:noProof/>
        </w:rPr>
        <w:t>(Lew et al., 2012</w:t>
      </w:r>
      <w:r w:rsidR="00580A96">
        <w:rPr>
          <w:rStyle w:val="FootnoteReference"/>
          <w:noProof/>
        </w:rPr>
        <w:footnoteReference w:id="18"/>
      </w:r>
      <w:r w:rsidR="007723A2">
        <w:rPr>
          <w:noProof/>
        </w:rPr>
        <w:t>)</w:t>
      </w:r>
      <w:r>
        <w:t>. The overall ratio of Jewish to non-Jewish TSD-affected births was 1:5 compared with the expected ratio of 1:2 (</w:t>
      </w:r>
      <w:r w:rsidR="003A0B9B" w:rsidRPr="00CE28E3">
        <w:t>Table</w:t>
      </w:r>
      <w:r w:rsidR="003A0B9B">
        <w:t> </w:t>
      </w:r>
      <w:r w:rsidR="007260EF">
        <w:rPr>
          <w:noProof/>
        </w:rPr>
        <w:t>9</w:t>
      </w:r>
      <w:r>
        <w:t xml:space="preserve">). The authors noted that no Jewish TSD carrier identified through the </w:t>
      </w:r>
      <w:r w:rsidR="00BB46E2">
        <w:t xml:space="preserve">testing </w:t>
      </w:r>
      <w:r>
        <w:t xml:space="preserve">program had a TSD-affected child during that period, and no parents of TSD-affected Jewish children had participated in </w:t>
      </w:r>
      <w:r w:rsidR="00BB46E2">
        <w:t>testing</w:t>
      </w:r>
      <w:r>
        <w:t>. Additionally, no program participants were parents of TSD-affected children.</w:t>
      </w:r>
    </w:p>
    <w:p w14:paraId="52858025" w14:textId="77777777" w:rsidR="007B0CF2" w:rsidRDefault="007B0CF2" w:rsidP="007B0CF2">
      <w:r>
        <w:t xml:space="preserve">The study was at high risk of bias. The number of events was low, suggesting possible imprecision issues. The study had an ecological </w:t>
      </w:r>
      <w:proofErr w:type="gramStart"/>
      <w:r>
        <w:t>design,</w:t>
      </w:r>
      <w:proofErr w:type="gramEnd"/>
      <w:r>
        <w:t xml:space="preserve"> therefore, direct causality could not be established. The level of evidence was low (NHMRC level IV). No comparative evidence was identified. The certainty of evidence (GRADE) was graded as very low quality.</w:t>
      </w:r>
    </w:p>
    <w:p w14:paraId="67270276" w14:textId="396C0918" w:rsidR="003E2417" w:rsidRPr="00CE28E3" w:rsidRDefault="003E2417" w:rsidP="003E2417">
      <w:pPr>
        <w:pStyle w:val="Caption"/>
        <w:rPr>
          <w:rFonts w:cs="Arial"/>
          <w:snapToGrid w:val="0"/>
          <w:szCs w:val="16"/>
        </w:rPr>
      </w:pPr>
      <w:bookmarkStart w:id="52" w:name="_Ref98235600"/>
      <w:bookmarkStart w:id="53" w:name="_Toc103096606"/>
      <w:r w:rsidRPr="00CE28E3">
        <w:t>Table</w:t>
      </w:r>
      <w:r>
        <w:t> </w:t>
      </w:r>
      <w:bookmarkEnd w:id="52"/>
      <w:r w:rsidR="007260EF">
        <w:rPr>
          <w:noProof/>
        </w:rPr>
        <w:t>9</w:t>
      </w:r>
      <w:r w:rsidRPr="00CE28E3">
        <w:tab/>
      </w:r>
      <w:r>
        <w:rPr>
          <w:rFonts w:cs="Arial"/>
          <w:snapToGrid w:val="0"/>
          <w:szCs w:val="16"/>
        </w:rPr>
        <w:t xml:space="preserve">Expected and observed TSD-affected births in Sydney and Melbourne, 1995-2011 </w:t>
      </w:r>
      <w:r w:rsidR="007723A2">
        <w:rPr>
          <w:rFonts w:cs="Arial"/>
          <w:noProof/>
          <w:snapToGrid w:val="0"/>
          <w:szCs w:val="16"/>
        </w:rPr>
        <w:t>(Lew et al., 201</w:t>
      </w:r>
      <w:r w:rsidR="006E6FE4">
        <w:rPr>
          <w:rFonts w:cs="Arial"/>
          <w:noProof/>
          <w:snapToGrid w:val="0"/>
          <w:szCs w:val="16"/>
        </w:rPr>
        <w:t>2</w:t>
      </w:r>
      <w:r w:rsidR="007723A2">
        <w:rPr>
          <w:rFonts w:cs="Arial"/>
          <w:noProof/>
          <w:snapToGrid w:val="0"/>
          <w:szCs w:val="16"/>
        </w:rPr>
        <w:t>)</w:t>
      </w:r>
      <w:bookmarkEnd w:id="53"/>
      <w:r>
        <w:rPr>
          <w:rFonts w:cs="Arial"/>
          <w:snapToGrid w:val="0"/>
          <w:szCs w:val="16"/>
        </w:rPr>
        <w:t xml:space="preserve"> </w:t>
      </w:r>
    </w:p>
    <w:tbl>
      <w:tblPr>
        <w:tblStyle w:val="TableGrid1"/>
        <w:tblW w:w="5000" w:type="pct"/>
        <w:tblCellMar>
          <w:left w:w="28" w:type="dxa"/>
          <w:right w:w="28" w:type="dxa"/>
        </w:tblCellMar>
        <w:tblLook w:val="04A0" w:firstRow="1" w:lastRow="0" w:firstColumn="1" w:lastColumn="0" w:noHBand="0" w:noVBand="1"/>
      </w:tblPr>
      <w:tblGrid>
        <w:gridCol w:w="1502"/>
        <w:gridCol w:w="1504"/>
        <w:gridCol w:w="1504"/>
        <w:gridCol w:w="1502"/>
        <w:gridCol w:w="1504"/>
        <w:gridCol w:w="1500"/>
      </w:tblGrid>
      <w:tr w:rsidR="003E2417" w:rsidRPr="006465F3" w14:paraId="7857E3BC" w14:textId="77777777" w:rsidTr="00001BBB">
        <w:trPr>
          <w:cnfStyle w:val="100000000000" w:firstRow="1" w:lastRow="0" w:firstColumn="0" w:lastColumn="0" w:oddVBand="0" w:evenVBand="0" w:oddHBand="0" w:evenHBand="0" w:firstRowFirstColumn="0" w:firstRowLastColumn="0" w:lastRowFirstColumn="0" w:lastRowLastColumn="0"/>
          <w:tblHeader/>
        </w:trPr>
        <w:tc>
          <w:tcPr>
            <w:tcW w:w="833" w:type="pct"/>
            <w:tcBorders>
              <w:bottom w:val="single" w:sz="4" w:space="0" w:color="auto"/>
            </w:tcBorders>
            <w:shd w:val="clear" w:color="auto" w:fill="auto"/>
          </w:tcPr>
          <w:p w14:paraId="5E966579" w14:textId="77777777" w:rsidR="003E2417" w:rsidRPr="0096631D" w:rsidRDefault="003E2417" w:rsidP="00001BBB">
            <w:pPr>
              <w:pStyle w:val="TableHeading"/>
            </w:pPr>
            <w:r w:rsidRPr="0096631D">
              <w:t>Study ID</w:t>
            </w:r>
          </w:p>
        </w:tc>
        <w:tc>
          <w:tcPr>
            <w:tcW w:w="834" w:type="pct"/>
            <w:tcBorders>
              <w:bottom w:val="single" w:sz="4" w:space="0" w:color="auto"/>
            </w:tcBorders>
          </w:tcPr>
          <w:p w14:paraId="4ABFAF6B" w14:textId="77777777" w:rsidR="003E2417" w:rsidRPr="0096631D" w:rsidRDefault="003E2417" w:rsidP="00001BBB">
            <w:pPr>
              <w:pStyle w:val="TableHeading"/>
            </w:pPr>
            <w:r w:rsidRPr="0096631D">
              <w:t>Risk of bias</w:t>
            </w:r>
          </w:p>
        </w:tc>
        <w:tc>
          <w:tcPr>
            <w:tcW w:w="834" w:type="pct"/>
            <w:shd w:val="clear" w:color="auto" w:fill="auto"/>
          </w:tcPr>
          <w:p w14:paraId="36B97B41" w14:textId="77777777" w:rsidR="003E2417" w:rsidRPr="0096631D" w:rsidRDefault="003E2417" w:rsidP="00001BBB">
            <w:pPr>
              <w:pStyle w:val="TableHeading"/>
            </w:pPr>
            <w:r>
              <w:t>Population</w:t>
            </w:r>
          </w:p>
        </w:tc>
        <w:tc>
          <w:tcPr>
            <w:tcW w:w="833" w:type="pct"/>
            <w:shd w:val="clear" w:color="auto" w:fill="auto"/>
          </w:tcPr>
          <w:p w14:paraId="04BA4F39" w14:textId="77777777" w:rsidR="003E2417" w:rsidRPr="0096631D" w:rsidRDefault="003E2417" w:rsidP="00001BBB">
            <w:pPr>
              <w:pStyle w:val="TableHeading"/>
            </w:pPr>
            <w:r>
              <w:t>Expected births (n)</w:t>
            </w:r>
          </w:p>
        </w:tc>
        <w:tc>
          <w:tcPr>
            <w:tcW w:w="834" w:type="pct"/>
            <w:shd w:val="clear" w:color="auto" w:fill="auto"/>
          </w:tcPr>
          <w:p w14:paraId="7A7DF2AE" w14:textId="77777777" w:rsidR="003E2417" w:rsidRPr="0096631D" w:rsidRDefault="003E2417" w:rsidP="00001BBB">
            <w:pPr>
              <w:pStyle w:val="TableHeading"/>
            </w:pPr>
            <w:r>
              <w:t>Observed births (n)</w:t>
            </w:r>
          </w:p>
        </w:tc>
        <w:tc>
          <w:tcPr>
            <w:tcW w:w="834" w:type="pct"/>
          </w:tcPr>
          <w:p w14:paraId="4CD3E729" w14:textId="77777777" w:rsidR="003E2417" w:rsidRPr="0096631D" w:rsidRDefault="003E2417" w:rsidP="00001BBB">
            <w:pPr>
              <w:pStyle w:val="TableHeading"/>
            </w:pPr>
            <w:r>
              <w:t>Rate ratio (95% CI)</w:t>
            </w:r>
          </w:p>
        </w:tc>
      </w:tr>
      <w:tr w:rsidR="003E2417" w:rsidRPr="006465F3" w14:paraId="702DD9CA" w14:textId="77777777" w:rsidTr="00001BBB">
        <w:tc>
          <w:tcPr>
            <w:tcW w:w="833" w:type="pct"/>
            <w:tcBorders>
              <w:top w:val="single" w:sz="4" w:space="0" w:color="auto"/>
              <w:left w:val="single" w:sz="4" w:space="0" w:color="auto"/>
              <w:bottom w:val="nil"/>
              <w:right w:val="single" w:sz="4" w:space="0" w:color="auto"/>
            </w:tcBorders>
            <w:shd w:val="clear" w:color="auto" w:fill="auto"/>
          </w:tcPr>
          <w:p w14:paraId="5EC8AD50" w14:textId="1A516F6B" w:rsidR="003E2417" w:rsidRPr="00160AC8" w:rsidRDefault="007723A2" w:rsidP="00001BBB">
            <w:pPr>
              <w:pStyle w:val="Tabletext0"/>
              <w:jc w:val="left"/>
              <w:rPr>
                <w:snapToGrid w:val="0"/>
              </w:rPr>
            </w:pPr>
            <w:r>
              <w:rPr>
                <w:noProof/>
              </w:rPr>
              <w:t>Lew et al. (2012)</w:t>
            </w:r>
          </w:p>
        </w:tc>
        <w:tc>
          <w:tcPr>
            <w:tcW w:w="834" w:type="pct"/>
            <w:tcBorders>
              <w:top w:val="single" w:sz="4" w:space="0" w:color="auto"/>
              <w:left w:val="single" w:sz="4" w:space="0" w:color="auto"/>
              <w:bottom w:val="nil"/>
              <w:right w:val="single" w:sz="4" w:space="0" w:color="auto"/>
            </w:tcBorders>
          </w:tcPr>
          <w:p w14:paraId="53ADC661" w14:textId="77777777" w:rsidR="003E2417" w:rsidRPr="006465F3" w:rsidRDefault="003E2417" w:rsidP="00001BBB">
            <w:pPr>
              <w:pStyle w:val="Tabletext0"/>
              <w:rPr>
                <w:snapToGrid w:val="0"/>
              </w:rPr>
            </w:pPr>
            <w:r>
              <w:rPr>
                <w:snapToGrid w:val="0"/>
              </w:rPr>
              <w:t>High</w:t>
            </w:r>
          </w:p>
        </w:tc>
        <w:tc>
          <w:tcPr>
            <w:tcW w:w="834" w:type="pct"/>
            <w:tcBorders>
              <w:left w:val="single" w:sz="4" w:space="0" w:color="auto"/>
            </w:tcBorders>
            <w:shd w:val="clear" w:color="auto" w:fill="auto"/>
            <w:vAlign w:val="center"/>
          </w:tcPr>
          <w:p w14:paraId="4CA05BCB" w14:textId="77777777" w:rsidR="003E2417" w:rsidRPr="006465F3" w:rsidRDefault="003E2417" w:rsidP="00001BBB">
            <w:pPr>
              <w:pStyle w:val="Tabletext0"/>
              <w:jc w:val="left"/>
              <w:rPr>
                <w:snapToGrid w:val="0"/>
              </w:rPr>
            </w:pPr>
            <w:r>
              <w:t>Jewish</w:t>
            </w:r>
          </w:p>
        </w:tc>
        <w:tc>
          <w:tcPr>
            <w:tcW w:w="833" w:type="pct"/>
            <w:shd w:val="clear" w:color="auto" w:fill="auto"/>
            <w:vAlign w:val="center"/>
          </w:tcPr>
          <w:p w14:paraId="3EEE4B72" w14:textId="77777777" w:rsidR="003E2417" w:rsidRPr="006465F3" w:rsidRDefault="003E2417" w:rsidP="00001BBB">
            <w:pPr>
              <w:pStyle w:val="Tabletext0"/>
              <w:jc w:val="center"/>
              <w:rPr>
                <w:snapToGrid w:val="0"/>
              </w:rPr>
            </w:pPr>
            <w:r>
              <w:rPr>
                <w:snapToGrid w:val="0"/>
              </w:rPr>
              <w:t>4.1</w:t>
            </w:r>
          </w:p>
        </w:tc>
        <w:tc>
          <w:tcPr>
            <w:tcW w:w="834" w:type="pct"/>
            <w:shd w:val="clear" w:color="auto" w:fill="auto"/>
            <w:vAlign w:val="center"/>
          </w:tcPr>
          <w:p w14:paraId="56D11FF1" w14:textId="77777777" w:rsidR="003E2417" w:rsidRPr="006465F3" w:rsidRDefault="003E2417" w:rsidP="00001BBB">
            <w:pPr>
              <w:pStyle w:val="Tabletext0"/>
              <w:jc w:val="center"/>
              <w:rPr>
                <w:snapToGrid w:val="0"/>
              </w:rPr>
            </w:pPr>
            <w:r>
              <w:rPr>
                <w:snapToGrid w:val="0"/>
              </w:rPr>
              <w:t>2</w:t>
            </w:r>
          </w:p>
        </w:tc>
        <w:tc>
          <w:tcPr>
            <w:tcW w:w="834" w:type="pct"/>
            <w:tcBorders>
              <w:top w:val="single" w:sz="4" w:space="0" w:color="auto"/>
            </w:tcBorders>
            <w:vAlign w:val="center"/>
          </w:tcPr>
          <w:p w14:paraId="2FC33DFD" w14:textId="77777777" w:rsidR="003E2417" w:rsidRPr="006465F3" w:rsidRDefault="003E2417" w:rsidP="00001BBB">
            <w:pPr>
              <w:pStyle w:val="Tabletext0"/>
              <w:jc w:val="center"/>
              <w:rPr>
                <w:snapToGrid w:val="0"/>
              </w:rPr>
            </w:pPr>
            <w:r>
              <w:rPr>
                <w:snapToGrid w:val="0"/>
              </w:rPr>
              <w:t>0.49 (0.06-1.76)</w:t>
            </w:r>
          </w:p>
        </w:tc>
      </w:tr>
      <w:tr w:rsidR="003E2417" w:rsidRPr="006465F3" w14:paraId="73AC3684" w14:textId="77777777" w:rsidTr="00001BBB">
        <w:tc>
          <w:tcPr>
            <w:tcW w:w="833" w:type="pct"/>
            <w:tcBorders>
              <w:top w:val="nil"/>
              <w:left w:val="single" w:sz="4" w:space="0" w:color="auto"/>
              <w:bottom w:val="single" w:sz="4" w:space="0" w:color="auto"/>
              <w:right w:val="single" w:sz="4" w:space="0" w:color="auto"/>
            </w:tcBorders>
            <w:shd w:val="clear" w:color="auto" w:fill="auto"/>
          </w:tcPr>
          <w:p w14:paraId="2A091425" w14:textId="77777777" w:rsidR="003E2417" w:rsidRPr="00160AC8" w:rsidRDefault="003E2417" w:rsidP="00001BBB">
            <w:pPr>
              <w:pStyle w:val="Tabletext0"/>
              <w:jc w:val="left"/>
            </w:pPr>
          </w:p>
        </w:tc>
        <w:tc>
          <w:tcPr>
            <w:tcW w:w="834" w:type="pct"/>
            <w:tcBorders>
              <w:top w:val="nil"/>
              <w:left w:val="single" w:sz="4" w:space="0" w:color="auto"/>
              <w:bottom w:val="single" w:sz="4" w:space="0" w:color="auto"/>
              <w:right w:val="single" w:sz="4" w:space="0" w:color="auto"/>
            </w:tcBorders>
          </w:tcPr>
          <w:p w14:paraId="3956895D" w14:textId="77777777" w:rsidR="003E2417" w:rsidRPr="006465F3" w:rsidRDefault="003E2417" w:rsidP="00001BBB">
            <w:pPr>
              <w:pStyle w:val="Tabletext0"/>
              <w:rPr>
                <w:snapToGrid w:val="0"/>
              </w:rPr>
            </w:pPr>
          </w:p>
        </w:tc>
        <w:tc>
          <w:tcPr>
            <w:tcW w:w="834" w:type="pct"/>
            <w:tcBorders>
              <w:left w:val="single" w:sz="4" w:space="0" w:color="auto"/>
            </w:tcBorders>
            <w:shd w:val="clear" w:color="auto" w:fill="auto"/>
            <w:vAlign w:val="center"/>
          </w:tcPr>
          <w:p w14:paraId="47E077EC" w14:textId="77777777" w:rsidR="003E2417" w:rsidRDefault="003E2417" w:rsidP="00001BBB">
            <w:pPr>
              <w:pStyle w:val="Tabletext0"/>
              <w:jc w:val="left"/>
            </w:pPr>
            <w:r>
              <w:t>Non-Jewish</w:t>
            </w:r>
          </w:p>
        </w:tc>
        <w:tc>
          <w:tcPr>
            <w:tcW w:w="833" w:type="pct"/>
            <w:shd w:val="clear" w:color="auto" w:fill="auto"/>
            <w:vAlign w:val="center"/>
          </w:tcPr>
          <w:p w14:paraId="096568FC" w14:textId="77777777" w:rsidR="003E2417" w:rsidRPr="006465F3" w:rsidRDefault="003E2417" w:rsidP="00001BBB">
            <w:pPr>
              <w:pStyle w:val="Tabletext0"/>
              <w:jc w:val="center"/>
              <w:rPr>
                <w:snapToGrid w:val="0"/>
              </w:rPr>
            </w:pPr>
            <w:r>
              <w:rPr>
                <w:snapToGrid w:val="0"/>
              </w:rPr>
              <w:t>7.4</w:t>
            </w:r>
          </w:p>
        </w:tc>
        <w:tc>
          <w:tcPr>
            <w:tcW w:w="834" w:type="pct"/>
            <w:shd w:val="clear" w:color="auto" w:fill="auto"/>
            <w:vAlign w:val="center"/>
          </w:tcPr>
          <w:p w14:paraId="127953A2" w14:textId="77777777" w:rsidR="003E2417" w:rsidRPr="006465F3" w:rsidRDefault="003E2417" w:rsidP="00001BBB">
            <w:pPr>
              <w:pStyle w:val="Tabletext0"/>
              <w:jc w:val="center"/>
              <w:rPr>
                <w:snapToGrid w:val="0"/>
              </w:rPr>
            </w:pPr>
            <w:r>
              <w:rPr>
                <w:snapToGrid w:val="0"/>
              </w:rPr>
              <w:t>10</w:t>
            </w:r>
          </w:p>
        </w:tc>
        <w:tc>
          <w:tcPr>
            <w:tcW w:w="834" w:type="pct"/>
            <w:tcBorders>
              <w:top w:val="single" w:sz="4" w:space="0" w:color="auto"/>
            </w:tcBorders>
            <w:vAlign w:val="center"/>
          </w:tcPr>
          <w:p w14:paraId="538A1749" w14:textId="77777777" w:rsidR="003E2417" w:rsidRPr="006465F3" w:rsidRDefault="003E2417" w:rsidP="00001BBB">
            <w:pPr>
              <w:pStyle w:val="Tabletext0"/>
              <w:jc w:val="center"/>
              <w:rPr>
                <w:snapToGrid w:val="0"/>
              </w:rPr>
            </w:pPr>
            <w:r>
              <w:rPr>
                <w:snapToGrid w:val="0"/>
              </w:rPr>
              <w:t>1.35 (0.65-2.49)</w:t>
            </w:r>
          </w:p>
        </w:tc>
      </w:tr>
    </w:tbl>
    <w:p w14:paraId="30B44E7B" w14:textId="77777777" w:rsidR="003E2417" w:rsidRDefault="003E2417" w:rsidP="00656956">
      <w:pPr>
        <w:pStyle w:val="Tablenotes"/>
        <w:spacing w:before="0"/>
      </w:pPr>
      <w:r>
        <w:t>CI=confidence interval; TSD=Tay-Sachs disease</w:t>
      </w:r>
    </w:p>
    <w:p w14:paraId="3C854727" w14:textId="7B028EC2" w:rsidR="007B0CF2" w:rsidRDefault="007B0CF2" w:rsidP="003D1E13">
      <w:pPr>
        <w:spacing w:before="240"/>
      </w:pPr>
      <w:r>
        <w:t xml:space="preserve">No comparative evidence for the </w:t>
      </w:r>
      <w:r w:rsidR="0082461B">
        <w:t>effectiveness</w:t>
      </w:r>
      <w:r>
        <w:t xml:space="preserve"> of targeted carrier testing for severe monogenic conditions compared with genetic carrier testing for CF, SMA and FXS or with no genetic testing was identified. </w:t>
      </w:r>
    </w:p>
    <w:p w14:paraId="213924C6" w14:textId="79259B3D" w:rsidR="00772829" w:rsidRPr="00223664" w:rsidRDefault="00772829" w:rsidP="00223664">
      <w:pPr>
        <w:tabs>
          <w:tab w:val="left" w:pos="720"/>
          <w:tab w:val="left" w:pos="1140"/>
        </w:tabs>
        <w:spacing w:before="240" w:after="120"/>
        <w:rPr>
          <w:b/>
          <w:bCs/>
        </w:rPr>
      </w:pPr>
      <w:r w:rsidRPr="00223664">
        <w:rPr>
          <w:b/>
          <w:bCs/>
        </w:rPr>
        <w:t>Clinical claim</w:t>
      </w:r>
    </w:p>
    <w:p w14:paraId="032BB2DC" w14:textId="57A9BC3E" w:rsidR="00FE5769" w:rsidRPr="00CE28E3" w:rsidRDefault="007B0CF2" w:rsidP="003D1E13">
      <w:r w:rsidRPr="00CE28E3">
        <w:t xml:space="preserve">The use of </w:t>
      </w:r>
      <w:r>
        <w:t>targeted carrier testing for severe monogenic conditions</w:t>
      </w:r>
      <w:r w:rsidR="00392C07">
        <w:t xml:space="preserve">, each with high risk for significant morbidity and or early mortality, </w:t>
      </w:r>
      <w:r>
        <w:t xml:space="preserve">in </w:t>
      </w:r>
      <w:r w:rsidR="00A80236">
        <w:t>a</w:t>
      </w:r>
      <w:r>
        <w:t xml:space="preserve"> population</w:t>
      </w:r>
      <w:r w:rsidRPr="00CE28E3">
        <w:t xml:space="preserve"> </w:t>
      </w:r>
      <w:r w:rsidR="00A80236">
        <w:t>with</w:t>
      </w:r>
      <w:r w:rsidR="00D12C4B">
        <w:t xml:space="preserve"> individuals at</w:t>
      </w:r>
      <w:r w:rsidR="00A80236">
        <w:t xml:space="preserve"> &gt;10% risk for </w:t>
      </w:r>
      <w:r w:rsidR="00D12C4B">
        <w:t xml:space="preserve">being </w:t>
      </w:r>
      <w:r w:rsidR="00D12C4B">
        <w:lastRenderedPageBreak/>
        <w:t xml:space="preserve">a carrier of one or more of </w:t>
      </w:r>
      <w:r w:rsidR="00A80236">
        <w:t xml:space="preserve">the </w:t>
      </w:r>
      <w:r w:rsidR="00D12C4B">
        <w:t xml:space="preserve">nominated </w:t>
      </w:r>
      <w:r w:rsidR="00A80236">
        <w:t xml:space="preserve">conditions </w:t>
      </w:r>
      <w:r w:rsidRPr="00CE28E3">
        <w:t xml:space="preserve">results in </w:t>
      </w:r>
      <w:r>
        <w:t>uncertain</w:t>
      </w:r>
      <w:r w:rsidRPr="00CE28E3">
        <w:t xml:space="preserve"> effectiveness compared with </w:t>
      </w:r>
      <w:r w:rsidRPr="00426C11">
        <w:t xml:space="preserve">genetic carrier testing for </w:t>
      </w:r>
      <w:r>
        <w:t>CF, SMA and FXS</w:t>
      </w:r>
      <w:r w:rsidR="00FE5769" w:rsidRPr="00FE5769">
        <w:t xml:space="preserve"> </w:t>
      </w:r>
      <w:r w:rsidR="00FE5769">
        <w:t>based on the paucity of evidence: no comparative evidence was identified. If considering naïve comparisons, it could be assumed that testing for additional conditions would identify additional carriers, resulting in superior effectiveness.</w:t>
      </w:r>
    </w:p>
    <w:p w14:paraId="7591C5B3" w14:textId="50BD95E5" w:rsidR="007B0CF2" w:rsidRPr="00CE28E3" w:rsidRDefault="007B0CF2" w:rsidP="003D1E13">
      <w:r w:rsidRPr="00CE28E3">
        <w:t xml:space="preserve">The use of </w:t>
      </w:r>
      <w:r>
        <w:t xml:space="preserve">targeted carrier testing for severe monogenic conditions in </w:t>
      </w:r>
      <w:r w:rsidR="00A80236">
        <w:t>the at-risk population</w:t>
      </w:r>
      <w:r>
        <w:t xml:space="preserve"> </w:t>
      </w:r>
      <w:r w:rsidRPr="00CE28E3">
        <w:t xml:space="preserve">results in </w:t>
      </w:r>
      <w:r w:rsidRPr="00FB50F6">
        <w:t>superior</w:t>
      </w:r>
      <w:r w:rsidRPr="00CE28E3">
        <w:t xml:space="preserve"> effectiveness compared with </w:t>
      </w:r>
      <w:r w:rsidRPr="00426C11">
        <w:t>no genetic carrier testing.</w:t>
      </w:r>
    </w:p>
    <w:p w14:paraId="3EF6D756" w14:textId="142C4DD5" w:rsidR="000D1997" w:rsidRPr="00CE28E3" w:rsidRDefault="007B0CF2" w:rsidP="003D1E13">
      <w:r w:rsidRPr="00CE28E3">
        <w:t xml:space="preserve">The use of </w:t>
      </w:r>
      <w:r>
        <w:t xml:space="preserve">targeted carrier testing for severe monogenic conditions in </w:t>
      </w:r>
      <w:r w:rsidR="005279F0">
        <w:t>the at-risk</w:t>
      </w:r>
      <w:r>
        <w:t xml:space="preserve"> population</w:t>
      </w:r>
      <w:r w:rsidRPr="00CE28E3">
        <w:t xml:space="preserve"> results in </w:t>
      </w:r>
      <w:r>
        <w:t>uncertain</w:t>
      </w:r>
      <w:r w:rsidRPr="00CE28E3">
        <w:t xml:space="preserve"> safety compared with </w:t>
      </w:r>
      <w:r w:rsidRPr="00426C11">
        <w:t xml:space="preserve">genetic carrier testing for </w:t>
      </w:r>
      <w:r>
        <w:t>CF, SMA and FXS</w:t>
      </w:r>
      <w:r w:rsidR="000D1997">
        <w:t xml:space="preserve"> based on the paucity of evidence: no comparative evidence was identified. There is, however, the risk of having an affected child following natural conception if not testing for genetic conditions.</w:t>
      </w:r>
    </w:p>
    <w:p w14:paraId="23F06A5B" w14:textId="14ACF677" w:rsidR="00683096" w:rsidRPr="003251C2" w:rsidRDefault="007B0CF2" w:rsidP="003D1E13">
      <w:r w:rsidRPr="00CE28E3">
        <w:t xml:space="preserve">The use of </w:t>
      </w:r>
      <w:r>
        <w:t xml:space="preserve">targeted carrier testing for severe monogenic conditions in </w:t>
      </w:r>
      <w:r w:rsidR="005279F0">
        <w:t>the at-risk</w:t>
      </w:r>
      <w:r>
        <w:t xml:space="preserve"> population</w:t>
      </w:r>
      <w:r w:rsidRPr="00CE28E3">
        <w:t xml:space="preserve"> results in </w:t>
      </w:r>
      <w:r>
        <w:t>inferior</w:t>
      </w:r>
      <w:r w:rsidRPr="00CE28E3">
        <w:t xml:space="preserve"> safety compared with </w:t>
      </w:r>
      <w:r w:rsidRPr="00426C11">
        <w:t>no genetic carrier testing.</w:t>
      </w:r>
      <w:r w:rsidR="00683096">
        <w:t xml:space="preserve"> There is, however, the background risk of having an affected child following natural conception if not testing for genetic conditions.</w:t>
      </w:r>
    </w:p>
    <w:p w14:paraId="770824A7" w14:textId="5642284F" w:rsidR="00FF7D57" w:rsidRPr="00CE28E3" w:rsidRDefault="00FF7D57" w:rsidP="00FF7D57">
      <w:pPr>
        <w:pStyle w:val="Heading2"/>
        <w:numPr>
          <w:ilvl w:val="0"/>
          <w:numId w:val="0"/>
        </w:numPr>
      </w:pPr>
      <w:bookmarkStart w:id="54" w:name="_Toc103096511"/>
      <w:r>
        <w:t>1</w:t>
      </w:r>
      <w:r w:rsidR="00E96E47">
        <w:t>3</w:t>
      </w:r>
      <w:r>
        <w:t>.</w:t>
      </w:r>
      <w:r>
        <w:tab/>
      </w:r>
      <w:r w:rsidRPr="00CE28E3">
        <w:t>Economic evaluation</w:t>
      </w:r>
      <w:bookmarkEnd w:id="54"/>
    </w:p>
    <w:p w14:paraId="0E731D1F" w14:textId="593C5481" w:rsidR="00FF7D57" w:rsidRDefault="00FF7D57" w:rsidP="00FF7D57">
      <w:pPr>
        <w:pStyle w:val="Instructionaltext"/>
        <w:rPr>
          <w:color w:val="auto"/>
        </w:rPr>
      </w:pPr>
      <w:r w:rsidRPr="00E3540B">
        <w:rPr>
          <w:color w:val="auto"/>
        </w:rPr>
        <w:t xml:space="preserve">A cost-effectiveness analysis (CEA) was conducted. The economic evaluation presents an incremental value of </w:t>
      </w:r>
      <w:r>
        <w:rPr>
          <w:color w:val="auto"/>
        </w:rPr>
        <w:t xml:space="preserve">genetic </w:t>
      </w:r>
      <w:r w:rsidRPr="00E3540B">
        <w:rPr>
          <w:color w:val="auto"/>
        </w:rPr>
        <w:t xml:space="preserve">carrier </w:t>
      </w:r>
      <w:r>
        <w:rPr>
          <w:color w:val="auto"/>
        </w:rPr>
        <w:t>testing</w:t>
      </w:r>
      <w:r w:rsidRPr="00E3540B">
        <w:rPr>
          <w:color w:val="auto"/>
        </w:rPr>
        <w:t xml:space="preserve"> for all </w:t>
      </w:r>
      <w:r w:rsidRPr="0C805C2D">
        <w:rPr>
          <w:color w:val="auto"/>
        </w:rPr>
        <w:t>9</w:t>
      </w:r>
      <w:r w:rsidRPr="00E3540B">
        <w:rPr>
          <w:color w:val="auto"/>
        </w:rPr>
        <w:t xml:space="preserve"> severe monogenic conditions compared to </w:t>
      </w:r>
      <w:r w:rsidR="004355BE">
        <w:rPr>
          <w:color w:val="auto"/>
        </w:rPr>
        <w:t>3 mon</w:t>
      </w:r>
      <w:r w:rsidR="00102833">
        <w:rPr>
          <w:color w:val="auto"/>
        </w:rPr>
        <w:t xml:space="preserve">ogenic </w:t>
      </w:r>
      <w:r w:rsidR="00DD5C8A">
        <w:rPr>
          <w:color w:val="auto"/>
        </w:rPr>
        <w:t xml:space="preserve">conditions </w:t>
      </w:r>
      <w:r w:rsidR="005A28E9">
        <w:rPr>
          <w:color w:val="auto"/>
        </w:rPr>
        <w:t>(</w:t>
      </w:r>
      <w:r w:rsidRPr="00E3540B">
        <w:rPr>
          <w:color w:val="auto"/>
        </w:rPr>
        <w:t>CF/SMA/FXS</w:t>
      </w:r>
      <w:r w:rsidR="005A28E9">
        <w:rPr>
          <w:color w:val="auto"/>
        </w:rPr>
        <w:t>)</w:t>
      </w:r>
      <w:r w:rsidRPr="00E3540B">
        <w:rPr>
          <w:color w:val="auto"/>
        </w:rPr>
        <w:t xml:space="preserve"> </w:t>
      </w:r>
      <w:r>
        <w:rPr>
          <w:color w:val="auto"/>
        </w:rPr>
        <w:t xml:space="preserve">genetic </w:t>
      </w:r>
      <w:r w:rsidRPr="00E3540B">
        <w:rPr>
          <w:color w:val="auto"/>
        </w:rPr>
        <w:t xml:space="preserve">carrier testing. </w:t>
      </w:r>
    </w:p>
    <w:p w14:paraId="7130EAE0" w14:textId="6497F07E" w:rsidR="00FF7D57" w:rsidRPr="00E3540B" w:rsidRDefault="00FF7D57" w:rsidP="00FF7D57">
      <w:pPr>
        <w:pStyle w:val="Instructionaltext"/>
        <w:rPr>
          <w:color w:val="auto"/>
        </w:rPr>
      </w:pPr>
      <w:r>
        <w:rPr>
          <w:color w:val="auto"/>
        </w:rPr>
        <w:t xml:space="preserve">A summary of key characteristics of the economic evaluation is provided in </w:t>
      </w:r>
      <w:r w:rsidR="003A0B9B" w:rsidRPr="006C2C3F">
        <w:rPr>
          <w:color w:val="auto"/>
        </w:rPr>
        <w:t>Table 1</w:t>
      </w:r>
      <w:r w:rsidR="007260EF">
        <w:rPr>
          <w:color w:val="auto"/>
        </w:rPr>
        <w:t>0</w:t>
      </w:r>
      <w:r>
        <w:rPr>
          <w:color w:val="auto"/>
        </w:rPr>
        <w:t>.</w:t>
      </w:r>
    </w:p>
    <w:p w14:paraId="7CAF918D" w14:textId="33F1EBEA" w:rsidR="00FF7D57" w:rsidRPr="00CE28E3" w:rsidRDefault="00FF7D57" w:rsidP="001F46A5">
      <w:pPr>
        <w:pStyle w:val="Caption"/>
        <w:tabs>
          <w:tab w:val="left" w:pos="851"/>
        </w:tabs>
        <w:ind w:left="1134" w:hanging="1134"/>
      </w:pPr>
      <w:bookmarkStart w:id="55" w:name="_Ref69725820"/>
      <w:bookmarkStart w:id="56" w:name="_Toc103096607"/>
      <w:r w:rsidRPr="00CE28E3">
        <w:lastRenderedPageBreak/>
        <w:t>Table</w:t>
      </w:r>
      <w:r>
        <w:t> </w:t>
      </w:r>
      <w:r w:rsidR="003A0B9B">
        <w:rPr>
          <w:noProof/>
        </w:rPr>
        <w:t>1</w:t>
      </w:r>
      <w:r w:rsidR="007260EF">
        <w:rPr>
          <w:noProof/>
        </w:rPr>
        <w:t>0</w:t>
      </w:r>
      <w:bookmarkEnd w:id="55"/>
      <w:r w:rsidRPr="00CE28E3">
        <w:tab/>
        <w:t>Summary of the economic evaluation</w:t>
      </w:r>
      <w:bookmarkEnd w:id="56"/>
      <w:r w:rsidRPr="00CE28E3">
        <w:t xml:space="preserve"> </w:t>
      </w:r>
    </w:p>
    <w:tbl>
      <w:tblPr>
        <w:tblStyle w:val="TableGrid1"/>
        <w:tblW w:w="9067" w:type="dxa"/>
        <w:tblLook w:val="04A0" w:firstRow="1" w:lastRow="0" w:firstColumn="1" w:lastColumn="0" w:noHBand="0" w:noVBand="1"/>
      </w:tblPr>
      <w:tblGrid>
        <w:gridCol w:w="1950"/>
        <w:gridCol w:w="7117"/>
      </w:tblGrid>
      <w:tr w:rsidR="00911C3B" w:rsidRPr="00CE28E3" w14:paraId="67DEE953" w14:textId="77777777" w:rsidTr="00B72510">
        <w:trPr>
          <w:cnfStyle w:val="100000000000" w:firstRow="1" w:lastRow="0" w:firstColumn="0" w:lastColumn="0" w:oddVBand="0" w:evenVBand="0" w:oddHBand="0" w:evenHBand="0" w:firstRowFirstColumn="0" w:firstRowLastColumn="0" w:lastRowFirstColumn="0" w:lastRowLastColumn="0"/>
          <w:tblHeader/>
        </w:trPr>
        <w:tc>
          <w:tcPr>
            <w:tcW w:w="1950" w:type="dxa"/>
          </w:tcPr>
          <w:p w14:paraId="766FC9ED" w14:textId="77777777" w:rsidR="00911C3B" w:rsidRPr="000449D1" w:rsidRDefault="00911C3B" w:rsidP="00001BBB">
            <w:pPr>
              <w:pStyle w:val="TableHeading"/>
            </w:pPr>
            <w:bookmarkStart w:id="57" w:name="Title_Table5"/>
            <w:bookmarkStart w:id="58" w:name="_Hlk68276446"/>
            <w:bookmarkEnd w:id="57"/>
            <w:r w:rsidRPr="000449D1">
              <w:rPr>
                <w:rFonts w:cs="Courier New"/>
              </w:rPr>
              <w:t>Component</w:t>
            </w:r>
          </w:p>
        </w:tc>
        <w:tc>
          <w:tcPr>
            <w:tcW w:w="7117" w:type="dxa"/>
          </w:tcPr>
          <w:p w14:paraId="39A2851B" w14:textId="77777777" w:rsidR="00911C3B" w:rsidRPr="000449D1" w:rsidRDefault="00911C3B" w:rsidP="00001BBB">
            <w:pPr>
              <w:pStyle w:val="TableHeading"/>
            </w:pPr>
            <w:r w:rsidRPr="000449D1">
              <w:rPr>
                <w:rFonts w:cs="Courier New"/>
              </w:rPr>
              <w:t>Description</w:t>
            </w:r>
          </w:p>
        </w:tc>
      </w:tr>
      <w:tr w:rsidR="00911C3B" w:rsidRPr="000449D1" w14:paraId="691E3B05" w14:textId="77777777" w:rsidTr="00B72510">
        <w:tc>
          <w:tcPr>
            <w:tcW w:w="1950" w:type="dxa"/>
          </w:tcPr>
          <w:p w14:paraId="6DA9F0A3" w14:textId="77777777" w:rsidR="00911C3B" w:rsidRPr="000449D1" w:rsidRDefault="00911C3B" w:rsidP="00001BBB">
            <w:pPr>
              <w:pStyle w:val="TableText"/>
              <w:keepNext/>
            </w:pPr>
            <w:r w:rsidRPr="000449D1">
              <w:rPr>
                <w:rFonts w:cs="Courier New"/>
              </w:rPr>
              <w:t>Perspective</w:t>
            </w:r>
          </w:p>
        </w:tc>
        <w:tc>
          <w:tcPr>
            <w:tcW w:w="7117" w:type="dxa"/>
          </w:tcPr>
          <w:p w14:paraId="2B81951A" w14:textId="77777777" w:rsidR="00911C3B" w:rsidRPr="000449D1" w:rsidRDefault="00911C3B" w:rsidP="00001BBB">
            <w:pPr>
              <w:pStyle w:val="TableText"/>
              <w:keepNext/>
            </w:pPr>
            <w:r w:rsidRPr="000449D1">
              <w:rPr>
                <w:rFonts w:cs="Courier New"/>
              </w:rPr>
              <w:t>Health care system perspective</w:t>
            </w:r>
          </w:p>
        </w:tc>
      </w:tr>
      <w:tr w:rsidR="00911C3B" w:rsidRPr="000449D1" w14:paraId="327DD50B" w14:textId="77777777" w:rsidTr="00B72510">
        <w:trPr>
          <w:tblHeader/>
        </w:trPr>
        <w:tc>
          <w:tcPr>
            <w:tcW w:w="1950" w:type="dxa"/>
          </w:tcPr>
          <w:p w14:paraId="47CB202F" w14:textId="77777777" w:rsidR="00911C3B" w:rsidRPr="000449D1" w:rsidRDefault="00911C3B" w:rsidP="00001BBB">
            <w:pPr>
              <w:pStyle w:val="TableText"/>
              <w:keepNext/>
            </w:pPr>
            <w:r w:rsidRPr="000449D1">
              <w:rPr>
                <w:rFonts w:cs="Courier New"/>
              </w:rPr>
              <w:t>Population</w:t>
            </w:r>
          </w:p>
        </w:tc>
        <w:tc>
          <w:tcPr>
            <w:tcW w:w="7117" w:type="dxa"/>
          </w:tcPr>
          <w:p w14:paraId="569E7E18" w14:textId="318BA3BD" w:rsidR="00911C3B" w:rsidRPr="002D72FA" w:rsidRDefault="00911C3B" w:rsidP="00001BBB">
            <w:pPr>
              <w:autoSpaceDE w:val="0"/>
              <w:autoSpaceDN w:val="0"/>
              <w:adjustRightInd w:val="0"/>
              <w:spacing w:line="23" w:lineRule="atLeast"/>
              <w:rPr>
                <w:rFonts w:ascii="Arial Narrow" w:hAnsi="Arial Narrow"/>
              </w:rPr>
            </w:pPr>
            <w:r w:rsidRPr="002D72FA">
              <w:rPr>
                <w:rFonts w:ascii="Arial Narrow" w:hAnsi="Arial Narrow"/>
              </w:rPr>
              <w:t xml:space="preserve">This application proposes testing in the </w:t>
            </w:r>
            <w:proofErr w:type="gramStart"/>
            <w:r>
              <w:rPr>
                <w:rFonts w:ascii="Arial Narrow" w:hAnsi="Arial Narrow"/>
              </w:rPr>
              <w:t>at risk</w:t>
            </w:r>
            <w:proofErr w:type="gramEnd"/>
            <w:r w:rsidRPr="002D72FA">
              <w:rPr>
                <w:rFonts w:ascii="Arial Narrow" w:hAnsi="Arial Narrow"/>
              </w:rPr>
              <w:t xml:space="preserve"> population, as reflected in the below identified subpopulations.</w:t>
            </w:r>
          </w:p>
          <w:p w14:paraId="19584273" w14:textId="1B15A2F6" w:rsidR="00911C3B" w:rsidRPr="00380A0A" w:rsidRDefault="00911C3B" w:rsidP="00FF7D57">
            <w:pPr>
              <w:pStyle w:val="ListParagraph"/>
              <w:keepNext/>
              <w:widowControl w:val="0"/>
              <w:numPr>
                <w:ilvl w:val="0"/>
                <w:numId w:val="16"/>
              </w:numPr>
              <w:autoSpaceDE w:val="0"/>
              <w:autoSpaceDN w:val="0"/>
              <w:adjustRightInd w:val="0"/>
              <w:spacing w:before="0" w:after="200" w:line="23" w:lineRule="atLeast"/>
              <w:rPr>
                <w:rFonts w:ascii="Arial Narrow" w:hAnsi="Arial Narrow" w:cs="Courier New"/>
              </w:rPr>
            </w:pPr>
            <w:r w:rsidRPr="00380A0A">
              <w:rPr>
                <w:rFonts w:ascii="Arial Narrow" w:hAnsi="Arial Narrow" w:cs="Courier New"/>
              </w:rPr>
              <w:t xml:space="preserve">Asymptomatic individuals with a &gt;10% a priori aggregate personal risk of being a heterozygous genetic carrier of a variant in </w:t>
            </w:r>
            <w:r>
              <w:rPr>
                <w:rFonts w:ascii="Arial Narrow" w:hAnsi="Arial Narrow" w:cs="Courier New"/>
              </w:rPr>
              <w:t xml:space="preserve">any of </w:t>
            </w:r>
            <w:r w:rsidRPr="00380A0A">
              <w:rPr>
                <w:rFonts w:ascii="Arial Narrow" w:hAnsi="Arial Narrow" w:cs="Courier New"/>
              </w:rPr>
              <w:t xml:space="preserve">the following autosomal recessive and X-linked genes: </w:t>
            </w:r>
            <w:r w:rsidRPr="00B357D5">
              <w:rPr>
                <w:rFonts w:ascii="Arial Narrow" w:hAnsi="Arial Narrow" w:cs="Courier New"/>
                <w:i/>
                <w:iCs/>
              </w:rPr>
              <w:t xml:space="preserve">HEXA, ASPA, ELP1, MCOLN1, G6PC1, SLC37A4, FANCA, FANCC, FANCG, </w:t>
            </w:r>
            <w:r w:rsidR="00161D54" w:rsidRPr="00B357D5">
              <w:rPr>
                <w:rFonts w:ascii="Arial Narrow" w:hAnsi="Arial Narrow" w:cs="Courier New"/>
                <w:i/>
                <w:iCs/>
              </w:rPr>
              <w:t>GBA1</w:t>
            </w:r>
            <w:r w:rsidRPr="00B357D5">
              <w:rPr>
                <w:rFonts w:ascii="Arial Narrow" w:hAnsi="Arial Narrow" w:cs="Courier New"/>
                <w:i/>
                <w:iCs/>
              </w:rPr>
              <w:t>, SMPD1, BLM</w:t>
            </w:r>
          </w:p>
          <w:p w14:paraId="69FA068C" w14:textId="77777777" w:rsidR="00911C3B" w:rsidRPr="00380A0A" w:rsidRDefault="00911C3B" w:rsidP="00FF7D57">
            <w:pPr>
              <w:pStyle w:val="ListParagraph"/>
              <w:keepNext/>
              <w:widowControl w:val="0"/>
              <w:numPr>
                <w:ilvl w:val="0"/>
                <w:numId w:val="16"/>
              </w:numPr>
              <w:autoSpaceDE w:val="0"/>
              <w:autoSpaceDN w:val="0"/>
              <w:adjustRightInd w:val="0"/>
              <w:spacing w:before="0" w:after="200" w:line="23" w:lineRule="atLeast"/>
              <w:rPr>
                <w:rFonts w:ascii="Arial Narrow" w:hAnsi="Arial Narrow" w:cs="Courier New"/>
              </w:rPr>
            </w:pPr>
            <w:r w:rsidRPr="00380A0A">
              <w:rPr>
                <w:rFonts w:ascii="Arial Narrow" w:hAnsi="Arial Narrow" w:cs="Courier New"/>
              </w:rPr>
              <w:t>Reproductive partners of individuals described in population 1, where either partner is in the first trimester of pregnancy.</w:t>
            </w:r>
          </w:p>
          <w:p w14:paraId="37DA21B8" w14:textId="77777777" w:rsidR="00911C3B" w:rsidRPr="00380A0A" w:rsidRDefault="00911C3B" w:rsidP="00FF7D57">
            <w:pPr>
              <w:pStyle w:val="ListParagraph"/>
              <w:keepNext/>
              <w:widowControl w:val="0"/>
              <w:numPr>
                <w:ilvl w:val="0"/>
                <w:numId w:val="16"/>
              </w:numPr>
              <w:autoSpaceDE w:val="0"/>
              <w:autoSpaceDN w:val="0"/>
              <w:adjustRightInd w:val="0"/>
              <w:spacing w:before="0" w:after="200" w:line="23" w:lineRule="atLeast"/>
              <w:rPr>
                <w:rFonts w:ascii="Arial Narrow" w:hAnsi="Arial Narrow" w:cs="Courier New"/>
              </w:rPr>
            </w:pPr>
            <w:r w:rsidRPr="00380A0A">
              <w:rPr>
                <w:rFonts w:ascii="Arial Narrow" w:hAnsi="Arial Narrow" w:cs="Courier New"/>
              </w:rPr>
              <w:t>Reproductive partners of individuals described in population 1, where carrier status of an autosomal recessive condition associated with pathogenic or likely pathogenic variants of the genes described in (1) has been confirmed</w:t>
            </w:r>
          </w:p>
          <w:p w14:paraId="464C6929" w14:textId="2E32D545" w:rsidR="00911C3B" w:rsidRPr="000449D1" w:rsidRDefault="00911C3B" w:rsidP="00B72510">
            <w:pPr>
              <w:pStyle w:val="TableText"/>
              <w:keepNext/>
              <w:numPr>
                <w:ilvl w:val="0"/>
                <w:numId w:val="16"/>
              </w:numPr>
            </w:pPr>
            <w:r w:rsidRPr="00380A0A">
              <w:rPr>
                <w:rFonts w:cs="Courier New"/>
              </w:rPr>
              <w:t>First trimester diagnostic testing of the potentially affected singleton foetus in a couple identified from any of (1), (2) and (3) as both being carriers of an autosomal condition, or one partner is a carrier of an X-linked condition, associated with pathogenic or likely pathogenic variants of the genes described in (1).</w:t>
            </w:r>
          </w:p>
        </w:tc>
      </w:tr>
      <w:tr w:rsidR="00911C3B" w:rsidRPr="000449D1" w14:paraId="2419E9A9" w14:textId="77777777" w:rsidTr="00B72510">
        <w:tc>
          <w:tcPr>
            <w:tcW w:w="1950" w:type="dxa"/>
          </w:tcPr>
          <w:p w14:paraId="2062D2C0" w14:textId="77777777" w:rsidR="00911C3B" w:rsidRPr="000449D1" w:rsidRDefault="00911C3B" w:rsidP="00001BBB">
            <w:pPr>
              <w:pStyle w:val="TableText"/>
              <w:keepNext/>
            </w:pPr>
            <w:r w:rsidRPr="000449D1">
              <w:rPr>
                <w:rFonts w:cs="Courier New"/>
              </w:rPr>
              <w:t>Prior testing</w:t>
            </w:r>
          </w:p>
        </w:tc>
        <w:tc>
          <w:tcPr>
            <w:tcW w:w="7117" w:type="dxa"/>
          </w:tcPr>
          <w:p w14:paraId="0A3BDBBB" w14:textId="77777777" w:rsidR="00911C3B" w:rsidRPr="000449D1" w:rsidRDefault="00911C3B" w:rsidP="00001BBB">
            <w:pPr>
              <w:pStyle w:val="TableText"/>
              <w:keepNext/>
            </w:pPr>
            <w:r w:rsidRPr="00D8346F">
              <w:t>No prior tests as all populations for testing are asymptomatic</w:t>
            </w:r>
          </w:p>
        </w:tc>
      </w:tr>
      <w:tr w:rsidR="00911C3B" w:rsidRPr="000449D1" w14:paraId="6A1ED8E3" w14:textId="77777777" w:rsidTr="00B72510">
        <w:tc>
          <w:tcPr>
            <w:tcW w:w="1950" w:type="dxa"/>
          </w:tcPr>
          <w:p w14:paraId="1125CE0A" w14:textId="77777777" w:rsidR="00911C3B" w:rsidRPr="000449D1" w:rsidRDefault="00911C3B" w:rsidP="00001BBB">
            <w:pPr>
              <w:pStyle w:val="TableText"/>
              <w:keepNext/>
            </w:pPr>
            <w:r w:rsidRPr="000449D1">
              <w:rPr>
                <w:rFonts w:cs="Courier New"/>
              </w:rPr>
              <w:t>Comparator</w:t>
            </w:r>
          </w:p>
        </w:tc>
        <w:tc>
          <w:tcPr>
            <w:tcW w:w="7117" w:type="dxa"/>
          </w:tcPr>
          <w:p w14:paraId="725E20B5" w14:textId="798CF1C3" w:rsidR="00911C3B" w:rsidRDefault="00911C3B" w:rsidP="00001BBB">
            <w:pPr>
              <w:pStyle w:val="TableText"/>
              <w:keepNext/>
              <w:rPr>
                <w:rFonts w:cs="Courier New"/>
              </w:rPr>
            </w:pPr>
            <w:r>
              <w:rPr>
                <w:rFonts w:cs="Courier New"/>
              </w:rPr>
              <w:t xml:space="preserve">Comparator one: genetic carrier testing for CF/SMA/FXS </w:t>
            </w:r>
          </w:p>
          <w:p w14:paraId="2019C01C" w14:textId="0BC5C7DD" w:rsidR="00911C3B" w:rsidRPr="000449D1" w:rsidRDefault="00911C3B" w:rsidP="00001BBB">
            <w:pPr>
              <w:pStyle w:val="TableText"/>
              <w:keepNext/>
            </w:pPr>
            <w:r>
              <w:rPr>
                <w:rFonts w:cs="Courier New"/>
              </w:rPr>
              <w:t>Comparator two: no genetic carrier testing</w:t>
            </w:r>
          </w:p>
        </w:tc>
      </w:tr>
      <w:tr w:rsidR="00911C3B" w:rsidRPr="000449D1" w14:paraId="6F269A62" w14:textId="77777777" w:rsidTr="00B72510">
        <w:tc>
          <w:tcPr>
            <w:tcW w:w="1950" w:type="dxa"/>
          </w:tcPr>
          <w:p w14:paraId="3C736DAF" w14:textId="77777777" w:rsidR="00911C3B" w:rsidRPr="000449D1" w:rsidRDefault="00911C3B" w:rsidP="00001BBB">
            <w:pPr>
              <w:pStyle w:val="TableText"/>
              <w:keepNext/>
            </w:pPr>
            <w:r w:rsidRPr="000449D1">
              <w:rPr>
                <w:rFonts w:cs="Courier New"/>
              </w:rPr>
              <w:t>Type(s) of analysis</w:t>
            </w:r>
          </w:p>
        </w:tc>
        <w:tc>
          <w:tcPr>
            <w:tcW w:w="7117" w:type="dxa"/>
          </w:tcPr>
          <w:p w14:paraId="334397A9" w14:textId="77777777" w:rsidR="00911C3B" w:rsidRPr="000449D1" w:rsidRDefault="00911C3B" w:rsidP="00001BBB">
            <w:pPr>
              <w:pStyle w:val="TableText"/>
              <w:keepNext/>
            </w:pPr>
            <w:r>
              <w:rPr>
                <w:rFonts w:cs="Courier New"/>
              </w:rPr>
              <w:t>Cost-effectiveness analysis</w:t>
            </w:r>
          </w:p>
        </w:tc>
      </w:tr>
      <w:tr w:rsidR="00911C3B" w:rsidRPr="000449D1" w14:paraId="75697DB3" w14:textId="77777777" w:rsidTr="00B72510">
        <w:tc>
          <w:tcPr>
            <w:tcW w:w="1950" w:type="dxa"/>
          </w:tcPr>
          <w:p w14:paraId="36FDA181" w14:textId="77777777" w:rsidR="00911C3B" w:rsidRPr="000449D1" w:rsidRDefault="00911C3B" w:rsidP="00001BBB">
            <w:pPr>
              <w:pStyle w:val="TableText"/>
              <w:keepNext/>
            </w:pPr>
            <w:r w:rsidRPr="000449D1">
              <w:rPr>
                <w:rFonts w:cs="Courier New"/>
              </w:rPr>
              <w:t>Outcomes</w:t>
            </w:r>
          </w:p>
        </w:tc>
        <w:tc>
          <w:tcPr>
            <w:tcW w:w="7117" w:type="dxa"/>
          </w:tcPr>
          <w:p w14:paraId="3B29AE1A" w14:textId="5515660C" w:rsidR="00911C3B" w:rsidRPr="000449D1" w:rsidRDefault="00911C3B" w:rsidP="00001BBB">
            <w:pPr>
              <w:pStyle w:val="TableText"/>
              <w:keepNext/>
            </w:pPr>
            <w:r>
              <w:rPr>
                <w:rFonts w:cs="Courier New"/>
              </w:rPr>
              <w:t>Primary outcome for all scenarios is the cost per affected birth for all severe monogenic and X-linked conditions (including lifetime costs). Secondary outcomes include</w:t>
            </w:r>
            <w:r w:rsidRPr="00AD68EA">
              <w:rPr>
                <w:rFonts w:cs="Courier New"/>
              </w:rPr>
              <w:t xml:space="preserve"> cost per informed reproductive decision, cost per additional I</w:t>
            </w:r>
            <w:r>
              <w:rPr>
                <w:rFonts w:cs="Courier New"/>
              </w:rPr>
              <w:t>V</w:t>
            </w:r>
            <w:r w:rsidRPr="00AD68EA">
              <w:rPr>
                <w:rFonts w:cs="Courier New"/>
              </w:rPr>
              <w:t>F &amp; preimplantation genetic diagnosis event, number of terminations, cost per termination</w:t>
            </w:r>
            <w:r>
              <w:rPr>
                <w:rFonts w:cs="Courier New"/>
              </w:rPr>
              <w:t xml:space="preserve"> etc.</w:t>
            </w:r>
          </w:p>
        </w:tc>
      </w:tr>
      <w:tr w:rsidR="00911C3B" w:rsidRPr="000449D1" w14:paraId="5585F1A3" w14:textId="77777777" w:rsidTr="00B72510">
        <w:tc>
          <w:tcPr>
            <w:tcW w:w="1950" w:type="dxa"/>
          </w:tcPr>
          <w:p w14:paraId="6B083C9A" w14:textId="77777777" w:rsidR="00911C3B" w:rsidRPr="000449D1" w:rsidRDefault="00911C3B" w:rsidP="00001BBB">
            <w:pPr>
              <w:pStyle w:val="TableText"/>
              <w:keepNext/>
            </w:pPr>
            <w:r w:rsidRPr="000449D1">
              <w:rPr>
                <w:rFonts w:cs="Courier New"/>
              </w:rPr>
              <w:t>Time horizon</w:t>
            </w:r>
          </w:p>
        </w:tc>
        <w:tc>
          <w:tcPr>
            <w:tcW w:w="7117" w:type="dxa"/>
          </w:tcPr>
          <w:p w14:paraId="3609D476" w14:textId="77777777" w:rsidR="00911C3B" w:rsidRPr="000449D1" w:rsidRDefault="00911C3B" w:rsidP="00001BBB">
            <w:pPr>
              <w:pStyle w:val="TableText"/>
              <w:keepNext/>
            </w:pPr>
            <w:r>
              <w:rPr>
                <w:rFonts w:cs="Courier New"/>
              </w:rPr>
              <w:t>Lifetime</w:t>
            </w:r>
          </w:p>
        </w:tc>
      </w:tr>
      <w:tr w:rsidR="00911C3B" w:rsidRPr="000449D1" w14:paraId="7C67F6C4" w14:textId="77777777" w:rsidTr="00B72510">
        <w:tc>
          <w:tcPr>
            <w:tcW w:w="1950" w:type="dxa"/>
          </w:tcPr>
          <w:p w14:paraId="0E93D69B" w14:textId="77777777" w:rsidR="00911C3B" w:rsidRPr="000449D1" w:rsidRDefault="00911C3B" w:rsidP="00001BBB">
            <w:pPr>
              <w:pStyle w:val="TableText"/>
              <w:keepNext/>
            </w:pPr>
            <w:r w:rsidRPr="000449D1">
              <w:rPr>
                <w:rFonts w:cs="Courier New"/>
              </w:rPr>
              <w:t>Computational method</w:t>
            </w:r>
          </w:p>
        </w:tc>
        <w:tc>
          <w:tcPr>
            <w:tcW w:w="7117" w:type="dxa"/>
          </w:tcPr>
          <w:p w14:paraId="589CAA5C" w14:textId="77777777" w:rsidR="00911C3B" w:rsidRPr="000449D1" w:rsidRDefault="00911C3B" w:rsidP="00001BBB">
            <w:pPr>
              <w:pStyle w:val="TableText"/>
              <w:keepNext/>
            </w:pPr>
            <w:r>
              <w:rPr>
                <w:rFonts w:cs="Courier New"/>
              </w:rPr>
              <w:t>Decision tree analysis</w:t>
            </w:r>
          </w:p>
        </w:tc>
      </w:tr>
      <w:tr w:rsidR="00911C3B" w:rsidRPr="000449D1" w14:paraId="55DC45D4" w14:textId="77777777" w:rsidTr="00B72510">
        <w:tc>
          <w:tcPr>
            <w:tcW w:w="1950" w:type="dxa"/>
          </w:tcPr>
          <w:p w14:paraId="3B72AAAD" w14:textId="77777777" w:rsidR="00911C3B" w:rsidRPr="000449D1" w:rsidRDefault="00911C3B" w:rsidP="00001BBB">
            <w:pPr>
              <w:pStyle w:val="TableText"/>
              <w:keepNext/>
            </w:pPr>
            <w:r w:rsidRPr="000449D1">
              <w:rPr>
                <w:rFonts w:cs="Courier New"/>
              </w:rPr>
              <w:t>Generation of the base case</w:t>
            </w:r>
          </w:p>
        </w:tc>
        <w:tc>
          <w:tcPr>
            <w:tcW w:w="7117" w:type="dxa"/>
          </w:tcPr>
          <w:p w14:paraId="390A70DC" w14:textId="77777777" w:rsidR="00911C3B" w:rsidRPr="000449D1" w:rsidRDefault="00911C3B" w:rsidP="00001BBB">
            <w:pPr>
              <w:pStyle w:val="TableText"/>
              <w:keepNext/>
            </w:pPr>
            <w:r w:rsidRPr="00AD68EA">
              <w:rPr>
                <w:rFonts w:cs="Courier New"/>
              </w:rPr>
              <w:t>Modelled evaluation</w:t>
            </w:r>
          </w:p>
        </w:tc>
      </w:tr>
      <w:tr w:rsidR="00911C3B" w:rsidRPr="000449D1" w14:paraId="2C959030" w14:textId="77777777" w:rsidTr="00B72510">
        <w:tc>
          <w:tcPr>
            <w:tcW w:w="1950" w:type="dxa"/>
          </w:tcPr>
          <w:p w14:paraId="7E6FC68E" w14:textId="77777777" w:rsidR="00911C3B" w:rsidRPr="000449D1" w:rsidRDefault="00911C3B" w:rsidP="00001BBB">
            <w:pPr>
              <w:pStyle w:val="TableText"/>
              <w:keepNext/>
            </w:pPr>
            <w:r w:rsidRPr="000449D1">
              <w:rPr>
                <w:rFonts w:cs="Courier New"/>
              </w:rPr>
              <w:t>Health states</w:t>
            </w:r>
          </w:p>
        </w:tc>
        <w:tc>
          <w:tcPr>
            <w:tcW w:w="7117" w:type="dxa"/>
          </w:tcPr>
          <w:p w14:paraId="21212F0C" w14:textId="77777777" w:rsidR="00911C3B" w:rsidRPr="000449D1" w:rsidRDefault="00911C3B" w:rsidP="00001BBB">
            <w:pPr>
              <w:pStyle w:val="TableText"/>
              <w:keepNext/>
            </w:pPr>
            <w:r w:rsidRPr="00AD68EA">
              <w:rPr>
                <w:rFonts w:cs="Courier New"/>
              </w:rPr>
              <w:t>N/A</w:t>
            </w:r>
          </w:p>
        </w:tc>
      </w:tr>
      <w:tr w:rsidR="00911C3B" w:rsidRPr="000449D1" w14:paraId="50D22971" w14:textId="77777777" w:rsidTr="00B72510">
        <w:tc>
          <w:tcPr>
            <w:tcW w:w="1950" w:type="dxa"/>
          </w:tcPr>
          <w:p w14:paraId="00C95031" w14:textId="77777777" w:rsidR="00911C3B" w:rsidRPr="000449D1" w:rsidRDefault="00911C3B" w:rsidP="00001BBB">
            <w:pPr>
              <w:pStyle w:val="TableText"/>
              <w:keepNext/>
            </w:pPr>
            <w:r w:rsidRPr="000449D1">
              <w:rPr>
                <w:rFonts w:cs="Courier New"/>
              </w:rPr>
              <w:t>Cycle length</w:t>
            </w:r>
          </w:p>
        </w:tc>
        <w:tc>
          <w:tcPr>
            <w:tcW w:w="7117" w:type="dxa"/>
          </w:tcPr>
          <w:p w14:paraId="4616179B" w14:textId="77777777" w:rsidR="00911C3B" w:rsidRPr="000449D1" w:rsidRDefault="00911C3B" w:rsidP="00001BBB">
            <w:pPr>
              <w:pStyle w:val="TableText"/>
              <w:keepNext/>
            </w:pPr>
            <w:r>
              <w:rPr>
                <w:rFonts w:cs="Courier New"/>
              </w:rPr>
              <w:t>N/A</w:t>
            </w:r>
          </w:p>
        </w:tc>
      </w:tr>
      <w:tr w:rsidR="00911C3B" w:rsidRPr="000449D1" w14:paraId="21305212" w14:textId="77777777" w:rsidTr="00B72510">
        <w:tc>
          <w:tcPr>
            <w:tcW w:w="1950" w:type="dxa"/>
          </w:tcPr>
          <w:p w14:paraId="298CAE44" w14:textId="77777777" w:rsidR="00911C3B" w:rsidRPr="000449D1" w:rsidRDefault="00911C3B" w:rsidP="00001BBB">
            <w:pPr>
              <w:pStyle w:val="TableText"/>
              <w:keepNext/>
            </w:pPr>
            <w:r w:rsidRPr="000449D1">
              <w:rPr>
                <w:rFonts w:cs="Courier New"/>
              </w:rPr>
              <w:t>Transition probabilities</w:t>
            </w:r>
          </w:p>
        </w:tc>
        <w:tc>
          <w:tcPr>
            <w:tcW w:w="7117" w:type="dxa"/>
          </w:tcPr>
          <w:p w14:paraId="150634DB" w14:textId="7E9B120E" w:rsidR="00911C3B" w:rsidRPr="000449D1" w:rsidRDefault="00911C3B" w:rsidP="00001BBB">
            <w:pPr>
              <w:pStyle w:val="TableText"/>
              <w:keepNext/>
            </w:pPr>
            <w:r w:rsidRPr="00AD68EA">
              <w:rPr>
                <w:rFonts w:cs="Courier New"/>
              </w:rPr>
              <w:t>Sources outlined</w:t>
            </w:r>
            <w:r>
              <w:rPr>
                <w:rFonts w:cs="Courier New"/>
              </w:rPr>
              <w:t>.</w:t>
            </w:r>
          </w:p>
        </w:tc>
      </w:tr>
      <w:tr w:rsidR="00911C3B" w:rsidRPr="000449D1" w14:paraId="19722DBA" w14:textId="77777777" w:rsidTr="00B72510">
        <w:tc>
          <w:tcPr>
            <w:tcW w:w="1950" w:type="dxa"/>
          </w:tcPr>
          <w:p w14:paraId="55C936AF" w14:textId="77777777" w:rsidR="00911C3B" w:rsidRPr="000449D1" w:rsidRDefault="00911C3B" w:rsidP="00001BBB">
            <w:pPr>
              <w:pStyle w:val="TableText"/>
              <w:keepNext/>
            </w:pPr>
            <w:r w:rsidRPr="000449D1">
              <w:rPr>
                <w:rFonts w:cs="Courier New"/>
              </w:rPr>
              <w:t>Discount rate</w:t>
            </w:r>
          </w:p>
        </w:tc>
        <w:tc>
          <w:tcPr>
            <w:tcW w:w="7117" w:type="dxa"/>
          </w:tcPr>
          <w:p w14:paraId="2343AF9E" w14:textId="77777777" w:rsidR="00911C3B" w:rsidRPr="000449D1" w:rsidRDefault="00911C3B" w:rsidP="00001BBB">
            <w:pPr>
              <w:pStyle w:val="TableText"/>
              <w:keepNext/>
            </w:pPr>
            <w:r>
              <w:rPr>
                <w:rFonts w:cs="Courier New"/>
              </w:rPr>
              <w:t>N/A</w:t>
            </w:r>
          </w:p>
        </w:tc>
      </w:tr>
      <w:tr w:rsidR="00911C3B" w:rsidRPr="000449D1" w14:paraId="3B01C818" w14:textId="77777777" w:rsidTr="00B72510">
        <w:tc>
          <w:tcPr>
            <w:tcW w:w="1950" w:type="dxa"/>
          </w:tcPr>
          <w:p w14:paraId="4C50FDE1" w14:textId="77777777" w:rsidR="00911C3B" w:rsidRPr="000449D1" w:rsidRDefault="00911C3B" w:rsidP="00001BBB">
            <w:pPr>
              <w:pStyle w:val="TableText"/>
              <w:keepNext/>
            </w:pPr>
            <w:r w:rsidRPr="000449D1">
              <w:rPr>
                <w:rFonts w:cs="Courier New"/>
              </w:rPr>
              <w:t>Software</w:t>
            </w:r>
          </w:p>
        </w:tc>
        <w:tc>
          <w:tcPr>
            <w:tcW w:w="7117" w:type="dxa"/>
          </w:tcPr>
          <w:p w14:paraId="5A287B40" w14:textId="77777777" w:rsidR="00911C3B" w:rsidRPr="000449D1" w:rsidRDefault="00911C3B" w:rsidP="00001BBB">
            <w:pPr>
              <w:pStyle w:val="TableText"/>
              <w:keepNext/>
            </w:pPr>
            <w:r>
              <w:rPr>
                <w:rFonts w:cs="Courier New"/>
              </w:rPr>
              <w:t>Excel</w:t>
            </w:r>
          </w:p>
        </w:tc>
      </w:tr>
    </w:tbl>
    <w:bookmarkEnd w:id="58"/>
    <w:p w14:paraId="7F0A7A2D" w14:textId="24BBC0D8" w:rsidR="00FF7D57" w:rsidRDefault="004C0D94" w:rsidP="00E54F5C">
      <w:pPr>
        <w:pStyle w:val="Guidelinescross-ref"/>
        <w:rPr>
          <w:b w:val="0"/>
          <w:color w:val="auto"/>
          <w:sz w:val="22"/>
        </w:rPr>
      </w:pPr>
      <w:r>
        <w:rPr>
          <w:b w:val="0"/>
          <w:color w:val="auto"/>
          <w:sz w:val="22"/>
        </w:rPr>
        <w:t>Overall r</w:t>
      </w:r>
      <w:r w:rsidR="00FF7D57">
        <w:rPr>
          <w:b w:val="0"/>
          <w:color w:val="auto"/>
          <w:sz w:val="22"/>
        </w:rPr>
        <w:t xml:space="preserve">esults of the economic </w:t>
      </w:r>
      <w:r>
        <w:rPr>
          <w:b w:val="0"/>
          <w:color w:val="auto"/>
          <w:sz w:val="22"/>
        </w:rPr>
        <w:t>evaluation</w:t>
      </w:r>
      <w:r w:rsidR="00FF7D57">
        <w:rPr>
          <w:b w:val="0"/>
          <w:color w:val="auto"/>
          <w:sz w:val="22"/>
        </w:rPr>
        <w:t xml:space="preserve"> are detailed in </w:t>
      </w:r>
      <w:r w:rsidR="003A0B9B" w:rsidRPr="006C2C3F">
        <w:rPr>
          <w:b w:val="0"/>
          <w:color w:val="auto"/>
          <w:sz w:val="22"/>
        </w:rPr>
        <w:t>Table 1</w:t>
      </w:r>
      <w:r w:rsidR="007260EF">
        <w:rPr>
          <w:b w:val="0"/>
          <w:color w:val="auto"/>
          <w:sz w:val="22"/>
        </w:rPr>
        <w:t>1</w:t>
      </w:r>
      <w:r w:rsidR="00FF7D57">
        <w:rPr>
          <w:b w:val="0"/>
          <w:color w:val="auto"/>
          <w:sz w:val="22"/>
        </w:rPr>
        <w:t xml:space="preserve"> for </w:t>
      </w:r>
      <w:r w:rsidR="00CA2EEE">
        <w:rPr>
          <w:b w:val="0"/>
          <w:color w:val="auto"/>
          <w:sz w:val="22"/>
        </w:rPr>
        <w:t>carrier</w:t>
      </w:r>
      <w:r w:rsidR="00AD15FF">
        <w:rPr>
          <w:b w:val="0"/>
          <w:color w:val="auto"/>
          <w:sz w:val="22"/>
        </w:rPr>
        <w:t xml:space="preserve"> </w:t>
      </w:r>
      <w:r w:rsidR="00FF7D57">
        <w:rPr>
          <w:b w:val="0"/>
          <w:color w:val="auto"/>
          <w:sz w:val="22"/>
        </w:rPr>
        <w:t xml:space="preserve">testing compared </w:t>
      </w:r>
      <w:r w:rsidR="00DB701A">
        <w:rPr>
          <w:b w:val="0"/>
          <w:color w:val="auto"/>
          <w:sz w:val="22"/>
        </w:rPr>
        <w:t xml:space="preserve">with the </w:t>
      </w:r>
      <w:r w:rsidR="00777DAF">
        <w:rPr>
          <w:b w:val="0"/>
          <w:color w:val="auto"/>
          <w:sz w:val="22"/>
        </w:rPr>
        <w:t xml:space="preserve">testing for </w:t>
      </w:r>
      <w:r w:rsidR="00777DAF" w:rsidRPr="00183837">
        <w:rPr>
          <w:b w:val="0"/>
          <w:color w:val="auto"/>
          <w:sz w:val="22"/>
        </w:rPr>
        <w:t>SMA, CF, and FXS</w:t>
      </w:r>
      <w:r w:rsidR="00777DAF">
        <w:rPr>
          <w:b w:val="0"/>
          <w:color w:val="auto"/>
          <w:sz w:val="22"/>
        </w:rPr>
        <w:t xml:space="preserve"> only comparator </w:t>
      </w:r>
      <w:r>
        <w:rPr>
          <w:b w:val="0"/>
          <w:color w:val="auto"/>
          <w:sz w:val="22"/>
        </w:rPr>
        <w:t>for</w:t>
      </w:r>
      <w:r w:rsidR="00FF7D57">
        <w:rPr>
          <w:b w:val="0"/>
          <w:color w:val="auto"/>
          <w:sz w:val="22"/>
        </w:rPr>
        <w:t xml:space="preserve"> initial </w:t>
      </w:r>
      <w:r>
        <w:rPr>
          <w:b w:val="0"/>
          <w:color w:val="auto"/>
          <w:sz w:val="22"/>
        </w:rPr>
        <w:t xml:space="preserve">and subsequent </w:t>
      </w:r>
      <w:r w:rsidR="00FF7D57">
        <w:rPr>
          <w:b w:val="0"/>
          <w:color w:val="auto"/>
          <w:sz w:val="22"/>
        </w:rPr>
        <w:t xml:space="preserve">pregnancies. </w:t>
      </w:r>
    </w:p>
    <w:p w14:paraId="4FFE0217" w14:textId="51E1F383" w:rsidR="00FF7D57" w:rsidRDefault="00FF7D57" w:rsidP="001F46A5">
      <w:pPr>
        <w:pStyle w:val="Caption"/>
        <w:ind w:left="709" w:hanging="709"/>
      </w:pPr>
      <w:bookmarkStart w:id="59" w:name="_Ref98361394"/>
      <w:bookmarkStart w:id="60" w:name="_Toc103096608"/>
      <w:r>
        <w:lastRenderedPageBreak/>
        <w:t xml:space="preserve">Table </w:t>
      </w:r>
      <w:r w:rsidR="003A0B9B">
        <w:rPr>
          <w:noProof/>
        </w:rPr>
        <w:t>1</w:t>
      </w:r>
      <w:r w:rsidR="007260EF">
        <w:rPr>
          <w:noProof/>
        </w:rPr>
        <w:t>1</w:t>
      </w:r>
      <w:bookmarkEnd w:id="59"/>
      <w:r w:rsidR="008F6884">
        <w:tab/>
      </w:r>
      <w:r>
        <w:t>Results of the economic analysis (</w:t>
      </w:r>
      <w:r w:rsidR="00CA2EEE">
        <w:t>carrier</w:t>
      </w:r>
      <w:r w:rsidR="00911C3B">
        <w:t xml:space="preserve"> </w:t>
      </w:r>
      <w:r>
        <w:t>testing compared with</w:t>
      </w:r>
      <w:r w:rsidR="00777DAF">
        <w:t xml:space="preserve"> </w:t>
      </w:r>
      <w:r w:rsidR="00777DAF">
        <w:rPr>
          <w:rFonts w:cs="Calibri"/>
          <w:color w:val="000000"/>
        </w:rPr>
        <w:t>CF/SMA/FXS testing only</w:t>
      </w:r>
      <w:r>
        <w:t xml:space="preserve">, </w:t>
      </w:r>
      <w:proofErr w:type="gramStart"/>
      <w:r>
        <w:t>initial</w:t>
      </w:r>
      <w:proofErr w:type="gramEnd"/>
      <w:r>
        <w:t xml:space="preserve"> </w:t>
      </w:r>
      <w:r w:rsidR="008F2BA9">
        <w:t xml:space="preserve">and subsequent </w:t>
      </w:r>
      <w:r>
        <w:t>pregnancies)</w:t>
      </w:r>
      <w:bookmarkEnd w:id="60"/>
    </w:p>
    <w:tbl>
      <w:tblPr>
        <w:tblStyle w:val="TableGrid"/>
        <w:tblW w:w="8946" w:type="dxa"/>
        <w:tblLook w:val="04A0" w:firstRow="1" w:lastRow="0" w:firstColumn="1" w:lastColumn="0" w:noHBand="0" w:noVBand="1"/>
      </w:tblPr>
      <w:tblGrid>
        <w:gridCol w:w="1201"/>
        <w:gridCol w:w="1676"/>
        <w:gridCol w:w="1137"/>
        <w:gridCol w:w="1940"/>
        <w:gridCol w:w="1256"/>
        <w:gridCol w:w="1736"/>
      </w:tblGrid>
      <w:tr w:rsidR="0000179D" w14:paraId="1F10B2B3" w14:textId="77777777" w:rsidTr="00B72510">
        <w:trPr>
          <w:trHeight w:val="239"/>
        </w:trPr>
        <w:tc>
          <w:tcPr>
            <w:tcW w:w="1201" w:type="dxa"/>
            <w:tcBorders>
              <w:bottom w:val="single" w:sz="4" w:space="0" w:color="auto"/>
            </w:tcBorders>
          </w:tcPr>
          <w:p w14:paraId="0730A2F6" w14:textId="77777777" w:rsidR="0000179D" w:rsidRDefault="0000179D" w:rsidP="00EB0436">
            <w:pPr>
              <w:keepNext/>
              <w:spacing w:before="40" w:after="40"/>
            </w:pPr>
          </w:p>
        </w:tc>
        <w:tc>
          <w:tcPr>
            <w:tcW w:w="1676" w:type="dxa"/>
            <w:tcBorders>
              <w:bottom w:val="single" w:sz="4" w:space="0" w:color="auto"/>
            </w:tcBorders>
          </w:tcPr>
          <w:p w14:paraId="6FE87C4C" w14:textId="463ED468" w:rsidR="0000179D" w:rsidRDefault="0000179D" w:rsidP="00EB0436">
            <w:pPr>
              <w:keepNext/>
              <w:spacing w:before="40" w:after="40"/>
            </w:pPr>
            <w:r w:rsidRPr="000B5330">
              <w:rPr>
                <w:rFonts w:ascii="Arial Narrow" w:eastAsia="Times New Roman" w:hAnsi="Arial Narrow" w:cs="Times New Roman"/>
                <w:b/>
                <w:bCs/>
                <w:sz w:val="20"/>
                <w:szCs w:val="20"/>
              </w:rPr>
              <w:t>Cost</w:t>
            </w:r>
          </w:p>
        </w:tc>
        <w:tc>
          <w:tcPr>
            <w:tcW w:w="1137" w:type="dxa"/>
            <w:tcBorders>
              <w:bottom w:val="single" w:sz="4" w:space="0" w:color="auto"/>
            </w:tcBorders>
          </w:tcPr>
          <w:p w14:paraId="44F57402" w14:textId="736766CE" w:rsidR="0000179D" w:rsidRDefault="0000179D" w:rsidP="00EB0436">
            <w:pPr>
              <w:keepNext/>
              <w:spacing w:before="40" w:after="40"/>
            </w:pPr>
            <w:r w:rsidRPr="000B5330">
              <w:rPr>
                <w:rFonts w:ascii="Arial Narrow" w:eastAsia="Times New Roman" w:hAnsi="Arial Narrow" w:cs="Times New Roman"/>
                <w:b/>
                <w:bCs/>
                <w:sz w:val="20"/>
                <w:szCs w:val="20"/>
              </w:rPr>
              <w:t>Incremental cost</w:t>
            </w:r>
          </w:p>
        </w:tc>
        <w:tc>
          <w:tcPr>
            <w:tcW w:w="1940" w:type="dxa"/>
            <w:tcBorders>
              <w:bottom w:val="single" w:sz="4" w:space="0" w:color="auto"/>
            </w:tcBorders>
          </w:tcPr>
          <w:p w14:paraId="17704912" w14:textId="466A31E5" w:rsidR="0000179D" w:rsidRDefault="0000179D" w:rsidP="00EB0436">
            <w:pPr>
              <w:keepNext/>
              <w:spacing w:before="40" w:after="40"/>
            </w:pPr>
            <w:r>
              <w:rPr>
                <w:rFonts w:ascii="Arial Narrow" w:hAnsi="Arial Narrow" w:cs="Calibri"/>
                <w:b/>
                <w:bCs/>
                <w:color w:val="000000"/>
                <w:sz w:val="20"/>
                <w:szCs w:val="20"/>
              </w:rPr>
              <w:t>Effectiveness (</w:t>
            </w:r>
            <w:r w:rsidR="00A80236">
              <w:rPr>
                <w:rFonts w:ascii="Arial Narrow" w:hAnsi="Arial Narrow" w:cs="Calibri"/>
                <w:b/>
                <w:bCs/>
                <w:color w:val="000000"/>
                <w:sz w:val="20"/>
                <w:szCs w:val="20"/>
              </w:rPr>
              <w:t>expected number of affected individuals)</w:t>
            </w:r>
          </w:p>
        </w:tc>
        <w:tc>
          <w:tcPr>
            <w:tcW w:w="1256" w:type="dxa"/>
            <w:tcBorders>
              <w:bottom w:val="single" w:sz="4" w:space="0" w:color="auto"/>
            </w:tcBorders>
          </w:tcPr>
          <w:p w14:paraId="49AFF0EF" w14:textId="68522CF1" w:rsidR="0000179D" w:rsidRDefault="0000179D" w:rsidP="00EB0436">
            <w:pPr>
              <w:keepNext/>
              <w:spacing w:before="40" w:after="40"/>
            </w:pPr>
            <w:r>
              <w:rPr>
                <w:rFonts w:ascii="Arial Narrow" w:hAnsi="Arial Narrow" w:cs="Calibri"/>
                <w:b/>
                <w:bCs/>
                <w:color w:val="000000"/>
                <w:sz w:val="20"/>
                <w:szCs w:val="20"/>
              </w:rPr>
              <w:t>Incremental effectiveness</w:t>
            </w:r>
            <w:r w:rsidR="00A80236">
              <w:rPr>
                <w:rFonts w:ascii="Arial Narrow" w:hAnsi="Arial Narrow" w:cs="Calibri"/>
                <w:b/>
                <w:bCs/>
                <w:color w:val="000000"/>
                <w:sz w:val="20"/>
                <w:szCs w:val="20"/>
              </w:rPr>
              <w:t xml:space="preserve"> (reduction in expected number of affected individuals)</w:t>
            </w:r>
          </w:p>
        </w:tc>
        <w:tc>
          <w:tcPr>
            <w:tcW w:w="1736" w:type="dxa"/>
            <w:tcBorders>
              <w:bottom w:val="single" w:sz="4" w:space="0" w:color="auto"/>
            </w:tcBorders>
          </w:tcPr>
          <w:p w14:paraId="7DBADFE8" w14:textId="759D02E6" w:rsidR="0000179D" w:rsidRDefault="0000179D" w:rsidP="00EB0436">
            <w:pPr>
              <w:keepNext/>
              <w:spacing w:before="40" w:after="40"/>
            </w:pPr>
            <w:r w:rsidRPr="000B5330">
              <w:rPr>
                <w:rFonts w:ascii="Arial Narrow" w:eastAsia="Times New Roman" w:hAnsi="Arial Narrow" w:cs="Times New Roman"/>
                <w:b/>
                <w:bCs/>
                <w:sz w:val="20"/>
                <w:szCs w:val="20"/>
              </w:rPr>
              <w:t>ICER</w:t>
            </w:r>
          </w:p>
        </w:tc>
      </w:tr>
      <w:tr w:rsidR="005279F0" w14:paraId="3B5D82ED" w14:textId="77777777" w:rsidTr="00B72510">
        <w:trPr>
          <w:trHeight w:val="371"/>
        </w:trPr>
        <w:tc>
          <w:tcPr>
            <w:tcW w:w="8946" w:type="dxa"/>
            <w:gridSpan w:val="6"/>
          </w:tcPr>
          <w:p w14:paraId="6D8E8F55" w14:textId="76C2DD3B" w:rsidR="005279F0" w:rsidRDefault="005279F0" w:rsidP="00EB0436">
            <w:pPr>
              <w:keepNext/>
              <w:spacing w:before="40" w:after="40"/>
            </w:pPr>
            <w:r w:rsidRPr="007C17F8">
              <w:rPr>
                <w:rFonts w:ascii="Arial Narrow" w:eastAsia="Times New Roman" w:hAnsi="Arial Narrow" w:cs="Times New Roman"/>
                <w:b/>
                <w:bCs/>
                <w:sz w:val="20"/>
                <w:szCs w:val="20"/>
              </w:rPr>
              <w:t>Difference in overall costs</w:t>
            </w:r>
            <w:r>
              <w:rPr>
                <w:rFonts w:ascii="Arial Narrow" w:eastAsia="Times New Roman" w:hAnsi="Arial Narrow" w:cs="Times New Roman"/>
                <w:b/>
                <w:bCs/>
                <w:sz w:val="20"/>
                <w:szCs w:val="20"/>
              </w:rPr>
              <w:t xml:space="preserve"> (all monogenic conditions)</w:t>
            </w:r>
            <w:r>
              <w:rPr>
                <w:rFonts w:ascii="Arial Narrow" w:hAnsi="Arial Narrow" w:cs="Calibri"/>
                <w:color w:val="000000"/>
                <w:sz w:val="20"/>
                <w:szCs w:val="20"/>
              </w:rPr>
              <w:t> </w:t>
            </w:r>
            <w:r w:rsidR="009A2AF8" w:rsidRPr="00EB0436">
              <w:rPr>
                <w:rFonts w:ascii="Arial Narrow" w:hAnsi="Arial Narrow" w:cs="Calibri"/>
                <w:b/>
                <w:bCs/>
                <w:color w:val="000000"/>
                <w:sz w:val="20"/>
                <w:szCs w:val="20"/>
              </w:rPr>
              <w:t>– total cost per reproductive couple</w:t>
            </w:r>
          </w:p>
        </w:tc>
      </w:tr>
      <w:tr w:rsidR="000654D7" w14:paraId="06303FCF" w14:textId="77777777" w:rsidTr="006C2C3F">
        <w:trPr>
          <w:trHeight w:val="168"/>
        </w:trPr>
        <w:tc>
          <w:tcPr>
            <w:tcW w:w="1201" w:type="dxa"/>
            <w:tcBorders>
              <w:bottom w:val="single" w:sz="4" w:space="0" w:color="auto"/>
            </w:tcBorders>
          </w:tcPr>
          <w:p w14:paraId="18D10989" w14:textId="72F9A2F4" w:rsidR="000654D7" w:rsidRPr="000B5330" w:rsidDel="00911C3B" w:rsidRDefault="000654D7" w:rsidP="000654D7">
            <w:pPr>
              <w:keepNext/>
              <w:spacing w:before="40" w:after="40"/>
              <w:rPr>
                <w:rFonts w:ascii="Arial Narrow" w:eastAsia="Times New Roman" w:hAnsi="Arial Narrow" w:cs="Times New Roman"/>
                <w:sz w:val="20"/>
                <w:szCs w:val="20"/>
              </w:rPr>
            </w:pPr>
            <w:r>
              <w:rPr>
                <w:rFonts w:ascii="Arial Narrow" w:hAnsi="Arial Narrow" w:cs="Calibri"/>
                <w:color w:val="000000"/>
                <w:sz w:val="20"/>
                <w:szCs w:val="20"/>
              </w:rPr>
              <w:t>Carrier Testing</w:t>
            </w:r>
          </w:p>
        </w:tc>
        <w:tc>
          <w:tcPr>
            <w:tcW w:w="1676" w:type="dxa"/>
            <w:tcBorders>
              <w:bottom w:val="single" w:sz="4" w:space="0" w:color="auto"/>
            </w:tcBorders>
            <w:vAlign w:val="center"/>
          </w:tcPr>
          <w:p w14:paraId="26678963" w14:textId="705E5988"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$1,880.71</w:t>
            </w:r>
          </w:p>
        </w:tc>
        <w:tc>
          <w:tcPr>
            <w:tcW w:w="1137" w:type="dxa"/>
            <w:tcBorders>
              <w:bottom w:val="single" w:sz="4" w:space="0" w:color="auto"/>
            </w:tcBorders>
            <w:vAlign w:val="center"/>
          </w:tcPr>
          <w:p w14:paraId="6D0E72C7" w14:textId="6E9DA91E" w:rsidR="000654D7" w:rsidRDefault="000654D7" w:rsidP="000654D7">
            <w:pPr>
              <w:keepNext/>
              <w:spacing w:before="40" w:after="40"/>
              <w:rPr>
                <w:rFonts w:ascii="Arial Narrow" w:hAnsi="Arial Narrow" w:cs="Calibri"/>
                <w:color w:val="FF0000"/>
                <w:sz w:val="20"/>
                <w:szCs w:val="20"/>
              </w:rPr>
            </w:pPr>
            <w:r>
              <w:rPr>
                <w:rFonts w:ascii="Arial Narrow" w:hAnsi="Arial Narrow" w:cs="Calibri"/>
                <w:color w:val="FF0000"/>
                <w:sz w:val="20"/>
                <w:szCs w:val="20"/>
              </w:rPr>
              <w:t>-$925.29</w:t>
            </w:r>
          </w:p>
        </w:tc>
        <w:tc>
          <w:tcPr>
            <w:tcW w:w="1940" w:type="dxa"/>
            <w:tcBorders>
              <w:bottom w:val="single" w:sz="4" w:space="0" w:color="auto"/>
            </w:tcBorders>
            <w:vAlign w:val="center"/>
          </w:tcPr>
          <w:p w14:paraId="5E563800" w14:textId="316DE7B3"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467</w:t>
            </w:r>
          </w:p>
        </w:tc>
        <w:tc>
          <w:tcPr>
            <w:tcW w:w="1256" w:type="dxa"/>
            <w:tcBorders>
              <w:bottom w:val="single" w:sz="4" w:space="0" w:color="auto"/>
            </w:tcBorders>
            <w:vAlign w:val="center"/>
          </w:tcPr>
          <w:p w14:paraId="2CAF2DA5" w14:textId="605E84FC"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106</w:t>
            </w:r>
          </w:p>
        </w:tc>
        <w:tc>
          <w:tcPr>
            <w:tcW w:w="1736" w:type="dxa"/>
            <w:tcBorders>
              <w:bottom w:val="single" w:sz="4" w:space="0" w:color="auto"/>
            </w:tcBorders>
            <w:vAlign w:val="center"/>
          </w:tcPr>
          <w:p w14:paraId="5776DE05" w14:textId="252091EA"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Dominant</w:t>
            </w:r>
          </w:p>
        </w:tc>
      </w:tr>
      <w:tr w:rsidR="000654D7" w14:paraId="58F15EF8" w14:textId="77777777" w:rsidTr="006C2C3F">
        <w:trPr>
          <w:trHeight w:val="168"/>
        </w:trPr>
        <w:tc>
          <w:tcPr>
            <w:tcW w:w="1201" w:type="dxa"/>
            <w:tcBorders>
              <w:bottom w:val="single" w:sz="4" w:space="0" w:color="auto"/>
            </w:tcBorders>
          </w:tcPr>
          <w:p w14:paraId="089329DF" w14:textId="2D8D904E" w:rsidR="000654D7" w:rsidRPr="000B5330" w:rsidDel="00911C3B" w:rsidRDefault="000654D7" w:rsidP="000654D7">
            <w:pPr>
              <w:keepNext/>
              <w:spacing w:before="40" w:after="40"/>
              <w:rPr>
                <w:rFonts w:ascii="Arial Narrow" w:eastAsia="Times New Roman" w:hAnsi="Arial Narrow" w:cs="Times New Roman"/>
                <w:sz w:val="20"/>
                <w:szCs w:val="20"/>
              </w:rPr>
            </w:pPr>
            <w:r>
              <w:rPr>
                <w:rFonts w:ascii="Arial Narrow" w:hAnsi="Arial Narrow" w:cs="Calibri"/>
                <w:color w:val="000000"/>
                <w:sz w:val="20"/>
                <w:szCs w:val="20"/>
              </w:rPr>
              <w:t>CF/SMA/FXS Testing only</w:t>
            </w:r>
          </w:p>
        </w:tc>
        <w:tc>
          <w:tcPr>
            <w:tcW w:w="1676" w:type="dxa"/>
            <w:tcBorders>
              <w:bottom w:val="single" w:sz="4" w:space="0" w:color="auto"/>
            </w:tcBorders>
            <w:vAlign w:val="center"/>
          </w:tcPr>
          <w:p w14:paraId="10B9FC26" w14:textId="6D8A73BB"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$2,806.00</w:t>
            </w:r>
          </w:p>
        </w:tc>
        <w:tc>
          <w:tcPr>
            <w:tcW w:w="1137" w:type="dxa"/>
            <w:tcBorders>
              <w:bottom w:val="single" w:sz="4" w:space="0" w:color="auto"/>
            </w:tcBorders>
            <w:vAlign w:val="center"/>
          </w:tcPr>
          <w:p w14:paraId="4A0AF0C1" w14:textId="7386AFD6" w:rsidR="000654D7" w:rsidRDefault="000654D7" w:rsidP="000654D7">
            <w:pPr>
              <w:keepNext/>
              <w:spacing w:before="40" w:after="40"/>
              <w:rPr>
                <w:rFonts w:ascii="Arial Narrow" w:hAnsi="Arial Narrow" w:cs="Calibri"/>
                <w:color w:val="FF0000"/>
                <w:sz w:val="20"/>
                <w:szCs w:val="20"/>
              </w:rPr>
            </w:pPr>
            <w:r>
              <w:rPr>
                <w:rFonts w:ascii="Arial Narrow" w:hAnsi="Arial Narrow" w:cs="Calibri"/>
                <w:color w:val="000000"/>
                <w:sz w:val="20"/>
                <w:szCs w:val="20"/>
              </w:rPr>
              <w:t> </w:t>
            </w:r>
          </w:p>
        </w:tc>
        <w:tc>
          <w:tcPr>
            <w:tcW w:w="1940" w:type="dxa"/>
            <w:tcBorders>
              <w:bottom w:val="single" w:sz="4" w:space="0" w:color="auto"/>
            </w:tcBorders>
            <w:vAlign w:val="center"/>
          </w:tcPr>
          <w:p w14:paraId="20C309BC" w14:textId="11149BF5"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573</w:t>
            </w:r>
          </w:p>
        </w:tc>
        <w:tc>
          <w:tcPr>
            <w:tcW w:w="1256" w:type="dxa"/>
            <w:tcBorders>
              <w:bottom w:val="single" w:sz="4" w:space="0" w:color="auto"/>
            </w:tcBorders>
            <w:vAlign w:val="center"/>
          </w:tcPr>
          <w:p w14:paraId="7559412B" w14:textId="5EAFB92E"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 </w:t>
            </w:r>
          </w:p>
        </w:tc>
        <w:tc>
          <w:tcPr>
            <w:tcW w:w="1736" w:type="dxa"/>
            <w:tcBorders>
              <w:bottom w:val="single" w:sz="4" w:space="0" w:color="auto"/>
            </w:tcBorders>
            <w:vAlign w:val="center"/>
          </w:tcPr>
          <w:p w14:paraId="7C260095" w14:textId="165FF5E0" w:rsidR="000654D7" w:rsidRDefault="000654D7" w:rsidP="000654D7">
            <w:pPr>
              <w:keepNext/>
              <w:spacing w:before="40" w:after="40"/>
              <w:rPr>
                <w:rFonts w:ascii="Arial Narrow" w:hAnsi="Arial Narrow" w:cs="Calibri"/>
                <w:color w:val="000000"/>
                <w:sz w:val="20"/>
                <w:szCs w:val="20"/>
              </w:rPr>
            </w:pPr>
            <w:r>
              <w:rPr>
                <w:rFonts w:ascii="Arial Narrow" w:hAnsi="Arial Narrow" w:cs="Calibri"/>
                <w:color w:val="000000"/>
                <w:sz w:val="20"/>
                <w:szCs w:val="20"/>
              </w:rPr>
              <w:t> </w:t>
            </w:r>
          </w:p>
        </w:tc>
      </w:tr>
    </w:tbl>
    <w:p w14:paraId="60DDF0DC" w14:textId="286C0828" w:rsidR="00FF7D57" w:rsidRDefault="00FF7D57" w:rsidP="008F6884">
      <w:pPr>
        <w:pStyle w:val="TableFigureFooter"/>
        <w:keepNext/>
        <w:spacing w:before="0" w:after="120"/>
      </w:pPr>
      <w:bookmarkStart w:id="61" w:name="_Hlk68276562"/>
      <w:r w:rsidRPr="00CE28E3">
        <w:t>ICER=incremental cost-effectiveness ratio</w:t>
      </w:r>
    </w:p>
    <w:bookmarkEnd w:id="61"/>
    <w:p w14:paraId="096A66C2" w14:textId="05FADD11" w:rsidR="004C0D94" w:rsidRDefault="004C0D94" w:rsidP="003D1E13">
      <w:pPr>
        <w:pStyle w:val="Guidelinescross-ref"/>
        <w:keepNext/>
        <w:spacing w:before="120" w:after="160"/>
        <w:rPr>
          <w:b w:val="0"/>
          <w:color w:val="auto"/>
          <w:sz w:val="22"/>
        </w:rPr>
      </w:pPr>
      <w:r w:rsidRPr="001B6817">
        <w:rPr>
          <w:b w:val="0"/>
          <w:color w:val="auto"/>
          <w:sz w:val="22"/>
        </w:rPr>
        <w:t>The model was conducted using a stepped approach</w:t>
      </w:r>
      <w:r>
        <w:rPr>
          <w:b w:val="0"/>
          <w:color w:val="auto"/>
          <w:sz w:val="22"/>
        </w:rPr>
        <w:t xml:space="preserve">, presenting results for the cost effectiveness (cost </w:t>
      </w:r>
      <w:r w:rsidR="00377E52">
        <w:rPr>
          <w:b w:val="0"/>
          <w:color w:val="auto"/>
          <w:sz w:val="22"/>
        </w:rPr>
        <w:t xml:space="preserve">of </w:t>
      </w:r>
      <w:r>
        <w:rPr>
          <w:b w:val="0"/>
          <w:color w:val="auto"/>
          <w:sz w:val="22"/>
        </w:rPr>
        <w:t xml:space="preserve">affected birth averted) </w:t>
      </w:r>
      <w:r w:rsidR="003A0D53">
        <w:rPr>
          <w:b w:val="0"/>
          <w:color w:val="auto"/>
          <w:sz w:val="22"/>
        </w:rPr>
        <w:t xml:space="preserve">against the </w:t>
      </w:r>
      <w:r>
        <w:rPr>
          <w:b w:val="0"/>
          <w:color w:val="auto"/>
          <w:sz w:val="22"/>
        </w:rPr>
        <w:t>comparator, and for initial (preconcept</w:t>
      </w:r>
      <w:r w:rsidR="00214D0E">
        <w:rPr>
          <w:b w:val="0"/>
          <w:color w:val="auto"/>
          <w:sz w:val="22"/>
        </w:rPr>
        <w:t>ion</w:t>
      </w:r>
      <w:r w:rsidR="00CF2547">
        <w:rPr>
          <w:b w:val="0"/>
          <w:color w:val="auto"/>
          <w:sz w:val="22"/>
        </w:rPr>
        <w:t xml:space="preserve"> </w:t>
      </w:r>
      <w:r>
        <w:rPr>
          <w:b w:val="0"/>
          <w:color w:val="auto"/>
          <w:sz w:val="22"/>
        </w:rPr>
        <w:t>and prenatal) and subsequent pregnancies. Lifetime costs of care were considered in addition to testing costs</w:t>
      </w:r>
      <w:r w:rsidR="00A80236">
        <w:rPr>
          <w:b w:val="0"/>
          <w:color w:val="auto"/>
          <w:sz w:val="22"/>
        </w:rPr>
        <w:t xml:space="preserve"> per </w:t>
      </w:r>
      <w:r w:rsidR="00FD74C7">
        <w:rPr>
          <w:b w:val="0"/>
          <w:color w:val="auto"/>
          <w:sz w:val="22"/>
        </w:rPr>
        <w:t>couple</w:t>
      </w:r>
      <w:r>
        <w:rPr>
          <w:b w:val="0"/>
          <w:color w:val="auto"/>
          <w:sz w:val="22"/>
        </w:rPr>
        <w:t>, and all costs were inflated to 2022</w:t>
      </w:r>
      <w:r w:rsidR="002C3934">
        <w:rPr>
          <w:b w:val="0"/>
          <w:color w:val="auto"/>
          <w:sz w:val="22"/>
        </w:rPr>
        <w:t xml:space="preserve"> AUD</w:t>
      </w:r>
      <w:r>
        <w:rPr>
          <w:b w:val="0"/>
          <w:color w:val="auto"/>
          <w:sz w:val="22"/>
        </w:rPr>
        <w:t>. Key assumptions are outlined in</w:t>
      </w:r>
      <w:r w:rsidR="00C815C4">
        <w:rPr>
          <w:b w:val="0"/>
          <w:color w:val="auto"/>
          <w:sz w:val="22"/>
        </w:rPr>
        <w:t xml:space="preserve"> Table 1</w:t>
      </w:r>
      <w:r w:rsidR="007260EF">
        <w:rPr>
          <w:b w:val="0"/>
          <w:color w:val="auto"/>
          <w:sz w:val="22"/>
        </w:rPr>
        <w:t>2</w:t>
      </w:r>
      <w:r>
        <w:rPr>
          <w:b w:val="0"/>
          <w:color w:val="auto"/>
          <w:sz w:val="22"/>
        </w:rPr>
        <w:t>.</w:t>
      </w:r>
    </w:p>
    <w:p w14:paraId="005B7073" w14:textId="79E1AAA4" w:rsidR="00C815C4" w:rsidRDefault="00C815C4" w:rsidP="00C815C4">
      <w:pPr>
        <w:pStyle w:val="Caption"/>
      </w:pPr>
      <w:bookmarkStart w:id="62" w:name="_Ref97104020"/>
      <w:bookmarkStart w:id="63" w:name="_Ref101386445"/>
      <w:bookmarkStart w:id="64" w:name="_Toc103096642"/>
      <w:r>
        <w:t xml:space="preserve">Table </w:t>
      </w:r>
      <w:bookmarkEnd w:id="62"/>
      <w:bookmarkEnd w:id="63"/>
      <w:r>
        <w:t>1</w:t>
      </w:r>
      <w:r w:rsidR="007260EF">
        <w:t>2</w:t>
      </w:r>
      <w:r>
        <w:t xml:space="preserve"> </w:t>
      </w:r>
      <w:r>
        <w:tab/>
      </w:r>
      <w:r w:rsidRPr="00A500DC">
        <w:t>Assumptions incorporated into the model structure</w:t>
      </w:r>
      <w:bookmarkEnd w:id="64"/>
    </w:p>
    <w:tbl>
      <w:tblPr>
        <w:tblStyle w:val="TableGrid"/>
        <w:tblW w:w="0" w:type="auto"/>
        <w:tblLook w:val="04A0" w:firstRow="1" w:lastRow="0" w:firstColumn="1" w:lastColumn="0" w:noHBand="0" w:noVBand="1"/>
      </w:tblPr>
      <w:tblGrid>
        <w:gridCol w:w="3114"/>
        <w:gridCol w:w="5902"/>
      </w:tblGrid>
      <w:tr w:rsidR="00C815C4" w:rsidRPr="00DB14E0" w14:paraId="2072945B" w14:textId="77777777" w:rsidTr="00247127">
        <w:trPr>
          <w:cantSplit/>
          <w:tblHeader/>
        </w:trPr>
        <w:tc>
          <w:tcPr>
            <w:tcW w:w="3114" w:type="dxa"/>
          </w:tcPr>
          <w:p w14:paraId="4EF5985C" w14:textId="77777777" w:rsidR="00C815C4" w:rsidRPr="008F63D0" w:rsidRDefault="00C815C4" w:rsidP="00247127">
            <w:pPr>
              <w:keepNext/>
              <w:spacing w:before="40" w:after="40"/>
              <w:rPr>
                <w:rFonts w:ascii="Arial Narrow" w:hAnsi="Arial Narrow"/>
                <w:b/>
                <w:bCs/>
                <w:sz w:val="20"/>
                <w:szCs w:val="20"/>
              </w:rPr>
            </w:pPr>
            <w:r w:rsidRPr="008F63D0">
              <w:rPr>
                <w:rFonts w:ascii="Arial Narrow" w:hAnsi="Arial Narrow"/>
                <w:b/>
                <w:bCs/>
                <w:sz w:val="20"/>
                <w:szCs w:val="20"/>
              </w:rPr>
              <w:t>Assumption</w:t>
            </w:r>
          </w:p>
        </w:tc>
        <w:tc>
          <w:tcPr>
            <w:tcW w:w="5902" w:type="dxa"/>
          </w:tcPr>
          <w:p w14:paraId="3EE2DE2F" w14:textId="77777777" w:rsidR="00C815C4" w:rsidRPr="008F63D0" w:rsidRDefault="00C815C4" w:rsidP="00247127">
            <w:pPr>
              <w:keepNext/>
              <w:spacing w:before="40" w:after="40"/>
              <w:rPr>
                <w:rFonts w:ascii="Arial Narrow" w:hAnsi="Arial Narrow"/>
                <w:b/>
                <w:bCs/>
                <w:sz w:val="20"/>
                <w:szCs w:val="20"/>
              </w:rPr>
            </w:pPr>
            <w:r w:rsidRPr="008F63D0">
              <w:rPr>
                <w:rFonts w:ascii="Arial Narrow" w:hAnsi="Arial Narrow"/>
                <w:b/>
                <w:bCs/>
                <w:sz w:val="20"/>
                <w:szCs w:val="20"/>
              </w:rPr>
              <w:t>Method to address assumption</w:t>
            </w:r>
          </w:p>
        </w:tc>
      </w:tr>
      <w:tr w:rsidR="00C815C4" w:rsidRPr="00DB14E0" w14:paraId="0B5E3BB9" w14:textId="77777777" w:rsidTr="00247127">
        <w:trPr>
          <w:cantSplit/>
        </w:trPr>
        <w:tc>
          <w:tcPr>
            <w:tcW w:w="3114" w:type="dxa"/>
            <w:shd w:val="clear" w:color="auto" w:fill="auto"/>
          </w:tcPr>
          <w:p w14:paraId="66B23462" w14:textId="77777777" w:rsidR="00C815C4" w:rsidRPr="008F63D0" w:rsidRDefault="00C815C4" w:rsidP="00247127">
            <w:pPr>
              <w:keepNext/>
              <w:spacing w:before="40" w:after="40"/>
              <w:rPr>
                <w:rFonts w:ascii="Arial Narrow" w:hAnsi="Arial Narrow"/>
                <w:sz w:val="20"/>
                <w:szCs w:val="20"/>
              </w:rPr>
            </w:pPr>
            <w:r w:rsidRPr="008F63D0">
              <w:rPr>
                <w:rFonts w:ascii="Arial Narrow" w:hAnsi="Arial Narrow"/>
                <w:sz w:val="20"/>
                <w:szCs w:val="20"/>
              </w:rPr>
              <w:t>An artificial population of 100,000 has been used throughout the model calculations</w:t>
            </w:r>
          </w:p>
        </w:tc>
        <w:tc>
          <w:tcPr>
            <w:tcW w:w="5902" w:type="dxa"/>
            <w:shd w:val="clear" w:color="auto" w:fill="auto"/>
          </w:tcPr>
          <w:p w14:paraId="5D907ED3" w14:textId="77777777" w:rsidR="00C815C4" w:rsidRPr="008F63D0" w:rsidRDefault="00C815C4" w:rsidP="00247127">
            <w:pPr>
              <w:keepNext/>
              <w:spacing w:before="40" w:after="40"/>
              <w:rPr>
                <w:rFonts w:ascii="Arial Narrow" w:hAnsi="Arial Narrow"/>
                <w:sz w:val="20"/>
                <w:szCs w:val="20"/>
              </w:rPr>
            </w:pPr>
            <w:r w:rsidRPr="008F63D0">
              <w:rPr>
                <w:rFonts w:ascii="Arial Narrow" w:hAnsi="Arial Narrow"/>
                <w:sz w:val="20"/>
                <w:szCs w:val="20"/>
              </w:rPr>
              <w:t>Assessing events per 100,000 patients ensures data can be extrapolated for future use.</w:t>
            </w:r>
          </w:p>
        </w:tc>
      </w:tr>
      <w:tr w:rsidR="00C815C4" w:rsidRPr="00DB14E0" w14:paraId="1FA94C90" w14:textId="77777777" w:rsidTr="00247127">
        <w:trPr>
          <w:cantSplit/>
        </w:trPr>
        <w:tc>
          <w:tcPr>
            <w:tcW w:w="3114" w:type="dxa"/>
            <w:shd w:val="clear" w:color="auto" w:fill="auto"/>
          </w:tcPr>
          <w:p w14:paraId="3925DE3B" w14:textId="669BBB90" w:rsidR="00C815C4" w:rsidRPr="008F63D0" w:rsidRDefault="00C815C4" w:rsidP="00247127">
            <w:pPr>
              <w:keepNext/>
              <w:spacing w:before="40" w:after="40"/>
              <w:rPr>
                <w:rFonts w:ascii="Arial Narrow" w:hAnsi="Arial Narrow"/>
                <w:sz w:val="20"/>
                <w:szCs w:val="20"/>
              </w:rPr>
            </w:pPr>
            <w:r w:rsidRPr="008F63D0">
              <w:rPr>
                <w:rFonts w:ascii="Arial Narrow" w:hAnsi="Arial Narrow"/>
                <w:sz w:val="20"/>
                <w:szCs w:val="20"/>
              </w:rPr>
              <w:t xml:space="preserve">If a diagnosis is confirmed for one gene, it is assumed the </w:t>
            </w:r>
            <w:proofErr w:type="spellStart"/>
            <w:r w:rsidRPr="008F63D0">
              <w:rPr>
                <w:rFonts w:ascii="Arial Narrow" w:hAnsi="Arial Narrow"/>
                <w:sz w:val="20"/>
                <w:szCs w:val="20"/>
              </w:rPr>
              <w:t>fetus</w:t>
            </w:r>
            <w:proofErr w:type="spellEnd"/>
            <w:r w:rsidRPr="008F63D0">
              <w:rPr>
                <w:rFonts w:ascii="Arial Narrow" w:hAnsi="Arial Narrow"/>
                <w:sz w:val="20"/>
                <w:szCs w:val="20"/>
              </w:rPr>
              <w:t xml:space="preserve"> will not carry the gene for another genetic disease.</w:t>
            </w:r>
          </w:p>
        </w:tc>
        <w:tc>
          <w:tcPr>
            <w:tcW w:w="5902" w:type="dxa"/>
            <w:shd w:val="clear" w:color="auto" w:fill="auto"/>
          </w:tcPr>
          <w:p w14:paraId="7CCB55D8" w14:textId="77777777" w:rsidR="00C815C4" w:rsidRPr="008F63D0" w:rsidRDefault="00C815C4" w:rsidP="00247127">
            <w:pPr>
              <w:keepNext/>
              <w:spacing w:before="40" w:after="40"/>
              <w:rPr>
                <w:rFonts w:ascii="Arial Narrow" w:hAnsi="Arial Narrow"/>
                <w:sz w:val="20"/>
                <w:szCs w:val="20"/>
              </w:rPr>
            </w:pPr>
            <w:r w:rsidRPr="008F63D0">
              <w:rPr>
                <w:rFonts w:ascii="Arial Narrow" w:hAnsi="Arial Narrow"/>
                <w:sz w:val="20"/>
                <w:szCs w:val="20"/>
              </w:rPr>
              <w:t>The probability that a foetus carries two of the twelve target genes (CF, SMA and/or FXS) is very low. In a study by Archibald et al 2017, from a population of 12,000 tested couples, only five couples carried both CF and SMA (0.0004), 2 couples carried CF (0.0001) and FXS and 1 couple carried SMA and FXS (0.000083). If babies are born with these co-morbidities, the costs and benefits accrued by these individuals are highly uncertain, due to the lack of data, and thus would increase the uncertainty of the model. This same principle is applied to all the assessed genetic disorders.</w:t>
            </w:r>
          </w:p>
        </w:tc>
      </w:tr>
      <w:tr w:rsidR="00C815C4" w:rsidRPr="00DB14E0" w14:paraId="5E8A26B9" w14:textId="77777777" w:rsidTr="00247127">
        <w:trPr>
          <w:cantSplit/>
        </w:trPr>
        <w:tc>
          <w:tcPr>
            <w:tcW w:w="3114" w:type="dxa"/>
            <w:shd w:val="clear" w:color="auto" w:fill="auto"/>
          </w:tcPr>
          <w:p w14:paraId="3CEAE4FD" w14:textId="77777777" w:rsidR="00C815C4" w:rsidRPr="00611EBF" w:rsidRDefault="00C815C4" w:rsidP="00247127">
            <w:pPr>
              <w:spacing w:before="40" w:after="40"/>
              <w:rPr>
                <w:rFonts w:ascii="Arial Narrow" w:hAnsi="Arial Narrow"/>
                <w:sz w:val="20"/>
                <w:szCs w:val="20"/>
              </w:rPr>
            </w:pPr>
            <w:r w:rsidRPr="00611EBF">
              <w:rPr>
                <w:rFonts w:ascii="Arial Narrow" w:hAnsi="Arial Narrow"/>
                <w:sz w:val="20"/>
                <w:szCs w:val="20"/>
              </w:rPr>
              <w:t>IVF and abstention are not options for couples identified as carriers’ post-conception</w:t>
            </w:r>
          </w:p>
        </w:tc>
        <w:tc>
          <w:tcPr>
            <w:tcW w:w="5902" w:type="dxa"/>
            <w:shd w:val="clear" w:color="auto" w:fill="auto"/>
          </w:tcPr>
          <w:p w14:paraId="1A5F8BFD" w14:textId="77777777" w:rsidR="00C815C4" w:rsidRPr="00611EBF" w:rsidRDefault="00C815C4" w:rsidP="00247127">
            <w:pPr>
              <w:spacing w:before="40" w:after="40"/>
              <w:rPr>
                <w:rFonts w:ascii="Arial Narrow" w:hAnsi="Arial Narrow"/>
                <w:sz w:val="20"/>
                <w:szCs w:val="20"/>
              </w:rPr>
            </w:pPr>
            <w:r w:rsidRPr="00611EBF">
              <w:rPr>
                <w:rFonts w:ascii="Arial Narrow" w:hAnsi="Arial Narrow"/>
                <w:sz w:val="20"/>
                <w:szCs w:val="20"/>
              </w:rPr>
              <w:t>Conception has already occurred, and as such, the couple cannot abstain from conception. Likewise, if conception has already occurred, the embryo cannot be genetically manipulated and thus cannot be fertilised in-vitro.</w:t>
            </w:r>
          </w:p>
        </w:tc>
      </w:tr>
      <w:tr w:rsidR="00C815C4" w:rsidRPr="00DB14E0" w14:paraId="65C95D97" w14:textId="77777777" w:rsidTr="00247127">
        <w:trPr>
          <w:cantSplit/>
        </w:trPr>
        <w:tc>
          <w:tcPr>
            <w:tcW w:w="3114" w:type="dxa"/>
            <w:shd w:val="clear" w:color="auto" w:fill="auto"/>
          </w:tcPr>
          <w:p w14:paraId="74FC81C9" w14:textId="77777777" w:rsidR="00C815C4" w:rsidRPr="00611EBF" w:rsidRDefault="00C815C4" w:rsidP="00247127">
            <w:pPr>
              <w:spacing w:before="40" w:after="40"/>
              <w:rPr>
                <w:rFonts w:ascii="Arial Narrow" w:hAnsi="Arial Narrow"/>
                <w:sz w:val="20"/>
                <w:szCs w:val="20"/>
              </w:rPr>
            </w:pPr>
            <w:r w:rsidRPr="00611EBF">
              <w:rPr>
                <w:rFonts w:ascii="Arial Narrow" w:hAnsi="Arial Narrow"/>
                <w:sz w:val="20"/>
                <w:szCs w:val="20"/>
              </w:rPr>
              <w:t>CVS and other testing options are not captured in comparator arm two</w:t>
            </w:r>
          </w:p>
        </w:tc>
        <w:tc>
          <w:tcPr>
            <w:tcW w:w="5902" w:type="dxa"/>
            <w:shd w:val="clear" w:color="auto" w:fill="auto"/>
          </w:tcPr>
          <w:p w14:paraId="160C0285" w14:textId="77777777" w:rsidR="00C815C4" w:rsidRPr="00611EBF" w:rsidRDefault="00C815C4" w:rsidP="00247127">
            <w:pPr>
              <w:spacing w:before="40" w:after="40"/>
              <w:rPr>
                <w:rFonts w:ascii="Arial Narrow" w:hAnsi="Arial Narrow"/>
                <w:sz w:val="20"/>
                <w:szCs w:val="20"/>
              </w:rPr>
            </w:pPr>
            <w:r w:rsidRPr="00611EBF">
              <w:rPr>
                <w:rFonts w:ascii="Arial Narrow" w:hAnsi="Arial Narrow"/>
                <w:sz w:val="20"/>
                <w:szCs w:val="20"/>
              </w:rPr>
              <w:t>Any additional testing, such as CVS testing, in the comparator arm would occur with or without the knowledge of carrier status. As such, these tests have not been included in the economic evaluation. Including these costs provide no addition</w:t>
            </w:r>
            <w:r>
              <w:rPr>
                <w:rFonts w:ascii="Arial Narrow" w:hAnsi="Arial Narrow"/>
                <w:sz w:val="20"/>
                <w:szCs w:val="20"/>
              </w:rPr>
              <w:t>al</w:t>
            </w:r>
            <w:r w:rsidRPr="00611EBF">
              <w:rPr>
                <w:rFonts w:ascii="Arial Narrow" w:hAnsi="Arial Narrow"/>
                <w:sz w:val="20"/>
                <w:szCs w:val="20"/>
              </w:rPr>
              <w:t xml:space="preserve"> benefit to the assessment and create additional uncertainty.</w:t>
            </w:r>
          </w:p>
        </w:tc>
      </w:tr>
      <w:tr w:rsidR="00C815C4" w:rsidRPr="00DB14E0" w14:paraId="1E4B2382" w14:textId="77777777" w:rsidTr="00247127">
        <w:trPr>
          <w:cantSplit/>
        </w:trPr>
        <w:tc>
          <w:tcPr>
            <w:tcW w:w="3114" w:type="dxa"/>
            <w:shd w:val="clear" w:color="auto" w:fill="auto"/>
          </w:tcPr>
          <w:p w14:paraId="79184950" w14:textId="77777777" w:rsidR="00C815C4" w:rsidRPr="00611EBF" w:rsidRDefault="00C815C4" w:rsidP="00247127">
            <w:pPr>
              <w:spacing w:before="40" w:after="40"/>
              <w:rPr>
                <w:rFonts w:ascii="Arial Narrow" w:hAnsi="Arial Narrow"/>
                <w:sz w:val="20"/>
                <w:szCs w:val="20"/>
              </w:rPr>
            </w:pPr>
            <w:r w:rsidRPr="00611EBF">
              <w:rPr>
                <w:rFonts w:ascii="Arial Narrow" w:hAnsi="Arial Narrow"/>
                <w:sz w:val="20"/>
                <w:szCs w:val="20"/>
              </w:rPr>
              <w:t>CVS and other testing options are not captured in the False Negative arm</w:t>
            </w:r>
          </w:p>
        </w:tc>
        <w:tc>
          <w:tcPr>
            <w:tcW w:w="5902" w:type="dxa"/>
            <w:shd w:val="clear" w:color="auto" w:fill="auto"/>
          </w:tcPr>
          <w:p w14:paraId="33C16BA3" w14:textId="77777777" w:rsidR="00C815C4" w:rsidRPr="00611EBF" w:rsidRDefault="00C815C4" w:rsidP="00247127">
            <w:pPr>
              <w:spacing w:before="40" w:after="40"/>
              <w:rPr>
                <w:rFonts w:ascii="Arial Narrow" w:hAnsi="Arial Narrow"/>
                <w:sz w:val="20"/>
                <w:szCs w:val="20"/>
              </w:rPr>
            </w:pPr>
            <w:r w:rsidRPr="00611EBF">
              <w:rPr>
                <w:rFonts w:ascii="Arial Narrow" w:hAnsi="Arial Narrow"/>
                <w:sz w:val="20"/>
                <w:szCs w:val="20"/>
              </w:rPr>
              <w:t xml:space="preserve">It may be possible that couples who have been assessed as a negative carrier but are </w:t>
            </w:r>
            <w:proofErr w:type="gramStart"/>
            <w:r w:rsidRPr="00611EBF">
              <w:rPr>
                <w:rFonts w:ascii="Arial Narrow" w:hAnsi="Arial Narrow"/>
                <w:sz w:val="20"/>
                <w:szCs w:val="20"/>
              </w:rPr>
              <w:t>actually a</w:t>
            </w:r>
            <w:proofErr w:type="gramEnd"/>
            <w:r w:rsidRPr="00611EBF">
              <w:rPr>
                <w:rFonts w:ascii="Arial Narrow" w:hAnsi="Arial Narrow"/>
                <w:sz w:val="20"/>
                <w:szCs w:val="20"/>
              </w:rPr>
              <w:t xml:space="preserve"> carrier (false negative) may request a CVS test due to other reasons not directly related to CF, SMA or FXS. As these reasons are not directly associated with </w:t>
            </w:r>
            <w:r>
              <w:rPr>
                <w:rFonts w:ascii="Arial Narrow" w:hAnsi="Arial Narrow"/>
                <w:sz w:val="20"/>
                <w:szCs w:val="20"/>
              </w:rPr>
              <w:t>carrier</w:t>
            </w:r>
            <w:r w:rsidRPr="00611EBF">
              <w:rPr>
                <w:rFonts w:ascii="Arial Narrow" w:hAnsi="Arial Narrow"/>
                <w:sz w:val="20"/>
                <w:szCs w:val="20"/>
              </w:rPr>
              <w:t xml:space="preserve"> </w:t>
            </w:r>
            <w:proofErr w:type="gramStart"/>
            <w:r w:rsidRPr="00611EBF">
              <w:rPr>
                <w:rFonts w:ascii="Arial Narrow" w:hAnsi="Arial Narrow"/>
                <w:sz w:val="20"/>
                <w:szCs w:val="20"/>
              </w:rPr>
              <w:t>testing</w:t>
            </w:r>
            <w:proofErr w:type="gramEnd"/>
            <w:r w:rsidRPr="00611EBF">
              <w:rPr>
                <w:rFonts w:ascii="Arial Narrow" w:hAnsi="Arial Narrow"/>
                <w:sz w:val="20"/>
                <w:szCs w:val="20"/>
              </w:rPr>
              <w:t xml:space="preserve"> they have not been included in the economic evaluation due to providing no additional benefit to the assessment and creat</w:t>
            </w:r>
            <w:r>
              <w:rPr>
                <w:rFonts w:ascii="Arial Narrow" w:hAnsi="Arial Narrow"/>
                <w:sz w:val="20"/>
                <w:szCs w:val="20"/>
              </w:rPr>
              <w:t>ing</w:t>
            </w:r>
            <w:r w:rsidRPr="00611EBF">
              <w:rPr>
                <w:rFonts w:ascii="Arial Narrow" w:hAnsi="Arial Narrow"/>
                <w:sz w:val="20"/>
                <w:szCs w:val="20"/>
              </w:rPr>
              <w:t xml:space="preserve"> additional uncertainty.</w:t>
            </w:r>
          </w:p>
        </w:tc>
      </w:tr>
      <w:tr w:rsidR="00C815C4" w:rsidRPr="00DB14E0" w14:paraId="38C742FB" w14:textId="77777777" w:rsidTr="00247127">
        <w:trPr>
          <w:cantSplit/>
        </w:trPr>
        <w:tc>
          <w:tcPr>
            <w:tcW w:w="3114" w:type="dxa"/>
          </w:tcPr>
          <w:p w14:paraId="439DFD28" w14:textId="77777777" w:rsidR="00C815C4" w:rsidRPr="003E5802" w:rsidRDefault="00C815C4" w:rsidP="00247127">
            <w:pPr>
              <w:spacing w:before="40" w:after="40"/>
              <w:rPr>
                <w:rFonts w:ascii="Arial Narrow" w:hAnsi="Arial Narrow"/>
                <w:sz w:val="20"/>
                <w:szCs w:val="20"/>
              </w:rPr>
            </w:pPr>
            <w:r w:rsidRPr="003E5802">
              <w:rPr>
                <w:rFonts w:ascii="Arial Narrow" w:hAnsi="Arial Narrow"/>
                <w:sz w:val="20"/>
                <w:szCs w:val="20"/>
              </w:rPr>
              <w:t xml:space="preserve">Structure does not capture individuals identifying carrier status outside of </w:t>
            </w:r>
            <w:r>
              <w:rPr>
                <w:rFonts w:ascii="Arial Narrow" w:hAnsi="Arial Narrow"/>
                <w:sz w:val="20"/>
                <w:szCs w:val="20"/>
              </w:rPr>
              <w:t>carrier te</w:t>
            </w:r>
            <w:r w:rsidRPr="003E5802">
              <w:rPr>
                <w:rFonts w:ascii="Arial Narrow" w:hAnsi="Arial Narrow"/>
                <w:sz w:val="20"/>
                <w:szCs w:val="20"/>
              </w:rPr>
              <w:t>sting program</w:t>
            </w:r>
          </w:p>
        </w:tc>
        <w:tc>
          <w:tcPr>
            <w:tcW w:w="5902" w:type="dxa"/>
          </w:tcPr>
          <w:p w14:paraId="1F05B396" w14:textId="77777777" w:rsidR="00C815C4" w:rsidRPr="003E5802" w:rsidRDefault="00C815C4" w:rsidP="00247127">
            <w:pPr>
              <w:spacing w:before="40" w:after="40"/>
              <w:rPr>
                <w:rFonts w:ascii="Arial Narrow" w:hAnsi="Arial Narrow"/>
                <w:sz w:val="20"/>
                <w:szCs w:val="20"/>
              </w:rPr>
            </w:pPr>
            <w:r w:rsidRPr="003E5802">
              <w:rPr>
                <w:rFonts w:ascii="Arial Narrow" w:hAnsi="Arial Narrow"/>
                <w:sz w:val="20"/>
                <w:szCs w:val="20"/>
              </w:rPr>
              <w:t xml:space="preserve">Identifying carrier status outside of </w:t>
            </w:r>
            <w:r>
              <w:rPr>
                <w:rFonts w:ascii="Arial Narrow" w:hAnsi="Arial Narrow"/>
                <w:sz w:val="20"/>
                <w:szCs w:val="20"/>
              </w:rPr>
              <w:t>carrier</w:t>
            </w:r>
            <w:r w:rsidRPr="003E5802">
              <w:rPr>
                <w:rFonts w:ascii="Arial Narrow" w:hAnsi="Arial Narrow"/>
                <w:sz w:val="20"/>
                <w:szCs w:val="20"/>
              </w:rPr>
              <w:t xml:space="preserve"> testing creates additional uncertainty to the assessment and does not provide benefit in assessing the cost-effectiveness of MBS listing of </w:t>
            </w:r>
            <w:r>
              <w:rPr>
                <w:rFonts w:ascii="Arial Narrow" w:hAnsi="Arial Narrow"/>
                <w:sz w:val="20"/>
                <w:szCs w:val="20"/>
              </w:rPr>
              <w:t>carrier</w:t>
            </w:r>
            <w:r w:rsidRPr="003E5802">
              <w:rPr>
                <w:rFonts w:ascii="Arial Narrow" w:hAnsi="Arial Narrow"/>
                <w:sz w:val="20"/>
                <w:szCs w:val="20"/>
              </w:rPr>
              <w:t xml:space="preserve"> testing.</w:t>
            </w:r>
          </w:p>
        </w:tc>
      </w:tr>
      <w:tr w:rsidR="00C815C4" w:rsidRPr="00DB14E0" w14:paraId="44999A5C" w14:textId="77777777" w:rsidTr="00247127">
        <w:trPr>
          <w:cantSplit/>
        </w:trPr>
        <w:tc>
          <w:tcPr>
            <w:tcW w:w="3114" w:type="dxa"/>
          </w:tcPr>
          <w:p w14:paraId="4F616795" w14:textId="77777777" w:rsidR="00C815C4" w:rsidRPr="00611EBF" w:rsidRDefault="00C815C4" w:rsidP="00247127">
            <w:pPr>
              <w:spacing w:before="40" w:after="40"/>
              <w:rPr>
                <w:rFonts w:ascii="Arial Narrow" w:hAnsi="Arial Narrow"/>
                <w:sz w:val="20"/>
                <w:szCs w:val="20"/>
              </w:rPr>
            </w:pPr>
            <w:r>
              <w:rPr>
                <w:rFonts w:ascii="Arial Narrow" w:hAnsi="Arial Narrow"/>
                <w:sz w:val="20"/>
                <w:szCs w:val="20"/>
              </w:rPr>
              <w:lastRenderedPageBreak/>
              <w:t>Carrier rates for males are the same as female carriers</w:t>
            </w:r>
          </w:p>
        </w:tc>
        <w:tc>
          <w:tcPr>
            <w:tcW w:w="5902" w:type="dxa"/>
          </w:tcPr>
          <w:p w14:paraId="66CF9525" w14:textId="77777777" w:rsidR="00C815C4" w:rsidRPr="00611EBF" w:rsidRDefault="00C815C4" w:rsidP="00247127">
            <w:pPr>
              <w:spacing w:before="40" w:after="40"/>
              <w:rPr>
                <w:rFonts w:ascii="Arial Narrow" w:hAnsi="Arial Narrow"/>
                <w:sz w:val="20"/>
                <w:szCs w:val="20"/>
              </w:rPr>
            </w:pPr>
            <w:r>
              <w:rPr>
                <w:rFonts w:ascii="Arial Narrow" w:hAnsi="Arial Narrow"/>
                <w:sz w:val="20"/>
                <w:szCs w:val="20"/>
              </w:rPr>
              <w:t>Due to insufficient data and given the principle that the model tests for both couples and individuals, the carrier rate is assumed to be the same for both males and females alike.</w:t>
            </w:r>
          </w:p>
        </w:tc>
      </w:tr>
      <w:tr w:rsidR="00C815C4" w:rsidRPr="00DB14E0" w14:paraId="1F51115A" w14:textId="77777777" w:rsidTr="00247127">
        <w:trPr>
          <w:cantSplit/>
        </w:trPr>
        <w:tc>
          <w:tcPr>
            <w:tcW w:w="3114" w:type="dxa"/>
          </w:tcPr>
          <w:p w14:paraId="53C3A72B" w14:textId="77777777" w:rsidR="00C815C4" w:rsidRDefault="00C815C4" w:rsidP="00247127">
            <w:pPr>
              <w:spacing w:before="40" w:after="40"/>
              <w:rPr>
                <w:rFonts w:ascii="Arial Narrow" w:hAnsi="Arial Narrow"/>
                <w:sz w:val="20"/>
                <w:szCs w:val="20"/>
              </w:rPr>
            </w:pPr>
            <w:r>
              <w:rPr>
                <w:rFonts w:ascii="Arial Narrow" w:hAnsi="Arial Narrow"/>
                <w:sz w:val="20"/>
                <w:szCs w:val="20"/>
              </w:rPr>
              <w:t>The probability of having a child that is either male and/or female is 50%.</w:t>
            </w:r>
          </w:p>
        </w:tc>
        <w:tc>
          <w:tcPr>
            <w:tcW w:w="5902" w:type="dxa"/>
          </w:tcPr>
          <w:p w14:paraId="13F0FE1B" w14:textId="77777777" w:rsidR="00C815C4" w:rsidRDefault="00C815C4" w:rsidP="00247127">
            <w:pPr>
              <w:spacing w:before="40" w:after="40"/>
              <w:rPr>
                <w:rFonts w:ascii="Arial Narrow" w:hAnsi="Arial Narrow"/>
                <w:sz w:val="20"/>
                <w:szCs w:val="20"/>
              </w:rPr>
            </w:pPr>
            <w:r>
              <w:rPr>
                <w:rFonts w:ascii="Arial Narrow" w:hAnsi="Arial Narrow"/>
                <w:sz w:val="20"/>
                <w:szCs w:val="20"/>
              </w:rPr>
              <w:t>The probability of having an affected child with an x-linked disorder equals the probability that the child is affected multiplied by the probability that the child is either male or female. This is because x-linked disorders only result in an affected child where the child is male. For simplicity, it is assumed that there is an equal chance of giving birth to a male or female.</w:t>
            </w:r>
          </w:p>
        </w:tc>
      </w:tr>
      <w:tr w:rsidR="00C815C4" w:rsidRPr="00DB14E0" w14:paraId="190CCEAD" w14:textId="77777777" w:rsidTr="00247127">
        <w:trPr>
          <w:cantSplit/>
        </w:trPr>
        <w:tc>
          <w:tcPr>
            <w:tcW w:w="3114" w:type="dxa"/>
          </w:tcPr>
          <w:p w14:paraId="04135E60" w14:textId="77777777" w:rsidR="00C815C4" w:rsidRDefault="00C815C4" w:rsidP="00247127">
            <w:pPr>
              <w:spacing w:before="40" w:after="40"/>
              <w:rPr>
                <w:rFonts w:ascii="Arial Narrow" w:hAnsi="Arial Narrow"/>
                <w:sz w:val="20"/>
                <w:szCs w:val="20"/>
              </w:rPr>
            </w:pPr>
            <w:r>
              <w:rPr>
                <w:rFonts w:ascii="Arial Narrow" w:hAnsi="Arial Narrow"/>
                <w:sz w:val="20"/>
                <w:szCs w:val="20"/>
              </w:rPr>
              <w:t xml:space="preserve">The test sensitivity and specificity for </w:t>
            </w:r>
            <w:r w:rsidRPr="00611EBF">
              <w:rPr>
                <w:rFonts w:ascii="Arial Narrow" w:hAnsi="Arial Narrow"/>
                <w:sz w:val="20"/>
                <w:szCs w:val="20"/>
              </w:rPr>
              <w:t xml:space="preserve">TSD, CD, FD, MLD, </w:t>
            </w:r>
            <w:r>
              <w:rPr>
                <w:rFonts w:ascii="Arial Narrow" w:hAnsi="Arial Narrow"/>
                <w:sz w:val="20"/>
                <w:szCs w:val="20"/>
              </w:rPr>
              <w:t>GSD</w:t>
            </w:r>
            <w:r w:rsidRPr="00611EBF">
              <w:rPr>
                <w:rFonts w:ascii="Arial Narrow" w:hAnsi="Arial Narrow"/>
                <w:sz w:val="20"/>
                <w:szCs w:val="20"/>
              </w:rPr>
              <w:t>1, FA, GD, NPD</w:t>
            </w:r>
            <w:r>
              <w:rPr>
                <w:rFonts w:ascii="Arial Narrow" w:hAnsi="Arial Narrow"/>
                <w:sz w:val="20"/>
                <w:szCs w:val="20"/>
              </w:rPr>
              <w:t xml:space="preserve"> and </w:t>
            </w:r>
            <w:r w:rsidRPr="00611EBF">
              <w:rPr>
                <w:rFonts w:ascii="Arial Narrow" w:hAnsi="Arial Narrow"/>
                <w:sz w:val="20"/>
                <w:szCs w:val="20"/>
              </w:rPr>
              <w:t>BS</w:t>
            </w:r>
            <w:r>
              <w:rPr>
                <w:rFonts w:ascii="Arial Narrow" w:hAnsi="Arial Narrow"/>
                <w:sz w:val="20"/>
                <w:szCs w:val="20"/>
              </w:rPr>
              <w:t xml:space="preserve"> </w:t>
            </w:r>
            <w:proofErr w:type="gramStart"/>
            <w:r>
              <w:rPr>
                <w:rFonts w:ascii="Arial Narrow" w:hAnsi="Arial Narrow"/>
                <w:sz w:val="20"/>
                <w:szCs w:val="20"/>
              </w:rPr>
              <w:t>is</w:t>
            </w:r>
            <w:proofErr w:type="gramEnd"/>
            <w:r>
              <w:rPr>
                <w:rFonts w:ascii="Arial Narrow" w:hAnsi="Arial Narrow"/>
                <w:sz w:val="20"/>
                <w:szCs w:val="20"/>
              </w:rPr>
              <w:t xml:space="preserve"> equal to the sensitivity and specificity for CF genetic diagnosis tests</w:t>
            </w:r>
          </w:p>
        </w:tc>
        <w:tc>
          <w:tcPr>
            <w:tcW w:w="5902" w:type="dxa"/>
          </w:tcPr>
          <w:p w14:paraId="76183096" w14:textId="77777777" w:rsidR="00C815C4" w:rsidRDefault="00C815C4" w:rsidP="00247127">
            <w:pPr>
              <w:spacing w:before="40" w:after="40"/>
              <w:rPr>
                <w:rFonts w:ascii="Arial Narrow" w:hAnsi="Arial Narrow"/>
                <w:sz w:val="20"/>
                <w:szCs w:val="20"/>
              </w:rPr>
            </w:pPr>
            <w:r>
              <w:rPr>
                <w:rFonts w:ascii="Arial Narrow" w:hAnsi="Arial Narrow"/>
                <w:sz w:val="20"/>
                <w:szCs w:val="20"/>
              </w:rPr>
              <w:t xml:space="preserve">Given it is assumed that the genetic carrier testing panel is assessed in a single session, with one (agnostic) testing instrument, it is assumed that the sensitivity and specificity would be equal for all tests. </w:t>
            </w:r>
          </w:p>
        </w:tc>
      </w:tr>
      <w:tr w:rsidR="00C815C4" w:rsidRPr="00DB14E0" w14:paraId="50481F22" w14:textId="77777777" w:rsidTr="00247127">
        <w:trPr>
          <w:cantSplit/>
        </w:trPr>
        <w:tc>
          <w:tcPr>
            <w:tcW w:w="3114" w:type="dxa"/>
          </w:tcPr>
          <w:p w14:paraId="1B6170C8" w14:textId="77777777" w:rsidR="00C815C4" w:rsidRDefault="00C815C4" w:rsidP="00247127">
            <w:pPr>
              <w:spacing w:before="40" w:after="40"/>
              <w:rPr>
                <w:rFonts w:ascii="Arial Narrow" w:hAnsi="Arial Narrow"/>
                <w:sz w:val="20"/>
                <w:szCs w:val="20"/>
              </w:rPr>
            </w:pPr>
            <w:r>
              <w:rPr>
                <w:rFonts w:ascii="Arial Narrow" w:hAnsi="Arial Narrow"/>
                <w:sz w:val="20"/>
                <w:szCs w:val="20"/>
              </w:rPr>
              <w:t xml:space="preserve">The probability that couples undertake CVS testing for </w:t>
            </w:r>
            <w:r w:rsidRPr="00611EBF">
              <w:rPr>
                <w:rFonts w:ascii="Arial Narrow" w:hAnsi="Arial Narrow"/>
                <w:sz w:val="20"/>
                <w:szCs w:val="20"/>
              </w:rPr>
              <w:t xml:space="preserve">TSD, CD, FD, MLD, </w:t>
            </w:r>
            <w:r>
              <w:rPr>
                <w:rFonts w:ascii="Arial Narrow" w:hAnsi="Arial Narrow"/>
                <w:sz w:val="20"/>
                <w:szCs w:val="20"/>
              </w:rPr>
              <w:t>GSD</w:t>
            </w:r>
            <w:r w:rsidRPr="00611EBF">
              <w:rPr>
                <w:rFonts w:ascii="Arial Narrow" w:hAnsi="Arial Narrow"/>
                <w:sz w:val="20"/>
                <w:szCs w:val="20"/>
              </w:rPr>
              <w:t>1, FA, GD, NPD</w:t>
            </w:r>
            <w:r>
              <w:rPr>
                <w:rFonts w:ascii="Arial Narrow" w:hAnsi="Arial Narrow"/>
                <w:sz w:val="20"/>
                <w:szCs w:val="20"/>
              </w:rPr>
              <w:t xml:space="preserve"> and </w:t>
            </w:r>
            <w:r w:rsidRPr="00611EBF">
              <w:rPr>
                <w:rFonts w:ascii="Arial Narrow" w:hAnsi="Arial Narrow"/>
                <w:sz w:val="20"/>
                <w:szCs w:val="20"/>
              </w:rPr>
              <w:t>BS</w:t>
            </w:r>
            <w:r>
              <w:rPr>
                <w:rFonts w:ascii="Arial Narrow" w:hAnsi="Arial Narrow"/>
                <w:sz w:val="20"/>
                <w:szCs w:val="20"/>
              </w:rPr>
              <w:t xml:space="preserve"> </w:t>
            </w:r>
            <w:proofErr w:type="gramStart"/>
            <w:r>
              <w:rPr>
                <w:rFonts w:ascii="Arial Narrow" w:hAnsi="Arial Narrow"/>
                <w:sz w:val="20"/>
                <w:szCs w:val="20"/>
              </w:rPr>
              <w:t>is</w:t>
            </w:r>
            <w:proofErr w:type="gramEnd"/>
            <w:r>
              <w:rPr>
                <w:rFonts w:ascii="Arial Narrow" w:hAnsi="Arial Narrow"/>
                <w:sz w:val="20"/>
                <w:szCs w:val="20"/>
              </w:rPr>
              <w:t xml:space="preserve"> the same as CF.</w:t>
            </w:r>
          </w:p>
        </w:tc>
        <w:tc>
          <w:tcPr>
            <w:tcW w:w="5902" w:type="dxa"/>
          </w:tcPr>
          <w:p w14:paraId="04306966" w14:textId="77777777" w:rsidR="00C815C4" w:rsidRDefault="00C815C4" w:rsidP="00247127">
            <w:pPr>
              <w:spacing w:before="40" w:after="40"/>
              <w:rPr>
                <w:rFonts w:ascii="Arial Narrow" w:hAnsi="Arial Narrow"/>
                <w:sz w:val="20"/>
                <w:szCs w:val="20"/>
              </w:rPr>
            </w:pPr>
            <w:r>
              <w:rPr>
                <w:rFonts w:ascii="Arial Narrow" w:hAnsi="Arial Narrow"/>
                <w:sz w:val="20"/>
                <w:szCs w:val="20"/>
              </w:rPr>
              <w:t>There is insufficient data for these genetic diseases and as such, using the CF CVS probability for all missing values is a reliable assumption.</w:t>
            </w:r>
          </w:p>
        </w:tc>
      </w:tr>
      <w:tr w:rsidR="00C815C4" w:rsidRPr="00DB14E0" w14:paraId="5B561CD7" w14:textId="77777777" w:rsidTr="00247127">
        <w:trPr>
          <w:cantSplit/>
        </w:trPr>
        <w:tc>
          <w:tcPr>
            <w:tcW w:w="3114" w:type="dxa"/>
          </w:tcPr>
          <w:p w14:paraId="79DF3437" w14:textId="77777777" w:rsidR="00C815C4" w:rsidRDefault="00C815C4" w:rsidP="00247127">
            <w:pPr>
              <w:spacing w:before="40" w:after="40"/>
              <w:rPr>
                <w:rFonts w:ascii="Arial Narrow" w:hAnsi="Arial Narrow"/>
                <w:sz w:val="20"/>
                <w:szCs w:val="20"/>
              </w:rPr>
            </w:pPr>
            <w:r>
              <w:rPr>
                <w:rFonts w:ascii="Arial Narrow" w:hAnsi="Arial Narrow"/>
                <w:sz w:val="20"/>
                <w:szCs w:val="20"/>
              </w:rPr>
              <w:t xml:space="preserve">The probability that couples undertake IVF testing for </w:t>
            </w:r>
            <w:r w:rsidRPr="00611EBF">
              <w:rPr>
                <w:rFonts w:ascii="Arial Narrow" w:hAnsi="Arial Narrow"/>
                <w:sz w:val="20"/>
                <w:szCs w:val="20"/>
              </w:rPr>
              <w:t xml:space="preserve">TSD, CD, FD, MLD, </w:t>
            </w:r>
            <w:r>
              <w:rPr>
                <w:rFonts w:ascii="Arial Narrow" w:hAnsi="Arial Narrow"/>
                <w:sz w:val="20"/>
                <w:szCs w:val="20"/>
              </w:rPr>
              <w:t>GSD</w:t>
            </w:r>
            <w:r w:rsidRPr="00611EBF">
              <w:rPr>
                <w:rFonts w:ascii="Arial Narrow" w:hAnsi="Arial Narrow"/>
                <w:sz w:val="20"/>
                <w:szCs w:val="20"/>
              </w:rPr>
              <w:t>1, FA, GD, NPD</w:t>
            </w:r>
            <w:r>
              <w:rPr>
                <w:rFonts w:ascii="Arial Narrow" w:hAnsi="Arial Narrow"/>
                <w:sz w:val="20"/>
                <w:szCs w:val="20"/>
              </w:rPr>
              <w:t xml:space="preserve"> and </w:t>
            </w:r>
            <w:r w:rsidRPr="00611EBF">
              <w:rPr>
                <w:rFonts w:ascii="Arial Narrow" w:hAnsi="Arial Narrow"/>
                <w:sz w:val="20"/>
                <w:szCs w:val="20"/>
              </w:rPr>
              <w:t>BS</w:t>
            </w:r>
            <w:r>
              <w:rPr>
                <w:rFonts w:ascii="Arial Narrow" w:hAnsi="Arial Narrow"/>
                <w:sz w:val="20"/>
                <w:szCs w:val="20"/>
              </w:rPr>
              <w:t xml:space="preserve"> </w:t>
            </w:r>
            <w:proofErr w:type="gramStart"/>
            <w:r>
              <w:rPr>
                <w:rFonts w:ascii="Arial Narrow" w:hAnsi="Arial Narrow"/>
                <w:sz w:val="20"/>
                <w:szCs w:val="20"/>
              </w:rPr>
              <w:t>is</w:t>
            </w:r>
            <w:proofErr w:type="gramEnd"/>
            <w:r>
              <w:rPr>
                <w:rFonts w:ascii="Arial Narrow" w:hAnsi="Arial Narrow"/>
                <w:sz w:val="20"/>
                <w:szCs w:val="20"/>
              </w:rPr>
              <w:t xml:space="preserve"> the same as CF.</w:t>
            </w:r>
          </w:p>
        </w:tc>
        <w:tc>
          <w:tcPr>
            <w:tcW w:w="5902" w:type="dxa"/>
          </w:tcPr>
          <w:p w14:paraId="02E30C28" w14:textId="77777777" w:rsidR="00C815C4" w:rsidRDefault="00C815C4" w:rsidP="00247127">
            <w:pPr>
              <w:spacing w:before="40" w:after="40"/>
              <w:rPr>
                <w:rFonts w:ascii="Arial Narrow" w:hAnsi="Arial Narrow"/>
                <w:sz w:val="20"/>
                <w:szCs w:val="20"/>
              </w:rPr>
            </w:pPr>
            <w:r>
              <w:rPr>
                <w:rFonts w:ascii="Arial Narrow" w:hAnsi="Arial Narrow"/>
                <w:sz w:val="20"/>
                <w:szCs w:val="20"/>
              </w:rPr>
              <w:t>There is insufficient data for these genetic diseases and as such, using the CF IVF probability for all missing values is a reliable assumption.</w:t>
            </w:r>
          </w:p>
        </w:tc>
      </w:tr>
      <w:tr w:rsidR="00C815C4" w:rsidRPr="00DB14E0" w14:paraId="0DEB9216" w14:textId="77777777" w:rsidTr="00247127">
        <w:trPr>
          <w:cantSplit/>
        </w:trPr>
        <w:tc>
          <w:tcPr>
            <w:tcW w:w="3114" w:type="dxa"/>
          </w:tcPr>
          <w:p w14:paraId="119D5ACC" w14:textId="77777777" w:rsidR="00C815C4" w:rsidRDefault="00C815C4" w:rsidP="00247127">
            <w:pPr>
              <w:spacing w:before="40" w:after="40"/>
              <w:rPr>
                <w:rFonts w:ascii="Arial Narrow" w:hAnsi="Arial Narrow"/>
                <w:sz w:val="20"/>
                <w:szCs w:val="20"/>
              </w:rPr>
            </w:pPr>
            <w:r>
              <w:rPr>
                <w:rFonts w:ascii="Arial Narrow" w:hAnsi="Arial Narrow"/>
                <w:sz w:val="20"/>
                <w:szCs w:val="20"/>
              </w:rPr>
              <w:t xml:space="preserve">The probability that couples terminate pregnancies with </w:t>
            </w:r>
            <w:r w:rsidRPr="00611EBF">
              <w:rPr>
                <w:rFonts w:ascii="Arial Narrow" w:hAnsi="Arial Narrow"/>
                <w:sz w:val="20"/>
                <w:szCs w:val="20"/>
              </w:rPr>
              <w:t xml:space="preserve">MLD, </w:t>
            </w:r>
            <w:r>
              <w:rPr>
                <w:rFonts w:ascii="Arial Narrow" w:hAnsi="Arial Narrow"/>
                <w:sz w:val="20"/>
                <w:szCs w:val="20"/>
              </w:rPr>
              <w:t>GSD</w:t>
            </w:r>
            <w:r w:rsidRPr="00611EBF">
              <w:rPr>
                <w:rFonts w:ascii="Arial Narrow" w:hAnsi="Arial Narrow"/>
                <w:sz w:val="20"/>
                <w:szCs w:val="20"/>
              </w:rPr>
              <w:t>1, FA, GD, NPD</w:t>
            </w:r>
            <w:r>
              <w:rPr>
                <w:rFonts w:ascii="Arial Narrow" w:hAnsi="Arial Narrow"/>
                <w:sz w:val="20"/>
                <w:szCs w:val="20"/>
              </w:rPr>
              <w:t xml:space="preserve"> and </w:t>
            </w:r>
            <w:r w:rsidRPr="00611EBF">
              <w:rPr>
                <w:rFonts w:ascii="Arial Narrow" w:hAnsi="Arial Narrow"/>
                <w:sz w:val="20"/>
                <w:szCs w:val="20"/>
              </w:rPr>
              <w:t>BS</w:t>
            </w:r>
            <w:r>
              <w:rPr>
                <w:rFonts w:ascii="Arial Narrow" w:hAnsi="Arial Narrow"/>
                <w:sz w:val="20"/>
                <w:szCs w:val="20"/>
              </w:rPr>
              <w:t xml:space="preserve"> </w:t>
            </w:r>
            <w:proofErr w:type="gramStart"/>
            <w:r>
              <w:rPr>
                <w:rFonts w:ascii="Arial Narrow" w:hAnsi="Arial Narrow"/>
                <w:sz w:val="20"/>
                <w:szCs w:val="20"/>
              </w:rPr>
              <w:t>is</w:t>
            </w:r>
            <w:proofErr w:type="gramEnd"/>
            <w:r>
              <w:rPr>
                <w:rFonts w:ascii="Arial Narrow" w:hAnsi="Arial Narrow"/>
                <w:sz w:val="20"/>
                <w:szCs w:val="20"/>
              </w:rPr>
              <w:t xml:space="preserve"> the equal to CF.</w:t>
            </w:r>
          </w:p>
        </w:tc>
        <w:tc>
          <w:tcPr>
            <w:tcW w:w="5902" w:type="dxa"/>
          </w:tcPr>
          <w:p w14:paraId="5CB103CC" w14:textId="77777777" w:rsidR="00C815C4" w:rsidRDefault="00C815C4" w:rsidP="00247127">
            <w:pPr>
              <w:spacing w:before="40" w:after="40"/>
              <w:rPr>
                <w:rFonts w:ascii="Arial Narrow" w:hAnsi="Arial Narrow"/>
                <w:sz w:val="20"/>
                <w:szCs w:val="20"/>
              </w:rPr>
            </w:pPr>
            <w:r>
              <w:rPr>
                <w:rFonts w:ascii="Arial Narrow" w:hAnsi="Arial Narrow"/>
                <w:sz w:val="20"/>
                <w:szCs w:val="20"/>
              </w:rPr>
              <w:t>There is insufficient data for these genetic diseases and as such, using the CF termination probability for all missing values is a reliable assumption.</w:t>
            </w:r>
          </w:p>
        </w:tc>
      </w:tr>
      <w:tr w:rsidR="00C815C4" w:rsidRPr="00DB14E0" w14:paraId="0694EB4F" w14:textId="77777777" w:rsidTr="00247127">
        <w:trPr>
          <w:cantSplit/>
        </w:trPr>
        <w:tc>
          <w:tcPr>
            <w:tcW w:w="3114" w:type="dxa"/>
          </w:tcPr>
          <w:p w14:paraId="21501BD4" w14:textId="77777777" w:rsidR="00C815C4" w:rsidRPr="00D91A2D" w:rsidRDefault="00C815C4" w:rsidP="00247127">
            <w:pPr>
              <w:spacing w:before="40" w:after="40"/>
              <w:rPr>
                <w:rFonts w:ascii="Arial Narrow" w:hAnsi="Arial Narrow"/>
                <w:sz w:val="20"/>
                <w:szCs w:val="20"/>
              </w:rPr>
            </w:pPr>
            <w:r w:rsidRPr="00D91A2D">
              <w:rPr>
                <w:rFonts w:ascii="Arial Narrow" w:hAnsi="Arial Narrow"/>
                <w:sz w:val="20"/>
                <w:szCs w:val="20"/>
              </w:rPr>
              <w:t xml:space="preserve">The probability that couples that abstain from pregnancies with TSD, CD, FD, MLD, </w:t>
            </w:r>
            <w:r>
              <w:rPr>
                <w:rFonts w:ascii="Arial Narrow" w:hAnsi="Arial Narrow"/>
                <w:sz w:val="20"/>
                <w:szCs w:val="20"/>
              </w:rPr>
              <w:t>GSD</w:t>
            </w:r>
            <w:r w:rsidRPr="00D91A2D">
              <w:rPr>
                <w:rFonts w:ascii="Arial Narrow" w:hAnsi="Arial Narrow"/>
                <w:sz w:val="20"/>
                <w:szCs w:val="20"/>
              </w:rPr>
              <w:t xml:space="preserve">1, FA, GD, NPD and BS </w:t>
            </w:r>
            <w:proofErr w:type="gramStart"/>
            <w:r w:rsidRPr="00D91A2D">
              <w:rPr>
                <w:rFonts w:ascii="Arial Narrow" w:hAnsi="Arial Narrow"/>
                <w:sz w:val="20"/>
                <w:szCs w:val="20"/>
              </w:rPr>
              <w:t>is</w:t>
            </w:r>
            <w:proofErr w:type="gramEnd"/>
            <w:r w:rsidRPr="00D91A2D">
              <w:rPr>
                <w:rFonts w:ascii="Arial Narrow" w:hAnsi="Arial Narrow"/>
                <w:sz w:val="20"/>
                <w:szCs w:val="20"/>
              </w:rPr>
              <w:t xml:space="preserve"> the same as CF.</w:t>
            </w:r>
          </w:p>
        </w:tc>
        <w:tc>
          <w:tcPr>
            <w:tcW w:w="5902" w:type="dxa"/>
          </w:tcPr>
          <w:p w14:paraId="19485295" w14:textId="77777777" w:rsidR="00C815C4" w:rsidRPr="00D91A2D" w:rsidRDefault="00C815C4" w:rsidP="00247127">
            <w:pPr>
              <w:spacing w:before="40" w:after="40"/>
              <w:rPr>
                <w:rFonts w:ascii="Arial Narrow" w:hAnsi="Arial Narrow"/>
                <w:sz w:val="20"/>
                <w:szCs w:val="20"/>
              </w:rPr>
            </w:pPr>
            <w:r w:rsidRPr="00D91A2D">
              <w:rPr>
                <w:rFonts w:ascii="Arial Narrow" w:hAnsi="Arial Narrow"/>
                <w:sz w:val="20"/>
                <w:szCs w:val="20"/>
              </w:rPr>
              <w:t xml:space="preserve">There is insufficient data for these genetic diseases and as such, using the CF abstention </w:t>
            </w:r>
            <w:r>
              <w:rPr>
                <w:rFonts w:ascii="Arial Narrow" w:hAnsi="Arial Narrow"/>
                <w:sz w:val="20"/>
                <w:szCs w:val="20"/>
              </w:rPr>
              <w:t>probability</w:t>
            </w:r>
            <w:r w:rsidRPr="00D91A2D">
              <w:rPr>
                <w:rFonts w:ascii="Arial Narrow" w:hAnsi="Arial Narrow"/>
                <w:sz w:val="20"/>
                <w:szCs w:val="20"/>
              </w:rPr>
              <w:t xml:space="preserve"> for all missing values is a reliable assumption.</w:t>
            </w:r>
          </w:p>
        </w:tc>
      </w:tr>
    </w:tbl>
    <w:p w14:paraId="1A13ECA0" w14:textId="0CFDE55D" w:rsidR="00C815C4" w:rsidRDefault="00C815C4" w:rsidP="00C815C4">
      <w:pPr>
        <w:pStyle w:val="Tabletext0"/>
        <w:rPr>
          <w:sz w:val="18"/>
          <w:szCs w:val="18"/>
        </w:rPr>
      </w:pPr>
      <w:r w:rsidRPr="00991E1F">
        <w:rPr>
          <w:sz w:val="18"/>
          <w:szCs w:val="18"/>
        </w:rPr>
        <w:t xml:space="preserve">CF=Cystic </w:t>
      </w:r>
      <w:r w:rsidRPr="00C31696">
        <w:rPr>
          <w:sz w:val="18"/>
          <w:szCs w:val="18"/>
        </w:rPr>
        <w:t xml:space="preserve">Fibrosis, FXS=Fragile X Syndrome, SMA=Spinal Muscular Atrophy, TSD=Tay Sachs Disease, CD=Canavan disease, FD= Familial dysautonomia, MLD= </w:t>
      </w:r>
      <w:proofErr w:type="spellStart"/>
      <w:r w:rsidRPr="00C31696">
        <w:rPr>
          <w:sz w:val="18"/>
          <w:szCs w:val="18"/>
        </w:rPr>
        <w:t>Mucolipidosis</w:t>
      </w:r>
      <w:proofErr w:type="spellEnd"/>
      <w:r w:rsidRPr="00C31696">
        <w:rPr>
          <w:sz w:val="18"/>
          <w:szCs w:val="18"/>
        </w:rPr>
        <w:t xml:space="preserve"> Type IV, GSD1=Glycogen storage disease type 1, FA=Fanconi anaemia type C, GD=Gaucher disease, NPD=Niemann Pick Disease </w:t>
      </w:r>
      <w:proofErr w:type="gramStart"/>
      <w:r w:rsidRPr="00C31696">
        <w:rPr>
          <w:sz w:val="18"/>
          <w:szCs w:val="18"/>
        </w:rPr>
        <w:t>type</w:t>
      </w:r>
      <w:proofErr w:type="gramEnd"/>
      <w:r w:rsidRPr="00C31696">
        <w:rPr>
          <w:sz w:val="18"/>
          <w:szCs w:val="18"/>
        </w:rPr>
        <w:t xml:space="preserve"> A, BS=Bloom Syndrome, CVS=Chorionic villus sampling, IVF=in vitro fertilisatio</w:t>
      </w:r>
      <w:r>
        <w:rPr>
          <w:sz w:val="18"/>
          <w:szCs w:val="18"/>
        </w:rPr>
        <w:t>n.</w:t>
      </w:r>
    </w:p>
    <w:p w14:paraId="0354E4C0" w14:textId="59265A06" w:rsidR="00C815C4" w:rsidRDefault="00C815C4" w:rsidP="00C815C4">
      <w:pPr>
        <w:pStyle w:val="Tabletext0"/>
        <w:rPr>
          <w:sz w:val="18"/>
          <w:szCs w:val="18"/>
        </w:rPr>
      </w:pPr>
      <w:r>
        <w:rPr>
          <w:sz w:val="18"/>
          <w:szCs w:val="18"/>
        </w:rPr>
        <w:t>Source: DCAR, Table 44</w:t>
      </w:r>
    </w:p>
    <w:p w14:paraId="51F4E449" w14:textId="2581C1B3" w:rsidR="004C0D94" w:rsidRDefault="004C0D94" w:rsidP="00E96E47">
      <w:pPr>
        <w:pStyle w:val="Guidelinescross-ref"/>
        <w:keepNext/>
        <w:spacing w:after="160"/>
        <w:rPr>
          <w:b w:val="0"/>
          <w:color w:val="auto"/>
          <w:sz w:val="22"/>
        </w:rPr>
      </w:pPr>
      <w:r>
        <w:rPr>
          <w:b w:val="0"/>
          <w:color w:val="auto"/>
          <w:sz w:val="22"/>
        </w:rPr>
        <w:t>Step 1 involved separately analysing the stand-alone costs per affected birth for all conditions in preconcept</w:t>
      </w:r>
      <w:r w:rsidR="00377E52">
        <w:rPr>
          <w:b w:val="0"/>
          <w:color w:val="auto"/>
          <w:sz w:val="22"/>
        </w:rPr>
        <w:t>ion</w:t>
      </w:r>
      <w:r>
        <w:rPr>
          <w:b w:val="0"/>
          <w:color w:val="auto"/>
          <w:sz w:val="22"/>
        </w:rPr>
        <w:t xml:space="preserve"> and prenatal populations. Step 2 considered the total cost of </w:t>
      </w:r>
      <w:r w:rsidR="00E76DCC">
        <w:rPr>
          <w:b w:val="0"/>
          <w:color w:val="auto"/>
          <w:sz w:val="22"/>
        </w:rPr>
        <w:t>preconception</w:t>
      </w:r>
      <w:r>
        <w:rPr>
          <w:b w:val="0"/>
          <w:color w:val="auto"/>
          <w:sz w:val="22"/>
        </w:rPr>
        <w:t xml:space="preserve"> genetic carrier </w:t>
      </w:r>
      <w:r w:rsidR="001F51B6">
        <w:rPr>
          <w:b w:val="0"/>
          <w:color w:val="auto"/>
          <w:sz w:val="22"/>
        </w:rPr>
        <w:t xml:space="preserve">testing </w:t>
      </w:r>
      <w:r>
        <w:rPr>
          <w:b w:val="0"/>
          <w:color w:val="auto"/>
          <w:sz w:val="22"/>
        </w:rPr>
        <w:t xml:space="preserve">and prenatal genetic carrier </w:t>
      </w:r>
      <w:r w:rsidR="001F51B6">
        <w:rPr>
          <w:b w:val="0"/>
          <w:color w:val="auto"/>
          <w:sz w:val="22"/>
        </w:rPr>
        <w:t xml:space="preserve">testing </w:t>
      </w:r>
      <w:r>
        <w:rPr>
          <w:b w:val="0"/>
          <w:color w:val="auto"/>
          <w:sz w:val="22"/>
        </w:rPr>
        <w:t xml:space="preserve">against </w:t>
      </w:r>
      <w:r w:rsidR="003A0D53">
        <w:rPr>
          <w:b w:val="0"/>
          <w:color w:val="auto"/>
          <w:sz w:val="22"/>
        </w:rPr>
        <w:t xml:space="preserve">the </w:t>
      </w:r>
      <w:r>
        <w:rPr>
          <w:b w:val="0"/>
          <w:color w:val="auto"/>
          <w:sz w:val="22"/>
        </w:rPr>
        <w:t xml:space="preserve">comparator one, by considering the cumulative proportions of outcomes in each scenario (baby with condition, baby without condition, IVF, abstain, infant mortality, termination). </w:t>
      </w:r>
      <w:r w:rsidR="00E76DCC">
        <w:rPr>
          <w:b w:val="0"/>
          <w:color w:val="auto"/>
          <w:sz w:val="22"/>
        </w:rPr>
        <w:t>Preconception</w:t>
      </w:r>
      <w:r>
        <w:rPr>
          <w:b w:val="0"/>
          <w:color w:val="auto"/>
          <w:sz w:val="22"/>
        </w:rPr>
        <w:t xml:space="preserve"> and prenatal populations were combined in Step 3 and </w:t>
      </w:r>
      <w:r w:rsidR="0095051D">
        <w:rPr>
          <w:b w:val="0"/>
          <w:color w:val="auto"/>
          <w:sz w:val="22"/>
        </w:rPr>
        <w:t xml:space="preserve">were </w:t>
      </w:r>
      <w:r>
        <w:rPr>
          <w:b w:val="0"/>
          <w:color w:val="auto"/>
          <w:sz w:val="22"/>
        </w:rPr>
        <w:t>labelled as initial pregnancies. Step 4 combined costs and events for initial and subsequent pregnancies, to determine the current and future impact of carrier testing beyond initial pregnancies. Th</w:t>
      </w:r>
      <w:r w:rsidR="00FF719C">
        <w:rPr>
          <w:b w:val="0"/>
          <w:color w:val="auto"/>
          <w:sz w:val="22"/>
        </w:rPr>
        <w:t xml:space="preserve">is </w:t>
      </w:r>
      <w:r>
        <w:rPr>
          <w:b w:val="0"/>
          <w:color w:val="auto"/>
          <w:sz w:val="22"/>
        </w:rPr>
        <w:t>step</w:t>
      </w:r>
      <w:r w:rsidR="00FF719C">
        <w:rPr>
          <w:b w:val="0"/>
          <w:color w:val="auto"/>
          <w:sz w:val="22"/>
        </w:rPr>
        <w:t>ped analysis is</w:t>
      </w:r>
      <w:r>
        <w:rPr>
          <w:b w:val="0"/>
          <w:color w:val="auto"/>
          <w:sz w:val="22"/>
        </w:rPr>
        <w:t xml:space="preserve"> outlined in </w:t>
      </w:r>
      <w:r w:rsidR="00FF719C">
        <w:rPr>
          <w:b w:val="0"/>
          <w:color w:val="auto"/>
          <w:sz w:val="22"/>
        </w:rPr>
        <w:t xml:space="preserve">Tables </w:t>
      </w:r>
      <w:r w:rsidR="00A50E42">
        <w:rPr>
          <w:b w:val="0"/>
          <w:color w:val="auto"/>
          <w:sz w:val="22"/>
        </w:rPr>
        <w:t>1</w:t>
      </w:r>
      <w:r w:rsidR="007260EF">
        <w:rPr>
          <w:b w:val="0"/>
          <w:color w:val="auto"/>
          <w:sz w:val="22"/>
        </w:rPr>
        <w:t>3</w:t>
      </w:r>
      <w:r w:rsidR="00A50E42">
        <w:rPr>
          <w:b w:val="0"/>
          <w:color w:val="auto"/>
          <w:sz w:val="22"/>
        </w:rPr>
        <w:t>-1</w:t>
      </w:r>
      <w:r w:rsidR="007260EF">
        <w:rPr>
          <w:b w:val="0"/>
          <w:color w:val="auto"/>
          <w:sz w:val="22"/>
        </w:rPr>
        <w:t>6</w:t>
      </w:r>
      <w:r w:rsidR="00A50E42">
        <w:rPr>
          <w:b w:val="0"/>
          <w:color w:val="auto"/>
          <w:sz w:val="22"/>
        </w:rPr>
        <w:t xml:space="preserve"> </w:t>
      </w:r>
      <w:r>
        <w:rPr>
          <w:b w:val="0"/>
          <w:color w:val="auto"/>
          <w:sz w:val="22"/>
        </w:rPr>
        <w:t xml:space="preserve">below for </w:t>
      </w:r>
      <w:r w:rsidR="00CA2EEE">
        <w:rPr>
          <w:b w:val="0"/>
          <w:color w:val="auto"/>
          <w:sz w:val="22"/>
        </w:rPr>
        <w:t>carrier</w:t>
      </w:r>
      <w:r w:rsidR="00911C3B">
        <w:rPr>
          <w:b w:val="0"/>
          <w:color w:val="auto"/>
          <w:sz w:val="22"/>
        </w:rPr>
        <w:t xml:space="preserve"> </w:t>
      </w:r>
      <w:r>
        <w:rPr>
          <w:b w:val="0"/>
          <w:color w:val="auto"/>
          <w:sz w:val="22"/>
        </w:rPr>
        <w:t xml:space="preserve">testing compared to </w:t>
      </w:r>
      <w:r w:rsidR="007976D7">
        <w:rPr>
          <w:b w:val="0"/>
          <w:color w:val="auto"/>
          <w:sz w:val="22"/>
        </w:rPr>
        <w:t>CF/SMA/FX testing</w:t>
      </w:r>
      <w:r>
        <w:rPr>
          <w:b w:val="0"/>
          <w:color w:val="auto"/>
          <w:sz w:val="22"/>
        </w:rPr>
        <w:t>.</w:t>
      </w:r>
    </w:p>
    <w:p w14:paraId="40362B0F" w14:textId="7DF0AA18" w:rsidR="00367570" w:rsidRPr="00367570" w:rsidRDefault="003A0B9B" w:rsidP="003D1E13">
      <w:pPr>
        <w:pStyle w:val="Guidelinescross-ref"/>
        <w:spacing w:before="120" w:after="160"/>
        <w:rPr>
          <w:b w:val="0"/>
          <w:color w:val="auto"/>
          <w:sz w:val="22"/>
        </w:rPr>
      </w:pPr>
      <w:r w:rsidRPr="006C2C3F">
        <w:rPr>
          <w:b w:val="0"/>
          <w:color w:val="auto"/>
          <w:sz w:val="22"/>
        </w:rPr>
        <w:t xml:space="preserve">Table </w:t>
      </w:r>
      <w:r w:rsidRPr="006C2C3F">
        <w:rPr>
          <w:b w:val="0"/>
          <w:noProof/>
          <w:color w:val="auto"/>
          <w:sz w:val="22"/>
        </w:rPr>
        <w:t>1</w:t>
      </w:r>
      <w:r w:rsidR="007260EF">
        <w:rPr>
          <w:b w:val="0"/>
          <w:noProof/>
          <w:color w:val="auto"/>
          <w:sz w:val="22"/>
        </w:rPr>
        <w:t>3</w:t>
      </w:r>
      <w:r w:rsidR="00367570">
        <w:rPr>
          <w:b w:val="0"/>
          <w:color w:val="auto"/>
          <w:sz w:val="22"/>
        </w:rPr>
        <w:t xml:space="preserve"> </w:t>
      </w:r>
      <w:r w:rsidR="00523E92">
        <w:rPr>
          <w:b w:val="0"/>
          <w:color w:val="auto"/>
          <w:sz w:val="22"/>
        </w:rPr>
        <w:t>details the results of the first step in the stepped analysis whereby stand-alone costs and effectiveness were calculated for each condition.</w:t>
      </w:r>
    </w:p>
    <w:p w14:paraId="636353DA" w14:textId="14BA5228" w:rsidR="00367570" w:rsidRDefault="00367570" w:rsidP="001F46A5">
      <w:pPr>
        <w:pStyle w:val="Caption"/>
        <w:ind w:left="709" w:hanging="709"/>
      </w:pPr>
      <w:bookmarkStart w:id="65" w:name="_Ref100584011"/>
      <w:bookmarkStart w:id="66" w:name="_Ref100583999"/>
      <w:bookmarkStart w:id="67" w:name="_Toc103096609"/>
      <w:r>
        <w:lastRenderedPageBreak/>
        <w:t xml:space="preserve">Table </w:t>
      </w:r>
      <w:r w:rsidR="003A0B9B">
        <w:rPr>
          <w:noProof/>
        </w:rPr>
        <w:t>1</w:t>
      </w:r>
      <w:bookmarkEnd w:id="65"/>
      <w:r w:rsidR="007260EF">
        <w:rPr>
          <w:noProof/>
        </w:rPr>
        <w:t>3</w:t>
      </w:r>
      <w:r>
        <w:t xml:space="preserve"> </w:t>
      </w:r>
      <w:r w:rsidR="009A5FA7">
        <w:tab/>
      </w:r>
      <w:r>
        <w:t xml:space="preserve">Approach to the stepped analysis - Step 1, </w:t>
      </w:r>
      <w:r w:rsidR="00AC27AB" w:rsidRPr="00AC27AB">
        <w:t xml:space="preserve">Initial pregnancies, </w:t>
      </w:r>
      <w:r>
        <w:t xml:space="preserve">stand-alone </w:t>
      </w:r>
      <w:r w:rsidR="003A2D20">
        <w:t>costs</w:t>
      </w:r>
      <w:r w:rsidR="00EC22C6">
        <w:t xml:space="preserve"> </w:t>
      </w:r>
      <w:r>
        <w:t>and effectiveness</w:t>
      </w:r>
      <w:bookmarkEnd w:id="66"/>
      <w:r w:rsidR="00C465C4">
        <w:t xml:space="preserve"> </w:t>
      </w:r>
      <w:r w:rsidR="003D348E" w:rsidRPr="003D348E">
        <w:t>for preconception and prenatal testing</w:t>
      </w:r>
      <w:r w:rsidR="00C465C4">
        <w:t xml:space="preserve"> compared to </w:t>
      </w:r>
      <w:r w:rsidR="003D348E" w:rsidRPr="003D348E">
        <w:t>CF/SMA/FXS testing</w:t>
      </w:r>
      <w:bookmarkEnd w:id="67"/>
    </w:p>
    <w:tbl>
      <w:tblPr>
        <w:tblStyle w:val="TableGrid1"/>
        <w:tblW w:w="9493" w:type="dxa"/>
        <w:tblLook w:val="04A0" w:firstRow="1" w:lastRow="0" w:firstColumn="1" w:lastColumn="0" w:noHBand="0" w:noVBand="1"/>
      </w:tblPr>
      <w:tblGrid>
        <w:gridCol w:w="3137"/>
        <w:gridCol w:w="3279"/>
        <w:gridCol w:w="3077"/>
      </w:tblGrid>
      <w:tr w:rsidR="00B07B3C" w:rsidRPr="00BF60B1" w14:paraId="013EF007" w14:textId="77777777" w:rsidTr="00B72510">
        <w:trPr>
          <w:cnfStyle w:val="100000000000" w:firstRow="1" w:lastRow="0" w:firstColumn="0" w:lastColumn="0" w:oddVBand="0" w:evenVBand="0" w:oddHBand="0" w:evenHBand="0" w:firstRowFirstColumn="0" w:firstRowLastColumn="0" w:lastRowFirstColumn="0" w:lastRowLastColumn="0"/>
          <w:cantSplit/>
          <w:trHeight w:val="299"/>
          <w:tblHeader/>
        </w:trPr>
        <w:tc>
          <w:tcPr>
            <w:tcW w:w="3137" w:type="dxa"/>
            <w:vMerge w:val="restart"/>
            <w:vAlign w:val="center"/>
            <w:hideMark/>
          </w:tcPr>
          <w:p w14:paraId="1597A356" w14:textId="77777777" w:rsidR="00B07B3C" w:rsidRPr="00BF60B1" w:rsidRDefault="00B07B3C" w:rsidP="00C11216">
            <w:pPr>
              <w:keepNext/>
              <w:spacing w:before="0" w:after="0"/>
              <w:rPr>
                <w:rFonts w:ascii="Arial Narrow" w:hAnsi="Arial Narrow" w:cs="Calibri"/>
                <w:b/>
                <w:bCs/>
              </w:rPr>
            </w:pPr>
            <w:r w:rsidRPr="00BF60B1">
              <w:rPr>
                <w:rFonts w:ascii="Arial Narrow" w:hAnsi="Arial Narrow" w:cs="Calibri"/>
                <w:b/>
                <w:bCs/>
              </w:rPr>
              <w:t>Population and circumstances of use</w:t>
            </w:r>
          </w:p>
          <w:p w14:paraId="65D2CFFB" w14:textId="7561D3DC" w:rsidR="00B07B3C" w:rsidRPr="00BF60B1" w:rsidRDefault="00B07B3C" w:rsidP="00C11216">
            <w:pPr>
              <w:keepNext/>
              <w:spacing w:before="0" w:after="0"/>
              <w:rPr>
                <w:rFonts w:ascii="Arial Narrow" w:hAnsi="Arial Narrow" w:cs="Calibri"/>
                <w:b/>
                <w:bCs/>
              </w:rPr>
            </w:pPr>
            <w:r w:rsidRPr="00BF60B1">
              <w:rPr>
                <w:rFonts w:ascii="Arial Narrow" w:hAnsi="Arial Narrow"/>
              </w:rPr>
              <w:t> </w:t>
            </w:r>
          </w:p>
        </w:tc>
        <w:tc>
          <w:tcPr>
            <w:tcW w:w="6356" w:type="dxa"/>
            <w:gridSpan w:val="2"/>
            <w:vAlign w:val="center"/>
            <w:hideMark/>
          </w:tcPr>
          <w:p w14:paraId="6381AFB7" w14:textId="77777777" w:rsidR="00B07B3C" w:rsidRPr="00BF60B1" w:rsidRDefault="00B07B3C" w:rsidP="000D6099">
            <w:pPr>
              <w:keepNext/>
              <w:spacing w:before="0" w:after="0"/>
              <w:jc w:val="center"/>
              <w:rPr>
                <w:rFonts w:ascii="Arial Narrow" w:hAnsi="Arial Narrow" w:cs="Calibri"/>
                <w:b/>
                <w:bCs/>
              </w:rPr>
            </w:pPr>
            <w:r w:rsidRPr="00BF60B1">
              <w:rPr>
                <w:rFonts w:ascii="Arial Narrow" w:hAnsi="Arial Narrow" w:cs="Calibri"/>
                <w:b/>
                <w:bCs/>
              </w:rPr>
              <w:t>Results</w:t>
            </w:r>
          </w:p>
        </w:tc>
      </w:tr>
      <w:tr w:rsidR="00B07B3C" w:rsidRPr="00BF60B1" w14:paraId="4B6A6DA9" w14:textId="77777777" w:rsidTr="00B72510">
        <w:trPr>
          <w:cnfStyle w:val="100000000000" w:firstRow="1" w:lastRow="0" w:firstColumn="0" w:lastColumn="0" w:oddVBand="0" w:evenVBand="0" w:oddHBand="0" w:evenHBand="0" w:firstRowFirstColumn="0" w:firstRowLastColumn="0" w:lastRowFirstColumn="0" w:lastRowLastColumn="0"/>
          <w:cantSplit/>
          <w:trHeight w:val="314"/>
          <w:tblHeader/>
        </w:trPr>
        <w:tc>
          <w:tcPr>
            <w:tcW w:w="3137" w:type="dxa"/>
            <w:vMerge/>
            <w:vAlign w:val="center"/>
            <w:hideMark/>
          </w:tcPr>
          <w:p w14:paraId="668AE946" w14:textId="412B75E4" w:rsidR="00B07B3C" w:rsidRPr="00BF60B1" w:rsidRDefault="00B07B3C" w:rsidP="00EB0436">
            <w:pPr>
              <w:keepNext/>
              <w:spacing w:before="0" w:after="0"/>
              <w:rPr>
                <w:rFonts w:ascii="Arial Narrow" w:hAnsi="Arial Narrow"/>
              </w:rPr>
            </w:pPr>
          </w:p>
        </w:tc>
        <w:tc>
          <w:tcPr>
            <w:tcW w:w="3279" w:type="dxa"/>
            <w:vAlign w:val="center"/>
            <w:hideMark/>
          </w:tcPr>
          <w:p w14:paraId="7A240D20" w14:textId="0F223C59" w:rsidR="00B07B3C" w:rsidRPr="00BF60B1" w:rsidRDefault="00B07B3C" w:rsidP="00EB0436">
            <w:pPr>
              <w:keepNext/>
              <w:spacing w:before="0" w:after="0"/>
              <w:jc w:val="center"/>
              <w:rPr>
                <w:rFonts w:ascii="Arial Narrow" w:hAnsi="Arial Narrow" w:cs="Calibri"/>
                <w:b/>
                <w:bCs/>
              </w:rPr>
            </w:pPr>
            <w:r w:rsidRPr="00BF60B1">
              <w:rPr>
                <w:rFonts w:ascii="Arial Narrow" w:hAnsi="Arial Narrow" w:cs="Calibri"/>
                <w:b/>
                <w:bCs/>
              </w:rPr>
              <w:t>Preconception</w:t>
            </w:r>
          </w:p>
        </w:tc>
        <w:tc>
          <w:tcPr>
            <w:tcW w:w="3077" w:type="dxa"/>
            <w:vAlign w:val="center"/>
            <w:hideMark/>
          </w:tcPr>
          <w:p w14:paraId="5418831A" w14:textId="77777777" w:rsidR="00B07B3C" w:rsidRPr="00BF60B1" w:rsidRDefault="00B07B3C" w:rsidP="00EB0436">
            <w:pPr>
              <w:keepNext/>
              <w:spacing w:before="0" w:after="0"/>
              <w:jc w:val="center"/>
              <w:rPr>
                <w:rFonts w:ascii="Arial Narrow" w:hAnsi="Arial Narrow" w:cs="Calibri"/>
                <w:b/>
                <w:bCs/>
              </w:rPr>
            </w:pPr>
            <w:r w:rsidRPr="00BF60B1">
              <w:rPr>
                <w:rFonts w:ascii="Arial Narrow" w:hAnsi="Arial Narrow" w:cs="Calibri"/>
                <w:b/>
                <w:bCs/>
              </w:rPr>
              <w:t>Pre-natal</w:t>
            </w:r>
          </w:p>
        </w:tc>
      </w:tr>
      <w:tr w:rsidR="00DB15A5" w:rsidRPr="00BF60B1" w14:paraId="414E3F14" w14:textId="77777777" w:rsidTr="00B72510">
        <w:trPr>
          <w:cantSplit/>
          <w:trHeight w:val="314"/>
        </w:trPr>
        <w:tc>
          <w:tcPr>
            <w:tcW w:w="9493" w:type="dxa"/>
            <w:gridSpan w:val="3"/>
            <w:vAlign w:val="center"/>
            <w:hideMark/>
          </w:tcPr>
          <w:p w14:paraId="4CFDD7D7" w14:textId="77777777" w:rsidR="00DB15A5" w:rsidRPr="00BF60B1" w:rsidRDefault="00DB15A5" w:rsidP="00C11216">
            <w:pPr>
              <w:keepNext/>
              <w:spacing w:before="0" w:after="0"/>
              <w:rPr>
                <w:rFonts w:ascii="Arial Narrow" w:hAnsi="Arial Narrow" w:cs="Calibri"/>
                <w:b/>
                <w:bCs/>
              </w:rPr>
            </w:pPr>
            <w:r w:rsidRPr="00BF60B1">
              <w:rPr>
                <w:rFonts w:ascii="Arial Narrow" w:hAnsi="Arial Narrow" w:cs="Calibri"/>
                <w:b/>
                <w:bCs/>
              </w:rPr>
              <w:t> Step 1 – calculate stand-alone costs and effectiveness (births averted</w:t>
            </w:r>
            <w:r>
              <w:rPr>
                <w:rFonts w:ascii="Arial Narrow" w:hAnsi="Arial Narrow" w:cs="Calibri"/>
                <w:b/>
                <w:bCs/>
              </w:rPr>
              <w:t>)</w:t>
            </w:r>
          </w:p>
        </w:tc>
      </w:tr>
      <w:tr w:rsidR="00E039E4" w:rsidRPr="00BF60B1" w14:paraId="32F1E720" w14:textId="77777777" w:rsidTr="00B72510">
        <w:trPr>
          <w:cantSplit/>
          <w:trHeight w:val="299"/>
        </w:trPr>
        <w:tc>
          <w:tcPr>
            <w:tcW w:w="9493" w:type="dxa"/>
            <w:gridSpan w:val="3"/>
            <w:vAlign w:val="center"/>
            <w:hideMark/>
          </w:tcPr>
          <w:p w14:paraId="1A11ABA0" w14:textId="69771001" w:rsidR="00E039E4" w:rsidRPr="00BF60B1" w:rsidRDefault="00E039E4" w:rsidP="00C11216">
            <w:pPr>
              <w:keepNext/>
              <w:spacing w:before="0" w:after="0"/>
              <w:rPr>
                <w:rFonts w:ascii="Arial Narrow" w:hAnsi="Arial Narrow" w:cs="Calibri"/>
                <w:b/>
                <w:bCs/>
              </w:rPr>
            </w:pPr>
            <w:r>
              <w:rPr>
                <w:rFonts w:ascii="Arial Narrow" w:hAnsi="Arial Narrow" w:cs="Calibri"/>
                <w:b/>
                <w:bCs/>
                <w:color w:val="000000"/>
              </w:rPr>
              <w:t>TSD Births Only</w:t>
            </w:r>
          </w:p>
        </w:tc>
      </w:tr>
      <w:tr w:rsidR="003D5233" w:rsidRPr="00BF60B1" w14:paraId="7BB81F0C" w14:textId="77777777" w:rsidTr="00B72510">
        <w:trPr>
          <w:cantSplit/>
          <w:trHeight w:val="314"/>
        </w:trPr>
        <w:tc>
          <w:tcPr>
            <w:tcW w:w="3137" w:type="dxa"/>
            <w:vAlign w:val="center"/>
            <w:hideMark/>
          </w:tcPr>
          <w:p w14:paraId="053C93D7" w14:textId="5B78D391" w:rsidR="003D5233" w:rsidRPr="00BF60B1" w:rsidRDefault="003D5233" w:rsidP="00C11216">
            <w:pPr>
              <w:keepNext/>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00005116" w14:textId="3BC6DC14" w:rsidR="003D5233" w:rsidRPr="00BF60B1" w:rsidRDefault="003D5233" w:rsidP="000D6099">
            <w:pPr>
              <w:keepNext/>
              <w:spacing w:before="0" w:after="0"/>
              <w:jc w:val="center"/>
              <w:rPr>
                <w:rFonts w:ascii="Arial Narrow" w:hAnsi="Arial Narrow" w:cs="Calibri"/>
                <w:b/>
                <w:bCs/>
              </w:rPr>
            </w:pPr>
          </w:p>
        </w:tc>
        <w:tc>
          <w:tcPr>
            <w:tcW w:w="3077" w:type="dxa"/>
            <w:vAlign w:val="center"/>
            <w:hideMark/>
          </w:tcPr>
          <w:p w14:paraId="27337264" w14:textId="56F5B5AB" w:rsidR="003D5233" w:rsidRPr="00BF60B1" w:rsidRDefault="003D5233" w:rsidP="000D6099">
            <w:pPr>
              <w:keepNext/>
              <w:spacing w:before="0" w:after="0"/>
              <w:jc w:val="center"/>
              <w:rPr>
                <w:rFonts w:ascii="Arial Narrow" w:hAnsi="Arial Narrow" w:cs="Calibri"/>
              </w:rPr>
            </w:pPr>
          </w:p>
        </w:tc>
      </w:tr>
      <w:tr w:rsidR="002C532F" w:rsidRPr="00BF60B1" w14:paraId="5397CB04" w14:textId="77777777" w:rsidTr="00B72510">
        <w:trPr>
          <w:cantSplit/>
          <w:trHeight w:val="314"/>
        </w:trPr>
        <w:tc>
          <w:tcPr>
            <w:tcW w:w="3137" w:type="dxa"/>
            <w:vAlign w:val="center"/>
            <w:hideMark/>
          </w:tcPr>
          <w:p w14:paraId="618C0A3D" w14:textId="50E7C955" w:rsidR="002C532F" w:rsidRPr="00BF60B1" w:rsidRDefault="002C532F" w:rsidP="002C532F">
            <w:pPr>
              <w:keepNext/>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5471C22A" w14:textId="163BC707" w:rsidR="002C532F" w:rsidRPr="00BF60B1" w:rsidRDefault="002C532F" w:rsidP="002C532F">
            <w:pPr>
              <w:keepNext/>
              <w:spacing w:before="0" w:after="0"/>
              <w:jc w:val="center"/>
              <w:rPr>
                <w:rFonts w:ascii="Arial Narrow" w:hAnsi="Arial Narrow" w:cs="Calibri"/>
              </w:rPr>
            </w:pPr>
            <w:r>
              <w:rPr>
                <w:rFonts w:ascii="Arial Narrow" w:hAnsi="Arial Narrow" w:cs="Calibri"/>
                <w:color w:val="000000"/>
              </w:rPr>
              <w:t>$526.16</w:t>
            </w:r>
          </w:p>
        </w:tc>
        <w:tc>
          <w:tcPr>
            <w:tcW w:w="3077" w:type="dxa"/>
            <w:vAlign w:val="center"/>
            <w:hideMark/>
          </w:tcPr>
          <w:p w14:paraId="2B32B6B3" w14:textId="0E4F0D58" w:rsidR="002C532F" w:rsidRPr="00BF60B1" w:rsidRDefault="002C532F" w:rsidP="002C532F">
            <w:pPr>
              <w:keepNext/>
              <w:spacing w:before="0" w:after="0"/>
              <w:jc w:val="center"/>
              <w:rPr>
                <w:rFonts w:ascii="Arial Narrow" w:hAnsi="Arial Narrow" w:cs="Calibri"/>
              </w:rPr>
            </w:pPr>
            <w:r>
              <w:rPr>
                <w:rFonts w:ascii="Arial Narrow" w:hAnsi="Arial Narrow" w:cs="Calibri"/>
                <w:color w:val="000000"/>
              </w:rPr>
              <w:t>$848.80</w:t>
            </w:r>
          </w:p>
        </w:tc>
      </w:tr>
      <w:tr w:rsidR="002C532F" w:rsidRPr="00BF60B1" w14:paraId="19E1FA2F" w14:textId="77777777" w:rsidTr="00B72510">
        <w:trPr>
          <w:cantSplit/>
          <w:trHeight w:val="299"/>
        </w:trPr>
        <w:tc>
          <w:tcPr>
            <w:tcW w:w="3137" w:type="dxa"/>
            <w:vAlign w:val="center"/>
            <w:hideMark/>
          </w:tcPr>
          <w:p w14:paraId="01543811" w14:textId="7229F12C"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16F78EF6" w14:textId="09BFAC7C" w:rsidR="002C532F" w:rsidRPr="00BF60B1" w:rsidRDefault="002C532F" w:rsidP="002C532F">
            <w:pPr>
              <w:spacing w:before="0" w:after="0"/>
              <w:jc w:val="center"/>
              <w:rPr>
                <w:rFonts w:ascii="Arial Narrow" w:hAnsi="Arial Narrow" w:cs="Calibri"/>
              </w:rPr>
            </w:pPr>
            <w:r>
              <w:rPr>
                <w:rFonts w:ascii="Arial Narrow" w:hAnsi="Arial Narrow" w:cs="Calibri"/>
                <w:color w:val="000000"/>
              </w:rPr>
              <w:t>$463.61</w:t>
            </w:r>
          </w:p>
        </w:tc>
        <w:tc>
          <w:tcPr>
            <w:tcW w:w="3077" w:type="dxa"/>
            <w:vAlign w:val="center"/>
            <w:hideMark/>
          </w:tcPr>
          <w:p w14:paraId="32344258" w14:textId="1948B76A" w:rsidR="002C532F" w:rsidRPr="00BF60B1" w:rsidRDefault="002C532F" w:rsidP="002C532F">
            <w:pPr>
              <w:spacing w:before="0" w:after="0"/>
              <w:jc w:val="center"/>
              <w:rPr>
                <w:rFonts w:ascii="Arial Narrow" w:hAnsi="Arial Narrow" w:cs="Calibri"/>
              </w:rPr>
            </w:pPr>
            <w:r>
              <w:rPr>
                <w:rFonts w:ascii="Arial Narrow" w:hAnsi="Arial Narrow" w:cs="Calibri"/>
                <w:color w:val="000000"/>
              </w:rPr>
              <w:t>$463.61</w:t>
            </w:r>
          </w:p>
        </w:tc>
      </w:tr>
      <w:tr w:rsidR="002C532F" w:rsidRPr="00BF60B1" w14:paraId="270598C8" w14:textId="77777777" w:rsidTr="00B72510">
        <w:trPr>
          <w:cantSplit/>
          <w:trHeight w:val="314"/>
        </w:trPr>
        <w:tc>
          <w:tcPr>
            <w:tcW w:w="3137" w:type="dxa"/>
            <w:vAlign w:val="center"/>
            <w:hideMark/>
          </w:tcPr>
          <w:p w14:paraId="0D478E7E" w14:textId="6D2C8534"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0D323674" w14:textId="15B110FD" w:rsidR="002C532F" w:rsidRPr="00BF60B1" w:rsidRDefault="002C532F" w:rsidP="002C532F">
            <w:pPr>
              <w:spacing w:before="0" w:after="0"/>
              <w:jc w:val="center"/>
              <w:rPr>
                <w:rFonts w:ascii="Arial Narrow" w:hAnsi="Arial Narrow" w:cs="Calibri"/>
              </w:rPr>
            </w:pPr>
            <w:r>
              <w:rPr>
                <w:rFonts w:ascii="Arial Narrow" w:hAnsi="Arial Narrow" w:cs="Calibri"/>
                <w:color w:val="000000"/>
              </w:rPr>
              <w:t>$62.56</w:t>
            </w:r>
          </w:p>
        </w:tc>
        <w:tc>
          <w:tcPr>
            <w:tcW w:w="3077" w:type="dxa"/>
            <w:vAlign w:val="center"/>
            <w:hideMark/>
          </w:tcPr>
          <w:p w14:paraId="5A5FC496" w14:textId="44E56538" w:rsidR="002C532F" w:rsidRPr="00BF60B1" w:rsidRDefault="002C532F" w:rsidP="002C532F">
            <w:pPr>
              <w:spacing w:before="0" w:after="0"/>
              <w:jc w:val="center"/>
              <w:rPr>
                <w:rFonts w:ascii="Arial Narrow" w:hAnsi="Arial Narrow" w:cs="Calibri"/>
              </w:rPr>
            </w:pPr>
            <w:r>
              <w:rPr>
                <w:rFonts w:ascii="Arial Narrow" w:hAnsi="Arial Narrow" w:cs="Calibri"/>
                <w:color w:val="000000"/>
              </w:rPr>
              <w:t>$385.20</w:t>
            </w:r>
          </w:p>
        </w:tc>
      </w:tr>
      <w:tr w:rsidR="00551D8E" w:rsidRPr="00BF60B1" w14:paraId="5361A0D6" w14:textId="77777777" w:rsidTr="00B72510">
        <w:trPr>
          <w:cantSplit/>
          <w:trHeight w:val="314"/>
        </w:trPr>
        <w:tc>
          <w:tcPr>
            <w:tcW w:w="9493" w:type="dxa"/>
            <w:gridSpan w:val="3"/>
            <w:vAlign w:val="center"/>
            <w:hideMark/>
          </w:tcPr>
          <w:p w14:paraId="10EC46B7" w14:textId="22566381" w:rsidR="00551D8E" w:rsidRPr="00EB0436" w:rsidRDefault="00551D8E" w:rsidP="00C130DA">
            <w:pPr>
              <w:spacing w:before="0" w:after="0"/>
              <w:rPr>
                <w:rFonts w:ascii="Arial Narrow" w:hAnsi="Arial Narrow" w:cs="Calibri"/>
                <w:b/>
                <w:bCs/>
              </w:rPr>
            </w:pPr>
            <w:r>
              <w:rPr>
                <w:rFonts w:ascii="Arial Narrow" w:hAnsi="Arial Narrow" w:cs="Calibri"/>
                <w:b/>
                <w:bCs/>
                <w:color w:val="000000"/>
              </w:rPr>
              <w:t>TSD births (/100,000 births)</w:t>
            </w:r>
          </w:p>
        </w:tc>
      </w:tr>
      <w:tr w:rsidR="002C532F" w:rsidRPr="00BF60B1" w14:paraId="2A8AC7B5" w14:textId="77777777" w:rsidTr="00B72510">
        <w:trPr>
          <w:cantSplit/>
          <w:trHeight w:val="299"/>
        </w:trPr>
        <w:tc>
          <w:tcPr>
            <w:tcW w:w="3137" w:type="dxa"/>
            <w:vAlign w:val="center"/>
            <w:hideMark/>
          </w:tcPr>
          <w:p w14:paraId="63642115" w14:textId="6723A5C2"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13561FB0" w14:textId="2F68EEBC" w:rsidR="002C532F" w:rsidRPr="00BF60B1" w:rsidRDefault="002C532F" w:rsidP="002C532F">
            <w:pPr>
              <w:spacing w:before="0" w:after="0"/>
              <w:jc w:val="center"/>
              <w:rPr>
                <w:rFonts w:ascii="Arial Narrow" w:hAnsi="Arial Narrow" w:cs="Calibri"/>
              </w:rPr>
            </w:pPr>
            <w:r>
              <w:rPr>
                <w:rFonts w:ascii="Arial Narrow" w:hAnsi="Arial Narrow" w:cs="Calibri"/>
                <w:color w:val="000000"/>
              </w:rPr>
              <w:t>8</w:t>
            </w:r>
          </w:p>
        </w:tc>
        <w:tc>
          <w:tcPr>
            <w:tcW w:w="3077" w:type="dxa"/>
            <w:vAlign w:val="center"/>
            <w:hideMark/>
          </w:tcPr>
          <w:p w14:paraId="6A0A5C7B" w14:textId="679B7085" w:rsidR="002C532F" w:rsidRPr="00BF60B1" w:rsidRDefault="002C532F" w:rsidP="002C532F">
            <w:pPr>
              <w:spacing w:before="0" w:after="0"/>
              <w:jc w:val="center"/>
              <w:rPr>
                <w:rFonts w:ascii="Arial Narrow" w:hAnsi="Arial Narrow" w:cs="Calibri"/>
              </w:rPr>
            </w:pPr>
            <w:r>
              <w:rPr>
                <w:rFonts w:ascii="Arial Narrow" w:hAnsi="Arial Narrow" w:cs="Calibri"/>
                <w:color w:val="000000"/>
              </w:rPr>
              <w:t>35</w:t>
            </w:r>
          </w:p>
        </w:tc>
      </w:tr>
      <w:tr w:rsidR="002C532F" w:rsidRPr="00BF60B1" w14:paraId="2ECAF88F" w14:textId="77777777" w:rsidTr="00B72510">
        <w:trPr>
          <w:cantSplit/>
          <w:trHeight w:val="314"/>
        </w:trPr>
        <w:tc>
          <w:tcPr>
            <w:tcW w:w="3137" w:type="dxa"/>
            <w:vAlign w:val="center"/>
            <w:hideMark/>
          </w:tcPr>
          <w:p w14:paraId="291C293F" w14:textId="247E4731"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38671C18" w14:textId="5138906E" w:rsidR="002C532F" w:rsidRPr="00BF60B1" w:rsidRDefault="002C532F" w:rsidP="002C532F">
            <w:pPr>
              <w:spacing w:before="0" w:after="0"/>
              <w:jc w:val="center"/>
              <w:rPr>
                <w:rFonts w:ascii="Arial Narrow" w:hAnsi="Arial Narrow" w:cs="Calibri"/>
              </w:rPr>
            </w:pPr>
            <w:r>
              <w:rPr>
                <w:rFonts w:ascii="Arial Narrow" w:hAnsi="Arial Narrow" w:cs="Calibri"/>
                <w:color w:val="000000"/>
              </w:rPr>
              <w:t>40</w:t>
            </w:r>
          </w:p>
        </w:tc>
        <w:tc>
          <w:tcPr>
            <w:tcW w:w="3077" w:type="dxa"/>
            <w:vAlign w:val="center"/>
            <w:hideMark/>
          </w:tcPr>
          <w:p w14:paraId="66ADA620" w14:textId="0209BE4E" w:rsidR="002C532F" w:rsidRPr="00BF60B1" w:rsidRDefault="002C532F" w:rsidP="002C532F">
            <w:pPr>
              <w:spacing w:before="0" w:after="0"/>
              <w:jc w:val="center"/>
              <w:rPr>
                <w:rFonts w:ascii="Arial Narrow" w:hAnsi="Arial Narrow" w:cs="Calibri"/>
              </w:rPr>
            </w:pPr>
            <w:r>
              <w:rPr>
                <w:rFonts w:ascii="Arial Narrow" w:hAnsi="Arial Narrow" w:cs="Calibri"/>
                <w:color w:val="000000"/>
              </w:rPr>
              <w:t>40</w:t>
            </w:r>
          </w:p>
        </w:tc>
      </w:tr>
      <w:tr w:rsidR="002C532F" w:rsidRPr="00BF60B1" w14:paraId="111328F2" w14:textId="77777777" w:rsidTr="00B72510">
        <w:trPr>
          <w:cantSplit/>
          <w:trHeight w:val="314"/>
        </w:trPr>
        <w:tc>
          <w:tcPr>
            <w:tcW w:w="3137" w:type="dxa"/>
            <w:vAlign w:val="center"/>
            <w:hideMark/>
          </w:tcPr>
          <w:p w14:paraId="3BAE651C" w14:textId="4D6083F8"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2C69B0E0" w14:textId="4AD670DB" w:rsidR="002C532F" w:rsidRPr="00BF60B1" w:rsidRDefault="002C532F" w:rsidP="002C532F">
            <w:pPr>
              <w:spacing w:before="0" w:after="0"/>
              <w:jc w:val="center"/>
              <w:rPr>
                <w:rFonts w:ascii="Arial Narrow" w:hAnsi="Arial Narrow" w:cs="Calibri"/>
              </w:rPr>
            </w:pPr>
            <w:r>
              <w:rPr>
                <w:rFonts w:ascii="Arial Narrow" w:hAnsi="Arial Narrow" w:cs="Calibri"/>
                <w:color w:val="000000"/>
              </w:rPr>
              <w:t>32</w:t>
            </w:r>
          </w:p>
        </w:tc>
        <w:tc>
          <w:tcPr>
            <w:tcW w:w="3077" w:type="dxa"/>
            <w:vAlign w:val="center"/>
            <w:hideMark/>
          </w:tcPr>
          <w:p w14:paraId="6DB342B6" w14:textId="1FB45615" w:rsidR="002C532F" w:rsidRPr="00BF60B1" w:rsidRDefault="002C532F" w:rsidP="002C532F">
            <w:pPr>
              <w:spacing w:before="0" w:after="0"/>
              <w:jc w:val="center"/>
              <w:rPr>
                <w:rFonts w:ascii="Arial Narrow" w:hAnsi="Arial Narrow" w:cs="Calibri"/>
              </w:rPr>
            </w:pPr>
            <w:r>
              <w:rPr>
                <w:rFonts w:ascii="Arial Narrow" w:hAnsi="Arial Narrow" w:cs="Calibri"/>
                <w:color w:val="000000"/>
              </w:rPr>
              <w:t>5</w:t>
            </w:r>
          </w:p>
        </w:tc>
      </w:tr>
      <w:tr w:rsidR="002C532F" w:rsidRPr="00BF60B1" w14:paraId="2272A4B9" w14:textId="77777777" w:rsidTr="00B72510">
        <w:trPr>
          <w:cantSplit/>
          <w:trHeight w:val="524"/>
        </w:trPr>
        <w:tc>
          <w:tcPr>
            <w:tcW w:w="3137" w:type="dxa"/>
            <w:vAlign w:val="center"/>
            <w:hideMark/>
          </w:tcPr>
          <w:p w14:paraId="271683E3" w14:textId="48D0D0C8"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(cost/TSD births averted)</w:t>
            </w:r>
          </w:p>
        </w:tc>
        <w:tc>
          <w:tcPr>
            <w:tcW w:w="3279" w:type="dxa"/>
            <w:vAlign w:val="center"/>
            <w:hideMark/>
          </w:tcPr>
          <w:p w14:paraId="25CE693E" w14:textId="645729E9"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$1.93</w:t>
            </w:r>
          </w:p>
        </w:tc>
        <w:tc>
          <w:tcPr>
            <w:tcW w:w="3077" w:type="dxa"/>
            <w:vAlign w:val="center"/>
            <w:hideMark/>
          </w:tcPr>
          <w:p w14:paraId="7AA837D3" w14:textId="7EEFB804"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$80.17</w:t>
            </w:r>
          </w:p>
        </w:tc>
      </w:tr>
      <w:tr w:rsidR="002C532F" w:rsidRPr="00BF60B1" w14:paraId="4DC503FF" w14:textId="77777777" w:rsidTr="00B72510">
        <w:trPr>
          <w:cantSplit/>
          <w:trHeight w:val="314"/>
        </w:trPr>
        <w:tc>
          <w:tcPr>
            <w:tcW w:w="9493" w:type="dxa"/>
            <w:gridSpan w:val="3"/>
            <w:vAlign w:val="center"/>
            <w:hideMark/>
          </w:tcPr>
          <w:p w14:paraId="7C57C246" w14:textId="7E1C4EFA"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CD Births Only</w:t>
            </w:r>
          </w:p>
        </w:tc>
      </w:tr>
      <w:tr w:rsidR="002C532F" w:rsidRPr="00BF60B1" w14:paraId="18AF77D8" w14:textId="77777777" w:rsidTr="00B72510">
        <w:trPr>
          <w:cantSplit/>
          <w:trHeight w:val="314"/>
        </w:trPr>
        <w:tc>
          <w:tcPr>
            <w:tcW w:w="3137" w:type="dxa"/>
            <w:vAlign w:val="center"/>
            <w:hideMark/>
          </w:tcPr>
          <w:p w14:paraId="1A371E30" w14:textId="5DA8EE38"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4F8DD507" w14:textId="57EC93CB"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0F325339" w14:textId="29EEBFC5"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710D4DF2" w14:textId="77777777" w:rsidTr="00B72510">
        <w:trPr>
          <w:cantSplit/>
          <w:trHeight w:val="289"/>
        </w:trPr>
        <w:tc>
          <w:tcPr>
            <w:tcW w:w="3137" w:type="dxa"/>
            <w:vAlign w:val="center"/>
            <w:hideMark/>
          </w:tcPr>
          <w:p w14:paraId="1E954D8C" w14:textId="5D9AE22F"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60CCB08D" w14:textId="4D7372A1" w:rsidR="002C532F" w:rsidRPr="00BF60B1" w:rsidRDefault="002C532F" w:rsidP="002C532F">
            <w:pPr>
              <w:spacing w:before="0" w:after="0"/>
              <w:jc w:val="center"/>
              <w:rPr>
                <w:rFonts w:ascii="Arial Narrow" w:hAnsi="Arial Narrow" w:cs="Calibri"/>
              </w:rPr>
            </w:pPr>
            <w:r>
              <w:rPr>
                <w:rFonts w:ascii="Arial Narrow" w:hAnsi="Arial Narrow" w:cs="Calibri"/>
                <w:color w:val="000000"/>
              </w:rPr>
              <w:t>$457.81</w:t>
            </w:r>
          </w:p>
        </w:tc>
        <w:tc>
          <w:tcPr>
            <w:tcW w:w="3077" w:type="dxa"/>
            <w:vAlign w:val="center"/>
            <w:hideMark/>
          </w:tcPr>
          <w:p w14:paraId="279DF002" w14:textId="61016A05" w:rsidR="002C532F" w:rsidRPr="00BF60B1" w:rsidRDefault="002C532F" w:rsidP="002C532F">
            <w:pPr>
              <w:spacing w:before="0" w:after="0"/>
              <w:jc w:val="center"/>
              <w:rPr>
                <w:rFonts w:ascii="Arial Narrow" w:hAnsi="Arial Narrow" w:cs="Calibri"/>
              </w:rPr>
            </w:pPr>
            <w:r>
              <w:rPr>
                <w:rFonts w:ascii="Arial Narrow" w:hAnsi="Arial Narrow" w:cs="Calibri"/>
                <w:color w:val="000000"/>
              </w:rPr>
              <w:t>$540.28</w:t>
            </w:r>
          </w:p>
        </w:tc>
      </w:tr>
      <w:tr w:rsidR="002C532F" w:rsidRPr="00BF60B1" w14:paraId="70B1FC88" w14:textId="77777777" w:rsidTr="00B72510">
        <w:trPr>
          <w:cantSplit/>
          <w:trHeight w:val="289"/>
        </w:trPr>
        <w:tc>
          <w:tcPr>
            <w:tcW w:w="3137" w:type="dxa"/>
            <w:vAlign w:val="center"/>
            <w:hideMark/>
          </w:tcPr>
          <w:p w14:paraId="26743939" w14:textId="05C5FC19"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53C4005F" w14:textId="0E4D325D" w:rsidR="002C532F" w:rsidRPr="00BF60B1" w:rsidRDefault="002C532F" w:rsidP="002C532F">
            <w:pPr>
              <w:spacing w:before="0" w:after="0"/>
              <w:jc w:val="center"/>
              <w:rPr>
                <w:rFonts w:ascii="Arial Narrow" w:hAnsi="Arial Narrow" w:cs="Calibri"/>
              </w:rPr>
            </w:pPr>
            <w:r>
              <w:rPr>
                <w:rFonts w:ascii="Arial Narrow" w:hAnsi="Arial Narrow" w:cs="Calibri"/>
                <w:color w:val="000000"/>
              </w:rPr>
              <w:t>$127.25</w:t>
            </w:r>
          </w:p>
        </w:tc>
        <w:tc>
          <w:tcPr>
            <w:tcW w:w="3077" w:type="dxa"/>
            <w:vAlign w:val="center"/>
            <w:hideMark/>
          </w:tcPr>
          <w:p w14:paraId="214F0CFD" w14:textId="4291C684" w:rsidR="002C532F" w:rsidRPr="00BF60B1" w:rsidRDefault="002C532F" w:rsidP="002C532F">
            <w:pPr>
              <w:spacing w:before="0" w:after="0"/>
              <w:jc w:val="center"/>
              <w:rPr>
                <w:rFonts w:ascii="Arial Narrow" w:hAnsi="Arial Narrow" w:cs="Calibri"/>
              </w:rPr>
            </w:pPr>
            <w:r>
              <w:rPr>
                <w:rFonts w:ascii="Arial Narrow" w:hAnsi="Arial Narrow" w:cs="Calibri"/>
                <w:color w:val="000000"/>
              </w:rPr>
              <w:t>$127.25</w:t>
            </w:r>
          </w:p>
        </w:tc>
      </w:tr>
      <w:tr w:rsidR="002C532F" w:rsidRPr="00BF60B1" w14:paraId="793DF2E3" w14:textId="77777777" w:rsidTr="00B72510">
        <w:trPr>
          <w:cantSplit/>
          <w:trHeight w:val="299"/>
        </w:trPr>
        <w:tc>
          <w:tcPr>
            <w:tcW w:w="3137" w:type="dxa"/>
            <w:vAlign w:val="center"/>
            <w:hideMark/>
          </w:tcPr>
          <w:p w14:paraId="7731D734" w14:textId="5EED4EB2"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4E19D203" w14:textId="6D79A0A6" w:rsidR="002C532F" w:rsidRPr="00BF60B1" w:rsidRDefault="002C532F" w:rsidP="002C532F">
            <w:pPr>
              <w:spacing w:before="0" w:after="0"/>
              <w:jc w:val="center"/>
              <w:rPr>
                <w:rFonts w:ascii="Arial Narrow" w:hAnsi="Arial Narrow" w:cs="Calibri"/>
              </w:rPr>
            </w:pPr>
            <w:r>
              <w:rPr>
                <w:rFonts w:ascii="Arial Narrow" w:hAnsi="Arial Narrow" w:cs="Calibri"/>
                <w:color w:val="000000"/>
              </w:rPr>
              <w:t>$330.56</w:t>
            </w:r>
          </w:p>
        </w:tc>
        <w:tc>
          <w:tcPr>
            <w:tcW w:w="3077" w:type="dxa"/>
            <w:vAlign w:val="center"/>
            <w:hideMark/>
          </w:tcPr>
          <w:p w14:paraId="4F9A9B20" w14:textId="6E14F351" w:rsidR="002C532F" w:rsidRPr="00BF60B1" w:rsidRDefault="002C532F" w:rsidP="002C532F">
            <w:pPr>
              <w:spacing w:before="0" w:after="0"/>
              <w:jc w:val="center"/>
              <w:rPr>
                <w:rFonts w:ascii="Arial Narrow" w:hAnsi="Arial Narrow" w:cs="Calibri"/>
              </w:rPr>
            </w:pPr>
            <w:r>
              <w:rPr>
                <w:rFonts w:ascii="Arial Narrow" w:hAnsi="Arial Narrow" w:cs="Calibri"/>
                <w:color w:val="000000"/>
              </w:rPr>
              <w:t>$413.03</w:t>
            </w:r>
          </w:p>
        </w:tc>
      </w:tr>
      <w:tr w:rsidR="002C532F" w:rsidRPr="00BF60B1" w14:paraId="5EB983FE" w14:textId="77777777" w:rsidTr="00B72510">
        <w:trPr>
          <w:cantSplit/>
          <w:trHeight w:val="299"/>
        </w:trPr>
        <w:tc>
          <w:tcPr>
            <w:tcW w:w="9493" w:type="dxa"/>
            <w:gridSpan w:val="3"/>
            <w:vAlign w:val="center"/>
            <w:hideMark/>
          </w:tcPr>
          <w:p w14:paraId="68354589" w14:textId="4CAD04BD" w:rsidR="002C532F" w:rsidRPr="00EB0436" w:rsidRDefault="002C532F" w:rsidP="002C532F">
            <w:pPr>
              <w:spacing w:before="0" w:after="0"/>
              <w:rPr>
                <w:rFonts w:ascii="Arial Narrow" w:hAnsi="Arial Narrow" w:cs="Calibri"/>
                <w:b/>
                <w:bCs/>
              </w:rPr>
            </w:pPr>
            <w:r>
              <w:rPr>
                <w:rFonts w:ascii="Arial Narrow" w:hAnsi="Arial Narrow" w:cs="Calibri"/>
                <w:b/>
                <w:bCs/>
                <w:color w:val="000000"/>
              </w:rPr>
              <w:t>CD births (/100,000 births)</w:t>
            </w:r>
          </w:p>
        </w:tc>
      </w:tr>
      <w:tr w:rsidR="002C532F" w:rsidRPr="00BF60B1" w14:paraId="561AD1AA" w14:textId="77777777" w:rsidTr="00B72510">
        <w:trPr>
          <w:cantSplit/>
          <w:trHeight w:val="299"/>
        </w:trPr>
        <w:tc>
          <w:tcPr>
            <w:tcW w:w="3137" w:type="dxa"/>
            <w:vAlign w:val="center"/>
            <w:hideMark/>
          </w:tcPr>
          <w:p w14:paraId="0E097E58" w14:textId="19E415B2"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1D40ABFF" w14:textId="34C763BC" w:rsidR="002C532F" w:rsidRPr="00BF60B1" w:rsidRDefault="002C532F" w:rsidP="002C532F">
            <w:pPr>
              <w:spacing w:before="0" w:after="0"/>
              <w:jc w:val="center"/>
              <w:rPr>
                <w:rFonts w:ascii="Arial Narrow" w:hAnsi="Arial Narrow" w:cs="Calibri"/>
              </w:rPr>
            </w:pPr>
            <w:r>
              <w:rPr>
                <w:rFonts w:ascii="Arial Narrow" w:hAnsi="Arial Narrow" w:cs="Calibri"/>
                <w:color w:val="000000"/>
              </w:rPr>
              <w:t>3</w:t>
            </w:r>
          </w:p>
        </w:tc>
        <w:tc>
          <w:tcPr>
            <w:tcW w:w="3077" w:type="dxa"/>
            <w:vAlign w:val="center"/>
            <w:hideMark/>
          </w:tcPr>
          <w:p w14:paraId="551307B0" w14:textId="604A0022" w:rsidR="002C532F" w:rsidRPr="00BF60B1" w:rsidRDefault="002C532F" w:rsidP="002C532F">
            <w:pPr>
              <w:spacing w:before="0" w:after="0"/>
              <w:jc w:val="center"/>
              <w:rPr>
                <w:rFonts w:ascii="Arial Narrow" w:hAnsi="Arial Narrow" w:cs="Calibri"/>
              </w:rPr>
            </w:pPr>
            <w:r>
              <w:rPr>
                <w:rFonts w:ascii="Arial Narrow" w:hAnsi="Arial Narrow" w:cs="Calibri"/>
                <w:color w:val="000000"/>
              </w:rPr>
              <w:t>13</w:t>
            </w:r>
          </w:p>
        </w:tc>
      </w:tr>
      <w:tr w:rsidR="002C532F" w:rsidRPr="00BF60B1" w14:paraId="49CBB9A1" w14:textId="77777777" w:rsidTr="00B72510">
        <w:trPr>
          <w:cantSplit/>
          <w:trHeight w:val="314"/>
        </w:trPr>
        <w:tc>
          <w:tcPr>
            <w:tcW w:w="3137" w:type="dxa"/>
            <w:vAlign w:val="center"/>
            <w:hideMark/>
          </w:tcPr>
          <w:p w14:paraId="5DEA41B8" w14:textId="55FAF8AD"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7EE81D4F" w14:textId="11F3F437" w:rsidR="002C532F" w:rsidRPr="00BF60B1" w:rsidRDefault="002C532F" w:rsidP="002C532F">
            <w:pPr>
              <w:spacing w:before="0" w:after="0"/>
              <w:jc w:val="center"/>
              <w:rPr>
                <w:rFonts w:ascii="Arial Narrow" w:hAnsi="Arial Narrow" w:cs="Calibri"/>
              </w:rPr>
            </w:pPr>
            <w:r>
              <w:rPr>
                <w:rFonts w:ascii="Arial Narrow" w:hAnsi="Arial Narrow" w:cs="Calibri"/>
                <w:color w:val="000000"/>
              </w:rPr>
              <w:t>16</w:t>
            </w:r>
          </w:p>
        </w:tc>
        <w:tc>
          <w:tcPr>
            <w:tcW w:w="3077" w:type="dxa"/>
            <w:vAlign w:val="center"/>
            <w:hideMark/>
          </w:tcPr>
          <w:p w14:paraId="29B96E5D" w14:textId="56ECAFFB" w:rsidR="002C532F" w:rsidRPr="00BF60B1" w:rsidRDefault="002C532F" w:rsidP="002C532F">
            <w:pPr>
              <w:spacing w:before="0" w:after="0"/>
              <w:jc w:val="center"/>
              <w:rPr>
                <w:rFonts w:ascii="Arial Narrow" w:hAnsi="Arial Narrow" w:cs="Calibri"/>
              </w:rPr>
            </w:pPr>
            <w:r>
              <w:rPr>
                <w:rFonts w:ascii="Arial Narrow" w:hAnsi="Arial Narrow" w:cs="Calibri"/>
                <w:color w:val="000000"/>
              </w:rPr>
              <w:t>16</w:t>
            </w:r>
          </w:p>
        </w:tc>
      </w:tr>
      <w:tr w:rsidR="002C532F" w:rsidRPr="00BF60B1" w14:paraId="0B81D2CF" w14:textId="77777777" w:rsidTr="00B72510">
        <w:trPr>
          <w:cantSplit/>
          <w:trHeight w:val="314"/>
        </w:trPr>
        <w:tc>
          <w:tcPr>
            <w:tcW w:w="3137" w:type="dxa"/>
            <w:vAlign w:val="center"/>
            <w:hideMark/>
          </w:tcPr>
          <w:p w14:paraId="279D3925" w14:textId="6B39DE0E"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55A60A3F" w14:textId="51280D65" w:rsidR="002C532F" w:rsidRPr="00BF60B1" w:rsidRDefault="002C532F" w:rsidP="002C532F">
            <w:pPr>
              <w:spacing w:before="0" w:after="0"/>
              <w:jc w:val="center"/>
              <w:rPr>
                <w:rFonts w:ascii="Arial Narrow" w:hAnsi="Arial Narrow" w:cs="Calibri"/>
              </w:rPr>
            </w:pPr>
            <w:r>
              <w:rPr>
                <w:rFonts w:ascii="Arial Narrow" w:hAnsi="Arial Narrow" w:cs="Calibri"/>
                <w:color w:val="000000"/>
              </w:rPr>
              <w:t>13</w:t>
            </w:r>
          </w:p>
        </w:tc>
        <w:tc>
          <w:tcPr>
            <w:tcW w:w="3077" w:type="dxa"/>
            <w:vAlign w:val="center"/>
            <w:hideMark/>
          </w:tcPr>
          <w:p w14:paraId="5DE3E981" w14:textId="0896B409" w:rsidR="002C532F" w:rsidRPr="00BF60B1" w:rsidRDefault="002C532F" w:rsidP="002C532F">
            <w:pPr>
              <w:spacing w:before="0" w:after="0"/>
              <w:jc w:val="center"/>
              <w:rPr>
                <w:rFonts w:ascii="Arial Narrow" w:hAnsi="Arial Narrow" w:cs="Calibri"/>
              </w:rPr>
            </w:pPr>
            <w:r>
              <w:rPr>
                <w:rFonts w:ascii="Arial Narrow" w:hAnsi="Arial Narrow" w:cs="Calibri"/>
                <w:color w:val="000000"/>
              </w:rPr>
              <w:t>3</w:t>
            </w:r>
          </w:p>
        </w:tc>
      </w:tr>
      <w:tr w:rsidR="002C532F" w:rsidRPr="00BF60B1" w14:paraId="2275783A" w14:textId="77777777" w:rsidTr="00B72510">
        <w:trPr>
          <w:cantSplit/>
          <w:trHeight w:val="314"/>
        </w:trPr>
        <w:tc>
          <w:tcPr>
            <w:tcW w:w="3137" w:type="dxa"/>
            <w:vAlign w:val="center"/>
            <w:hideMark/>
          </w:tcPr>
          <w:p w14:paraId="0E80F39E" w14:textId="6C0CF032"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(cost/CD births averted)</w:t>
            </w:r>
          </w:p>
        </w:tc>
        <w:tc>
          <w:tcPr>
            <w:tcW w:w="3279" w:type="dxa"/>
            <w:vAlign w:val="center"/>
            <w:hideMark/>
          </w:tcPr>
          <w:p w14:paraId="040EB285" w14:textId="188576AB"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$26.10</w:t>
            </w:r>
          </w:p>
        </w:tc>
        <w:tc>
          <w:tcPr>
            <w:tcW w:w="3077" w:type="dxa"/>
            <w:vAlign w:val="center"/>
            <w:hideMark/>
          </w:tcPr>
          <w:p w14:paraId="42E33BAF" w14:textId="532636D7"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$153.78</w:t>
            </w:r>
          </w:p>
        </w:tc>
      </w:tr>
      <w:tr w:rsidR="002C532F" w:rsidRPr="00BF60B1" w14:paraId="768A030D" w14:textId="77777777" w:rsidTr="00B72510">
        <w:trPr>
          <w:cantSplit/>
          <w:trHeight w:val="314"/>
        </w:trPr>
        <w:tc>
          <w:tcPr>
            <w:tcW w:w="9493" w:type="dxa"/>
            <w:gridSpan w:val="3"/>
            <w:vAlign w:val="center"/>
            <w:hideMark/>
          </w:tcPr>
          <w:p w14:paraId="052EFC19" w14:textId="3241D0FB" w:rsidR="002C532F" w:rsidRPr="00BF60B1" w:rsidRDefault="002C532F" w:rsidP="002C532F">
            <w:pPr>
              <w:spacing w:before="0" w:after="0"/>
              <w:rPr>
                <w:rFonts w:ascii="Arial Narrow" w:hAnsi="Arial Narrow" w:cs="Calibri"/>
                <w:b/>
                <w:bCs/>
              </w:rPr>
            </w:pPr>
            <w:r>
              <w:rPr>
                <w:rFonts w:ascii="Arial Narrow" w:hAnsi="Arial Narrow" w:cs="Calibri"/>
                <w:b/>
                <w:bCs/>
                <w:color w:val="000000"/>
              </w:rPr>
              <w:t>FD Births Only</w:t>
            </w:r>
          </w:p>
        </w:tc>
      </w:tr>
      <w:tr w:rsidR="002C532F" w:rsidRPr="00BF60B1" w14:paraId="5807F85D" w14:textId="77777777" w:rsidTr="00B72510">
        <w:trPr>
          <w:cantSplit/>
          <w:trHeight w:val="314"/>
        </w:trPr>
        <w:tc>
          <w:tcPr>
            <w:tcW w:w="3137" w:type="dxa"/>
            <w:vAlign w:val="center"/>
            <w:hideMark/>
          </w:tcPr>
          <w:p w14:paraId="27A3FDDD" w14:textId="2ADEE6BF"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594ECFBD" w14:textId="326B69AC"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3F84784D" w14:textId="5DC1A9E6"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6642E0AF" w14:textId="77777777" w:rsidTr="00B72510">
        <w:trPr>
          <w:cantSplit/>
          <w:trHeight w:val="299"/>
        </w:trPr>
        <w:tc>
          <w:tcPr>
            <w:tcW w:w="3137" w:type="dxa"/>
            <w:vAlign w:val="center"/>
            <w:hideMark/>
          </w:tcPr>
          <w:p w14:paraId="44CFF22F" w14:textId="5E21015D"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788ACC36" w14:textId="7C12C333" w:rsidR="002C532F" w:rsidRPr="00BF60B1" w:rsidRDefault="002C532F" w:rsidP="002C532F">
            <w:pPr>
              <w:spacing w:before="0" w:after="0"/>
              <w:jc w:val="center"/>
              <w:rPr>
                <w:rFonts w:ascii="Arial Narrow" w:hAnsi="Arial Narrow" w:cs="Calibri"/>
              </w:rPr>
            </w:pPr>
            <w:r>
              <w:rPr>
                <w:rFonts w:ascii="Arial Narrow" w:hAnsi="Arial Narrow" w:cs="Calibri"/>
                <w:color w:val="000000"/>
              </w:rPr>
              <w:t>$579.36</w:t>
            </w:r>
          </w:p>
        </w:tc>
        <w:tc>
          <w:tcPr>
            <w:tcW w:w="3077" w:type="dxa"/>
            <w:vAlign w:val="center"/>
            <w:hideMark/>
          </w:tcPr>
          <w:p w14:paraId="7FC93D55" w14:textId="76D76759" w:rsidR="002C532F" w:rsidRPr="00BF60B1" w:rsidRDefault="002C532F" w:rsidP="002C532F">
            <w:pPr>
              <w:spacing w:before="0" w:after="0"/>
              <w:jc w:val="center"/>
              <w:rPr>
                <w:rFonts w:ascii="Arial Narrow" w:hAnsi="Arial Narrow" w:cs="Calibri"/>
              </w:rPr>
            </w:pPr>
            <w:r>
              <w:rPr>
                <w:rFonts w:ascii="Arial Narrow" w:hAnsi="Arial Narrow" w:cs="Calibri"/>
                <w:color w:val="000000"/>
              </w:rPr>
              <w:t>$1,055.14</w:t>
            </w:r>
          </w:p>
        </w:tc>
      </w:tr>
      <w:tr w:rsidR="002C532F" w:rsidRPr="00BF60B1" w14:paraId="72B4567A" w14:textId="77777777" w:rsidTr="00B72510">
        <w:trPr>
          <w:cantSplit/>
          <w:trHeight w:val="314"/>
        </w:trPr>
        <w:tc>
          <w:tcPr>
            <w:tcW w:w="3137" w:type="dxa"/>
            <w:vAlign w:val="center"/>
            <w:hideMark/>
          </w:tcPr>
          <w:p w14:paraId="2EB28EB0" w14:textId="2A9DA560"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1318CC1C" w14:textId="40A4A9DB" w:rsidR="002C532F" w:rsidRPr="00BF60B1" w:rsidRDefault="002C532F" w:rsidP="002C532F">
            <w:pPr>
              <w:spacing w:before="0" w:after="0"/>
              <w:jc w:val="center"/>
              <w:rPr>
                <w:rFonts w:ascii="Arial Narrow" w:hAnsi="Arial Narrow" w:cs="Calibri"/>
              </w:rPr>
            </w:pPr>
            <w:r>
              <w:rPr>
                <w:rFonts w:ascii="Arial Narrow" w:hAnsi="Arial Narrow" w:cs="Calibri"/>
                <w:color w:val="000000"/>
              </w:rPr>
              <w:t>$754.65</w:t>
            </w:r>
          </w:p>
        </w:tc>
        <w:tc>
          <w:tcPr>
            <w:tcW w:w="3077" w:type="dxa"/>
            <w:vAlign w:val="center"/>
            <w:hideMark/>
          </w:tcPr>
          <w:p w14:paraId="395AFD4D" w14:textId="08151F63" w:rsidR="002C532F" w:rsidRPr="00BF60B1" w:rsidRDefault="002C532F" w:rsidP="002C532F">
            <w:pPr>
              <w:spacing w:before="0" w:after="0"/>
              <w:jc w:val="center"/>
              <w:rPr>
                <w:rFonts w:ascii="Arial Narrow" w:hAnsi="Arial Narrow" w:cs="Calibri"/>
              </w:rPr>
            </w:pPr>
            <w:r>
              <w:rPr>
                <w:rFonts w:ascii="Arial Narrow" w:hAnsi="Arial Narrow" w:cs="Calibri"/>
                <w:color w:val="000000"/>
              </w:rPr>
              <w:t>$754.65</w:t>
            </w:r>
          </w:p>
        </w:tc>
      </w:tr>
      <w:tr w:rsidR="002C532F" w:rsidRPr="00BF60B1" w14:paraId="17C1A527" w14:textId="77777777" w:rsidTr="00B72510">
        <w:trPr>
          <w:cantSplit/>
          <w:trHeight w:val="314"/>
        </w:trPr>
        <w:tc>
          <w:tcPr>
            <w:tcW w:w="3137" w:type="dxa"/>
            <w:vAlign w:val="center"/>
            <w:hideMark/>
          </w:tcPr>
          <w:p w14:paraId="0B66688E" w14:textId="2EF058F3"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72C5C827" w14:textId="2D61D0DD" w:rsidR="002C532F" w:rsidRPr="00BF60B1" w:rsidRDefault="002C532F" w:rsidP="002C532F">
            <w:pPr>
              <w:spacing w:before="0" w:after="0"/>
              <w:jc w:val="center"/>
              <w:rPr>
                <w:rFonts w:ascii="Arial Narrow" w:hAnsi="Arial Narrow" w:cs="Calibri"/>
              </w:rPr>
            </w:pPr>
            <w:r>
              <w:rPr>
                <w:rFonts w:ascii="Arial Narrow" w:hAnsi="Arial Narrow" w:cs="Calibri"/>
                <w:color w:val="FF0000"/>
              </w:rPr>
              <w:t>-$175.29</w:t>
            </w:r>
          </w:p>
        </w:tc>
        <w:tc>
          <w:tcPr>
            <w:tcW w:w="3077" w:type="dxa"/>
            <w:vAlign w:val="center"/>
            <w:hideMark/>
          </w:tcPr>
          <w:p w14:paraId="289C85B1" w14:textId="1C967518" w:rsidR="002C532F" w:rsidRPr="00BF60B1" w:rsidRDefault="002C532F" w:rsidP="002C532F">
            <w:pPr>
              <w:spacing w:before="0" w:after="0"/>
              <w:jc w:val="center"/>
              <w:rPr>
                <w:rFonts w:ascii="Arial Narrow" w:hAnsi="Arial Narrow" w:cs="Calibri"/>
              </w:rPr>
            </w:pPr>
            <w:r>
              <w:rPr>
                <w:rFonts w:ascii="Arial Narrow" w:hAnsi="Arial Narrow" w:cs="Calibri"/>
                <w:color w:val="000000"/>
              </w:rPr>
              <w:t>$300.49</w:t>
            </w:r>
          </w:p>
        </w:tc>
      </w:tr>
      <w:tr w:rsidR="002C532F" w:rsidRPr="00BF60B1" w14:paraId="65B7ADFE" w14:textId="77777777" w:rsidTr="00B72510">
        <w:trPr>
          <w:cantSplit/>
          <w:trHeight w:val="299"/>
        </w:trPr>
        <w:tc>
          <w:tcPr>
            <w:tcW w:w="9493" w:type="dxa"/>
            <w:gridSpan w:val="3"/>
            <w:vAlign w:val="center"/>
            <w:hideMark/>
          </w:tcPr>
          <w:p w14:paraId="4053B0F0" w14:textId="3C86E1A9" w:rsidR="002C532F" w:rsidRPr="00EB0436" w:rsidRDefault="002C532F" w:rsidP="002C532F">
            <w:pPr>
              <w:spacing w:before="0" w:after="0"/>
              <w:rPr>
                <w:rFonts w:ascii="Arial Narrow" w:hAnsi="Arial Narrow" w:cs="Calibri"/>
                <w:b/>
                <w:bCs/>
              </w:rPr>
            </w:pPr>
            <w:r>
              <w:rPr>
                <w:rFonts w:ascii="Arial Narrow" w:hAnsi="Arial Narrow" w:cs="Calibri"/>
                <w:b/>
                <w:bCs/>
                <w:color w:val="000000"/>
              </w:rPr>
              <w:t>FD births (/100,000 births)</w:t>
            </w:r>
          </w:p>
        </w:tc>
      </w:tr>
      <w:tr w:rsidR="002C532F" w:rsidRPr="00BF60B1" w14:paraId="52CD06B0" w14:textId="77777777" w:rsidTr="00B72510">
        <w:trPr>
          <w:cantSplit/>
          <w:trHeight w:val="314"/>
        </w:trPr>
        <w:tc>
          <w:tcPr>
            <w:tcW w:w="3137" w:type="dxa"/>
            <w:vAlign w:val="center"/>
            <w:hideMark/>
          </w:tcPr>
          <w:p w14:paraId="529ADC10" w14:textId="333E335D"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19F93625" w14:textId="5316E625" w:rsidR="002C532F" w:rsidRPr="00BF60B1" w:rsidRDefault="002C532F" w:rsidP="002C532F">
            <w:pPr>
              <w:spacing w:before="0" w:after="0"/>
              <w:jc w:val="center"/>
              <w:rPr>
                <w:rFonts w:ascii="Arial Narrow" w:hAnsi="Arial Narrow" w:cs="Calibri"/>
              </w:rPr>
            </w:pPr>
            <w:r>
              <w:rPr>
                <w:rFonts w:ascii="Arial Narrow" w:hAnsi="Arial Narrow" w:cs="Calibri"/>
                <w:color w:val="000000"/>
              </w:rPr>
              <w:t>5</w:t>
            </w:r>
          </w:p>
        </w:tc>
        <w:tc>
          <w:tcPr>
            <w:tcW w:w="3077" w:type="dxa"/>
            <w:vAlign w:val="center"/>
            <w:hideMark/>
          </w:tcPr>
          <w:p w14:paraId="089EE53D" w14:textId="3087FDC6" w:rsidR="002C532F" w:rsidRPr="00BF60B1" w:rsidRDefault="002C532F" w:rsidP="002C532F">
            <w:pPr>
              <w:spacing w:before="0" w:after="0"/>
              <w:jc w:val="center"/>
              <w:rPr>
                <w:rFonts w:ascii="Arial Narrow" w:hAnsi="Arial Narrow" w:cs="Calibri"/>
              </w:rPr>
            </w:pPr>
            <w:r>
              <w:rPr>
                <w:rFonts w:ascii="Arial Narrow" w:hAnsi="Arial Narrow" w:cs="Calibri"/>
                <w:color w:val="000000"/>
              </w:rPr>
              <w:t>23</w:t>
            </w:r>
          </w:p>
        </w:tc>
      </w:tr>
      <w:tr w:rsidR="002C532F" w:rsidRPr="00BF60B1" w14:paraId="39BC112E" w14:textId="77777777" w:rsidTr="00B72510">
        <w:trPr>
          <w:cantSplit/>
          <w:trHeight w:val="314"/>
        </w:trPr>
        <w:tc>
          <w:tcPr>
            <w:tcW w:w="3137" w:type="dxa"/>
            <w:vAlign w:val="center"/>
            <w:hideMark/>
          </w:tcPr>
          <w:p w14:paraId="1E866A40" w14:textId="2261B219"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25A6EAB3" w14:textId="6C1F50B8" w:rsidR="002C532F" w:rsidRPr="00BF60B1" w:rsidRDefault="002C532F" w:rsidP="002C532F">
            <w:pPr>
              <w:spacing w:before="0" w:after="0"/>
              <w:jc w:val="center"/>
              <w:rPr>
                <w:rFonts w:ascii="Arial Narrow" w:hAnsi="Arial Narrow" w:cs="Calibri"/>
              </w:rPr>
            </w:pPr>
            <w:r>
              <w:rPr>
                <w:rFonts w:ascii="Arial Narrow" w:hAnsi="Arial Narrow" w:cs="Calibri"/>
                <w:color w:val="000000"/>
              </w:rPr>
              <w:t>28</w:t>
            </w:r>
          </w:p>
        </w:tc>
        <w:tc>
          <w:tcPr>
            <w:tcW w:w="3077" w:type="dxa"/>
            <w:vAlign w:val="center"/>
            <w:hideMark/>
          </w:tcPr>
          <w:p w14:paraId="0F869984" w14:textId="0868A11A" w:rsidR="002C532F" w:rsidRPr="00BF60B1" w:rsidRDefault="002C532F" w:rsidP="002C532F">
            <w:pPr>
              <w:spacing w:before="0" w:after="0"/>
              <w:jc w:val="center"/>
              <w:rPr>
                <w:rFonts w:ascii="Arial Narrow" w:hAnsi="Arial Narrow" w:cs="Calibri"/>
              </w:rPr>
            </w:pPr>
            <w:r>
              <w:rPr>
                <w:rFonts w:ascii="Arial Narrow" w:hAnsi="Arial Narrow" w:cs="Calibri"/>
                <w:color w:val="000000"/>
              </w:rPr>
              <w:t>28</w:t>
            </w:r>
          </w:p>
        </w:tc>
      </w:tr>
      <w:tr w:rsidR="002C532F" w:rsidRPr="00BF60B1" w14:paraId="44854410" w14:textId="77777777" w:rsidTr="00B72510">
        <w:trPr>
          <w:cantSplit/>
          <w:trHeight w:val="314"/>
        </w:trPr>
        <w:tc>
          <w:tcPr>
            <w:tcW w:w="3137" w:type="dxa"/>
            <w:vAlign w:val="center"/>
            <w:hideMark/>
          </w:tcPr>
          <w:p w14:paraId="7EEBDC56" w14:textId="3AD211D9"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3970CC26" w14:textId="30F91878" w:rsidR="002C532F" w:rsidRPr="00BF60B1" w:rsidRDefault="002C532F" w:rsidP="002C532F">
            <w:pPr>
              <w:spacing w:before="0" w:after="0"/>
              <w:jc w:val="center"/>
              <w:rPr>
                <w:rFonts w:ascii="Arial Narrow" w:hAnsi="Arial Narrow" w:cs="Calibri"/>
              </w:rPr>
            </w:pPr>
            <w:r>
              <w:rPr>
                <w:rFonts w:ascii="Arial Narrow" w:hAnsi="Arial Narrow" w:cs="Calibri"/>
                <w:color w:val="000000"/>
              </w:rPr>
              <w:t>23</w:t>
            </w:r>
          </w:p>
        </w:tc>
        <w:tc>
          <w:tcPr>
            <w:tcW w:w="3077" w:type="dxa"/>
            <w:vAlign w:val="center"/>
            <w:hideMark/>
          </w:tcPr>
          <w:p w14:paraId="37549FDA" w14:textId="5F2C8C02" w:rsidR="002C532F" w:rsidRPr="00BF60B1" w:rsidRDefault="002C532F" w:rsidP="002C532F">
            <w:pPr>
              <w:spacing w:before="0" w:after="0"/>
              <w:jc w:val="center"/>
              <w:rPr>
                <w:rFonts w:ascii="Arial Narrow" w:hAnsi="Arial Narrow" w:cs="Calibri"/>
              </w:rPr>
            </w:pPr>
            <w:r>
              <w:rPr>
                <w:rFonts w:ascii="Arial Narrow" w:hAnsi="Arial Narrow" w:cs="Calibri"/>
                <w:color w:val="000000"/>
              </w:rPr>
              <w:t>5</w:t>
            </w:r>
          </w:p>
        </w:tc>
      </w:tr>
      <w:tr w:rsidR="002C532F" w:rsidRPr="00BF60B1" w14:paraId="2F73267D" w14:textId="77777777" w:rsidTr="00B72510">
        <w:trPr>
          <w:cantSplit/>
          <w:trHeight w:val="314"/>
        </w:trPr>
        <w:tc>
          <w:tcPr>
            <w:tcW w:w="3137" w:type="dxa"/>
            <w:vAlign w:val="center"/>
            <w:hideMark/>
          </w:tcPr>
          <w:p w14:paraId="4790F9CC" w14:textId="5FAC8761"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(cost/FD births averted)</w:t>
            </w:r>
          </w:p>
        </w:tc>
        <w:tc>
          <w:tcPr>
            <w:tcW w:w="3279" w:type="dxa"/>
            <w:vAlign w:val="center"/>
            <w:hideMark/>
          </w:tcPr>
          <w:p w14:paraId="1FCBD4BD" w14:textId="4B040F74"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c>
          <w:tcPr>
            <w:tcW w:w="3077" w:type="dxa"/>
            <w:vAlign w:val="center"/>
            <w:hideMark/>
          </w:tcPr>
          <w:p w14:paraId="69AD1107" w14:textId="75D1B01A"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$59.60</w:t>
            </w:r>
          </w:p>
        </w:tc>
      </w:tr>
      <w:tr w:rsidR="002C532F" w:rsidRPr="00BF60B1" w14:paraId="118A16CD" w14:textId="77777777" w:rsidTr="00B72510">
        <w:trPr>
          <w:cantSplit/>
          <w:trHeight w:val="314"/>
        </w:trPr>
        <w:tc>
          <w:tcPr>
            <w:tcW w:w="9493" w:type="dxa"/>
            <w:gridSpan w:val="3"/>
            <w:vAlign w:val="center"/>
            <w:hideMark/>
          </w:tcPr>
          <w:p w14:paraId="055B1039" w14:textId="36EBEA0D" w:rsidR="002C532F" w:rsidRPr="00BF60B1" w:rsidRDefault="002C532F" w:rsidP="002C532F">
            <w:pPr>
              <w:spacing w:before="0" w:after="0"/>
              <w:rPr>
                <w:rFonts w:ascii="Arial Narrow" w:hAnsi="Arial Narrow" w:cs="Calibri"/>
                <w:b/>
                <w:bCs/>
              </w:rPr>
            </w:pPr>
            <w:r>
              <w:rPr>
                <w:rFonts w:ascii="Arial Narrow" w:hAnsi="Arial Narrow" w:cs="Calibri"/>
                <w:b/>
                <w:bCs/>
                <w:color w:val="000000"/>
              </w:rPr>
              <w:t>MLD Births Only</w:t>
            </w:r>
          </w:p>
        </w:tc>
      </w:tr>
      <w:tr w:rsidR="002C532F" w:rsidRPr="00BF60B1" w14:paraId="3D5F8B81" w14:textId="77777777" w:rsidTr="00B72510">
        <w:trPr>
          <w:cantSplit/>
          <w:trHeight w:val="299"/>
        </w:trPr>
        <w:tc>
          <w:tcPr>
            <w:tcW w:w="3137" w:type="dxa"/>
            <w:vAlign w:val="center"/>
            <w:hideMark/>
          </w:tcPr>
          <w:p w14:paraId="799983DF" w14:textId="260E0073"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1164F435" w14:textId="3A54B485"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68F941D6" w14:textId="5E9E3778"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02E792BD" w14:textId="77777777" w:rsidTr="00B72510">
        <w:trPr>
          <w:cantSplit/>
          <w:trHeight w:val="314"/>
        </w:trPr>
        <w:tc>
          <w:tcPr>
            <w:tcW w:w="3137" w:type="dxa"/>
            <w:vAlign w:val="center"/>
            <w:hideMark/>
          </w:tcPr>
          <w:p w14:paraId="1577A8C3" w14:textId="744543CF"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2A91EC99" w14:textId="085DC2EB" w:rsidR="002C532F" w:rsidRPr="00BF60B1" w:rsidRDefault="002C532F" w:rsidP="002C532F">
            <w:pPr>
              <w:spacing w:before="0" w:after="0"/>
              <w:jc w:val="center"/>
              <w:rPr>
                <w:rFonts w:ascii="Arial Narrow" w:hAnsi="Arial Narrow" w:cs="Calibri"/>
              </w:rPr>
            </w:pPr>
            <w:r>
              <w:rPr>
                <w:rFonts w:ascii="Arial Narrow" w:hAnsi="Arial Narrow" w:cs="Calibri"/>
                <w:color w:val="000000"/>
              </w:rPr>
              <w:t>$429.37</w:t>
            </w:r>
          </w:p>
        </w:tc>
        <w:tc>
          <w:tcPr>
            <w:tcW w:w="3077" w:type="dxa"/>
            <w:vAlign w:val="center"/>
            <w:hideMark/>
          </w:tcPr>
          <w:p w14:paraId="3B2E866B" w14:textId="100B7363" w:rsidR="002C532F" w:rsidRPr="00BF60B1" w:rsidRDefault="002C532F" w:rsidP="002C532F">
            <w:pPr>
              <w:spacing w:before="0" w:after="0"/>
              <w:jc w:val="center"/>
              <w:rPr>
                <w:rFonts w:ascii="Arial Narrow" w:hAnsi="Arial Narrow" w:cs="Calibri"/>
              </w:rPr>
            </w:pPr>
            <w:r>
              <w:rPr>
                <w:rFonts w:ascii="Arial Narrow" w:hAnsi="Arial Narrow" w:cs="Calibri"/>
                <w:color w:val="000000"/>
              </w:rPr>
              <w:t>$430.96</w:t>
            </w:r>
          </w:p>
        </w:tc>
      </w:tr>
      <w:tr w:rsidR="002C532F" w:rsidRPr="00BF60B1" w14:paraId="62C38088" w14:textId="77777777" w:rsidTr="00B72510">
        <w:trPr>
          <w:cantSplit/>
          <w:trHeight w:val="314"/>
        </w:trPr>
        <w:tc>
          <w:tcPr>
            <w:tcW w:w="3137" w:type="dxa"/>
            <w:vAlign w:val="center"/>
            <w:hideMark/>
          </w:tcPr>
          <w:p w14:paraId="08F5044D" w14:textId="4FC6B124"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3AB2B4D3" w14:textId="2256516B" w:rsidR="002C532F" w:rsidRPr="00BF60B1" w:rsidRDefault="002C532F" w:rsidP="002C532F">
            <w:pPr>
              <w:spacing w:before="0" w:after="0"/>
              <w:jc w:val="center"/>
              <w:rPr>
                <w:rFonts w:ascii="Arial Narrow" w:hAnsi="Arial Narrow" w:cs="Calibri"/>
              </w:rPr>
            </w:pPr>
            <w:r>
              <w:rPr>
                <w:rFonts w:ascii="Arial Narrow" w:hAnsi="Arial Narrow" w:cs="Calibri"/>
                <w:color w:val="000000"/>
              </w:rPr>
              <w:t>$3.86</w:t>
            </w:r>
          </w:p>
        </w:tc>
        <w:tc>
          <w:tcPr>
            <w:tcW w:w="3077" w:type="dxa"/>
            <w:vAlign w:val="center"/>
            <w:hideMark/>
          </w:tcPr>
          <w:p w14:paraId="74CFCB9F" w14:textId="647E2F0A" w:rsidR="002C532F" w:rsidRPr="00BF60B1" w:rsidRDefault="002C532F" w:rsidP="002C532F">
            <w:pPr>
              <w:spacing w:before="0" w:after="0"/>
              <w:jc w:val="center"/>
              <w:rPr>
                <w:rFonts w:ascii="Arial Narrow" w:hAnsi="Arial Narrow" w:cs="Calibri"/>
              </w:rPr>
            </w:pPr>
            <w:r>
              <w:rPr>
                <w:rFonts w:ascii="Arial Narrow" w:hAnsi="Arial Narrow" w:cs="Calibri"/>
                <w:color w:val="000000"/>
              </w:rPr>
              <w:t>$3.86</w:t>
            </w:r>
          </w:p>
        </w:tc>
      </w:tr>
      <w:tr w:rsidR="002C532F" w:rsidRPr="00BF60B1" w14:paraId="193E123F" w14:textId="77777777" w:rsidTr="00B72510">
        <w:trPr>
          <w:cantSplit/>
          <w:trHeight w:val="299"/>
        </w:trPr>
        <w:tc>
          <w:tcPr>
            <w:tcW w:w="3137" w:type="dxa"/>
            <w:vAlign w:val="center"/>
            <w:hideMark/>
          </w:tcPr>
          <w:p w14:paraId="0126BF4C" w14:textId="55BD142D"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46856A93" w14:textId="57DF832D" w:rsidR="002C532F" w:rsidRPr="00BF60B1" w:rsidRDefault="002C532F" w:rsidP="002C532F">
            <w:pPr>
              <w:spacing w:before="0" w:after="0"/>
              <w:jc w:val="center"/>
              <w:rPr>
                <w:rFonts w:ascii="Arial Narrow" w:hAnsi="Arial Narrow" w:cs="Calibri"/>
              </w:rPr>
            </w:pPr>
            <w:r>
              <w:rPr>
                <w:rFonts w:ascii="Arial Narrow" w:hAnsi="Arial Narrow" w:cs="Calibri"/>
                <w:color w:val="000000"/>
              </w:rPr>
              <w:t>$425.50</w:t>
            </w:r>
          </w:p>
        </w:tc>
        <w:tc>
          <w:tcPr>
            <w:tcW w:w="3077" w:type="dxa"/>
            <w:vAlign w:val="center"/>
            <w:hideMark/>
          </w:tcPr>
          <w:p w14:paraId="07566A70" w14:textId="34B82872" w:rsidR="002C532F" w:rsidRPr="00BF60B1" w:rsidRDefault="002C532F" w:rsidP="002C532F">
            <w:pPr>
              <w:spacing w:before="0" w:after="0"/>
              <w:jc w:val="center"/>
              <w:rPr>
                <w:rFonts w:ascii="Arial Narrow" w:hAnsi="Arial Narrow" w:cs="Calibri"/>
              </w:rPr>
            </w:pPr>
            <w:r>
              <w:rPr>
                <w:rFonts w:ascii="Arial Narrow" w:hAnsi="Arial Narrow" w:cs="Calibri"/>
                <w:color w:val="000000"/>
              </w:rPr>
              <w:t>$427.10</w:t>
            </w:r>
          </w:p>
        </w:tc>
      </w:tr>
      <w:tr w:rsidR="002C532F" w:rsidRPr="00BF60B1" w14:paraId="67D80BBF" w14:textId="77777777" w:rsidTr="00B72510">
        <w:trPr>
          <w:cantSplit/>
          <w:trHeight w:val="314"/>
        </w:trPr>
        <w:tc>
          <w:tcPr>
            <w:tcW w:w="9493" w:type="dxa"/>
            <w:gridSpan w:val="3"/>
            <w:vAlign w:val="center"/>
            <w:hideMark/>
          </w:tcPr>
          <w:p w14:paraId="2B75F8D7" w14:textId="4753377E" w:rsidR="002C532F" w:rsidRPr="00EB0436" w:rsidRDefault="002C532F" w:rsidP="002C532F">
            <w:pPr>
              <w:spacing w:before="0" w:after="0"/>
              <w:rPr>
                <w:rFonts w:ascii="Arial Narrow" w:hAnsi="Arial Narrow" w:cs="Calibri"/>
                <w:b/>
                <w:bCs/>
              </w:rPr>
            </w:pPr>
            <w:r>
              <w:rPr>
                <w:rFonts w:ascii="Arial Narrow" w:hAnsi="Arial Narrow" w:cs="Calibri"/>
                <w:b/>
                <w:bCs/>
                <w:color w:val="000000"/>
              </w:rPr>
              <w:t>MLD births (/100,000 births)</w:t>
            </w:r>
          </w:p>
        </w:tc>
      </w:tr>
      <w:tr w:rsidR="002C532F" w:rsidRPr="00BF60B1" w14:paraId="58BBE190" w14:textId="77777777" w:rsidTr="00B72510">
        <w:trPr>
          <w:cantSplit/>
          <w:trHeight w:val="314"/>
        </w:trPr>
        <w:tc>
          <w:tcPr>
            <w:tcW w:w="3137" w:type="dxa"/>
            <w:vAlign w:val="center"/>
            <w:hideMark/>
          </w:tcPr>
          <w:p w14:paraId="66478EB4" w14:textId="204751EA"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623A73F1" w14:textId="17F461C0" w:rsidR="002C532F" w:rsidRPr="00BF60B1" w:rsidRDefault="002C532F" w:rsidP="002C532F">
            <w:pPr>
              <w:spacing w:before="0" w:after="0"/>
              <w:jc w:val="center"/>
              <w:rPr>
                <w:rFonts w:ascii="Arial Narrow" w:hAnsi="Arial Narrow" w:cs="Calibri"/>
              </w:rPr>
            </w:pPr>
            <w:r>
              <w:rPr>
                <w:rFonts w:ascii="Arial Narrow" w:hAnsi="Arial Narrow" w:cs="Calibri"/>
                <w:color w:val="000000"/>
              </w:rPr>
              <w:t>0</w:t>
            </w:r>
          </w:p>
        </w:tc>
        <w:tc>
          <w:tcPr>
            <w:tcW w:w="3077" w:type="dxa"/>
            <w:vAlign w:val="center"/>
            <w:hideMark/>
          </w:tcPr>
          <w:p w14:paraId="777EDB9C" w14:textId="1556CF68"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r>
      <w:tr w:rsidR="002C532F" w:rsidRPr="00BF60B1" w14:paraId="29459519" w14:textId="77777777" w:rsidTr="00B72510">
        <w:trPr>
          <w:cantSplit/>
          <w:trHeight w:val="299"/>
        </w:trPr>
        <w:tc>
          <w:tcPr>
            <w:tcW w:w="3137" w:type="dxa"/>
            <w:vAlign w:val="center"/>
            <w:hideMark/>
          </w:tcPr>
          <w:p w14:paraId="3AC92EC0" w14:textId="4FF3EA7D"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531342A2" w14:textId="3E5F754A" w:rsidR="002C532F" w:rsidRPr="00BF60B1" w:rsidRDefault="002C532F" w:rsidP="002C532F">
            <w:pPr>
              <w:spacing w:before="0" w:after="0"/>
              <w:jc w:val="center"/>
              <w:rPr>
                <w:rFonts w:ascii="Arial Narrow" w:hAnsi="Arial Narrow" w:cs="Calibri"/>
              </w:rPr>
            </w:pPr>
            <w:r>
              <w:rPr>
                <w:rFonts w:ascii="Arial Narrow" w:hAnsi="Arial Narrow" w:cs="Calibri"/>
                <w:color w:val="000000"/>
              </w:rPr>
              <w:t>3</w:t>
            </w:r>
          </w:p>
        </w:tc>
        <w:tc>
          <w:tcPr>
            <w:tcW w:w="3077" w:type="dxa"/>
            <w:vAlign w:val="center"/>
            <w:hideMark/>
          </w:tcPr>
          <w:p w14:paraId="24F01440" w14:textId="6F236DAC" w:rsidR="002C532F" w:rsidRPr="00BF60B1" w:rsidRDefault="002C532F" w:rsidP="002C532F">
            <w:pPr>
              <w:spacing w:before="0" w:after="0"/>
              <w:jc w:val="center"/>
              <w:rPr>
                <w:rFonts w:ascii="Arial Narrow" w:hAnsi="Arial Narrow" w:cs="Calibri"/>
              </w:rPr>
            </w:pPr>
            <w:r>
              <w:rPr>
                <w:rFonts w:ascii="Arial Narrow" w:hAnsi="Arial Narrow" w:cs="Calibri"/>
                <w:color w:val="000000"/>
              </w:rPr>
              <w:t>3</w:t>
            </w:r>
          </w:p>
        </w:tc>
      </w:tr>
      <w:tr w:rsidR="002C532F" w:rsidRPr="00BF60B1" w14:paraId="2637ECA8" w14:textId="77777777" w:rsidTr="00B72510">
        <w:trPr>
          <w:cantSplit/>
          <w:trHeight w:val="314"/>
        </w:trPr>
        <w:tc>
          <w:tcPr>
            <w:tcW w:w="3137" w:type="dxa"/>
            <w:vAlign w:val="center"/>
            <w:hideMark/>
          </w:tcPr>
          <w:p w14:paraId="6D759C3F" w14:textId="4F411B48" w:rsidR="002C532F" w:rsidRPr="00BF60B1" w:rsidRDefault="002C532F" w:rsidP="002C532F">
            <w:pPr>
              <w:spacing w:before="0" w:after="0"/>
              <w:rPr>
                <w:rFonts w:ascii="Arial Narrow" w:hAnsi="Arial Narrow" w:cs="Calibri"/>
              </w:rPr>
            </w:pPr>
            <w:r>
              <w:rPr>
                <w:rFonts w:ascii="Arial Narrow" w:hAnsi="Arial Narrow" w:cs="Calibri"/>
                <w:color w:val="000000"/>
              </w:rPr>
              <w:lastRenderedPageBreak/>
              <w:t>Incremental effectiveness</w:t>
            </w:r>
          </w:p>
        </w:tc>
        <w:tc>
          <w:tcPr>
            <w:tcW w:w="3279" w:type="dxa"/>
            <w:vAlign w:val="center"/>
            <w:hideMark/>
          </w:tcPr>
          <w:p w14:paraId="53F8179E" w14:textId="3D335EDD"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c>
          <w:tcPr>
            <w:tcW w:w="3077" w:type="dxa"/>
            <w:vAlign w:val="center"/>
            <w:hideMark/>
          </w:tcPr>
          <w:p w14:paraId="6FAEF69E" w14:textId="76CB1607"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r>
      <w:tr w:rsidR="002C532F" w:rsidRPr="00BF60B1" w14:paraId="661DEA82" w14:textId="77777777" w:rsidTr="00B72510">
        <w:trPr>
          <w:cantSplit/>
          <w:trHeight w:val="314"/>
        </w:trPr>
        <w:tc>
          <w:tcPr>
            <w:tcW w:w="3137" w:type="dxa"/>
            <w:vAlign w:val="center"/>
            <w:hideMark/>
          </w:tcPr>
          <w:p w14:paraId="4A7EBA2E" w14:textId="4B843143"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(cost/MLD births averted)</w:t>
            </w:r>
          </w:p>
        </w:tc>
        <w:tc>
          <w:tcPr>
            <w:tcW w:w="3279" w:type="dxa"/>
            <w:vAlign w:val="center"/>
            <w:hideMark/>
          </w:tcPr>
          <w:p w14:paraId="7AB945AF" w14:textId="68191143"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$210.01</w:t>
            </w:r>
          </w:p>
        </w:tc>
        <w:tc>
          <w:tcPr>
            <w:tcW w:w="3077" w:type="dxa"/>
            <w:vAlign w:val="center"/>
            <w:hideMark/>
          </w:tcPr>
          <w:p w14:paraId="30B335A6" w14:textId="24B827F6"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$359.55</w:t>
            </w:r>
          </w:p>
        </w:tc>
      </w:tr>
      <w:tr w:rsidR="002C532F" w:rsidRPr="00BF60B1" w14:paraId="3E7F76FD" w14:textId="77777777" w:rsidTr="00B72510">
        <w:trPr>
          <w:cantSplit/>
          <w:trHeight w:val="299"/>
        </w:trPr>
        <w:tc>
          <w:tcPr>
            <w:tcW w:w="9493" w:type="dxa"/>
            <w:gridSpan w:val="3"/>
            <w:vAlign w:val="center"/>
            <w:hideMark/>
          </w:tcPr>
          <w:p w14:paraId="20497E50" w14:textId="6B1E3F45" w:rsidR="002C532F" w:rsidRPr="00BF60B1" w:rsidRDefault="002C532F" w:rsidP="002C532F">
            <w:pPr>
              <w:spacing w:before="0" w:after="0"/>
              <w:rPr>
                <w:rFonts w:ascii="Arial Narrow" w:hAnsi="Arial Narrow" w:cs="Calibri"/>
                <w:b/>
                <w:bCs/>
              </w:rPr>
            </w:pPr>
            <w:r>
              <w:rPr>
                <w:rFonts w:ascii="Arial Narrow" w:hAnsi="Arial Narrow" w:cs="Calibri"/>
                <w:b/>
                <w:bCs/>
                <w:color w:val="000000"/>
              </w:rPr>
              <w:t>GSD1 Births Only</w:t>
            </w:r>
          </w:p>
        </w:tc>
      </w:tr>
      <w:tr w:rsidR="002C532F" w:rsidRPr="00BF60B1" w14:paraId="1D1AA794" w14:textId="77777777" w:rsidTr="00B72510">
        <w:trPr>
          <w:cantSplit/>
          <w:trHeight w:val="314"/>
        </w:trPr>
        <w:tc>
          <w:tcPr>
            <w:tcW w:w="3137" w:type="dxa"/>
            <w:vAlign w:val="center"/>
            <w:hideMark/>
          </w:tcPr>
          <w:p w14:paraId="3B049D08" w14:textId="618A30B5"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3B08FC92" w14:textId="24C2A9FC"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62CE3D83" w14:textId="5AFFE4CA"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46602400" w14:textId="77777777" w:rsidTr="00B72510">
        <w:trPr>
          <w:cantSplit/>
          <w:trHeight w:val="314"/>
        </w:trPr>
        <w:tc>
          <w:tcPr>
            <w:tcW w:w="3137" w:type="dxa"/>
            <w:vAlign w:val="center"/>
            <w:hideMark/>
          </w:tcPr>
          <w:p w14:paraId="229B9C34" w14:textId="026E1BED"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46C43CA6" w14:textId="47E1BC11" w:rsidR="002C532F" w:rsidRPr="00BF60B1" w:rsidRDefault="002C532F" w:rsidP="002C532F">
            <w:pPr>
              <w:spacing w:before="0" w:after="0"/>
              <w:jc w:val="center"/>
              <w:rPr>
                <w:rFonts w:ascii="Arial Narrow" w:hAnsi="Arial Narrow" w:cs="Calibri"/>
              </w:rPr>
            </w:pPr>
            <w:r>
              <w:rPr>
                <w:rFonts w:ascii="Arial Narrow" w:hAnsi="Arial Narrow" w:cs="Calibri"/>
                <w:color w:val="000000"/>
              </w:rPr>
              <w:t>$498.08</w:t>
            </w:r>
          </w:p>
        </w:tc>
        <w:tc>
          <w:tcPr>
            <w:tcW w:w="3077" w:type="dxa"/>
            <w:vAlign w:val="center"/>
            <w:hideMark/>
          </w:tcPr>
          <w:p w14:paraId="71578A43" w14:textId="39F8BEC1" w:rsidR="002C532F" w:rsidRPr="00BF60B1" w:rsidRDefault="002C532F" w:rsidP="002C532F">
            <w:pPr>
              <w:spacing w:before="0" w:after="0"/>
              <w:jc w:val="center"/>
              <w:rPr>
                <w:rFonts w:ascii="Arial Narrow" w:hAnsi="Arial Narrow" w:cs="Calibri"/>
              </w:rPr>
            </w:pPr>
            <w:r>
              <w:rPr>
                <w:rFonts w:ascii="Arial Narrow" w:hAnsi="Arial Narrow" w:cs="Calibri"/>
                <w:color w:val="000000"/>
              </w:rPr>
              <w:t>$717.85</w:t>
            </w:r>
          </w:p>
        </w:tc>
      </w:tr>
      <w:tr w:rsidR="002C532F" w:rsidRPr="00BF60B1" w14:paraId="35510164" w14:textId="77777777" w:rsidTr="00B72510">
        <w:trPr>
          <w:cantSplit/>
          <w:trHeight w:val="314"/>
        </w:trPr>
        <w:tc>
          <w:tcPr>
            <w:tcW w:w="3137" w:type="dxa"/>
            <w:vAlign w:val="center"/>
            <w:hideMark/>
          </w:tcPr>
          <w:p w14:paraId="7151F0FC" w14:textId="4FE87D30"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6F96DD58" w14:textId="16BABF24" w:rsidR="002C532F" w:rsidRPr="00BF60B1" w:rsidRDefault="002C532F" w:rsidP="002C532F">
            <w:pPr>
              <w:spacing w:before="0" w:after="0"/>
              <w:jc w:val="center"/>
              <w:rPr>
                <w:rFonts w:ascii="Arial Narrow" w:hAnsi="Arial Narrow" w:cs="Calibri"/>
              </w:rPr>
            </w:pPr>
            <w:r>
              <w:rPr>
                <w:rFonts w:ascii="Arial Narrow" w:hAnsi="Arial Narrow" w:cs="Calibri"/>
                <w:color w:val="000000"/>
              </w:rPr>
              <w:t>$301.83</w:t>
            </w:r>
          </w:p>
        </w:tc>
        <w:tc>
          <w:tcPr>
            <w:tcW w:w="3077" w:type="dxa"/>
            <w:vAlign w:val="center"/>
            <w:hideMark/>
          </w:tcPr>
          <w:p w14:paraId="09B66518" w14:textId="1543976E" w:rsidR="002C532F" w:rsidRPr="00BF60B1" w:rsidRDefault="002C532F" w:rsidP="002C532F">
            <w:pPr>
              <w:spacing w:before="0" w:after="0"/>
              <w:jc w:val="center"/>
              <w:rPr>
                <w:rFonts w:ascii="Arial Narrow" w:hAnsi="Arial Narrow" w:cs="Calibri"/>
              </w:rPr>
            </w:pPr>
            <w:r>
              <w:rPr>
                <w:rFonts w:ascii="Arial Narrow" w:hAnsi="Arial Narrow" w:cs="Calibri"/>
                <w:color w:val="000000"/>
              </w:rPr>
              <w:t>$301.83</w:t>
            </w:r>
          </w:p>
        </w:tc>
      </w:tr>
      <w:tr w:rsidR="002C532F" w:rsidRPr="00BF60B1" w14:paraId="1FC41F21" w14:textId="77777777" w:rsidTr="00B72510">
        <w:trPr>
          <w:cantSplit/>
          <w:trHeight w:val="314"/>
        </w:trPr>
        <w:tc>
          <w:tcPr>
            <w:tcW w:w="3137" w:type="dxa"/>
            <w:vAlign w:val="center"/>
            <w:hideMark/>
          </w:tcPr>
          <w:p w14:paraId="7FAF3197" w14:textId="56A76A0A"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7F0E6D01" w14:textId="5D151826" w:rsidR="002C532F" w:rsidRPr="00BF60B1" w:rsidRDefault="002C532F" w:rsidP="002C532F">
            <w:pPr>
              <w:spacing w:before="0" w:after="0"/>
              <w:jc w:val="center"/>
              <w:rPr>
                <w:rFonts w:ascii="Arial Narrow" w:hAnsi="Arial Narrow" w:cs="Calibri"/>
              </w:rPr>
            </w:pPr>
            <w:r>
              <w:rPr>
                <w:rFonts w:ascii="Arial Narrow" w:hAnsi="Arial Narrow" w:cs="Calibri"/>
                <w:color w:val="000000"/>
              </w:rPr>
              <w:t>$196.25</w:t>
            </w:r>
          </w:p>
        </w:tc>
        <w:tc>
          <w:tcPr>
            <w:tcW w:w="3077" w:type="dxa"/>
            <w:vAlign w:val="center"/>
            <w:hideMark/>
          </w:tcPr>
          <w:p w14:paraId="6778C901" w14:textId="0D4C44B2" w:rsidR="002C532F" w:rsidRPr="00BF60B1" w:rsidRDefault="002C532F" w:rsidP="002C532F">
            <w:pPr>
              <w:spacing w:before="0" w:after="0"/>
              <w:jc w:val="center"/>
              <w:rPr>
                <w:rFonts w:ascii="Arial Narrow" w:hAnsi="Arial Narrow" w:cs="Calibri"/>
              </w:rPr>
            </w:pPr>
            <w:r>
              <w:rPr>
                <w:rFonts w:ascii="Arial Narrow" w:hAnsi="Arial Narrow" w:cs="Calibri"/>
                <w:color w:val="000000"/>
              </w:rPr>
              <w:t>$416.02</w:t>
            </w:r>
          </w:p>
        </w:tc>
      </w:tr>
      <w:tr w:rsidR="002C532F" w:rsidRPr="00BF60B1" w14:paraId="03578FFA" w14:textId="77777777" w:rsidTr="00B72510">
        <w:trPr>
          <w:cantSplit/>
          <w:trHeight w:val="314"/>
        </w:trPr>
        <w:tc>
          <w:tcPr>
            <w:tcW w:w="9493" w:type="dxa"/>
            <w:gridSpan w:val="3"/>
            <w:vAlign w:val="center"/>
            <w:hideMark/>
          </w:tcPr>
          <w:p w14:paraId="48125BC6" w14:textId="55320F44" w:rsidR="002C532F" w:rsidRPr="00EB0436" w:rsidRDefault="002C532F" w:rsidP="002C532F">
            <w:pPr>
              <w:spacing w:before="0" w:after="0"/>
              <w:rPr>
                <w:rFonts w:ascii="Arial Narrow" w:hAnsi="Arial Narrow" w:cs="Calibri"/>
                <w:b/>
                <w:bCs/>
              </w:rPr>
            </w:pPr>
            <w:r>
              <w:rPr>
                <w:rFonts w:ascii="Arial Narrow" w:hAnsi="Arial Narrow" w:cs="Calibri"/>
                <w:b/>
                <w:bCs/>
                <w:color w:val="000000"/>
              </w:rPr>
              <w:t>GSD1 births (/100,000 births)</w:t>
            </w:r>
          </w:p>
        </w:tc>
      </w:tr>
      <w:tr w:rsidR="002C532F" w:rsidRPr="00BF60B1" w14:paraId="629A2EEA" w14:textId="77777777" w:rsidTr="00B72510">
        <w:trPr>
          <w:cantSplit/>
          <w:trHeight w:val="314"/>
        </w:trPr>
        <w:tc>
          <w:tcPr>
            <w:tcW w:w="3137" w:type="dxa"/>
            <w:vAlign w:val="center"/>
            <w:hideMark/>
          </w:tcPr>
          <w:p w14:paraId="513B2384" w14:textId="7C807812"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64CE538C" w14:textId="41F420CE" w:rsidR="002C532F" w:rsidRPr="00BF60B1" w:rsidRDefault="002C532F" w:rsidP="002C532F">
            <w:pPr>
              <w:spacing w:before="0" w:after="0"/>
              <w:jc w:val="center"/>
              <w:rPr>
                <w:rFonts w:ascii="Arial Narrow" w:hAnsi="Arial Narrow" w:cs="Calibri"/>
              </w:rPr>
            </w:pPr>
            <w:r>
              <w:rPr>
                <w:rFonts w:ascii="Arial Narrow" w:hAnsi="Arial Narrow" w:cs="Calibri"/>
                <w:color w:val="000000"/>
              </w:rPr>
              <w:t>54</w:t>
            </w:r>
          </w:p>
        </w:tc>
        <w:tc>
          <w:tcPr>
            <w:tcW w:w="3077" w:type="dxa"/>
            <w:vAlign w:val="center"/>
            <w:hideMark/>
          </w:tcPr>
          <w:p w14:paraId="5A67FE78" w14:textId="4D9B44E5" w:rsidR="002C532F" w:rsidRPr="00BF60B1" w:rsidRDefault="002C532F" w:rsidP="002C532F">
            <w:pPr>
              <w:spacing w:before="0" w:after="0"/>
              <w:jc w:val="center"/>
              <w:rPr>
                <w:rFonts w:ascii="Arial Narrow" w:hAnsi="Arial Narrow" w:cs="Calibri"/>
              </w:rPr>
            </w:pPr>
            <w:r>
              <w:rPr>
                <w:rFonts w:ascii="Arial Narrow" w:hAnsi="Arial Narrow" w:cs="Calibri"/>
                <w:color w:val="000000"/>
              </w:rPr>
              <w:t>193</w:t>
            </w:r>
          </w:p>
        </w:tc>
      </w:tr>
      <w:tr w:rsidR="002C532F" w:rsidRPr="00BF60B1" w14:paraId="69E91941" w14:textId="77777777" w:rsidTr="00B72510">
        <w:trPr>
          <w:cantSplit/>
          <w:trHeight w:val="314"/>
        </w:trPr>
        <w:tc>
          <w:tcPr>
            <w:tcW w:w="3137" w:type="dxa"/>
            <w:vAlign w:val="center"/>
            <w:hideMark/>
          </w:tcPr>
          <w:p w14:paraId="5006A15F" w14:textId="745DB9F5"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2969959A" w14:textId="58AED8A9" w:rsidR="002C532F" w:rsidRPr="00BF60B1" w:rsidRDefault="002C532F" w:rsidP="002C532F">
            <w:pPr>
              <w:spacing w:before="0" w:after="0"/>
              <w:jc w:val="center"/>
              <w:rPr>
                <w:rFonts w:ascii="Arial Narrow" w:hAnsi="Arial Narrow" w:cs="Calibri"/>
              </w:rPr>
            </w:pPr>
            <w:r>
              <w:rPr>
                <w:rFonts w:ascii="Arial Narrow" w:hAnsi="Arial Narrow" w:cs="Calibri"/>
                <w:color w:val="000000"/>
              </w:rPr>
              <w:t>195</w:t>
            </w:r>
          </w:p>
        </w:tc>
        <w:tc>
          <w:tcPr>
            <w:tcW w:w="3077" w:type="dxa"/>
            <w:vAlign w:val="center"/>
            <w:hideMark/>
          </w:tcPr>
          <w:p w14:paraId="529CF17D" w14:textId="46BAB292" w:rsidR="002C532F" w:rsidRPr="00BF60B1" w:rsidRDefault="002C532F" w:rsidP="002C532F">
            <w:pPr>
              <w:spacing w:before="0" w:after="0"/>
              <w:jc w:val="center"/>
              <w:rPr>
                <w:rFonts w:ascii="Arial Narrow" w:hAnsi="Arial Narrow" w:cs="Calibri"/>
              </w:rPr>
            </w:pPr>
            <w:r>
              <w:rPr>
                <w:rFonts w:ascii="Arial Narrow" w:hAnsi="Arial Narrow" w:cs="Calibri"/>
                <w:color w:val="000000"/>
              </w:rPr>
              <w:t>195</w:t>
            </w:r>
          </w:p>
        </w:tc>
      </w:tr>
      <w:tr w:rsidR="002C532F" w:rsidRPr="00BF60B1" w14:paraId="310C10AB" w14:textId="77777777" w:rsidTr="00B72510">
        <w:trPr>
          <w:cantSplit/>
          <w:trHeight w:val="314"/>
        </w:trPr>
        <w:tc>
          <w:tcPr>
            <w:tcW w:w="3137" w:type="dxa"/>
            <w:vAlign w:val="center"/>
            <w:hideMark/>
          </w:tcPr>
          <w:p w14:paraId="2E7AD271" w14:textId="39F9A201"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38E80E3F" w14:textId="03616974" w:rsidR="002C532F" w:rsidRPr="00BF60B1" w:rsidRDefault="002C532F" w:rsidP="002C532F">
            <w:pPr>
              <w:spacing w:before="0" w:after="0"/>
              <w:jc w:val="center"/>
              <w:rPr>
                <w:rFonts w:ascii="Arial Narrow" w:hAnsi="Arial Narrow" w:cs="Calibri"/>
              </w:rPr>
            </w:pPr>
            <w:r>
              <w:rPr>
                <w:rFonts w:ascii="Arial Narrow" w:hAnsi="Arial Narrow" w:cs="Calibri"/>
                <w:color w:val="000000"/>
              </w:rPr>
              <w:t>141</w:t>
            </w:r>
          </w:p>
        </w:tc>
        <w:tc>
          <w:tcPr>
            <w:tcW w:w="3077" w:type="dxa"/>
            <w:vAlign w:val="center"/>
            <w:hideMark/>
          </w:tcPr>
          <w:p w14:paraId="39774E85" w14:textId="4B173585"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7B4396EE" w14:textId="77777777" w:rsidTr="00B72510">
        <w:trPr>
          <w:cantSplit/>
          <w:trHeight w:val="314"/>
        </w:trPr>
        <w:tc>
          <w:tcPr>
            <w:tcW w:w="3137" w:type="dxa"/>
            <w:vAlign w:val="center"/>
            <w:hideMark/>
          </w:tcPr>
          <w:p w14:paraId="36E84D7C" w14:textId="678B4F9C"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(cost/GSD1 births averted)</w:t>
            </w:r>
          </w:p>
        </w:tc>
        <w:tc>
          <w:tcPr>
            <w:tcW w:w="3279" w:type="dxa"/>
            <w:vAlign w:val="center"/>
            <w:hideMark/>
          </w:tcPr>
          <w:p w14:paraId="08F14DF7" w14:textId="546D19DD"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$1.39</w:t>
            </w:r>
          </w:p>
        </w:tc>
        <w:tc>
          <w:tcPr>
            <w:tcW w:w="3077" w:type="dxa"/>
            <w:vAlign w:val="center"/>
            <w:hideMark/>
          </w:tcPr>
          <w:p w14:paraId="2C48ADE3" w14:textId="7886185C"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$194.63</w:t>
            </w:r>
          </w:p>
        </w:tc>
      </w:tr>
      <w:tr w:rsidR="002C532F" w:rsidRPr="00BF60B1" w14:paraId="0F419BA0" w14:textId="77777777" w:rsidTr="00B72510">
        <w:trPr>
          <w:cantSplit/>
          <w:trHeight w:val="314"/>
        </w:trPr>
        <w:tc>
          <w:tcPr>
            <w:tcW w:w="9493" w:type="dxa"/>
            <w:gridSpan w:val="3"/>
            <w:vAlign w:val="center"/>
            <w:hideMark/>
          </w:tcPr>
          <w:p w14:paraId="523D2858" w14:textId="001A2BF0" w:rsidR="002C532F" w:rsidRPr="00BF60B1" w:rsidRDefault="002C532F" w:rsidP="002C532F">
            <w:pPr>
              <w:spacing w:before="0" w:after="0"/>
              <w:rPr>
                <w:rFonts w:ascii="Arial Narrow" w:hAnsi="Arial Narrow" w:cs="Calibri"/>
                <w:b/>
                <w:bCs/>
              </w:rPr>
            </w:pPr>
            <w:r>
              <w:rPr>
                <w:rFonts w:ascii="Arial Narrow" w:hAnsi="Arial Narrow" w:cs="Calibri"/>
                <w:b/>
                <w:bCs/>
                <w:color w:val="000000"/>
              </w:rPr>
              <w:t>FA Births Only</w:t>
            </w:r>
          </w:p>
        </w:tc>
      </w:tr>
      <w:tr w:rsidR="002C532F" w:rsidRPr="00BF60B1" w14:paraId="6434D71B" w14:textId="77777777" w:rsidTr="00B72510">
        <w:trPr>
          <w:cantSplit/>
          <w:trHeight w:val="314"/>
        </w:trPr>
        <w:tc>
          <w:tcPr>
            <w:tcW w:w="3137" w:type="dxa"/>
            <w:vAlign w:val="center"/>
            <w:hideMark/>
          </w:tcPr>
          <w:p w14:paraId="62FC12ED" w14:textId="62EA3538"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7B6F0B13" w14:textId="417A64D2"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6E08D734" w14:textId="0F7A9AE4"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1CBBDEB3" w14:textId="77777777" w:rsidTr="00B72510">
        <w:trPr>
          <w:cantSplit/>
          <w:trHeight w:val="314"/>
        </w:trPr>
        <w:tc>
          <w:tcPr>
            <w:tcW w:w="3137" w:type="dxa"/>
            <w:vAlign w:val="center"/>
            <w:hideMark/>
          </w:tcPr>
          <w:p w14:paraId="5A2D1254" w14:textId="667A0449"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0E251376" w14:textId="4B6182E6" w:rsidR="002C532F" w:rsidRPr="00BF60B1" w:rsidRDefault="002C532F" w:rsidP="002C532F">
            <w:pPr>
              <w:spacing w:before="0" w:after="0"/>
              <w:jc w:val="center"/>
              <w:rPr>
                <w:rFonts w:ascii="Arial Narrow" w:hAnsi="Arial Narrow" w:cs="Calibri"/>
              </w:rPr>
            </w:pPr>
            <w:r>
              <w:rPr>
                <w:rFonts w:ascii="Arial Narrow" w:hAnsi="Arial Narrow" w:cs="Calibri"/>
                <w:color w:val="000000"/>
              </w:rPr>
              <w:t>$438.09</w:t>
            </w:r>
          </w:p>
        </w:tc>
        <w:tc>
          <w:tcPr>
            <w:tcW w:w="3077" w:type="dxa"/>
            <w:vAlign w:val="center"/>
            <w:hideMark/>
          </w:tcPr>
          <w:p w14:paraId="3F683B68" w14:textId="76E78698" w:rsidR="002C532F" w:rsidRPr="00BF60B1" w:rsidRDefault="002C532F" w:rsidP="002C532F">
            <w:pPr>
              <w:spacing w:before="0" w:after="0"/>
              <w:jc w:val="center"/>
              <w:rPr>
                <w:rFonts w:ascii="Arial Narrow" w:hAnsi="Arial Narrow" w:cs="Calibri"/>
              </w:rPr>
            </w:pPr>
            <w:r>
              <w:rPr>
                <w:rFonts w:ascii="Arial Narrow" w:hAnsi="Arial Narrow" w:cs="Calibri"/>
                <w:color w:val="000000"/>
              </w:rPr>
              <w:t>$453.66</w:t>
            </w:r>
          </w:p>
        </w:tc>
      </w:tr>
      <w:tr w:rsidR="002C532F" w:rsidRPr="00BF60B1" w14:paraId="3E4D9E9E" w14:textId="77777777" w:rsidTr="00B72510">
        <w:trPr>
          <w:cantSplit/>
          <w:trHeight w:val="314"/>
        </w:trPr>
        <w:tc>
          <w:tcPr>
            <w:tcW w:w="3137" w:type="dxa"/>
            <w:vAlign w:val="center"/>
            <w:hideMark/>
          </w:tcPr>
          <w:p w14:paraId="6E5B2B4D" w14:textId="5A303EFE"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3A99249B" w14:textId="2B237BA4" w:rsidR="002C532F" w:rsidRPr="00BF60B1" w:rsidRDefault="002C532F" w:rsidP="002C532F">
            <w:pPr>
              <w:spacing w:before="0" w:after="0"/>
              <w:jc w:val="center"/>
              <w:rPr>
                <w:rFonts w:ascii="Arial Narrow" w:hAnsi="Arial Narrow" w:cs="Calibri"/>
              </w:rPr>
            </w:pPr>
            <w:r>
              <w:rPr>
                <w:rFonts w:ascii="Arial Narrow" w:hAnsi="Arial Narrow" w:cs="Calibri"/>
                <w:color w:val="000000"/>
              </w:rPr>
              <w:t>$45.27</w:t>
            </w:r>
          </w:p>
        </w:tc>
        <w:tc>
          <w:tcPr>
            <w:tcW w:w="3077" w:type="dxa"/>
            <w:vAlign w:val="center"/>
            <w:hideMark/>
          </w:tcPr>
          <w:p w14:paraId="201E1D0F" w14:textId="0B4B1753" w:rsidR="002C532F" w:rsidRPr="00BF60B1" w:rsidRDefault="002C532F" w:rsidP="002C532F">
            <w:pPr>
              <w:spacing w:before="0" w:after="0"/>
              <w:jc w:val="center"/>
              <w:rPr>
                <w:rFonts w:ascii="Arial Narrow" w:hAnsi="Arial Narrow" w:cs="Calibri"/>
              </w:rPr>
            </w:pPr>
            <w:r>
              <w:rPr>
                <w:rFonts w:ascii="Arial Narrow" w:hAnsi="Arial Narrow" w:cs="Calibri"/>
                <w:color w:val="000000"/>
              </w:rPr>
              <w:t>$475.17</w:t>
            </w:r>
          </w:p>
        </w:tc>
      </w:tr>
      <w:tr w:rsidR="002C532F" w:rsidRPr="00BF60B1" w14:paraId="53785A1B" w14:textId="77777777" w:rsidTr="00B72510">
        <w:trPr>
          <w:cantSplit/>
          <w:trHeight w:val="314"/>
        </w:trPr>
        <w:tc>
          <w:tcPr>
            <w:tcW w:w="3137" w:type="dxa"/>
            <w:vAlign w:val="center"/>
            <w:hideMark/>
          </w:tcPr>
          <w:p w14:paraId="42CAE8E4" w14:textId="6CA1F3AA"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7D555654" w14:textId="5ACA8F56" w:rsidR="002C532F" w:rsidRPr="00BF60B1" w:rsidRDefault="002C532F" w:rsidP="002C532F">
            <w:pPr>
              <w:spacing w:before="0" w:after="0"/>
              <w:jc w:val="center"/>
              <w:rPr>
                <w:rFonts w:ascii="Arial Narrow" w:hAnsi="Arial Narrow" w:cs="Calibri"/>
              </w:rPr>
            </w:pPr>
            <w:r>
              <w:rPr>
                <w:rFonts w:ascii="Arial Narrow" w:hAnsi="Arial Narrow" w:cs="Calibri"/>
                <w:color w:val="000000"/>
              </w:rPr>
              <w:t>$392.82</w:t>
            </w:r>
          </w:p>
        </w:tc>
        <w:tc>
          <w:tcPr>
            <w:tcW w:w="3077" w:type="dxa"/>
            <w:vAlign w:val="center"/>
            <w:hideMark/>
          </w:tcPr>
          <w:p w14:paraId="4DDDDD1C" w14:textId="27E9BB52" w:rsidR="002C532F" w:rsidRPr="00BF60B1" w:rsidRDefault="002C532F" w:rsidP="002C532F">
            <w:pPr>
              <w:spacing w:before="0" w:after="0"/>
              <w:jc w:val="center"/>
              <w:rPr>
                <w:rFonts w:ascii="Arial Narrow" w:hAnsi="Arial Narrow" w:cs="Calibri"/>
              </w:rPr>
            </w:pPr>
            <w:r>
              <w:rPr>
                <w:rFonts w:ascii="Arial Narrow" w:hAnsi="Arial Narrow" w:cs="Calibri"/>
                <w:color w:val="FF0000"/>
              </w:rPr>
              <w:t>-$21.51</w:t>
            </w:r>
          </w:p>
        </w:tc>
      </w:tr>
      <w:tr w:rsidR="002C532F" w:rsidRPr="00BF60B1" w14:paraId="5C5F203D" w14:textId="77777777" w:rsidTr="00B72510">
        <w:trPr>
          <w:cantSplit/>
          <w:trHeight w:val="299"/>
        </w:trPr>
        <w:tc>
          <w:tcPr>
            <w:tcW w:w="9493" w:type="dxa"/>
            <w:gridSpan w:val="3"/>
            <w:vAlign w:val="center"/>
            <w:hideMark/>
          </w:tcPr>
          <w:p w14:paraId="0FAF8A73" w14:textId="2B2CF9CC" w:rsidR="002C532F" w:rsidRPr="00EB0436" w:rsidRDefault="002C532F" w:rsidP="002C532F">
            <w:pPr>
              <w:spacing w:before="0" w:after="0"/>
              <w:rPr>
                <w:rFonts w:ascii="Arial Narrow" w:hAnsi="Arial Narrow" w:cs="Calibri"/>
                <w:b/>
                <w:bCs/>
              </w:rPr>
            </w:pPr>
            <w:r>
              <w:rPr>
                <w:rFonts w:ascii="Arial Narrow" w:hAnsi="Arial Narrow" w:cs="Calibri"/>
                <w:b/>
                <w:bCs/>
                <w:color w:val="000000"/>
              </w:rPr>
              <w:t>FA births (/100,000 births)</w:t>
            </w:r>
          </w:p>
        </w:tc>
      </w:tr>
      <w:tr w:rsidR="002C532F" w:rsidRPr="00BF60B1" w14:paraId="582ACD90" w14:textId="77777777" w:rsidTr="00B72510">
        <w:trPr>
          <w:cantSplit/>
          <w:trHeight w:val="314"/>
        </w:trPr>
        <w:tc>
          <w:tcPr>
            <w:tcW w:w="3137" w:type="dxa"/>
            <w:vAlign w:val="center"/>
            <w:hideMark/>
          </w:tcPr>
          <w:p w14:paraId="4864A26B" w14:textId="720364F2"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57B7D00A" w14:textId="4CC413E7"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c>
          <w:tcPr>
            <w:tcW w:w="3077" w:type="dxa"/>
            <w:vAlign w:val="center"/>
            <w:hideMark/>
          </w:tcPr>
          <w:p w14:paraId="41B5026C" w14:textId="193C59F7"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2392DDBE" w14:textId="77777777" w:rsidTr="00B72510">
        <w:trPr>
          <w:cantSplit/>
          <w:trHeight w:val="314"/>
        </w:trPr>
        <w:tc>
          <w:tcPr>
            <w:tcW w:w="3137" w:type="dxa"/>
            <w:vAlign w:val="center"/>
            <w:hideMark/>
          </w:tcPr>
          <w:p w14:paraId="7D1CEF77" w14:textId="3FD70185"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5A1BA67C" w14:textId="3B54126D" w:rsidR="002C532F" w:rsidRPr="00BF60B1" w:rsidRDefault="002C532F" w:rsidP="002C532F">
            <w:pPr>
              <w:spacing w:before="0" w:after="0"/>
              <w:jc w:val="center"/>
              <w:rPr>
                <w:rFonts w:ascii="Arial Narrow" w:hAnsi="Arial Narrow" w:cs="Calibri"/>
              </w:rPr>
            </w:pPr>
            <w:r>
              <w:rPr>
                <w:rFonts w:ascii="Arial Narrow" w:hAnsi="Arial Narrow" w:cs="Calibri"/>
                <w:color w:val="000000"/>
              </w:rPr>
              <w:t>4</w:t>
            </w:r>
          </w:p>
        </w:tc>
        <w:tc>
          <w:tcPr>
            <w:tcW w:w="3077" w:type="dxa"/>
            <w:vAlign w:val="center"/>
            <w:hideMark/>
          </w:tcPr>
          <w:p w14:paraId="71CEBF6E" w14:textId="2353B432" w:rsidR="002C532F" w:rsidRPr="00BF60B1" w:rsidRDefault="002C532F" w:rsidP="002C532F">
            <w:pPr>
              <w:spacing w:before="0" w:after="0"/>
              <w:jc w:val="center"/>
              <w:rPr>
                <w:rFonts w:ascii="Arial Narrow" w:hAnsi="Arial Narrow" w:cs="Calibri"/>
              </w:rPr>
            </w:pPr>
            <w:r>
              <w:rPr>
                <w:rFonts w:ascii="Arial Narrow" w:hAnsi="Arial Narrow" w:cs="Calibri"/>
                <w:color w:val="000000"/>
              </w:rPr>
              <w:t>4</w:t>
            </w:r>
          </w:p>
        </w:tc>
      </w:tr>
      <w:tr w:rsidR="002C532F" w:rsidRPr="00BF60B1" w14:paraId="2F5669FA" w14:textId="77777777" w:rsidTr="00B72510">
        <w:trPr>
          <w:cantSplit/>
          <w:trHeight w:val="529"/>
        </w:trPr>
        <w:tc>
          <w:tcPr>
            <w:tcW w:w="3137" w:type="dxa"/>
            <w:vAlign w:val="center"/>
            <w:hideMark/>
          </w:tcPr>
          <w:p w14:paraId="54518263" w14:textId="5EAE4E59"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5603EAED" w14:textId="5D349869" w:rsidR="002C532F" w:rsidRPr="00BF60B1" w:rsidRDefault="002C532F" w:rsidP="002C532F">
            <w:pPr>
              <w:spacing w:before="0" w:after="0"/>
              <w:jc w:val="center"/>
              <w:rPr>
                <w:rFonts w:ascii="Arial Narrow" w:hAnsi="Arial Narrow" w:cs="Calibri"/>
              </w:rPr>
            </w:pPr>
            <w:r>
              <w:rPr>
                <w:rFonts w:ascii="Arial Narrow" w:hAnsi="Arial Narrow" w:cs="Calibri"/>
                <w:color w:val="000000"/>
              </w:rPr>
              <w:t>3</w:t>
            </w:r>
          </w:p>
        </w:tc>
        <w:tc>
          <w:tcPr>
            <w:tcW w:w="3077" w:type="dxa"/>
            <w:vAlign w:val="center"/>
            <w:hideMark/>
          </w:tcPr>
          <w:p w14:paraId="6F587391" w14:textId="45C7E177"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16697FAF" w14:textId="77777777" w:rsidTr="00B72510">
        <w:trPr>
          <w:cantSplit/>
          <w:trHeight w:val="314"/>
        </w:trPr>
        <w:tc>
          <w:tcPr>
            <w:tcW w:w="3137" w:type="dxa"/>
            <w:vAlign w:val="center"/>
            <w:hideMark/>
          </w:tcPr>
          <w:p w14:paraId="212C6FAB" w14:textId="1C2520E2"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(cost/FA births averted)</w:t>
            </w:r>
          </w:p>
        </w:tc>
        <w:tc>
          <w:tcPr>
            <w:tcW w:w="3279" w:type="dxa"/>
            <w:vAlign w:val="center"/>
            <w:hideMark/>
          </w:tcPr>
          <w:p w14:paraId="40C4B06A" w14:textId="20216C99"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$124.08</w:t>
            </w:r>
          </w:p>
        </w:tc>
        <w:tc>
          <w:tcPr>
            <w:tcW w:w="3077" w:type="dxa"/>
            <w:vAlign w:val="center"/>
            <w:hideMark/>
          </w:tcPr>
          <w:p w14:paraId="54B09C50" w14:textId="3D4FDF4E"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3B7EF17F" w14:textId="77777777" w:rsidTr="00B72510">
        <w:trPr>
          <w:cantSplit/>
          <w:trHeight w:val="314"/>
        </w:trPr>
        <w:tc>
          <w:tcPr>
            <w:tcW w:w="9493" w:type="dxa"/>
            <w:gridSpan w:val="3"/>
            <w:vAlign w:val="center"/>
            <w:hideMark/>
          </w:tcPr>
          <w:p w14:paraId="5F14C964" w14:textId="7B2C6E00" w:rsidR="002C532F" w:rsidRPr="00BF60B1" w:rsidRDefault="002C532F" w:rsidP="002C532F">
            <w:pPr>
              <w:spacing w:before="0" w:after="0"/>
              <w:rPr>
                <w:rFonts w:ascii="Arial Narrow" w:hAnsi="Arial Narrow" w:cs="Calibri"/>
                <w:b/>
                <w:bCs/>
              </w:rPr>
            </w:pPr>
            <w:r>
              <w:rPr>
                <w:rFonts w:ascii="Arial Narrow" w:hAnsi="Arial Narrow" w:cs="Calibri"/>
                <w:b/>
                <w:bCs/>
                <w:color w:val="000000"/>
              </w:rPr>
              <w:t>GD Births Only</w:t>
            </w:r>
          </w:p>
        </w:tc>
      </w:tr>
      <w:tr w:rsidR="002C532F" w:rsidRPr="00BF60B1" w14:paraId="772E3DE9" w14:textId="77777777" w:rsidTr="00B72510">
        <w:trPr>
          <w:cantSplit/>
          <w:trHeight w:val="289"/>
        </w:trPr>
        <w:tc>
          <w:tcPr>
            <w:tcW w:w="3137" w:type="dxa"/>
            <w:vAlign w:val="center"/>
            <w:hideMark/>
          </w:tcPr>
          <w:p w14:paraId="10036BC2" w14:textId="72CEDBB0"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6E49A40D" w14:textId="1318C968"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1A2777DE" w14:textId="38F34351"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0EA3E4BE" w14:textId="77777777" w:rsidTr="00B72510">
        <w:trPr>
          <w:cantSplit/>
          <w:trHeight w:val="299"/>
        </w:trPr>
        <w:tc>
          <w:tcPr>
            <w:tcW w:w="3137" w:type="dxa"/>
            <w:vAlign w:val="center"/>
            <w:hideMark/>
          </w:tcPr>
          <w:p w14:paraId="440A11AD" w14:textId="07447E7F"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5154E167" w14:textId="3C36963E" w:rsidR="002C532F" w:rsidRPr="00BF60B1" w:rsidRDefault="002C532F" w:rsidP="002C532F">
            <w:pPr>
              <w:spacing w:before="0" w:after="0"/>
              <w:jc w:val="center"/>
              <w:rPr>
                <w:rFonts w:ascii="Arial Narrow" w:hAnsi="Arial Narrow" w:cs="Calibri"/>
              </w:rPr>
            </w:pPr>
            <w:r>
              <w:rPr>
                <w:rFonts w:ascii="Arial Narrow" w:hAnsi="Arial Narrow" w:cs="Calibri"/>
                <w:color w:val="000000"/>
              </w:rPr>
              <w:t>$465.14</w:t>
            </w:r>
          </w:p>
        </w:tc>
        <w:tc>
          <w:tcPr>
            <w:tcW w:w="3077" w:type="dxa"/>
            <w:vAlign w:val="center"/>
            <w:hideMark/>
          </w:tcPr>
          <w:p w14:paraId="4058182A" w14:textId="152E9960" w:rsidR="002C532F" w:rsidRPr="00BF60B1" w:rsidRDefault="002C532F" w:rsidP="002C532F">
            <w:pPr>
              <w:spacing w:before="0" w:after="0"/>
              <w:jc w:val="center"/>
              <w:rPr>
                <w:rFonts w:ascii="Arial Narrow" w:hAnsi="Arial Narrow" w:cs="Calibri"/>
              </w:rPr>
            </w:pPr>
            <w:r>
              <w:rPr>
                <w:rFonts w:ascii="Arial Narrow" w:hAnsi="Arial Narrow" w:cs="Calibri"/>
                <w:color w:val="000000"/>
              </w:rPr>
              <w:t>$507.83</w:t>
            </w:r>
          </w:p>
        </w:tc>
      </w:tr>
      <w:tr w:rsidR="002C532F" w:rsidRPr="00BF60B1" w14:paraId="2DC6AEBF" w14:textId="77777777" w:rsidTr="00B72510">
        <w:trPr>
          <w:cantSplit/>
          <w:trHeight w:val="299"/>
        </w:trPr>
        <w:tc>
          <w:tcPr>
            <w:tcW w:w="3137" w:type="dxa"/>
            <w:vAlign w:val="center"/>
            <w:hideMark/>
          </w:tcPr>
          <w:p w14:paraId="408B0C90" w14:textId="6F608905"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316DCB5A" w14:textId="37BEAAFA" w:rsidR="002C532F" w:rsidRPr="00BF60B1" w:rsidRDefault="002C532F" w:rsidP="002C532F">
            <w:pPr>
              <w:spacing w:before="0" w:after="0"/>
              <w:jc w:val="center"/>
              <w:rPr>
                <w:rFonts w:ascii="Arial Narrow" w:hAnsi="Arial Narrow" w:cs="Calibri"/>
              </w:rPr>
            </w:pPr>
            <w:r>
              <w:rPr>
                <w:rFonts w:ascii="Arial Narrow" w:hAnsi="Arial Narrow" w:cs="Calibri"/>
                <w:color w:val="000000"/>
              </w:rPr>
              <w:t>$119.24</w:t>
            </w:r>
          </w:p>
        </w:tc>
        <w:tc>
          <w:tcPr>
            <w:tcW w:w="3077" w:type="dxa"/>
            <w:vAlign w:val="center"/>
            <w:hideMark/>
          </w:tcPr>
          <w:p w14:paraId="5C1F09C5" w14:textId="28B20E04" w:rsidR="002C532F" w:rsidRPr="00BF60B1" w:rsidRDefault="002C532F" w:rsidP="002C532F">
            <w:pPr>
              <w:spacing w:before="0" w:after="0"/>
              <w:jc w:val="center"/>
              <w:rPr>
                <w:rFonts w:ascii="Arial Narrow" w:hAnsi="Arial Narrow" w:cs="Calibri"/>
              </w:rPr>
            </w:pPr>
            <w:r>
              <w:rPr>
                <w:rFonts w:ascii="Arial Narrow" w:hAnsi="Arial Narrow" w:cs="Calibri"/>
                <w:color w:val="000000"/>
              </w:rPr>
              <w:t>$119.24</w:t>
            </w:r>
          </w:p>
        </w:tc>
      </w:tr>
      <w:tr w:rsidR="002C532F" w:rsidRPr="00BF60B1" w14:paraId="7F5A7886" w14:textId="77777777" w:rsidTr="00B72510">
        <w:trPr>
          <w:cantSplit/>
          <w:trHeight w:val="299"/>
        </w:trPr>
        <w:tc>
          <w:tcPr>
            <w:tcW w:w="3137" w:type="dxa"/>
            <w:vAlign w:val="center"/>
            <w:hideMark/>
          </w:tcPr>
          <w:p w14:paraId="3A2AA99B" w14:textId="1DD91243"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11B97F72" w14:textId="51D07715" w:rsidR="002C532F" w:rsidRPr="00BF60B1" w:rsidRDefault="002C532F" w:rsidP="002C532F">
            <w:pPr>
              <w:spacing w:before="0" w:after="0"/>
              <w:jc w:val="center"/>
              <w:rPr>
                <w:rFonts w:ascii="Arial Narrow" w:hAnsi="Arial Narrow" w:cs="Calibri"/>
              </w:rPr>
            </w:pPr>
            <w:r>
              <w:rPr>
                <w:rFonts w:ascii="Arial Narrow" w:hAnsi="Arial Narrow" w:cs="Calibri"/>
                <w:color w:val="000000"/>
              </w:rPr>
              <w:t>$345.90</w:t>
            </w:r>
          </w:p>
        </w:tc>
        <w:tc>
          <w:tcPr>
            <w:tcW w:w="3077" w:type="dxa"/>
            <w:vAlign w:val="center"/>
            <w:hideMark/>
          </w:tcPr>
          <w:p w14:paraId="145AED9E" w14:textId="45755358" w:rsidR="002C532F" w:rsidRPr="00BF60B1" w:rsidRDefault="002C532F" w:rsidP="002C532F">
            <w:pPr>
              <w:spacing w:before="0" w:after="0"/>
              <w:jc w:val="center"/>
              <w:rPr>
                <w:rFonts w:ascii="Arial Narrow" w:hAnsi="Arial Narrow" w:cs="Calibri"/>
              </w:rPr>
            </w:pPr>
            <w:r>
              <w:rPr>
                <w:rFonts w:ascii="Arial Narrow" w:hAnsi="Arial Narrow" w:cs="Calibri"/>
                <w:color w:val="000000"/>
              </w:rPr>
              <w:t>$388.59</w:t>
            </w:r>
          </w:p>
        </w:tc>
      </w:tr>
      <w:tr w:rsidR="002C532F" w:rsidRPr="00BF60B1" w14:paraId="34EBC9EF" w14:textId="77777777" w:rsidTr="00B72510">
        <w:trPr>
          <w:cantSplit/>
          <w:trHeight w:val="289"/>
        </w:trPr>
        <w:tc>
          <w:tcPr>
            <w:tcW w:w="9493" w:type="dxa"/>
            <w:gridSpan w:val="3"/>
            <w:vAlign w:val="center"/>
            <w:hideMark/>
          </w:tcPr>
          <w:p w14:paraId="3A6AF953" w14:textId="31A47986" w:rsidR="002C532F" w:rsidRPr="00EB0436" w:rsidRDefault="002C532F" w:rsidP="002C532F">
            <w:pPr>
              <w:spacing w:before="0" w:after="0"/>
              <w:rPr>
                <w:rFonts w:ascii="Arial Narrow" w:hAnsi="Arial Narrow" w:cs="Calibri"/>
                <w:b/>
                <w:bCs/>
              </w:rPr>
            </w:pPr>
            <w:r>
              <w:rPr>
                <w:rFonts w:ascii="Arial Narrow" w:hAnsi="Arial Narrow" w:cs="Calibri"/>
                <w:b/>
                <w:bCs/>
                <w:color w:val="000000"/>
              </w:rPr>
              <w:t>GD births (/100,000 births)</w:t>
            </w:r>
          </w:p>
        </w:tc>
      </w:tr>
      <w:tr w:rsidR="002C532F" w:rsidRPr="00BF60B1" w14:paraId="251E41F1" w14:textId="77777777" w:rsidTr="00B72510">
        <w:trPr>
          <w:cantSplit/>
          <w:trHeight w:val="299"/>
        </w:trPr>
        <w:tc>
          <w:tcPr>
            <w:tcW w:w="3137" w:type="dxa"/>
            <w:vAlign w:val="center"/>
            <w:hideMark/>
          </w:tcPr>
          <w:p w14:paraId="54AE9510" w14:textId="69B574DF"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48996C57" w14:textId="410B3454" w:rsidR="002C532F" w:rsidRPr="00BF60B1" w:rsidRDefault="002C532F" w:rsidP="002C532F">
            <w:pPr>
              <w:spacing w:before="0" w:after="0"/>
              <w:jc w:val="center"/>
              <w:rPr>
                <w:rFonts w:ascii="Arial Narrow" w:hAnsi="Arial Narrow" w:cs="Calibri"/>
              </w:rPr>
            </w:pPr>
            <w:r>
              <w:rPr>
                <w:rFonts w:ascii="Arial Narrow" w:hAnsi="Arial Narrow" w:cs="Calibri"/>
                <w:color w:val="000000"/>
              </w:rPr>
              <w:t>15</w:t>
            </w:r>
          </w:p>
        </w:tc>
        <w:tc>
          <w:tcPr>
            <w:tcW w:w="3077" w:type="dxa"/>
            <w:vAlign w:val="center"/>
            <w:hideMark/>
          </w:tcPr>
          <w:p w14:paraId="40DE242A" w14:textId="65E360CA" w:rsidR="002C532F" w:rsidRPr="00BF60B1" w:rsidRDefault="002C532F" w:rsidP="002C532F">
            <w:pPr>
              <w:spacing w:before="0" w:after="0"/>
              <w:jc w:val="center"/>
              <w:rPr>
                <w:rFonts w:ascii="Arial Narrow" w:hAnsi="Arial Narrow" w:cs="Calibri"/>
              </w:rPr>
            </w:pPr>
            <w:r>
              <w:rPr>
                <w:rFonts w:ascii="Arial Narrow" w:hAnsi="Arial Narrow" w:cs="Calibri"/>
                <w:color w:val="000000"/>
              </w:rPr>
              <w:t>40</w:t>
            </w:r>
          </w:p>
        </w:tc>
      </w:tr>
      <w:tr w:rsidR="002C532F" w:rsidRPr="00BF60B1" w14:paraId="2CBD40A7" w14:textId="77777777" w:rsidTr="00B72510">
        <w:trPr>
          <w:cantSplit/>
          <w:trHeight w:val="299"/>
        </w:trPr>
        <w:tc>
          <w:tcPr>
            <w:tcW w:w="3137" w:type="dxa"/>
            <w:vAlign w:val="center"/>
            <w:hideMark/>
          </w:tcPr>
          <w:p w14:paraId="14D4767F" w14:textId="359D433B"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35D2A59A" w14:textId="5F052343" w:rsidR="002C532F" w:rsidRPr="00BF60B1" w:rsidRDefault="002C532F" w:rsidP="002C532F">
            <w:pPr>
              <w:spacing w:before="0" w:after="0"/>
              <w:jc w:val="center"/>
              <w:rPr>
                <w:rFonts w:ascii="Arial Narrow" w:hAnsi="Arial Narrow" w:cs="Calibri"/>
              </w:rPr>
            </w:pPr>
            <w:r>
              <w:rPr>
                <w:rFonts w:ascii="Arial Narrow" w:hAnsi="Arial Narrow" w:cs="Calibri"/>
                <w:color w:val="000000"/>
              </w:rPr>
              <w:t>77</w:t>
            </w:r>
          </w:p>
        </w:tc>
        <w:tc>
          <w:tcPr>
            <w:tcW w:w="3077" w:type="dxa"/>
            <w:vAlign w:val="center"/>
            <w:hideMark/>
          </w:tcPr>
          <w:p w14:paraId="6D27D903" w14:textId="6326A12C" w:rsidR="002C532F" w:rsidRPr="00BF60B1" w:rsidRDefault="002C532F" w:rsidP="002C532F">
            <w:pPr>
              <w:spacing w:before="0" w:after="0"/>
              <w:jc w:val="center"/>
              <w:rPr>
                <w:rFonts w:ascii="Arial Narrow" w:hAnsi="Arial Narrow" w:cs="Calibri"/>
              </w:rPr>
            </w:pPr>
            <w:r>
              <w:rPr>
                <w:rFonts w:ascii="Arial Narrow" w:hAnsi="Arial Narrow" w:cs="Calibri"/>
                <w:color w:val="000000"/>
              </w:rPr>
              <w:t>77</w:t>
            </w:r>
          </w:p>
        </w:tc>
      </w:tr>
      <w:tr w:rsidR="002C532F" w:rsidRPr="00BF60B1" w14:paraId="6509017E" w14:textId="77777777" w:rsidTr="00B72510">
        <w:trPr>
          <w:cantSplit/>
          <w:trHeight w:val="299"/>
        </w:trPr>
        <w:tc>
          <w:tcPr>
            <w:tcW w:w="3137" w:type="dxa"/>
            <w:vAlign w:val="center"/>
            <w:hideMark/>
          </w:tcPr>
          <w:p w14:paraId="7366042E" w14:textId="6953F628"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2BBB5DC9" w14:textId="5C01FB09" w:rsidR="002C532F" w:rsidRPr="00BF60B1" w:rsidRDefault="002C532F" w:rsidP="002C532F">
            <w:pPr>
              <w:spacing w:before="0" w:after="0"/>
              <w:jc w:val="center"/>
              <w:rPr>
                <w:rFonts w:ascii="Arial Narrow" w:hAnsi="Arial Narrow" w:cs="Calibri"/>
              </w:rPr>
            </w:pPr>
            <w:r>
              <w:rPr>
                <w:rFonts w:ascii="Arial Narrow" w:hAnsi="Arial Narrow" w:cs="Calibri"/>
                <w:color w:val="000000"/>
              </w:rPr>
              <w:t>63</w:t>
            </w:r>
          </w:p>
        </w:tc>
        <w:tc>
          <w:tcPr>
            <w:tcW w:w="3077" w:type="dxa"/>
            <w:vAlign w:val="center"/>
            <w:hideMark/>
          </w:tcPr>
          <w:p w14:paraId="4E09B246" w14:textId="5308713E" w:rsidR="002C532F" w:rsidRPr="00BF60B1" w:rsidRDefault="002C532F" w:rsidP="002C532F">
            <w:pPr>
              <w:spacing w:before="0" w:after="0"/>
              <w:jc w:val="center"/>
              <w:rPr>
                <w:rFonts w:ascii="Arial Narrow" w:hAnsi="Arial Narrow" w:cs="Calibri"/>
              </w:rPr>
            </w:pPr>
            <w:r>
              <w:rPr>
                <w:rFonts w:ascii="Arial Narrow" w:hAnsi="Arial Narrow" w:cs="Calibri"/>
                <w:color w:val="000000"/>
              </w:rPr>
              <w:t>37</w:t>
            </w:r>
          </w:p>
        </w:tc>
      </w:tr>
      <w:tr w:rsidR="002C532F" w:rsidRPr="00BF60B1" w14:paraId="1333A124" w14:textId="77777777" w:rsidTr="00B72510">
        <w:trPr>
          <w:cantSplit/>
          <w:trHeight w:val="314"/>
        </w:trPr>
        <w:tc>
          <w:tcPr>
            <w:tcW w:w="3137" w:type="dxa"/>
            <w:vAlign w:val="center"/>
            <w:hideMark/>
          </w:tcPr>
          <w:p w14:paraId="258B255A" w14:textId="04B5D563"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(cost/GD births averted)</w:t>
            </w:r>
          </w:p>
        </w:tc>
        <w:tc>
          <w:tcPr>
            <w:tcW w:w="3279" w:type="dxa"/>
            <w:vAlign w:val="center"/>
            <w:hideMark/>
          </w:tcPr>
          <w:p w14:paraId="6624BAB8" w14:textId="05ED43B9"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$5.53</w:t>
            </w:r>
          </w:p>
        </w:tc>
        <w:tc>
          <w:tcPr>
            <w:tcW w:w="3077" w:type="dxa"/>
            <w:vAlign w:val="center"/>
            <w:hideMark/>
          </w:tcPr>
          <w:p w14:paraId="2A1C1A8F" w14:textId="7A4BCEC5"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$10.60</w:t>
            </w:r>
          </w:p>
        </w:tc>
      </w:tr>
      <w:tr w:rsidR="002C532F" w:rsidRPr="00BF60B1" w14:paraId="26DA7A4A" w14:textId="77777777" w:rsidTr="00B72510">
        <w:trPr>
          <w:cantSplit/>
          <w:trHeight w:val="289"/>
        </w:trPr>
        <w:tc>
          <w:tcPr>
            <w:tcW w:w="9493" w:type="dxa"/>
            <w:gridSpan w:val="3"/>
            <w:vAlign w:val="center"/>
            <w:hideMark/>
          </w:tcPr>
          <w:p w14:paraId="7BC099D5" w14:textId="2A8B44BA" w:rsidR="002C532F" w:rsidRPr="00BF60B1" w:rsidRDefault="002C532F" w:rsidP="002C532F">
            <w:pPr>
              <w:spacing w:before="0" w:after="0"/>
              <w:rPr>
                <w:rFonts w:ascii="Arial Narrow" w:hAnsi="Arial Narrow" w:cs="Calibri"/>
                <w:b/>
                <w:bCs/>
              </w:rPr>
            </w:pPr>
            <w:r>
              <w:rPr>
                <w:rFonts w:ascii="Arial Narrow" w:hAnsi="Arial Narrow" w:cs="Calibri"/>
                <w:b/>
                <w:bCs/>
                <w:color w:val="000000"/>
              </w:rPr>
              <w:t>NPD Births Only </w:t>
            </w:r>
          </w:p>
        </w:tc>
      </w:tr>
      <w:tr w:rsidR="002C532F" w:rsidRPr="00BF60B1" w14:paraId="6E18E08C" w14:textId="77777777" w:rsidTr="00B72510">
        <w:trPr>
          <w:cantSplit/>
          <w:trHeight w:val="289"/>
        </w:trPr>
        <w:tc>
          <w:tcPr>
            <w:tcW w:w="3137" w:type="dxa"/>
            <w:vAlign w:val="center"/>
            <w:hideMark/>
          </w:tcPr>
          <w:p w14:paraId="269230BE" w14:textId="532AF248"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5164A3EB" w14:textId="785C494E"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1CF13F5F" w14:textId="07751FAA"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339B0A14" w14:textId="77777777" w:rsidTr="00B72510">
        <w:trPr>
          <w:cantSplit/>
          <w:trHeight w:val="299"/>
        </w:trPr>
        <w:tc>
          <w:tcPr>
            <w:tcW w:w="3137" w:type="dxa"/>
            <w:vAlign w:val="center"/>
            <w:hideMark/>
          </w:tcPr>
          <w:p w14:paraId="4B6B4E2C" w14:textId="3BD86970"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6EA2DCCD" w14:textId="49484F1B" w:rsidR="002C532F" w:rsidRPr="00BF60B1" w:rsidRDefault="002C532F" w:rsidP="002C532F">
            <w:pPr>
              <w:spacing w:before="0" w:after="0"/>
              <w:jc w:val="center"/>
              <w:rPr>
                <w:rFonts w:ascii="Arial Narrow" w:hAnsi="Arial Narrow" w:cs="Calibri"/>
              </w:rPr>
            </w:pPr>
            <w:r>
              <w:rPr>
                <w:rFonts w:ascii="Arial Narrow" w:hAnsi="Arial Narrow" w:cs="Calibri"/>
                <w:color w:val="000000"/>
              </w:rPr>
              <w:t>$438.09</w:t>
            </w:r>
          </w:p>
        </w:tc>
        <w:tc>
          <w:tcPr>
            <w:tcW w:w="3077" w:type="dxa"/>
            <w:vAlign w:val="center"/>
            <w:hideMark/>
          </w:tcPr>
          <w:p w14:paraId="78FD971C" w14:textId="760F9C3E" w:rsidR="002C532F" w:rsidRPr="00BF60B1" w:rsidRDefault="002C532F" w:rsidP="002C532F">
            <w:pPr>
              <w:spacing w:before="0" w:after="0"/>
              <w:jc w:val="center"/>
              <w:rPr>
                <w:rFonts w:ascii="Arial Narrow" w:hAnsi="Arial Narrow" w:cs="Calibri"/>
              </w:rPr>
            </w:pPr>
            <w:r>
              <w:rPr>
                <w:rFonts w:ascii="Arial Narrow" w:hAnsi="Arial Narrow" w:cs="Calibri"/>
                <w:color w:val="000000"/>
              </w:rPr>
              <w:t>$23.82</w:t>
            </w:r>
          </w:p>
        </w:tc>
      </w:tr>
      <w:tr w:rsidR="002C532F" w:rsidRPr="00BF60B1" w14:paraId="5FF3260A" w14:textId="77777777" w:rsidTr="00B72510">
        <w:trPr>
          <w:cantSplit/>
          <w:trHeight w:val="299"/>
        </w:trPr>
        <w:tc>
          <w:tcPr>
            <w:tcW w:w="3137" w:type="dxa"/>
            <w:vAlign w:val="center"/>
            <w:hideMark/>
          </w:tcPr>
          <w:p w14:paraId="5DDE7350" w14:textId="3DAB2733"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39FA99EE" w14:textId="4FE9E3C5" w:rsidR="002C532F" w:rsidRPr="00BF60B1" w:rsidRDefault="002C532F" w:rsidP="002C532F">
            <w:pPr>
              <w:spacing w:before="0" w:after="0"/>
              <w:jc w:val="center"/>
              <w:rPr>
                <w:rFonts w:ascii="Arial Narrow" w:hAnsi="Arial Narrow" w:cs="Calibri"/>
              </w:rPr>
            </w:pPr>
            <w:r>
              <w:rPr>
                <w:rFonts w:ascii="Arial Narrow" w:hAnsi="Arial Narrow" w:cs="Calibri"/>
                <w:color w:val="000000"/>
              </w:rPr>
              <w:t>$474.78</w:t>
            </w:r>
          </w:p>
        </w:tc>
        <w:tc>
          <w:tcPr>
            <w:tcW w:w="3077" w:type="dxa"/>
            <w:vAlign w:val="center"/>
            <w:hideMark/>
          </w:tcPr>
          <w:p w14:paraId="5DF01F71" w14:textId="5AD3D01C" w:rsidR="002C532F" w:rsidRPr="00BF60B1" w:rsidRDefault="002C532F" w:rsidP="002C532F">
            <w:pPr>
              <w:spacing w:before="0" w:after="0"/>
              <w:jc w:val="center"/>
              <w:rPr>
                <w:rFonts w:ascii="Arial Narrow" w:hAnsi="Arial Narrow" w:cs="Calibri"/>
              </w:rPr>
            </w:pPr>
            <w:r>
              <w:rPr>
                <w:rFonts w:ascii="Arial Narrow" w:hAnsi="Arial Narrow" w:cs="Calibri"/>
                <w:color w:val="000000"/>
              </w:rPr>
              <w:t>$45.27</w:t>
            </w:r>
          </w:p>
        </w:tc>
      </w:tr>
      <w:tr w:rsidR="002C532F" w:rsidRPr="00BF60B1" w14:paraId="174F5B9F" w14:textId="77777777" w:rsidTr="00B72510">
        <w:trPr>
          <w:cantSplit/>
          <w:trHeight w:val="299"/>
        </w:trPr>
        <w:tc>
          <w:tcPr>
            <w:tcW w:w="3137" w:type="dxa"/>
            <w:vAlign w:val="center"/>
            <w:hideMark/>
          </w:tcPr>
          <w:p w14:paraId="0E072E5E" w14:textId="773982D6"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448A92BB" w14:textId="0AE3B052" w:rsidR="002C532F" w:rsidRPr="00BF60B1" w:rsidRDefault="002C532F" w:rsidP="002C532F">
            <w:pPr>
              <w:spacing w:before="0" w:after="0"/>
              <w:jc w:val="center"/>
              <w:rPr>
                <w:rFonts w:ascii="Arial Narrow" w:hAnsi="Arial Narrow" w:cs="Calibri"/>
              </w:rPr>
            </w:pPr>
            <w:r>
              <w:rPr>
                <w:rFonts w:ascii="Arial Narrow" w:hAnsi="Arial Narrow" w:cs="Calibri"/>
                <w:color w:val="FF0000"/>
              </w:rPr>
              <w:t>-$36.69</w:t>
            </w:r>
          </w:p>
        </w:tc>
        <w:tc>
          <w:tcPr>
            <w:tcW w:w="3077" w:type="dxa"/>
            <w:vAlign w:val="center"/>
            <w:hideMark/>
          </w:tcPr>
          <w:p w14:paraId="132BEDD2" w14:textId="5BEFEDB7" w:rsidR="002C532F" w:rsidRPr="00BF60B1" w:rsidRDefault="002C532F" w:rsidP="002C532F">
            <w:pPr>
              <w:spacing w:before="0" w:after="0"/>
              <w:jc w:val="center"/>
              <w:rPr>
                <w:rFonts w:ascii="Arial Narrow" w:hAnsi="Arial Narrow" w:cs="Calibri"/>
              </w:rPr>
            </w:pPr>
            <w:r>
              <w:rPr>
                <w:rFonts w:ascii="Arial Narrow" w:hAnsi="Arial Narrow" w:cs="Calibri"/>
                <w:color w:val="FF0000"/>
              </w:rPr>
              <w:t>-$21.46</w:t>
            </w:r>
          </w:p>
        </w:tc>
      </w:tr>
      <w:tr w:rsidR="002C532F" w:rsidRPr="00BF60B1" w14:paraId="4CD6E642" w14:textId="77777777" w:rsidTr="00B72510">
        <w:trPr>
          <w:cantSplit/>
          <w:trHeight w:val="289"/>
        </w:trPr>
        <w:tc>
          <w:tcPr>
            <w:tcW w:w="9493" w:type="dxa"/>
            <w:gridSpan w:val="3"/>
            <w:vAlign w:val="center"/>
            <w:hideMark/>
          </w:tcPr>
          <w:p w14:paraId="03EA4147" w14:textId="44D1817C" w:rsidR="002C532F" w:rsidRPr="00BF60B1" w:rsidRDefault="002C532F" w:rsidP="002C532F">
            <w:pPr>
              <w:spacing w:before="0" w:after="0"/>
              <w:rPr>
                <w:rFonts w:ascii="Arial Narrow" w:hAnsi="Arial Narrow" w:cs="Calibri"/>
              </w:rPr>
            </w:pPr>
            <w:r>
              <w:rPr>
                <w:rFonts w:ascii="Arial Narrow" w:hAnsi="Arial Narrow" w:cs="Calibri"/>
                <w:b/>
                <w:bCs/>
                <w:color w:val="000000"/>
              </w:rPr>
              <w:t>NPD births (/100,000 births)</w:t>
            </w:r>
            <w:r>
              <w:rPr>
                <w:rFonts w:ascii="Arial Narrow" w:hAnsi="Arial Narrow" w:cs="Calibri"/>
                <w:color w:val="000000"/>
              </w:rPr>
              <w:t> </w:t>
            </w:r>
          </w:p>
        </w:tc>
      </w:tr>
      <w:tr w:rsidR="002C532F" w:rsidRPr="00BF60B1" w14:paraId="23C1EBC5" w14:textId="77777777" w:rsidTr="00B72510">
        <w:trPr>
          <w:cantSplit/>
          <w:trHeight w:val="299"/>
        </w:trPr>
        <w:tc>
          <w:tcPr>
            <w:tcW w:w="3137" w:type="dxa"/>
            <w:vAlign w:val="center"/>
            <w:hideMark/>
          </w:tcPr>
          <w:p w14:paraId="6B4C44EB" w14:textId="7851CDAB"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67FCEE7E" w14:textId="1E7F5A9A"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c>
          <w:tcPr>
            <w:tcW w:w="3077" w:type="dxa"/>
            <w:vAlign w:val="center"/>
            <w:hideMark/>
          </w:tcPr>
          <w:p w14:paraId="6D56532E" w14:textId="16C3869C"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31DAE5D8" w14:textId="77777777" w:rsidTr="00B72510">
        <w:trPr>
          <w:cantSplit/>
          <w:trHeight w:val="299"/>
        </w:trPr>
        <w:tc>
          <w:tcPr>
            <w:tcW w:w="3137" w:type="dxa"/>
            <w:vAlign w:val="center"/>
            <w:hideMark/>
          </w:tcPr>
          <w:p w14:paraId="617EB94F" w14:textId="0678C394"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5597F63F" w14:textId="660FDF25" w:rsidR="002C532F" w:rsidRPr="00BF60B1" w:rsidRDefault="002C532F" w:rsidP="002C532F">
            <w:pPr>
              <w:spacing w:before="0" w:after="0"/>
              <w:jc w:val="center"/>
              <w:rPr>
                <w:rFonts w:ascii="Arial Narrow" w:hAnsi="Arial Narrow" w:cs="Calibri"/>
              </w:rPr>
            </w:pPr>
            <w:r>
              <w:rPr>
                <w:rFonts w:ascii="Arial Narrow" w:hAnsi="Arial Narrow" w:cs="Calibri"/>
                <w:color w:val="000000"/>
              </w:rPr>
              <w:t>4</w:t>
            </w:r>
          </w:p>
        </w:tc>
        <w:tc>
          <w:tcPr>
            <w:tcW w:w="3077" w:type="dxa"/>
            <w:vAlign w:val="center"/>
            <w:hideMark/>
          </w:tcPr>
          <w:p w14:paraId="41CEB3F7" w14:textId="09F06B6E" w:rsidR="002C532F" w:rsidRPr="00BF60B1" w:rsidRDefault="002C532F" w:rsidP="002C532F">
            <w:pPr>
              <w:spacing w:before="0" w:after="0"/>
              <w:jc w:val="center"/>
              <w:rPr>
                <w:rFonts w:ascii="Arial Narrow" w:hAnsi="Arial Narrow" w:cs="Calibri"/>
              </w:rPr>
            </w:pPr>
            <w:r>
              <w:rPr>
                <w:rFonts w:ascii="Arial Narrow" w:hAnsi="Arial Narrow" w:cs="Calibri"/>
                <w:color w:val="000000"/>
              </w:rPr>
              <w:t>4</w:t>
            </w:r>
          </w:p>
        </w:tc>
      </w:tr>
      <w:tr w:rsidR="002C532F" w:rsidRPr="00BF60B1" w14:paraId="61EDF52A" w14:textId="77777777" w:rsidTr="00B72510">
        <w:trPr>
          <w:cantSplit/>
          <w:trHeight w:val="299"/>
        </w:trPr>
        <w:tc>
          <w:tcPr>
            <w:tcW w:w="3137" w:type="dxa"/>
            <w:vAlign w:val="center"/>
            <w:hideMark/>
          </w:tcPr>
          <w:p w14:paraId="35B06483" w14:textId="058B7A96"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4B0CD5A6" w14:textId="67561E65" w:rsidR="002C532F" w:rsidRPr="00BF60B1" w:rsidRDefault="002C532F" w:rsidP="002C532F">
            <w:pPr>
              <w:spacing w:before="0" w:after="0"/>
              <w:jc w:val="center"/>
              <w:rPr>
                <w:rFonts w:ascii="Arial Narrow" w:hAnsi="Arial Narrow" w:cs="Calibri"/>
              </w:rPr>
            </w:pPr>
            <w:r>
              <w:rPr>
                <w:rFonts w:ascii="Arial Narrow" w:hAnsi="Arial Narrow" w:cs="Calibri"/>
                <w:color w:val="000000"/>
              </w:rPr>
              <w:t>3</w:t>
            </w:r>
          </w:p>
        </w:tc>
        <w:tc>
          <w:tcPr>
            <w:tcW w:w="3077" w:type="dxa"/>
            <w:vAlign w:val="center"/>
            <w:hideMark/>
          </w:tcPr>
          <w:p w14:paraId="466D15E6" w14:textId="6DD8F4CF"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3C7D024F" w14:textId="77777777" w:rsidTr="00B72510">
        <w:trPr>
          <w:cantSplit/>
          <w:trHeight w:val="314"/>
        </w:trPr>
        <w:tc>
          <w:tcPr>
            <w:tcW w:w="3137" w:type="dxa"/>
            <w:vAlign w:val="center"/>
            <w:hideMark/>
          </w:tcPr>
          <w:p w14:paraId="00E33995" w14:textId="748BD045" w:rsidR="002C532F" w:rsidRPr="00BF60B1" w:rsidRDefault="002C532F" w:rsidP="002C532F">
            <w:pPr>
              <w:spacing w:before="0" w:after="0"/>
              <w:rPr>
                <w:rFonts w:ascii="Arial Narrow" w:hAnsi="Arial Narrow" w:cs="Calibri"/>
                <w:b/>
                <w:bCs/>
              </w:rPr>
            </w:pPr>
            <w:r>
              <w:rPr>
                <w:rFonts w:ascii="Arial Narrow" w:hAnsi="Arial Narrow" w:cs="Calibri"/>
                <w:b/>
                <w:bCs/>
                <w:color w:val="000000"/>
              </w:rPr>
              <w:lastRenderedPageBreak/>
              <w:t>ICER (cost/NPD births averted)</w:t>
            </w:r>
          </w:p>
        </w:tc>
        <w:tc>
          <w:tcPr>
            <w:tcW w:w="3279" w:type="dxa"/>
            <w:vAlign w:val="center"/>
            <w:hideMark/>
          </w:tcPr>
          <w:p w14:paraId="2824BD22" w14:textId="3734AD86"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c>
          <w:tcPr>
            <w:tcW w:w="3077" w:type="dxa"/>
            <w:vAlign w:val="center"/>
            <w:hideMark/>
          </w:tcPr>
          <w:p w14:paraId="24787714" w14:textId="7AF1BF20"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7F53FC8C" w14:textId="77777777" w:rsidTr="00B72510">
        <w:trPr>
          <w:cantSplit/>
          <w:trHeight w:val="289"/>
        </w:trPr>
        <w:tc>
          <w:tcPr>
            <w:tcW w:w="9493" w:type="dxa"/>
            <w:gridSpan w:val="3"/>
            <w:vAlign w:val="center"/>
            <w:hideMark/>
          </w:tcPr>
          <w:p w14:paraId="4349BFE8" w14:textId="00FE86CC" w:rsidR="002C532F" w:rsidRPr="00BF60B1" w:rsidRDefault="002C532F" w:rsidP="002C532F">
            <w:pPr>
              <w:spacing w:before="0" w:after="0"/>
              <w:rPr>
                <w:rFonts w:ascii="Arial Narrow" w:hAnsi="Arial Narrow" w:cs="Calibri"/>
                <w:b/>
                <w:bCs/>
              </w:rPr>
            </w:pPr>
            <w:r>
              <w:rPr>
                <w:rFonts w:ascii="Arial Narrow" w:hAnsi="Arial Narrow" w:cs="Calibri"/>
                <w:b/>
                <w:bCs/>
                <w:color w:val="000000"/>
              </w:rPr>
              <w:t>BS Births Only </w:t>
            </w:r>
          </w:p>
        </w:tc>
      </w:tr>
      <w:tr w:rsidR="002C532F" w:rsidRPr="00BF60B1" w14:paraId="55AFCA63" w14:textId="77777777" w:rsidTr="00B72510">
        <w:trPr>
          <w:cantSplit/>
          <w:trHeight w:val="289"/>
        </w:trPr>
        <w:tc>
          <w:tcPr>
            <w:tcW w:w="3137" w:type="dxa"/>
            <w:vAlign w:val="center"/>
            <w:hideMark/>
          </w:tcPr>
          <w:p w14:paraId="540C7BD2" w14:textId="72CBE08F" w:rsidR="002C532F" w:rsidRPr="00BF60B1" w:rsidRDefault="002C532F" w:rsidP="002C532F">
            <w:pPr>
              <w:spacing w:before="0" w:after="0"/>
              <w:rPr>
                <w:rFonts w:ascii="Arial Narrow" w:hAnsi="Arial Narrow" w:cs="Calibri"/>
                <w:b/>
                <w:bCs/>
              </w:rPr>
            </w:pPr>
            <w:r>
              <w:rPr>
                <w:rFonts w:ascii="Arial Narrow" w:hAnsi="Arial Narrow" w:cs="Calibri"/>
                <w:b/>
                <w:bCs/>
                <w:color w:val="000000"/>
              </w:rPr>
              <w:t>Costs</w:t>
            </w:r>
          </w:p>
        </w:tc>
        <w:tc>
          <w:tcPr>
            <w:tcW w:w="3279" w:type="dxa"/>
            <w:vAlign w:val="center"/>
            <w:hideMark/>
          </w:tcPr>
          <w:p w14:paraId="7DF715F4" w14:textId="30E65740" w:rsidR="002C532F" w:rsidRPr="00BF60B1" w:rsidRDefault="002C532F" w:rsidP="002C532F">
            <w:pPr>
              <w:spacing w:before="0" w:after="0"/>
              <w:jc w:val="center"/>
              <w:rPr>
                <w:rFonts w:ascii="Arial Narrow" w:hAnsi="Arial Narrow" w:cs="Calibri"/>
                <w:b/>
                <w:bCs/>
              </w:rPr>
            </w:pPr>
            <w:r>
              <w:rPr>
                <w:rFonts w:ascii="Arial Narrow" w:hAnsi="Arial Narrow" w:cs="Calibri"/>
                <w:color w:val="000000"/>
              </w:rPr>
              <w:t> </w:t>
            </w:r>
          </w:p>
        </w:tc>
        <w:tc>
          <w:tcPr>
            <w:tcW w:w="3077" w:type="dxa"/>
            <w:vAlign w:val="center"/>
            <w:hideMark/>
          </w:tcPr>
          <w:p w14:paraId="0B123CB6" w14:textId="0FAE10D0" w:rsidR="002C532F" w:rsidRPr="00BF60B1" w:rsidRDefault="002C532F" w:rsidP="002C532F">
            <w:pPr>
              <w:spacing w:before="0" w:after="0"/>
              <w:jc w:val="center"/>
              <w:rPr>
                <w:rFonts w:ascii="Arial Narrow" w:hAnsi="Arial Narrow" w:cs="Calibri"/>
              </w:rPr>
            </w:pPr>
            <w:r>
              <w:rPr>
                <w:rFonts w:ascii="Arial Narrow" w:hAnsi="Arial Narrow" w:cs="Calibri"/>
                <w:color w:val="000000"/>
              </w:rPr>
              <w:t> </w:t>
            </w:r>
          </w:p>
        </w:tc>
      </w:tr>
      <w:tr w:rsidR="002C532F" w:rsidRPr="00BF60B1" w14:paraId="348A9F69" w14:textId="77777777" w:rsidTr="00B72510">
        <w:trPr>
          <w:cantSplit/>
          <w:trHeight w:val="299"/>
        </w:trPr>
        <w:tc>
          <w:tcPr>
            <w:tcW w:w="3137" w:type="dxa"/>
            <w:vAlign w:val="center"/>
            <w:hideMark/>
          </w:tcPr>
          <w:p w14:paraId="53F4219D" w14:textId="754C0D1B"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57BA6238" w14:textId="273E1979" w:rsidR="002C532F" w:rsidRPr="00BF60B1" w:rsidRDefault="002C532F" w:rsidP="002C532F">
            <w:pPr>
              <w:spacing w:before="0" w:after="0"/>
              <w:jc w:val="center"/>
              <w:rPr>
                <w:rFonts w:ascii="Arial Narrow" w:hAnsi="Arial Narrow" w:cs="Calibri"/>
              </w:rPr>
            </w:pPr>
            <w:r>
              <w:rPr>
                <w:rFonts w:ascii="Arial Narrow" w:hAnsi="Arial Narrow" w:cs="Calibri"/>
                <w:color w:val="000000"/>
              </w:rPr>
              <w:t>$440.94</w:t>
            </w:r>
          </w:p>
        </w:tc>
        <w:tc>
          <w:tcPr>
            <w:tcW w:w="3077" w:type="dxa"/>
            <w:vAlign w:val="center"/>
            <w:hideMark/>
          </w:tcPr>
          <w:p w14:paraId="2456E48C" w14:textId="146411B3" w:rsidR="002C532F" w:rsidRPr="00BF60B1" w:rsidRDefault="002C532F" w:rsidP="002C532F">
            <w:pPr>
              <w:spacing w:before="0" w:after="0"/>
              <w:jc w:val="center"/>
              <w:rPr>
                <w:rFonts w:ascii="Arial Narrow" w:hAnsi="Arial Narrow" w:cs="Calibri"/>
              </w:rPr>
            </w:pPr>
            <w:r>
              <w:rPr>
                <w:rFonts w:ascii="Arial Narrow" w:hAnsi="Arial Narrow" w:cs="Calibri"/>
                <w:color w:val="000000"/>
              </w:rPr>
              <w:t>$463.12</w:t>
            </w:r>
          </w:p>
        </w:tc>
      </w:tr>
      <w:tr w:rsidR="002C532F" w:rsidRPr="00BF60B1" w14:paraId="515FBC14" w14:textId="77777777" w:rsidTr="00B72510">
        <w:trPr>
          <w:cantSplit/>
          <w:trHeight w:val="299"/>
        </w:trPr>
        <w:tc>
          <w:tcPr>
            <w:tcW w:w="3137" w:type="dxa"/>
            <w:vAlign w:val="center"/>
            <w:hideMark/>
          </w:tcPr>
          <w:p w14:paraId="45123CBC" w14:textId="6FC2A663"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67B0DDF9" w14:textId="5E07B23A" w:rsidR="002C532F" w:rsidRPr="00BF60B1" w:rsidRDefault="002C532F" w:rsidP="002C532F">
            <w:pPr>
              <w:spacing w:before="0" w:after="0"/>
              <w:jc w:val="center"/>
              <w:rPr>
                <w:rFonts w:ascii="Arial Narrow" w:hAnsi="Arial Narrow" w:cs="Calibri"/>
              </w:rPr>
            </w:pPr>
            <w:r>
              <w:rPr>
                <w:rFonts w:ascii="Arial Narrow" w:hAnsi="Arial Narrow" w:cs="Calibri"/>
                <w:color w:val="000000"/>
              </w:rPr>
              <w:t>$65.28</w:t>
            </w:r>
          </w:p>
        </w:tc>
        <w:tc>
          <w:tcPr>
            <w:tcW w:w="3077" w:type="dxa"/>
            <w:vAlign w:val="center"/>
            <w:hideMark/>
          </w:tcPr>
          <w:p w14:paraId="074085F5" w14:textId="684D4FBB" w:rsidR="002C532F" w:rsidRPr="00BF60B1" w:rsidRDefault="002C532F" w:rsidP="002C532F">
            <w:pPr>
              <w:spacing w:before="0" w:after="0"/>
              <w:jc w:val="center"/>
              <w:rPr>
                <w:rFonts w:ascii="Arial Narrow" w:hAnsi="Arial Narrow" w:cs="Calibri"/>
              </w:rPr>
            </w:pPr>
            <w:r>
              <w:rPr>
                <w:rFonts w:ascii="Arial Narrow" w:hAnsi="Arial Narrow" w:cs="Calibri"/>
                <w:color w:val="000000"/>
              </w:rPr>
              <w:t>$65.28</w:t>
            </w:r>
          </w:p>
        </w:tc>
      </w:tr>
      <w:tr w:rsidR="002C532F" w:rsidRPr="00BF60B1" w14:paraId="7DD19610" w14:textId="77777777" w:rsidTr="00B72510">
        <w:trPr>
          <w:cantSplit/>
          <w:trHeight w:val="299"/>
        </w:trPr>
        <w:tc>
          <w:tcPr>
            <w:tcW w:w="3137" w:type="dxa"/>
            <w:vAlign w:val="center"/>
            <w:hideMark/>
          </w:tcPr>
          <w:p w14:paraId="60BF2E52" w14:textId="4FD2254F"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279" w:type="dxa"/>
            <w:vAlign w:val="center"/>
            <w:hideMark/>
          </w:tcPr>
          <w:p w14:paraId="2160DE93" w14:textId="78F8B204" w:rsidR="002C532F" w:rsidRPr="00BF60B1" w:rsidRDefault="002C532F" w:rsidP="002C532F">
            <w:pPr>
              <w:spacing w:before="0" w:after="0"/>
              <w:jc w:val="center"/>
              <w:rPr>
                <w:rFonts w:ascii="Arial Narrow" w:hAnsi="Arial Narrow" w:cs="Calibri"/>
              </w:rPr>
            </w:pPr>
            <w:r>
              <w:rPr>
                <w:rFonts w:ascii="Arial Narrow" w:hAnsi="Arial Narrow" w:cs="Calibri"/>
                <w:color w:val="000000"/>
              </w:rPr>
              <w:t>$375.66</w:t>
            </w:r>
          </w:p>
        </w:tc>
        <w:tc>
          <w:tcPr>
            <w:tcW w:w="3077" w:type="dxa"/>
            <w:vAlign w:val="center"/>
            <w:hideMark/>
          </w:tcPr>
          <w:p w14:paraId="1C477EA1" w14:textId="77D231AB" w:rsidR="002C532F" w:rsidRPr="00BF60B1" w:rsidRDefault="002C532F" w:rsidP="002C532F">
            <w:pPr>
              <w:spacing w:before="0" w:after="0"/>
              <w:jc w:val="center"/>
              <w:rPr>
                <w:rFonts w:ascii="Arial Narrow" w:hAnsi="Arial Narrow" w:cs="Calibri"/>
              </w:rPr>
            </w:pPr>
            <w:r>
              <w:rPr>
                <w:rFonts w:ascii="Arial Narrow" w:hAnsi="Arial Narrow" w:cs="Calibri"/>
                <w:color w:val="000000"/>
              </w:rPr>
              <w:t>$397.84</w:t>
            </w:r>
          </w:p>
        </w:tc>
      </w:tr>
      <w:tr w:rsidR="002C532F" w:rsidRPr="00BF60B1" w14:paraId="13A956D1" w14:textId="77777777" w:rsidTr="00B72510">
        <w:trPr>
          <w:cantSplit/>
          <w:trHeight w:val="289"/>
        </w:trPr>
        <w:tc>
          <w:tcPr>
            <w:tcW w:w="9493" w:type="dxa"/>
            <w:gridSpan w:val="3"/>
            <w:vAlign w:val="center"/>
            <w:hideMark/>
          </w:tcPr>
          <w:p w14:paraId="5AA8AAB2" w14:textId="70246C60" w:rsidR="002C532F" w:rsidRPr="00BF60B1" w:rsidRDefault="002C532F" w:rsidP="002C532F">
            <w:pPr>
              <w:spacing w:before="0" w:after="0"/>
              <w:rPr>
                <w:rFonts w:ascii="Arial Narrow" w:hAnsi="Arial Narrow" w:cs="Calibri"/>
              </w:rPr>
            </w:pPr>
            <w:r>
              <w:rPr>
                <w:rFonts w:ascii="Arial Narrow" w:hAnsi="Arial Narrow" w:cs="Calibri"/>
                <w:b/>
                <w:bCs/>
                <w:color w:val="000000"/>
              </w:rPr>
              <w:t>BS births (/100,000 births)</w:t>
            </w:r>
            <w:r>
              <w:rPr>
                <w:rFonts w:ascii="Arial Narrow" w:hAnsi="Arial Narrow" w:cs="Calibri"/>
                <w:color w:val="000000"/>
              </w:rPr>
              <w:t> </w:t>
            </w:r>
          </w:p>
        </w:tc>
      </w:tr>
      <w:tr w:rsidR="002C532F" w:rsidRPr="00BF60B1" w14:paraId="2455167F" w14:textId="77777777" w:rsidTr="00B72510">
        <w:trPr>
          <w:cantSplit/>
          <w:trHeight w:val="299"/>
        </w:trPr>
        <w:tc>
          <w:tcPr>
            <w:tcW w:w="3137" w:type="dxa"/>
            <w:vAlign w:val="center"/>
            <w:hideMark/>
          </w:tcPr>
          <w:p w14:paraId="627455D5" w14:textId="019FCBE9"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279" w:type="dxa"/>
            <w:vAlign w:val="center"/>
            <w:hideMark/>
          </w:tcPr>
          <w:p w14:paraId="240DB847" w14:textId="55C874D1" w:rsidR="002C532F" w:rsidRPr="00BF60B1" w:rsidRDefault="002C532F" w:rsidP="002C532F">
            <w:pPr>
              <w:spacing w:before="0" w:after="0"/>
              <w:jc w:val="center"/>
              <w:rPr>
                <w:rFonts w:ascii="Arial Narrow" w:hAnsi="Arial Narrow" w:cs="Calibri"/>
              </w:rPr>
            </w:pPr>
            <w:r>
              <w:rPr>
                <w:rFonts w:ascii="Arial Narrow" w:hAnsi="Arial Narrow" w:cs="Calibri"/>
                <w:color w:val="000000"/>
              </w:rPr>
              <w:t>0</w:t>
            </w:r>
          </w:p>
        </w:tc>
        <w:tc>
          <w:tcPr>
            <w:tcW w:w="3077" w:type="dxa"/>
            <w:vAlign w:val="center"/>
            <w:hideMark/>
          </w:tcPr>
          <w:p w14:paraId="3D6344D9" w14:textId="06364DF8"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r>
      <w:tr w:rsidR="002C532F" w:rsidRPr="00BF60B1" w14:paraId="21D6A904" w14:textId="77777777" w:rsidTr="00B72510">
        <w:trPr>
          <w:cantSplit/>
          <w:trHeight w:val="299"/>
        </w:trPr>
        <w:tc>
          <w:tcPr>
            <w:tcW w:w="3137" w:type="dxa"/>
            <w:vAlign w:val="center"/>
            <w:hideMark/>
          </w:tcPr>
          <w:p w14:paraId="6F4CBB8F" w14:textId="43FF0D9E"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279" w:type="dxa"/>
            <w:vAlign w:val="center"/>
            <w:hideMark/>
          </w:tcPr>
          <w:p w14:paraId="6DC44A58" w14:textId="6C59E6FA"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c>
          <w:tcPr>
            <w:tcW w:w="3077" w:type="dxa"/>
            <w:vAlign w:val="center"/>
            <w:hideMark/>
          </w:tcPr>
          <w:p w14:paraId="1E64F34E" w14:textId="4FFEF463"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423B41A8" w14:textId="77777777" w:rsidTr="00B72510">
        <w:trPr>
          <w:cantSplit/>
          <w:trHeight w:val="299"/>
        </w:trPr>
        <w:tc>
          <w:tcPr>
            <w:tcW w:w="3137" w:type="dxa"/>
            <w:vAlign w:val="center"/>
            <w:hideMark/>
          </w:tcPr>
          <w:p w14:paraId="431EC257" w14:textId="1E4273D7"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279" w:type="dxa"/>
            <w:vAlign w:val="center"/>
            <w:hideMark/>
          </w:tcPr>
          <w:p w14:paraId="0E124CD0" w14:textId="02F265A4"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c>
          <w:tcPr>
            <w:tcW w:w="3077" w:type="dxa"/>
            <w:vAlign w:val="center"/>
            <w:hideMark/>
          </w:tcPr>
          <w:p w14:paraId="6F198CCB" w14:textId="2831F8BB"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r>
      <w:tr w:rsidR="002C532F" w:rsidRPr="00BF60B1" w14:paraId="23183609" w14:textId="77777777" w:rsidTr="00B72510">
        <w:trPr>
          <w:cantSplit/>
          <w:trHeight w:val="314"/>
        </w:trPr>
        <w:tc>
          <w:tcPr>
            <w:tcW w:w="3137" w:type="dxa"/>
            <w:vAlign w:val="center"/>
            <w:hideMark/>
          </w:tcPr>
          <w:p w14:paraId="765291E2" w14:textId="28B63998"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(cost/BS births averted)</w:t>
            </w:r>
          </w:p>
        </w:tc>
        <w:tc>
          <w:tcPr>
            <w:tcW w:w="3279" w:type="dxa"/>
            <w:vAlign w:val="center"/>
            <w:hideMark/>
          </w:tcPr>
          <w:p w14:paraId="58B392B8" w14:textId="201FE199"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$192.90</w:t>
            </w:r>
          </w:p>
        </w:tc>
        <w:tc>
          <w:tcPr>
            <w:tcW w:w="3077" w:type="dxa"/>
            <w:vAlign w:val="center"/>
            <w:hideMark/>
          </w:tcPr>
          <w:p w14:paraId="7C10945A" w14:textId="021E75E4"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$348.45</w:t>
            </w:r>
          </w:p>
        </w:tc>
      </w:tr>
    </w:tbl>
    <w:p w14:paraId="54CC1269" w14:textId="1A1B517C" w:rsidR="009C1BA9" w:rsidRDefault="00EF3507" w:rsidP="009C1BA9">
      <w:pPr>
        <w:pStyle w:val="TableFigureFooter"/>
        <w:keepNext/>
        <w:spacing w:before="0" w:after="120"/>
      </w:pPr>
      <w:r w:rsidRPr="00EF3507">
        <w:t>BS=Bloom Syndrome, CD=Canavan disease, CF=Cystic Fibrosis, FA=Fanconi anaemia type C, FD=Familial dysautonomia, FXS=Fragile X Syndrome, GD=Gaucher disease, GSD1=Glycogen storage disease type 1, ICER=Incremental Cost Effectiveness Ratio, IVF=In vitro fertilisation, MLD=</w:t>
      </w:r>
      <w:proofErr w:type="spellStart"/>
      <w:r w:rsidRPr="00EF3507">
        <w:t>Mucolipidosis</w:t>
      </w:r>
      <w:proofErr w:type="spellEnd"/>
      <w:r w:rsidRPr="00EF3507">
        <w:t xml:space="preserve"> Type IV, NPD=Niemann Pick Disease </w:t>
      </w:r>
      <w:proofErr w:type="gramStart"/>
      <w:r w:rsidRPr="00EF3507">
        <w:t>type</w:t>
      </w:r>
      <w:proofErr w:type="gramEnd"/>
      <w:r w:rsidRPr="00EF3507">
        <w:t xml:space="preserve"> A, SMA=Spinal Muscular Atrophy, TSD=Tay Sachs Disease</w:t>
      </w:r>
    </w:p>
    <w:p w14:paraId="3085BDB9" w14:textId="2F71D18A" w:rsidR="00523E92" w:rsidRPr="00367570" w:rsidRDefault="003A0B9B" w:rsidP="4C4B35CE">
      <w:pPr>
        <w:pStyle w:val="Guidelinescross-ref"/>
        <w:keepNext/>
        <w:rPr>
          <w:b w:val="0"/>
          <w:color w:val="auto"/>
          <w:sz w:val="22"/>
        </w:rPr>
      </w:pPr>
      <w:r w:rsidRPr="006C2C3F">
        <w:rPr>
          <w:b w:val="0"/>
          <w:color w:val="auto"/>
          <w:sz w:val="22"/>
        </w:rPr>
        <w:t xml:space="preserve">Table </w:t>
      </w:r>
      <w:r w:rsidRPr="006C2C3F">
        <w:rPr>
          <w:b w:val="0"/>
          <w:noProof/>
          <w:color w:val="auto"/>
          <w:sz w:val="22"/>
        </w:rPr>
        <w:t>1</w:t>
      </w:r>
      <w:r w:rsidR="007260EF">
        <w:rPr>
          <w:b w:val="0"/>
          <w:noProof/>
          <w:color w:val="auto"/>
          <w:sz w:val="22"/>
        </w:rPr>
        <w:t>4</w:t>
      </w:r>
      <w:r w:rsidR="003A2D20" w:rsidRPr="003C5058">
        <w:rPr>
          <w:b w:val="0"/>
          <w:color w:val="auto"/>
          <w:sz w:val="22"/>
        </w:rPr>
        <w:t xml:space="preserve"> </w:t>
      </w:r>
      <w:r w:rsidR="00523E92" w:rsidRPr="4C4B35CE">
        <w:rPr>
          <w:b w:val="0"/>
          <w:color w:val="auto"/>
          <w:sz w:val="22"/>
        </w:rPr>
        <w:t xml:space="preserve">details the results of step </w:t>
      </w:r>
      <w:r w:rsidR="00411D63">
        <w:rPr>
          <w:b w:val="0"/>
          <w:color w:val="auto"/>
          <w:sz w:val="22"/>
        </w:rPr>
        <w:t xml:space="preserve">2 </w:t>
      </w:r>
      <w:r w:rsidR="00523E92" w:rsidRPr="4C4B35CE">
        <w:rPr>
          <w:b w:val="0"/>
          <w:color w:val="auto"/>
          <w:sz w:val="22"/>
        </w:rPr>
        <w:t xml:space="preserve">in the stepped analysis whereby </w:t>
      </w:r>
      <w:r w:rsidR="003A2D20" w:rsidRPr="4C4B35CE">
        <w:rPr>
          <w:b w:val="0"/>
          <w:color w:val="auto"/>
          <w:sz w:val="22"/>
        </w:rPr>
        <w:t>cumulative</w:t>
      </w:r>
      <w:r w:rsidR="00523E92" w:rsidRPr="4C4B35CE">
        <w:rPr>
          <w:b w:val="0"/>
          <w:color w:val="auto"/>
          <w:sz w:val="22"/>
        </w:rPr>
        <w:t xml:space="preserve"> costs and effectiveness were calculated for each condition.</w:t>
      </w:r>
    </w:p>
    <w:p w14:paraId="458061D4" w14:textId="69EC638D" w:rsidR="003A2D20" w:rsidRDefault="003A2D20" w:rsidP="001F46A5">
      <w:pPr>
        <w:pStyle w:val="Caption"/>
        <w:ind w:left="709" w:hanging="709"/>
      </w:pPr>
      <w:bookmarkStart w:id="68" w:name="_Ref100584292"/>
      <w:bookmarkStart w:id="69" w:name="_Toc103096610"/>
      <w:r>
        <w:t xml:space="preserve">Table </w:t>
      </w:r>
      <w:r w:rsidR="003A0B9B">
        <w:rPr>
          <w:noProof/>
        </w:rPr>
        <w:t>1</w:t>
      </w:r>
      <w:r w:rsidR="007260EF">
        <w:rPr>
          <w:noProof/>
        </w:rPr>
        <w:t>4</w:t>
      </w:r>
      <w:bookmarkEnd w:id="68"/>
      <w:r w:rsidR="001F46A5">
        <w:t xml:space="preserve"> </w:t>
      </w:r>
      <w:r w:rsidRPr="00663A06">
        <w:t xml:space="preserve">Approach to the stepped analysis - Step </w:t>
      </w:r>
      <w:r>
        <w:t>2</w:t>
      </w:r>
      <w:r w:rsidRPr="00663A06">
        <w:t xml:space="preserve">, </w:t>
      </w:r>
      <w:r w:rsidR="0068027F">
        <w:t>i</w:t>
      </w:r>
      <w:r w:rsidR="005162DA" w:rsidRPr="005162DA">
        <w:t xml:space="preserve">nitial pregnancies, </w:t>
      </w:r>
      <w:r w:rsidR="00DE7D3F" w:rsidRPr="00DE7D3F">
        <w:t>cumulative costs and effectiveness for preconception and prenatal carrier testing compared to CF/SMA/FXS testing</w:t>
      </w:r>
      <w:bookmarkEnd w:id="69"/>
    </w:p>
    <w:tbl>
      <w:tblPr>
        <w:tblStyle w:val="TableGrid1"/>
        <w:tblW w:w="9488" w:type="dxa"/>
        <w:tblLook w:val="04A0" w:firstRow="1" w:lastRow="0" w:firstColumn="1" w:lastColumn="0" w:noHBand="0" w:noVBand="1"/>
      </w:tblPr>
      <w:tblGrid>
        <w:gridCol w:w="3184"/>
        <w:gridCol w:w="72"/>
        <w:gridCol w:w="3113"/>
        <w:gridCol w:w="3119"/>
      </w:tblGrid>
      <w:tr w:rsidR="00B07B3C" w:rsidRPr="00BF60B1" w14:paraId="268F7004" w14:textId="77777777" w:rsidTr="00C11216">
        <w:trPr>
          <w:cnfStyle w:val="100000000000" w:firstRow="1" w:lastRow="0" w:firstColumn="0" w:lastColumn="0" w:oddVBand="0" w:evenVBand="0" w:oddHBand="0" w:evenHBand="0" w:firstRowFirstColumn="0" w:firstRowLastColumn="0" w:lastRowFirstColumn="0" w:lastRowLastColumn="0"/>
          <w:cantSplit/>
          <w:trHeight w:val="300"/>
          <w:tblHeader/>
        </w:trPr>
        <w:tc>
          <w:tcPr>
            <w:tcW w:w="3256" w:type="dxa"/>
            <w:gridSpan w:val="2"/>
            <w:vMerge w:val="restart"/>
            <w:vAlign w:val="center"/>
            <w:hideMark/>
          </w:tcPr>
          <w:p w14:paraId="1D44E354" w14:textId="77777777" w:rsidR="00B07B3C" w:rsidRPr="00BF60B1" w:rsidRDefault="00B07B3C" w:rsidP="007F60A8">
            <w:pPr>
              <w:spacing w:before="0" w:after="0"/>
              <w:rPr>
                <w:rFonts w:ascii="Arial Narrow" w:hAnsi="Arial Narrow" w:cs="Calibri"/>
                <w:b/>
                <w:bCs/>
              </w:rPr>
            </w:pPr>
            <w:r w:rsidRPr="00BF60B1">
              <w:rPr>
                <w:rFonts w:ascii="Arial Narrow" w:hAnsi="Arial Narrow" w:cs="Calibri"/>
                <w:b/>
                <w:bCs/>
              </w:rPr>
              <w:t>Population and circumstances of use</w:t>
            </w:r>
          </w:p>
          <w:p w14:paraId="65D4C3A8" w14:textId="76D1C15D" w:rsidR="00B07B3C" w:rsidRPr="00BF60B1" w:rsidRDefault="00B07B3C" w:rsidP="007F60A8">
            <w:pPr>
              <w:spacing w:before="0" w:after="0"/>
              <w:rPr>
                <w:rFonts w:ascii="Arial Narrow" w:hAnsi="Arial Narrow" w:cs="Calibri"/>
                <w:b/>
                <w:bCs/>
              </w:rPr>
            </w:pPr>
            <w:r w:rsidRPr="00BF60B1">
              <w:rPr>
                <w:rFonts w:ascii="Arial Narrow" w:hAnsi="Arial Narrow"/>
              </w:rPr>
              <w:t> </w:t>
            </w:r>
          </w:p>
        </w:tc>
        <w:tc>
          <w:tcPr>
            <w:tcW w:w="6232" w:type="dxa"/>
            <w:gridSpan w:val="2"/>
            <w:vAlign w:val="center"/>
            <w:hideMark/>
          </w:tcPr>
          <w:p w14:paraId="2E62FCF8" w14:textId="77777777" w:rsidR="00B07B3C" w:rsidRPr="00BF60B1" w:rsidRDefault="00B07B3C" w:rsidP="00C11216">
            <w:pPr>
              <w:spacing w:before="0" w:after="0"/>
              <w:jc w:val="center"/>
              <w:rPr>
                <w:rFonts w:ascii="Arial Narrow" w:hAnsi="Arial Narrow" w:cs="Calibri"/>
                <w:b/>
                <w:bCs/>
              </w:rPr>
            </w:pPr>
            <w:r w:rsidRPr="00BF60B1">
              <w:rPr>
                <w:rFonts w:ascii="Arial Narrow" w:hAnsi="Arial Narrow" w:cs="Calibri"/>
                <w:b/>
                <w:bCs/>
              </w:rPr>
              <w:t>Results</w:t>
            </w:r>
          </w:p>
        </w:tc>
      </w:tr>
      <w:tr w:rsidR="00B07B3C" w:rsidRPr="00BF60B1" w14:paraId="342B96A1" w14:textId="77777777" w:rsidTr="00C11216">
        <w:trPr>
          <w:cnfStyle w:val="100000000000" w:firstRow="1" w:lastRow="0" w:firstColumn="0" w:lastColumn="0" w:oddVBand="0" w:evenVBand="0" w:oddHBand="0" w:evenHBand="0" w:firstRowFirstColumn="0" w:firstRowLastColumn="0" w:lastRowFirstColumn="0" w:lastRowLastColumn="0"/>
          <w:cantSplit/>
          <w:trHeight w:val="315"/>
          <w:tblHeader/>
        </w:trPr>
        <w:tc>
          <w:tcPr>
            <w:tcW w:w="3256" w:type="dxa"/>
            <w:gridSpan w:val="2"/>
            <w:vMerge/>
            <w:vAlign w:val="center"/>
            <w:hideMark/>
          </w:tcPr>
          <w:p w14:paraId="67C90C96" w14:textId="0CDABDD5" w:rsidR="00B07B3C" w:rsidRPr="00BF60B1" w:rsidRDefault="00B07B3C" w:rsidP="007F60A8">
            <w:pPr>
              <w:spacing w:before="0" w:after="0"/>
              <w:rPr>
                <w:rFonts w:ascii="Arial Narrow" w:hAnsi="Arial Narrow"/>
              </w:rPr>
            </w:pPr>
          </w:p>
        </w:tc>
        <w:tc>
          <w:tcPr>
            <w:tcW w:w="3113" w:type="dxa"/>
            <w:vAlign w:val="center"/>
            <w:hideMark/>
          </w:tcPr>
          <w:p w14:paraId="26F4CD1B" w14:textId="77777777" w:rsidR="00B07B3C" w:rsidRPr="00BF60B1" w:rsidRDefault="00B07B3C" w:rsidP="000D6099">
            <w:pPr>
              <w:spacing w:before="0" w:after="0"/>
              <w:jc w:val="center"/>
              <w:rPr>
                <w:rFonts w:ascii="Arial Narrow" w:hAnsi="Arial Narrow" w:cs="Calibri"/>
                <w:b/>
                <w:bCs/>
              </w:rPr>
            </w:pPr>
            <w:r w:rsidRPr="00BF60B1">
              <w:rPr>
                <w:rFonts w:ascii="Arial Narrow" w:hAnsi="Arial Narrow" w:cs="Calibri"/>
                <w:b/>
                <w:bCs/>
              </w:rPr>
              <w:t>Pre-conception</w:t>
            </w:r>
          </w:p>
        </w:tc>
        <w:tc>
          <w:tcPr>
            <w:tcW w:w="3119" w:type="dxa"/>
            <w:vAlign w:val="center"/>
            <w:hideMark/>
          </w:tcPr>
          <w:p w14:paraId="186D4CE4" w14:textId="77777777" w:rsidR="00B07B3C" w:rsidRPr="00BF60B1" w:rsidRDefault="00B07B3C" w:rsidP="00C11216">
            <w:pPr>
              <w:spacing w:before="0" w:after="0"/>
              <w:jc w:val="center"/>
              <w:rPr>
                <w:rFonts w:ascii="Arial Narrow" w:hAnsi="Arial Narrow" w:cs="Calibri"/>
                <w:b/>
                <w:bCs/>
              </w:rPr>
            </w:pPr>
            <w:r w:rsidRPr="00BF60B1">
              <w:rPr>
                <w:rFonts w:ascii="Arial Narrow" w:hAnsi="Arial Narrow" w:cs="Calibri"/>
                <w:b/>
                <w:bCs/>
              </w:rPr>
              <w:t>Pre-natal</w:t>
            </w:r>
          </w:p>
        </w:tc>
      </w:tr>
      <w:tr w:rsidR="00BF60B1" w:rsidRPr="00BF60B1" w14:paraId="569AB250" w14:textId="77777777" w:rsidTr="2B5053E8">
        <w:trPr>
          <w:trHeight w:val="300"/>
        </w:trPr>
        <w:tc>
          <w:tcPr>
            <w:tcW w:w="9488" w:type="dxa"/>
            <w:gridSpan w:val="4"/>
            <w:vAlign w:val="center"/>
            <w:hideMark/>
          </w:tcPr>
          <w:p w14:paraId="6BA290D2" w14:textId="5F544B0E" w:rsidR="00BF60B1" w:rsidRPr="00BF60B1" w:rsidRDefault="00BF60B1" w:rsidP="00BF60B1">
            <w:pPr>
              <w:spacing w:before="0" w:after="0"/>
              <w:rPr>
                <w:rFonts w:ascii="Arial Narrow" w:hAnsi="Arial Narrow" w:cs="Calibri"/>
                <w:b/>
                <w:bCs/>
              </w:rPr>
            </w:pPr>
            <w:r w:rsidRPr="00BF60B1">
              <w:rPr>
                <w:rFonts w:ascii="Arial Narrow" w:hAnsi="Arial Narrow" w:cs="Calibri"/>
                <w:b/>
                <w:bCs/>
              </w:rPr>
              <w:t> </w:t>
            </w:r>
            <w:r>
              <w:rPr>
                <w:rFonts w:ascii="Arial Narrow" w:hAnsi="Arial Narrow" w:cs="Calibri"/>
                <w:b/>
                <w:bCs/>
              </w:rPr>
              <w:t>Step 2 – calculate cumulative costs and effectiveness (events averted) for all monogenic conditions</w:t>
            </w:r>
          </w:p>
        </w:tc>
      </w:tr>
      <w:tr w:rsidR="00BB78FA" w:rsidRPr="00BF60B1" w14:paraId="136FFA8C" w14:textId="77777777" w:rsidTr="2B5053E8">
        <w:trPr>
          <w:trHeight w:val="290"/>
        </w:trPr>
        <w:tc>
          <w:tcPr>
            <w:tcW w:w="9488" w:type="dxa"/>
            <w:gridSpan w:val="4"/>
            <w:vAlign w:val="center"/>
            <w:hideMark/>
          </w:tcPr>
          <w:p w14:paraId="39B943EF" w14:textId="6AA23FE3" w:rsidR="00BB78FA" w:rsidRPr="00BF60B1" w:rsidRDefault="00BB78FA" w:rsidP="00734216">
            <w:pPr>
              <w:spacing w:before="0" w:after="0"/>
              <w:rPr>
                <w:rFonts w:ascii="Arial Narrow" w:hAnsi="Arial Narrow" w:cs="Calibri"/>
              </w:rPr>
            </w:pPr>
            <w:r>
              <w:rPr>
                <w:rFonts w:ascii="Arial Narrow" w:hAnsi="Arial Narrow" w:cs="Calibri"/>
                <w:b/>
                <w:color w:val="000000"/>
              </w:rPr>
              <w:t>Combined Monogenic Disease</w:t>
            </w:r>
          </w:p>
        </w:tc>
      </w:tr>
      <w:tr w:rsidR="0087005E" w:rsidRPr="00BF60B1" w14:paraId="14012483" w14:textId="77777777" w:rsidTr="2B5053E8">
        <w:trPr>
          <w:trHeight w:val="290"/>
        </w:trPr>
        <w:tc>
          <w:tcPr>
            <w:tcW w:w="9488" w:type="dxa"/>
            <w:gridSpan w:val="4"/>
            <w:vAlign w:val="center"/>
            <w:hideMark/>
          </w:tcPr>
          <w:p w14:paraId="567650A8" w14:textId="21DA7BBD" w:rsidR="0087005E" w:rsidRPr="00BF60B1" w:rsidRDefault="0087005E" w:rsidP="00734216">
            <w:pPr>
              <w:spacing w:before="0" w:after="0"/>
              <w:rPr>
                <w:rFonts w:ascii="Arial Narrow" w:hAnsi="Arial Narrow" w:cs="Calibri"/>
                <w:b/>
                <w:bCs/>
              </w:rPr>
            </w:pPr>
            <w:r>
              <w:rPr>
                <w:rFonts w:ascii="Arial Narrow" w:hAnsi="Arial Narrow" w:cs="Calibri"/>
                <w:b/>
                <w:color w:val="000000"/>
              </w:rPr>
              <w:t>Cost</w:t>
            </w:r>
            <w:r w:rsidR="00734216">
              <w:rPr>
                <w:rFonts w:ascii="Arial Narrow" w:hAnsi="Arial Narrow" w:cs="Calibri"/>
                <w:b/>
                <w:color w:val="000000"/>
              </w:rPr>
              <w:t>s</w:t>
            </w:r>
          </w:p>
        </w:tc>
      </w:tr>
      <w:tr w:rsidR="000654D7" w:rsidRPr="00BF60B1" w14:paraId="4F24D0EA" w14:textId="77777777" w:rsidTr="00EB0436">
        <w:trPr>
          <w:trHeight w:val="290"/>
        </w:trPr>
        <w:tc>
          <w:tcPr>
            <w:tcW w:w="3184" w:type="dxa"/>
            <w:vAlign w:val="center"/>
            <w:hideMark/>
          </w:tcPr>
          <w:p w14:paraId="0AE26326" w14:textId="3194FAF1" w:rsidR="000654D7" w:rsidRPr="00BF60B1" w:rsidRDefault="000654D7" w:rsidP="000654D7">
            <w:pPr>
              <w:spacing w:before="0" w:after="0"/>
              <w:rPr>
                <w:rFonts w:ascii="Arial Narrow" w:hAnsi="Arial Narrow" w:cs="Calibri"/>
              </w:rPr>
            </w:pPr>
            <w:r>
              <w:rPr>
                <w:rFonts w:ascii="Arial Narrow" w:hAnsi="Arial Narrow" w:cs="Calibri"/>
                <w:color w:val="000000"/>
              </w:rPr>
              <w:t>Carrier</w:t>
            </w:r>
            <w:r w:rsidDel="00911C3B">
              <w:rPr>
                <w:rFonts w:ascii="Arial Narrow" w:hAnsi="Arial Narrow" w:cs="Calibri"/>
                <w:color w:val="000000"/>
              </w:rPr>
              <w:t xml:space="preserve"> Testing</w:t>
            </w:r>
          </w:p>
        </w:tc>
        <w:tc>
          <w:tcPr>
            <w:tcW w:w="318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026D11" w14:textId="659D4DFE" w:rsidR="000654D7" w:rsidRPr="00BF60B1" w:rsidRDefault="000654D7" w:rsidP="000654D7">
            <w:pPr>
              <w:spacing w:before="0" w:after="0"/>
              <w:jc w:val="center"/>
              <w:rPr>
                <w:rFonts w:ascii="Arial Narrow" w:hAnsi="Arial Narrow" w:cs="Calibri"/>
              </w:rPr>
            </w:pPr>
            <w:r>
              <w:rPr>
                <w:rFonts w:ascii="Arial Narrow" w:hAnsi="Arial Narrow" w:cs="Calibri"/>
                <w:color w:val="000000"/>
              </w:rPr>
              <w:t>$1,049.13</w:t>
            </w:r>
          </w:p>
        </w:tc>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14:paraId="3A1EEADC" w14:textId="5EC602E2" w:rsidR="000654D7" w:rsidRPr="00BF60B1" w:rsidRDefault="000654D7" w:rsidP="000654D7">
            <w:pPr>
              <w:spacing w:before="0" w:after="0"/>
              <w:jc w:val="center"/>
              <w:rPr>
                <w:rFonts w:ascii="Arial Narrow" w:hAnsi="Arial Narrow" w:cs="Calibri"/>
              </w:rPr>
            </w:pPr>
            <w:r>
              <w:rPr>
                <w:rFonts w:ascii="Arial Narrow" w:hAnsi="Arial Narrow" w:cs="Calibri"/>
                <w:color w:val="000000"/>
              </w:rPr>
              <w:t>$2,279.14</w:t>
            </w:r>
          </w:p>
        </w:tc>
      </w:tr>
      <w:tr w:rsidR="000654D7" w:rsidRPr="00BF60B1" w14:paraId="3498ADE0" w14:textId="77777777" w:rsidTr="00EB0436">
        <w:trPr>
          <w:trHeight w:val="290"/>
        </w:trPr>
        <w:tc>
          <w:tcPr>
            <w:tcW w:w="3184" w:type="dxa"/>
            <w:vAlign w:val="center"/>
            <w:hideMark/>
          </w:tcPr>
          <w:p w14:paraId="526F766D" w14:textId="2FCC6201"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F1023" w14:textId="6D698160" w:rsidR="000654D7" w:rsidRPr="00BF60B1" w:rsidRDefault="000654D7" w:rsidP="000654D7">
            <w:pPr>
              <w:spacing w:before="0" w:after="0"/>
              <w:jc w:val="center"/>
              <w:rPr>
                <w:rFonts w:ascii="Arial Narrow" w:hAnsi="Arial Narrow" w:cs="Calibri"/>
              </w:rPr>
            </w:pPr>
            <w:r>
              <w:rPr>
                <w:rFonts w:ascii="Arial Narrow" w:hAnsi="Arial Narrow" w:cs="Calibri"/>
                <w:color w:val="000000"/>
              </w:rPr>
              <w:t>$2,414.64</w:t>
            </w:r>
          </w:p>
        </w:tc>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14:paraId="57BACEB4" w14:textId="03952196" w:rsidR="000654D7" w:rsidRPr="00BF60B1" w:rsidRDefault="000654D7" w:rsidP="000654D7">
            <w:pPr>
              <w:spacing w:before="0" w:after="0"/>
              <w:jc w:val="center"/>
              <w:rPr>
                <w:rFonts w:ascii="Arial Narrow" w:hAnsi="Arial Narrow" w:cs="Calibri"/>
              </w:rPr>
            </w:pPr>
            <w:r>
              <w:rPr>
                <w:rFonts w:ascii="Arial Narrow" w:hAnsi="Arial Narrow" w:cs="Calibri"/>
                <w:color w:val="000000"/>
              </w:rPr>
              <w:t>$2,601.75</w:t>
            </w:r>
          </w:p>
        </w:tc>
      </w:tr>
      <w:tr w:rsidR="000654D7" w:rsidRPr="00BF60B1" w14:paraId="64E15DE4" w14:textId="77777777" w:rsidTr="00EB0436">
        <w:trPr>
          <w:trHeight w:val="300"/>
        </w:trPr>
        <w:tc>
          <w:tcPr>
            <w:tcW w:w="3184" w:type="dxa"/>
            <w:vAlign w:val="center"/>
            <w:hideMark/>
          </w:tcPr>
          <w:p w14:paraId="60534616" w14:textId="4ED88512" w:rsidR="000654D7" w:rsidRPr="00BF60B1" w:rsidRDefault="000654D7" w:rsidP="000654D7">
            <w:pPr>
              <w:spacing w:before="0" w:after="0"/>
              <w:rPr>
                <w:rFonts w:ascii="Arial Narrow" w:hAnsi="Arial Narrow" w:cs="Calibri"/>
              </w:rPr>
            </w:pPr>
            <w:r>
              <w:rPr>
                <w:rFonts w:ascii="Arial Narrow" w:hAnsi="Arial Narrow" w:cs="Calibri"/>
                <w:color w:val="000000"/>
              </w:rPr>
              <w:t>Incremental costs</w:t>
            </w:r>
          </w:p>
        </w:tc>
        <w:tc>
          <w:tcPr>
            <w:tcW w:w="3185"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75B4A06B" w14:textId="0B362594" w:rsidR="000654D7" w:rsidRPr="00BF60B1" w:rsidRDefault="000654D7" w:rsidP="000654D7">
            <w:pPr>
              <w:spacing w:before="0" w:after="0"/>
              <w:jc w:val="center"/>
              <w:rPr>
                <w:rFonts w:ascii="Arial Narrow" w:hAnsi="Arial Narrow" w:cs="Calibri"/>
              </w:rPr>
            </w:pPr>
            <w:r>
              <w:rPr>
                <w:rFonts w:ascii="Arial Narrow" w:hAnsi="Arial Narrow" w:cs="Calibri"/>
                <w:color w:val="FF0000"/>
              </w:rPr>
              <w:t>-$1,365.51</w:t>
            </w:r>
          </w:p>
        </w:tc>
        <w:tc>
          <w:tcPr>
            <w:tcW w:w="3119" w:type="dxa"/>
            <w:tcBorders>
              <w:top w:val="single" w:sz="4" w:space="0" w:color="auto"/>
              <w:left w:val="single" w:sz="4" w:space="0" w:color="auto"/>
              <w:bottom w:val="single" w:sz="8" w:space="0" w:color="auto"/>
              <w:right w:val="single" w:sz="8" w:space="0" w:color="auto"/>
            </w:tcBorders>
            <w:shd w:val="clear" w:color="auto" w:fill="auto"/>
            <w:vAlign w:val="center"/>
          </w:tcPr>
          <w:p w14:paraId="2D7B0E53" w14:textId="374C4714" w:rsidR="000654D7" w:rsidRPr="00BF60B1" w:rsidRDefault="000654D7" w:rsidP="000654D7">
            <w:pPr>
              <w:spacing w:before="0" w:after="0"/>
              <w:jc w:val="center"/>
              <w:rPr>
                <w:rFonts w:ascii="Arial Narrow" w:hAnsi="Arial Narrow" w:cs="Calibri"/>
              </w:rPr>
            </w:pPr>
            <w:r>
              <w:rPr>
                <w:rFonts w:ascii="Arial Narrow" w:hAnsi="Arial Narrow" w:cs="Calibri"/>
                <w:color w:val="FF0000"/>
              </w:rPr>
              <w:t>-$322.61</w:t>
            </w:r>
          </w:p>
        </w:tc>
      </w:tr>
      <w:tr w:rsidR="00F05D58" w:rsidRPr="00BF60B1" w14:paraId="122801D2" w14:textId="77777777" w:rsidTr="2B5053E8">
        <w:trPr>
          <w:trHeight w:val="290"/>
        </w:trPr>
        <w:tc>
          <w:tcPr>
            <w:tcW w:w="9488" w:type="dxa"/>
            <w:gridSpan w:val="4"/>
            <w:vAlign w:val="center"/>
            <w:hideMark/>
          </w:tcPr>
          <w:p w14:paraId="47B8A894" w14:textId="6375F308" w:rsidR="00F05D58" w:rsidRPr="00BF60B1" w:rsidRDefault="00F05D58">
            <w:pPr>
              <w:spacing w:before="0" w:after="0"/>
              <w:rPr>
                <w:rFonts w:ascii="Arial Narrow" w:hAnsi="Arial Narrow" w:cs="Calibri"/>
              </w:rPr>
            </w:pPr>
            <w:r>
              <w:rPr>
                <w:rFonts w:ascii="Arial Narrow" w:hAnsi="Arial Narrow" w:cs="Calibri"/>
                <w:b/>
                <w:color w:val="000000"/>
              </w:rPr>
              <w:t>TSD births (/100,000 births)</w:t>
            </w:r>
            <w:r>
              <w:rPr>
                <w:rFonts w:ascii="Arial Narrow" w:hAnsi="Arial Narrow" w:cs="Calibri"/>
                <w:color w:val="000000"/>
              </w:rPr>
              <w:t> </w:t>
            </w:r>
          </w:p>
        </w:tc>
      </w:tr>
      <w:tr w:rsidR="000654D7" w:rsidRPr="00BF60B1" w14:paraId="16959D59" w14:textId="77777777" w:rsidTr="2B5053E8">
        <w:trPr>
          <w:trHeight w:val="290"/>
        </w:trPr>
        <w:tc>
          <w:tcPr>
            <w:tcW w:w="3184" w:type="dxa"/>
            <w:vAlign w:val="center"/>
            <w:hideMark/>
          </w:tcPr>
          <w:p w14:paraId="23DA96C7" w14:textId="1887E119" w:rsidR="000654D7" w:rsidRPr="00BF60B1" w:rsidRDefault="000654D7" w:rsidP="000654D7">
            <w:pPr>
              <w:spacing w:before="0" w:after="0"/>
              <w:rPr>
                <w:rFonts w:ascii="Arial Narrow" w:hAnsi="Arial Narrow" w:cs="Calibri"/>
              </w:rPr>
            </w:pPr>
            <w:r>
              <w:rPr>
                <w:rFonts w:ascii="Arial Narrow" w:hAnsi="Arial Narrow" w:cs="Calibri"/>
                <w:color w:val="000000"/>
              </w:rPr>
              <w:t>Carrier Testing</w:t>
            </w:r>
          </w:p>
        </w:tc>
        <w:tc>
          <w:tcPr>
            <w:tcW w:w="3185" w:type="dxa"/>
            <w:gridSpan w:val="2"/>
            <w:vAlign w:val="center"/>
            <w:hideMark/>
          </w:tcPr>
          <w:p w14:paraId="13D720B2" w14:textId="044F9978" w:rsidR="000654D7" w:rsidRPr="00BF60B1" w:rsidRDefault="000654D7" w:rsidP="000654D7">
            <w:pPr>
              <w:spacing w:before="0" w:after="0"/>
              <w:jc w:val="center"/>
              <w:rPr>
                <w:rFonts w:ascii="Arial Narrow" w:hAnsi="Arial Narrow" w:cs="Calibri"/>
              </w:rPr>
            </w:pPr>
            <w:r>
              <w:rPr>
                <w:rFonts w:ascii="Arial Narrow" w:hAnsi="Arial Narrow" w:cs="Calibri"/>
                <w:color w:val="000000"/>
              </w:rPr>
              <w:t>8</w:t>
            </w:r>
          </w:p>
        </w:tc>
        <w:tc>
          <w:tcPr>
            <w:tcW w:w="3119" w:type="dxa"/>
            <w:vAlign w:val="center"/>
            <w:hideMark/>
          </w:tcPr>
          <w:p w14:paraId="3F0DFC52" w14:textId="7CBF43D7" w:rsidR="000654D7" w:rsidRPr="00BF60B1" w:rsidRDefault="000654D7" w:rsidP="000654D7">
            <w:pPr>
              <w:spacing w:before="0" w:after="0"/>
              <w:jc w:val="center"/>
              <w:rPr>
                <w:rFonts w:ascii="Arial Narrow" w:hAnsi="Arial Narrow" w:cs="Calibri"/>
              </w:rPr>
            </w:pPr>
            <w:r>
              <w:rPr>
                <w:rFonts w:ascii="Arial Narrow" w:hAnsi="Arial Narrow" w:cs="Calibri"/>
                <w:color w:val="000000"/>
              </w:rPr>
              <w:t>35</w:t>
            </w:r>
          </w:p>
        </w:tc>
      </w:tr>
      <w:tr w:rsidR="000654D7" w:rsidRPr="00BF60B1" w14:paraId="5585321A" w14:textId="77777777" w:rsidTr="2B5053E8">
        <w:trPr>
          <w:trHeight w:val="290"/>
        </w:trPr>
        <w:tc>
          <w:tcPr>
            <w:tcW w:w="3184" w:type="dxa"/>
            <w:vAlign w:val="center"/>
            <w:hideMark/>
          </w:tcPr>
          <w:p w14:paraId="04C224B8" w14:textId="1BA04824"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270761F7" w14:textId="509A9899" w:rsidR="000654D7" w:rsidRPr="00BF60B1" w:rsidRDefault="000654D7" w:rsidP="000654D7">
            <w:pPr>
              <w:spacing w:before="0" w:after="0"/>
              <w:jc w:val="center"/>
              <w:rPr>
                <w:rFonts w:ascii="Arial Narrow" w:hAnsi="Arial Narrow" w:cs="Calibri"/>
              </w:rPr>
            </w:pPr>
            <w:r>
              <w:rPr>
                <w:rFonts w:ascii="Arial Narrow" w:hAnsi="Arial Narrow" w:cs="Calibri"/>
                <w:color w:val="000000"/>
              </w:rPr>
              <w:t>40</w:t>
            </w:r>
          </w:p>
        </w:tc>
        <w:tc>
          <w:tcPr>
            <w:tcW w:w="3119" w:type="dxa"/>
            <w:vAlign w:val="center"/>
            <w:hideMark/>
          </w:tcPr>
          <w:p w14:paraId="61460045" w14:textId="55DD0B69" w:rsidR="000654D7" w:rsidRPr="00BF60B1" w:rsidRDefault="000654D7" w:rsidP="000654D7">
            <w:pPr>
              <w:spacing w:before="0" w:after="0"/>
              <w:jc w:val="center"/>
              <w:rPr>
                <w:rFonts w:ascii="Arial Narrow" w:hAnsi="Arial Narrow" w:cs="Calibri"/>
              </w:rPr>
            </w:pPr>
            <w:r>
              <w:rPr>
                <w:rFonts w:ascii="Arial Narrow" w:hAnsi="Arial Narrow" w:cs="Calibri"/>
                <w:color w:val="000000"/>
              </w:rPr>
              <w:t>40</w:t>
            </w:r>
          </w:p>
        </w:tc>
      </w:tr>
      <w:tr w:rsidR="000654D7" w:rsidRPr="00BF60B1" w14:paraId="43CEE9E1" w14:textId="77777777" w:rsidTr="2B5053E8">
        <w:trPr>
          <w:trHeight w:val="300"/>
        </w:trPr>
        <w:tc>
          <w:tcPr>
            <w:tcW w:w="3184" w:type="dxa"/>
            <w:vAlign w:val="center"/>
            <w:hideMark/>
          </w:tcPr>
          <w:p w14:paraId="71E003E2" w14:textId="6EFC4CFD"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3A01D948" w14:textId="1C0B8F37" w:rsidR="000654D7" w:rsidRPr="00BF60B1" w:rsidRDefault="000654D7" w:rsidP="000654D7">
            <w:pPr>
              <w:spacing w:before="0" w:after="0"/>
              <w:jc w:val="center"/>
              <w:rPr>
                <w:rFonts w:ascii="Arial Narrow" w:hAnsi="Arial Narrow" w:cs="Calibri"/>
              </w:rPr>
            </w:pPr>
            <w:r>
              <w:rPr>
                <w:rFonts w:ascii="Arial Narrow" w:hAnsi="Arial Narrow" w:cs="Calibri"/>
                <w:color w:val="000000"/>
              </w:rPr>
              <w:t>32</w:t>
            </w:r>
          </w:p>
        </w:tc>
        <w:tc>
          <w:tcPr>
            <w:tcW w:w="3119" w:type="dxa"/>
            <w:vAlign w:val="center"/>
            <w:hideMark/>
          </w:tcPr>
          <w:p w14:paraId="73F97373" w14:textId="0282032E" w:rsidR="000654D7" w:rsidRPr="00BF60B1" w:rsidRDefault="000654D7" w:rsidP="000654D7">
            <w:pPr>
              <w:spacing w:before="0" w:after="0"/>
              <w:jc w:val="center"/>
              <w:rPr>
                <w:rFonts w:ascii="Arial Narrow" w:hAnsi="Arial Narrow" w:cs="Calibri"/>
              </w:rPr>
            </w:pPr>
            <w:r>
              <w:rPr>
                <w:rFonts w:ascii="Arial Narrow" w:hAnsi="Arial Narrow" w:cs="Calibri"/>
                <w:color w:val="000000"/>
              </w:rPr>
              <w:t>5</w:t>
            </w:r>
          </w:p>
        </w:tc>
      </w:tr>
      <w:tr w:rsidR="000654D7" w:rsidRPr="00BF60B1" w14:paraId="7EF4A5BD" w14:textId="77777777" w:rsidTr="2B5053E8">
        <w:trPr>
          <w:trHeight w:val="315"/>
        </w:trPr>
        <w:tc>
          <w:tcPr>
            <w:tcW w:w="3184" w:type="dxa"/>
            <w:vAlign w:val="center"/>
            <w:hideMark/>
          </w:tcPr>
          <w:p w14:paraId="73EF342D" w14:textId="2726BC38" w:rsidR="000654D7" w:rsidRPr="00BF60B1" w:rsidRDefault="000654D7" w:rsidP="000654D7">
            <w:pPr>
              <w:spacing w:before="0" w:after="0"/>
              <w:rPr>
                <w:rFonts w:ascii="Arial Narrow" w:hAnsi="Arial Narrow" w:cs="Calibri"/>
                <w:b/>
                <w:bCs/>
              </w:rPr>
            </w:pPr>
            <w:r>
              <w:rPr>
                <w:rFonts w:ascii="Arial Narrow" w:hAnsi="Arial Narrow" w:cs="Calibri"/>
                <w:b/>
                <w:color w:val="000000"/>
              </w:rPr>
              <w:t>ICER (cost/TSD births averted)</w:t>
            </w:r>
          </w:p>
        </w:tc>
        <w:tc>
          <w:tcPr>
            <w:tcW w:w="3185" w:type="dxa"/>
            <w:gridSpan w:val="2"/>
            <w:vAlign w:val="center"/>
            <w:hideMark/>
          </w:tcPr>
          <w:p w14:paraId="3AB1A194" w14:textId="50C0B927"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4B906EBA" w14:textId="0C8BE4EA"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4984A5B6" w14:textId="77777777" w:rsidTr="2B5053E8">
        <w:trPr>
          <w:trHeight w:val="290"/>
        </w:trPr>
        <w:tc>
          <w:tcPr>
            <w:tcW w:w="9488" w:type="dxa"/>
            <w:gridSpan w:val="4"/>
            <w:vAlign w:val="center"/>
            <w:hideMark/>
          </w:tcPr>
          <w:p w14:paraId="5018265D" w14:textId="2F4BCE71" w:rsidR="000654D7" w:rsidRPr="00BF60B1" w:rsidRDefault="000654D7" w:rsidP="000654D7">
            <w:pPr>
              <w:spacing w:before="0" w:after="0"/>
              <w:rPr>
                <w:rFonts w:ascii="Arial Narrow" w:hAnsi="Arial Narrow" w:cs="Calibri"/>
              </w:rPr>
            </w:pPr>
            <w:r>
              <w:rPr>
                <w:rFonts w:ascii="Arial Narrow" w:hAnsi="Arial Narrow" w:cs="Calibri"/>
                <w:b/>
                <w:color w:val="000000"/>
              </w:rPr>
              <w:t>CD births (/100,000 births)</w:t>
            </w:r>
            <w:r>
              <w:rPr>
                <w:rFonts w:ascii="Arial Narrow" w:hAnsi="Arial Narrow" w:cs="Calibri"/>
                <w:color w:val="000000"/>
              </w:rPr>
              <w:t> </w:t>
            </w:r>
          </w:p>
        </w:tc>
      </w:tr>
      <w:tr w:rsidR="000654D7" w:rsidRPr="00BF60B1" w14:paraId="20B3AD33" w14:textId="77777777" w:rsidTr="2B5053E8">
        <w:trPr>
          <w:trHeight w:val="290"/>
        </w:trPr>
        <w:tc>
          <w:tcPr>
            <w:tcW w:w="3184" w:type="dxa"/>
            <w:vAlign w:val="center"/>
            <w:hideMark/>
          </w:tcPr>
          <w:p w14:paraId="00D60E7D" w14:textId="0A3B9740" w:rsidR="000654D7" w:rsidRPr="00BF60B1" w:rsidRDefault="000654D7" w:rsidP="000654D7">
            <w:pPr>
              <w:spacing w:before="0" w:after="0"/>
              <w:rPr>
                <w:rFonts w:ascii="Arial Narrow" w:hAnsi="Arial Narrow" w:cs="Calibri"/>
              </w:rPr>
            </w:pPr>
            <w:r>
              <w:rPr>
                <w:rFonts w:ascii="Arial Narrow" w:hAnsi="Arial Narrow" w:cs="Calibri"/>
                <w:color w:val="000000"/>
              </w:rPr>
              <w:t>Carrier</w:t>
            </w:r>
            <w:r w:rsidDel="00911C3B">
              <w:rPr>
                <w:rFonts w:ascii="Arial Narrow" w:hAnsi="Arial Narrow" w:cs="Calibri"/>
                <w:color w:val="000000"/>
              </w:rPr>
              <w:t xml:space="preserve"> Testing</w:t>
            </w:r>
          </w:p>
        </w:tc>
        <w:tc>
          <w:tcPr>
            <w:tcW w:w="3185" w:type="dxa"/>
            <w:gridSpan w:val="2"/>
            <w:vAlign w:val="center"/>
            <w:hideMark/>
          </w:tcPr>
          <w:p w14:paraId="2EF67CF2" w14:textId="6DD9A405" w:rsidR="000654D7" w:rsidRPr="00BF60B1" w:rsidRDefault="000654D7" w:rsidP="000654D7">
            <w:pPr>
              <w:spacing w:before="0" w:after="0"/>
              <w:jc w:val="center"/>
              <w:rPr>
                <w:rFonts w:ascii="Arial Narrow" w:hAnsi="Arial Narrow" w:cs="Calibri"/>
              </w:rPr>
            </w:pPr>
            <w:r>
              <w:rPr>
                <w:rFonts w:ascii="Arial Narrow" w:hAnsi="Arial Narrow" w:cs="Calibri"/>
                <w:color w:val="000000"/>
              </w:rPr>
              <w:t>3</w:t>
            </w:r>
          </w:p>
        </w:tc>
        <w:tc>
          <w:tcPr>
            <w:tcW w:w="3119" w:type="dxa"/>
            <w:vAlign w:val="center"/>
            <w:hideMark/>
          </w:tcPr>
          <w:p w14:paraId="412417D9" w14:textId="51764ACD" w:rsidR="000654D7" w:rsidRPr="00BF60B1" w:rsidRDefault="000654D7" w:rsidP="000654D7">
            <w:pPr>
              <w:spacing w:before="0" w:after="0"/>
              <w:jc w:val="center"/>
              <w:rPr>
                <w:rFonts w:ascii="Arial Narrow" w:hAnsi="Arial Narrow" w:cs="Calibri"/>
              </w:rPr>
            </w:pPr>
            <w:r>
              <w:rPr>
                <w:rFonts w:ascii="Arial Narrow" w:hAnsi="Arial Narrow" w:cs="Calibri"/>
                <w:color w:val="000000"/>
              </w:rPr>
              <w:t>13</w:t>
            </w:r>
          </w:p>
        </w:tc>
      </w:tr>
      <w:tr w:rsidR="000654D7" w:rsidRPr="00BF60B1" w14:paraId="404D2D49" w14:textId="77777777" w:rsidTr="2B5053E8">
        <w:trPr>
          <w:trHeight w:val="290"/>
        </w:trPr>
        <w:tc>
          <w:tcPr>
            <w:tcW w:w="3184" w:type="dxa"/>
            <w:vAlign w:val="center"/>
            <w:hideMark/>
          </w:tcPr>
          <w:p w14:paraId="280832BA" w14:textId="72FD815E"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5D8EE20F" w14:textId="42208565" w:rsidR="000654D7" w:rsidRPr="00BF60B1" w:rsidRDefault="000654D7" w:rsidP="000654D7">
            <w:pPr>
              <w:spacing w:before="0" w:after="0"/>
              <w:jc w:val="center"/>
              <w:rPr>
                <w:rFonts w:ascii="Arial Narrow" w:hAnsi="Arial Narrow" w:cs="Calibri"/>
              </w:rPr>
            </w:pPr>
            <w:r>
              <w:rPr>
                <w:rFonts w:ascii="Arial Narrow" w:hAnsi="Arial Narrow" w:cs="Calibri"/>
                <w:color w:val="000000"/>
              </w:rPr>
              <w:t>16</w:t>
            </w:r>
          </w:p>
        </w:tc>
        <w:tc>
          <w:tcPr>
            <w:tcW w:w="3119" w:type="dxa"/>
            <w:vAlign w:val="center"/>
            <w:hideMark/>
          </w:tcPr>
          <w:p w14:paraId="4D834725" w14:textId="74AA553F" w:rsidR="000654D7" w:rsidRPr="00BF60B1" w:rsidRDefault="000654D7" w:rsidP="000654D7">
            <w:pPr>
              <w:spacing w:before="0" w:after="0"/>
              <w:jc w:val="center"/>
              <w:rPr>
                <w:rFonts w:ascii="Arial Narrow" w:hAnsi="Arial Narrow" w:cs="Calibri"/>
              </w:rPr>
            </w:pPr>
            <w:r>
              <w:rPr>
                <w:rFonts w:ascii="Arial Narrow" w:hAnsi="Arial Narrow" w:cs="Calibri"/>
                <w:color w:val="000000"/>
              </w:rPr>
              <w:t>16</w:t>
            </w:r>
          </w:p>
        </w:tc>
      </w:tr>
      <w:tr w:rsidR="000654D7" w:rsidRPr="00BF60B1" w14:paraId="11A6EA98" w14:textId="77777777" w:rsidTr="2B5053E8">
        <w:trPr>
          <w:trHeight w:val="300"/>
        </w:trPr>
        <w:tc>
          <w:tcPr>
            <w:tcW w:w="3184" w:type="dxa"/>
            <w:vAlign w:val="center"/>
            <w:hideMark/>
          </w:tcPr>
          <w:p w14:paraId="6BCF1100" w14:textId="718BF9C0"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01CC11C8" w14:textId="45953EC2" w:rsidR="000654D7" w:rsidRPr="00BF60B1" w:rsidRDefault="000654D7" w:rsidP="000654D7">
            <w:pPr>
              <w:spacing w:before="0" w:after="0"/>
              <w:jc w:val="center"/>
              <w:rPr>
                <w:rFonts w:ascii="Arial Narrow" w:hAnsi="Arial Narrow" w:cs="Calibri"/>
              </w:rPr>
            </w:pPr>
            <w:r>
              <w:rPr>
                <w:rFonts w:ascii="Arial Narrow" w:hAnsi="Arial Narrow" w:cs="Calibri"/>
                <w:color w:val="000000"/>
              </w:rPr>
              <w:t>13</w:t>
            </w:r>
          </w:p>
        </w:tc>
        <w:tc>
          <w:tcPr>
            <w:tcW w:w="3119" w:type="dxa"/>
            <w:vAlign w:val="center"/>
            <w:hideMark/>
          </w:tcPr>
          <w:p w14:paraId="0CD2E4F9" w14:textId="09956F79" w:rsidR="000654D7" w:rsidRPr="00BF60B1" w:rsidRDefault="000654D7" w:rsidP="000654D7">
            <w:pPr>
              <w:spacing w:before="0" w:after="0"/>
              <w:jc w:val="center"/>
              <w:rPr>
                <w:rFonts w:ascii="Arial Narrow" w:hAnsi="Arial Narrow" w:cs="Calibri"/>
              </w:rPr>
            </w:pPr>
            <w:r>
              <w:rPr>
                <w:rFonts w:ascii="Arial Narrow" w:hAnsi="Arial Narrow" w:cs="Calibri"/>
                <w:color w:val="000000"/>
              </w:rPr>
              <w:t>3</w:t>
            </w:r>
          </w:p>
        </w:tc>
      </w:tr>
      <w:tr w:rsidR="000654D7" w:rsidRPr="00BF60B1" w14:paraId="2C1F3E60" w14:textId="77777777" w:rsidTr="2B5053E8">
        <w:trPr>
          <w:trHeight w:val="315"/>
        </w:trPr>
        <w:tc>
          <w:tcPr>
            <w:tcW w:w="3184" w:type="dxa"/>
            <w:vAlign w:val="center"/>
            <w:hideMark/>
          </w:tcPr>
          <w:p w14:paraId="4B82944A" w14:textId="21F92257" w:rsidR="000654D7" w:rsidRPr="00BF60B1" w:rsidRDefault="000654D7" w:rsidP="000654D7">
            <w:pPr>
              <w:spacing w:before="0" w:after="0"/>
              <w:rPr>
                <w:rFonts w:ascii="Arial Narrow" w:hAnsi="Arial Narrow" w:cs="Calibri"/>
                <w:b/>
                <w:bCs/>
              </w:rPr>
            </w:pPr>
            <w:r>
              <w:rPr>
                <w:rFonts w:ascii="Arial Narrow" w:hAnsi="Arial Narrow" w:cs="Calibri"/>
                <w:b/>
                <w:color w:val="000000"/>
              </w:rPr>
              <w:t>ICER (cost/CD births averted)</w:t>
            </w:r>
          </w:p>
        </w:tc>
        <w:tc>
          <w:tcPr>
            <w:tcW w:w="3185" w:type="dxa"/>
            <w:gridSpan w:val="2"/>
            <w:vAlign w:val="center"/>
            <w:hideMark/>
          </w:tcPr>
          <w:p w14:paraId="6B7FA59F" w14:textId="44E22403"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1B01B8E7" w14:textId="328C63A1"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46784C79" w14:textId="77777777" w:rsidTr="2B5053E8">
        <w:trPr>
          <w:trHeight w:val="290"/>
        </w:trPr>
        <w:tc>
          <w:tcPr>
            <w:tcW w:w="9488" w:type="dxa"/>
            <w:gridSpan w:val="4"/>
            <w:vAlign w:val="center"/>
            <w:hideMark/>
          </w:tcPr>
          <w:p w14:paraId="00D6AB5A" w14:textId="0EE85D32" w:rsidR="000654D7" w:rsidRPr="00BF60B1" w:rsidRDefault="000654D7" w:rsidP="000654D7">
            <w:pPr>
              <w:spacing w:before="0" w:after="0"/>
              <w:rPr>
                <w:rFonts w:ascii="Arial Narrow" w:hAnsi="Arial Narrow" w:cs="Calibri"/>
              </w:rPr>
            </w:pPr>
            <w:r>
              <w:rPr>
                <w:rFonts w:ascii="Arial Narrow" w:hAnsi="Arial Narrow" w:cs="Calibri"/>
                <w:b/>
                <w:color w:val="000000"/>
              </w:rPr>
              <w:t>FD births (/100,000 births)</w:t>
            </w:r>
            <w:r>
              <w:rPr>
                <w:rFonts w:ascii="Arial Narrow" w:hAnsi="Arial Narrow" w:cs="Calibri"/>
                <w:color w:val="000000"/>
              </w:rPr>
              <w:t> </w:t>
            </w:r>
          </w:p>
        </w:tc>
      </w:tr>
      <w:tr w:rsidR="000654D7" w:rsidRPr="00BF60B1" w14:paraId="255EA59C" w14:textId="77777777" w:rsidTr="2B5053E8">
        <w:trPr>
          <w:trHeight w:val="290"/>
        </w:trPr>
        <w:tc>
          <w:tcPr>
            <w:tcW w:w="3184" w:type="dxa"/>
            <w:vAlign w:val="center"/>
            <w:hideMark/>
          </w:tcPr>
          <w:p w14:paraId="101AA151" w14:textId="034BF03B" w:rsidR="000654D7" w:rsidRPr="00BF60B1" w:rsidRDefault="000654D7" w:rsidP="000654D7">
            <w:pPr>
              <w:spacing w:before="0" w:after="0"/>
              <w:rPr>
                <w:rFonts w:ascii="Arial Narrow" w:hAnsi="Arial Narrow" w:cs="Calibri"/>
              </w:rPr>
            </w:pPr>
            <w:r>
              <w:rPr>
                <w:rFonts w:ascii="Arial Narrow" w:hAnsi="Arial Narrow" w:cs="Calibri"/>
                <w:color w:val="000000"/>
              </w:rPr>
              <w:t>Carrier</w:t>
            </w:r>
            <w:r w:rsidDel="00911C3B">
              <w:rPr>
                <w:rFonts w:ascii="Arial Narrow" w:hAnsi="Arial Narrow" w:cs="Calibri"/>
                <w:color w:val="000000"/>
              </w:rPr>
              <w:t xml:space="preserve"> Testing</w:t>
            </w:r>
          </w:p>
        </w:tc>
        <w:tc>
          <w:tcPr>
            <w:tcW w:w="3185" w:type="dxa"/>
            <w:gridSpan w:val="2"/>
            <w:vAlign w:val="center"/>
            <w:hideMark/>
          </w:tcPr>
          <w:p w14:paraId="68AB59D2" w14:textId="4ED6D77A" w:rsidR="000654D7" w:rsidRPr="00BF60B1" w:rsidRDefault="000654D7" w:rsidP="000654D7">
            <w:pPr>
              <w:spacing w:before="0" w:after="0"/>
              <w:jc w:val="center"/>
              <w:rPr>
                <w:rFonts w:ascii="Arial Narrow" w:hAnsi="Arial Narrow" w:cs="Calibri"/>
              </w:rPr>
            </w:pPr>
            <w:r>
              <w:rPr>
                <w:rFonts w:ascii="Arial Narrow" w:hAnsi="Arial Narrow" w:cs="Calibri"/>
                <w:color w:val="000000"/>
              </w:rPr>
              <w:t>5</w:t>
            </w:r>
          </w:p>
        </w:tc>
        <w:tc>
          <w:tcPr>
            <w:tcW w:w="3119" w:type="dxa"/>
            <w:vAlign w:val="center"/>
            <w:hideMark/>
          </w:tcPr>
          <w:p w14:paraId="10A1AC60" w14:textId="231541CF" w:rsidR="000654D7" w:rsidRPr="00BF60B1" w:rsidRDefault="000654D7" w:rsidP="000654D7">
            <w:pPr>
              <w:spacing w:before="0" w:after="0"/>
              <w:jc w:val="center"/>
              <w:rPr>
                <w:rFonts w:ascii="Arial Narrow" w:hAnsi="Arial Narrow" w:cs="Calibri"/>
              </w:rPr>
            </w:pPr>
            <w:r>
              <w:rPr>
                <w:rFonts w:ascii="Arial Narrow" w:hAnsi="Arial Narrow" w:cs="Calibri"/>
                <w:color w:val="000000"/>
              </w:rPr>
              <w:t>23</w:t>
            </w:r>
          </w:p>
        </w:tc>
      </w:tr>
      <w:tr w:rsidR="000654D7" w:rsidRPr="00BF60B1" w14:paraId="3F243602" w14:textId="77777777" w:rsidTr="2B5053E8">
        <w:trPr>
          <w:trHeight w:val="290"/>
        </w:trPr>
        <w:tc>
          <w:tcPr>
            <w:tcW w:w="3184" w:type="dxa"/>
            <w:vAlign w:val="center"/>
            <w:hideMark/>
          </w:tcPr>
          <w:p w14:paraId="3B041722" w14:textId="3D35CB9F"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26F83571" w14:textId="018A578D" w:rsidR="000654D7" w:rsidRPr="00BF60B1" w:rsidRDefault="000654D7" w:rsidP="000654D7">
            <w:pPr>
              <w:spacing w:before="0" w:after="0"/>
              <w:jc w:val="center"/>
              <w:rPr>
                <w:rFonts w:ascii="Arial Narrow" w:hAnsi="Arial Narrow" w:cs="Calibri"/>
              </w:rPr>
            </w:pPr>
            <w:r>
              <w:rPr>
                <w:rFonts w:ascii="Arial Narrow" w:hAnsi="Arial Narrow" w:cs="Calibri"/>
                <w:color w:val="000000"/>
              </w:rPr>
              <w:t>28</w:t>
            </w:r>
          </w:p>
        </w:tc>
        <w:tc>
          <w:tcPr>
            <w:tcW w:w="3119" w:type="dxa"/>
            <w:vAlign w:val="center"/>
            <w:hideMark/>
          </w:tcPr>
          <w:p w14:paraId="1B26EB79" w14:textId="334D7C4A" w:rsidR="000654D7" w:rsidRPr="00BF60B1" w:rsidRDefault="000654D7" w:rsidP="000654D7">
            <w:pPr>
              <w:spacing w:before="0" w:after="0"/>
              <w:jc w:val="center"/>
              <w:rPr>
                <w:rFonts w:ascii="Arial Narrow" w:hAnsi="Arial Narrow" w:cs="Calibri"/>
              </w:rPr>
            </w:pPr>
            <w:r>
              <w:rPr>
                <w:rFonts w:ascii="Arial Narrow" w:hAnsi="Arial Narrow" w:cs="Calibri"/>
                <w:color w:val="000000"/>
              </w:rPr>
              <w:t>28</w:t>
            </w:r>
          </w:p>
        </w:tc>
      </w:tr>
      <w:tr w:rsidR="000654D7" w:rsidRPr="00BF60B1" w14:paraId="769330E2" w14:textId="77777777" w:rsidTr="2B5053E8">
        <w:trPr>
          <w:trHeight w:val="300"/>
        </w:trPr>
        <w:tc>
          <w:tcPr>
            <w:tcW w:w="3184" w:type="dxa"/>
            <w:vAlign w:val="center"/>
            <w:hideMark/>
          </w:tcPr>
          <w:p w14:paraId="6B38B547" w14:textId="6732B697"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798F5ABA" w14:textId="3EA5E1F9" w:rsidR="000654D7" w:rsidRPr="00BF60B1" w:rsidRDefault="000654D7" w:rsidP="000654D7">
            <w:pPr>
              <w:spacing w:before="0" w:after="0"/>
              <w:jc w:val="center"/>
              <w:rPr>
                <w:rFonts w:ascii="Arial Narrow" w:hAnsi="Arial Narrow" w:cs="Calibri"/>
              </w:rPr>
            </w:pPr>
            <w:r>
              <w:rPr>
                <w:rFonts w:ascii="Arial Narrow" w:hAnsi="Arial Narrow" w:cs="Calibri"/>
                <w:color w:val="000000"/>
              </w:rPr>
              <w:t>23</w:t>
            </w:r>
          </w:p>
        </w:tc>
        <w:tc>
          <w:tcPr>
            <w:tcW w:w="3119" w:type="dxa"/>
            <w:vAlign w:val="center"/>
            <w:hideMark/>
          </w:tcPr>
          <w:p w14:paraId="0B988E2E" w14:textId="7CDAF08C" w:rsidR="000654D7" w:rsidRPr="00BF60B1" w:rsidRDefault="000654D7" w:rsidP="000654D7">
            <w:pPr>
              <w:spacing w:before="0" w:after="0"/>
              <w:jc w:val="center"/>
              <w:rPr>
                <w:rFonts w:ascii="Arial Narrow" w:hAnsi="Arial Narrow" w:cs="Calibri"/>
              </w:rPr>
            </w:pPr>
            <w:r>
              <w:rPr>
                <w:rFonts w:ascii="Arial Narrow" w:hAnsi="Arial Narrow" w:cs="Calibri"/>
                <w:color w:val="000000"/>
              </w:rPr>
              <w:t>5</w:t>
            </w:r>
          </w:p>
        </w:tc>
      </w:tr>
      <w:tr w:rsidR="000654D7" w:rsidRPr="00BF60B1" w14:paraId="4F3D70F4" w14:textId="77777777" w:rsidTr="2B5053E8">
        <w:trPr>
          <w:trHeight w:val="315"/>
        </w:trPr>
        <w:tc>
          <w:tcPr>
            <w:tcW w:w="3184" w:type="dxa"/>
            <w:vAlign w:val="center"/>
            <w:hideMark/>
          </w:tcPr>
          <w:p w14:paraId="07C73475" w14:textId="1F93B77E" w:rsidR="000654D7" w:rsidRPr="00BF60B1" w:rsidRDefault="000654D7" w:rsidP="000654D7">
            <w:pPr>
              <w:spacing w:before="0" w:after="0"/>
              <w:rPr>
                <w:rFonts w:ascii="Arial Narrow" w:hAnsi="Arial Narrow" w:cs="Calibri"/>
                <w:b/>
                <w:bCs/>
              </w:rPr>
            </w:pPr>
            <w:r>
              <w:rPr>
                <w:rFonts w:ascii="Arial Narrow" w:hAnsi="Arial Narrow" w:cs="Calibri"/>
                <w:b/>
                <w:color w:val="000000"/>
              </w:rPr>
              <w:t>ICER (cost/FD births averted)</w:t>
            </w:r>
          </w:p>
        </w:tc>
        <w:tc>
          <w:tcPr>
            <w:tcW w:w="3185" w:type="dxa"/>
            <w:gridSpan w:val="2"/>
            <w:vAlign w:val="center"/>
            <w:hideMark/>
          </w:tcPr>
          <w:p w14:paraId="003424C7" w14:textId="764B2058"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6B73A994" w14:textId="3B24C8FB"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6E05AFC7" w14:textId="77777777" w:rsidTr="2B5053E8">
        <w:trPr>
          <w:trHeight w:val="290"/>
        </w:trPr>
        <w:tc>
          <w:tcPr>
            <w:tcW w:w="9488" w:type="dxa"/>
            <w:gridSpan w:val="4"/>
            <w:vAlign w:val="center"/>
            <w:hideMark/>
          </w:tcPr>
          <w:p w14:paraId="095A734B" w14:textId="1E01CFA5" w:rsidR="000654D7" w:rsidRPr="00BF60B1" w:rsidRDefault="000654D7" w:rsidP="000654D7">
            <w:pPr>
              <w:spacing w:before="0" w:after="0"/>
              <w:rPr>
                <w:rFonts w:ascii="Arial Narrow" w:hAnsi="Arial Narrow" w:cs="Calibri"/>
              </w:rPr>
            </w:pPr>
            <w:r>
              <w:rPr>
                <w:rFonts w:ascii="Arial Narrow" w:hAnsi="Arial Narrow" w:cs="Calibri"/>
                <w:b/>
                <w:color w:val="000000"/>
              </w:rPr>
              <w:t>MLD births (/100,000 births)</w:t>
            </w:r>
            <w:r>
              <w:rPr>
                <w:rFonts w:ascii="Arial Narrow" w:hAnsi="Arial Narrow" w:cs="Calibri"/>
                <w:color w:val="000000"/>
              </w:rPr>
              <w:t> </w:t>
            </w:r>
          </w:p>
        </w:tc>
      </w:tr>
      <w:tr w:rsidR="000654D7" w:rsidRPr="00BF60B1" w14:paraId="2CF46E91" w14:textId="77777777" w:rsidTr="2B5053E8">
        <w:trPr>
          <w:trHeight w:val="290"/>
        </w:trPr>
        <w:tc>
          <w:tcPr>
            <w:tcW w:w="3184" w:type="dxa"/>
            <w:vAlign w:val="center"/>
            <w:hideMark/>
          </w:tcPr>
          <w:p w14:paraId="6B355396" w14:textId="4687A5E3" w:rsidR="000654D7" w:rsidRPr="00BF60B1" w:rsidRDefault="000654D7" w:rsidP="000654D7">
            <w:pPr>
              <w:spacing w:before="0" w:after="0"/>
              <w:rPr>
                <w:rFonts w:ascii="Arial Narrow" w:hAnsi="Arial Narrow" w:cs="Calibri"/>
              </w:rPr>
            </w:pPr>
            <w:r>
              <w:rPr>
                <w:rFonts w:ascii="Arial Narrow" w:hAnsi="Arial Narrow" w:cs="Calibri"/>
                <w:color w:val="000000"/>
              </w:rPr>
              <w:lastRenderedPageBreak/>
              <w:t>Carrier</w:t>
            </w:r>
            <w:r w:rsidDel="00911C3B">
              <w:rPr>
                <w:rFonts w:ascii="Arial Narrow" w:hAnsi="Arial Narrow" w:cs="Calibri"/>
                <w:color w:val="000000"/>
              </w:rPr>
              <w:t xml:space="preserve"> Testing</w:t>
            </w:r>
          </w:p>
        </w:tc>
        <w:tc>
          <w:tcPr>
            <w:tcW w:w="3185" w:type="dxa"/>
            <w:gridSpan w:val="2"/>
            <w:vAlign w:val="center"/>
            <w:hideMark/>
          </w:tcPr>
          <w:p w14:paraId="77D489B7" w14:textId="0D3F0626" w:rsidR="000654D7" w:rsidRPr="00BF60B1" w:rsidRDefault="000654D7" w:rsidP="000654D7">
            <w:pPr>
              <w:spacing w:before="0" w:after="0"/>
              <w:jc w:val="center"/>
              <w:rPr>
                <w:rFonts w:ascii="Arial Narrow" w:hAnsi="Arial Narrow" w:cs="Calibri"/>
              </w:rPr>
            </w:pPr>
            <w:r>
              <w:rPr>
                <w:rFonts w:ascii="Arial Narrow" w:hAnsi="Arial Narrow" w:cs="Calibri"/>
                <w:color w:val="000000"/>
              </w:rPr>
              <w:t>0</w:t>
            </w:r>
          </w:p>
        </w:tc>
        <w:tc>
          <w:tcPr>
            <w:tcW w:w="3119" w:type="dxa"/>
            <w:vAlign w:val="center"/>
            <w:hideMark/>
          </w:tcPr>
          <w:p w14:paraId="2FB424CC" w14:textId="45DBA5CA" w:rsidR="000654D7" w:rsidRPr="00BF60B1" w:rsidRDefault="000654D7" w:rsidP="000654D7">
            <w:pPr>
              <w:spacing w:before="0" w:after="0"/>
              <w:jc w:val="center"/>
              <w:rPr>
                <w:rFonts w:ascii="Arial Narrow" w:hAnsi="Arial Narrow" w:cs="Calibri"/>
              </w:rPr>
            </w:pPr>
            <w:r>
              <w:rPr>
                <w:rFonts w:ascii="Arial Narrow" w:hAnsi="Arial Narrow" w:cs="Calibri"/>
                <w:color w:val="000000"/>
              </w:rPr>
              <w:t>1</w:t>
            </w:r>
          </w:p>
        </w:tc>
      </w:tr>
      <w:tr w:rsidR="000654D7" w:rsidRPr="00BF60B1" w14:paraId="71885B7A" w14:textId="77777777" w:rsidTr="2B5053E8">
        <w:trPr>
          <w:trHeight w:val="290"/>
        </w:trPr>
        <w:tc>
          <w:tcPr>
            <w:tcW w:w="3184" w:type="dxa"/>
            <w:vAlign w:val="center"/>
            <w:hideMark/>
          </w:tcPr>
          <w:p w14:paraId="38427CF4" w14:textId="591AD47E"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69C07308" w14:textId="167402E3" w:rsidR="000654D7" w:rsidRPr="00BF60B1" w:rsidRDefault="000654D7" w:rsidP="000654D7">
            <w:pPr>
              <w:spacing w:before="0" w:after="0"/>
              <w:jc w:val="center"/>
              <w:rPr>
                <w:rFonts w:ascii="Arial Narrow" w:hAnsi="Arial Narrow" w:cs="Calibri"/>
              </w:rPr>
            </w:pPr>
            <w:r>
              <w:rPr>
                <w:rFonts w:ascii="Arial Narrow" w:hAnsi="Arial Narrow" w:cs="Calibri"/>
                <w:color w:val="000000"/>
              </w:rPr>
              <w:t>3</w:t>
            </w:r>
          </w:p>
        </w:tc>
        <w:tc>
          <w:tcPr>
            <w:tcW w:w="3119" w:type="dxa"/>
            <w:vAlign w:val="center"/>
            <w:hideMark/>
          </w:tcPr>
          <w:p w14:paraId="1709E44F" w14:textId="7B9F8365" w:rsidR="000654D7" w:rsidRPr="00BF60B1" w:rsidRDefault="000654D7" w:rsidP="000654D7">
            <w:pPr>
              <w:spacing w:before="0" w:after="0"/>
              <w:jc w:val="center"/>
              <w:rPr>
                <w:rFonts w:ascii="Arial Narrow" w:hAnsi="Arial Narrow" w:cs="Calibri"/>
              </w:rPr>
            </w:pPr>
            <w:r>
              <w:rPr>
                <w:rFonts w:ascii="Arial Narrow" w:hAnsi="Arial Narrow" w:cs="Calibri"/>
                <w:color w:val="000000"/>
              </w:rPr>
              <w:t>3</w:t>
            </w:r>
          </w:p>
        </w:tc>
      </w:tr>
      <w:tr w:rsidR="000654D7" w:rsidRPr="00BF60B1" w14:paraId="309BD6EF" w14:textId="77777777" w:rsidTr="2B5053E8">
        <w:trPr>
          <w:trHeight w:val="300"/>
        </w:trPr>
        <w:tc>
          <w:tcPr>
            <w:tcW w:w="3184" w:type="dxa"/>
            <w:vAlign w:val="center"/>
            <w:hideMark/>
          </w:tcPr>
          <w:p w14:paraId="172A3AAE" w14:textId="41950A6A"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4A19D34B" w14:textId="3180BE17"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c>
          <w:tcPr>
            <w:tcW w:w="3119" w:type="dxa"/>
            <w:vAlign w:val="center"/>
            <w:hideMark/>
          </w:tcPr>
          <w:p w14:paraId="5BCBB2EB" w14:textId="330950B2" w:rsidR="000654D7" w:rsidRPr="00BF60B1" w:rsidRDefault="000654D7" w:rsidP="000654D7">
            <w:pPr>
              <w:spacing w:before="0" w:after="0"/>
              <w:jc w:val="center"/>
              <w:rPr>
                <w:rFonts w:ascii="Arial Narrow" w:hAnsi="Arial Narrow" w:cs="Calibri"/>
              </w:rPr>
            </w:pPr>
            <w:r>
              <w:rPr>
                <w:rFonts w:ascii="Arial Narrow" w:hAnsi="Arial Narrow" w:cs="Calibri"/>
                <w:color w:val="000000"/>
              </w:rPr>
              <w:t>1</w:t>
            </w:r>
          </w:p>
        </w:tc>
      </w:tr>
      <w:tr w:rsidR="000654D7" w:rsidRPr="00BF60B1" w14:paraId="1E022651" w14:textId="77777777" w:rsidTr="2B5053E8">
        <w:trPr>
          <w:trHeight w:val="315"/>
        </w:trPr>
        <w:tc>
          <w:tcPr>
            <w:tcW w:w="3184" w:type="dxa"/>
            <w:vAlign w:val="center"/>
            <w:hideMark/>
          </w:tcPr>
          <w:p w14:paraId="65916870" w14:textId="0DBD662E" w:rsidR="000654D7" w:rsidRPr="00BF60B1" w:rsidRDefault="000654D7" w:rsidP="000654D7">
            <w:pPr>
              <w:spacing w:before="0" w:after="0"/>
              <w:rPr>
                <w:rFonts w:ascii="Arial Narrow" w:hAnsi="Arial Narrow" w:cs="Calibri"/>
                <w:b/>
                <w:bCs/>
              </w:rPr>
            </w:pPr>
            <w:r>
              <w:rPr>
                <w:rFonts w:ascii="Arial Narrow" w:hAnsi="Arial Narrow" w:cs="Calibri"/>
                <w:b/>
                <w:color w:val="000000"/>
              </w:rPr>
              <w:t>ICER (cost/MLD births averted)</w:t>
            </w:r>
          </w:p>
        </w:tc>
        <w:tc>
          <w:tcPr>
            <w:tcW w:w="3185" w:type="dxa"/>
            <w:gridSpan w:val="2"/>
            <w:vAlign w:val="center"/>
            <w:hideMark/>
          </w:tcPr>
          <w:p w14:paraId="166073D2" w14:textId="07699C6D"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0D47FEAF" w14:textId="79A2BA51"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3BFB3295" w14:textId="77777777" w:rsidTr="2B5053E8">
        <w:trPr>
          <w:trHeight w:val="290"/>
        </w:trPr>
        <w:tc>
          <w:tcPr>
            <w:tcW w:w="9488" w:type="dxa"/>
            <w:gridSpan w:val="4"/>
            <w:vAlign w:val="center"/>
            <w:hideMark/>
          </w:tcPr>
          <w:p w14:paraId="23242063" w14:textId="3E89974A" w:rsidR="000654D7" w:rsidRPr="00BF60B1" w:rsidRDefault="000654D7" w:rsidP="000654D7">
            <w:pPr>
              <w:spacing w:before="0" w:after="0"/>
              <w:rPr>
                <w:rFonts w:ascii="Arial Narrow" w:hAnsi="Arial Narrow" w:cs="Calibri"/>
              </w:rPr>
            </w:pPr>
            <w:r>
              <w:rPr>
                <w:rFonts w:ascii="Arial Narrow" w:hAnsi="Arial Narrow" w:cs="Calibri"/>
                <w:b/>
                <w:bCs/>
                <w:color w:val="000000"/>
              </w:rPr>
              <w:t>GSD1</w:t>
            </w:r>
            <w:r>
              <w:rPr>
                <w:rFonts w:ascii="Arial Narrow" w:hAnsi="Arial Narrow" w:cs="Calibri"/>
                <w:b/>
                <w:color w:val="000000"/>
              </w:rPr>
              <w:t xml:space="preserve"> births (/100,000 births)</w:t>
            </w:r>
            <w:r>
              <w:rPr>
                <w:rFonts w:ascii="Arial Narrow" w:hAnsi="Arial Narrow" w:cs="Calibri"/>
                <w:color w:val="000000"/>
              </w:rPr>
              <w:t> </w:t>
            </w:r>
          </w:p>
        </w:tc>
      </w:tr>
      <w:tr w:rsidR="000654D7" w:rsidRPr="00BF60B1" w14:paraId="4D543DF8" w14:textId="77777777" w:rsidTr="2B5053E8">
        <w:trPr>
          <w:trHeight w:val="300"/>
        </w:trPr>
        <w:tc>
          <w:tcPr>
            <w:tcW w:w="3184" w:type="dxa"/>
            <w:vAlign w:val="center"/>
            <w:hideMark/>
          </w:tcPr>
          <w:p w14:paraId="2ED055F2" w14:textId="3F7DC222" w:rsidR="000654D7" w:rsidRPr="00BF60B1" w:rsidRDefault="000654D7" w:rsidP="000654D7">
            <w:pPr>
              <w:spacing w:before="0" w:after="0"/>
              <w:rPr>
                <w:rFonts w:ascii="Arial Narrow" w:hAnsi="Arial Narrow" w:cs="Calibri"/>
              </w:rPr>
            </w:pPr>
            <w:r>
              <w:rPr>
                <w:rFonts w:ascii="Arial Narrow" w:hAnsi="Arial Narrow" w:cs="Calibri"/>
                <w:color w:val="000000"/>
              </w:rPr>
              <w:t>Carrier</w:t>
            </w:r>
            <w:r w:rsidDel="00911C3B">
              <w:rPr>
                <w:rFonts w:ascii="Arial Narrow" w:hAnsi="Arial Narrow" w:cs="Calibri"/>
                <w:color w:val="000000"/>
              </w:rPr>
              <w:t xml:space="preserve"> Testing</w:t>
            </w:r>
          </w:p>
        </w:tc>
        <w:tc>
          <w:tcPr>
            <w:tcW w:w="3185" w:type="dxa"/>
            <w:gridSpan w:val="2"/>
            <w:vAlign w:val="center"/>
            <w:hideMark/>
          </w:tcPr>
          <w:p w14:paraId="097DFA43" w14:textId="72D2A285" w:rsidR="000654D7" w:rsidRPr="00BF60B1" w:rsidRDefault="000654D7" w:rsidP="000654D7">
            <w:pPr>
              <w:spacing w:before="0" w:after="0"/>
              <w:jc w:val="center"/>
              <w:rPr>
                <w:rFonts w:ascii="Arial Narrow" w:hAnsi="Arial Narrow" w:cs="Calibri"/>
              </w:rPr>
            </w:pPr>
            <w:r>
              <w:rPr>
                <w:rFonts w:ascii="Arial Narrow" w:hAnsi="Arial Narrow" w:cs="Calibri"/>
                <w:color w:val="000000"/>
              </w:rPr>
              <w:t>54</w:t>
            </w:r>
          </w:p>
        </w:tc>
        <w:tc>
          <w:tcPr>
            <w:tcW w:w="3119" w:type="dxa"/>
            <w:vAlign w:val="center"/>
            <w:hideMark/>
          </w:tcPr>
          <w:p w14:paraId="40F68B8C" w14:textId="15B1B424" w:rsidR="000654D7" w:rsidRPr="00BF60B1" w:rsidRDefault="000654D7" w:rsidP="000654D7">
            <w:pPr>
              <w:spacing w:before="0" w:after="0"/>
              <w:jc w:val="center"/>
              <w:rPr>
                <w:rFonts w:ascii="Arial Narrow" w:hAnsi="Arial Narrow" w:cs="Calibri"/>
              </w:rPr>
            </w:pPr>
            <w:r>
              <w:rPr>
                <w:rFonts w:ascii="Arial Narrow" w:hAnsi="Arial Narrow" w:cs="Calibri"/>
                <w:color w:val="000000"/>
              </w:rPr>
              <w:t>193</w:t>
            </w:r>
          </w:p>
        </w:tc>
      </w:tr>
      <w:tr w:rsidR="000654D7" w:rsidRPr="00BF60B1" w14:paraId="4585AFD3" w14:textId="77777777" w:rsidTr="2B5053E8">
        <w:trPr>
          <w:trHeight w:val="300"/>
        </w:trPr>
        <w:tc>
          <w:tcPr>
            <w:tcW w:w="3184" w:type="dxa"/>
            <w:vAlign w:val="center"/>
            <w:hideMark/>
          </w:tcPr>
          <w:p w14:paraId="33DA3134" w14:textId="4A1DA442"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549E7720" w14:textId="5D588B3D" w:rsidR="000654D7" w:rsidRPr="00BF60B1" w:rsidRDefault="000654D7" w:rsidP="000654D7">
            <w:pPr>
              <w:spacing w:before="0" w:after="0"/>
              <w:jc w:val="center"/>
              <w:rPr>
                <w:rFonts w:ascii="Arial Narrow" w:hAnsi="Arial Narrow" w:cs="Calibri"/>
              </w:rPr>
            </w:pPr>
            <w:r>
              <w:rPr>
                <w:rFonts w:ascii="Arial Narrow" w:hAnsi="Arial Narrow" w:cs="Calibri"/>
                <w:color w:val="000000"/>
              </w:rPr>
              <w:t>195</w:t>
            </w:r>
          </w:p>
        </w:tc>
        <w:tc>
          <w:tcPr>
            <w:tcW w:w="3119" w:type="dxa"/>
            <w:vAlign w:val="center"/>
            <w:hideMark/>
          </w:tcPr>
          <w:p w14:paraId="5E4CDB4B" w14:textId="28E28BE9" w:rsidR="000654D7" w:rsidRPr="00BF60B1" w:rsidRDefault="000654D7" w:rsidP="000654D7">
            <w:pPr>
              <w:spacing w:before="0" w:after="0"/>
              <w:jc w:val="center"/>
              <w:rPr>
                <w:rFonts w:ascii="Arial Narrow" w:hAnsi="Arial Narrow" w:cs="Calibri"/>
              </w:rPr>
            </w:pPr>
            <w:r>
              <w:rPr>
                <w:rFonts w:ascii="Arial Narrow" w:hAnsi="Arial Narrow" w:cs="Calibri"/>
                <w:color w:val="000000"/>
              </w:rPr>
              <w:t>195</w:t>
            </w:r>
          </w:p>
        </w:tc>
      </w:tr>
      <w:tr w:rsidR="000654D7" w:rsidRPr="00BF60B1" w14:paraId="63B11EC7" w14:textId="77777777" w:rsidTr="2B5053E8">
        <w:trPr>
          <w:trHeight w:val="300"/>
        </w:trPr>
        <w:tc>
          <w:tcPr>
            <w:tcW w:w="3184" w:type="dxa"/>
            <w:vAlign w:val="center"/>
            <w:hideMark/>
          </w:tcPr>
          <w:p w14:paraId="34B71ADA" w14:textId="6AE18D6F"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6F8DF7EE" w14:textId="161E40F0" w:rsidR="000654D7" w:rsidRPr="00BF60B1" w:rsidRDefault="000654D7" w:rsidP="000654D7">
            <w:pPr>
              <w:spacing w:before="0" w:after="0"/>
              <w:jc w:val="center"/>
              <w:rPr>
                <w:rFonts w:ascii="Arial Narrow" w:hAnsi="Arial Narrow" w:cs="Calibri"/>
              </w:rPr>
            </w:pPr>
            <w:r>
              <w:rPr>
                <w:rFonts w:ascii="Arial Narrow" w:hAnsi="Arial Narrow" w:cs="Calibri"/>
                <w:color w:val="000000"/>
              </w:rPr>
              <w:t>141</w:t>
            </w:r>
          </w:p>
        </w:tc>
        <w:tc>
          <w:tcPr>
            <w:tcW w:w="3119" w:type="dxa"/>
            <w:vAlign w:val="center"/>
            <w:hideMark/>
          </w:tcPr>
          <w:p w14:paraId="346D6464" w14:textId="21AE021E"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r>
      <w:tr w:rsidR="000654D7" w:rsidRPr="00BF60B1" w14:paraId="3F4F28B7" w14:textId="77777777" w:rsidTr="2B5053E8">
        <w:trPr>
          <w:trHeight w:val="315"/>
        </w:trPr>
        <w:tc>
          <w:tcPr>
            <w:tcW w:w="3184" w:type="dxa"/>
            <w:vAlign w:val="center"/>
            <w:hideMark/>
          </w:tcPr>
          <w:p w14:paraId="1CF698F4" w14:textId="6876E96E" w:rsidR="000654D7" w:rsidRPr="00BF60B1" w:rsidRDefault="000654D7" w:rsidP="000654D7">
            <w:pPr>
              <w:spacing w:before="0" w:after="0"/>
              <w:rPr>
                <w:rFonts w:ascii="Arial Narrow" w:hAnsi="Arial Narrow" w:cs="Calibri"/>
                <w:b/>
                <w:bCs/>
              </w:rPr>
            </w:pPr>
            <w:r>
              <w:rPr>
                <w:rFonts w:ascii="Arial Narrow" w:hAnsi="Arial Narrow" w:cs="Calibri"/>
                <w:b/>
                <w:color w:val="000000"/>
              </w:rPr>
              <w:t>ICER (cost/</w:t>
            </w:r>
            <w:r>
              <w:rPr>
                <w:rFonts w:ascii="Arial Narrow" w:hAnsi="Arial Narrow" w:cs="Calibri"/>
                <w:b/>
                <w:bCs/>
                <w:color w:val="000000"/>
              </w:rPr>
              <w:t>GSD1</w:t>
            </w:r>
            <w:r>
              <w:rPr>
                <w:rFonts w:ascii="Arial Narrow" w:hAnsi="Arial Narrow" w:cs="Calibri"/>
                <w:b/>
                <w:color w:val="000000"/>
              </w:rPr>
              <w:t xml:space="preserve"> births averted)</w:t>
            </w:r>
          </w:p>
        </w:tc>
        <w:tc>
          <w:tcPr>
            <w:tcW w:w="3185" w:type="dxa"/>
            <w:gridSpan w:val="2"/>
            <w:vAlign w:val="center"/>
            <w:hideMark/>
          </w:tcPr>
          <w:p w14:paraId="3B568841" w14:textId="2B9404F4"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01B607A0" w14:textId="688EC620"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41461CB5" w14:textId="77777777" w:rsidTr="2B5053E8">
        <w:trPr>
          <w:trHeight w:val="290"/>
        </w:trPr>
        <w:tc>
          <w:tcPr>
            <w:tcW w:w="9488" w:type="dxa"/>
            <w:gridSpan w:val="4"/>
            <w:vAlign w:val="center"/>
            <w:hideMark/>
          </w:tcPr>
          <w:p w14:paraId="1E1FB3EC" w14:textId="24B24D4B" w:rsidR="000654D7" w:rsidRPr="00BF60B1" w:rsidRDefault="000654D7" w:rsidP="000654D7">
            <w:pPr>
              <w:spacing w:before="0" w:after="0"/>
              <w:rPr>
                <w:rFonts w:ascii="Arial Narrow" w:hAnsi="Arial Narrow" w:cs="Calibri"/>
              </w:rPr>
            </w:pPr>
            <w:r>
              <w:rPr>
                <w:rFonts w:ascii="Arial Narrow" w:hAnsi="Arial Narrow" w:cs="Calibri"/>
                <w:b/>
                <w:color w:val="000000"/>
              </w:rPr>
              <w:t>FA births (/100,000 births)</w:t>
            </w:r>
            <w:r>
              <w:rPr>
                <w:rFonts w:ascii="Arial Narrow" w:hAnsi="Arial Narrow" w:cs="Calibri"/>
                <w:color w:val="000000"/>
              </w:rPr>
              <w:t> </w:t>
            </w:r>
          </w:p>
        </w:tc>
      </w:tr>
      <w:tr w:rsidR="000654D7" w:rsidRPr="00BF60B1" w14:paraId="5DBE46EC" w14:textId="77777777" w:rsidTr="2B5053E8">
        <w:trPr>
          <w:trHeight w:val="300"/>
        </w:trPr>
        <w:tc>
          <w:tcPr>
            <w:tcW w:w="3184" w:type="dxa"/>
            <w:vAlign w:val="center"/>
            <w:hideMark/>
          </w:tcPr>
          <w:p w14:paraId="39C81988" w14:textId="52080124" w:rsidR="000654D7" w:rsidRPr="00BF60B1" w:rsidRDefault="000654D7" w:rsidP="000654D7">
            <w:pPr>
              <w:spacing w:before="0" w:after="0"/>
              <w:rPr>
                <w:rFonts w:ascii="Arial Narrow" w:hAnsi="Arial Narrow" w:cs="Calibri"/>
              </w:rPr>
            </w:pPr>
            <w:r>
              <w:rPr>
                <w:rFonts w:ascii="Arial Narrow" w:hAnsi="Arial Narrow" w:cs="Calibri"/>
                <w:color w:val="000000"/>
              </w:rPr>
              <w:t>Carrier Testing</w:t>
            </w:r>
          </w:p>
        </w:tc>
        <w:tc>
          <w:tcPr>
            <w:tcW w:w="3185" w:type="dxa"/>
            <w:gridSpan w:val="2"/>
            <w:vAlign w:val="center"/>
            <w:hideMark/>
          </w:tcPr>
          <w:p w14:paraId="4C883EB6" w14:textId="4853B063" w:rsidR="000654D7" w:rsidRPr="00BF60B1" w:rsidRDefault="000654D7" w:rsidP="000654D7">
            <w:pPr>
              <w:spacing w:before="0" w:after="0"/>
              <w:jc w:val="center"/>
              <w:rPr>
                <w:rFonts w:ascii="Arial Narrow" w:hAnsi="Arial Narrow" w:cs="Calibri"/>
              </w:rPr>
            </w:pPr>
            <w:r>
              <w:rPr>
                <w:rFonts w:ascii="Arial Narrow" w:hAnsi="Arial Narrow" w:cs="Calibri"/>
                <w:color w:val="000000"/>
              </w:rPr>
              <w:t>1</w:t>
            </w:r>
          </w:p>
        </w:tc>
        <w:tc>
          <w:tcPr>
            <w:tcW w:w="3119" w:type="dxa"/>
            <w:vAlign w:val="center"/>
            <w:hideMark/>
          </w:tcPr>
          <w:p w14:paraId="21DAB0D3" w14:textId="4DA29BFB"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r>
      <w:tr w:rsidR="000654D7" w:rsidRPr="00BF60B1" w14:paraId="4A196A41" w14:textId="77777777" w:rsidTr="2B5053E8">
        <w:trPr>
          <w:trHeight w:val="300"/>
        </w:trPr>
        <w:tc>
          <w:tcPr>
            <w:tcW w:w="3184" w:type="dxa"/>
            <w:vAlign w:val="center"/>
            <w:hideMark/>
          </w:tcPr>
          <w:p w14:paraId="67B3B562" w14:textId="12D8D357"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74424EC9" w14:textId="7246DA1A" w:rsidR="000654D7" w:rsidRPr="00BF60B1" w:rsidRDefault="000654D7" w:rsidP="000654D7">
            <w:pPr>
              <w:spacing w:before="0" w:after="0"/>
              <w:jc w:val="center"/>
              <w:rPr>
                <w:rFonts w:ascii="Arial Narrow" w:hAnsi="Arial Narrow" w:cs="Calibri"/>
              </w:rPr>
            </w:pPr>
            <w:r>
              <w:rPr>
                <w:rFonts w:ascii="Arial Narrow" w:hAnsi="Arial Narrow" w:cs="Calibri"/>
                <w:color w:val="000000"/>
              </w:rPr>
              <w:t>4</w:t>
            </w:r>
          </w:p>
        </w:tc>
        <w:tc>
          <w:tcPr>
            <w:tcW w:w="3119" w:type="dxa"/>
            <w:vAlign w:val="center"/>
            <w:hideMark/>
          </w:tcPr>
          <w:p w14:paraId="2ED55B39" w14:textId="232A0332" w:rsidR="000654D7" w:rsidRPr="00BF60B1" w:rsidRDefault="000654D7" w:rsidP="000654D7">
            <w:pPr>
              <w:spacing w:before="0" w:after="0"/>
              <w:jc w:val="center"/>
              <w:rPr>
                <w:rFonts w:ascii="Arial Narrow" w:hAnsi="Arial Narrow" w:cs="Calibri"/>
              </w:rPr>
            </w:pPr>
            <w:r>
              <w:rPr>
                <w:rFonts w:ascii="Arial Narrow" w:hAnsi="Arial Narrow" w:cs="Calibri"/>
                <w:color w:val="000000"/>
              </w:rPr>
              <w:t>4</w:t>
            </w:r>
          </w:p>
        </w:tc>
      </w:tr>
      <w:tr w:rsidR="000654D7" w:rsidRPr="00BF60B1" w14:paraId="7E30A63C" w14:textId="77777777" w:rsidTr="2B5053E8">
        <w:trPr>
          <w:trHeight w:val="300"/>
        </w:trPr>
        <w:tc>
          <w:tcPr>
            <w:tcW w:w="3184" w:type="dxa"/>
            <w:vAlign w:val="center"/>
            <w:hideMark/>
          </w:tcPr>
          <w:p w14:paraId="4C0E2391" w14:textId="0E6D1915"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5577575A" w14:textId="1DC9506F" w:rsidR="000654D7" w:rsidRPr="00BF60B1" w:rsidRDefault="000654D7" w:rsidP="000654D7">
            <w:pPr>
              <w:spacing w:before="0" w:after="0"/>
              <w:jc w:val="center"/>
              <w:rPr>
                <w:rFonts w:ascii="Arial Narrow" w:hAnsi="Arial Narrow" w:cs="Calibri"/>
              </w:rPr>
            </w:pPr>
            <w:r>
              <w:rPr>
                <w:rFonts w:ascii="Arial Narrow" w:hAnsi="Arial Narrow" w:cs="Calibri"/>
                <w:color w:val="000000"/>
              </w:rPr>
              <w:t>3</w:t>
            </w:r>
          </w:p>
        </w:tc>
        <w:tc>
          <w:tcPr>
            <w:tcW w:w="3119" w:type="dxa"/>
            <w:vAlign w:val="center"/>
            <w:hideMark/>
          </w:tcPr>
          <w:p w14:paraId="5E5F0431" w14:textId="4F1F7FCD"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r>
      <w:tr w:rsidR="000654D7" w:rsidRPr="00BF60B1" w14:paraId="30C41453" w14:textId="77777777" w:rsidTr="2B5053E8">
        <w:trPr>
          <w:trHeight w:val="315"/>
        </w:trPr>
        <w:tc>
          <w:tcPr>
            <w:tcW w:w="3184" w:type="dxa"/>
            <w:vAlign w:val="center"/>
            <w:hideMark/>
          </w:tcPr>
          <w:p w14:paraId="2B665538" w14:textId="1EC86B9E" w:rsidR="000654D7" w:rsidRPr="00BF60B1" w:rsidRDefault="000654D7" w:rsidP="000654D7">
            <w:pPr>
              <w:spacing w:before="0" w:after="0"/>
              <w:rPr>
                <w:rFonts w:ascii="Arial Narrow" w:hAnsi="Arial Narrow" w:cs="Calibri"/>
                <w:b/>
                <w:bCs/>
              </w:rPr>
            </w:pPr>
            <w:r>
              <w:rPr>
                <w:rFonts w:ascii="Arial Narrow" w:hAnsi="Arial Narrow" w:cs="Calibri"/>
                <w:b/>
                <w:bCs/>
                <w:color w:val="000000"/>
              </w:rPr>
              <w:t>ICER (cost/FA births averted)</w:t>
            </w:r>
          </w:p>
        </w:tc>
        <w:tc>
          <w:tcPr>
            <w:tcW w:w="3185" w:type="dxa"/>
            <w:gridSpan w:val="2"/>
            <w:vAlign w:val="center"/>
            <w:hideMark/>
          </w:tcPr>
          <w:p w14:paraId="0FDFFDEB" w14:textId="0676AE46"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1F1CD92B" w14:textId="12085BE5"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017CDF22" w14:textId="77777777" w:rsidTr="2B5053E8">
        <w:trPr>
          <w:trHeight w:val="290"/>
        </w:trPr>
        <w:tc>
          <w:tcPr>
            <w:tcW w:w="9488" w:type="dxa"/>
            <w:gridSpan w:val="4"/>
            <w:vAlign w:val="center"/>
            <w:hideMark/>
          </w:tcPr>
          <w:p w14:paraId="36554D22" w14:textId="67AE6456" w:rsidR="000654D7" w:rsidRPr="00BF60B1" w:rsidRDefault="000654D7" w:rsidP="000654D7">
            <w:pPr>
              <w:spacing w:before="0" w:after="0"/>
              <w:rPr>
                <w:rFonts w:ascii="Arial Narrow" w:hAnsi="Arial Narrow" w:cs="Calibri"/>
              </w:rPr>
            </w:pPr>
            <w:r>
              <w:rPr>
                <w:rFonts w:ascii="Arial Narrow" w:hAnsi="Arial Narrow" w:cs="Calibri"/>
                <w:b/>
                <w:bCs/>
                <w:color w:val="000000"/>
              </w:rPr>
              <w:t>GD births (/100,000 births)</w:t>
            </w:r>
            <w:r>
              <w:rPr>
                <w:rFonts w:ascii="Arial Narrow" w:hAnsi="Arial Narrow" w:cs="Calibri"/>
                <w:color w:val="000000"/>
              </w:rPr>
              <w:t> </w:t>
            </w:r>
          </w:p>
        </w:tc>
      </w:tr>
      <w:tr w:rsidR="000654D7" w:rsidRPr="00BF60B1" w14:paraId="0722D27C" w14:textId="77777777" w:rsidTr="2B5053E8">
        <w:trPr>
          <w:trHeight w:val="300"/>
        </w:trPr>
        <w:tc>
          <w:tcPr>
            <w:tcW w:w="3184" w:type="dxa"/>
            <w:vAlign w:val="center"/>
            <w:hideMark/>
          </w:tcPr>
          <w:p w14:paraId="2E88BD4C" w14:textId="297564A2" w:rsidR="000654D7" w:rsidRPr="00BF60B1" w:rsidRDefault="000654D7" w:rsidP="000654D7">
            <w:pPr>
              <w:spacing w:before="0" w:after="0"/>
              <w:rPr>
                <w:rFonts w:ascii="Arial Narrow" w:hAnsi="Arial Narrow" w:cs="Calibri"/>
              </w:rPr>
            </w:pPr>
            <w:r>
              <w:rPr>
                <w:rFonts w:ascii="Arial Narrow" w:hAnsi="Arial Narrow" w:cs="Calibri"/>
                <w:color w:val="000000"/>
              </w:rPr>
              <w:t>Carrier Testing</w:t>
            </w:r>
          </w:p>
        </w:tc>
        <w:tc>
          <w:tcPr>
            <w:tcW w:w="3185" w:type="dxa"/>
            <w:gridSpan w:val="2"/>
            <w:vAlign w:val="center"/>
            <w:hideMark/>
          </w:tcPr>
          <w:p w14:paraId="4ED2CAF3" w14:textId="65BA16F6" w:rsidR="000654D7" w:rsidRPr="00BF60B1" w:rsidRDefault="000654D7" w:rsidP="000654D7">
            <w:pPr>
              <w:spacing w:before="0" w:after="0"/>
              <w:jc w:val="center"/>
              <w:rPr>
                <w:rFonts w:ascii="Arial Narrow" w:hAnsi="Arial Narrow" w:cs="Calibri"/>
              </w:rPr>
            </w:pPr>
            <w:r>
              <w:rPr>
                <w:rFonts w:ascii="Arial Narrow" w:hAnsi="Arial Narrow" w:cs="Calibri"/>
                <w:color w:val="000000"/>
              </w:rPr>
              <w:t>15</w:t>
            </w:r>
          </w:p>
        </w:tc>
        <w:tc>
          <w:tcPr>
            <w:tcW w:w="3119" w:type="dxa"/>
            <w:vAlign w:val="center"/>
            <w:hideMark/>
          </w:tcPr>
          <w:p w14:paraId="07C0B66B" w14:textId="2F0FD31B" w:rsidR="000654D7" w:rsidRPr="00BF60B1" w:rsidRDefault="000654D7" w:rsidP="000654D7">
            <w:pPr>
              <w:spacing w:before="0" w:after="0"/>
              <w:jc w:val="center"/>
              <w:rPr>
                <w:rFonts w:ascii="Arial Narrow" w:hAnsi="Arial Narrow" w:cs="Calibri"/>
              </w:rPr>
            </w:pPr>
            <w:r>
              <w:rPr>
                <w:rFonts w:ascii="Arial Narrow" w:hAnsi="Arial Narrow" w:cs="Calibri"/>
                <w:color w:val="000000"/>
              </w:rPr>
              <w:t>40</w:t>
            </w:r>
          </w:p>
        </w:tc>
      </w:tr>
      <w:tr w:rsidR="000654D7" w:rsidRPr="00BF60B1" w14:paraId="114A0A9E" w14:textId="77777777" w:rsidTr="2B5053E8">
        <w:trPr>
          <w:trHeight w:val="300"/>
        </w:trPr>
        <w:tc>
          <w:tcPr>
            <w:tcW w:w="3184" w:type="dxa"/>
            <w:vAlign w:val="center"/>
            <w:hideMark/>
          </w:tcPr>
          <w:p w14:paraId="5DF18795" w14:textId="32F27609"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15EB433C" w14:textId="0D227054" w:rsidR="000654D7" w:rsidRPr="00BF60B1" w:rsidRDefault="000654D7" w:rsidP="000654D7">
            <w:pPr>
              <w:spacing w:before="0" w:after="0"/>
              <w:jc w:val="center"/>
              <w:rPr>
                <w:rFonts w:ascii="Arial Narrow" w:hAnsi="Arial Narrow" w:cs="Calibri"/>
              </w:rPr>
            </w:pPr>
            <w:r>
              <w:rPr>
                <w:rFonts w:ascii="Arial Narrow" w:hAnsi="Arial Narrow" w:cs="Calibri"/>
                <w:color w:val="000000"/>
              </w:rPr>
              <w:t>77</w:t>
            </w:r>
          </w:p>
        </w:tc>
        <w:tc>
          <w:tcPr>
            <w:tcW w:w="3119" w:type="dxa"/>
            <w:vAlign w:val="center"/>
            <w:hideMark/>
          </w:tcPr>
          <w:p w14:paraId="7D7F220B" w14:textId="7D3BFEDC" w:rsidR="000654D7" w:rsidRPr="00BF60B1" w:rsidRDefault="000654D7" w:rsidP="000654D7">
            <w:pPr>
              <w:spacing w:before="0" w:after="0"/>
              <w:jc w:val="center"/>
              <w:rPr>
                <w:rFonts w:ascii="Arial Narrow" w:hAnsi="Arial Narrow" w:cs="Calibri"/>
              </w:rPr>
            </w:pPr>
            <w:r>
              <w:rPr>
                <w:rFonts w:ascii="Arial Narrow" w:hAnsi="Arial Narrow" w:cs="Calibri"/>
                <w:color w:val="000000"/>
              </w:rPr>
              <w:t>77</w:t>
            </w:r>
          </w:p>
        </w:tc>
      </w:tr>
      <w:tr w:rsidR="000654D7" w:rsidRPr="00BF60B1" w14:paraId="0BA08E09" w14:textId="77777777" w:rsidTr="2B5053E8">
        <w:trPr>
          <w:trHeight w:val="300"/>
        </w:trPr>
        <w:tc>
          <w:tcPr>
            <w:tcW w:w="3184" w:type="dxa"/>
            <w:vAlign w:val="center"/>
            <w:hideMark/>
          </w:tcPr>
          <w:p w14:paraId="6086045F" w14:textId="17F8BCD4"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10629A77" w14:textId="01AD2E8B" w:rsidR="000654D7" w:rsidRPr="00BF60B1" w:rsidRDefault="000654D7" w:rsidP="000654D7">
            <w:pPr>
              <w:spacing w:before="0" w:after="0"/>
              <w:jc w:val="center"/>
              <w:rPr>
                <w:rFonts w:ascii="Arial Narrow" w:hAnsi="Arial Narrow" w:cs="Calibri"/>
              </w:rPr>
            </w:pPr>
            <w:r>
              <w:rPr>
                <w:rFonts w:ascii="Arial Narrow" w:hAnsi="Arial Narrow" w:cs="Calibri"/>
                <w:color w:val="000000"/>
              </w:rPr>
              <w:t>63</w:t>
            </w:r>
          </w:p>
        </w:tc>
        <w:tc>
          <w:tcPr>
            <w:tcW w:w="3119" w:type="dxa"/>
            <w:vAlign w:val="center"/>
            <w:hideMark/>
          </w:tcPr>
          <w:p w14:paraId="31CC7490" w14:textId="6BDF3E45" w:rsidR="000654D7" w:rsidRPr="00BF60B1" w:rsidRDefault="000654D7" w:rsidP="000654D7">
            <w:pPr>
              <w:spacing w:before="0" w:after="0"/>
              <w:jc w:val="center"/>
              <w:rPr>
                <w:rFonts w:ascii="Arial Narrow" w:hAnsi="Arial Narrow" w:cs="Calibri"/>
              </w:rPr>
            </w:pPr>
            <w:r>
              <w:rPr>
                <w:rFonts w:ascii="Arial Narrow" w:hAnsi="Arial Narrow" w:cs="Calibri"/>
                <w:color w:val="000000"/>
              </w:rPr>
              <w:t>37</w:t>
            </w:r>
          </w:p>
        </w:tc>
      </w:tr>
      <w:tr w:rsidR="000654D7" w:rsidRPr="00BF60B1" w14:paraId="4D0B0C3E" w14:textId="77777777" w:rsidTr="2B5053E8">
        <w:trPr>
          <w:trHeight w:val="315"/>
        </w:trPr>
        <w:tc>
          <w:tcPr>
            <w:tcW w:w="3184" w:type="dxa"/>
            <w:vAlign w:val="center"/>
            <w:hideMark/>
          </w:tcPr>
          <w:p w14:paraId="29759AF4" w14:textId="46DDED99" w:rsidR="000654D7" w:rsidRPr="00BF60B1" w:rsidRDefault="000654D7" w:rsidP="000654D7">
            <w:pPr>
              <w:spacing w:before="0" w:after="0"/>
              <w:rPr>
                <w:rFonts w:ascii="Arial Narrow" w:hAnsi="Arial Narrow" w:cs="Calibri"/>
                <w:b/>
                <w:bCs/>
              </w:rPr>
            </w:pPr>
            <w:r>
              <w:rPr>
                <w:rFonts w:ascii="Arial Narrow" w:hAnsi="Arial Narrow" w:cs="Calibri"/>
                <w:b/>
                <w:bCs/>
                <w:color w:val="000000"/>
              </w:rPr>
              <w:t>ICER (cost/GD births averted)</w:t>
            </w:r>
          </w:p>
        </w:tc>
        <w:tc>
          <w:tcPr>
            <w:tcW w:w="3185" w:type="dxa"/>
            <w:gridSpan w:val="2"/>
            <w:vAlign w:val="center"/>
            <w:hideMark/>
          </w:tcPr>
          <w:p w14:paraId="1FC65883" w14:textId="6E64CA9D"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173E5336" w14:textId="2BBDC905"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05F13813" w14:textId="77777777" w:rsidTr="2B5053E8">
        <w:trPr>
          <w:trHeight w:val="290"/>
        </w:trPr>
        <w:tc>
          <w:tcPr>
            <w:tcW w:w="9488" w:type="dxa"/>
            <w:gridSpan w:val="4"/>
            <w:vAlign w:val="center"/>
            <w:hideMark/>
          </w:tcPr>
          <w:p w14:paraId="0D580CD6" w14:textId="34A6D05D" w:rsidR="000654D7" w:rsidRPr="00BF60B1" w:rsidRDefault="000654D7" w:rsidP="000654D7">
            <w:pPr>
              <w:spacing w:before="0" w:after="0"/>
              <w:rPr>
                <w:rFonts w:ascii="Arial Narrow" w:hAnsi="Arial Narrow" w:cs="Calibri"/>
              </w:rPr>
            </w:pPr>
            <w:r>
              <w:rPr>
                <w:rFonts w:ascii="Arial Narrow" w:hAnsi="Arial Narrow" w:cs="Calibri"/>
                <w:b/>
                <w:bCs/>
                <w:color w:val="000000"/>
              </w:rPr>
              <w:t>NPD births (/100,000 births)</w:t>
            </w:r>
            <w:r>
              <w:rPr>
                <w:rFonts w:ascii="Arial Narrow" w:hAnsi="Arial Narrow" w:cs="Calibri"/>
                <w:color w:val="000000"/>
              </w:rPr>
              <w:t> </w:t>
            </w:r>
          </w:p>
        </w:tc>
      </w:tr>
      <w:tr w:rsidR="000654D7" w:rsidRPr="00BF60B1" w14:paraId="672E8CF5" w14:textId="77777777" w:rsidTr="2B5053E8">
        <w:trPr>
          <w:trHeight w:val="300"/>
        </w:trPr>
        <w:tc>
          <w:tcPr>
            <w:tcW w:w="3184" w:type="dxa"/>
            <w:vAlign w:val="center"/>
            <w:hideMark/>
          </w:tcPr>
          <w:p w14:paraId="1200EB93" w14:textId="1741C128" w:rsidR="000654D7" w:rsidRPr="00BF60B1" w:rsidRDefault="000654D7" w:rsidP="000654D7">
            <w:pPr>
              <w:spacing w:before="0" w:after="0"/>
              <w:rPr>
                <w:rFonts w:ascii="Arial Narrow" w:hAnsi="Arial Narrow" w:cs="Calibri"/>
              </w:rPr>
            </w:pPr>
            <w:r>
              <w:rPr>
                <w:rFonts w:ascii="Arial Narrow" w:hAnsi="Arial Narrow" w:cs="Calibri"/>
                <w:color w:val="000000"/>
              </w:rPr>
              <w:t>Carrier Testing</w:t>
            </w:r>
          </w:p>
        </w:tc>
        <w:tc>
          <w:tcPr>
            <w:tcW w:w="3185" w:type="dxa"/>
            <w:gridSpan w:val="2"/>
            <w:vAlign w:val="center"/>
            <w:hideMark/>
          </w:tcPr>
          <w:p w14:paraId="485A227F" w14:textId="2AD59285" w:rsidR="000654D7" w:rsidRPr="00BF60B1" w:rsidRDefault="000654D7" w:rsidP="000654D7">
            <w:pPr>
              <w:spacing w:before="0" w:after="0"/>
              <w:jc w:val="center"/>
              <w:rPr>
                <w:rFonts w:ascii="Arial Narrow" w:hAnsi="Arial Narrow" w:cs="Calibri"/>
              </w:rPr>
            </w:pPr>
            <w:r>
              <w:rPr>
                <w:rFonts w:ascii="Arial Narrow" w:hAnsi="Arial Narrow" w:cs="Calibri"/>
                <w:color w:val="000000"/>
              </w:rPr>
              <w:t>1</w:t>
            </w:r>
          </w:p>
        </w:tc>
        <w:tc>
          <w:tcPr>
            <w:tcW w:w="3119" w:type="dxa"/>
            <w:vAlign w:val="center"/>
            <w:hideMark/>
          </w:tcPr>
          <w:p w14:paraId="44EA2F8A" w14:textId="5E62B9A7"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r>
      <w:tr w:rsidR="000654D7" w:rsidRPr="00BF60B1" w14:paraId="79E370B8" w14:textId="77777777" w:rsidTr="2B5053E8">
        <w:trPr>
          <w:trHeight w:val="300"/>
        </w:trPr>
        <w:tc>
          <w:tcPr>
            <w:tcW w:w="3184" w:type="dxa"/>
            <w:vAlign w:val="center"/>
            <w:hideMark/>
          </w:tcPr>
          <w:p w14:paraId="7FE28C4F" w14:textId="3636258E"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312DB5D3" w14:textId="0C79247F" w:rsidR="000654D7" w:rsidRPr="00BF60B1" w:rsidRDefault="000654D7" w:rsidP="000654D7">
            <w:pPr>
              <w:spacing w:before="0" w:after="0"/>
              <w:jc w:val="center"/>
              <w:rPr>
                <w:rFonts w:ascii="Arial Narrow" w:hAnsi="Arial Narrow" w:cs="Calibri"/>
              </w:rPr>
            </w:pPr>
            <w:r>
              <w:rPr>
                <w:rFonts w:ascii="Arial Narrow" w:hAnsi="Arial Narrow" w:cs="Calibri"/>
                <w:color w:val="000000"/>
              </w:rPr>
              <w:t>4</w:t>
            </w:r>
          </w:p>
        </w:tc>
        <w:tc>
          <w:tcPr>
            <w:tcW w:w="3119" w:type="dxa"/>
            <w:vAlign w:val="center"/>
            <w:hideMark/>
          </w:tcPr>
          <w:p w14:paraId="41A534B2" w14:textId="1E79D409" w:rsidR="000654D7" w:rsidRPr="00BF60B1" w:rsidRDefault="000654D7" w:rsidP="000654D7">
            <w:pPr>
              <w:spacing w:before="0" w:after="0"/>
              <w:jc w:val="center"/>
              <w:rPr>
                <w:rFonts w:ascii="Arial Narrow" w:hAnsi="Arial Narrow" w:cs="Calibri"/>
              </w:rPr>
            </w:pPr>
            <w:r>
              <w:rPr>
                <w:rFonts w:ascii="Arial Narrow" w:hAnsi="Arial Narrow" w:cs="Calibri"/>
                <w:color w:val="000000"/>
              </w:rPr>
              <w:t>4</w:t>
            </w:r>
          </w:p>
        </w:tc>
      </w:tr>
      <w:tr w:rsidR="000654D7" w:rsidRPr="00BF60B1" w14:paraId="5FE46688" w14:textId="77777777" w:rsidTr="2B5053E8">
        <w:trPr>
          <w:trHeight w:val="300"/>
        </w:trPr>
        <w:tc>
          <w:tcPr>
            <w:tcW w:w="3184" w:type="dxa"/>
            <w:vAlign w:val="center"/>
            <w:hideMark/>
          </w:tcPr>
          <w:p w14:paraId="25683DCE" w14:textId="5695CEF3"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2B17BE29" w14:textId="42C82414" w:rsidR="000654D7" w:rsidRPr="00BF60B1" w:rsidRDefault="000654D7" w:rsidP="000654D7">
            <w:pPr>
              <w:spacing w:before="0" w:after="0"/>
              <w:jc w:val="center"/>
              <w:rPr>
                <w:rFonts w:ascii="Arial Narrow" w:hAnsi="Arial Narrow" w:cs="Calibri"/>
              </w:rPr>
            </w:pPr>
            <w:r>
              <w:rPr>
                <w:rFonts w:ascii="Arial Narrow" w:hAnsi="Arial Narrow" w:cs="Calibri"/>
                <w:color w:val="000000"/>
              </w:rPr>
              <w:t>3</w:t>
            </w:r>
          </w:p>
        </w:tc>
        <w:tc>
          <w:tcPr>
            <w:tcW w:w="3119" w:type="dxa"/>
            <w:vAlign w:val="center"/>
            <w:hideMark/>
          </w:tcPr>
          <w:p w14:paraId="48E6F8D2" w14:textId="131CDFB2"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r>
      <w:tr w:rsidR="000654D7" w:rsidRPr="00BF60B1" w14:paraId="7EF9D8ED" w14:textId="77777777" w:rsidTr="2B5053E8">
        <w:trPr>
          <w:trHeight w:val="315"/>
        </w:trPr>
        <w:tc>
          <w:tcPr>
            <w:tcW w:w="3184" w:type="dxa"/>
            <w:vAlign w:val="center"/>
            <w:hideMark/>
          </w:tcPr>
          <w:p w14:paraId="583E4BDE" w14:textId="3406BEE3" w:rsidR="000654D7" w:rsidRPr="00BF60B1" w:rsidRDefault="000654D7" w:rsidP="000654D7">
            <w:pPr>
              <w:spacing w:before="0" w:after="0"/>
              <w:rPr>
                <w:rFonts w:ascii="Arial Narrow" w:hAnsi="Arial Narrow" w:cs="Calibri"/>
                <w:b/>
                <w:bCs/>
              </w:rPr>
            </w:pPr>
            <w:r>
              <w:rPr>
                <w:rFonts w:ascii="Arial Narrow" w:hAnsi="Arial Narrow" w:cs="Calibri"/>
                <w:b/>
                <w:bCs/>
                <w:color w:val="000000"/>
              </w:rPr>
              <w:t>ICER (cost/NPD births averted)</w:t>
            </w:r>
          </w:p>
        </w:tc>
        <w:tc>
          <w:tcPr>
            <w:tcW w:w="3185" w:type="dxa"/>
            <w:gridSpan w:val="2"/>
            <w:vAlign w:val="center"/>
            <w:hideMark/>
          </w:tcPr>
          <w:p w14:paraId="68F16308" w14:textId="55BE6DA1"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0F710C84" w14:textId="05809BA6"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r w:rsidR="000654D7" w:rsidRPr="00BF60B1" w14:paraId="25D818D1" w14:textId="77777777" w:rsidTr="2B5053E8">
        <w:trPr>
          <w:trHeight w:val="290"/>
        </w:trPr>
        <w:tc>
          <w:tcPr>
            <w:tcW w:w="9488" w:type="dxa"/>
            <w:gridSpan w:val="4"/>
            <w:vAlign w:val="center"/>
            <w:hideMark/>
          </w:tcPr>
          <w:p w14:paraId="7B02648B" w14:textId="3F762DEA" w:rsidR="000654D7" w:rsidRPr="00BF60B1" w:rsidRDefault="000654D7" w:rsidP="000654D7">
            <w:pPr>
              <w:spacing w:before="0" w:after="0"/>
              <w:rPr>
                <w:rFonts w:ascii="Arial Narrow" w:hAnsi="Arial Narrow" w:cs="Calibri"/>
              </w:rPr>
            </w:pPr>
            <w:r>
              <w:rPr>
                <w:rFonts w:ascii="Arial Narrow" w:hAnsi="Arial Narrow" w:cs="Calibri"/>
                <w:b/>
                <w:color w:val="000000"/>
              </w:rPr>
              <w:t>BS births (/100,000 births)</w:t>
            </w:r>
          </w:p>
        </w:tc>
      </w:tr>
      <w:tr w:rsidR="000654D7" w:rsidRPr="00BF60B1" w14:paraId="3C2D438D" w14:textId="77777777" w:rsidTr="2B5053E8">
        <w:trPr>
          <w:trHeight w:val="300"/>
        </w:trPr>
        <w:tc>
          <w:tcPr>
            <w:tcW w:w="3184" w:type="dxa"/>
            <w:vAlign w:val="center"/>
            <w:hideMark/>
          </w:tcPr>
          <w:p w14:paraId="6E3CC830" w14:textId="5CB279DA" w:rsidR="000654D7" w:rsidRPr="00BF60B1" w:rsidRDefault="000654D7" w:rsidP="000654D7">
            <w:pPr>
              <w:spacing w:before="0" w:after="0"/>
              <w:rPr>
                <w:rFonts w:ascii="Arial Narrow" w:hAnsi="Arial Narrow" w:cs="Calibri"/>
              </w:rPr>
            </w:pPr>
            <w:r>
              <w:rPr>
                <w:rFonts w:ascii="Arial Narrow" w:hAnsi="Arial Narrow" w:cs="Calibri"/>
                <w:color w:val="000000"/>
              </w:rPr>
              <w:t>Carrier Testing</w:t>
            </w:r>
          </w:p>
        </w:tc>
        <w:tc>
          <w:tcPr>
            <w:tcW w:w="3185" w:type="dxa"/>
            <w:gridSpan w:val="2"/>
            <w:vAlign w:val="center"/>
            <w:hideMark/>
          </w:tcPr>
          <w:p w14:paraId="2CD8D778" w14:textId="31DFE0D5" w:rsidR="000654D7" w:rsidRPr="00BF60B1" w:rsidRDefault="000654D7" w:rsidP="000654D7">
            <w:pPr>
              <w:spacing w:before="0" w:after="0"/>
              <w:jc w:val="center"/>
              <w:rPr>
                <w:rFonts w:ascii="Arial Narrow" w:hAnsi="Arial Narrow" w:cs="Calibri"/>
              </w:rPr>
            </w:pPr>
            <w:r>
              <w:rPr>
                <w:rFonts w:ascii="Arial Narrow" w:hAnsi="Arial Narrow" w:cs="Calibri"/>
                <w:color w:val="000000"/>
              </w:rPr>
              <w:t>0</w:t>
            </w:r>
          </w:p>
        </w:tc>
        <w:tc>
          <w:tcPr>
            <w:tcW w:w="3119" w:type="dxa"/>
            <w:vAlign w:val="center"/>
            <w:hideMark/>
          </w:tcPr>
          <w:p w14:paraId="15CEDE27" w14:textId="74C127B0" w:rsidR="000654D7" w:rsidRPr="00BF60B1" w:rsidRDefault="000654D7" w:rsidP="000654D7">
            <w:pPr>
              <w:spacing w:before="0" w:after="0"/>
              <w:jc w:val="center"/>
              <w:rPr>
                <w:rFonts w:ascii="Arial Narrow" w:hAnsi="Arial Narrow" w:cs="Calibri"/>
              </w:rPr>
            </w:pPr>
            <w:r>
              <w:rPr>
                <w:rFonts w:ascii="Arial Narrow" w:hAnsi="Arial Narrow" w:cs="Calibri"/>
                <w:color w:val="000000"/>
              </w:rPr>
              <w:t>1</w:t>
            </w:r>
          </w:p>
        </w:tc>
      </w:tr>
      <w:tr w:rsidR="000654D7" w:rsidRPr="00BF60B1" w14:paraId="1F7C4A99" w14:textId="77777777" w:rsidTr="2B5053E8">
        <w:trPr>
          <w:trHeight w:val="300"/>
        </w:trPr>
        <w:tc>
          <w:tcPr>
            <w:tcW w:w="3184" w:type="dxa"/>
            <w:vAlign w:val="center"/>
            <w:hideMark/>
          </w:tcPr>
          <w:p w14:paraId="2F8559B5" w14:textId="47126259" w:rsidR="000654D7" w:rsidRPr="00BF60B1" w:rsidRDefault="000654D7" w:rsidP="000654D7">
            <w:pPr>
              <w:spacing w:before="0" w:after="0"/>
              <w:rPr>
                <w:rFonts w:ascii="Arial Narrow" w:hAnsi="Arial Narrow" w:cs="Calibri"/>
              </w:rPr>
            </w:pPr>
            <w:r>
              <w:rPr>
                <w:rFonts w:ascii="Arial Narrow" w:hAnsi="Arial Narrow" w:cs="Calibri"/>
                <w:color w:val="000000"/>
              </w:rPr>
              <w:t>CF/SMA/FXS Testing Only</w:t>
            </w:r>
          </w:p>
        </w:tc>
        <w:tc>
          <w:tcPr>
            <w:tcW w:w="3185" w:type="dxa"/>
            <w:gridSpan w:val="2"/>
            <w:vAlign w:val="center"/>
            <w:hideMark/>
          </w:tcPr>
          <w:p w14:paraId="29CF344B" w14:textId="311C82C0"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c>
          <w:tcPr>
            <w:tcW w:w="3119" w:type="dxa"/>
            <w:vAlign w:val="center"/>
            <w:hideMark/>
          </w:tcPr>
          <w:p w14:paraId="0D15FC4A" w14:textId="2DD0C450"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r>
      <w:tr w:rsidR="000654D7" w:rsidRPr="00BF60B1" w14:paraId="6471BEF3" w14:textId="77777777" w:rsidTr="2B5053E8">
        <w:trPr>
          <w:trHeight w:val="300"/>
        </w:trPr>
        <w:tc>
          <w:tcPr>
            <w:tcW w:w="3184" w:type="dxa"/>
            <w:vAlign w:val="center"/>
            <w:hideMark/>
          </w:tcPr>
          <w:p w14:paraId="7E468D65" w14:textId="76D58567" w:rsidR="000654D7" w:rsidRPr="00BF60B1" w:rsidRDefault="000654D7" w:rsidP="000654D7">
            <w:pPr>
              <w:spacing w:before="0" w:after="0"/>
              <w:rPr>
                <w:rFonts w:ascii="Arial Narrow" w:hAnsi="Arial Narrow" w:cs="Calibri"/>
              </w:rPr>
            </w:pPr>
            <w:r>
              <w:rPr>
                <w:rFonts w:ascii="Arial Narrow" w:hAnsi="Arial Narrow" w:cs="Calibri"/>
                <w:color w:val="000000"/>
              </w:rPr>
              <w:t>Incremental effectiveness</w:t>
            </w:r>
          </w:p>
        </w:tc>
        <w:tc>
          <w:tcPr>
            <w:tcW w:w="3185" w:type="dxa"/>
            <w:gridSpan w:val="2"/>
            <w:vAlign w:val="center"/>
            <w:hideMark/>
          </w:tcPr>
          <w:p w14:paraId="73AB5645" w14:textId="3D07EC42" w:rsidR="000654D7" w:rsidRPr="00BF60B1" w:rsidRDefault="000654D7" w:rsidP="000654D7">
            <w:pPr>
              <w:spacing w:before="0" w:after="0"/>
              <w:jc w:val="center"/>
              <w:rPr>
                <w:rFonts w:ascii="Arial Narrow" w:hAnsi="Arial Narrow" w:cs="Calibri"/>
              </w:rPr>
            </w:pPr>
            <w:r>
              <w:rPr>
                <w:rFonts w:ascii="Arial Narrow" w:hAnsi="Arial Narrow" w:cs="Calibri"/>
                <w:color w:val="000000"/>
              </w:rPr>
              <w:t>2</w:t>
            </w:r>
          </w:p>
        </w:tc>
        <w:tc>
          <w:tcPr>
            <w:tcW w:w="3119" w:type="dxa"/>
            <w:vAlign w:val="center"/>
            <w:hideMark/>
          </w:tcPr>
          <w:p w14:paraId="0F199B91" w14:textId="73FF667B" w:rsidR="000654D7" w:rsidRPr="00BF60B1" w:rsidRDefault="000654D7" w:rsidP="000654D7">
            <w:pPr>
              <w:spacing w:before="0" w:after="0"/>
              <w:jc w:val="center"/>
              <w:rPr>
                <w:rFonts w:ascii="Arial Narrow" w:hAnsi="Arial Narrow" w:cs="Calibri"/>
              </w:rPr>
            </w:pPr>
            <w:r>
              <w:rPr>
                <w:rFonts w:ascii="Arial Narrow" w:hAnsi="Arial Narrow" w:cs="Calibri"/>
                <w:color w:val="000000"/>
              </w:rPr>
              <w:t>1</w:t>
            </w:r>
          </w:p>
        </w:tc>
      </w:tr>
      <w:tr w:rsidR="000654D7" w:rsidRPr="00BF60B1" w14:paraId="63C17D43" w14:textId="77777777" w:rsidTr="2B5053E8">
        <w:trPr>
          <w:trHeight w:val="315"/>
        </w:trPr>
        <w:tc>
          <w:tcPr>
            <w:tcW w:w="3184" w:type="dxa"/>
            <w:vAlign w:val="center"/>
            <w:hideMark/>
          </w:tcPr>
          <w:p w14:paraId="7AB74FBC" w14:textId="4E3EE8C5" w:rsidR="000654D7" w:rsidRPr="00BF60B1" w:rsidRDefault="000654D7" w:rsidP="000654D7">
            <w:pPr>
              <w:spacing w:before="0" w:after="0"/>
              <w:rPr>
                <w:rFonts w:ascii="Arial Narrow" w:hAnsi="Arial Narrow" w:cs="Calibri"/>
                <w:b/>
                <w:bCs/>
              </w:rPr>
            </w:pPr>
            <w:r>
              <w:rPr>
                <w:rFonts w:ascii="Arial Narrow" w:hAnsi="Arial Narrow" w:cs="Calibri"/>
                <w:b/>
                <w:color w:val="000000"/>
              </w:rPr>
              <w:t>ICER (cost/BS births averted)</w:t>
            </w:r>
          </w:p>
        </w:tc>
        <w:tc>
          <w:tcPr>
            <w:tcW w:w="3185" w:type="dxa"/>
            <w:gridSpan w:val="2"/>
            <w:vAlign w:val="center"/>
            <w:hideMark/>
          </w:tcPr>
          <w:p w14:paraId="657AC8DE" w14:textId="280B79F7"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c>
          <w:tcPr>
            <w:tcW w:w="3119" w:type="dxa"/>
            <w:vAlign w:val="center"/>
            <w:hideMark/>
          </w:tcPr>
          <w:p w14:paraId="3278EA4E" w14:textId="5B52C72E" w:rsidR="000654D7" w:rsidRPr="00BF60B1" w:rsidRDefault="000654D7" w:rsidP="000654D7">
            <w:pPr>
              <w:spacing w:before="0" w:after="0"/>
              <w:jc w:val="center"/>
              <w:rPr>
                <w:rFonts w:ascii="Arial Narrow" w:hAnsi="Arial Narrow" w:cs="Calibri"/>
                <w:b/>
                <w:bCs/>
              </w:rPr>
            </w:pPr>
            <w:r>
              <w:rPr>
                <w:rFonts w:ascii="Arial Narrow" w:hAnsi="Arial Narrow" w:cs="Calibri"/>
                <w:b/>
                <w:bCs/>
                <w:color w:val="000000"/>
              </w:rPr>
              <w:t>Dominant</w:t>
            </w:r>
          </w:p>
        </w:tc>
      </w:tr>
    </w:tbl>
    <w:p w14:paraId="7F1F8814" w14:textId="615033BD" w:rsidR="00F037B4" w:rsidRPr="00EB0436" w:rsidRDefault="00F037B4" w:rsidP="00641A99">
      <w:pPr>
        <w:pStyle w:val="Guidelinescross-ref"/>
        <w:keepNext/>
        <w:spacing w:before="0"/>
        <w:rPr>
          <w:rFonts w:ascii="Arial Narrow" w:hAnsi="Arial Narrow"/>
          <w:b w:val="0"/>
          <w:color w:val="auto"/>
          <w:sz w:val="18"/>
          <w:szCs w:val="18"/>
          <w:highlight w:val="yellow"/>
        </w:rPr>
      </w:pPr>
      <w:r w:rsidRPr="00EB0436">
        <w:rPr>
          <w:rFonts w:ascii="Arial Narrow" w:hAnsi="Arial Narrow"/>
          <w:b w:val="0"/>
          <w:color w:val="auto"/>
          <w:sz w:val="18"/>
          <w:szCs w:val="18"/>
        </w:rPr>
        <w:t>BS=Bloom Syndrome, CD=Canavan disease, CF=Cystic Fibrosis, FA=Fanconi anaemia type C, FD=Familial dysautonomia, FXS=Fragile X Syndrome, GD=Gaucher disease, GSD1=Glycogen storage disease type 1, ICER=Incremental Cost Effectiveness Ratio, IVF=In vitro fertilisation, MLD=</w:t>
      </w:r>
      <w:proofErr w:type="spellStart"/>
      <w:r w:rsidRPr="00EB0436">
        <w:rPr>
          <w:rFonts w:ascii="Arial Narrow" w:hAnsi="Arial Narrow"/>
          <w:b w:val="0"/>
          <w:color w:val="auto"/>
          <w:sz w:val="18"/>
          <w:szCs w:val="18"/>
        </w:rPr>
        <w:t>Mucolipidosis</w:t>
      </w:r>
      <w:proofErr w:type="spellEnd"/>
      <w:r w:rsidRPr="00EB0436">
        <w:rPr>
          <w:rFonts w:ascii="Arial Narrow" w:hAnsi="Arial Narrow"/>
          <w:b w:val="0"/>
          <w:color w:val="auto"/>
          <w:sz w:val="18"/>
          <w:szCs w:val="18"/>
        </w:rPr>
        <w:t xml:space="preserve"> Type IV, NPD=Niemann Pick Disease </w:t>
      </w:r>
      <w:proofErr w:type="gramStart"/>
      <w:r w:rsidRPr="00EB0436">
        <w:rPr>
          <w:rFonts w:ascii="Arial Narrow" w:hAnsi="Arial Narrow"/>
          <w:b w:val="0"/>
          <w:color w:val="auto"/>
          <w:sz w:val="18"/>
          <w:szCs w:val="18"/>
        </w:rPr>
        <w:t>type</w:t>
      </w:r>
      <w:proofErr w:type="gramEnd"/>
      <w:r w:rsidRPr="00EB0436">
        <w:rPr>
          <w:rFonts w:ascii="Arial Narrow" w:hAnsi="Arial Narrow"/>
          <w:b w:val="0"/>
          <w:color w:val="auto"/>
          <w:sz w:val="18"/>
          <w:szCs w:val="18"/>
        </w:rPr>
        <w:t xml:space="preserve"> A, SMA=Spinal Muscular Atrophy, TSD=Tay Sachs Disease</w:t>
      </w:r>
    </w:p>
    <w:p w14:paraId="71E9E133" w14:textId="34714D46" w:rsidR="001F46A5" w:rsidRPr="001F46A5" w:rsidRDefault="003A0B9B" w:rsidP="001F46A5">
      <w:pPr>
        <w:pStyle w:val="Guidelinescross-ref"/>
        <w:keepNext/>
        <w:rPr>
          <w:b w:val="0"/>
          <w:color w:val="auto"/>
          <w:sz w:val="22"/>
        </w:rPr>
      </w:pPr>
      <w:r w:rsidRPr="006C2C3F">
        <w:rPr>
          <w:b w:val="0"/>
          <w:color w:val="auto"/>
          <w:sz w:val="22"/>
        </w:rPr>
        <w:t xml:space="preserve">Table </w:t>
      </w:r>
      <w:r w:rsidRPr="006C2C3F">
        <w:rPr>
          <w:b w:val="0"/>
          <w:noProof/>
          <w:color w:val="auto"/>
          <w:sz w:val="22"/>
        </w:rPr>
        <w:t>1</w:t>
      </w:r>
      <w:r w:rsidR="007260EF">
        <w:rPr>
          <w:b w:val="0"/>
          <w:noProof/>
          <w:color w:val="auto"/>
          <w:sz w:val="22"/>
        </w:rPr>
        <w:t>5</w:t>
      </w:r>
      <w:r w:rsidR="000D63EA" w:rsidRPr="00C54287">
        <w:rPr>
          <w:b w:val="0"/>
          <w:color w:val="auto"/>
          <w:sz w:val="22"/>
        </w:rPr>
        <w:t xml:space="preserve"> </w:t>
      </w:r>
      <w:r w:rsidR="000D63EA" w:rsidRPr="003A2D20">
        <w:rPr>
          <w:b w:val="0"/>
          <w:color w:val="auto"/>
          <w:sz w:val="22"/>
        </w:rPr>
        <w:t>d</w:t>
      </w:r>
      <w:r w:rsidR="000D63EA">
        <w:rPr>
          <w:b w:val="0"/>
          <w:color w:val="auto"/>
          <w:sz w:val="22"/>
        </w:rPr>
        <w:t xml:space="preserve">etails the results of step </w:t>
      </w:r>
      <w:r w:rsidR="00040897">
        <w:rPr>
          <w:b w:val="0"/>
          <w:color w:val="auto"/>
          <w:sz w:val="22"/>
        </w:rPr>
        <w:t xml:space="preserve">3 </w:t>
      </w:r>
      <w:r w:rsidR="000D63EA">
        <w:rPr>
          <w:b w:val="0"/>
          <w:color w:val="auto"/>
          <w:sz w:val="22"/>
        </w:rPr>
        <w:t xml:space="preserve">in the stepped analysis whereby </w:t>
      </w:r>
      <w:r w:rsidR="00580915">
        <w:rPr>
          <w:b w:val="0"/>
          <w:color w:val="auto"/>
          <w:sz w:val="22"/>
        </w:rPr>
        <w:t xml:space="preserve">combined </w:t>
      </w:r>
      <w:r w:rsidR="00900DFF" w:rsidRPr="00900DFF">
        <w:rPr>
          <w:b w:val="0"/>
          <w:color w:val="auto"/>
          <w:sz w:val="22"/>
        </w:rPr>
        <w:t>prenatal and preconception</w:t>
      </w:r>
      <w:r w:rsidR="00C54287">
        <w:rPr>
          <w:b w:val="0"/>
          <w:color w:val="auto"/>
          <w:sz w:val="22"/>
        </w:rPr>
        <w:t xml:space="preserve"> </w:t>
      </w:r>
      <w:r w:rsidR="00654C8F">
        <w:rPr>
          <w:b w:val="0"/>
          <w:color w:val="auto"/>
          <w:sz w:val="22"/>
        </w:rPr>
        <w:t xml:space="preserve">for initial </w:t>
      </w:r>
      <w:r w:rsidR="00385DF4">
        <w:rPr>
          <w:b w:val="0"/>
          <w:color w:val="auto"/>
          <w:sz w:val="22"/>
        </w:rPr>
        <w:t xml:space="preserve">pregnancies </w:t>
      </w:r>
      <w:r w:rsidR="000D63EA">
        <w:rPr>
          <w:b w:val="0"/>
          <w:color w:val="auto"/>
          <w:sz w:val="22"/>
        </w:rPr>
        <w:t>costs and effectiveness were calculated for each condition.</w:t>
      </w:r>
      <w:bookmarkStart w:id="70" w:name="_Ref100679183"/>
      <w:bookmarkStart w:id="71" w:name="_Toc103096611"/>
      <w:r w:rsidR="001F46A5">
        <w:br w:type="page"/>
      </w:r>
    </w:p>
    <w:p w14:paraId="678D3DD7" w14:textId="5B198DA1" w:rsidR="00D51947" w:rsidRDefault="00D51947" w:rsidP="001F46A5">
      <w:pPr>
        <w:pStyle w:val="Caption"/>
        <w:ind w:left="709" w:hanging="709"/>
      </w:pPr>
      <w:r>
        <w:lastRenderedPageBreak/>
        <w:t xml:space="preserve">Table </w:t>
      </w:r>
      <w:r w:rsidR="003A0B9B">
        <w:rPr>
          <w:noProof/>
        </w:rPr>
        <w:t>1</w:t>
      </w:r>
      <w:r w:rsidR="007260EF">
        <w:rPr>
          <w:noProof/>
        </w:rPr>
        <w:t>5</w:t>
      </w:r>
      <w:bookmarkEnd w:id="70"/>
      <w:r w:rsidR="001D26E0" w:rsidRPr="001D26E0">
        <w:t xml:space="preserve"> </w:t>
      </w:r>
      <w:r w:rsidR="001D26E0" w:rsidRPr="00663A06">
        <w:t xml:space="preserve">Approach to the stepped analysis - Step </w:t>
      </w:r>
      <w:r w:rsidR="001D26E0">
        <w:t>3</w:t>
      </w:r>
      <w:r w:rsidR="001D26E0" w:rsidRPr="00663A06">
        <w:t xml:space="preserve">, </w:t>
      </w:r>
      <w:r w:rsidR="001B02B4">
        <w:t xml:space="preserve">combined </w:t>
      </w:r>
      <w:r w:rsidR="00040897">
        <w:rPr>
          <w:rFonts w:cs="Calibri"/>
        </w:rPr>
        <w:t xml:space="preserve">prenatal and preconception </w:t>
      </w:r>
      <w:r w:rsidR="001B02B4">
        <w:rPr>
          <w:rFonts w:cs="Calibri"/>
        </w:rPr>
        <w:t xml:space="preserve">carrier testing </w:t>
      </w:r>
      <w:r w:rsidR="0060059B">
        <w:rPr>
          <w:rFonts w:cs="Calibri"/>
        </w:rPr>
        <w:t xml:space="preserve">for initial pregnancies </w:t>
      </w:r>
      <w:r w:rsidR="00040897">
        <w:rPr>
          <w:rFonts w:cs="Calibri"/>
        </w:rPr>
        <w:t>cost</w:t>
      </w:r>
      <w:r w:rsidR="00C31845">
        <w:rPr>
          <w:rFonts w:cs="Calibri"/>
        </w:rPr>
        <w:t xml:space="preserve">s and </w:t>
      </w:r>
      <w:r w:rsidR="00040897">
        <w:rPr>
          <w:rFonts w:cs="Calibri"/>
        </w:rPr>
        <w:t xml:space="preserve">effectiveness </w:t>
      </w:r>
      <w:r w:rsidR="00D23CF7">
        <w:rPr>
          <w:rFonts w:cs="Calibri"/>
        </w:rPr>
        <w:t xml:space="preserve">compared to </w:t>
      </w:r>
      <w:r w:rsidR="00141C04">
        <w:rPr>
          <w:rFonts w:cs="Calibri"/>
        </w:rPr>
        <w:t>CF/SMA/FXS testing</w:t>
      </w:r>
      <w:bookmarkEnd w:id="71"/>
      <w:r w:rsidR="00CC6FB8" w:rsidRPr="00CC6FB8">
        <w:t xml:space="preserve"> </w:t>
      </w:r>
    </w:p>
    <w:tbl>
      <w:tblPr>
        <w:tblStyle w:val="TableGrid1"/>
        <w:tblW w:w="9493" w:type="dxa"/>
        <w:tblLook w:val="04A0" w:firstRow="1" w:lastRow="0" w:firstColumn="1" w:lastColumn="0" w:noHBand="0" w:noVBand="1"/>
      </w:tblPr>
      <w:tblGrid>
        <w:gridCol w:w="6374"/>
        <w:gridCol w:w="2835"/>
        <w:gridCol w:w="284"/>
      </w:tblGrid>
      <w:tr w:rsidR="00D2522F" w:rsidRPr="00BF60B1" w14:paraId="783CB1C8" w14:textId="77777777" w:rsidTr="009A5FA7">
        <w:trPr>
          <w:cnfStyle w:val="100000000000" w:firstRow="1" w:lastRow="0" w:firstColumn="0" w:lastColumn="0" w:oddVBand="0" w:evenVBand="0" w:oddHBand="0" w:evenHBand="0" w:firstRowFirstColumn="0" w:firstRowLastColumn="0" w:lastRowFirstColumn="0" w:lastRowLastColumn="0"/>
          <w:trHeight w:val="315"/>
          <w:tblHeader/>
        </w:trPr>
        <w:tc>
          <w:tcPr>
            <w:tcW w:w="9209" w:type="dxa"/>
            <w:gridSpan w:val="2"/>
            <w:tcBorders>
              <w:right w:val="nil"/>
            </w:tcBorders>
            <w:vAlign w:val="center"/>
          </w:tcPr>
          <w:p w14:paraId="47DC1CE4" w14:textId="7F4E0489" w:rsidR="00D2522F" w:rsidRPr="00BF60B1" w:rsidRDefault="00D2522F" w:rsidP="00D2522F">
            <w:pPr>
              <w:spacing w:before="0" w:after="0"/>
              <w:rPr>
                <w:rFonts w:ascii="Arial Narrow" w:hAnsi="Arial Narrow"/>
              </w:rPr>
            </w:pPr>
            <w:r>
              <w:rPr>
                <w:rFonts w:ascii="Arial Narrow" w:hAnsi="Arial Narrow" w:cs="Calibri"/>
                <w:b/>
                <w:bCs/>
              </w:rPr>
              <w:t>Step 3 – calculate prenatal and preconception cost effectiveness (combined)</w:t>
            </w:r>
          </w:p>
        </w:tc>
        <w:tc>
          <w:tcPr>
            <w:tcW w:w="284" w:type="dxa"/>
            <w:tcBorders>
              <w:left w:val="nil"/>
            </w:tcBorders>
            <w:vAlign w:val="center"/>
          </w:tcPr>
          <w:p w14:paraId="624D42B9" w14:textId="1CEF8AAF" w:rsidR="00D2522F" w:rsidRPr="00BF60B1" w:rsidRDefault="00D2522F" w:rsidP="00D2522F">
            <w:pPr>
              <w:spacing w:before="0" w:after="0"/>
              <w:rPr>
                <w:rFonts w:ascii="Arial Narrow" w:hAnsi="Arial Narrow" w:cs="Calibri"/>
                <w:b/>
                <w:bCs/>
              </w:rPr>
            </w:pPr>
          </w:p>
        </w:tc>
      </w:tr>
      <w:tr w:rsidR="00364B61" w:rsidRPr="00BF60B1" w14:paraId="782ED49C" w14:textId="77777777" w:rsidTr="2B5053E8">
        <w:trPr>
          <w:trHeight w:val="290"/>
        </w:trPr>
        <w:tc>
          <w:tcPr>
            <w:tcW w:w="9493" w:type="dxa"/>
            <w:gridSpan w:val="3"/>
            <w:vAlign w:val="center"/>
          </w:tcPr>
          <w:p w14:paraId="568E080F" w14:textId="667509BF" w:rsidR="00364B61" w:rsidRPr="00EB0436" w:rsidRDefault="00364B61" w:rsidP="00507FC4">
            <w:pPr>
              <w:spacing w:before="0" w:after="0"/>
              <w:rPr>
                <w:rFonts w:ascii="Arial Narrow" w:hAnsi="Arial Narrow" w:cs="Calibri"/>
                <w:b/>
                <w:bCs/>
              </w:rPr>
            </w:pPr>
            <w:r>
              <w:rPr>
                <w:rFonts w:ascii="Arial Narrow" w:hAnsi="Arial Narrow" w:cs="Calibri"/>
                <w:b/>
                <w:bCs/>
                <w:color w:val="000000"/>
              </w:rPr>
              <w:t>Pre &amp; Post-conception (Combined)</w:t>
            </w:r>
          </w:p>
        </w:tc>
      </w:tr>
      <w:tr w:rsidR="00364B61" w:rsidRPr="00BF60B1" w14:paraId="39CED42D" w14:textId="77777777" w:rsidTr="2B5053E8">
        <w:trPr>
          <w:trHeight w:val="290"/>
        </w:trPr>
        <w:tc>
          <w:tcPr>
            <w:tcW w:w="9493" w:type="dxa"/>
            <w:gridSpan w:val="3"/>
            <w:vAlign w:val="center"/>
          </w:tcPr>
          <w:p w14:paraId="0E99B559" w14:textId="5E63374E" w:rsidR="00364B61" w:rsidRDefault="00364B61" w:rsidP="00507FC4">
            <w:pPr>
              <w:spacing w:before="0" w:after="0"/>
              <w:rPr>
                <w:rFonts w:ascii="Arial Narrow" w:hAnsi="Arial Narrow" w:cs="Calibri"/>
                <w:color w:val="000000"/>
              </w:rPr>
            </w:pPr>
            <w:r>
              <w:rPr>
                <w:rFonts w:ascii="Arial Narrow" w:hAnsi="Arial Narrow" w:cs="Calibri"/>
                <w:b/>
                <w:bCs/>
                <w:color w:val="000000"/>
              </w:rPr>
              <w:t xml:space="preserve">Costs </w:t>
            </w:r>
          </w:p>
        </w:tc>
      </w:tr>
      <w:tr w:rsidR="002C532F" w:rsidRPr="00BF60B1" w14:paraId="5BC436D3" w14:textId="77777777" w:rsidTr="00EB0436">
        <w:trPr>
          <w:trHeight w:val="290"/>
        </w:trPr>
        <w:tc>
          <w:tcPr>
            <w:tcW w:w="6374" w:type="dxa"/>
            <w:vAlign w:val="center"/>
          </w:tcPr>
          <w:p w14:paraId="1A0D5C73" w14:textId="67594211"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0DA06F30" w14:textId="11B0105F" w:rsidR="002C532F" w:rsidRPr="00BF60B1" w:rsidRDefault="002C532F" w:rsidP="002C532F">
            <w:pPr>
              <w:spacing w:before="0" w:after="0"/>
              <w:jc w:val="center"/>
              <w:rPr>
                <w:rFonts w:ascii="Arial Narrow" w:hAnsi="Arial Narrow" w:cs="Calibri"/>
              </w:rPr>
            </w:pPr>
            <w:r>
              <w:rPr>
                <w:rFonts w:ascii="Arial Narrow" w:hAnsi="Arial Narrow" w:cs="Calibri"/>
                <w:color w:val="000000"/>
              </w:rPr>
              <w:t>$2,033.14</w:t>
            </w:r>
          </w:p>
        </w:tc>
      </w:tr>
      <w:tr w:rsidR="002C532F" w:rsidRPr="00BF60B1" w14:paraId="62F56AAD" w14:textId="77777777" w:rsidTr="00EB0436">
        <w:trPr>
          <w:trHeight w:val="290"/>
        </w:trPr>
        <w:tc>
          <w:tcPr>
            <w:tcW w:w="6374" w:type="dxa"/>
            <w:vAlign w:val="center"/>
          </w:tcPr>
          <w:p w14:paraId="117821CF" w14:textId="43C8B7E5"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48B5BDEB" w14:textId="2A70CC21" w:rsidR="002C532F" w:rsidRPr="00BF60B1" w:rsidRDefault="002C532F" w:rsidP="002C532F">
            <w:pPr>
              <w:spacing w:before="0" w:after="0"/>
              <w:jc w:val="center"/>
              <w:rPr>
                <w:rFonts w:ascii="Arial Narrow" w:hAnsi="Arial Narrow" w:cs="Calibri"/>
              </w:rPr>
            </w:pPr>
            <w:r>
              <w:rPr>
                <w:rFonts w:ascii="Arial Narrow" w:hAnsi="Arial Narrow" w:cs="Calibri"/>
                <w:color w:val="000000"/>
              </w:rPr>
              <w:t>$2,564.33</w:t>
            </w:r>
          </w:p>
        </w:tc>
      </w:tr>
      <w:tr w:rsidR="002C532F" w:rsidRPr="00BF60B1" w14:paraId="0E4BF714" w14:textId="77777777" w:rsidTr="00EB0436">
        <w:trPr>
          <w:trHeight w:val="300"/>
        </w:trPr>
        <w:tc>
          <w:tcPr>
            <w:tcW w:w="6374" w:type="dxa"/>
            <w:vAlign w:val="center"/>
          </w:tcPr>
          <w:p w14:paraId="7C0A665B" w14:textId="6E8438B6" w:rsidR="002C532F" w:rsidRPr="00BF60B1" w:rsidRDefault="002C532F" w:rsidP="002C532F">
            <w:pPr>
              <w:spacing w:before="0" w:after="0"/>
              <w:rPr>
                <w:rFonts w:ascii="Arial Narrow" w:hAnsi="Arial Narrow" w:cs="Calibri"/>
              </w:rPr>
            </w:pPr>
            <w:r>
              <w:rPr>
                <w:rFonts w:ascii="Arial Narrow" w:hAnsi="Arial Narrow" w:cs="Calibri"/>
                <w:color w:val="000000"/>
              </w:rPr>
              <w:t>Incremental costs</w:t>
            </w:r>
          </w:p>
        </w:tc>
        <w:tc>
          <w:tcPr>
            <w:tcW w:w="3119" w:type="dxa"/>
            <w:gridSpan w:val="2"/>
            <w:vAlign w:val="center"/>
          </w:tcPr>
          <w:p w14:paraId="3605A666" w14:textId="4453C9A2" w:rsidR="002C532F" w:rsidRPr="00BF60B1" w:rsidRDefault="002C532F" w:rsidP="002C532F">
            <w:pPr>
              <w:spacing w:before="0" w:after="0"/>
              <w:jc w:val="center"/>
              <w:rPr>
                <w:rFonts w:ascii="Arial Narrow" w:hAnsi="Arial Narrow" w:cs="Calibri"/>
              </w:rPr>
            </w:pPr>
            <w:r>
              <w:rPr>
                <w:rFonts w:ascii="Arial Narrow" w:hAnsi="Arial Narrow" w:cs="Calibri"/>
                <w:color w:val="FF0000"/>
              </w:rPr>
              <w:t>-$531.19</w:t>
            </w:r>
          </w:p>
        </w:tc>
      </w:tr>
      <w:tr w:rsidR="007757B7" w:rsidRPr="00BF60B1" w14:paraId="68427734" w14:textId="77777777" w:rsidTr="2B5053E8">
        <w:trPr>
          <w:trHeight w:val="290"/>
        </w:trPr>
        <w:tc>
          <w:tcPr>
            <w:tcW w:w="9493" w:type="dxa"/>
            <w:gridSpan w:val="3"/>
            <w:vAlign w:val="center"/>
          </w:tcPr>
          <w:p w14:paraId="5CAA9F4C" w14:textId="7FA91E49" w:rsidR="007757B7" w:rsidRPr="00BF60B1" w:rsidRDefault="007757B7">
            <w:pPr>
              <w:spacing w:before="0" w:after="0"/>
              <w:rPr>
                <w:rFonts w:ascii="Arial Narrow" w:hAnsi="Arial Narrow" w:cs="Calibri"/>
              </w:rPr>
            </w:pPr>
            <w:r>
              <w:rPr>
                <w:rFonts w:ascii="Arial Narrow" w:hAnsi="Arial Narrow" w:cs="Calibri"/>
                <w:b/>
                <w:bCs/>
                <w:color w:val="000000"/>
              </w:rPr>
              <w:t>TSD births (/100,000 births)</w:t>
            </w:r>
          </w:p>
        </w:tc>
      </w:tr>
      <w:tr w:rsidR="002C532F" w:rsidRPr="00BF60B1" w14:paraId="24A5C761" w14:textId="77777777" w:rsidTr="00EB0436">
        <w:trPr>
          <w:trHeight w:val="290"/>
        </w:trPr>
        <w:tc>
          <w:tcPr>
            <w:tcW w:w="6374" w:type="dxa"/>
            <w:vAlign w:val="center"/>
          </w:tcPr>
          <w:p w14:paraId="58E3F35C" w14:textId="15FBE616"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3BFBF8B9" w14:textId="5D6B15CE" w:rsidR="002C532F" w:rsidRPr="00BF60B1" w:rsidRDefault="002C532F" w:rsidP="002C532F">
            <w:pPr>
              <w:spacing w:before="0" w:after="0"/>
              <w:jc w:val="center"/>
              <w:rPr>
                <w:rFonts w:ascii="Arial Narrow" w:hAnsi="Arial Narrow" w:cs="Calibri"/>
              </w:rPr>
            </w:pPr>
            <w:r>
              <w:rPr>
                <w:rFonts w:ascii="Arial Narrow" w:hAnsi="Arial Narrow" w:cs="Calibri"/>
                <w:color w:val="000000"/>
              </w:rPr>
              <w:t>30</w:t>
            </w:r>
          </w:p>
        </w:tc>
      </w:tr>
      <w:tr w:rsidR="002C532F" w:rsidRPr="00BF60B1" w14:paraId="1937369A" w14:textId="77777777" w:rsidTr="00EB0436">
        <w:trPr>
          <w:trHeight w:val="290"/>
        </w:trPr>
        <w:tc>
          <w:tcPr>
            <w:tcW w:w="6374" w:type="dxa"/>
            <w:vAlign w:val="center"/>
          </w:tcPr>
          <w:p w14:paraId="06DE9E0C" w14:textId="643D6613"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2561E29D" w14:textId="70306463" w:rsidR="002C532F" w:rsidRPr="00BF60B1" w:rsidRDefault="002C532F" w:rsidP="002C532F">
            <w:pPr>
              <w:spacing w:before="0" w:after="0"/>
              <w:jc w:val="center"/>
              <w:rPr>
                <w:rFonts w:ascii="Arial Narrow" w:hAnsi="Arial Narrow" w:cs="Calibri"/>
              </w:rPr>
            </w:pPr>
            <w:r>
              <w:rPr>
                <w:rFonts w:ascii="Arial Narrow" w:hAnsi="Arial Narrow" w:cs="Calibri"/>
                <w:color w:val="000000"/>
              </w:rPr>
              <w:t>40</w:t>
            </w:r>
          </w:p>
        </w:tc>
      </w:tr>
      <w:tr w:rsidR="002C532F" w:rsidRPr="00BF60B1" w14:paraId="20D21381" w14:textId="77777777" w:rsidTr="00EB0436">
        <w:trPr>
          <w:trHeight w:val="300"/>
        </w:trPr>
        <w:tc>
          <w:tcPr>
            <w:tcW w:w="6374" w:type="dxa"/>
            <w:vAlign w:val="center"/>
          </w:tcPr>
          <w:p w14:paraId="7636700F" w14:textId="0B9766F3"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2175DF8B" w14:textId="0B882108" w:rsidR="002C532F" w:rsidRPr="00BF60B1" w:rsidRDefault="002C532F" w:rsidP="002C532F">
            <w:pPr>
              <w:spacing w:before="0" w:after="0"/>
              <w:jc w:val="center"/>
              <w:rPr>
                <w:rFonts w:ascii="Arial Narrow" w:hAnsi="Arial Narrow" w:cs="Calibri"/>
              </w:rPr>
            </w:pPr>
            <w:r>
              <w:rPr>
                <w:rFonts w:ascii="Arial Narrow" w:hAnsi="Arial Narrow" w:cs="Calibri"/>
                <w:color w:val="000000"/>
              </w:rPr>
              <w:t>10</w:t>
            </w:r>
          </w:p>
        </w:tc>
      </w:tr>
      <w:tr w:rsidR="002C532F" w:rsidRPr="00BF60B1" w14:paraId="7A64BE58" w14:textId="77777777" w:rsidTr="00EB0436">
        <w:trPr>
          <w:trHeight w:val="315"/>
        </w:trPr>
        <w:tc>
          <w:tcPr>
            <w:tcW w:w="6374" w:type="dxa"/>
            <w:vAlign w:val="center"/>
          </w:tcPr>
          <w:p w14:paraId="36430645" w14:textId="7390673C"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(cost/TSD births averted)</w:t>
            </w:r>
          </w:p>
        </w:tc>
        <w:tc>
          <w:tcPr>
            <w:tcW w:w="3119" w:type="dxa"/>
            <w:gridSpan w:val="2"/>
            <w:vAlign w:val="center"/>
          </w:tcPr>
          <w:p w14:paraId="445446B4" w14:textId="0067D526"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3D65654F" w14:textId="77777777" w:rsidTr="2B5053E8">
        <w:trPr>
          <w:trHeight w:val="290"/>
        </w:trPr>
        <w:tc>
          <w:tcPr>
            <w:tcW w:w="9493" w:type="dxa"/>
            <w:gridSpan w:val="3"/>
            <w:vAlign w:val="center"/>
          </w:tcPr>
          <w:p w14:paraId="0F7B25BD" w14:textId="4E702EEE" w:rsidR="002C532F" w:rsidRPr="00BF60B1" w:rsidRDefault="002C532F" w:rsidP="002C532F">
            <w:pPr>
              <w:spacing w:before="0" w:after="0"/>
              <w:rPr>
                <w:rFonts w:ascii="Arial Narrow" w:hAnsi="Arial Narrow" w:cs="Calibri"/>
              </w:rPr>
            </w:pPr>
            <w:r>
              <w:rPr>
                <w:rFonts w:ascii="Arial Narrow" w:hAnsi="Arial Narrow" w:cs="Calibri"/>
                <w:b/>
                <w:bCs/>
                <w:color w:val="000000"/>
              </w:rPr>
              <w:t>CD births (/100,000 births)</w:t>
            </w:r>
            <w:r>
              <w:rPr>
                <w:rFonts w:ascii="Arial Narrow" w:hAnsi="Arial Narrow" w:cs="Calibri"/>
                <w:color w:val="000000"/>
              </w:rPr>
              <w:t> </w:t>
            </w:r>
          </w:p>
        </w:tc>
      </w:tr>
      <w:tr w:rsidR="002C532F" w:rsidRPr="00BF60B1" w14:paraId="04F5F930" w14:textId="77777777" w:rsidTr="00EB0436">
        <w:trPr>
          <w:trHeight w:val="290"/>
        </w:trPr>
        <w:tc>
          <w:tcPr>
            <w:tcW w:w="6374" w:type="dxa"/>
            <w:vAlign w:val="center"/>
          </w:tcPr>
          <w:p w14:paraId="75EC5F37" w14:textId="40C5411E"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080DB7D2" w14:textId="2A68D0D9" w:rsidR="002C532F" w:rsidRPr="00BF60B1" w:rsidRDefault="002C532F" w:rsidP="002C532F">
            <w:pPr>
              <w:spacing w:before="0" w:after="0"/>
              <w:jc w:val="center"/>
              <w:rPr>
                <w:rFonts w:ascii="Arial Narrow" w:hAnsi="Arial Narrow" w:cs="Calibri"/>
              </w:rPr>
            </w:pPr>
            <w:r>
              <w:rPr>
                <w:rFonts w:ascii="Arial Narrow" w:hAnsi="Arial Narrow" w:cs="Calibri"/>
                <w:color w:val="000000"/>
              </w:rPr>
              <w:t>11</w:t>
            </w:r>
          </w:p>
        </w:tc>
      </w:tr>
      <w:tr w:rsidR="002C532F" w:rsidRPr="00BF60B1" w14:paraId="6B36C857" w14:textId="77777777" w:rsidTr="00EB0436">
        <w:trPr>
          <w:trHeight w:val="290"/>
        </w:trPr>
        <w:tc>
          <w:tcPr>
            <w:tcW w:w="6374" w:type="dxa"/>
            <w:vAlign w:val="center"/>
          </w:tcPr>
          <w:p w14:paraId="6B6563F4" w14:textId="7B3F4BA5"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2BB8665A" w14:textId="1220D799" w:rsidR="002C532F" w:rsidRPr="00BF60B1" w:rsidRDefault="002C532F" w:rsidP="002C532F">
            <w:pPr>
              <w:spacing w:before="0" w:after="0"/>
              <w:jc w:val="center"/>
              <w:rPr>
                <w:rFonts w:ascii="Arial Narrow" w:hAnsi="Arial Narrow" w:cs="Calibri"/>
              </w:rPr>
            </w:pPr>
            <w:r>
              <w:rPr>
                <w:rFonts w:ascii="Arial Narrow" w:hAnsi="Arial Narrow" w:cs="Calibri"/>
                <w:color w:val="000000"/>
              </w:rPr>
              <w:t>16</w:t>
            </w:r>
          </w:p>
        </w:tc>
      </w:tr>
      <w:tr w:rsidR="002C532F" w:rsidRPr="00BF60B1" w14:paraId="177AB131" w14:textId="77777777" w:rsidTr="00EB0436">
        <w:trPr>
          <w:trHeight w:val="300"/>
        </w:trPr>
        <w:tc>
          <w:tcPr>
            <w:tcW w:w="6374" w:type="dxa"/>
            <w:vAlign w:val="center"/>
          </w:tcPr>
          <w:p w14:paraId="2FB0982F" w14:textId="25F019FE"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24CB102D" w14:textId="10FBC461" w:rsidR="002C532F" w:rsidRPr="00BF60B1" w:rsidRDefault="002C532F" w:rsidP="002C532F">
            <w:pPr>
              <w:spacing w:before="0" w:after="0"/>
              <w:jc w:val="center"/>
              <w:rPr>
                <w:rFonts w:ascii="Arial Narrow" w:hAnsi="Arial Narrow" w:cs="Calibri"/>
              </w:rPr>
            </w:pPr>
            <w:r>
              <w:rPr>
                <w:rFonts w:ascii="Arial Narrow" w:hAnsi="Arial Narrow" w:cs="Calibri"/>
                <w:color w:val="000000"/>
              </w:rPr>
              <w:t>5</w:t>
            </w:r>
          </w:p>
        </w:tc>
      </w:tr>
      <w:tr w:rsidR="002C532F" w:rsidRPr="00BF60B1" w14:paraId="0CF160D8" w14:textId="77777777" w:rsidTr="00EB0436">
        <w:trPr>
          <w:trHeight w:val="315"/>
        </w:trPr>
        <w:tc>
          <w:tcPr>
            <w:tcW w:w="6374" w:type="dxa"/>
            <w:vAlign w:val="center"/>
          </w:tcPr>
          <w:p w14:paraId="58EC59B3" w14:textId="5E881BD4"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(cost/CD births averted)</w:t>
            </w:r>
          </w:p>
        </w:tc>
        <w:tc>
          <w:tcPr>
            <w:tcW w:w="3119" w:type="dxa"/>
            <w:gridSpan w:val="2"/>
            <w:vAlign w:val="center"/>
          </w:tcPr>
          <w:p w14:paraId="7E3A0B01" w14:textId="25A96EC5"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293B29C5" w14:textId="77777777" w:rsidTr="2B5053E8">
        <w:trPr>
          <w:trHeight w:val="290"/>
        </w:trPr>
        <w:tc>
          <w:tcPr>
            <w:tcW w:w="9493" w:type="dxa"/>
            <w:gridSpan w:val="3"/>
            <w:vAlign w:val="center"/>
          </w:tcPr>
          <w:p w14:paraId="27D6C9F6" w14:textId="052B098F" w:rsidR="002C532F" w:rsidRPr="00BF60B1" w:rsidRDefault="002C532F" w:rsidP="002C532F">
            <w:pPr>
              <w:spacing w:before="0" w:after="0"/>
              <w:rPr>
                <w:rFonts w:ascii="Arial Narrow" w:hAnsi="Arial Narrow" w:cs="Calibri"/>
              </w:rPr>
            </w:pPr>
            <w:r>
              <w:rPr>
                <w:rFonts w:ascii="Arial Narrow" w:hAnsi="Arial Narrow" w:cs="Calibri"/>
                <w:b/>
                <w:bCs/>
                <w:color w:val="000000"/>
              </w:rPr>
              <w:t>FD births (/100,000 births)</w:t>
            </w:r>
            <w:r>
              <w:rPr>
                <w:rFonts w:ascii="Arial Narrow" w:hAnsi="Arial Narrow" w:cs="Calibri"/>
                <w:color w:val="000000"/>
              </w:rPr>
              <w:t> </w:t>
            </w:r>
          </w:p>
        </w:tc>
      </w:tr>
      <w:tr w:rsidR="002C532F" w:rsidRPr="00BF60B1" w14:paraId="31C883D8" w14:textId="77777777" w:rsidTr="00EB0436">
        <w:trPr>
          <w:trHeight w:val="290"/>
        </w:trPr>
        <w:tc>
          <w:tcPr>
            <w:tcW w:w="6374" w:type="dxa"/>
            <w:vAlign w:val="center"/>
          </w:tcPr>
          <w:p w14:paraId="5DBE3F4F" w14:textId="5F1A7124"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668FA43F" w14:textId="700B3183" w:rsidR="002C532F" w:rsidRPr="00BF60B1" w:rsidRDefault="002C532F" w:rsidP="002C532F">
            <w:pPr>
              <w:spacing w:before="0" w:after="0"/>
              <w:jc w:val="center"/>
              <w:rPr>
                <w:rFonts w:ascii="Arial Narrow" w:hAnsi="Arial Narrow" w:cs="Calibri"/>
              </w:rPr>
            </w:pPr>
            <w:r>
              <w:rPr>
                <w:rFonts w:ascii="Arial Narrow" w:hAnsi="Arial Narrow" w:cs="Calibri"/>
                <w:color w:val="000000"/>
              </w:rPr>
              <w:t>19</w:t>
            </w:r>
          </w:p>
        </w:tc>
      </w:tr>
      <w:tr w:rsidR="002C532F" w:rsidRPr="00BF60B1" w14:paraId="2D83B2E9" w14:textId="77777777" w:rsidTr="00EB0436">
        <w:trPr>
          <w:trHeight w:val="290"/>
        </w:trPr>
        <w:tc>
          <w:tcPr>
            <w:tcW w:w="6374" w:type="dxa"/>
            <w:vAlign w:val="center"/>
          </w:tcPr>
          <w:p w14:paraId="7476CA82" w14:textId="6714F429"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0C43E3A7" w14:textId="78776666" w:rsidR="002C532F" w:rsidRPr="00BF60B1" w:rsidRDefault="002C532F" w:rsidP="002C532F">
            <w:pPr>
              <w:spacing w:before="0" w:after="0"/>
              <w:jc w:val="center"/>
              <w:rPr>
                <w:rFonts w:ascii="Arial Narrow" w:hAnsi="Arial Narrow" w:cs="Calibri"/>
              </w:rPr>
            </w:pPr>
            <w:r>
              <w:rPr>
                <w:rFonts w:ascii="Arial Narrow" w:hAnsi="Arial Narrow" w:cs="Calibri"/>
                <w:color w:val="000000"/>
              </w:rPr>
              <w:t>28</w:t>
            </w:r>
          </w:p>
        </w:tc>
      </w:tr>
      <w:tr w:rsidR="002C532F" w:rsidRPr="00BF60B1" w14:paraId="2D09DA9F" w14:textId="77777777" w:rsidTr="00EB0436">
        <w:trPr>
          <w:trHeight w:val="300"/>
        </w:trPr>
        <w:tc>
          <w:tcPr>
            <w:tcW w:w="6374" w:type="dxa"/>
            <w:vAlign w:val="center"/>
          </w:tcPr>
          <w:p w14:paraId="3073535C" w14:textId="0E082F78"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5351CB89" w14:textId="17A041FB" w:rsidR="002C532F" w:rsidRPr="00BF60B1" w:rsidRDefault="002C532F" w:rsidP="002C532F">
            <w:pPr>
              <w:spacing w:before="0" w:after="0"/>
              <w:jc w:val="center"/>
              <w:rPr>
                <w:rFonts w:ascii="Arial Narrow" w:hAnsi="Arial Narrow" w:cs="Calibri"/>
              </w:rPr>
            </w:pPr>
            <w:r>
              <w:rPr>
                <w:rFonts w:ascii="Arial Narrow" w:hAnsi="Arial Narrow" w:cs="Calibri"/>
                <w:color w:val="000000"/>
              </w:rPr>
              <w:t>8</w:t>
            </w:r>
          </w:p>
        </w:tc>
      </w:tr>
      <w:tr w:rsidR="002C532F" w:rsidRPr="00BF60B1" w14:paraId="6855FB6A" w14:textId="77777777" w:rsidTr="00EB0436">
        <w:trPr>
          <w:trHeight w:val="315"/>
        </w:trPr>
        <w:tc>
          <w:tcPr>
            <w:tcW w:w="6374" w:type="dxa"/>
            <w:vAlign w:val="center"/>
          </w:tcPr>
          <w:p w14:paraId="6E14DA5A" w14:textId="64D3FA8B"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(cost/FD births averted)</w:t>
            </w:r>
          </w:p>
        </w:tc>
        <w:tc>
          <w:tcPr>
            <w:tcW w:w="3119" w:type="dxa"/>
            <w:gridSpan w:val="2"/>
            <w:vAlign w:val="center"/>
          </w:tcPr>
          <w:p w14:paraId="3109B1AC" w14:textId="7A0FF573"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435DC26C" w14:textId="77777777" w:rsidTr="2B5053E8">
        <w:trPr>
          <w:trHeight w:val="290"/>
        </w:trPr>
        <w:tc>
          <w:tcPr>
            <w:tcW w:w="9493" w:type="dxa"/>
            <w:gridSpan w:val="3"/>
            <w:vAlign w:val="center"/>
          </w:tcPr>
          <w:p w14:paraId="6399C31F" w14:textId="5151A9D2" w:rsidR="002C532F" w:rsidRPr="00BF60B1" w:rsidRDefault="002C532F" w:rsidP="002C532F">
            <w:pPr>
              <w:spacing w:before="0" w:after="0"/>
              <w:rPr>
                <w:rFonts w:ascii="Arial Narrow" w:hAnsi="Arial Narrow" w:cs="Calibri"/>
                <w:b/>
                <w:bCs/>
              </w:rPr>
            </w:pPr>
            <w:r>
              <w:rPr>
                <w:rFonts w:ascii="Arial Narrow" w:hAnsi="Arial Narrow" w:cs="Calibri"/>
                <w:b/>
                <w:bCs/>
                <w:color w:val="000000"/>
              </w:rPr>
              <w:t>MLD births (/100,000 births)</w:t>
            </w:r>
            <w:r>
              <w:rPr>
                <w:rFonts w:ascii="Arial Narrow" w:hAnsi="Arial Narrow" w:cs="Calibri"/>
                <w:color w:val="000000"/>
              </w:rPr>
              <w:t> </w:t>
            </w:r>
          </w:p>
        </w:tc>
      </w:tr>
      <w:tr w:rsidR="002C532F" w:rsidRPr="00BF60B1" w14:paraId="179C3667" w14:textId="77777777" w:rsidTr="00EB0436">
        <w:trPr>
          <w:trHeight w:val="290"/>
        </w:trPr>
        <w:tc>
          <w:tcPr>
            <w:tcW w:w="6374" w:type="dxa"/>
            <w:vAlign w:val="center"/>
          </w:tcPr>
          <w:p w14:paraId="7EF87E6D" w14:textId="44ECBCAC"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1E170998" w14:textId="5148309E"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r>
      <w:tr w:rsidR="002C532F" w:rsidRPr="00BF60B1" w14:paraId="62128A23" w14:textId="77777777" w:rsidTr="00EB0436">
        <w:trPr>
          <w:trHeight w:val="290"/>
        </w:trPr>
        <w:tc>
          <w:tcPr>
            <w:tcW w:w="6374" w:type="dxa"/>
            <w:vAlign w:val="center"/>
          </w:tcPr>
          <w:p w14:paraId="5EDFCD7B" w14:textId="40075D61"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4ADACD23" w14:textId="597DF058"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10A0E604" w14:textId="77777777" w:rsidTr="00EB0436">
        <w:trPr>
          <w:trHeight w:val="300"/>
        </w:trPr>
        <w:tc>
          <w:tcPr>
            <w:tcW w:w="6374" w:type="dxa"/>
            <w:vAlign w:val="center"/>
          </w:tcPr>
          <w:p w14:paraId="7C4A42A5" w14:textId="2FEE37F4"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47EB9D4A" w14:textId="4F7A3CBB" w:rsidR="002C532F" w:rsidRPr="00BF60B1" w:rsidRDefault="002C532F" w:rsidP="002C532F">
            <w:pPr>
              <w:spacing w:before="0" w:after="0"/>
              <w:jc w:val="center"/>
              <w:rPr>
                <w:rFonts w:ascii="Arial Narrow" w:hAnsi="Arial Narrow" w:cs="Calibri"/>
              </w:rPr>
            </w:pPr>
            <w:r>
              <w:rPr>
                <w:rFonts w:ascii="Arial Narrow" w:hAnsi="Arial Narrow" w:cs="Calibri"/>
                <w:color w:val="000000"/>
              </w:rPr>
              <w:t>1</w:t>
            </w:r>
          </w:p>
        </w:tc>
      </w:tr>
      <w:tr w:rsidR="002C532F" w:rsidRPr="00BF60B1" w14:paraId="34824690" w14:textId="77777777" w:rsidTr="00EB0436">
        <w:trPr>
          <w:trHeight w:val="315"/>
        </w:trPr>
        <w:tc>
          <w:tcPr>
            <w:tcW w:w="6374" w:type="dxa"/>
            <w:vAlign w:val="center"/>
          </w:tcPr>
          <w:p w14:paraId="07A4EE44" w14:textId="412F3D32"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(cost/MLD births averted)</w:t>
            </w:r>
          </w:p>
        </w:tc>
        <w:tc>
          <w:tcPr>
            <w:tcW w:w="3119" w:type="dxa"/>
            <w:gridSpan w:val="2"/>
            <w:vAlign w:val="center"/>
          </w:tcPr>
          <w:p w14:paraId="5D554CC4" w14:textId="1F78A6D4"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14D1DB18" w14:textId="77777777" w:rsidTr="2B5053E8">
        <w:trPr>
          <w:trHeight w:val="290"/>
        </w:trPr>
        <w:tc>
          <w:tcPr>
            <w:tcW w:w="9493" w:type="dxa"/>
            <w:gridSpan w:val="3"/>
            <w:vAlign w:val="center"/>
          </w:tcPr>
          <w:p w14:paraId="3494D934" w14:textId="49FB11A2" w:rsidR="002C532F" w:rsidRPr="00BF60B1" w:rsidRDefault="002C532F" w:rsidP="002C532F">
            <w:pPr>
              <w:spacing w:before="0" w:after="0"/>
              <w:rPr>
                <w:rFonts w:ascii="Arial Narrow" w:hAnsi="Arial Narrow" w:cs="Calibri"/>
                <w:b/>
                <w:bCs/>
              </w:rPr>
            </w:pPr>
            <w:r>
              <w:rPr>
                <w:rFonts w:ascii="Arial Narrow" w:hAnsi="Arial Narrow" w:cs="Calibri"/>
                <w:b/>
                <w:bCs/>
                <w:color w:val="000000"/>
              </w:rPr>
              <w:t>GSD1 births (/100,000 births)</w:t>
            </w:r>
          </w:p>
        </w:tc>
      </w:tr>
      <w:tr w:rsidR="002C532F" w:rsidRPr="00BF60B1" w14:paraId="2DA7B59B" w14:textId="77777777" w:rsidTr="00EB0436">
        <w:trPr>
          <w:trHeight w:val="290"/>
        </w:trPr>
        <w:tc>
          <w:tcPr>
            <w:tcW w:w="6374" w:type="dxa"/>
            <w:vAlign w:val="center"/>
          </w:tcPr>
          <w:p w14:paraId="51CEDBF1" w14:textId="3FE045E6"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07D89D8C" w14:textId="72A4E522" w:rsidR="002C532F" w:rsidRPr="00BF60B1" w:rsidRDefault="002C532F" w:rsidP="002C532F">
            <w:pPr>
              <w:spacing w:before="0" w:after="0"/>
              <w:jc w:val="center"/>
              <w:rPr>
                <w:rFonts w:ascii="Arial Narrow" w:hAnsi="Arial Narrow" w:cs="Calibri"/>
              </w:rPr>
            </w:pPr>
            <w:r>
              <w:rPr>
                <w:rFonts w:ascii="Arial Narrow" w:hAnsi="Arial Narrow" w:cs="Calibri"/>
                <w:color w:val="000000"/>
              </w:rPr>
              <w:t>164</w:t>
            </w:r>
          </w:p>
        </w:tc>
      </w:tr>
      <w:tr w:rsidR="002C532F" w:rsidRPr="00BF60B1" w14:paraId="6F2957BC" w14:textId="77777777" w:rsidTr="00EB0436">
        <w:trPr>
          <w:trHeight w:val="290"/>
        </w:trPr>
        <w:tc>
          <w:tcPr>
            <w:tcW w:w="6374" w:type="dxa"/>
            <w:vAlign w:val="center"/>
          </w:tcPr>
          <w:p w14:paraId="15EECA36" w14:textId="3EB356E9"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04D0375D" w14:textId="3AF74C8D" w:rsidR="002C532F" w:rsidRPr="00BF60B1" w:rsidRDefault="002C532F" w:rsidP="002C532F">
            <w:pPr>
              <w:spacing w:before="0" w:after="0"/>
              <w:jc w:val="center"/>
              <w:rPr>
                <w:rFonts w:ascii="Arial Narrow" w:hAnsi="Arial Narrow" w:cs="Calibri"/>
              </w:rPr>
            </w:pPr>
            <w:r>
              <w:rPr>
                <w:rFonts w:ascii="Arial Narrow" w:hAnsi="Arial Narrow" w:cs="Calibri"/>
                <w:color w:val="000000"/>
              </w:rPr>
              <w:t>194</w:t>
            </w:r>
          </w:p>
        </w:tc>
      </w:tr>
      <w:tr w:rsidR="002C532F" w:rsidRPr="00BF60B1" w14:paraId="22A42EA5" w14:textId="77777777" w:rsidTr="00EB0436">
        <w:trPr>
          <w:trHeight w:val="300"/>
        </w:trPr>
        <w:tc>
          <w:tcPr>
            <w:tcW w:w="6374" w:type="dxa"/>
            <w:vAlign w:val="center"/>
          </w:tcPr>
          <w:p w14:paraId="2017C8DA" w14:textId="25CD9641"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4B8108EB" w14:textId="3C409929" w:rsidR="002C532F" w:rsidRPr="00BF60B1" w:rsidRDefault="002C532F" w:rsidP="002C532F">
            <w:pPr>
              <w:spacing w:before="0" w:after="0"/>
              <w:jc w:val="center"/>
              <w:rPr>
                <w:rFonts w:ascii="Arial Narrow" w:hAnsi="Arial Narrow" w:cs="Calibri"/>
              </w:rPr>
            </w:pPr>
            <w:r>
              <w:rPr>
                <w:rFonts w:ascii="Arial Narrow" w:hAnsi="Arial Narrow" w:cs="Calibri"/>
                <w:color w:val="000000"/>
              </w:rPr>
              <w:t>30</w:t>
            </w:r>
          </w:p>
        </w:tc>
      </w:tr>
      <w:tr w:rsidR="002C532F" w:rsidRPr="00BF60B1" w14:paraId="54A2F3AD" w14:textId="77777777" w:rsidTr="00EB0436">
        <w:trPr>
          <w:trHeight w:val="315"/>
        </w:trPr>
        <w:tc>
          <w:tcPr>
            <w:tcW w:w="6374" w:type="dxa"/>
            <w:vAlign w:val="center"/>
          </w:tcPr>
          <w:p w14:paraId="0F9E230C" w14:textId="19E65E6D"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(cost/GSD1 births averted)</w:t>
            </w:r>
          </w:p>
        </w:tc>
        <w:tc>
          <w:tcPr>
            <w:tcW w:w="3119" w:type="dxa"/>
            <w:gridSpan w:val="2"/>
            <w:vAlign w:val="center"/>
          </w:tcPr>
          <w:p w14:paraId="40B33231" w14:textId="15408EDE"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5008B991" w14:textId="77777777" w:rsidTr="2B5053E8">
        <w:trPr>
          <w:trHeight w:val="290"/>
        </w:trPr>
        <w:tc>
          <w:tcPr>
            <w:tcW w:w="9493" w:type="dxa"/>
            <w:gridSpan w:val="3"/>
            <w:vAlign w:val="center"/>
          </w:tcPr>
          <w:p w14:paraId="48800488" w14:textId="0ED4AF9A" w:rsidR="002C532F" w:rsidRPr="00BF60B1" w:rsidRDefault="002C532F" w:rsidP="002C532F">
            <w:pPr>
              <w:spacing w:before="0" w:after="0"/>
              <w:rPr>
                <w:rFonts w:ascii="Arial Narrow" w:hAnsi="Arial Narrow" w:cs="Calibri"/>
                <w:b/>
                <w:bCs/>
              </w:rPr>
            </w:pPr>
            <w:r>
              <w:rPr>
                <w:rFonts w:ascii="Arial Narrow" w:hAnsi="Arial Narrow" w:cs="Calibri"/>
                <w:b/>
                <w:bCs/>
                <w:color w:val="000000"/>
              </w:rPr>
              <w:t>FA births (/100,000 births)</w:t>
            </w:r>
          </w:p>
        </w:tc>
      </w:tr>
      <w:tr w:rsidR="002C532F" w:rsidRPr="00BF60B1" w14:paraId="11246C2D" w14:textId="77777777" w:rsidTr="00EB0436">
        <w:trPr>
          <w:trHeight w:val="290"/>
        </w:trPr>
        <w:tc>
          <w:tcPr>
            <w:tcW w:w="6374" w:type="dxa"/>
            <w:vAlign w:val="center"/>
          </w:tcPr>
          <w:p w14:paraId="79C3D5CD" w14:textId="10615E9F"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68EE096A" w14:textId="68B58D5F"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4F06BE6F" w14:textId="77777777" w:rsidTr="00EB0436">
        <w:trPr>
          <w:trHeight w:val="290"/>
        </w:trPr>
        <w:tc>
          <w:tcPr>
            <w:tcW w:w="6374" w:type="dxa"/>
            <w:vAlign w:val="center"/>
          </w:tcPr>
          <w:p w14:paraId="3D56BBC3" w14:textId="4F2086CB"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436DF145" w14:textId="17FD7498" w:rsidR="002C532F" w:rsidRPr="00BF60B1" w:rsidRDefault="002C532F" w:rsidP="002C532F">
            <w:pPr>
              <w:spacing w:before="0" w:after="0"/>
              <w:jc w:val="center"/>
              <w:rPr>
                <w:rFonts w:ascii="Arial Narrow" w:hAnsi="Arial Narrow" w:cs="Calibri"/>
              </w:rPr>
            </w:pPr>
            <w:r>
              <w:rPr>
                <w:rFonts w:ascii="Arial Narrow" w:hAnsi="Arial Narrow" w:cs="Calibri"/>
                <w:color w:val="000000"/>
              </w:rPr>
              <w:t>4</w:t>
            </w:r>
          </w:p>
        </w:tc>
      </w:tr>
      <w:tr w:rsidR="002C532F" w:rsidRPr="00BF60B1" w14:paraId="662CD0D1" w14:textId="77777777" w:rsidTr="00EB0436">
        <w:trPr>
          <w:trHeight w:val="300"/>
        </w:trPr>
        <w:tc>
          <w:tcPr>
            <w:tcW w:w="6374" w:type="dxa"/>
            <w:vAlign w:val="center"/>
          </w:tcPr>
          <w:p w14:paraId="50C497BE" w14:textId="7A646CC1"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20FE31B0" w14:textId="716EA117"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5EDC5AB4" w14:textId="77777777" w:rsidTr="00EB0436">
        <w:trPr>
          <w:trHeight w:val="315"/>
        </w:trPr>
        <w:tc>
          <w:tcPr>
            <w:tcW w:w="6374" w:type="dxa"/>
            <w:vAlign w:val="center"/>
          </w:tcPr>
          <w:p w14:paraId="6053C342" w14:textId="2031C2A2"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(cost/FA births averted)</w:t>
            </w:r>
          </w:p>
        </w:tc>
        <w:tc>
          <w:tcPr>
            <w:tcW w:w="3119" w:type="dxa"/>
            <w:gridSpan w:val="2"/>
            <w:vAlign w:val="center"/>
          </w:tcPr>
          <w:p w14:paraId="087692F2" w14:textId="3C26E033"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2FDF9CCC" w14:textId="77777777" w:rsidTr="2B5053E8">
        <w:trPr>
          <w:trHeight w:val="290"/>
        </w:trPr>
        <w:tc>
          <w:tcPr>
            <w:tcW w:w="9493" w:type="dxa"/>
            <w:gridSpan w:val="3"/>
            <w:vAlign w:val="center"/>
          </w:tcPr>
          <w:p w14:paraId="33EEDC1A" w14:textId="066DEB12" w:rsidR="002C532F" w:rsidRPr="00BF60B1" w:rsidRDefault="002C532F" w:rsidP="002C532F">
            <w:pPr>
              <w:spacing w:before="0" w:after="0"/>
              <w:rPr>
                <w:rFonts w:ascii="Arial Narrow" w:hAnsi="Arial Narrow" w:cs="Calibri"/>
                <w:b/>
                <w:bCs/>
              </w:rPr>
            </w:pPr>
            <w:r>
              <w:rPr>
                <w:rFonts w:ascii="Arial Narrow" w:hAnsi="Arial Narrow" w:cs="Calibri"/>
                <w:b/>
                <w:bCs/>
                <w:color w:val="000000"/>
              </w:rPr>
              <w:t>GD births (/100,000 births)</w:t>
            </w:r>
            <w:r>
              <w:rPr>
                <w:rFonts w:ascii="Arial Narrow" w:hAnsi="Arial Narrow" w:cs="Calibri"/>
                <w:color w:val="000000"/>
              </w:rPr>
              <w:t> </w:t>
            </w:r>
          </w:p>
        </w:tc>
      </w:tr>
      <w:tr w:rsidR="002C532F" w:rsidRPr="00BF60B1" w14:paraId="539D067B" w14:textId="77777777" w:rsidTr="00EB0436">
        <w:trPr>
          <w:trHeight w:val="290"/>
        </w:trPr>
        <w:tc>
          <w:tcPr>
            <w:tcW w:w="6374" w:type="dxa"/>
            <w:vAlign w:val="center"/>
          </w:tcPr>
          <w:p w14:paraId="308EFE79" w14:textId="41DFC889"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78C542EB" w14:textId="3A73CD49" w:rsidR="002C532F" w:rsidRPr="00BF60B1" w:rsidRDefault="002C532F" w:rsidP="002C532F">
            <w:pPr>
              <w:spacing w:before="0" w:after="0"/>
              <w:jc w:val="center"/>
              <w:rPr>
                <w:rFonts w:ascii="Arial Narrow" w:hAnsi="Arial Narrow" w:cs="Calibri"/>
              </w:rPr>
            </w:pPr>
            <w:r>
              <w:rPr>
                <w:rFonts w:ascii="Arial Narrow" w:hAnsi="Arial Narrow" w:cs="Calibri"/>
                <w:color w:val="000000"/>
              </w:rPr>
              <w:t>35</w:t>
            </w:r>
          </w:p>
        </w:tc>
      </w:tr>
      <w:tr w:rsidR="002C532F" w:rsidRPr="00BF60B1" w14:paraId="38604EDB" w14:textId="77777777" w:rsidTr="00EB0436">
        <w:trPr>
          <w:trHeight w:val="290"/>
        </w:trPr>
        <w:tc>
          <w:tcPr>
            <w:tcW w:w="6374" w:type="dxa"/>
            <w:vAlign w:val="center"/>
          </w:tcPr>
          <w:p w14:paraId="4A0E777F" w14:textId="6CA2CC87" w:rsidR="002C532F" w:rsidRPr="00BF60B1" w:rsidRDefault="002C532F" w:rsidP="002C532F">
            <w:pPr>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280B22AC" w14:textId="07972B4F" w:rsidR="002C532F" w:rsidRPr="00BF60B1" w:rsidRDefault="002C532F" w:rsidP="002C532F">
            <w:pPr>
              <w:spacing w:before="0" w:after="0"/>
              <w:jc w:val="center"/>
              <w:rPr>
                <w:rFonts w:ascii="Arial Narrow" w:hAnsi="Arial Narrow" w:cs="Calibri"/>
              </w:rPr>
            </w:pPr>
            <w:r>
              <w:rPr>
                <w:rFonts w:ascii="Arial Narrow" w:hAnsi="Arial Narrow" w:cs="Calibri"/>
                <w:color w:val="000000"/>
              </w:rPr>
              <w:t>76</w:t>
            </w:r>
          </w:p>
        </w:tc>
      </w:tr>
      <w:tr w:rsidR="002C532F" w:rsidRPr="00BF60B1" w14:paraId="6C7F0865" w14:textId="77777777" w:rsidTr="00EB0436">
        <w:trPr>
          <w:trHeight w:val="300"/>
        </w:trPr>
        <w:tc>
          <w:tcPr>
            <w:tcW w:w="6374" w:type="dxa"/>
            <w:vAlign w:val="center"/>
          </w:tcPr>
          <w:p w14:paraId="61BDEBE4" w14:textId="0F9EC8B4"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4E0F7CD8" w14:textId="4D653B9B" w:rsidR="002C532F" w:rsidRPr="00BF60B1" w:rsidRDefault="002C532F" w:rsidP="002C532F">
            <w:pPr>
              <w:spacing w:before="0" w:after="0"/>
              <w:jc w:val="center"/>
              <w:rPr>
                <w:rFonts w:ascii="Arial Narrow" w:hAnsi="Arial Narrow" w:cs="Calibri"/>
              </w:rPr>
            </w:pPr>
            <w:r>
              <w:rPr>
                <w:rFonts w:ascii="Arial Narrow" w:hAnsi="Arial Narrow" w:cs="Calibri"/>
                <w:color w:val="000000"/>
              </w:rPr>
              <w:t>41</w:t>
            </w:r>
          </w:p>
        </w:tc>
      </w:tr>
      <w:tr w:rsidR="002C532F" w:rsidRPr="00BF60B1" w14:paraId="6361E7D7" w14:textId="77777777" w:rsidTr="00EB0436">
        <w:trPr>
          <w:trHeight w:val="315"/>
        </w:trPr>
        <w:tc>
          <w:tcPr>
            <w:tcW w:w="6374" w:type="dxa"/>
            <w:vAlign w:val="center"/>
          </w:tcPr>
          <w:p w14:paraId="60720A11" w14:textId="13C2BFAF"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(cost/GD births averted)</w:t>
            </w:r>
          </w:p>
        </w:tc>
        <w:tc>
          <w:tcPr>
            <w:tcW w:w="3119" w:type="dxa"/>
            <w:gridSpan w:val="2"/>
            <w:vAlign w:val="center"/>
          </w:tcPr>
          <w:p w14:paraId="11F9264A" w14:textId="3FAC9535"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5A7B4F09" w14:textId="77777777" w:rsidTr="2B5053E8">
        <w:trPr>
          <w:trHeight w:val="290"/>
        </w:trPr>
        <w:tc>
          <w:tcPr>
            <w:tcW w:w="9493" w:type="dxa"/>
            <w:gridSpan w:val="3"/>
            <w:vAlign w:val="center"/>
          </w:tcPr>
          <w:p w14:paraId="57315709" w14:textId="1EC5EE36" w:rsidR="002C532F" w:rsidRPr="00BF60B1" w:rsidRDefault="002C532F" w:rsidP="002C532F">
            <w:pPr>
              <w:spacing w:before="0" w:after="0"/>
              <w:rPr>
                <w:rFonts w:ascii="Arial Narrow" w:hAnsi="Arial Narrow" w:cs="Calibri"/>
                <w:b/>
                <w:bCs/>
              </w:rPr>
            </w:pPr>
            <w:r>
              <w:rPr>
                <w:rFonts w:ascii="Arial Narrow" w:hAnsi="Arial Narrow" w:cs="Calibri"/>
                <w:b/>
                <w:bCs/>
                <w:color w:val="000000"/>
              </w:rPr>
              <w:t>NPD births (/100,000 births)</w:t>
            </w:r>
            <w:r>
              <w:rPr>
                <w:rFonts w:ascii="Arial Narrow" w:hAnsi="Arial Narrow" w:cs="Calibri"/>
                <w:color w:val="000000"/>
              </w:rPr>
              <w:t> </w:t>
            </w:r>
          </w:p>
        </w:tc>
      </w:tr>
      <w:tr w:rsidR="002C532F" w:rsidRPr="00BF60B1" w14:paraId="19CBD6F6" w14:textId="77777777" w:rsidTr="00EB0436">
        <w:trPr>
          <w:trHeight w:val="300"/>
        </w:trPr>
        <w:tc>
          <w:tcPr>
            <w:tcW w:w="6374" w:type="dxa"/>
            <w:vAlign w:val="center"/>
          </w:tcPr>
          <w:p w14:paraId="4793F6AB" w14:textId="2A504D4F" w:rsidR="002C532F" w:rsidRPr="00BF60B1" w:rsidRDefault="002C532F" w:rsidP="002C532F">
            <w:pPr>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126AD544" w14:textId="5AE4DB4F"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339CF9B6" w14:textId="77777777" w:rsidTr="00EB0436">
        <w:trPr>
          <w:trHeight w:val="300"/>
        </w:trPr>
        <w:tc>
          <w:tcPr>
            <w:tcW w:w="6374" w:type="dxa"/>
            <w:vAlign w:val="center"/>
          </w:tcPr>
          <w:p w14:paraId="3C025C1B" w14:textId="09C2CBC8" w:rsidR="002C532F" w:rsidRPr="00BF60B1" w:rsidRDefault="002C532F" w:rsidP="002C532F">
            <w:pPr>
              <w:spacing w:before="0" w:after="0"/>
              <w:rPr>
                <w:rFonts w:ascii="Arial Narrow" w:hAnsi="Arial Narrow" w:cs="Calibri"/>
              </w:rPr>
            </w:pPr>
            <w:r>
              <w:rPr>
                <w:rFonts w:ascii="Arial Narrow" w:hAnsi="Arial Narrow" w:cs="Calibri"/>
                <w:color w:val="000000"/>
              </w:rPr>
              <w:lastRenderedPageBreak/>
              <w:t>CF/SMA/FXS Testing Only</w:t>
            </w:r>
          </w:p>
        </w:tc>
        <w:tc>
          <w:tcPr>
            <w:tcW w:w="3119" w:type="dxa"/>
            <w:gridSpan w:val="2"/>
            <w:vAlign w:val="center"/>
          </w:tcPr>
          <w:p w14:paraId="41944F40" w14:textId="18BE435D" w:rsidR="002C532F" w:rsidRPr="00BF60B1" w:rsidRDefault="002C532F" w:rsidP="002C532F">
            <w:pPr>
              <w:spacing w:before="0" w:after="0"/>
              <w:jc w:val="center"/>
              <w:rPr>
                <w:rFonts w:ascii="Arial Narrow" w:hAnsi="Arial Narrow" w:cs="Calibri"/>
              </w:rPr>
            </w:pPr>
            <w:r>
              <w:rPr>
                <w:rFonts w:ascii="Arial Narrow" w:hAnsi="Arial Narrow" w:cs="Calibri"/>
                <w:color w:val="000000"/>
              </w:rPr>
              <w:t>4</w:t>
            </w:r>
          </w:p>
        </w:tc>
      </w:tr>
      <w:tr w:rsidR="002C532F" w:rsidRPr="00BF60B1" w14:paraId="69982CB7" w14:textId="77777777" w:rsidTr="00EB0436">
        <w:trPr>
          <w:trHeight w:val="300"/>
        </w:trPr>
        <w:tc>
          <w:tcPr>
            <w:tcW w:w="6374" w:type="dxa"/>
            <w:vAlign w:val="center"/>
          </w:tcPr>
          <w:p w14:paraId="28247D6E" w14:textId="3C021F02" w:rsidR="002C532F" w:rsidRPr="00BF60B1" w:rsidRDefault="002C532F" w:rsidP="002C532F">
            <w:pPr>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1AECB549" w14:textId="562AFC35" w:rsidR="002C532F" w:rsidRPr="00BF60B1" w:rsidRDefault="002C532F" w:rsidP="002C532F">
            <w:pPr>
              <w:spacing w:before="0" w:after="0"/>
              <w:jc w:val="center"/>
              <w:rPr>
                <w:rFonts w:ascii="Arial Narrow" w:hAnsi="Arial Narrow" w:cs="Calibri"/>
              </w:rPr>
            </w:pPr>
            <w:r>
              <w:rPr>
                <w:rFonts w:ascii="Arial Narrow" w:hAnsi="Arial Narrow" w:cs="Calibri"/>
                <w:color w:val="000000"/>
              </w:rPr>
              <w:t>2</w:t>
            </w:r>
          </w:p>
        </w:tc>
      </w:tr>
      <w:tr w:rsidR="002C532F" w:rsidRPr="00BF60B1" w14:paraId="152DE6A7" w14:textId="77777777" w:rsidTr="00EB0436">
        <w:trPr>
          <w:trHeight w:val="315"/>
        </w:trPr>
        <w:tc>
          <w:tcPr>
            <w:tcW w:w="6374" w:type="dxa"/>
            <w:vAlign w:val="center"/>
          </w:tcPr>
          <w:p w14:paraId="0DF853DB" w14:textId="338AA0CC" w:rsidR="002C532F" w:rsidRPr="00BF60B1" w:rsidRDefault="002C532F" w:rsidP="002C532F">
            <w:pPr>
              <w:spacing w:before="0" w:after="0"/>
              <w:rPr>
                <w:rFonts w:ascii="Arial Narrow" w:hAnsi="Arial Narrow" w:cs="Calibri"/>
                <w:b/>
                <w:bCs/>
              </w:rPr>
            </w:pPr>
            <w:r>
              <w:rPr>
                <w:rFonts w:ascii="Arial Narrow" w:hAnsi="Arial Narrow" w:cs="Calibri"/>
                <w:b/>
                <w:bCs/>
                <w:color w:val="000000"/>
              </w:rPr>
              <w:t>ICER (cost/NPD births averted)</w:t>
            </w:r>
          </w:p>
        </w:tc>
        <w:tc>
          <w:tcPr>
            <w:tcW w:w="3119" w:type="dxa"/>
            <w:gridSpan w:val="2"/>
            <w:vAlign w:val="center"/>
          </w:tcPr>
          <w:p w14:paraId="0AB5B734" w14:textId="4A1A6AA6" w:rsidR="002C532F" w:rsidRPr="00BF60B1" w:rsidRDefault="002C532F" w:rsidP="002C532F">
            <w:pPr>
              <w:spacing w:before="0" w:after="0"/>
              <w:jc w:val="center"/>
              <w:rPr>
                <w:rFonts w:ascii="Arial Narrow" w:hAnsi="Arial Narrow" w:cs="Calibri"/>
                <w:b/>
                <w:bCs/>
              </w:rPr>
            </w:pPr>
            <w:r>
              <w:rPr>
                <w:rFonts w:ascii="Arial Narrow" w:hAnsi="Arial Narrow" w:cs="Calibri"/>
                <w:b/>
                <w:bCs/>
                <w:color w:val="000000"/>
              </w:rPr>
              <w:t>Dominant</w:t>
            </w:r>
          </w:p>
        </w:tc>
      </w:tr>
      <w:tr w:rsidR="002C532F" w:rsidRPr="00BF60B1" w14:paraId="09B19C8C" w14:textId="77777777" w:rsidTr="2B5053E8">
        <w:trPr>
          <w:trHeight w:val="290"/>
        </w:trPr>
        <w:tc>
          <w:tcPr>
            <w:tcW w:w="9493" w:type="dxa"/>
            <w:gridSpan w:val="3"/>
            <w:vAlign w:val="center"/>
          </w:tcPr>
          <w:p w14:paraId="30207AC5" w14:textId="3CF8521F" w:rsidR="002C532F" w:rsidRPr="00BF60B1" w:rsidRDefault="002C532F" w:rsidP="002C532F">
            <w:pPr>
              <w:keepNext/>
              <w:spacing w:before="0" w:after="0"/>
              <w:rPr>
                <w:rFonts w:ascii="Arial Narrow" w:hAnsi="Arial Narrow" w:cs="Calibri"/>
                <w:b/>
                <w:bCs/>
              </w:rPr>
            </w:pPr>
            <w:r>
              <w:rPr>
                <w:rFonts w:ascii="Arial Narrow" w:hAnsi="Arial Narrow" w:cs="Calibri"/>
                <w:b/>
                <w:bCs/>
                <w:color w:val="000000"/>
              </w:rPr>
              <w:t>BS births (/100,000 births)</w:t>
            </w:r>
            <w:r>
              <w:rPr>
                <w:rFonts w:ascii="Arial Narrow" w:hAnsi="Arial Narrow" w:cs="Calibri"/>
                <w:color w:val="000000"/>
              </w:rPr>
              <w:t> </w:t>
            </w:r>
          </w:p>
        </w:tc>
      </w:tr>
      <w:tr w:rsidR="002C532F" w:rsidRPr="00BF60B1" w14:paraId="2ED34D08" w14:textId="77777777" w:rsidTr="00EB0436">
        <w:trPr>
          <w:trHeight w:val="300"/>
        </w:trPr>
        <w:tc>
          <w:tcPr>
            <w:tcW w:w="6374" w:type="dxa"/>
            <w:vAlign w:val="center"/>
          </w:tcPr>
          <w:p w14:paraId="7DCF656C" w14:textId="1D733C71" w:rsidR="002C532F" w:rsidRPr="00BF60B1" w:rsidRDefault="002C532F" w:rsidP="002C532F">
            <w:pPr>
              <w:keepNext/>
              <w:spacing w:before="0" w:after="0"/>
              <w:rPr>
                <w:rFonts w:ascii="Arial Narrow" w:hAnsi="Arial Narrow" w:cs="Calibri"/>
              </w:rPr>
            </w:pPr>
            <w:r>
              <w:rPr>
                <w:rFonts w:ascii="Arial Narrow" w:hAnsi="Arial Narrow" w:cs="Calibri"/>
                <w:color w:val="000000"/>
              </w:rPr>
              <w:t>Carrier Testing</w:t>
            </w:r>
          </w:p>
        </w:tc>
        <w:tc>
          <w:tcPr>
            <w:tcW w:w="3119" w:type="dxa"/>
            <w:gridSpan w:val="2"/>
            <w:vAlign w:val="center"/>
          </w:tcPr>
          <w:p w14:paraId="1872D3C7" w14:textId="727A43A2" w:rsidR="002C532F" w:rsidRPr="00BF60B1" w:rsidRDefault="002C532F" w:rsidP="002C532F">
            <w:pPr>
              <w:keepNext/>
              <w:spacing w:before="0" w:after="0"/>
              <w:jc w:val="center"/>
              <w:rPr>
                <w:rFonts w:ascii="Arial Narrow" w:hAnsi="Arial Narrow" w:cs="Calibri"/>
              </w:rPr>
            </w:pPr>
            <w:r>
              <w:rPr>
                <w:rFonts w:ascii="Arial Narrow" w:hAnsi="Arial Narrow" w:cs="Calibri"/>
                <w:color w:val="000000"/>
              </w:rPr>
              <w:t>1</w:t>
            </w:r>
          </w:p>
        </w:tc>
      </w:tr>
      <w:tr w:rsidR="002C532F" w:rsidRPr="00BF60B1" w14:paraId="0FAF9EE5" w14:textId="77777777" w:rsidTr="00EB0436">
        <w:trPr>
          <w:trHeight w:val="300"/>
        </w:trPr>
        <w:tc>
          <w:tcPr>
            <w:tcW w:w="6374" w:type="dxa"/>
            <w:vAlign w:val="center"/>
          </w:tcPr>
          <w:p w14:paraId="7B3EFF4C" w14:textId="78BF0B88" w:rsidR="002C532F" w:rsidRPr="00BF60B1" w:rsidRDefault="002C532F" w:rsidP="002C532F">
            <w:pPr>
              <w:keepNext/>
              <w:spacing w:before="0" w:after="0"/>
              <w:rPr>
                <w:rFonts w:ascii="Arial Narrow" w:hAnsi="Arial Narrow" w:cs="Calibri"/>
              </w:rPr>
            </w:pPr>
            <w:r>
              <w:rPr>
                <w:rFonts w:ascii="Arial Narrow" w:hAnsi="Arial Narrow" w:cs="Calibri"/>
                <w:color w:val="000000"/>
              </w:rPr>
              <w:t>CF/SMA/FXS Testing Only</w:t>
            </w:r>
          </w:p>
        </w:tc>
        <w:tc>
          <w:tcPr>
            <w:tcW w:w="3119" w:type="dxa"/>
            <w:gridSpan w:val="2"/>
            <w:vAlign w:val="center"/>
          </w:tcPr>
          <w:p w14:paraId="3AD50D2E" w14:textId="57819C2E" w:rsidR="002C532F" w:rsidRPr="00BF60B1" w:rsidRDefault="002C532F" w:rsidP="002C532F">
            <w:pPr>
              <w:keepNext/>
              <w:spacing w:before="0" w:after="0"/>
              <w:jc w:val="center"/>
              <w:rPr>
                <w:rFonts w:ascii="Arial Narrow" w:hAnsi="Arial Narrow" w:cs="Calibri"/>
              </w:rPr>
            </w:pPr>
            <w:r>
              <w:rPr>
                <w:rFonts w:ascii="Arial Narrow" w:hAnsi="Arial Narrow" w:cs="Calibri"/>
                <w:color w:val="000000"/>
              </w:rPr>
              <w:t>2</w:t>
            </w:r>
          </w:p>
        </w:tc>
      </w:tr>
      <w:tr w:rsidR="002C532F" w:rsidRPr="00BF60B1" w14:paraId="281D7FB0" w14:textId="77777777" w:rsidTr="00EB0436">
        <w:trPr>
          <w:trHeight w:val="300"/>
        </w:trPr>
        <w:tc>
          <w:tcPr>
            <w:tcW w:w="6374" w:type="dxa"/>
            <w:vAlign w:val="center"/>
          </w:tcPr>
          <w:p w14:paraId="5F6F7EE5" w14:textId="74E39F38" w:rsidR="002C532F" w:rsidRPr="00BF60B1" w:rsidRDefault="002C532F" w:rsidP="002C532F">
            <w:pPr>
              <w:keepNext/>
              <w:spacing w:before="0" w:after="0"/>
              <w:rPr>
                <w:rFonts w:ascii="Arial Narrow" w:hAnsi="Arial Narrow" w:cs="Calibri"/>
              </w:rPr>
            </w:pPr>
            <w:r>
              <w:rPr>
                <w:rFonts w:ascii="Arial Narrow" w:hAnsi="Arial Narrow" w:cs="Calibri"/>
                <w:color w:val="000000"/>
              </w:rPr>
              <w:t>Incremental effectiveness</w:t>
            </w:r>
          </w:p>
        </w:tc>
        <w:tc>
          <w:tcPr>
            <w:tcW w:w="3119" w:type="dxa"/>
            <w:gridSpan w:val="2"/>
            <w:vAlign w:val="center"/>
          </w:tcPr>
          <w:p w14:paraId="536410E0" w14:textId="22517425" w:rsidR="002C532F" w:rsidRPr="00BF60B1" w:rsidRDefault="002C532F" w:rsidP="002C532F">
            <w:pPr>
              <w:keepNext/>
              <w:spacing w:before="0" w:after="0"/>
              <w:jc w:val="center"/>
              <w:rPr>
                <w:rFonts w:ascii="Arial Narrow" w:hAnsi="Arial Narrow" w:cs="Calibri"/>
              </w:rPr>
            </w:pPr>
            <w:r>
              <w:rPr>
                <w:rFonts w:ascii="Arial Narrow" w:hAnsi="Arial Narrow" w:cs="Calibri"/>
                <w:color w:val="000000"/>
              </w:rPr>
              <w:t>1</w:t>
            </w:r>
          </w:p>
        </w:tc>
      </w:tr>
      <w:tr w:rsidR="002C532F" w:rsidRPr="00BF60B1" w14:paraId="342AB157" w14:textId="77777777" w:rsidTr="00EB0436">
        <w:trPr>
          <w:trHeight w:val="315"/>
        </w:trPr>
        <w:tc>
          <w:tcPr>
            <w:tcW w:w="6374" w:type="dxa"/>
            <w:vAlign w:val="center"/>
          </w:tcPr>
          <w:p w14:paraId="5606957C" w14:textId="152353D6" w:rsidR="002C532F" w:rsidRDefault="002C532F" w:rsidP="002C532F">
            <w:pPr>
              <w:keepNext/>
              <w:spacing w:before="0" w:after="0"/>
              <w:rPr>
                <w:rFonts w:ascii="Arial Narrow" w:hAnsi="Arial Narrow" w:cs="Calibri"/>
                <w:b/>
                <w:bCs/>
                <w:color w:val="000000"/>
              </w:rPr>
            </w:pPr>
            <w:r>
              <w:rPr>
                <w:rFonts w:ascii="Arial Narrow" w:hAnsi="Arial Narrow" w:cs="Calibri"/>
                <w:b/>
                <w:bCs/>
                <w:color w:val="000000"/>
              </w:rPr>
              <w:t>ICER (cost/BS births averted)</w:t>
            </w:r>
          </w:p>
        </w:tc>
        <w:tc>
          <w:tcPr>
            <w:tcW w:w="3119" w:type="dxa"/>
            <w:gridSpan w:val="2"/>
            <w:tcBorders>
              <w:bottom w:val="single" w:sz="4" w:space="0" w:color="auto"/>
            </w:tcBorders>
            <w:vAlign w:val="center"/>
          </w:tcPr>
          <w:p w14:paraId="55A19DAC" w14:textId="29E16458" w:rsidR="002C532F" w:rsidRDefault="002C532F" w:rsidP="002C532F">
            <w:pPr>
              <w:keepNext/>
              <w:spacing w:before="0" w:after="0"/>
              <w:jc w:val="center"/>
              <w:rPr>
                <w:rFonts w:ascii="Arial Narrow" w:hAnsi="Arial Narrow" w:cs="Calibri"/>
                <w:b/>
                <w:bCs/>
                <w:color w:val="000000"/>
              </w:rPr>
            </w:pPr>
            <w:r>
              <w:rPr>
                <w:rFonts w:ascii="Arial Narrow" w:hAnsi="Arial Narrow" w:cs="Calibri"/>
                <w:b/>
                <w:bCs/>
                <w:color w:val="000000"/>
              </w:rPr>
              <w:t>Dominant</w:t>
            </w:r>
          </w:p>
        </w:tc>
      </w:tr>
      <w:tr w:rsidR="002C532F" w:rsidRPr="00BF60B1" w14:paraId="730713AB" w14:textId="77777777" w:rsidTr="00EB0436">
        <w:trPr>
          <w:trHeight w:val="315"/>
        </w:trPr>
        <w:tc>
          <w:tcPr>
            <w:tcW w:w="6374" w:type="dxa"/>
            <w:vAlign w:val="center"/>
          </w:tcPr>
          <w:p w14:paraId="0EB856EF" w14:textId="0E9E4871" w:rsidR="002C532F" w:rsidRPr="00BF60B1" w:rsidRDefault="002C532F" w:rsidP="002C532F">
            <w:pPr>
              <w:keepNext/>
              <w:spacing w:before="0" w:after="0"/>
              <w:rPr>
                <w:rFonts w:ascii="Arial Narrow" w:hAnsi="Arial Narrow" w:cs="Calibri"/>
                <w:b/>
                <w:bCs/>
              </w:rPr>
            </w:pPr>
            <w:r>
              <w:rPr>
                <w:rFonts w:ascii="Arial Narrow" w:hAnsi="Arial Narrow" w:cs="Calibri"/>
                <w:b/>
                <w:bCs/>
                <w:color w:val="000000"/>
              </w:rPr>
              <w:t>Terminations (/100,000 births)</w:t>
            </w:r>
          </w:p>
        </w:tc>
        <w:tc>
          <w:tcPr>
            <w:tcW w:w="3119" w:type="dxa"/>
            <w:gridSpan w:val="2"/>
            <w:tcBorders>
              <w:bottom w:val="single" w:sz="4" w:space="0" w:color="auto"/>
            </w:tcBorders>
            <w:vAlign w:val="center"/>
          </w:tcPr>
          <w:p w14:paraId="50EBDA0D" w14:textId="3EC28B64" w:rsidR="002C532F" w:rsidRPr="00BF60B1" w:rsidRDefault="002C532F" w:rsidP="002C532F">
            <w:pPr>
              <w:keepNext/>
              <w:spacing w:before="0" w:after="0"/>
              <w:jc w:val="center"/>
              <w:rPr>
                <w:rFonts w:ascii="Arial Narrow" w:hAnsi="Arial Narrow" w:cs="Calibri"/>
                <w:b/>
                <w:bCs/>
              </w:rPr>
            </w:pPr>
            <w:r>
              <w:rPr>
                <w:rFonts w:ascii="Arial Narrow" w:hAnsi="Arial Narrow" w:cs="Calibri"/>
                <w:color w:val="000000"/>
              </w:rPr>
              <w:t>1060</w:t>
            </w:r>
          </w:p>
        </w:tc>
      </w:tr>
      <w:tr w:rsidR="002C532F" w:rsidRPr="009A2DDC" w14:paraId="1C39753A" w14:textId="77777777" w:rsidTr="00EB0436">
        <w:trPr>
          <w:cantSplit/>
          <w:trHeight w:val="290"/>
        </w:trPr>
        <w:tc>
          <w:tcPr>
            <w:tcW w:w="6374" w:type="dxa"/>
            <w:hideMark/>
          </w:tcPr>
          <w:p w14:paraId="54FA8DD9" w14:textId="77777777" w:rsidR="002C532F" w:rsidRPr="009A2DDC" w:rsidRDefault="002C532F" w:rsidP="002C532F">
            <w:pPr>
              <w:spacing w:before="0" w:after="0"/>
              <w:rPr>
                <w:rFonts w:ascii="Arial Narrow" w:hAnsi="Arial Narrow" w:cs="Calibri"/>
              </w:rPr>
            </w:pPr>
            <w:r>
              <w:rPr>
                <w:rFonts w:ascii="Arial Narrow" w:hAnsi="Arial Narrow" w:cs="Calibri"/>
              </w:rPr>
              <w:t>Carrier</w:t>
            </w:r>
            <w:r w:rsidRPr="007F26DB">
              <w:rPr>
                <w:rFonts w:ascii="Arial Narrow" w:hAnsi="Arial Narrow" w:cs="Calibri"/>
              </w:rPr>
              <w:t xml:space="preserve"> Testing</w:t>
            </w:r>
          </w:p>
        </w:tc>
        <w:tc>
          <w:tcPr>
            <w:tcW w:w="3119" w:type="dxa"/>
            <w:gridSpan w:val="2"/>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2B209679" w14:textId="46D34096" w:rsidR="002C532F" w:rsidRPr="009A2DDC" w:rsidRDefault="002C532F" w:rsidP="002C532F">
            <w:pPr>
              <w:spacing w:before="0" w:after="0"/>
              <w:jc w:val="center"/>
              <w:rPr>
                <w:rFonts w:ascii="Arial Narrow" w:hAnsi="Arial Narrow" w:cs="Calibri"/>
              </w:rPr>
            </w:pPr>
            <w:r>
              <w:rPr>
                <w:rFonts w:ascii="Arial Narrow" w:hAnsi="Arial Narrow" w:cs="Calibri"/>
                <w:color w:val="000000"/>
              </w:rPr>
              <w:t>273</w:t>
            </w:r>
          </w:p>
        </w:tc>
      </w:tr>
      <w:tr w:rsidR="002C532F" w:rsidRPr="009A2DDC" w14:paraId="7468E036" w14:textId="77777777" w:rsidTr="00EB0436">
        <w:trPr>
          <w:cantSplit/>
          <w:trHeight w:val="290"/>
        </w:trPr>
        <w:tc>
          <w:tcPr>
            <w:tcW w:w="6374" w:type="dxa"/>
            <w:hideMark/>
          </w:tcPr>
          <w:p w14:paraId="635300AB" w14:textId="77777777" w:rsidR="002C532F" w:rsidRPr="009A2DDC" w:rsidRDefault="002C532F" w:rsidP="002C532F">
            <w:pPr>
              <w:spacing w:before="0" w:after="0"/>
              <w:rPr>
                <w:rFonts w:ascii="Arial Narrow" w:hAnsi="Arial Narrow" w:cs="Calibri"/>
              </w:rPr>
            </w:pPr>
            <w:r w:rsidRPr="009A2DDC">
              <w:rPr>
                <w:rFonts w:ascii="Arial Narrow" w:hAnsi="Arial Narrow" w:cs="Calibri"/>
              </w:rPr>
              <w:t>CF/SMA/FXS Testing Only</w:t>
            </w:r>
          </w:p>
        </w:tc>
        <w:tc>
          <w:tcPr>
            <w:tcW w:w="3119" w:type="dxa"/>
            <w:gridSpan w:val="2"/>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024D8EB8" w14:textId="3161924F" w:rsidR="002C532F" w:rsidRPr="009A2DDC" w:rsidRDefault="002C532F" w:rsidP="002C532F">
            <w:pPr>
              <w:spacing w:before="0" w:after="0"/>
              <w:jc w:val="center"/>
              <w:rPr>
                <w:rFonts w:ascii="Arial Narrow" w:hAnsi="Arial Narrow" w:cs="Calibri"/>
              </w:rPr>
            </w:pPr>
            <w:r>
              <w:rPr>
                <w:rFonts w:ascii="Arial Narrow" w:hAnsi="Arial Narrow" w:cs="Calibri"/>
                <w:color w:val="000000"/>
              </w:rPr>
              <w:t>-786</w:t>
            </w:r>
          </w:p>
        </w:tc>
      </w:tr>
      <w:tr w:rsidR="002C532F" w:rsidRPr="009A2DDC" w14:paraId="26E53BFD" w14:textId="77777777" w:rsidTr="00EB0436">
        <w:trPr>
          <w:cantSplit/>
          <w:trHeight w:val="300"/>
        </w:trPr>
        <w:tc>
          <w:tcPr>
            <w:tcW w:w="6374" w:type="dxa"/>
            <w:hideMark/>
          </w:tcPr>
          <w:p w14:paraId="766E80BC" w14:textId="77777777" w:rsidR="002C532F" w:rsidRPr="009A2DDC" w:rsidRDefault="002C532F" w:rsidP="002C532F">
            <w:pPr>
              <w:spacing w:before="0" w:after="0"/>
              <w:rPr>
                <w:rFonts w:ascii="Arial Narrow" w:hAnsi="Arial Narrow" w:cs="Calibri"/>
              </w:rPr>
            </w:pPr>
            <w:r w:rsidRPr="009A2DDC">
              <w:rPr>
                <w:rFonts w:ascii="Arial Narrow" w:hAnsi="Arial Narrow" w:cs="Calibri"/>
              </w:rPr>
              <w:t>Incremental effectiveness</w:t>
            </w:r>
            <w:r w:rsidRPr="00073F88">
              <w:rPr>
                <w:rFonts w:ascii="Arial Narrow" w:hAnsi="Arial Narrow" w:cs="Calibri"/>
              </w:rPr>
              <w:t xml:space="preserve"> - births averted (/100,000 births)</w:t>
            </w:r>
          </w:p>
        </w:tc>
        <w:tc>
          <w:tcPr>
            <w:tcW w:w="3119" w:type="dxa"/>
            <w:gridSpan w:val="2"/>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084DACA7" w14:textId="0736B60C" w:rsidR="002C532F" w:rsidRPr="009A2DDC" w:rsidRDefault="002C532F" w:rsidP="002C532F">
            <w:pPr>
              <w:spacing w:before="0" w:after="0"/>
              <w:jc w:val="center"/>
              <w:rPr>
                <w:rFonts w:ascii="Arial Narrow" w:hAnsi="Arial Narrow" w:cs="Calibri"/>
              </w:rPr>
            </w:pPr>
            <w:r>
              <w:rPr>
                <w:rFonts w:ascii="Arial Narrow" w:hAnsi="Arial Narrow" w:cs="Calibri"/>
                <w:color w:val="000000"/>
              </w:rPr>
              <w:t>$0.68</w:t>
            </w:r>
          </w:p>
        </w:tc>
      </w:tr>
      <w:tr w:rsidR="002C532F" w:rsidRPr="009A2DDC" w14:paraId="08B3A224" w14:textId="77777777" w:rsidTr="002C532F">
        <w:trPr>
          <w:cantSplit/>
          <w:trHeight w:val="300"/>
        </w:trPr>
        <w:tc>
          <w:tcPr>
            <w:tcW w:w="6374" w:type="dxa"/>
            <w:hideMark/>
          </w:tcPr>
          <w:p w14:paraId="433B3107" w14:textId="77777777" w:rsidR="002C532F" w:rsidRPr="009A2DDC" w:rsidRDefault="002C532F" w:rsidP="002C532F">
            <w:pPr>
              <w:spacing w:before="0" w:after="0"/>
              <w:rPr>
                <w:rFonts w:ascii="Arial Narrow" w:hAnsi="Arial Narrow" w:cs="Calibri"/>
                <w:b/>
                <w:bCs/>
              </w:rPr>
            </w:pPr>
            <w:r w:rsidRPr="009A2DDC">
              <w:rPr>
                <w:rFonts w:ascii="Arial Narrow" w:hAnsi="Arial Narrow" w:cs="Calibri"/>
                <w:b/>
                <w:bCs/>
              </w:rPr>
              <w:t>ICER (cost/additional termination)</w:t>
            </w:r>
          </w:p>
        </w:tc>
        <w:tc>
          <w:tcPr>
            <w:tcW w:w="3119" w:type="dxa"/>
            <w:gridSpan w:val="2"/>
            <w:tcBorders>
              <w:top w:val="single" w:sz="4" w:space="0" w:color="auto"/>
              <w:left w:val="single" w:sz="8" w:space="0" w:color="auto"/>
              <w:bottom w:val="single" w:sz="4" w:space="0" w:color="auto"/>
              <w:right w:val="single" w:sz="8" w:space="0" w:color="000000" w:themeColor="text1"/>
            </w:tcBorders>
            <w:shd w:val="clear" w:color="auto" w:fill="auto"/>
            <w:hideMark/>
          </w:tcPr>
          <w:p w14:paraId="50D4A465" w14:textId="58F29990" w:rsidR="002C532F" w:rsidRPr="009A2DDC" w:rsidRDefault="002C532F" w:rsidP="002C532F">
            <w:pPr>
              <w:spacing w:before="0" w:after="0"/>
              <w:jc w:val="center"/>
              <w:rPr>
                <w:rFonts w:ascii="Arial Narrow" w:hAnsi="Arial Narrow" w:cs="Calibri"/>
                <w:b/>
                <w:bCs/>
              </w:rPr>
            </w:pPr>
            <w:r w:rsidRPr="009A2DDC">
              <w:rPr>
                <w:rFonts w:ascii="Arial Narrow" w:hAnsi="Arial Narrow" w:cs="Calibri"/>
                <w:b/>
                <w:bCs/>
              </w:rPr>
              <w:t>IVF (/100,000 births)</w:t>
            </w:r>
          </w:p>
        </w:tc>
      </w:tr>
      <w:tr w:rsidR="002C532F" w:rsidRPr="009A2DDC" w14:paraId="51BEEDE8" w14:textId="77777777" w:rsidTr="2B5053E8">
        <w:trPr>
          <w:cantSplit/>
          <w:trHeight w:val="290"/>
        </w:trPr>
        <w:tc>
          <w:tcPr>
            <w:tcW w:w="9493" w:type="dxa"/>
            <w:gridSpan w:val="3"/>
            <w:tcBorders>
              <w:right w:val="single" w:sz="8" w:space="0" w:color="000000" w:themeColor="text1"/>
            </w:tcBorders>
            <w:hideMark/>
          </w:tcPr>
          <w:p w14:paraId="74A0A3F5" w14:textId="28D5D2B0" w:rsidR="002C532F" w:rsidRPr="00FE5729" w:rsidRDefault="002C532F" w:rsidP="002C532F">
            <w:pPr>
              <w:spacing w:before="0" w:after="0"/>
              <w:rPr>
                <w:rFonts w:ascii="Arial Narrow" w:hAnsi="Arial Narrow" w:cs="Calibri"/>
              </w:rPr>
            </w:pPr>
            <w:r w:rsidRPr="00FE5729">
              <w:rPr>
                <w:rFonts w:ascii="Arial Narrow" w:hAnsi="Arial Narrow" w:cs="Calibri"/>
                <w:b/>
                <w:bCs/>
              </w:rPr>
              <w:t>IVF (/100,000 births)</w:t>
            </w:r>
          </w:p>
        </w:tc>
      </w:tr>
      <w:tr w:rsidR="002C532F" w:rsidRPr="009A2DDC" w14:paraId="4BC573B7" w14:textId="77777777" w:rsidTr="00EB0436">
        <w:trPr>
          <w:cantSplit/>
          <w:trHeight w:val="290"/>
        </w:trPr>
        <w:tc>
          <w:tcPr>
            <w:tcW w:w="6374" w:type="dxa"/>
            <w:hideMark/>
          </w:tcPr>
          <w:p w14:paraId="24B9B985" w14:textId="77777777" w:rsidR="002C532F" w:rsidRPr="00FE5729" w:rsidRDefault="002C532F" w:rsidP="002C532F">
            <w:pPr>
              <w:spacing w:before="0" w:after="0"/>
              <w:rPr>
                <w:rFonts w:ascii="Arial Narrow" w:hAnsi="Arial Narrow" w:cs="Calibri"/>
              </w:rPr>
            </w:pPr>
            <w:r w:rsidRPr="00FE5729">
              <w:rPr>
                <w:rFonts w:ascii="Arial Narrow" w:hAnsi="Arial Narrow" w:cs="Calibri"/>
              </w:rPr>
              <w:t>Carrier Testing</w:t>
            </w:r>
          </w:p>
        </w:tc>
        <w:tc>
          <w:tcPr>
            <w:tcW w:w="3119" w:type="dxa"/>
            <w:gridSpan w:val="2"/>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040EEDCD" w14:textId="63A2F016" w:rsidR="002C532F" w:rsidRPr="00FE5729" w:rsidRDefault="007B5373" w:rsidP="002C532F">
            <w:pPr>
              <w:spacing w:before="0" w:after="0"/>
              <w:jc w:val="center"/>
              <w:rPr>
                <w:rFonts w:ascii="Arial Narrow" w:hAnsi="Arial Narrow" w:cs="Calibri"/>
              </w:rPr>
            </w:pPr>
            <w:r w:rsidRPr="00FE5729">
              <w:rPr>
                <w:rFonts w:ascii="Arial Narrow" w:hAnsi="Arial Narrow" w:cs="Calibri"/>
                <w:color w:val="000000"/>
              </w:rPr>
              <w:t>496</w:t>
            </w:r>
          </w:p>
        </w:tc>
      </w:tr>
      <w:tr w:rsidR="002C532F" w:rsidRPr="009A2DDC" w14:paraId="229F9DC9" w14:textId="77777777" w:rsidTr="00EB0436">
        <w:trPr>
          <w:cantSplit/>
          <w:trHeight w:val="290"/>
        </w:trPr>
        <w:tc>
          <w:tcPr>
            <w:tcW w:w="6374" w:type="dxa"/>
            <w:hideMark/>
          </w:tcPr>
          <w:p w14:paraId="70F50DB1" w14:textId="77777777" w:rsidR="002C532F" w:rsidRPr="00FE5729" w:rsidRDefault="002C532F" w:rsidP="002C532F">
            <w:pPr>
              <w:spacing w:before="0" w:after="0"/>
              <w:rPr>
                <w:rFonts w:ascii="Arial Narrow" w:hAnsi="Arial Narrow" w:cs="Calibri"/>
              </w:rPr>
            </w:pPr>
            <w:r w:rsidRPr="00FE5729">
              <w:rPr>
                <w:rFonts w:ascii="Arial Narrow" w:hAnsi="Arial Narrow" w:cs="Calibri"/>
              </w:rPr>
              <w:t>CF/SMA/FXS Testing Only</w:t>
            </w:r>
          </w:p>
        </w:tc>
        <w:tc>
          <w:tcPr>
            <w:tcW w:w="3119" w:type="dxa"/>
            <w:gridSpan w:val="2"/>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041B33D1" w14:textId="7CE171C7" w:rsidR="002C532F" w:rsidRPr="00FE5729" w:rsidRDefault="007B5373" w:rsidP="002C532F">
            <w:pPr>
              <w:spacing w:before="0" w:after="0"/>
              <w:jc w:val="center"/>
              <w:rPr>
                <w:rFonts w:ascii="Arial Narrow" w:hAnsi="Arial Narrow" w:cs="Calibri"/>
              </w:rPr>
            </w:pPr>
            <w:r>
              <w:rPr>
                <w:rFonts w:ascii="Arial Narrow" w:hAnsi="Arial Narrow" w:cs="Calibri"/>
                <w:color w:val="000000"/>
              </w:rPr>
              <w:t>142</w:t>
            </w:r>
          </w:p>
        </w:tc>
      </w:tr>
      <w:tr w:rsidR="002C532F" w:rsidRPr="009A2DDC" w14:paraId="330920A8" w14:textId="77777777" w:rsidTr="00EB0436">
        <w:trPr>
          <w:cantSplit/>
          <w:trHeight w:val="300"/>
        </w:trPr>
        <w:tc>
          <w:tcPr>
            <w:tcW w:w="6374" w:type="dxa"/>
            <w:hideMark/>
          </w:tcPr>
          <w:p w14:paraId="6074FF16" w14:textId="77777777" w:rsidR="002C532F" w:rsidRPr="00FE5729" w:rsidRDefault="002C532F" w:rsidP="002C532F">
            <w:pPr>
              <w:spacing w:before="0" w:after="0"/>
              <w:rPr>
                <w:rFonts w:ascii="Arial Narrow" w:hAnsi="Arial Narrow" w:cs="Calibri"/>
              </w:rPr>
            </w:pPr>
            <w:r w:rsidRPr="00FE5729">
              <w:rPr>
                <w:rFonts w:ascii="Arial Narrow" w:hAnsi="Arial Narrow" w:cs="Calibri"/>
              </w:rPr>
              <w:t>Incremental effectiveness - births averted (/100,000 births)</w:t>
            </w:r>
          </w:p>
        </w:tc>
        <w:tc>
          <w:tcPr>
            <w:tcW w:w="3119" w:type="dxa"/>
            <w:gridSpan w:val="2"/>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036ACB62" w14:textId="6FD6CDCF" w:rsidR="002C532F" w:rsidRPr="00FE5729" w:rsidRDefault="007B5373" w:rsidP="002C532F">
            <w:pPr>
              <w:spacing w:before="0" w:after="0"/>
              <w:jc w:val="center"/>
              <w:rPr>
                <w:rFonts w:ascii="Arial Narrow" w:hAnsi="Arial Narrow" w:cs="Calibri"/>
              </w:rPr>
            </w:pPr>
            <w:r>
              <w:rPr>
                <w:rFonts w:ascii="Arial Narrow" w:hAnsi="Arial Narrow" w:cs="Calibri"/>
                <w:b/>
                <w:bCs/>
                <w:color w:val="000000"/>
              </w:rPr>
              <w:t>-354</w:t>
            </w:r>
          </w:p>
        </w:tc>
      </w:tr>
      <w:tr w:rsidR="002C532F" w:rsidRPr="009A2DDC" w14:paraId="3FCC9224" w14:textId="77777777" w:rsidTr="00EB0436">
        <w:trPr>
          <w:cantSplit/>
          <w:trHeight w:val="300"/>
        </w:trPr>
        <w:tc>
          <w:tcPr>
            <w:tcW w:w="6374" w:type="dxa"/>
            <w:hideMark/>
          </w:tcPr>
          <w:p w14:paraId="00368D66" w14:textId="77777777" w:rsidR="002C532F" w:rsidRPr="00FE5729" w:rsidRDefault="002C532F" w:rsidP="002C532F">
            <w:pPr>
              <w:spacing w:before="0" w:after="0"/>
              <w:rPr>
                <w:rFonts w:ascii="Arial Narrow" w:hAnsi="Arial Narrow" w:cs="Calibri"/>
                <w:b/>
                <w:bCs/>
              </w:rPr>
            </w:pPr>
            <w:r w:rsidRPr="00FE5729">
              <w:rPr>
                <w:rFonts w:ascii="Arial Narrow" w:hAnsi="Arial Narrow" w:cs="Calibri"/>
                <w:b/>
                <w:bCs/>
              </w:rPr>
              <w:t>ICER (cost/additional IVF birth)</w:t>
            </w:r>
          </w:p>
        </w:tc>
        <w:tc>
          <w:tcPr>
            <w:tcW w:w="3119"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47DB36A7" w14:textId="1EA27B68" w:rsidR="002C532F" w:rsidRPr="00FE5729" w:rsidRDefault="007B5373" w:rsidP="002C532F">
            <w:pPr>
              <w:spacing w:before="0" w:after="0"/>
              <w:jc w:val="center"/>
              <w:rPr>
                <w:rFonts w:ascii="Arial Narrow" w:hAnsi="Arial Narrow" w:cs="Calibri"/>
                <w:b/>
                <w:bCs/>
              </w:rPr>
            </w:pPr>
            <w:r>
              <w:rPr>
                <w:rFonts w:ascii="Arial Narrow" w:hAnsi="Arial Narrow" w:cs="Calibri"/>
                <w:color w:val="000000"/>
              </w:rPr>
              <w:t>$2</w:t>
            </w:r>
          </w:p>
        </w:tc>
      </w:tr>
    </w:tbl>
    <w:p w14:paraId="4DCB28B5" w14:textId="77777777" w:rsidR="00D4645A" w:rsidRDefault="009E2D2B" w:rsidP="00A0191C">
      <w:pPr>
        <w:pStyle w:val="Guidelinescross-ref"/>
        <w:keepNext/>
        <w:spacing w:before="0" w:line="240" w:lineRule="auto"/>
        <w:rPr>
          <w:rFonts w:ascii="Arial Narrow" w:hAnsi="Arial Narrow"/>
          <w:b w:val="0"/>
          <w:color w:val="auto"/>
          <w:sz w:val="18"/>
          <w:szCs w:val="18"/>
        </w:rPr>
      </w:pPr>
      <w:r w:rsidRPr="00EB0436">
        <w:rPr>
          <w:rFonts w:ascii="Arial Narrow" w:hAnsi="Arial Narrow"/>
          <w:b w:val="0"/>
          <w:color w:val="auto"/>
          <w:sz w:val="18"/>
          <w:szCs w:val="18"/>
        </w:rPr>
        <w:t>BS=Bloom Syndrome, CD=Canavan disease, CF=Cystic Fibrosis, FA=Fanconi anaemia type C, FD=Familial dysautonomia, FXS=Fragile X Syndrome, GD=Gaucher disease, GSD1=Glycogen storage disease type 1, ICER=Incremental Cost Effectiveness Ratio, IVF=In vitro fertilisation, MLD=</w:t>
      </w:r>
      <w:proofErr w:type="spellStart"/>
      <w:r w:rsidRPr="00EB0436">
        <w:rPr>
          <w:rFonts w:ascii="Arial Narrow" w:hAnsi="Arial Narrow"/>
          <w:b w:val="0"/>
          <w:color w:val="auto"/>
          <w:sz w:val="18"/>
          <w:szCs w:val="18"/>
        </w:rPr>
        <w:t>Mucolipidosis</w:t>
      </w:r>
      <w:proofErr w:type="spellEnd"/>
      <w:r w:rsidRPr="00EB0436">
        <w:rPr>
          <w:rFonts w:ascii="Arial Narrow" w:hAnsi="Arial Narrow"/>
          <w:b w:val="0"/>
          <w:color w:val="auto"/>
          <w:sz w:val="18"/>
          <w:szCs w:val="18"/>
        </w:rPr>
        <w:t xml:space="preserve"> Type IV, NPD=Niemann Pick Disease </w:t>
      </w:r>
      <w:proofErr w:type="gramStart"/>
      <w:r w:rsidRPr="00EB0436">
        <w:rPr>
          <w:rFonts w:ascii="Arial Narrow" w:hAnsi="Arial Narrow"/>
          <w:b w:val="0"/>
          <w:color w:val="auto"/>
          <w:sz w:val="18"/>
          <w:szCs w:val="18"/>
        </w:rPr>
        <w:t>type</w:t>
      </w:r>
      <w:proofErr w:type="gramEnd"/>
      <w:r w:rsidRPr="00EB0436">
        <w:rPr>
          <w:rFonts w:ascii="Arial Narrow" w:hAnsi="Arial Narrow"/>
          <w:b w:val="0"/>
          <w:color w:val="auto"/>
          <w:sz w:val="18"/>
          <w:szCs w:val="18"/>
        </w:rPr>
        <w:t xml:space="preserve"> A, SMA=Spinal Muscular Atrophy, TSD=Tay Sachs Disease</w:t>
      </w:r>
    </w:p>
    <w:p w14:paraId="63B9E02E" w14:textId="526BAB24" w:rsidR="007F0A15" w:rsidRPr="00EB0436" w:rsidRDefault="003A0B9B" w:rsidP="007F0A15">
      <w:pPr>
        <w:pStyle w:val="Guidelinescross-ref"/>
        <w:keepNext/>
        <w:rPr>
          <w:rFonts w:ascii="Arial Narrow" w:hAnsi="Arial Narrow"/>
          <w:b w:val="0"/>
          <w:color w:val="auto"/>
          <w:sz w:val="18"/>
          <w:szCs w:val="18"/>
        </w:rPr>
      </w:pPr>
      <w:r w:rsidRPr="006C2C3F">
        <w:rPr>
          <w:b w:val="0"/>
          <w:color w:val="auto"/>
          <w:sz w:val="22"/>
        </w:rPr>
        <w:t xml:space="preserve">Table </w:t>
      </w:r>
      <w:r w:rsidRPr="006C2C3F">
        <w:rPr>
          <w:b w:val="0"/>
          <w:noProof/>
          <w:color w:val="auto"/>
          <w:sz w:val="22"/>
        </w:rPr>
        <w:t>1</w:t>
      </w:r>
      <w:r w:rsidR="007260EF">
        <w:rPr>
          <w:b w:val="0"/>
          <w:noProof/>
          <w:color w:val="auto"/>
          <w:sz w:val="22"/>
        </w:rPr>
        <w:t>6</w:t>
      </w:r>
      <w:r w:rsidR="007F0A15" w:rsidRPr="00C20EE7">
        <w:rPr>
          <w:b w:val="0"/>
          <w:color w:val="auto"/>
          <w:sz w:val="22"/>
        </w:rPr>
        <w:t xml:space="preserve"> </w:t>
      </w:r>
      <w:r w:rsidR="007F0A15" w:rsidRPr="003A2D20">
        <w:rPr>
          <w:b w:val="0"/>
          <w:color w:val="auto"/>
          <w:sz w:val="22"/>
        </w:rPr>
        <w:t>d</w:t>
      </w:r>
      <w:r w:rsidR="007F0A15">
        <w:rPr>
          <w:b w:val="0"/>
          <w:color w:val="auto"/>
          <w:sz w:val="22"/>
        </w:rPr>
        <w:t xml:space="preserve">etails the results of step 4 in the stepped analysis whereby combined </w:t>
      </w:r>
      <w:r w:rsidR="007F0A15" w:rsidRPr="00900DFF">
        <w:rPr>
          <w:b w:val="0"/>
          <w:color w:val="auto"/>
          <w:sz w:val="22"/>
        </w:rPr>
        <w:t>prenatal and preconception</w:t>
      </w:r>
      <w:r w:rsidR="007F0A15">
        <w:rPr>
          <w:b w:val="0"/>
          <w:color w:val="auto"/>
          <w:sz w:val="22"/>
        </w:rPr>
        <w:t xml:space="preserve"> for initial </w:t>
      </w:r>
      <w:r w:rsidR="006B2E2A">
        <w:rPr>
          <w:b w:val="0"/>
          <w:color w:val="auto"/>
          <w:sz w:val="22"/>
        </w:rPr>
        <w:t xml:space="preserve">and subsequent </w:t>
      </w:r>
      <w:r w:rsidR="007F0A15">
        <w:rPr>
          <w:b w:val="0"/>
          <w:color w:val="auto"/>
          <w:sz w:val="22"/>
        </w:rPr>
        <w:t>pregnancies costs and effectiveness were calculated for each condition.</w:t>
      </w:r>
    </w:p>
    <w:p w14:paraId="2F2B4FA5" w14:textId="6C99ADC8" w:rsidR="00BB543F" w:rsidRDefault="00BB543F" w:rsidP="001F46A5">
      <w:pPr>
        <w:pStyle w:val="Caption"/>
        <w:ind w:left="709" w:hanging="709"/>
      </w:pPr>
      <w:bookmarkStart w:id="72" w:name="_Ref100693209"/>
      <w:bookmarkStart w:id="73" w:name="_Toc103096612"/>
      <w:bookmarkStart w:id="74" w:name="_Hlk100694914"/>
      <w:r w:rsidRPr="00380C3B">
        <w:t xml:space="preserve">Table </w:t>
      </w:r>
      <w:r w:rsidR="003A0B9B">
        <w:rPr>
          <w:noProof/>
        </w:rPr>
        <w:t>1</w:t>
      </w:r>
      <w:r w:rsidR="007260EF">
        <w:rPr>
          <w:noProof/>
        </w:rPr>
        <w:t>6</w:t>
      </w:r>
      <w:bookmarkEnd w:id="72"/>
      <w:r w:rsidRPr="00183D76">
        <w:t xml:space="preserve"> </w:t>
      </w:r>
      <w:r w:rsidRPr="001F35E9">
        <w:t xml:space="preserve">Approach to the stepped analysis - Step 4, </w:t>
      </w:r>
      <w:r w:rsidR="00A921F2">
        <w:t>i</w:t>
      </w:r>
      <w:r w:rsidRPr="00380C3B">
        <w:t>nitial and subsequent pregnancies, results for preconception and prenatal carrier testing</w:t>
      </w:r>
      <w:r w:rsidR="00B67CD9" w:rsidRPr="00B67CD9">
        <w:t xml:space="preserve"> combined costs and events</w:t>
      </w:r>
      <w:r w:rsidR="00A17652">
        <w:t xml:space="preserve"> </w:t>
      </w:r>
      <w:r w:rsidR="00DE1775" w:rsidRPr="00DE1775">
        <w:t>compared to CF/SMA/FXS testing</w:t>
      </w:r>
      <w:bookmarkEnd w:id="73"/>
    </w:p>
    <w:tbl>
      <w:tblPr>
        <w:tblStyle w:val="TableGrid1"/>
        <w:tblW w:w="5265" w:type="pct"/>
        <w:tblLook w:val="04A0" w:firstRow="1" w:lastRow="0" w:firstColumn="1" w:lastColumn="0" w:noHBand="0" w:noVBand="1"/>
      </w:tblPr>
      <w:tblGrid>
        <w:gridCol w:w="4918"/>
        <w:gridCol w:w="4576"/>
      </w:tblGrid>
      <w:tr w:rsidR="0025683C" w:rsidRPr="00885119" w14:paraId="4F75FF6F" w14:textId="77777777" w:rsidTr="003D6646">
        <w:trPr>
          <w:cnfStyle w:val="100000000000" w:firstRow="1" w:lastRow="0" w:firstColumn="0" w:lastColumn="0" w:oddVBand="0" w:evenVBand="0" w:oddHBand="0" w:evenHBand="0" w:firstRowFirstColumn="0" w:firstRowLastColumn="0" w:lastRowFirstColumn="0" w:lastRowLastColumn="0"/>
          <w:cantSplit/>
          <w:trHeight w:val="291"/>
          <w:tblHeader/>
        </w:trPr>
        <w:tc>
          <w:tcPr>
            <w:tcW w:w="2590" w:type="pct"/>
          </w:tcPr>
          <w:p w14:paraId="648C45DE" w14:textId="77777777" w:rsidR="0025683C" w:rsidRPr="00885119" w:rsidRDefault="0025683C" w:rsidP="00A0191C">
            <w:pPr>
              <w:spacing w:before="40"/>
              <w:rPr>
                <w:rFonts w:ascii="Arial Narrow" w:hAnsi="Arial Narrow" w:cs="Calibri"/>
                <w:b/>
                <w:bCs/>
                <w:color w:val="000000"/>
              </w:rPr>
            </w:pPr>
            <w:r w:rsidRPr="00885119">
              <w:rPr>
                <w:rFonts w:ascii="Arial Narrow" w:hAnsi="Arial Narrow" w:cs="Calibri"/>
                <w:b/>
                <w:bCs/>
                <w:color w:val="000000"/>
              </w:rPr>
              <w:t>Population and circumstances of use</w:t>
            </w:r>
          </w:p>
        </w:tc>
        <w:tc>
          <w:tcPr>
            <w:tcW w:w="2410" w:type="pct"/>
          </w:tcPr>
          <w:p w14:paraId="74612FDC" w14:textId="77777777" w:rsidR="0025683C" w:rsidRPr="00885119" w:rsidRDefault="0025683C" w:rsidP="009B7179">
            <w:pPr>
              <w:spacing w:before="40"/>
              <w:jc w:val="center"/>
              <w:rPr>
                <w:rFonts w:ascii="Arial Narrow" w:hAnsi="Arial Narrow" w:cs="Calibri"/>
                <w:b/>
                <w:bCs/>
                <w:color w:val="000000"/>
              </w:rPr>
            </w:pPr>
            <w:r w:rsidRPr="00885119">
              <w:rPr>
                <w:rFonts w:ascii="Arial Narrow" w:hAnsi="Arial Narrow" w:cs="Calibri"/>
                <w:b/>
                <w:bCs/>
                <w:color w:val="000000"/>
              </w:rPr>
              <w:t>Results</w:t>
            </w:r>
          </w:p>
        </w:tc>
      </w:tr>
      <w:tr w:rsidR="00E10348" w:rsidRPr="00885119" w14:paraId="3351FDA3" w14:textId="77777777" w:rsidTr="003D6646">
        <w:trPr>
          <w:cantSplit/>
          <w:trHeight w:val="291"/>
        </w:trPr>
        <w:tc>
          <w:tcPr>
            <w:tcW w:w="5000" w:type="pct"/>
            <w:gridSpan w:val="2"/>
          </w:tcPr>
          <w:p w14:paraId="19B441EE" w14:textId="34CA9B9C" w:rsidR="00E10348" w:rsidRPr="00885119" w:rsidRDefault="00E10348" w:rsidP="00EB0436">
            <w:pPr>
              <w:spacing w:before="40"/>
              <w:rPr>
                <w:rFonts w:ascii="Arial Narrow" w:hAnsi="Arial Narrow" w:cs="Calibri"/>
                <w:b/>
                <w:bCs/>
                <w:color w:val="000000"/>
              </w:rPr>
            </w:pPr>
            <w:r w:rsidRPr="00885119">
              <w:rPr>
                <w:rFonts w:ascii="Arial Narrow" w:hAnsi="Arial Narrow" w:cs="Calibri"/>
                <w:b/>
                <w:bCs/>
                <w:color w:val="000000"/>
              </w:rPr>
              <w:t>Initial and subsequent pregnancies</w:t>
            </w:r>
          </w:p>
        </w:tc>
      </w:tr>
      <w:tr w:rsidR="00623940" w:rsidRPr="00885119" w14:paraId="6D5DE9A9" w14:textId="77777777" w:rsidTr="003D6646">
        <w:trPr>
          <w:cantSplit/>
          <w:trHeight w:val="291"/>
        </w:trPr>
        <w:tc>
          <w:tcPr>
            <w:tcW w:w="5000" w:type="pct"/>
            <w:gridSpan w:val="2"/>
            <w:hideMark/>
          </w:tcPr>
          <w:p w14:paraId="126CA761" w14:textId="09A1B3FE" w:rsidR="00623940" w:rsidRPr="00EB0436" w:rsidRDefault="00623940" w:rsidP="00EB0436">
            <w:pPr>
              <w:spacing w:before="40"/>
              <w:rPr>
                <w:rFonts w:ascii="Arial Narrow" w:hAnsi="Arial Narrow" w:cs="Calibri"/>
                <w:b/>
                <w:bCs/>
                <w:color w:val="000000"/>
              </w:rPr>
            </w:pPr>
            <w:r w:rsidRPr="00EB0436">
              <w:rPr>
                <w:rFonts w:ascii="Arial Narrow" w:hAnsi="Arial Narrow" w:cs="Calibri"/>
                <w:b/>
                <w:bCs/>
                <w:color w:val="000000"/>
              </w:rPr>
              <w:t>Costs</w:t>
            </w:r>
          </w:p>
        </w:tc>
      </w:tr>
      <w:tr w:rsidR="002C532F" w:rsidRPr="00885119" w14:paraId="3B9EDF72" w14:textId="77777777" w:rsidTr="003D6646">
        <w:trPr>
          <w:cantSplit/>
          <w:trHeight w:val="291"/>
        </w:trPr>
        <w:tc>
          <w:tcPr>
            <w:tcW w:w="2590" w:type="pct"/>
            <w:shd w:val="clear" w:color="auto" w:fill="auto"/>
            <w:vAlign w:val="center"/>
            <w:hideMark/>
          </w:tcPr>
          <w:p w14:paraId="46D9E5CA" w14:textId="151A9CB4" w:rsidR="002C532F" w:rsidRPr="00885119" w:rsidRDefault="002C532F" w:rsidP="002C532F">
            <w:pPr>
              <w:spacing w:before="40"/>
              <w:rPr>
                <w:rFonts w:ascii="Arial Narrow" w:hAnsi="Arial Narrow" w:cs="Calibri"/>
                <w:color w:val="000000"/>
              </w:rPr>
            </w:pPr>
            <w:r>
              <w:rPr>
                <w:rFonts w:ascii="Arial Narrow" w:hAnsi="Arial Narrow" w:cs="Calibri"/>
                <w:color w:val="000000"/>
              </w:rPr>
              <w:t>Carrier</w:t>
            </w:r>
            <w:r w:rsidRPr="00885119">
              <w:rPr>
                <w:rFonts w:ascii="Arial Narrow" w:hAnsi="Arial Narrow" w:cs="Calibri"/>
                <w:color w:val="000000"/>
              </w:rPr>
              <w:t xml:space="preserve"> Testing</w:t>
            </w:r>
          </w:p>
        </w:tc>
        <w:tc>
          <w:tcPr>
            <w:tcW w:w="2410" w:type="pct"/>
            <w:vAlign w:val="center"/>
            <w:hideMark/>
          </w:tcPr>
          <w:p w14:paraId="305157B7" w14:textId="1C5194D8"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$1,880.71</w:t>
            </w:r>
          </w:p>
        </w:tc>
      </w:tr>
      <w:tr w:rsidR="002C532F" w:rsidRPr="00885119" w14:paraId="5C71DD22" w14:textId="77777777" w:rsidTr="003D6646">
        <w:trPr>
          <w:cantSplit/>
          <w:trHeight w:val="291"/>
        </w:trPr>
        <w:tc>
          <w:tcPr>
            <w:tcW w:w="2590" w:type="pct"/>
            <w:shd w:val="clear" w:color="auto" w:fill="auto"/>
            <w:vAlign w:val="center"/>
            <w:hideMark/>
          </w:tcPr>
          <w:p w14:paraId="58EEFBB1" w14:textId="62759F5D" w:rsidR="002C532F" w:rsidRPr="00885119" w:rsidRDefault="002C532F" w:rsidP="002C532F">
            <w:pPr>
              <w:spacing w:before="40"/>
              <w:rPr>
                <w:rFonts w:ascii="Arial Narrow" w:hAnsi="Arial Narrow" w:cs="Calibri"/>
                <w:color w:val="000000"/>
              </w:rPr>
            </w:pPr>
            <w:r w:rsidRPr="00885119">
              <w:rPr>
                <w:rFonts w:ascii="Arial Narrow" w:hAnsi="Arial Narrow" w:cs="Calibri"/>
                <w:color w:val="000000"/>
              </w:rPr>
              <w:t>CF/SMA/FXS Testing Only</w:t>
            </w:r>
          </w:p>
        </w:tc>
        <w:tc>
          <w:tcPr>
            <w:tcW w:w="2410" w:type="pct"/>
            <w:vAlign w:val="center"/>
            <w:hideMark/>
          </w:tcPr>
          <w:p w14:paraId="633AA8FD" w14:textId="00C7E575"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$2,806.00</w:t>
            </w:r>
          </w:p>
        </w:tc>
      </w:tr>
      <w:tr w:rsidR="002C532F" w:rsidRPr="00885119" w14:paraId="77FCE564" w14:textId="77777777" w:rsidTr="003D6646">
        <w:trPr>
          <w:cantSplit/>
          <w:trHeight w:val="301"/>
        </w:trPr>
        <w:tc>
          <w:tcPr>
            <w:tcW w:w="2590" w:type="pct"/>
            <w:shd w:val="clear" w:color="auto" w:fill="auto"/>
            <w:vAlign w:val="center"/>
            <w:hideMark/>
          </w:tcPr>
          <w:p w14:paraId="173D386C" w14:textId="339DC5DC" w:rsidR="002C532F" w:rsidRPr="00885119" w:rsidRDefault="002C532F" w:rsidP="002C532F">
            <w:pPr>
              <w:spacing w:before="40"/>
              <w:rPr>
                <w:rFonts w:ascii="Arial Narrow" w:hAnsi="Arial Narrow" w:cs="Calibri"/>
                <w:color w:val="000000"/>
              </w:rPr>
            </w:pPr>
            <w:r w:rsidRPr="00885119">
              <w:rPr>
                <w:rFonts w:ascii="Arial Narrow" w:hAnsi="Arial Narrow" w:cs="Calibri"/>
                <w:color w:val="000000"/>
              </w:rPr>
              <w:t>Incremental costs</w:t>
            </w:r>
          </w:p>
        </w:tc>
        <w:tc>
          <w:tcPr>
            <w:tcW w:w="2410" w:type="pct"/>
            <w:vAlign w:val="center"/>
            <w:hideMark/>
          </w:tcPr>
          <w:p w14:paraId="22AA3D43" w14:textId="0FBA7BD2" w:rsidR="002C532F" w:rsidRPr="00885119" w:rsidRDefault="002C532F" w:rsidP="002C532F">
            <w:pPr>
              <w:spacing w:before="40"/>
              <w:jc w:val="center"/>
              <w:rPr>
                <w:rFonts w:ascii="Arial Narrow" w:hAnsi="Arial Narrow" w:cs="Calibri"/>
                <w:color w:val="000000"/>
              </w:rPr>
            </w:pPr>
            <w:r>
              <w:rPr>
                <w:rFonts w:ascii="Arial Narrow" w:hAnsi="Arial Narrow" w:cs="Calibri"/>
                <w:color w:val="FF0000"/>
              </w:rPr>
              <w:t>-$925.29</w:t>
            </w:r>
          </w:p>
        </w:tc>
      </w:tr>
      <w:tr w:rsidR="002C532F" w:rsidRPr="00885119" w14:paraId="0185D252" w14:textId="77777777" w:rsidTr="003D6646">
        <w:trPr>
          <w:cantSplit/>
          <w:trHeight w:val="291"/>
        </w:trPr>
        <w:tc>
          <w:tcPr>
            <w:tcW w:w="5000" w:type="pct"/>
            <w:gridSpan w:val="2"/>
            <w:hideMark/>
          </w:tcPr>
          <w:p w14:paraId="5831974A" w14:textId="4D377F8D" w:rsidR="002C532F" w:rsidRPr="00EB0436" w:rsidRDefault="002C532F" w:rsidP="002C532F">
            <w:pPr>
              <w:spacing w:before="40"/>
              <w:rPr>
                <w:rFonts w:ascii="Arial Narrow" w:hAnsi="Arial Narrow" w:cs="Calibri"/>
                <w:b/>
                <w:bCs/>
                <w:color w:val="000000"/>
              </w:rPr>
            </w:pPr>
            <w:r w:rsidRPr="00EB0436">
              <w:rPr>
                <w:rFonts w:ascii="Arial Narrow" w:hAnsi="Arial Narrow"/>
                <w:b/>
                <w:bCs/>
              </w:rPr>
              <w:t>TSD births averted (/100,000 births)</w:t>
            </w:r>
          </w:p>
        </w:tc>
      </w:tr>
      <w:tr w:rsidR="002C532F" w:rsidRPr="00885119" w14:paraId="1CA95B8E" w14:textId="77777777" w:rsidTr="002C532F">
        <w:trPr>
          <w:cantSplit/>
          <w:trHeight w:val="291"/>
        </w:trPr>
        <w:tc>
          <w:tcPr>
            <w:tcW w:w="2590" w:type="pct"/>
            <w:hideMark/>
          </w:tcPr>
          <w:p w14:paraId="05E23E81" w14:textId="0561A8FB"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53847C82" w14:textId="52645ECD"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28</w:t>
            </w:r>
          </w:p>
        </w:tc>
      </w:tr>
      <w:tr w:rsidR="002C532F" w:rsidRPr="00885119" w14:paraId="0E2C9E1C" w14:textId="77777777" w:rsidTr="002C532F">
        <w:trPr>
          <w:cantSplit/>
          <w:trHeight w:val="291"/>
        </w:trPr>
        <w:tc>
          <w:tcPr>
            <w:tcW w:w="2590" w:type="pct"/>
            <w:hideMark/>
          </w:tcPr>
          <w:p w14:paraId="282A2663" w14:textId="6C44091B"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740F6899" w14:textId="6F95B8CC"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44</w:t>
            </w:r>
          </w:p>
        </w:tc>
      </w:tr>
      <w:tr w:rsidR="002C532F" w:rsidRPr="00885119" w14:paraId="27D03A58" w14:textId="77777777" w:rsidTr="002C532F">
        <w:trPr>
          <w:cantSplit/>
          <w:trHeight w:val="301"/>
        </w:trPr>
        <w:tc>
          <w:tcPr>
            <w:tcW w:w="2590" w:type="pct"/>
            <w:hideMark/>
          </w:tcPr>
          <w:p w14:paraId="60BA5AA2" w14:textId="4C89584F"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6833D71C" w14:textId="5DDF643E"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15</w:t>
            </w:r>
          </w:p>
        </w:tc>
      </w:tr>
      <w:tr w:rsidR="002C532F" w:rsidRPr="00885119" w14:paraId="5A1A2B0C" w14:textId="77777777" w:rsidTr="002C532F">
        <w:trPr>
          <w:cantSplit/>
          <w:trHeight w:val="301"/>
        </w:trPr>
        <w:tc>
          <w:tcPr>
            <w:tcW w:w="2590" w:type="pct"/>
            <w:hideMark/>
          </w:tcPr>
          <w:p w14:paraId="7A5B0E64" w14:textId="42A183B7"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(cost/TSD births averted)</w:t>
            </w:r>
          </w:p>
        </w:tc>
        <w:tc>
          <w:tcPr>
            <w:tcW w:w="2410" w:type="pct"/>
            <w:vAlign w:val="center"/>
            <w:hideMark/>
          </w:tcPr>
          <w:p w14:paraId="12441D06" w14:textId="5E157B5C"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42161E89" w14:textId="77777777" w:rsidTr="003D6646">
        <w:trPr>
          <w:cantSplit/>
          <w:trHeight w:val="291"/>
        </w:trPr>
        <w:tc>
          <w:tcPr>
            <w:tcW w:w="5000" w:type="pct"/>
            <w:gridSpan w:val="2"/>
            <w:hideMark/>
          </w:tcPr>
          <w:p w14:paraId="38F24A38" w14:textId="04552C3F" w:rsidR="002C532F" w:rsidRPr="00EB0436" w:rsidRDefault="002C532F" w:rsidP="002C532F">
            <w:pPr>
              <w:spacing w:before="40"/>
              <w:rPr>
                <w:rFonts w:ascii="Arial Narrow" w:hAnsi="Arial Narrow" w:cs="Calibri"/>
                <w:b/>
                <w:bCs/>
                <w:color w:val="000000"/>
              </w:rPr>
            </w:pPr>
            <w:r w:rsidRPr="00EB0436">
              <w:rPr>
                <w:rFonts w:ascii="Arial Narrow" w:hAnsi="Arial Narrow"/>
                <w:b/>
                <w:bCs/>
              </w:rPr>
              <w:t>CD births averted (/100,000 births)</w:t>
            </w:r>
          </w:p>
        </w:tc>
      </w:tr>
      <w:tr w:rsidR="002C532F" w:rsidRPr="00885119" w14:paraId="5BEEB00E" w14:textId="77777777" w:rsidTr="002C532F">
        <w:trPr>
          <w:cantSplit/>
          <w:trHeight w:val="291"/>
        </w:trPr>
        <w:tc>
          <w:tcPr>
            <w:tcW w:w="2590" w:type="pct"/>
            <w:hideMark/>
          </w:tcPr>
          <w:p w14:paraId="659E3F97" w14:textId="1FD9B35F"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02FA6B30" w14:textId="67F04285"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11</w:t>
            </w:r>
          </w:p>
        </w:tc>
      </w:tr>
      <w:tr w:rsidR="002C532F" w:rsidRPr="00885119" w14:paraId="363751CF" w14:textId="77777777" w:rsidTr="002C532F">
        <w:trPr>
          <w:cantSplit/>
          <w:trHeight w:val="291"/>
        </w:trPr>
        <w:tc>
          <w:tcPr>
            <w:tcW w:w="2590" w:type="pct"/>
            <w:hideMark/>
          </w:tcPr>
          <w:p w14:paraId="6EE4FBF3" w14:textId="10ADDC84"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61A29B93" w14:textId="0E8D8442"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17</w:t>
            </w:r>
          </w:p>
        </w:tc>
      </w:tr>
      <w:tr w:rsidR="002C532F" w:rsidRPr="00885119" w14:paraId="7397F7A6" w14:textId="77777777" w:rsidTr="002C532F">
        <w:trPr>
          <w:cantSplit/>
          <w:trHeight w:val="301"/>
        </w:trPr>
        <w:tc>
          <w:tcPr>
            <w:tcW w:w="2590" w:type="pct"/>
            <w:hideMark/>
          </w:tcPr>
          <w:p w14:paraId="034A5243" w14:textId="1D15F3A0"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55428292" w14:textId="66178D40"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6</w:t>
            </w:r>
          </w:p>
        </w:tc>
      </w:tr>
      <w:tr w:rsidR="002C532F" w:rsidRPr="00885119" w14:paraId="69661FAB" w14:textId="77777777" w:rsidTr="002C532F">
        <w:trPr>
          <w:cantSplit/>
          <w:trHeight w:val="301"/>
        </w:trPr>
        <w:tc>
          <w:tcPr>
            <w:tcW w:w="2590" w:type="pct"/>
            <w:hideMark/>
          </w:tcPr>
          <w:p w14:paraId="28049FA1" w14:textId="0E7786FF"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(cost/CD births averted)</w:t>
            </w:r>
          </w:p>
        </w:tc>
        <w:tc>
          <w:tcPr>
            <w:tcW w:w="2410" w:type="pct"/>
            <w:vAlign w:val="center"/>
            <w:hideMark/>
          </w:tcPr>
          <w:p w14:paraId="546CB4EF" w14:textId="3092AFB6"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7B0F7787" w14:textId="77777777" w:rsidTr="003D6646">
        <w:trPr>
          <w:cantSplit/>
          <w:trHeight w:val="291"/>
        </w:trPr>
        <w:tc>
          <w:tcPr>
            <w:tcW w:w="5000" w:type="pct"/>
            <w:gridSpan w:val="2"/>
            <w:hideMark/>
          </w:tcPr>
          <w:p w14:paraId="0DD9E413" w14:textId="177BEB78" w:rsidR="002C532F" w:rsidRPr="00885119" w:rsidRDefault="002C532F" w:rsidP="002C532F">
            <w:pPr>
              <w:spacing w:before="40"/>
              <w:rPr>
                <w:rFonts w:ascii="Arial Narrow" w:hAnsi="Arial Narrow" w:cs="Calibri"/>
                <w:color w:val="000000"/>
              </w:rPr>
            </w:pPr>
            <w:r w:rsidRPr="00EB0436">
              <w:rPr>
                <w:rFonts w:ascii="Arial Narrow" w:hAnsi="Arial Narrow"/>
              </w:rPr>
              <w:lastRenderedPageBreak/>
              <w:t>FD births averted (/100,000 births)</w:t>
            </w:r>
          </w:p>
        </w:tc>
      </w:tr>
      <w:tr w:rsidR="002C532F" w:rsidRPr="00885119" w14:paraId="37D89405" w14:textId="77777777" w:rsidTr="002C532F">
        <w:trPr>
          <w:cantSplit/>
          <w:trHeight w:val="291"/>
        </w:trPr>
        <w:tc>
          <w:tcPr>
            <w:tcW w:w="2590" w:type="pct"/>
            <w:hideMark/>
          </w:tcPr>
          <w:p w14:paraId="1B6972F3" w14:textId="3B257E1C"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376BA653" w14:textId="066B9C55"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18</w:t>
            </w:r>
          </w:p>
        </w:tc>
      </w:tr>
      <w:tr w:rsidR="002C532F" w:rsidRPr="00885119" w14:paraId="23B408D1" w14:textId="77777777" w:rsidTr="002C532F">
        <w:trPr>
          <w:cantSplit/>
          <w:trHeight w:val="291"/>
        </w:trPr>
        <w:tc>
          <w:tcPr>
            <w:tcW w:w="2590" w:type="pct"/>
            <w:hideMark/>
          </w:tcPr>
          <w:p w14:paraId="0AB363CE" w14:textId="5EA7806C"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1F087D1A" w14:textId="695919BB"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30</w:t>
            </w:r>
          </w:p>
        </w:tc>
      </w:tr>
      <w:tr w:rsidR="002C532F" w:rsidRPr="00885119" w14:paraId="7F2277DC" w14:textId="77777777" w:rsidTr="002C532F">
        <w:trPr>
          <w:cantSplit/>
          <w:trHeight w:val="301"/>
        </w:trPr>
        <w:tc>
          <w:tcPr>
            <w:tcW w:w="2590" w:type="pct"/>
            <w:hideMark/>
          </w:tcPr>
          <w:p w14:paraId="4CC30082" w14:textId="549689D7"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6FF7591C" w14:textId="31FF8527"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12</w:t>
            </w:r>
          </w:p>
        </w:tc>
      </w:tr>
      <w:tr w:rsidR="002C532F" w:rsidRPr="00885119" w14:paraId="350AE660" w14:textId="77777777" w:rsidTr="002C532F">
        <w:trPr>
          <w:cantSplit/>
          <w:trHeight w:val="301"/>
        </w:trPr>
        <w:tc>
          <w:tcPr>
            <w:tcW w:w="2590" w:type="pct"/>
            <w:hideMark/>
          </w:tcPr>
          <w:p w14:paraId="685D3A51" w14:textId="7B591459"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(cost/FD births averted)</w:t>
            </w:r>
          </w:p>
        </w:tc>
        <w:tc>
          <w:tcPr>
            <w:tcW w:w="2410" w:type="pct"/>
            <w:vAlign w:val="center"/>
            <w:hideMark/>
          </w:tcPr>
          <w:p w14:paraId="5B9317F5" w14:textId="32A3EA48"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4799FF73" w14:textId="77777777" w:rsidTr="003D6646">
        <w:trPr>
          <w:cantSplit/>
          <w:trHeight w:val="291"/>
        </w:trPr>
        <w:tc>
          <w:tcPr>
            <w:tcW w:w="5000" w:type="pct"/>
            <w:gridSpan w:val="2"/>
            <w:hideMark/>
          </w:tcPr>
          <w:p w14:paraId="7E34B894" w14:textId="17232ED3" w:rsidR="002C532F" w:rsidRPr="00EB0436" w:rsidRDefault="002C532F" w:rsidP="002C532F">
            <w:pPr>
              <w:spacing w:before="40"/>
              <w:rPr>
                <w:rFonts w:ascii="Arial Narrow" w:hAnsi="Arial Narrow" w:cs="Calibri"/>
                <w:b/>
                <w:bCs/>
                <w:color w:val="000000"/>
              </w:rPr>
            </w:pPr>
            <w:r w:rsidRPr="00EB0436">
              <w:rPr>
                <w:rFonts w:ascii="Arial Narrow" w:hAnsi="Arial Narrow"/>
                <w:b/>
                <w:bCs/>
              </w:rPr>
              <w:t>MLD births averted (/100,000 births)</w:t>
            </w:r>
          </w:p>
        </w:tc>
      </w:tr>
      <w:tr w:rsidR="002C532F" w:rsidRPr="00885119" w14:paraId="7D51D7F3" w14:textId="77777777" w:rsidTr="002C532F">
        <w:trPr>
          <w:cantSplit/>
          <w:trHeight w:val="291"/>
        </w:trPr>
        <w:tc>
          <w:tcPr>
            <w:tcW w:w="2590" w:type="pct"/>
            <w:hideMark/>
          </w:tcPr>
          <w:p w14:paraId="79E9B804" w14:textId="170C9F51"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1645581C" w14:textId="555FA013"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w:t>
            </w:r>
          </w:p>
        </w:tc>
      </w:tr>
      <w:tr w:rsidR="002C532F" w:rsidRPr="00885119" w14:paraId="3B20302D" w14:textId="77777777" w:rsidTr="002C532F">
        <w:trPr>
          <w:cantSplit/>
          <w:trHeight w:val="291"/>
        </w:trPr>
        <w:tc>
          <w:tcPr>
            <w:tcW w:w="2590" w:type="pct"/>
            <w:hideMark/>
          </w:tcPr>
          <w:p w14:paraId="47D684CE" w14:textId="314AFE80"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0BB1B2AC" w14:textId="508CE386"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3</w:t>
            </w:r>
          </w:p>
        </w:tc>
      </w:tr>
      <w:tr w:rsidR="002C532F" w:rsidRPr="00885119" w14:paraId="5F3F3074" w14:textId="77777777" w:rsidTr="002C532F">
        <w:trPr>
          <w:cantSplit/>
          <w:trHeight w:val="301"/>
        </w:trPr>
        <w:tc>
          <w:tcPr>
            <w:tcW w:w="2590" w:type="pct"/>
            <w:hideMark/>
          </w:tcPr>
          <w:p w14:paraId="5CE4F0F5" w14:textId="41D95476"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55FCD333" w14:textId="480177BA"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w:t>
            </w:r>
          </w:p>
        </w:tc>
      </w:tr>
      <w:tr w:rsidR="002C532F" w:rsidRPr="00885119" w14:paraId="2432C473" w14:textId="77777777" w:rsidTr="002C532F">
        <w:trPr>
          <w:cantSplit/>
          <w:trHeight w:val="301"/>
        </w:trPr>
        <w:tc>
          <w:tcPr>
            <w:tcW w:w="2590" w:type="pct"/>
            <w:hideMark/>
          </w:tcPr>
          <w:p w14:paraId="1632C5AF" w14:textId="2C12148E"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(cost/MLD births averted)</w:t>
            </w:r>
          </w:p>
        </w:tc>
        <w:tc>
          <w:tcPr>
            <w:tcW w:w="2410" w:type="pct"/>
            <w:vAlign w:val="center"/>
            <w:hideMark/>
          </w:tcPr>
          <w:p w14:paraId="34D6817F" w14:textId="7B5AF18F"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0945432F" w14:textId="77777777" w:rsidTr="003D6646">
        <w:trPr>
          <w:cantSplit/>
          <w:trHeight w:val="291"/>
        </w:trPr>
        <w:tc>
          <w:tcPr>
            <w:tcW w:w="5000" w:type="pct"/>
            <w:gridSpan w:val="2"/>
            <w:hideMark/>
          </w:tcPr>
          <w:p w14:paraId="4AA7250D" w14:textId="683C5917" w:rsidR="002C532F" w:rsidRPr="00EB0436" w:rsidRDefault="002C532F" w:rsidP="002C532F">
            <w:pPr>
              <w:spacing w:before="40"/>
              <w:rPr>
                <w:rFonts w:ascii="Arial Narrow" w:hAnsi="Arial Narrow" w:cs="Calibri"/>
                <w:b/>
                <w:bCs/>
                <w:color w:val="000000"/>
              </w:rPr>
            </w:pPr>
            <w:r w:rsidRPr="00EB0436">
              <w:rPr>
                <w:rFonts w:ascii="Arial Narrow" w:hAnsi="Arial Narrow"/>
                <w:b/>
                <w:bCs/>
              </w:rPr>
              <w:t>GSD1 births averted (/100,000 births)</w:t>
            </w:r>
          </w:p>
        </w:tc>
      </w:tr>
      <w:tr w:rsidR="002C532F" w:rsidRPr="00885119" w14:paraId="11AB6EA0" w14:textId="77777777" w:rsidTr="002C532F">
        <w:trPr>
          <w:cantSplit/>
          <w:trHeight w:val="291"/>
        </w:trPr>
        <w:tc>
          <w:tcPr>
            <w:tcW w:w="2590" w:type="pct"/>
            <w:hideMark/>
          </w:tcPr>
          <w:p w14:paraId="412F2549" w14:textId="328393B5"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48B638BC" w14:textId="6AF1F6BA"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201</w:t>
            </w:r>
          </w:p>
        </w:tc>
      </w:tr>
      <w:tr w:rsidR="002C532F" w:rsidRPr="00885119" w14:paraId="207F56F8" w14:textId="77777777" w:rsidTr="002C532F">
        <w:trPr>
          <w:cantSplit/>
          <w:trHeight w:val="291"/>
        </w:trPr>
        <w:tc>
          <w:tcPr>
            <w:tcW w:w="2590" w:type="pct"/>
            <w:hideMark/>
          </w:tcPr>
          <w:p w14:paraId="78BF99EF" w14:textId="7EE3A574"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69814D4C" w14:textId="2F1D2206"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212</w:t>
            </w:r>
          </w:p>
        </w:tc>
      </w:tr>
      <w:tr w:rsidR="002C532F" w:rsidRPr="00885119" w14:paraId="375C1BD9" w14:textId="77777777" w:rsidTr="002C532F">
        <w:trPr>
          <w:cantSplit/>
          <w:trHeight w:val="301"/>
        </w:trPr>
        <w:tc>
          <w:tcPr>
            <w:tcW w:w="2590" w:type="pct"/>
            <w:hideMark/>
          </w:tcPr>
          <w:p w14:paraId="50383352" w14:textId="234224A4"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1715B8B8" w14:textId="0BAEFF46"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12</w:t>
            </w:r>
          </w:p>
        </w:tc>
      </w:tr>
      <w:tr w:rsidR="002C532F" w:rsidRPr="00885119" w14:paraId="4B698C83" w14:textId="77777777" w:rsidTr="002C532F">
        <w:trPr>
          <w:cantSplit/>
          <w:trHeight w:val="301"/>
        </w:trPr>
        <w:tc>
          <w:tcPr>
            <w:tcW w:w="2590" w:type="pct"/>
            <w:hideMark/>
          </w:tcPr>
          <w:p w14:paraId="63A525BA" w14:textId="3F5C307D"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(cost/GSD1 births averted)</w:t>
            </w:r>
          </w:p>
        </w:tc>
        <w:tc>
          <w:tcPr>
            <w:tcW w:w="2410" w:type="pct"/>
            <w:vAlign w:val="center"/>
            <w:hideMark/>
          </w:tcPr>
          <w:p w14:paraId="51A53EDD" w14:textId="5383D1A8"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5C759F01" w14:textId="77777777" w:rsidTr="003D6646">
        <w:trPr>
          <w:cantSplit/>
          <w:trHeight w:val="291"/>
        </w:trPr>
        <w:tc>
          <w:tcPr>
            <w:tcW w:w="5000" w:type="pct"/>
            <w:gridSpan w:val="2"/>
            <w:hideMark/>
          </w:tcPr>
          <w:p w14:paraId="2B404A78" w14:textId="4A522D7D" w:rsidR="002C532F" w:rsidRPr="00EB0436" w:rsidRDefault="002C532F" w:rsidP="002C532F">
            <w:pPr>
              <w:spacing w:before="40"/>
              <w:rPr>
                <w:rFonts w:ascii="Arial Narrow" w:hAnsi="Arial Narrow" w:cs="Calibri"/>
                <w:b/>
                <w:bCs/>
                <w:color w:val="000000"/>
              </w:rPr>
            </w:pPr>
            <w:r w:rsidRPr="00EB0436">
              <w:rPr>
                <w:rFonts w:ascii="Arial Narrow" w:hAnsi="Arial Narrow"/>
                <w:b/>
                <w:bCs/>
              </w:rPr>
              <w:t>FA births averted (/100,000 births)</w:t>
            </w:r>
          </w:p>
        </w:tc>
      </w:tr>
      <w:tr w:rsidR="002C532F" w:rsidRPr="00885119" w14:paraId="4D1766AA" w14:textId="77777777" w:rsidTr="002C532F">
        <w:trPr>
          <w:cantSplit/>
          <w:trHeight w:val="291"/>
        </w:trPr>
        <w:tc>
          <w:tcPr>
            <w:tcW w:w="2590" w:type="pct"/>
            <w:hideMark/>
          </w:tcPr>
          <w:p w14:paraId="2761D928" w14:textId="5DE821C2"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6FD4ADAB" w14:textId="030F00D6"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w:t>
            </w:r>
          </w:p>
        </w:tc>
      </w:tr>
      <w:tr w:rsidR="002C532F" w:rsidRPr="00885119" w14:paraId="39274384" w14:textId="77777777" w:rsidTr="002C532F">
        <w:trPr>
          <w:cantSplit/>
          <w:trHeight w:val="291"/>
        </w:trPr>
        <w:tc>
          <w:tcPr>
            <w:tcW w:w="2590" w:type="pct"/>
            <w:hideMark/>
          </w:tcPr>
          <w:p w14:paraId="15CA772E" w14:textId="229605D3"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134AD703" w14:textId="719FCD4F"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4</w:t>
            </w:r>
          </w:p>
        </w:tc>
      </w:tr>
      <w:tr w:rsidR="002C532F" w:rsidRPr="00885119" w14:paraId="4B6DF0B4" w14:textId="77777777" w:rsidTr="002C532F">
        <w:trPr>
          <w:cantSplit/>
          <w:trHeight w:val="301"/>
        </w:trPr>
        <w:tc>
          <w:tcPr>
            <w:tcW w:w="2590" w:type="pct"/>
            <w:hideMark/>
          </w:tcPr>
          <w:p w14:paraId="3255E5FC" w14:textId="3A81951E"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2464D5E1" w14:textId="1A94390E"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3</w:t>
            </w:r>
          </w:p>
        </w:tc>
      </w:tr>
      <w:tr w:rsidR="002C532F" w:rsidRPr="00885119" w14:paraId="425EC36C" w14:textId="77777777" w:rsidTr="002C532F">
        <w:trPr>
          <w:cantSplit/>
          <w:trHeight w:val="301"/>
        </w:trPr>
        <w:tc>
          <w:tcPr>
            <w:tcW w:w="2590" w:type="pct"/>
            <w:hideMark/>
          </w:tcPr>
          <w:p w14:paraId="53B80CAB" w14:textId="0E9616E0"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(cost/FA births averted)</w:t>
            </w:r>
          </w:p>
        </w:tc>
        <w:tc>
          <w:tcPr>
            <w:tcW w:w="2410" w:type="pct"/>
            <w:vAlign w:val="center"/>
            <w:hideMark/>
          </w:tcPr>
          <w:p w14:paraId="56CAEFCF" w14:textId="435D811D"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52E5AF5C" w14:textId="77777777" w:rsidTr="003D6646">
        <w:trPr>
          <w:cantSplit/>
          <w:trHeight w:val="291"/>
        </w:trPr>
        <w:tc>
          <w:tcPr>
            <w:tcW w:w="5000" w:type="pct"/>
            <w:gridSpan w:val="2"/>
            <w:hideMark/>
          </w:tcPr>
          <w:p w14:paraId="487BDD4D" w14:textId="28E88D8A" w:rsidR="002C532F" w:rsidRPr="00EB0436" w:rsidRDefault="002C532F" w:rsidP="002C532F">
            <w:pPr>
              <w:spacing w:before="40"/>
              <w:rPr>
                <w:rFonts w:ascii="Arial Narrow" w:hAnsi="Arial Narrow" w:cs="Calibri"/>
                <w:b/>
                <w:bCs/>
                <w:color w:val="000000"/>
              </w:rPr>
            </w:pPr>
            <w:r w:rsidRPr="00EB0436">
              <w:rPr>
                <w:rFonts w:ascii="Arial Narrow" w:hAnsi="Arial Narrow"/>
                <w:b/>
                <w:bCs/>
              </w:rPr>
              <w:t>GD births averted (/100,000 births)</w:t>
            </w:r>
          </w:p>
        </w:tc>
      </w:tr>
      <w:tr w:rsidR="002C532F" w:rsidRPr="00885119" w14:paraId="033EC290" w14:textId="77777777" w:rsidTr="002C532F">
        <w:trPr>
          <w:cantSplit/>
          <w:trHeight w:val="291"/>
        </w:trPr>
        <w:tc>
          <w:tcPr>
            <w:tcW w:w="2590" w:type="pct"/>
            <w:hideMark/>
          </w:tcPr>
          <w:p w14:paraId="508534D6" w14:textId="6C9E9E3C"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2148DC79" w14:textId="752F03C2"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30</w:t>
            </w:r>
          </w:p>
        </w:tc>
      </w:tr>
      <w:tr w:rsidR="002C532F" w:rsidRPr="00885119" w14:paraId="417B84D0" w14:textId="77777777" w:rsidTr="002C532F">
        <w:trPr>
          <w:cantSplit/>
          <w:trHeight w:val="291"/>
        </w:trPr>
        <w:tc>
          <w:tcPr>
            <w:tcW w:w="2590" w:type="pct"/>
            <w:hideMark/>
          </w:tcPr>
          <w:p w14:paraId="19BAAF0F" w14:textId="2E4B7ECC"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29DA9464" w14:textId="2A1F6246"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83</w:t>
            </w:r>
          </w:p>
        </w:tc>
      </w:tr>
      <w:tr w:rsidR="002C532F" w:rsidRPr="00885119" w14:paraId="17848CA8" w14:textId="77777777" w:rsidTr="002C532F">
        <w:trPr>
          <w:cantSplit/>
          <w:trHeight w:val="301"/>
        </w:trPr>
        <w:tc>
          <w:tcPr>
            <w:tcW w:w="2590" w:type="pct"/>
            <w:hideMark/>
          </w:tcPr>
          <w:p w14:paraId="3AA2FA27" w14:textId="5AF71DFC"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196374CD" w14:textId="1109D8EC"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53</w:t>
            </w:r>
          </w:p>
        </w:tc>
      </w:tr>
      <w:tr w:rsidR="002C532F" w:rsidRPr="00885119" w14:paraId="54651A6C" w14:textId="77777777" w:rsidTr="002C532F">
        <w:trPr>
          <w:cantSplit/>
          <w:trHeight w:val="301"/>
        </w:trPr>
        <w:tc>
          <w:tcPr>
            <w:tcW w:w="2590" w:type="pct"/>
            <w:hideMark/>
          </w:tcPr>
          <w:p w14:paraId="5314B4A4" w14:textId="59CE06A7"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(cost/GD births averted)</w:t>
            </w:r>
          </w:p>
        </w:tc>
        <w:tc>
          <w:tcPr>
            <w:tcW w:w="2410" w:type="pct"/>
            <w:vAlign w:val="center"/>
            <w:hideMark/>
          </w:tcPr>
          <w:p w14:paraId="5C62C67A" w14:textId="41D37FC5"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15622D17" w14:textId="77777777" w:rsidTr="003D6646">
        <w:trPr>
          <w:cantSplit/>
          <w:trHeight w:val="291"/>
        </w:trPr>
        <w:tc>
          <w:tcPr>
            <w:tcW w:w="5000" w:type="pct"/>
            <w:gridSpan w:val="2"/>
            <w:hideMark/>
          </w:tcPr>
          <w:p w14:paraId="45B394D9" w14:textId="29B478F8" w:rsidR="002C532F" w:rsidRPr="00EB0436" w:rsidRDefault="002C532F" w:rsidP="002C532F">
            <w:pPr>
              <w:spacing w:before="40"/>
              <w:rPr>
                <w:rFonts w:ascii="Arial Narrow" w:hAnsi="Arial Narrow" w:cs="Calibri"/>
                <w:b/>
                <w:bCs/>
                <w:color w:val="000000"/>
              </w:rPr>
            </w:pPr>
            <w:r w:rsidRPr="00EB0436">
              <w:rPr>
                <w:rFonts w:ascii="Arial Narrow" w:hAnsi="Arial Narrow"/>
                <w:b/>
                <w:bCs/>
              </w:rPr>
              <w:t>NPD births averted (/100,000 births)</w:t>
            </w:r>
          </w:p>
        </w:tc>
      </w:tr>
      <w:tr w:rsidR="002C532F" w:rsidRPr="00885119" w14:paraId="5A61D525" w14:textId="77777777" w:rsidTr="002C532F">
        <w:trPr>
          <w:cantSplit/>
          <w:trHeight w:val="291"/>
        </w:trPr>
        <w:tc>
          <w:tcPr>
            <w:tcW w:w="2590" w:type="pct"/>
            <w:hideMark/>
          </w:tcPr>
          <w:p w14:paraId="7268802D" w14:textId="77A10BC4"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2E0A40B9" w14:textId="69D97E95"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w:t>
            </w:r>
          </w:p>
        </w:tc>
      </w:tr>
      <w:tr w:rsidR="002C532F" w:rsidRPr="00885119" w14:paraId="66348096" w14:textId="77777777" w:rsidTr="002C532F">
        <w:trPr>
          <w:cantSplit/>
          <w:trHeight w:val="291"/>
        </w:trPr>
        <w:tc>
          <w:tcPr>
            <w:tcW w:w="2590" w:type="pct"/>
            <w:hideMark/>
          </w:tcPr>
          <w:p w14:paraId="763AC168" w14:textId="7AF96C70"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471AB23C" w14:textId="57DA080C"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4</w:t>
            </w:r>
          </w:p>
        </w:tc>
      </w:tr>
      <w:tr w:rsidR="002C532F" w:rsidRPr="00885119" w14:paraId="29A7B8F2" w14:textId="77777777" w:rsidTr="002C532F">
        <w:trPr>
          <w:cantSplit/>
          <w:trHeight w:val="301"/>
        </w:trPr>
        <w:tc>
          <w:tcPr>
            <w:tcW w:w="2590" w:type="pct"/>
            <w:hideMark/>
          </w:tcPr>
          <w:p w14:paraId="0735DDB3" w14:textId="7C0769E5"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3886E263" w14:textId="6273A01B"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3</w:t>
            </w:r>
          </w:p>
        </w:tc>
      </w:tr>
      <w:tr w:rsidR="002C532F" w:rsidRPr="00885119" w14:paraId="52D49F00" w14:textId="77777777" w:rsidTr="002C532F">
        <w:trPr>
          <w:cantSplit/>
          <w:trHeight w:val="301"/>
        </w:trPr>
        <w:tc>
          <w:tcPr>
            <w:tcW w:w="2590" w:type="pct"/>
            <w:hideMark/>
          </w:tcPr>
          <w:p w14:paraId="226EF29C" w14:textId="1C4E6305"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(cost/NPD births averted)</w:t>
            </w:r>
          </w:p>
        </w:tc>
        <w:tc>
          <w:tcPr>
            <w:tcW w:w="2410" w:type="pct"/>
            <w:vAlign w:val="center"/>
            <w:hideMark/>
          </w:tcPr>
          <w:p w14:paraId="155E0438" w14:textId="08D20D4B"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Dominant</w:t>
            </w:r>
          </w:p>
        </w:tc>
      </w:tr>
      <w:tr w:rsidR="002C532F" w:rsidRPr="00885119" w14:paraId="7C0842C3" w14:textId="77777777" w:rsidTr="003D6646">
        <w:trPr>
          <w:cantSplit/>
          <w:trHeight w:val="291"/>
        </w:trPr>
        <w:tc>
          <w:tcPr>
            <w:tcW w:w="5000" w:type="pct"/>
            <w:gridSpan w:val="2"/>
            <w:hideMark/>
          </w:tcPr>
          <w:p w14:paraId="41E4A7DB" w14:textId="3B9E9CEE" w:rsidR="002C532F" w:rsidRPr="00EB0436" w:rsidRDefault="002C532F" w:rsidP="002C532F">
            <w:pPr>
              <w:spacing w:before="40"/>
              <w:rPr>
                <w:rFonts w:ascii="Arial Narrow" w:hAnsi="Arial Narrow" w:cs="Calibri"/>
                <w:b/>
                <w:bCs/>
                <w:color w:val="000000"/>
              </w:rPr>
            </w:pPr>
            <w:r w:rsidRPr="00EB0436">
              <w:rPr>
                <w:rFonts w:ascii="Arial Narrow" w:hAnsi="Arial Narrow"/>
                <w:b/>
                <w:bCs/>
              </w:rPr>
              <w:t>BS births averted (/100,000 births)</w:t>
            </w:r>
          </w:p>
        </w:tc>
      </w:tr>
      <w:tr w:rsidR="002C532F" w:rsidRPr="00885119" w14:paraId="63CE8677" w14:textId="77777777" w:rsidTr="002C532F">
        <w:trPr>
          <w:cantSplit/>
          <w:trHeight w:val="291"/>
        </w:trPr>
        <w:tc>
          <w:tcPr>
            <w:tcW w:w="2590" w:type="pct"/>
            <w:hideMark/>
          </w:tcPr>
          <w:p w14:paraId="63F63A9C" w14:textId="49BE7DE1"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7833519A" w14:textId="7D54B5C8"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w:t>
            </w:r>
          </w:p>
        </w:tc>
      </w:tr>
      <w:tr w:rsidR="002C532F" w:rsidRPr="00885119" w14:paraId="1F248386" w14:textId="77777777" w:rsidTr="002C532F">
        <w:trPr>
          <w:cantSplit/>
          <w:trHeight w:val="291"/>
        </w:trPr>
        <w:tc>
          <w:tcPr>
            <w:tcW w:w="2590" w:type="pct"/>
            <w:hideMark/>
          </w:tcPr>
          <w:p w14:paraId="05097773" w14:textId="2A1E6026" w:rsidR="002C532F" w:rsidRPr="00885119" w:rsidRDefault="002C532F" w:rsidP="002C532F">
            <w:pPr>
              <w:spacing w:before="40"/>
              <w:rPr>
                <w:rFonts w:ascii="Arial Narrow" w:hAnsi="Arial Narrow" w:cs="Calibri"/>
                <w:color w:val="000000"/>
              </w:rPr>
            </w:pPr>
            <w:r w:rsidRPr="00EB0436">
              <w:rPr>
                <w:rFonts w:ascii="Arial Narrow" w:hAnsi="Arial Narrow"/>
              </w:rPr>
              <w:t>CF/SMA/FXS Testing Only</w:t>
            </w:r>
          </w:p>
        </w:tc>
        <w:tc>
          <w:tcPr>
            <w:tcW w:w="2410" w:type="pct"/>
            <w:vAlign w:val="center"/>
            <w:hideMark/>
          </w:tcPr>
          <w:p w14:paraId="57381FB0" w14:textId="35CEBB0F"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3</w:t>
            </w:r>
          </w:p>
        </w:tc>
      </w:tr>
      <w:tr w:rsidR="002C532F" w:rsidRPr="00885119" w14:paraId="483855BC" w14:textId="77777777" w:rsidTr="002C532F">
        <w:trPr>
          <w:cantSplit/>
          <w:trHeight w:val="301"/>
        </w:trPr>
        <w:tc>
          <w:tcPr>
            <w:tcW w:w="2590" w:type="pct"/>
            <w:hideMark/>
          </w:tcPr>
          <w:p w14:paraId="56D66453" w14:textId="6B5074FC"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79D3AA47" w14:textId="56EAFC99"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w:t>
            </w:r>
          </w:p>
        </w:tc>
      </w:tr>
      <w:tr w:rsidR="002C532F" w:rsidRPr="00885119" w14:paraId="184AD94A" w14:textId="77777777" w:rsidTr="002C532F">
        <w:trPr>
          <w:cantSplit/>
          <w:trHeight w:val="301"/>
        </w:trPr>
        <w:tc>
          <w:tcPr>
            <w:tcW w:w="2590" w:type="pct"/>
          </w:tcPr>
          <w:p w14:paraId="7CF644F8" w14:textId="4C7F8032" w:rsidR="002C532F" w:rsidRPr="00225B1B" w:rsidRDefault="002C532F" w:rsidP="002C532F">
            <w:pPr>
              <w:spacing w:before="40"/>
              <w:rPr>
                <w:rFonts w:ascii="Arial Narrow" w:hAnsi="Arial Narrow"/>
                <w:b/>
                <w:bCs/>
              </w:rPr>
            </w:pPr>
            <w:r>
              <w:rPr>
                <w:rFonts w:ascii="Arial Narrow" w:hAnsi="Arial Narrow"/>
                <w:b/>
                <w:bCs/>
              </w:rPr>
              <w:t>ICER (cost/BS births averted)</w:t>
            </w:r>
          </w:p>
        </w:tc>
        <w:tc>
          <w:tcPr>
            <w:tcW w:w="2410" w:type="pct"/>
            <w:vAlign w:val="center"/>
          </w:tcPr>
          <w:p w14:paraId="0EC0DF80" w14:textId="0FE964BC" w:rsidR="002C532F" w:rsidRPr="00225B1B" w:rsidRDefault="002C532F" w:rsidP="002C532F">
            <w:pPr>
              <w:spacing w:before="40"/>
              <w:jc w:val="center"/>
              <w:rPr>
                <w:rFonts w:ascii="Arial Narrow" w:hAnsi="Arial Narrow"/>
                <w:b/>
                <w:bCs/>
              </w:rPr>
            </w:pPr>
            <w:r>
              <w:rPr>
                <w:rFonts w:ascii="Arial Narrow" w:hAnsi="Arial Narrow" w:cs="Calibri"/>
                <w:b/>
                <w:bCs/>
                <w:color w:val="000000"/>
              </w:rPr>
              <w:t>Dominant</w:t>
            </w:r>
          </w:p>
        </w:tc>
      </w:tr>
      <w:tr w:rsidR="002C532F" w:rsidRPr="00885119" w14:paraId="6500495C" w14:textId="77777777" w:rsidTr="002C532F">
        <w:trPr>
          <w:cantSplit/>
          <w:trHeight w:val="301"/>
        </w:trPr>
        <w:tc>
          <w:tcPr>
            <w:tcW w:w="2590" w:type="pct"/>
            <w:hideMark/>
          </w:tcPr>
          <w:p w14:paraId="343DF586" w14:textId="34E4A934" w:rsidR="002C532F" w:rsidRPr="00885119" w:rsidRDefault="002C532F" w:rsidP="002C532F">
            <w:pPr>
              <w:spacing w:before="40"/>
              <w:rPr>
                <w:rFonts w:ascii="Arial Narrow" w:hAnsi="Arial Narrow" w:cs="Calibri"/>
                <w:b/>
                <w:bCs/>
                <w:color w:val="000000"/>
              </w:rPr>
            </w:pPr>
            <w:r w:rsidRPr="00EB0436">
              <w:rPr>
                <w:rFonts w:ascii="Arial Narrow" w:hAnsi="Arial Narrow"/>
                <w:b/>
                <w:bCs/>
              </w:rPr>
              <w:t>Termination</w:t>
            </w:r>
            <w:r>
              <w:rPr>
                <w:rFonts w:ascii="Arial Narrow" w:hAnsi="Arial Narrow"/>
                <w:b/>
                <w:bCs/>
              </w:rPr>
              <w:t xml:space="preserve"> of pregnancy</w:t>
            </w:r>
            <w:r w:rsidRPr="00EB0436">
              <w:rPr>
                <w:rFonts w:ascii="Arial Narrow" w:hAnsi="Arial Narrow"/>
                <w:b/>
                <w:bCs/>
              </w:rPr>
              <w:t xml:space="preserve"> (/100,000 births)</w:t>
            </w:r>
          </w:p>
        </w:tc>
        <w:tc>
          <w:tcPr>
            <w:tcW w:w="2410" w:type="pct"/>
            <w:vAlign w:val="center"/>
            <w:hideMark/>
          </w:tcPr>
          <w:p w14:paraId="4800E28E" w14:textId="421424DA" w:rsidR="002C532F" w:rsidRPr="00EB0436" w:rsidRDefault="002C532F" w:rsidP="002C532F">
            <w:pPr>
              <w:spacing w:before="40"/>
              <w:rPr>
                <w:rFonts w:ascii="Arial Narrow" w:hAnsi="Arial Narrow" w:cs="Calibri"/>
                <w:b/>
                <w:bCs/>
                <w:color w:val="000000"/>
              </w:rPr>
            </w:pPr>
          </w:p>
        </w:tc>
      </w:tr>
      <w:tr w:rsidR="002C532F" w:rsidRPr="00885119" w14:paraId="79E4D271" w14:textId="77777777" w:rsidTr="002C532F">
        <w:trPr>
          <w:cantSplit/>
          <w:trHeight w:val="291"/>
        </w:trPr>
        <w:tc>
          <w:tcPr>
            <w:tcW w:w="2590" w:type="pct"/>
            <w:hideMark/>
          </w:tcPr>
          <w:p w14:paraId="570B3E37" w14:textId="2E5069C1"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655E9E1E" w14:textId="71BB5569"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740</w:t>
            </w:r>
          </w:p>
        </w:tc>
      </w:tr>
      <w:tr w:rsidR="002C532F" w:rsidRPr="00885119" w14:paraId="61D8E27D" w14:textId="77777777" w:rsidTr="002C532F">
        <w:trPr>
          <w:cantSplit/>
          <w:trHeight w:val="291"/>
        </w:trPr>
        <w:tc>
          <w:tcPr>
            <w:tcW w:w="2590" w:type="pct"/>
            <w:hideMark/>
          </w:tcPr>
          <w:p w14:paraId="5A6A2851" w14:textId="7549931D" w:rsidR="002C532F" w:rsidRPr="00885119" w:rsidRDefault="004F6F00" w:rsidP="002C532F">
            <w:pPr>
              <w:spacing w:before="40"/>
              <w:rPr>
                <w:rFonts w:ascii="Arial Narrow" w:hAnsi="Arial Narrow" w:cs="Calibri"/>
                <w:color w:val="000000"/>
              </w:rPr>
            </w:pPr>
            <w:r w:rsidRPr="00EB0436">
              <w:rPr>
                <w:rFonts w:ascii="Arial Narrow" w:hAnsi="Arial Narrow"/>
              </w:rPr>
              <w:t>CF/SMA/FXS Testing Only</w:t>
            </w:r>
            <w:r w:rsidRPr="00EB0436" w:rsidDel="004F6F00">
              <w:rPr>
                <w:rFonts w:ascii="Arial Narrow" w:hAnsi="Arial Narrow"/>
              </w:rPr>
              <w:t xml:space="preserve"> </w:t>
            </w:r>
          </w:p>
        </w:tc>
        <w:tc>
          <w:tcPr>
            <w:tcW w:w="2410" w:type="pct"/>
            <w:vAlign w:val="center"/>
            <w:hideMark/>
          </w:tcPr>
          <w:p w14:paraId="3599A197" w14:textId="3AC89B8D"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299</w:t>
            </w:r>
          </w:p>
        </w:tc>
      </w:tr>
      <w:tr w:rsidR="002C532F" w:rsidRPr="00885119" w14:paraId="1B4678B2" w14:textId="77777777" w:rsidTr="002C532F">
        <w:trPr>
          <w:cantSplit/>
          <w:trHeight w:val="301"/>
        </w:trPr>
        <w:tc>
          <w:tcPr>
            <w:tcW w:w="2590" w:type="pct"/>
            <w:hideMark/>
          </w:tcPr>
          <w:p w14:paraId="5875BDEF" w14:textId="232DCD35"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38046293" w14:textId="6552BF3F"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-441</w:t>
            </w:r>
          </w:p>
        </w:tc>
      </w:tr>
      <w:tr w:rsidR="002C532F" w:rsidRPr="00885119" w14:paraId="7ACD6CFD" w14:textId="77777777" w:rsidTr="002C532F">
        <w:trPr>
          <w:cantSplit/>
          <w:trHeight w:val="301"/>
        </w:trPr>
        <w:tc>
          <w:tcPr>
            <w:tcW w:w="2590" w:type="pct"/>
            <w:hideMark/>
          </w:tcPr>
          <w:p w14:paraId="79910F97" w14:textId="0FE6BAFC"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 savings/Termination)</w:t>
            </w:r>
          </w:p>
        </w:tc>
        <w:tc>
          <w:tcPr>
            <w:tcW w:w="2410" w:type="pct"/>
            <w:vAlign w:val="center"/>
            <w:hideMark/>
          </w:tcPr>
          <w:p w14:paraId="4D100645" w14:textId="327FBB5D"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$2</w:t>
            </w:r>
          </w:p>
        </w:tc>
      </w:tr>
      <w:tr w:rsidR="002C532F" w:rsidRPr="00885119" w14:paraId="32F31CA0" w14:textId="77777777" w:rsidTr="003D6646">
        <w:trPr>
          <w:cantSplit/>
          <w:trHeight w:val="291"/>
        </w:trPr>
        <w:tc>
          <w:tcPr>
            <w:tcW w:w="5000" w:type="pct"/>
            <w:gridSpan w:val="2"/>
            <w:hideMark/>
          </w:tcPr>
          <w:p w14:paraId="35DB23A4" w14:textId="0D2A7C8C" w:rsidR="002C532F" w:rsidRPr="00EB0436" w:rsidRDefault="002C532F" w:rsidP="002C532F">
            <w:pPr>
              <w:spacing w:before="40"/>
              <w:rPr>
                <w:rFonts w:ascii="Arial Narrow" w:hAnsi="Arial Narrow" w:cs="Calibri"/>
                <w:b/>
                <w:bCs/>
                <w:color w:val="000000"/>
              </w:rPr>
            </w:pPr>
            <w:r w:rsidRPr="00EB0436">
              <w:rPr>
                <w:rFonts w:ascii="Arial Narrow" w:hAnsi="Arial Narrow"/>
                <w:b/>
                <w:bCs/>
              </w:rPr>
              <w:t>IVF (/100,000 births)</w:t>
            </w:r>
          </w:p>
        </w:tc>
      </w:tr>
      <w:tr w:rsidR="002C532F" w:rsidRPr="00885119" w14:paraId="7A90F499" w14:textId="77777777" w:rsidTr="002C532F">
        <w:trPr>
          <w:cantSplit/>
          <w:trHeight w:val="291"/>
        </w:trPr>
        <w:tc>
          <w:tcPr>
            <w:tcW w:w="2590" w:type="pct"/>
            <w:hideMark/>
          </w:tcPr>
          <w:p w14:paraId="339DFBFE" w14:textId="3991DA5F" w:rsidR="002C532F" w:rsidRPr="00885119" w:rsidRDefault="002C532F" w:rsidP="002C532F">
            <w:pPr>
              <w:spacing w:before="40"/>
              <w:rPr>
                <w:rFonts w:ascii="Arial Narrow" w:hAnsi="Arial Narrow" w:cs="Calibri"/>
                <w:color w:val="000000"/>
              </w:rPr>
            </w:pPr>
            <w:r>
              <w:rPr>
                <w:rFonts w:ascii="Arial Narrow" w:hAnsi="Arial Narrow"/>
              </w:rPr>
              <w:t>Carrier</w:t>
            </w:r>
            <w:r w:rsidRPr="00EB0436">
              <w:rPr>
                <w:rFonts w:ascii="Arial Narrow" w:hAnsi="Arial Narrow"/>
              </w:rPr>
              <w:t xml:space="preserve"> Testing</w:t>
            </w:r>
          </w:p>
        </w:tc>
        <w:tc>
          <w:tcPr>
            <w:tcW w:w="2410" w:type="pct"/>
            <w:vAlign w:val="center"/>
            <w:hideMark/>
          </w:tcPr>
          <w:p w14:paraId="4ED91F42" w14:textId="6943B2B4"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652</w:t>
            </w:r>
          </w:p>
        </w:tc>
      </w:tr>
      <w:tr w:rsidR="002C532F" w:rsidRPr="00885119" w14:paraId="62545680" w14:textId="77777777" w:rsidTr="002C532F">
        <w:trPr>
          <w:cantSplit/>
          <w:trHeight w:val="291"/>
        </w:trPr>
        <w:tc>
          <w:tcPr>
            <w:tcW w:w="2590" w:type="pct"/>
            <w:hideMark/>
          </w:tcPr>
          <w:p w14:paraId="260498AE" w14:textId="28F25B8B" w:rsidR="002C532F" w:rsidRPr="00885119" w:rsidRDefault="002C532F" w:rsidP="002C532F">
            <w:pPr>
              <w:spacing w:before="40"/>
              <w:rPr>
                <w:rFonts w:ascii="Arial Narrow" w:hAnsi="Arial Narrow" w:cs="Calibri"/>
                <w:color w:val="000000"/>
              </w:rPr>
            </w:pPr>
            <w:r w:rsidRPr="00EB0436">
              <w:rPr>
                <w:rFonts w:ascii="Arial Narrow" w:hAnsi="Arial Narrow"/>
              </w:rPr>
              <w:lastRenderedPageBreak/>
              <w:t>CF/SMA/FXS Testing Only</w:t>
            </w:r>
          </w:p>
        </w:tc>
        <w:tc>
          <w:tcPr>
            <w:tcW w:w="2410" w:type="pct"/>
            <w:vAlign w:val="center"/>
            <w:hideMark/>
          </w:tcPr>
          <w:p w14:paraId="196211DF" w14:textId="652B8E03"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156</w:t>
            </w:r>
          </w:p>
        </w:tc>
      </w:tr>
      <w:tr w:rsidR="002C532F" w:rsidRPr="00885119" w14:paraId="15A56ADA" w14:textId="77777777" w:rsidTr="002C532F">
        <w:trPr>
          <w:cantSplit/>
          <w:trHeight w:val="301"/>
        </w:trPr>
        <w:tc>
          <w:tcPr>
            <w:tcW w:w="2590" w:type="pct"/>
            <w:hideMark/>
          </w:tcPr>
          <w:p w14:paraId="58875912" w14:textId="1012C23C" w:rsidR="002C532F" w:rsidRPr="00885119" w:rsidRDefault="002C532F" w:rsidP="002C532F">
            <w:pPr>
              <w:spacing w:before="40"/>
              <w:rPr>
                <w:rFonts w:ascii="Arial Narrow" w:hAnsi="Arial Narrow" w:cs="Calibri"/>
                <w:color w:val="000000"/>
              </w:rPr>
            </w:pPr>
            <w:r w:rsidRPr="00EB0436">
              <w:rPr>
                <w:rFonts w:ascii="Arial Narrow" w:hAnsi="Arial Narrow"/>
              </w:rPr>
              <w:t>Incremental effectiveness</w:t>
            </w:r>
          </w:p>
        </w:tc>
        <w:tc>
          <w:tcPr>
            <w:tcW w:w="2410" w:type="pct"/>
            <w:vAlign w:val="center"/>
            <w:hideMark/>
          </w:tcPr>
          <w:p w14:paraId="5B70E8F2" w14:textId="741016B4" w:rsidR="002C532F" w:rsidRPr="00885119" w:rsidRDefault="002C532F" w:rsidP="002C532F">
            <w:pPr>
              <w:spacing w:before="40"/>
              <w:jc w:val="center"/>
              <w:rPr>
                <w:rFonts w:ascii="Arial Narrow" w:hAnsi="Arial Narrow" w:cs="Calibri"/>
                <w:color w:val="000000"/>
              </w:rPr>
            </w:pPr>
            <w:r>
              <w:rPr>
                <w:rFonts w:ascii="Arial Narrow" w:hAnsi="Arial Narrow" w:cs="Calibri"/>
                <w:color w:val="000000"/>
              </w:rPr>
              <w:t>-497</w:t>
            </w:r>
          </w:p>
        </w:tc>
      </w:tr>
      <w:tr w:rsidR="002C532F" w:rsidRPr="00885119" w14:paraId="443F4E28" w14:textId="77777777" w:rsidTr="002C532F">
        <w:trPr>
          <w:cantSplit/>
          <w:trHeight w:val="301"/>
        </w:trPr>
        <w:tc>
          <w:tcPr>
            <w:tcW w:w="2590" w:type="pct"/>
            <w:hideMark/>
          </w:tcPr>
          <w:p w14:paraId="0600E5FF" w14:textId="601327A2" w:rsidR="002C532F" w:rsidRPr="00EB0436" w:rsidRDefault="002C532F" w:rsidP="002C532F">
            <w:pPr>
              <w:spacing w:before="40"/>
              <w:rPr>
                <w:rFonts w:ascii="Arial Narrow" w:hAnsi="Arial Narrow" w:cs="Calibri"/>
                <w:b/>
                <w:bCs/>
                <w:color w:val="000000"/>
              </w:rPr>
            </w:pPr>
            <w:r w:rsidRPr="00EB0436">
              <w:rPr>
                <w:rFonts w:ascii="Arial Narrow" w:hAnsi="Arial Narrow"/>
                <w:b/>
                <w:bCs/>
              </w:rPr>
              <w:t>ICER (cost savings/IVF)</w:t>
            </w:r>
          </w:p>
        </w:tc>
        <w:tc>
          <w:tcPr>
            <w:tcW w:w="2410" w:type="pct"/>
            <w:vAlign w:val="center"/>
            <w:hideMark/>
          </w:tcPr>
          <w:p w14:paraId="6B840EF9" w14:textId="51D4BB85" w:rsidR="002C532F" w:rsidRPr="00EB0436" w:rsidRDefault="002C532F" w:rsidP="002C532F">
            <w:pPr>
              <w:spacing w:before="40"/>
              <w:jc w:val="center"/>
              <w:rPr>
                <w:rFonts w:ascii="Arial Narrow" w:hAnsi="Arial Narrow" w:cs="Calibri"/>
                <w:b/>
                <w:bCs/>
                <w:color w:val="000000"/>
              </w:rPr>
            </w:pPr>
            <w:r>
              <w:rPr>
                <w:rFonts w:ascii="Arial Narrow" w:hAnsi="Arial Narrow" w:cs="Calibri"/>
                <w:b/>
                <w:bCs/>
                <w:color w:val="000000"/>
              </w:rPr>
              <w:t>$2</w:t>
            </w:r>
          </w:p>
        </w:tc>
      </w:tr>
    </w:tbl>
    <w:bookmarkEnd w:id="74"/>
    <w:p w14:paraId="3FBF4BA5" w14:textId="3F60D13A" w:rsidR="00D7028B" w:rsidRPr="00EB0436" w:rsidRDefault="00B824AE" w:rsidP="006C2C3F">
      <w:pPr>
        <w:pStyle w:val="TFAbbrevs18"/>
      </w:pPr>
      <w:r w:rsidRPr="00EB0436">
        <w:t>BS=Bloom Syndrome, CD=Canavan disease, CF=Cystic Fibrosis, FA=Fanconi anaemia type C, FD=Familial dysautonomia, FXS=Fragile X Syndrome, GD=Gaucher disease, GSD1=Glycogen storage disease type 1, ICER=Incremental Cost Effectiveness Ratio, IVF=In vitro fertilisation, MLD=</w:t>
      </w:r>
      <w:proofErr w:type="spellStart"/>
      <w:r w:rsidRPr="00EB0436">
        <w:t>Mucolipidosis</w:t>
      </w:r>
      <w:proofErr w:type="spellEnd"/>
      <w:r w:rsidRPr="00EB0436">
        <w:t xml:space="preserve"> Type IV, NPD=Niemann Pick Disease </w:t>
      </w:r>
      <w:proofErr w:type="gramStart"/>
      <w:r w:rsidRPr="00EB0436">
        <w:t>type</w:t>
      </w:r>
      <w:proofErr w:type="gramEnd"/>
      <w:r w:rsidRPr="00EB0436">
        <w:t xml:space="preserve"> A, SMA=Spinal Muscular Atrophy, TSD=Tay Sachs Disease</w:t>
      </w:r>
    </w:p>
    <w:p w14:paraId="4348B665" w14:textId="77777777" w:rsidR="006C2C3F" w:rsidRPr="006C2C3F" w:rsidRDefault="00C37C6C" w:rsidP="006C2C3F">
      <w:pPr>
        <w:pStyle w:val="Guidelinescross-ref"/>
        <w:keepNext/>
        <w:rPr>
          <w:b w:val="0"/>
          <w:color w:val="auto"/>
          <w:sz w:val="22"/>
        </w:rPr>
      </w:pPr>
      <w:r w:rsidRPr="00D1542D">
        <w:rPr>
          <w:b w:val="0"/>
          <w:color w:val="auto"/>
          <w:sz w:val="22"/>
        </w:rPr>
        <w:t>The base case analysis of the cost-effectiveness analysis focuses on MBS item AAAA, where at risk individuals are tested</w:t>
      </w:r>
      <w:r w:rsidR="00436E5C" w:rsidRPr="00A75E7F">
        <w:rPr>
          <w:b w:val="0"/>
          <w:color w:val="auto"/>
          <w:sz w:val="22"/>
        </w:rPr>
        <w:t xml:space="preserve"> and are partnered with other </w:t>
      </w:r>
      <w:r w:rsidR="00A50E42" w:rsidRPr="006C2C3F">
        <w:rPr>
          <w:b w:val="0"/>
          <w:color w:val="auto"/>
          <w:sz w:val="22"/>
        </w:rPr>
        <w:t>at-risk</w:t>
      </w:r>
      <w:r w:rsidR="00436E5C" w:rsidRPr="006C2C3F">
        <w:rPr>
          <w:b w:val="0"/>
          <w:color w:val="auto"/>
          <w:sz w:val="22"/>
        </w:rPr>
        <w:t xml:space="preserve"> individuals</w:t>
      </w:r>
      <w:r w:rsidR="00985CEE" w:rsidRPr="006C2C3F">
        <w:rPr>
          <w:b w:val="0"/>
          <w:color w:val="auto"/>
          <w:sz w:val="22"/>
        </w:rPr>
        <w:t xml:space="preserve"> (i.e., reproductive partnerships where both members are Ashkenazi Jewish)</w:t>
      </w:r>
      <w:r w:rsidRPr="006C2C3F">
        <w:rPr>
          <w:b w:val="0"/>
          <w:color w:val="auto"/>
          <w:sz w:val="22"/>
        </w:rPr>
        <w:t xml:space="preserve">. However, an additional analysis was conducted to assess the cost-effectiveness of </w:t>
      </w:r>
      <w:r w:rsidR="00436E5C" w:rsidRPr="006C2C3F">
        <w:rPr>
          <w:b w:val="0"/>
          <w:color w:val="auto"/>
          <w:sz w:val="22"/>
        </w:rPr>
        <w:t xml:space="preserve">carrier testing where </w:t>
      </w:r>
      <w:proofErr w:type="gramStart"/>
      <w:r w:rsidR="00436E5C" w:rsidRPr="006C2C3F">
        <w:rPr>
          <w:b w:val="0"/>
          <w:color w:val="auto"/>
          <w:sz w:val="22"/>
        </w:rPr>
        <w:t>at risk</w:t>
      </w:r>
      <w:proofErr w:type="gramEnd"/>
      <w:r w:rsidR="00436E5C" w:rsidRPr="006C2C3F">
        <w:rPr>
          <w:b w:val="0"/>
          <w:color w:val="auto"/>
          <w:sz w:val="22"/>
        </w:rPr>
        <w:t xml:space="preserve"> individuals are partnered with individuals who are themselves not at risk (</w:t>
      </w:r>
      <w:r w:rsidR="00985CEE" w:rsidRPr="006C2C3F">
        <w:rPr>
          <w:b w:val="0"/>
          <w:color w:val="auto"/>
          <w:sz w:val="22"/>
        </w:rPr>
        <w:t>i.e., reproductive partnerships where only one member is Ashkenazi Jewish</w:t>
      </w:r>
      <w:r w:rsidR="00436E5C" w:rsidRPr="006C2C3F">
        <w:rPr>
          <w:b w:val="0"/>
          <w:color w:val="auto"/>
          <w:sz w:val="22"/>
        </w:rPr>
        <w:t xml:space="preserve">) and therefore where these partners use </w:t>
      </w:r>
      <w:r w:rsidRPr="006C2C3F">
        <w:rPr>
          <w:b w:val="0"/>
          <w:color w:val="auto"/>
          <w:sz w:val="22"/>
        </w:rPr>
        <w:t>MBS item CCCC</w:t>
      </w:r>
      <w:r w:rsidR="00436E5C" w:rsidRPr="006C2C3F">
        <w:rPr>
          <w:b w:val="0"/>
          <w:color w:val="auto"/>
          <w:sz w:val="22"/>
        </w:rPr>
        <w:t xml:space="preserve"> if they agree to be tested</w:t>
      </w:r>
      <w:r w:rsidRPr="006C2C3F">
        <w:rPr>
          <w:b w:val="0"/>
          <w:color w:val="auto"/>
          <w:sz w:val="22"/>
        </w:rPr>
        <w:t xml:space="preserve">. To determine the cost-effectiveness </w:t>
      </w:r>
      <w:r w:rsidR="00436E5C" w:rsidRPr="006C2C3F">
        <w:rPr>
          <w:b w:val="0"/>
          <w:color w:val="auto"/>
          <w:sz w:val="22"/>
        </w:rPr>
        <w:t>of carrier testing in th</w:t>
      </w:r>
      <w:r w:rsidR="00891BD4" w:rsidRPr="006C2C3F">
        <w:rPr>
          <w:b w:val="0"/>
          <w:color w:val="auto"/>
          <w:sz w:val="22"/>
        </w:rPr>
        <w:t xml:space="preserve">e </w:t>
      </w:r>
      <w:r w:rsidR="00436E5C" w:rsidRPr="006C2C3F">
        <w:rPr>
          <w:b w:val="0"/>
          <w:color w:val="auto"/>
          <w:sz w:val="22"/>
        </w:rPr>
        <w:t>scenario</w:t>
      </w:r>
      <w:r w:rsidR="00891BD4" w:rsidRPr="006C2C3F">
        <w:rPr>
          <w:b w:val="0"/>
          <w:color w:val="auto"/>
          <w:sz w:val="22"/>
        </w:rPr>
        <w:t xml:space="preserve"> including CCCC</w:t>
      </w:r>
      <w:r w:rsidRPr="006C2C3F">
        <w:rPr>
          <w:b w:val="0"/>
          <w:color w:val="auto"/>
          <w:sz w:val="22"/>
        </w:rPr>
        <w:t xml:space="preserve">, the same model was used for MBS item AAAA, however, the general population carrier frequency was used to determine the risk </w:t>
      </w:r>
      <w:r w:rsidR="00436E5C" w:rsidRPr="006C2C3F">
        <w:rPr>
          <w:b w:val="0"/>
          <w:color w:val="auto"/>
          <w:sz w:val="22"/>
        </w:rPr>
        <w:t>of reproductive partners who would be tested using MBS item CCCC</w:t>
      </w:r>
      <w:r w:rsidRPr="006C2C3F">
        <w:rPr>
          <w:b w:val="0"/>
          <w:color w:val="auto"/>
          <w:sz w:val="22"/>
        </w:rPr>
        <w:t>, and the cost of the</w:t>
      </w:r>
      <w:r w:rsidR="00DD4A78" w:rsidRPr="006C2C3F">
        <w:rPr>
          <w:b w:val="0"/>
          <w:color w:val="auto"/>
          <w:sz w:val="22"/>
        </w:rPr>
        <w:t xml:space="preserve"> reproductive partner</w:t>
      </w:r>
      <w:r w:rsidRPr="006C2C3F">
        <w:rPr>
          <w:b w:val="0"/>
          <w:color w:val="auto"/>
          <w:sz w:val="22"/>
        </w:rPr>
        <w:t xml:space="preserve"> test was also amended</w:t>
      </w:r>
      <w:r w:rsidR="00436E5C" w:rsidRPr="006C2C3F">
        <w:rPr>
          <w:b w:val="0"/>
          <w:color w:val="auto"/>
          <w:sz w:val="22"/>
        </w:rPr>
        <w:t xml:space="preserve"> accordingly to align with the </w:t>
      </w:r>
      <w:r w:rsidR="00891BD4" w:rsidRPr="006C2C3F">
        <w:rPr>
          <w:b w:val="0"/>
          <w:color w:val="auto"/>
          <w:sz w:val="22"/>
        </w:rPr>
        <w:t>proposed</w:t>
      </w:r>
      <w:r w:rsidR="00436E5C" w:rsidRPr="006C2C3F">
        <w:rPr>
          <w:b w:val="0"/>
          <w:color w:val="auto"/>
          <w:sz w:val="22"/>
        </w:rPr>
        <w:t xml:space="preserve"> fee for CCCC</w:t>
      </w:r>
      <w:r w:rsidRPr="006C2C3F">
        <w:rPr>
          <w:b w:val="0"/>
          <w:color w:val="auto"/>
          <w:sz w:val="22"/>
        </w:rPr>
        <w:t xml:space="preserve">. It was assumed that between MBS Item AAAA and CCCC, 75% </w:t>
      </w:r>
      <w:r w:rsidR="00A25D66" w:rsidRPr="006C2C3F">
        <w:rPr>
          <w:b w:val="0"/>
          <w:color w:val="auto"/>
          <w:sz w:val="22"/>
        </w:rPr>
        <w:t xml:space="preserve">of the </w:t>
      </w:r>
      <w:r w:rsidRPr="006C2C3F">
        <w:rPr>
          <w:b w:val="0"/>
          <w:color w:val="auto"/>
          <w:sz w:val="22"/>
        </w:rPr>
        <w:t>utilisation</w:t>
      </w:r>
      <w:r w:rsidR="00A25D66" w:rsidRPr="006C2C3F">
        <w:rPr>
          <w:b w:val="0"/>
          <w:color w:val="auto"/>
          <w:sz w:val="22"/>
        </w:rPr>
        <w:t xml:space="preserve"> of item AAAA</w:t>
      </w:r>
      <w:r w:rsidRPr="006C2C3F">
        <w:rPr>
          <w:b w:val="0"/>
          <w:color w:val="auto"/>
          <w:sz w:val="22"/>
        </w:rPr>
        <w:t xml:space="preserve"> would occur </w:t>
      </w:r>
      <w:r w:rsidR="00A25D66" w:rsidRPr="006C2C3F">
        <w:rPr>
          <w:b w:val="0"/>
          <w:color w:val="auto"/>
          <w:sz w:val="22"/>
        </w:rPr>
        <w:t xml:space="preserve">where the reproductive partner is also at risk while </w:t>
      </w:r>
      <w:r w:rsidRPr="006C2C3F">
        <w:rPr>
          <w:b w:val="0"/>
          <w:color w:val="auto"/>
          <w:sz w:val="22"/>
        </w:rPr>
        <w:t xml:space="preserve">25% </w:t>
      </w:r>
      <w:r w:rsidR="00A25D66" w:rsidRPr="006C2C3F">
        <w:rPr>
          <w:b w:val="0"/>
          <w:color w:val="auto"/>
          <w:sz w:val="22"/>
        </w:rPr>
        <w:t xml:space="preserve">would occur in mixed couples (where the reproductive partner would utilise </w:t>
      </w:r>
      <w:r w:rsidRPr="006C2C3F">
        <w:rPr>
          <w:b w:val="0"/>
          <w:color w:val="auto"/>
          <w:sz w:val="22"/>
        </w:rPr>
        <w:t>MBS item CCCC</w:t>
      </w:r>
      <w:r w:rsidR="00A25D66" w:rsidRPr="006C2C3F">
        <w:rPr>
          <w:b w:val="0"/>
          <w:color w:val="auto"/>
          <w:sz w:val="22"/>
        </w:rPr>
        <w:t xml:space="preserve"> if they agree to be tested)</w:t>
      </w:r>
      <w:r w:rsidRPr="006C2C3F">
        <w:rPr>
          <w:b w:val="0"/>
          <w:color w:val="auto"/>
          <w:sz w:val="22"/>
        </w:rPr>
        <w:t xml:space="preserve">. These proportions were used to weight the cost-effectiveness outcomes of the two models to obtain an overall ICER.  </w:t>
      </w:r>
      <w:bookmarkStart w:id="75" w:name="_Toc103096614"/>
    </w:p>
    <w:p w14:paraId="2AF67CBD" w14:textId="3A5344AD" w:rsidR="00C37C6C" w:rsidRPr="00BF2654" w:rsidRDefault="00C37C6C" w:rsidP="006C2C3F">
      <w:pPr>
        <w:pStyle w:val="Caption"/>
      </w:pPr>
      <w:r>
        <w:t xml:space="preserve">Table </w:t>
      </w:r>
      <w:r w:rsidR="003A0D53">
        <w:t>1</w:t>
      </w:r>
      <w:r w:rsidR="007260EF">
        <w:t>7</w:t>
      </w:r>
      <w:r w:rsidR="0001042F">
        <w:tab/>
      </w:r>
      <w:r w:rsidRPr="00967F66">
        <w:t xml:space="preserve">Monogenic disease births averted – </w:t>
      </w:r>
      <w:r w:rsidR="002C532F" w:rsidRPr="002C532F">
        <w:t>Carrier Testing</w:t>
      </w:r>
      <w:r w:rsidR="00EA6672">
        <w:t xml:space="preserve"> </w:t>
      </w:r>
      <w:r w:rsidRPr="00967F66">
        <w:t>compared with CF/SMA/FXS testing (</w:t>
      </w:r>
      <w:r w:rsidR="00BB46E2">
        <w:t>Testing</w:t>
      </w:r>
      <w:r w:rsidR="00BB46E2" w:rsidRPr="00967F66">
        <w:t xml:space="preserve"> </w:t>
      </w:r>
      <w:r w:rsidRPr="00967F66">
        <w:t>costs)</w:t>
      </w:r>
      <w:bookmarkEnd w:id="75"/>
    </w:p>
    <w:tbl>
      <w:tblPr>
        <w:tblStyle w:val="TableGrid1"/>
        <w:tblW w:w="5000" w:type="pct"/>
        <w:tblLook w:val="04A0" w:firstRow="1" w:lastRow="0" w:firstColumn="1" w:lastColumn="0" w:noHBand="0" w:noVBand="1"/>
      </w:tblPr>
      <w:tblGrid>
        <w:gridCol w:w="2259"/>
        <w:gridCol w:w="1133"/>
        <w:gridCol w:w="1212"/>
        <w:gridCol w:w="1621"/>
        <w:gridCol w:w="1846"/>
        <w:gridCol w:w="935"/>
      </w:tblGrid>
      <w:tr w:rsidR="002C532F" w:rsidRPr="00BF2654" w14:paraId="487A067C" w14:textId="77777777" w:rsidTr="00636918">
        <w:trPr>
          <w:cnfStyle w:val="100000000000" w:firstRow="1" w:lastRow="0" w:firstColumn="0" w:lastColumn="0" w:oddVBand="0" w:evenVBand="0" w:oddHBand="0" w:evenHBand="0" w:firstRowFirstColumn="0" w:firstRowLastColumn="0" w:lastRowFirstColumn="0" w:lastRowLastColumn="0"/>
          <w:cantSplit/>
          <w:trHeight w:val="525"/>
          <w:tblHeader/>
        </w:trPr>
        <w:tc>
          <w:tcPr>
            <w:tcW w:w="1254" w:type="pct"/>
            <w:tcBorders>
              <w:top w:val="single" w:sz="8" w:space="0" w:color="auto"/>
              <w:left w:val="single" w:sz="8" w:space="0" w:color="auto"/>
              <w:bottom w:val="single" w:sz="8" w:space="0" w:color="auto"/>
              <w:right w:val="nil"/>
            </w:tcBorders>
            <w:shd w:val="clear" w:color="auto" w:fill="auto"/>
            <w:vAlign w:val="center"/>
          </w:tcPr>
          <w:p w14:paraId="4D1C29BD" w14:textId="2F78C017" w:rsidR="002C532F" w:rsidRPr="00BF2654" w:rsidRDefault="002C532F" w:rsidP="002C532F">
            <w:pPr>
              <w:spacing w:before="40"/>
              <w:jc w:val="both"/>
              <w:rPr>
                <w:rFonts w:ascii="Arial Narrow" w:hAnsi="Arial Narrow" w:cs="Calibri"/>
                <w:b/>
                <w:bCs/>
              </w:rPr>
            </w:pPr>
            <w:r>
              <w:rPr>
                <w:rFonts w:ascii="Arial Narrow" w:hAnsi="Arial Narrow" w:cs="Calibri"/>
                <w:b/>
                <w:bCs/>
                <w:color w:val="000000"/>
              </w:rPr>
              <w:t> Intervention</w:t>
            </w:r>
          </w:p>
        </w:tc>
        <w:tc>
          <w:tcPr>
            <w:tcW w:w="629" w:type="pct"/>
            <w:tcBorders>
              <w:top w:val="single" w:sz="8" w:space="0" w:color="auto"/>
              <w:left w:val="nil"/>
              <w:bottom w:val="single" w:sz="8" w:space="0" w:color="auto"/>
              <w:right w:val="nil"/>
            </w:tcBorders>
            <w:shd w:val="clear" w:color="auto" w:fill="auto"/>
            <w:vAlign w:val="center"/>
          </w:tcPr>
          <w:p w14:paraId="4C7A11A6" w14:textId="466E09CC"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Cost</w:t>
            </w:r>
          </w:p>
        </w:tc>
        <w:tc>
          <w:tcPr>
            <w:tcW w:w="673" w:type="pct"/>
            <w:tcBorders>
              <w:top w:val="single" w:sz="8" w:space="0" w:color="auto"/>
              <w:left w:val="nil"/>
              <w:bottom w:val="single" w:sz="8" w:space="0" w:color="auto"/>
              <w:right w:val="nil"/>
            </w:tcBorders>
            <w:shd w:val="clear" w:color="auto" w:fill="auto"/>
            <w:vAlign w:val="center"/>
          </w:tcPr>
          <w:p w14:paraId="0203ECEB" w14:textId="067AAFFA"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Incremental cost</w:t>
            </w:r>
          </w:p>
        </w:tc>
        <w:tc>
          <w:tcPr>
            <w:tcW w:w="900" w:type="pct"/>
            <w:tcBorders>
              <w:top w:val="single" w:sz="8" w:space="0" w:color="auto"/>
              <w:left w:val="nil"/>
              <w:bottom w:val="single" w:sz="8" w:space="0" w:color="auto"/>
              <w:right w:val="nil"/>
            </w:tcBorders>
            <w:shd w:val="clear" w:color="auto" w:fill="auto"/>
            <w:vAlign w:val="center"/>
          </w:tcPr>
          <w:p w14:paraId="6BA49E27" w14:textId="51659A49"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Effectiveness (expected number of affected individuals)</w:t>
            </w:r>
          </w:p>
        </w:tc>
        <w:tc>
          <w:tcPr>
            <w:tcW w:w="1025" w:type="pct"/>
            <w:tcBorders>
              <w:top w:val="single" w:sz="8" w:space="0" w:color="auto"/>
              <w:left w:val="nil"/>
              <w:bottom w:val="single" w:sz="8" w:space="0" w:color="auto"/>
              <w:right w:val="nil"/>
            </w:tcBorders>
            <w:shd w:val="clear" w:color="auto" w:fill="auto"/>
            <w:vAlign w:val="center"/>
          </w:tcPr>
          <w:p w14:paraId="25543383" w14:textId="41DCD430"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Incremental effectiveness (reduction in expected number of affected individuals)</w:t>
            </w:r>
          </w:p>
        </w:tc>
        <w:tc>
          <w:tcPr>
            <w:tcW w:w="519" w:type="pct"/>
            <w:tcBorders>
              <w:top w:val="single" w:sz="8" w:space="0" w:color="auto"/>
              <w:left w:val="nil"/>
              <w:bottom w:val="single" w:sz="8" w:space="0" w:color="auto"/>
              <w:right w:val="single" w:sz="8" w:space="0" w:color="auto"/>
            </w:tcBorders>
            <w:shd w:val="clear" w:color="auto" w:fill="auto"/>
            <w:vAlign w:val="center"/>
          </w:tcPr>
          <w:p w14:paraId="2A48DE04" w14:textId="4FC4FDF8"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ICER</w:t>
            </w:r>
          </w:p>
        </w:tc>
      </w:tr>
      <w:tr w:rsidR="00C37C6C" w:rsidRPr="00BF2654" w14:paraId="1949F535" w14:textId="77777777" w:rsidTr="00324435">
        <w:trPr>
          <w:trHeight w:val="303"/>
        </w:trPr>
        <w:tc>
          <w:tcPr>
            <w:tcW w:w="5000" w:type="pct"/>
            <w:gridSpan w:val="6"/>
            <w:tcBorders>
              <w:top w:val="nil"/>
              <w:left w:val="single" w:sz="8" w:space="0" w:color="auto"/>
              <w:bottom w:val="single" w:sz="8" w:space="0" w:color="auto"/>
              <w:right w:val="single" w:sz="8" w:space="0" w:color="auto"/>
            </w:tcBorders>
            <w:shd w:val="clear" w:color="auto" w:fill="auto"/>
            <w:vAlign w:val="center"/>
          </w:tcPr>
          <w:p w14:paraId="0C57A462" w14:textId="77777777" w:rsidR="00C37C6C" w:rsidRPr="00BF2654" w:rsidRDefault="00C37C6C" w:rsidP="00324435">
            <w:pPr>
              <w:spacing w:before="40"/>
              <w:rPr>
                <w:rFonts w:ascii="Arial Narrow" w:hAnsi="Arial Narrow" w:cs="Calibri"/>
                <w:b/>
                <w:bCs/>
              </w:rPr>
            </w:pPr>
            <w:r w:rsidRPr="00BF2654">
              <w:rPr>
                <w:rFonts w:ascii="Arial Narrow" w:hAnsi="Arial Narrow" w:cs="Calibri"/>
                <w:b/>
                <w:bCs/>
              </w:rPr>
              <w:t>AAAA testing</w:t>
            </w:r>
          </w:p>
        </w:tc>
      </w:tr>
      <w:tr w:rsidR="00636918" w:rsidRPr="00BF2654" w14:paraId="29B8BAF8" w14:textId="77777777" w:rsidTr="00CD483D">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4550AF2C" w14:textId="534FE657" w:rsidR="00636918" w:rsidRPr="00BF2654" w:rsidRDefault="00636918" w:rsidP="002C532F">
            <w:pPr>
              <w:spacing w:before="40"/>
              <w:jc w:val="both"/>
              <w:rPr>
                <w:rFonts w:ascii="Arial Narrow" w:hAnsi="Arial Narrow" w:cs="Calibri"/>
              </w:rPr>
            </w:pPr>
            <w:r w:rsidRPr="002C532F">
              <w:rPr>
                <w:rFonts w:ascii="Arial Narrow" w:hAnsi="Arial Narrow" w:cs="Calibri"/>
              </w:rPr>
              <w:t>Carrier Testing</w:t>
            </w:r>
          </w:p>
        </w:tc>
        <w:tc>
          <w:tcPr>
            <w:tcW w:w="629" w:type="pct"/>
            <w:tcBorders>
              <w:top w:val="nil"/>
              <w:left w:val="nil"/>
              <w:bottom w:val="single" w:sz="8" w:space="0" w:color="auto"/>
              <w:right w:val="single" w:sz="8" w:space="0" w:color="auto"/>
            </w:tcBorders>
            <w:shd w:val="clear" w:color="auto" w:fill="auto"/>
            <w:vAlign w:val="center"/>
          </w:tcPr>
          <w:p w14:paraId="435CF84F" w14:textId="3B4469E1" w:rsidR="00636918" w:rsidRPr="00BF2654" w:rsidRDefault="00636918" w:rsidP="002C532F">
            <w:pPr>
              <w:spacing w:before="40"/>
              <w:jc w:val="center"/>
              <w:rPr>
                <w:rFonts w:ascii="Arial Narrow" w:hAnsi="Arial Narrow" w:cs="Calibri"/>
              </w:rPr>
            </w:pPr>
            <w:r>
              <w:rPr>
                <w:rFonts w:ascii="Arial Narrow" w:hAnsi="Arial Narrow" w:cs="Calibri"/>
                <w:color w:val="000000"/>
              </w:rPr>
              <w:t>$234.54</w:t>
            </w:r>
          </w:p>
        </w:tc>
        <w:tc>
          <w:tcPr>
            <w:tcW w:w="673" w:type="pct"/>
            <w:vMerge w:val="restart"/>
            <w:tcBorders>
              <w:top w:val="nil"/>
              <w:left w:val="nil"/>
              <w:right w:val="single" w:sz="8" w:space="0" w:color="auto"/>
            </w:tcBorders>
            <w:shd w:val="clear" w:color="auto" w:fill="auto"/>
            <w:vAlign w:val="center"/>
          </w:tcPr>
          <w:p w14:paraId="290100F2"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$234.54</w:t>
            </w:r>
          </w:p>
          <w:p w14:paraId="60AED9EC" w14:textId="268E130A"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900" w:type="pct"/>
            <w:tcBorders>
              <w:top w:val="nil"/>
              <w:left w:val="nil"/>
              <w:bottom w:val="single" w:sz="4" w:space="0" w:color="auto"/>
              <w:right w:val="single" w:sz="8" w:space="0" w:color="auto"/>
            </w:tcBorders>
            <w:shd w:val="clear" w:color="auto" w:fill="auto"/>
            <w:vAlign w:val="center"/>
          </w:tcPr>
          <w:p w14:paraId="2EEB09CD" w14:textId="4299026D" w:rsidR="00636918" w:rsidRPr="00BF2654" w:rsidRDefault="00636918" w:rsidP="002C532F">
            <w:pPr>
              <w:spacing w:before="40"/>
              <w:jc w:val="center"/>
              <w:rPr>
                <w:rFonts w:ascii="Arial Narrow" w:hAnsi="Arial Narrow" w:cs="Calibri"/>
              </w:rPr>
            </w:pPr>
            <w:r>
              <w:rPr>
                <w:rFonts w:ascii="Arial Narrow" w:hAnsi="Arial Narrow" w:cs="Calibri"/>
                <w:color w:val="000000"/>
              </w:rPr>
              <w:t>467</w:t>
            </w:r>
          </w:p>
        </w:tc>
        <w:tc>
          <w:tcPr>
            <w:tcW w:w="1025" w:type="pct"/>
            <w:vMerge w:val="restart"/>
            <w:tcBorders>
              <w:top w:val="nil"/>
              <w:left w:val="nil"/>
              <w:right w:val="single" w:sz="8" w:space="0" w:color="auto"/>
            </w:tcBorders>
            <w:shd w:val="clear" w:color="auto" w:fill="auto"/>
            <w:vAlign w:val="center"/>
          </w:tcPr>
          <w:p w14:paraId="31BAF5B7"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96</w:t>
            </w:r>
          </w:p>
          <w:p w14:paraId="09E3D9DD" w14:textId="6C713BEE"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519" w:type="pct"/>
            <w:vMerge w:val="restart"/>
            <w:tcBorders>
              <w:top w:val="nil"/>
              <w:left w:val="nil"/>
              <w:right w:val="single" w:sz="8" w:space="0" w:color="auto"/>
            </w:tcBorders>
            <w:shd w:val="clear" w:color="auto" w:fill="auto"/>
            <w:vAlign w:val="center"/>
          </w:tcPr>
          <w:p w14:paraId="57C7608D"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$2.44</w:t>
            </w:r>
          </w:p>
          <w:p w14:paraId="0529A557" w14:textId="16CFEF85"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r>
      <w:tr w:rsidR="00636918" w:rsidRPr="00BF2654" w14:paraId="19D71EE8" w14:textId="77777777" w:rsidTr="00CD483D">
        <w:trPr>
          <w:trHeight w:val="315"/>
        </w:trPr>
        <w:tc>
          <w:tcPr>
            <w:tcW w:w="1254" w:type="pct"/>
            <w:tcBorders>
              <w:top w:val="nil"/>
              <w:left w:val="single" w:sz="8" w:space="0" w:color="auto"/>
              <w:bottom w:val="single" w:sz="4" w:space="0" w:color="auto"/>
              <w:right w:val="single" w:sz="8" w:space="0" w:color="auto"/>
            </w:tcBorders>
            <w:shd w:val="clear" w:color="auto" w:fill="auto"/>
            <w:vAlign w:val="center"/>
            <w:hideMark/>
          </w:tcPr>
          <w:p w14:paraId="2EE9970F" w14:textId="77777777" w:rsidR="00636918" w:rsidRPr="00BF2654" w:rsidRDefault="00636918" w:rsidP="002C532F">
            <w:pPr>
              <w:spacing w:before="40"/>
              <w:jc w:val="both"/>
              <w:rPr>
                <w:rFonts w:ascii="Arial Narrow" w:hAnsi="Arial Narrow" w:cs="Calibri"/>
              </w:rPr>
            </w:pPr>
            <w:r w:rsidRPr="00BF2654">
              <w:rPr>
                <w:rFonts w:ascii="Arial Narrow" w:hAnsi="Arial Narrow" w:cs="Calibri"/>
              </w:rPr>
              <w:t>CF/SMA/FXS Testing Only</w:t>
            </w:r>
          </w:p>
        </w:tc>
        <w:tc>
          <w:tcPr>
            <w:tcW w:w="629" w:type="pct"/>
            <w:tcBorders>
              <w:top w:val="nil"/>
              <w:left w:val="nil"/>
              <w:bottom w:val="single" w:sz="4" w:space="0" w:color="auto"/>
              <w:right w:val="single" w:sz="8" w:space="0" w:color="auto"/>
            </w:tcBorders>
            <w:shd w:val="clear" w:color="auto" w:fill="auto"/>
            <w:vAlign w:val="center"/>
          </w:tcPr>
          <w:p w14:paraId="5254E18E" w14:textId="4AB903C6" w:rsidR="00636918" w:rsidRPr="00BF2654" w:rsidRDefault="00636918" w:rsidP="002C532F">
            <w:pPr>
              <w:spacing w:before="40"/>
              <w:jc w:val="center"/>
              <w:rPr>
                <w:rFonts w:ascii="Arial Narrow" w:hAnsi="Arial Narrow" w:cs="Calibri"/>
              </w:rPr>
            </w:pPr>
            <w:r>
              <w:rPr>
                <w:rFonts w:ascii="Arial Narrow" w:hAnsi="Arial Narrow" w:cs="Calibri"/>
                <w:color w:val="000000"/>
              </w:rPr>
              <w:t>$0.00</w:t>
            </w:r>
          </w:p>
        </w:tc>
        <w:tc>
          <w:tcPr>
            <w:tcW w:w="673" w:type="pct"/>
            <w:vMerge/>
            <w:tcBorders>
              <w:left w:val="nil"/>
              <w:bottom w:val="single" w:sz="4" w:space="0" w:color="auto"/>
              <w:right w:val="single" w:sz="8" w:space="0" w:color="auto"/>
            </w:tcBorders>
            <w:shd w:val="clear" w:color="auto" w:fill="auto"/>
            <w:vAlign w:val="center"/>
          </w:tcPr>
          <w:p w14:paraId="1D5DECE3" w14:textId="1494BC1A" w:rsidR="00636918" w:rsidRPr="00BF2654" w:rsidRDefault="00636918" w:rsidP="002C532F">
            <w:pPr>
              <w:spacing w:before="40"/>
              <w:jc w:val="center"/>
              <w:rPr>
                <w:rFonts w:ascii="Arial Narrow" w:hAnsi="Arial Narrow" w:cs="Calibri"/>
              </w:rPr>
            </w:pPr>
          </w:p>
        </w:tc>
        <w:tc>
          <w:tcPr>
            <w:tcW w:w="900" w:type="pct"/>
            <w:tcBorders>
              <w:top w:val="nil"/>
              <w:left w:val="nil"/>
              <w:bottom w:val="single" w:sz="4" w:space="0" w:color="auto"/>
              <w:right w:val="single" w:sz="8" w:space="0" w:color="auto"/>
            </w:tcBorders>
            <w:shd w:val="clear" w:color="auto" w:fill="auto"/>
            <w:vAlign w:val="center"/>
          </w:tcPr>
          <w:p w14:paraId="3755944F" w14:textId="5C9A63BA" w:rsidR="00636918" w:rsidRPr="00BF2654" w:rsidRDefault="00636918" w:rsidP="002C532F">
            <w:pPr>
              <w:spacing w:before="40"/>
              <w:jc w:val="center"/>
              <w:rPr>
                <w:rFonts w:ascii="Arial Narrow" w:hAnsi="Arial Narrow" w:cs="Calibri"/>
              </w:rPr>
            </w:pPr>
            <w:r>
              <w:rPr>
                <w:rFonts w:ascii="Arial Narrow" w:hAnsi="Arial Narrow" w:cs="Calibri"/>
                <w:color w:val="000000"/>
              </w:rPr>
              <w:t>563</w:t>
            </w:r>
          </w:p>
        </w:tc>
        <w:tc>
          <w:tcPr>
            <w:tcW w:w="1025" w:type="pct"/>
            <w:vMerge/>
            <w:tcBorders>
              <w:left w:val="nil"/>
              <w:bottom w:val="single" w:sz="4" w:space="0" w:color="auto"/>
              <w:right w:val="single" w:sz="8" w:space="0" w:color="auto"/>
            </w:tcBorders>
            <w:shd w:val="clear" w:color="auto" w:fill="auto"/>
            <w:vAlign w:val="center"/>
          </w:tcPr>
          <w:p w14:paraId="69277E5A" w14:textId="3A85953C" w:rsidR="00636918" w:rsidRPr="00BF2654" w:rsidRDefault="00636918" w:rsidP="002C532F">
            <w:pPr>
              <w:spacing w:before="40"/>
              <w:jc w:val="center"/>
              <w:rPr>
                <w:rFonts w:ascii="Arial Narrow" w:hAnsi="Arial Narrow" w:cs="Calibri"/>
              </w:rPr>
            </w:pPr>
          </w:p>
        </w:tc>
        <w:tc>
          <w:tcPr>
            <w:tcW w:w="519" w:type="pct"/>
            <w:vMerge/>
            <w:tcBorders>
              <w:left w:val="nil"/>
              <w:bottom w:val="single" w:sz="4" w:space="0" w:color="auto"/>
              <w:right w:val="single" w:sz="8" w:space="0" w:color="auto"/>
            </w:tcBorders>
            <w:shd w:val="clear" w:color="auto" w:fill="auto"/>
            <w:vAlign w:val="center"/>
          </w:tcPr>
          <w:p w14:paraId="2B2732DD" w14:textId="05598EC9" w:rsidR="00636918" w:rsidRPr="00BF2654" w:rsidRDefault="00636918" w:rsidP="002C532F">
            <w:pPr>
              <w:spacing w:before="40"/>
              <w:jc w:val="center"/>
              <w:rPr>
                <w:rFonts w:ascii="Arial Narrow" w:hAnsi="Arial Narrow" w:cs="Calibri"/>
              </w:rPr>
            </w:pPr>
          </w:p>
        </w:tc>
      </w:tr>
      <w:tr w:rsidR="002C532F" w:rsidRPr="00BF2654" w14:paraId="03FC2EB4" w14:textId="77777777" w:rsidTr="00324435">
        <w:trPr>
          <w:trHeight w:val="315"/>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CC95CDB" w14:textId="278B5EE7" w:rsidR="002C532F" w:rsidRPr="00BF2654" w:rsidRDefault="00BE0888" w:rsidP="002C532F">
            <w:pPr>
              <w:spacing w:before="40"/>
              <w:rPr>
                <w:rFonts w:ascii="Arial Narrow" w:hAnsi="Arial Narrow" w:cs="Calibri"/>
              </w:rPr>
            </w:pPr>
            <w:r>
              <w:rPr>
                <w:rFonts w:ascii="Arial Narrow" w:hAnsi="Arial Narrow" w:cs="Calibri"/>
                <w:b/>
                <w:bCs/>
              </w:rPr>
              <w:t xml:space="preserve">AAAA testing in mixed </w:t>
            </w:r>
            <w:proofErr w:type="gramStart"/>
            <w:r>
              <w:rPr>
                <w:rFonts w:ascii="Arial Narrow" w:hAnsi="Arial Narrow" w:cs="Calibri"/>
                <w:b/>
                <w:bCs/>
              </w:rPr>
              <w:t>couples</w:t>
            </w:r>
            <w:proofErr w:type="gramEnd"/>
            <w:r>
              <w:rPr>
                <w:rFonts w:ascii="Arial Narrow" w:hAnsi="Arial Narrow" w:cs="Calibri"/>
                <w:b/>
                <w:bCs/>
              </w:rPr>
              <w:t xml:space="preserve"> scenario (</w:t>
            </w:r>
            <w:r w:rsidRPr="008C062A">
              <w:rPr>
                <w:rFonts w:ascii="Arial Narrow" w:hAnsi="Arial Narrow" w:cs="Calibri"/>
                <w:b/>
                <w:bCs/>
              </w:rPr>
              <w:t>CCCC testing</w:t>
            </w:r>
            <w:r>
              <w:rPr>
                <w:rFonts w:ascii="Arial Narrow" w:hAnsi="Arial Narrow" w:cs="Calibri"/>
                <w:b/>
                <w:bCs/>
              </w:rPr>
              <w:t xml:space="preserve"> for reproductive partner)</w:t>
            </w:r>
          </w:p>
        </w:tc>
      </w:tr>
      <w:tr w:rsidR="00636918" w:rsidRPr="00BF2654" w14:paraId="3899251C" w14:textId="77777777" w:rsidTr="00636918">
        <w:trPr>
          <w:trHeight w:val="315"/>
        </w:trPr>
        <w:tc>
          <w:tcPr>
            <w:tcW w:w="1254" w:type="pct"/>
            <w:tcBorders>
              <w:top w:val="single" w:sz="4" w:space="0" w:color="auto"/>
              <w:left w:val="single" w:sz="8" w:space="0" w:color="auto"/>
              <w:right w:val="single" w:sz="8" w:space="0" w:color="auto"/>
            </w:tcBorders>
            <w:shd w:val="clear" w:color="auto" w:fill="auto"/>
            <w:vAlign w:val="center"/>
          </w:tcPr>
          <w:p w14:paraId="7C986DA7" w14:textId="67AE5B37" w:rsidR="00636918" w:rsidRPr="00BF2654" w:rsidRDefault="00636918" w:rsidP="002C532F">
            <w:pPr>
              <w:spacing w:before="40"/>
              <w:jc w:val="both"/>
              <w:rPr>
                <w:rFonts w:ascii="Arial Narrow" w:hAnsi="Arial Narrow" w:cs="Calibri"/>
              </w:rPr>
            </w:pPr>
            <w:r w:rsidRPr="002C532F">
              <w:rPr>
                <w:rFonts w:ascii="Arial Narrow" w:hAnsi="Arial Narrow" w:cs="Calibri"/>
              </w:rPr>
              <w:t>Carrier Testing</w:t>
            </w:r>
          </w:p>
        </w:tc>
        <w:tc>
          <w:tcPr>
            <w:tcW w:w="629" w:type="pct"/>
            <w:tcBorders>
              <w:top w:val="single" w:sz="4" w:space="0" w:color="auto"/>
              <w:left w:val="nil"/>
              <w:right w:val="single" w:sz="8" w:space="0" w:color="auto"/>
            </w:tcBorders>
            <w:shd w:val="clear" w:color="auto" w:fill="auto"/>
            <w:vAlign w:val="center"/>
          </w:tcPr>
          <w:p w14:paraId="7EB39DB2" w14:textId="26EE46BE" w:rsidR="00636918" w:rsidRPr="00BF2654" w:rsidRDefault="00636918" w:rsidP="002C532F">
            <w:pPr>
              <w:spacing w:before="40"/>
              <w:jc w:val="center"/>
              <w:rPr>
                <w:rFonts w:ascii="Arial Narrow" w:hAnsi="Arial Narrow" w:cs="Calibri"/>
              </w:rPr>
            </w:pPr>
            <w:r>
              <w:rPr>
                <w:rFonts w:ascii="Arial Narrow" w:hAnsi="Arial Narrow" w:cs="Calibri"/>
                <w:color w:val="000000"/>
              </w:rPr>
              <w:t>$245.69</w:t>
            </w:r>
          </w:p>
        </w:tc>
        <w:tc>
          <w:tcPr>
            <w:tcW w:w="673" w:type="pct"/>
            <w:vMerge w:val="restart"/>
            <w:tcBorders>
              <w:top w:val="single" w:sz="4" w:space="0" w:color="auto"/>
              <w:left w:val="nil"/>
              <w:right w:val="single" w:sz="8" w:space="0" w:color="auto"/>
            </w:tcBorders>
            <w:shd w:val="clear" w:color="auto" w:fill="auto"/>
            <w:vAlign w:val="center"/>
          </w:tcPr>
          <w:p w14:paraId="3B3A184B"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$245.69</w:t>
            </w:r>
          </w:p>
          <w:p w14:paraId="4BB5A395" w14:textId="3EC2D947"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900" w:type="pct"/>
            <w:tcBorders>
              <w:top w:val="single" w:sz="4" w:space="0" w:color="auto"/>
              <w:left w:val="nil"/>
              <w:right w:val="single" w:sz="8" w:space="0" w:color="auto"/>
            </w:tcBorders>
            <w:shd w:val="clear" w:color="auto" w:fill="auto"/>
            <w:vAlign w:val="center"/>
          </w:tcPr>
          <w:p w14:paraId="125176F4" w14:textId="4B54472E" w:rsidR="00636918" w:rsidRPr="00BF2654" w:rsidRDefault="00636918" w:rsidP="002C532F">
            <w:pPr>
              <w:spacing w:before="40"/>
              <w:jc w:val="center"/>
              <w:rPr>
                <w:rFonts w:ascii="Arial Narrow" w:hAnsi="Arial Narrow" w:cs="Calibri"/>
              </w:rPr>
            </w:pPr>
            <w:r>
              <w:rPr>
                <w:rFonts w:ascii="Arial Narrow" w:hAnsi="Arial Narrow" w:cs="Calibri"/>
                <w:color w:val="000000"/>
              </w:rPr>
              <w:t>430</w:t>
            </w:r>
          </w:p>
        </w:tc>
        <w:tc>
          <w:tcPr>
            <w:tcW w:w="1025" w:type="pct"/>
            <w:vMerge w:val="restart"/>
            <w:tcBorders>
              <w:top w:val="single" w:sz="4" w:space="0" w:color="auto"/>
              <w:left w:val="nil"/>
              <w:right w:val="single" w:sz="8" w:space="0" w:color="auto"/>
            </w:tcBorders>
            <w:shd w:val="clear" w:color="auto" w:fill="auto"/>
            <w:vAlign w:val="center"/>
          </w:tcPr>
          <w:p w14:paraId="4248D65E"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122</w:t>
            </w:r>
          </w:p>
          <w:p w14:paraId="5A4D30BA" w14:textId="7F54BD0B"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519" w:type="pct"/>
            <w:vMerge w:val="restart"/>
            <w:tcBorders>
              <w:top w:val="single" w:sz="4" w:space="0" w:color="auto"/>
              <w:left w:val="nil"/>
              <w:right w:val="single" w:sz="8" w:space="0" w:color="auto"/>
            </w:tcBorders>
            <w:shd w:val="clear" w:color="auto" w:fill="auto"/>
            <w:vAlign w:val="center"/>
          </w:tcPr>
          <w:p w14:paraId="797A18F5"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$2.01</w:t>
            </w:r>
          </w:p>
          <w:p w14:paraId="5E53315A" w14:textId="5C1C79D8"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r>
      <w:tr w:rsidR="00636918" w:rsidRPr="00BF2654" w14:paraId="1E408E08" w14:textId="77777777" w:rsidTr="00293759">
        <w:trPr>
          <w:trHeight w:val="315"/>
        </w:trPr>
        <w:tc>
          <w:tcPr>
            <w:tcW w:w="1254" w:type="pct"/>
            <w:tcBorders>
              <w:top w:val="nil"/>
              <w:left w:val="single" w:sz="8" w:space="0" w:color="auto"/>
              <w:bottom w:val="single" w:sz="4" w:space="0" w:color="auto"/>
              <w:right w:val="single" w:sz="8" w:space="0" w:color="auto"/>
            </w:tcBorders>
            <w:shd w:val="clear" w:color="auto" w:fill="auto"/>
            <w:vAlign w:val="center"/>
          </w:tcPr>
          <w:p w14:paraId="66316DB9" w14:textId="77777777" w:rsidR="00636918" w:rsidRPr="00BF2654" w:rsidRDefault="00636918" w:rsidP="002C532F">
            <w:pPr>
              <w:spacing w:before="40"/>
              <w:jc w:val="both"/>
              <w:rPr>
                <w:rFonts w:ascii="Arial Narrow" w:hAnsi="Arial Narrow" w:cs="Calibri"/>
              </w:rPr>
            </w:pPr>
            <w:r w:rsidRPr="00BF2654">
              <w:rPr>
                <w:rFonts w:ascii="Arial Narrow" w:hAnsi="Arial Narrow" w:cs="Calibri"/>
              </w:rPr>
              <w:t>CF/SMA/FXS Testing Only</w:t>
            </w:r>
          </w:p>
        </w:tc>
        <w:tc>
          <w:tcPr>
            <w:tcW w:w="629" w:type="pct"/>
            <w:tcBorders>
              <w:top w:val="nil"/>
              <w:left w:val="nil"/>
              <w:bottom w:val="single" w:sz="4" w:space="0" w:color="auto"/>
              <w:right w:val="single" w:sz="8" w:space="0" w:color="auto"/>
            </w:tcBorders>
            <w:shd w:val="clear" w:color="auto" w:fill="auto"/>
            <w:vAlign w:val="center"/>
          </w:tcPr>
          <w:p w14:paraId="114B4826" w14:textId="7B3F73A2" w:rsidR="00636918" w:rsidRPr="00BF2654" w:rsidRDefault="00636918" w:rsidP="002C532F">
            <w:pPr>
              <w:spacing w:before="40"/>
              <w:jc w:val="center"/>
              <w:rPr>
                <w:rFonts w:ascii="Arial Narrow" w:hAnsi="Arial Narrow" w:cs="Calibri"/>
              </w:rPr>
            </w:pPr>
            <w:r>
              <w:rPr>
                <w:rFonts w:ascii="Arial Narrow" w:hAnsi="Arial Narrow" w:cs="Calibri"/>
                <w:color w:val="000000"/>
              </w:rPr>
              <w:t>$0.00</w:t>
            </w:r>
          </w:p>
        </w:tc>
        <w:tc>
          <w:tcPr>
            <w:tcW w:w="673" w:type="pct"/>
            <w:vMerge/>
            <w:tcBorders>
              <w:left w:val="nil"/>
              <w:bottom w:val="single" w:sz="4" w:space="0" w:color="auto"/>
              <w:right w:val="single" w:sz="8" w:space="0" w:color="auto"/>
            </w:tcBorders>
            <w:shd w:val="clear" w:color="auto" w:fill="auto"/>
            <w:vAlign w:val="center"/>
          </w:tcPr>
          <w:p w14:paraId="101B898A" w14:textId="014E7DBB" w:rsidR="00636918" w:rsidRPr="00BF2654" w:rsidRDefault="00636918" w:rsidP="002C532F">
            <w:pPr>
              <w:spacing w:before="40"/>
              <w:jc w:val="center"/>
              <w:rPr>
                <w:rFonts w:ascii="Arial Narrow" w:hAnsi="Arial Narrow" w:cs="Calibri"/>
              </w:rPr>
            </w:pPr>
          </w:p>
        </w:tc>
        <w:tc>
          <w:tcPr>
            <w:tcW w:w="900" w:type="pct"/>
            <w:tcBorders>
              <w:top w:val="nil"/>
              <w:left w:val="nil"/>
              <w:bottom w:val="single" w:sz="4" w:space="0" w:color="auto"/>
              <w:right w:val="single" w:sz="8" w:space="0" w:color="auto"/>
            </w:tcBorders>
            <w:shd w:val="clear" w:color="auto" w:fill="auto"/>
            <w:vAlign w:val="center"/>
          </w:tcPr>
          <w:p w14:paraId="0B781B4C" w14:textId="6AD055C3" w:rsidR="00636918" w:rsidRPr="00BF2654" w:rsidRDefault="00636918" w:rsidP="002C532F">
            <w:pPr>
              <w:spacing w:before="40"/>
              <w:jc w:val="center"/>
              <w:rPr>
                <w:rFonts w:ascii="Arial Narrow" w:hAnsi="Arial Narrow" w:cs="Calibri"/>
              </w:rPr>
            </w:pPr>
            <w:r>
              <w:rPr>
                <w:rFonts w:ascii="Arial Narrow" w:hAnsi="Arial Narrow" w:cs="Calibri"/>
                <w:color w:val="000000"/>
              </w:rPr>
              <w:t>552</w:t>
            </w:r>
          </w:p>
        </w:tc>
        <w:tc>
          <w:tcPr>
            <w:tcW w:w="1025" w:type="pct"/>
            <w:vMerge/>
            <w:tcBorders>
              <w:left w:val="nil"/>
              <w:bottom w:val="single" w:sz="4" w:space="0" w:color="auto"/>
              <w:right w:val="single" w:sz="8" w:space="0" w:color="auto"/>
            </w:tcBorders>
            <w:shd w:val="clear" w:color="auto" w:fill="auto"/>
            <w:vAlign w:val="center"/>
          </w:tcPr>
          <w:p w14:paraId="19BBF3E0" w14:textId="21D9F997" w:rsidR="00636918" w:rsidRPr="00BF2654" w:rsidRDefault="00636918" w:rsidP="002C532F">
            <w:pPr>
              <w:spacing w:before="40"/>
              <w:jc w:val="center"/>
              <w:rPr>
                <w:rFonts w:ascii="Arial Narrow" w:hAnsi="Arial Narrow" w:cs="Calibri"/>
              </w:rPr>
            </w:pPr>
          </w:p>
        </w:tc>
        <w:tc>
          <w:tcPr>
            <w:tcW w:w="519" w:type="pct"/>
            <w:vMerge/>
            <w:tcBorders>
              <w:left w:val="nil"/>
              <w:bottom w:val="single" w:sz="4" w:space="0" w:color="auto"/>
              <w:right w:val="single" w:sz="8" w:space="0" w:color="auto"/>
            </w:tcBorders>
            <w:shd w:val="clear" w:color="auto" w:fill="auto"/>
            <w:vAlign w:val="center"/>
          </w:tcPr>
          <w:p w14:paraId="5A8793DE" w14:textId="2F6965FB" w:rsidR="00636918" w:rsidRPr="00BF2654" w:rsidRDefault="00636918" w:rsidP="002C532F">
            <w:pPr>
              <w:spacing w:before="40"/>
              <w:jc w:val="center"/>
              <w:rPr>
                <w:rFonts w:ascii="Arial Narrow" w:hAnsi="Arial Narrow" w:cs="Calibri"/>
              </w:rPr>
            </w:pPr>
          </w:p>
        </w:tc>
      </w:tr>
      <w:tr w:rsidR="002C532F" w:rsidRPr="00BF2654" w14:paraId="5DA8CC8D" w14:textId="77777777" w:rsidTr="00636918">
        <w:trPr>
          <w:trHeight w:val="315"/>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D958F57" w14:textId="77777777" w:rsidR="002C532F" w:rsidRPr="00BF2654" w:rsidRDefault="002C532F" w:rsidP="002C532F">
            <w:pPr>
              <w:keepNext/>
              <w:spacing w:before="40"/>
              <w:rPr>
                <w:rFonts w:ascii="Arial Narrow" w:hAnsi="Arial Narrow" w:cs="Calibri"/>
              </w:rPr>
            </w:pPr>
            <w:r w:rsidRPr="00BF2654">
              <w:rPr>
                <w:rFonts w:ascii="Arial Narrow" w:hAnsi="Arial Narrow" w:cs="Calibri"/>
                <w:b/>
                <w:bCs/>
              </w:rPr>
              <w:t>Weighted cost-effectiveness (Monogenic disease births averted)</w:t>
            </w:r>
            <w:r w:rsidRPr="00C37C6C">
              <w:rPr>
                <w:rFonts w:ascii="Arial Narrow" w:hAnsi="Arial Narrow" w:cs="Calibri"/>
                <w:b/>
                <w:bCs/>
                <w:vertAlign w:val="superscript"/>
              </w:rPr>
              <w:t>1</w:t>
            </w:r>
          </w:p>
        </w:tc>
      </w:tr>
      <w:tr w:rsidR="00636918" w:rsidRPr="00BF2654" w14:paraId="582832F2" w14:textId="77777777" w:rsidTr="00294685">
        <w:trPr>
          <w:trHeight w:val="315"/>
        </w:trPr>
        <w:tc>
          <w:tcPr>
            <w:tcW w:w="1254" w:type="pct"/>
            <w:tcBorders>
              <w:top w:val="single" w:sz="4" w:space="0" w:color="auto"/>
              <w:left w:val="single" w:sz="8" w:space="0" w:color="auto"/>
              <w:bottom w:val="single" w:sz="4" w:space="0" w:color="auto"/>
              <w:right w:val="single" w:sz="8" w:space="0" w:color="auto"/>
            </w:tcBorders>
            <w:shd w:val="clear" w:color="auto" w:fill="auto"/>
            <w:vAlign w:val="center"/>
          </w:tcPr>
          <w:p w14:paraId="2FBC3629" w14:textId="11B8AC3D" w:rsidR="00636918" w:rsidRPr="00BF2654" w:rsidRDefault="00636918" w:rsidP="002C532F">
            <w:pPr>
              <w:keepNext/>
              <w:spacing w:before="40"/>
              <w:jc w:val="both"/>
              <w:rPr>
                <w:rFonts w:ascii="Arial Narrow" w:hAnsi="Arial Narrow" w:cs="Calibri"/>
              </w:rPr>
            </w:pPr>
            <w:r w:rsidRPr="002C532F">
              <w:rPr>
                <w:rFonts w:ascii="Arial Narrow" w:hAnsi="Arial Narrow" w:cs="Calibri"/>
              </w:rPr>
              <w:t>Carrier Testing</w:t>
            </w:r>
          </w:p>
        </w:tc>
        <w:tc>
          <w:tcPr>
            <w:tcW w:w="629" w:type="pct"/>
            <w:tcBorders>
              <w:top w:val="single" w:sz="4" w:space="0" w:color="auto"/>
              <w:left w:val="nil"/>
              <w:bottom w:val="single" w:sz="4" w:space="0" w:color="auto"/>
              <w:right w:val="single" w:sz="8" w:space="0" w:color="auto"/>
            </w:tcBorders>
            <w:shd w:val="clear" w:color="auto" w:fill="auto"/>
            <w:vAlign w:val="center"/>
          </w:tcPr>
          <w:p w14:paraId="62767CD0" w14:textId="74B44ACB"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$237.33</w:t>
            </w:r>
          </w:p>
        </w:tc>
        <w:tc>
          <w:tcPr>
            <w:tcW w:w="673" w:type="pct"/>
            <w:vMerge w:val="restart"/>
            <w:tcBorders>
              <w:top w:val="single" w:sz="4" w:space="0" w:color="auto"/>
              <w:left w:val="nil"/>
              <w:right w:val="single" w:sz="8" w:space="0" w:color="auto"/>
            </w:tcBorders>
            <w:shd w:val="clear" w:color="auto" w:fill="auto"/>
            <w:vAlign w:val="center"/>
          </w:tcPr>
          <w:p w14:paraId="2B0BFADD" w14:textId="77777777"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$237.33</w:t>
            </w:r>
          </w:p>
          <w:p w14:paraId="769F210F" w14:textId="05A3BB11"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 </w:t>
            </w:r>
          </w:p>
        </w:tc>
        <w:tc>
          <w:tcPr>
            <w:tcW w:w="900" w:type="pct"/>
            <w:tcBorders>
              <w:top w:val="single" w:sz="4" w:space="0" w:color="auto"/>
              <w:left w:val="nil"/>
              <w:bottom w:val="single" w:sz="4" w:space="0" w:color="auto"/>
              <w:right w:val="single" w:sz="8" w:space="0" w:color="auto"/>
            </w:tcBorders>
            <w:shd w:val="clear" w:color="auto" w:fill="auto"/>
            <w:vAlign w:val="center"/>
          </w:tcPr>
          <w:p w14:paraId="51C4330F" w14:textId="5A51BFC1"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458</w:t>
            </w:r>
          </w:p>
        </w:tc>
        <w:tc>
          <w:tcPr>
            <w:tcW w:w="1025" w:type="pct"/>
            <w:vMerge w:val="restart"/>
            <w:tcBorders>
              <w:top w:val="single" w:sz="4" w:space="0" w:color="auto"/>
              <w:left w:val="nil"/>
              <w:right w:val="single" w:sz="8" w:space="0" w:color="auto"/>
            </w:tcBorders>
            <w:shd w:val="clear" w:color="auto" w:fill="auto"/>
            <w:vAlign w:val="center"/>
          </w:tcPr>
          <w:p w14:paraId="30C77530" w14:textId="77777777"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103</w:t>
            </w:r>
          </w:p>
          <w:p w14:paraId="6EE7B4F7" w14:textId="6EE77ABE"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 </w:t>
            </w:r>
          </w:p>
        </w:tc>
        <w:tc>
          <w:tcPr>
            <w:tcW w:w="519" w:type="pct"/>
            <w:vMerge w:val="restart"/>
            <w:tcBorders>
              <w:top w:val="single" w:sz="4" w:space="0" w:color="auto"/>
              <w:left w:val="nil"/>
              <w:right w:val="single" w:sz="8" w:space="0" w:color="auto"/>
            </w:tcBorders>
            <w:shd w:val="clear" w:color="auto" w:fill="auto"/>
            <w:vAlign w:val="center"/>
          </w:tcPr>
          <w:p w14:paraId="24CAD863" w14:textId="77777777"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$2.31</w:t>
            </w:r>
          </w:p>
          <w:p w14:paraId="4A1664DC" w14:textId="14DC141A"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 </w:t>
            </w:r>
          </w:p>
        </w:tc>
      </w:tr>
      <w:tr w:rsidR="00636918" w:rsidRPr="00BF2654" w14:paraId="1E6FBFC3" w14:textId="77777777" w:rsidTr="00294685">
        <w:trPr>
          <w:trHeight w:val="315"/>
        </w:trPr>
        <w:tc>
          <w:tcPr>
            <w:tcW w:w="1254" w:type="pct"/>
            <w:tcBorders>
              <w:top w:val="single" w:sz="4" w:space="0" w:color="auto"/>
              <w:left w:val="single" w:sz="8" w:space="0" w:color="auto"/>
              <w:bottom w:val="single" w:sz="4" w:space="0" w:color="auto"/>
              <w:right w:val="single" w:sz="8" w:space="0" w:color="auto"/>
            </w:tcBorders>
            <w:shd w:val="clear" w:color="auto" w:fill="auto"/>
            <w:vAlign w:val="center"/>
          </w:tcPr>
          <w:p w14:paraId="193764C1" w14:textId="77777777" w:rsidR="00636918" w:rsidRPr="00BF2654" w:rsidRDefault="00636918" w:rsidP="002C532F">
            <w:pPr>
              <w:keepNext/>
              <w:spacing w:before="40"/>
              <w:jc w:val="both"/>
              <w:rPr>
                <w:rFonts w:ascii="Arial Narrow" w:hAnsi="Arial Narrow" w:cs="Calibri"/>
              </w:rPr>
            </w:pPr>
            <w:r w:rsidRPr="00BF2654">
              <w:rPr>
                <w:rFonts w:ascii="Arial Narrow" w:hAnsi="Arial Narrow" w:cs="Calibri"/>
              </w:rPr>
              <w:t>CF/SMA/FXS Testing Only</w:t>
            </w:r>
          </w:p>
        </w:tc>
        <w:tc>
          <w:tcPr>
            <w:tcW w:w="629" w:type="pct"/>
            <w:tcBorders>
              <w:top w:val="single" w:sz="4" w:space="0" w:color="auto"/>
              <w:left w:val="nil"/>
              <w:bottom w:val="single" w:sz="4" w:space="0" w:color="auto"/>
              <w:right w:val="single" w:sz="8" w:space="0" w:color="auto"/>
            </w:tcBorders>
            <w:shd w:val="clear" w:color="auto" w:fill="auto"/>
            <w:vAlign w:val="center"/>
          </w:tcPr>
          <w:p w14:paraId="7D20F6BC" w14:textId="32603FF3"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$0.00</w:t>
            </w:r>
          </w:p>
        </w:tc>
        <w:tc>
          <w:tcPr>
            <w:tcW w:w="673" w:type="pct"/>
            <w:vMerge/>
            <w:tcBorders>
              <w:left w:val="nil"/>
              <w:bottom w:val="single" w:sz="4" w:space="0" w:color="auto"/>
              <w:right w:val="single" w:sz="8" w:space="0" w:color="auto"/>
            </w:tcBorders>
            <w:shd w:val="clear" w:color="auto" w:fill="auto"/>
            <w:vAlign w:val="center"/>
          </w:tcPr>
          <w:p w14:paraId="74A67418" w14:textId="63E032DC" w:rsidR="00636918" w:rsidRPr="00BF2654" w:rsidRDefault="00636918" w:rsidP="002C532F">
            <w:pPr>
              <w:keepNext/>
              <w:spacing w:before="40"/>
              <w:jc w:val="center"/>
              <w:rPr>
                <w:rFonts w:ascii="Arial Narrow" w:hAnsi="Arial Narrow" w:cs="Calibri"/>
              </w:rPr>
            </w:pPr>
          </w:p>
        </w:tc>
        <w:tc>
          <w:tcPr>
            <w:tcW w:w="900" w:type="pct"/>
            <w:tcBorders>
              <w:top w:val="single" w:sz="4" w:space="0" w:color="auto"/>
              <w:left w:val="nil"/>
              <w:bottom w:val="single" w:sz="4" w:space="0" w:color="auto"/>
              <w:right w:val="single" w:sz="8" w:space="0" w:color="auto"/>
            </w:tcBorders>
            <w:shd w:val="clear" w:color="auto" w:fill="auto"/>
            <w:vAlign w:val="center"/>
          </w:tcPr>
          <w:p w14:paraId="30C0A8D7" w14:textId="65D0A1D9" w:rsidR="00636918" w:rsidRPr="00BF2654" w:rsidRDefault="00636918" w:rsidP="002C532F">
            <w:pPr>
              <w:keepNext/>
              <w:spacing w:before="40"/>
              <w:jc w:val="center"/>
              <w:rPr>
                <w:rFonts w:ascii="Arial Narrow" w:hAnsi="Arial Narrow" w:cs="Calibri"/>
              </w:rPr>
            </w:pPr>
            <w:r>
              <w:rPr>
                <w:rFonts w:ascii="Arial Narrow" w:hAnsi="Arial Narrow" w:cs="Calibri"/>
                <w:color w:val="000000"/>
              </w:rPr>
              <w:t>560</w:t>
            </w:r>
          </w:p>
        </w:tc>
        <w:tc>
          <w:tcPr>
            <w:tcW w:w="1025" w:type="pct"/>
            <w:vMerge/>
            <w:tcBorders>
              <w:left w:val="nil"/>
              <w:bottom w:val="single" w:sz="4" w:space="0" w:color="auto"/>
              <w:right w:val="single" w:sz="8" w:space="0" w:color="auto"/>
            </w:tcBorders>
            <w:shd w:val="clear" w:color="auto" w:fill="auto"/>
            <w:vAlign w:val="center"/>
          </w:tcPr>
          <w:p w14:paraId="6A1A1E23" w14:textId="1C70DC7D" w:rsidR="00636918" w:rsidRPr="00BF2654" w:rsidRDefault="00636918" w:rsidP="002C532F">
            <w:pPr>
              <w:keepNext/>
              <w:spacing w:before="40"/>
              <w:jc w:val="center"/>
              <w:rPr>
                <w:rFonts w:ascii="Arial Narrow" w:hAnsi="Arial Narrow" w:cs="Calibri"/>
              </w:rPr>
            </w:pPr>
          </w:p>
        </w:tc>
        <w:tc>
          <w:tcPr>
            <w:tcW w:w="519" w:type="pct"/>
            <w:vMerge/>
            <w:tcBorders>
              <w:left w:val="nil"/>
              <w:bottom w:val="single" w:sz="4" w:space="0" w:color="auto"/>
              <w:right w:val="single" w:sz="8" w:space="0" w:color="auto"/>
            </w:tcBorders>
            <w:shd w:val="clear" w:color="auto" w:fill="auto"/>
            <w:vAlign w:val="center"/>
          </w:tcPr>
          <w:p w14:paraId="07032359" w14:textId="4D648839" w:rsidR="00636918" w:rsidRPr="00BF2654" w:rsidRDefault="00636918" w:rsidP="002C532F">
            <w:pPr>
              <w:keepNext/>
              <w:spacing w:before="40"/>
              <w:jc w:val="center"/>
              <w:rPr>
                <w:rFonts w:ascii="Arial Narrow" w:hAnsi="Arial Narrow" w:cs="Calibri"/>
              </w:rPr>
            </w:pPr>
          </w:p>
        </w:tc>
      </w:tr>
    </w:tbl>
    <w:p w14:paraId="39519CAE" w14:textId="0AF4814D" w:rsidR="001F46A5" w:rsidRPr="001F46A5" w:rsidRDefault="00C37C6C" w:rsidP="001F46A5">
      <w:pPr>
        <w:pStyle w:val="TableFigureFooter"/>
        <w:spacing w:before="0"/>
      </w:pPr>
      <w:r w:rsidRPr="009A1464">
        <w:rPr>
          <w:vertAlign w:val="superscript"/>
        </w:rPr>
        <w:t>1</w:t>
      </w:r>
      <w:r w:rsidR="0001042F">
        <w:t xml:space="preserve"> </w:t>
      </w:r>
      <w:r w:rsidRPr="009A1464">
        <w:t>Weighted by 75% AAAA testing and 25% CCCC testing – based on assumption 25% of couples have only one individual at risk</w:t>
      </w:r>
      <w:bookmarkStart w:id="76" w:name="_Toc103096616"/>
      <w:r w:rsidR="001F46A5">
        <w:br w:type="page"/>
      </w:r>
    </w:p>
    <w:p w14:paraId="7C1F727A" w14:textId="35E55098" w:rsidR="00C37C6C" w:rsidRPr="00BF2654" w:rsidRDefault="00C37C6C" w:rsidP="001F46A5">
      <w:pPr>
        <w:pStyle w:val="Caption"/>
        <w:ind w:left="851" w:hanging="873"/>
      </w:pPr>
      <w:r>
        <w:lastRenderedPageBreak/>
        <w:t xml:space="preserve">Table </w:t>
      </w:r>
      <w:r w:rsidR="003A0D53">
        <w:t>1</w:t>
      </w:r>
      <w:r w:rsidR="007260EF">
        <w:t>8</w:t>
      </w:r>
      <w:r w:rsidR="001F46A5">
        <w:t xml:space="preserve"> </w:t>
      </w:r>
      <w:r w:rsidRPr="00967F66">
        <w:t xml:space="preserve">Monogenic disease births averted – </w:t>
      </w:r>
      <w:r w:rsidR="002C532F" w:rsidRPr="002C532F">
        <w:t>Carrier Testing</w:t>
      </w:r>
      <w:r w:rsidR="00EA6672">
        <w:t xml:space="preserve"> </w:t>
      </w:r>
      <w:r w:rsidRPr="00967F66">
        <w:t>compared with CF/SMA/FXS testing (lifetime costs)</w:t>
      </w:r>
      <w:bookmarkEnd w:id="76"/>
    </w:p>
    <w:tbl>
      <w:tblPr>
        <w:tblStyle w:val="TableGrid1"/>
        <w:tblW w:w="5000" w:type="pct"/>
        <w:tblLook w:val="04A0" w:firstRow="1" w:lastRow="0" w:firstColumn="1" w:lastColumn="0" w:noHBand="0" w:noVBand="1"/>
      </w:tblPr>
      <w:tblGrid>
        <w:gridCol w:w="2259"/>
        <w:gridCol w:w="1135"/>
        <w:gridCol w:w="1277"/>
        <w:gridCol w:w="1562"/>
        <w:gridCol w:w="1844"/>
        <w:gridCol w:w="929"/>
      </w:tblGrid>
      <w:tr w:rsidR="002C532F" w:rsidRPr="00BF2654" w14:paraId="55E39D43" w14:textId="77777777" w:rsidTr="00636918">
        <w:trPr>
          <w:cnfStyle w:val="100000000000" w:firstRow="1" w:lastRow="0" w:firstColumn="0" w:lastColumn="0" w:oddVBand="0" w:evenVBand="0" w:oddHBand="0" w:evenHBand="0" w:firstRowFirstColumn="0" w:firstRowLastColumn="0" w:lastRowFirstColumn="0" w:lastRowLastColumn="0"/>
          <w:cantSplit/>
          <w:trHeight w:val="525"/>
          <w:tblHeader/>
        </w:trPr>
        <w:tc>
          <w:tcPr>
            <w:tcW w:w="1254" w:type="pct"/>
            <w:tcBorders>
              <w:top w:val="single" w:sz="8" w:space="0" w:color="auto"/>
              <w:left w:val="single" w:sz="8" w:space="0" w:color="auto"/>
              <w:bottom w:val="single" w:sz="8" w:space="0" w:color="auto"/>
              <w:right w:val="nil"/>
            </w:tcBorders>
            <w:shd w:val="clear" w:color="auto" w:fill="auto"/>
            <w:vAlign w:val="center"/>
          </w:tcPr>
          <w:p w14:paraId="5D77A004" w14:textId="4C892C8D" w:rsidR="002C532F" w:rsidRPr="00BF2654" w:rsidRDefault="002C532F" w:rsidP="002C532F">
            <w:pPr>
              <w:spacing w:before="40"/>
              <w:jc w:val="both"/>
              <w:rPr>
                <w:rFonts w:ascii="Arial Narrow" w:hAnsi="Arial Narrow" w:cs="Calibri"/>
                <w:b/>
                <w:bCs/>
              </w:rPr>
            </w:pPr>
            <w:r>
              <w:rPr>
                <w:rFonts w:ascii="Arial Narrow" w:hAnsi="Arial Narrow" w:cs="Calibri"/>
                <w:b/>
                <w:bCs/>
                <w:color w:val="000000"/>
              </w:rPr>
              <w:t> Intervention</w:t>
            </w:r>
          </w:p>
        </w:tc>
        <w:tc>
          <w:tcPr>
            <w:tcW w:w="630" w:type="pct"/>
            <w:tcBorders>
              <w:top w:val="single" w:sz="8" w:space="0" w:color="auto"/>
              <w:left w:val="nil"/>
              <w:bottom w:val="single" w:sz="8" w:space="0" w:color="auto"/>
              <w:right w:val="nil"/>
            </w:tcBorders>
            <w:shd w:val="clear" w:color="auto" w:fill="auto"/>
            <w:vAlign w:val="center"/>
          </w:tcPr>
          <w:p w14:paraId="5142904B" w14:textId="457F0573"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Cost</w:t>
            </w:r>
          </w:p>
        </w:tc>
        <w:tc>
          <w:tcPr>
            <w:tcW w:w="709" w:type="pct"/>
            <w:tcBorders>
              <w:top w:val="single" w:sz="8" w:space="0" w:color="auto"/>
              <w:left w:val="nil"/>
              <w:bottom w:val="single" w:sz="8" w:space="0" w:color="auto"/>
              <w:right w:val="nil"/>
            </w:tcBorders>
            <w:shd w:val="clear" w:color="auto" w:fill="auto"/>
            <w:vAlign w:val="center"/>
          </w:tcPr>
          <w:p w14:paraId="01A67B18" w14:textId="3500D9A8"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Incremental cost</w:t>
            </w:r>
          </w:p>
        </w:tc>
        <w:tc>
          <w:tcPr>
            <w:tcW w:w="867" w:type="pct"/>
            <w:tcBorders>
              <w:top w:val="single" w:sz="8" w:space="0" w:color="auto"/>
              <w:left w:val="nil"/>
              <w:bottom w:val="single" w:sz="8" w:space="0" w:color="auto"/>
              <w:right w:val="nil"/>
            </w:tcBorders>
            <w:shd w:val="clear" w:color="auto" w:fill="auto"/>
            <w:vAlign w:val="center"/>
          </w:tcPr>
          <w:p w14:paraId="6ACD0622" w14:textId="3AE89CDB"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Effectiveness (expected number of affected individuals)</w:t>
            </w:r>
          </w:p>
        </w:tc>
        <w:tc>
          <w:tcPr>
            <w:tcW w:w="1024" w:type="pct"/>
            <w:tcBorders>
              <w:top w:val="single" w:sz="8" w:space="0" w:color="auto"/>
              <w:left w:val="nil"/>
              <w:bottom w:val="single" w:sz="8" w:space="0" w:color="auto"/>
              <w:right w:val="nil"/>
            </w:tcBorders>
            <w:shd w:val="clear" w:color="auto" w:fill="auto"/>
            <w:vAlign w:val="center"/>
          </w:tcPr>
          <w:p w14:paraId="56712BF4" w14:textId="08D64678"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Incremental effectiveness (reduction in expected number of affected individuals)</w:t>
            </w:r>
          </w:p>
        </w:tc>
        <w:tc>
          <w:tcPr>
            <w:tcW w:w="516" w:type="pct"/>
            <w:tcBorders>
              <w:top w:val="single" w:sz="8" w:space="0" w:color="auto"/>
              <w:left w:val="nil"/>
              <w:bottom w:val="single" w:sz="8" w:space="0" w:color="auto"/>
              <w:right w:val="single" w:sz="8" w:space="0" w:color="auto"/>
            </w:tcBorders>
            <w:shd w:val="clear" w:color="auto" w:fill="auto"/>
            <w:vAlign w:val="center"/>
          </w:tcPr>
          <w:p w14:paraId="4EB020B5" w14:textId="1F5A12F5" w:rsidR="002C532F" w:rsidRPr="00BF2654" w:rsidRDefault="002C532F" w:rsidP="002C532F">
            <w:pPr>
              <w:spacing w:before="40"/>
              <w:jc w:val="center"/>
              <w:rPr>
                <w:rFonts w:ascii="Arial Narrow" w:hAnsi="Arial Narrow" w:cs="Calibri"/>
                <w:b/>
                <w:bCs/>
              </w:rPr>
            </w:pPr>
            <w:r>
              <w:rPr>
                <w:rFonts w:ascii="Arial Narrow" w:hAnsi="Arial Narrow" w:cs="Calibri"/>
                <w:b/>
                <w:bCs/>
                <w:color w:val="000000"/>
              </w:rPr>
              <w:t>ICER</w:t>
            </w:r>
          </w:p>
        </w:tc>
      </w:tr>
      <w:tr w:rsidR="00C37C6C" w:rsidRPr="00BF2654" w14:paraId="79CFA1DB" w14:textId="77777777" w:rsidTr="00324435">
        <w:trPr>
          <w:trHeight w:val="303"/>
        </w:trPr>
        <w:tc>
          <w:tcPr>
            <w:tcW w:w="5000" w:type="pct"/>
            <w:gridSpan w:val="6"/>
            <w:tcBorders>
              <w:top w:val="nil"/>
              <w:left w:val="single" w:sz="8" w:space="0" w:color="auto"/>
              <w:bottom w:val="single" w:sz="8" w:space="0" w:color="auto"/>
              <w:right w:val="single" w:sz="8" w:space="0" w:color="auto"/>
            </w:tcBorders>
            <w:shd w:val="clear" w:color="auto" w:fill="auto"/>
            <w:vAlign w:val="center"/>
          </w:tcPr>
          <w:p w14:paraId="1815078E" w14:textId="77777777" w:rsidR="00C37C6C" w:rsidRPr="00BF2654" w:rsidRDefault="00C37C6C" w:rsidP="00324435">
            <w:pPr>
              <w:spacing w:before="40"/>
              <w:rPr>
                <w:rFonts w:ascii="Arial Narrow" w:hAnsi="Arial Narrow" w:cs="Calibri"/>
                <w:b/>
                <w:bCs/>
              </w:rPr>
            </w:pPr>
            <w:r w:rsidRPr="00BF2654">
              <w:rPr>
                <w:rFonts w:ascii="Arial Narrow" w:hAnsi="Arial Narrow" w:cs="Calibri"/>
                <w:b/>
                <w:bCs/>
              </w:rPr>
              <w:t>AAAA testing</w:t>
            </w:r>
          </w:p>
        </w:tc>
      </w:tr>
      <w:tr w:rsidR="002C532F" w:rsidRPr="00BF2654" w14:paraId="0A72FA1A" w14:textId="77777777" w:rsidTr="00636918">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2D815582" w14:textId="5D95FEAB" w:rsidR="002C532F" w:rsidRPr="00BF2654" w:rsidRDefault="002C532F" w:rsidP="002C532F">
            <w:pPr>
              <w:spacing w:before="40"/>
              <w:jc w:val="both"/>
              <w:rPr>
                <w:rFonts w:ascii="Arial Narrow" w:hAnsi="Arial Narrow" w:cs="Calibri"/>
              </w:rPr>
            </w:pPr>
            <w:r>
              <w:rPr>
                <w:rFonts w:ascii="Arial Narrow" w:hAnsi="Arial Narrow" w:cs="Calibri"/>
              </w:rPr>
              <w:t>Carrier</w:t>
            </w:r>
            <w:r w:rsidRPr="00BF2654">
              <w:rPr>
                <w:rFonts w:ascii="Arial Narrow" w:hAnsi="Arial Narrow" w:cs="Calibri"/>
              </w:rPr>
              <w:t xml:space="preserve"> Testing</w:t>
            </w:r>
          </w:p>
        </w:tc>
        <w:tc>
          <w:tcPr>
            <w:tcW w:w="630" w:type="pct"/>
            <w:tcBorders>
              <w:top w:val="nil"/>
              <w:left w:val="nil"/>
              <w:bottom w:val="single" w:sz="8" w:space="0" w:color="auto"/>
              <w:right w:val="single" w:sz="8" w:space="0" w:color="auto"/>
            </w:tcBorders>
            <w:shd w:val="clear" w:color="auto" w:fill="auto"/>
            <w:vAlign w:val="center"/>
          </w:tcPr>
          <w:p w14:paraId="55BA14F2" w14:textId="5E57D2C4" w:rsidR="002C532F" w:rsidRPr="00BF2654" w:rsidRDefault="002C532F" w:rsidP="002C532F">
            <w:pPr>
              <w:spacing w:before="40"/>
              <w:jc w:val="center"/>
              <w:rPr>
                <w:rFonts w:ascii="Arial Narrow" w:hAnsi="Arial Narrow" w:cs="Calibri"/>
              </w:rPr>
            </w:pPr>
            <w:r>
              <w:rPr>
                <w:rFonts w:ascii="Arial Narrow" w:hAnsi="Arial Narrow" w:cs="Calibri"/>
                <w:color w:val="000000"/>
              </w:rPr>
              <w:t>$1,880.71</w:t>
            </w:r>
          </w:p>
        </w:tc>
        <w:tc>
          <w:tcPr>
            <w:tcW w:w="709" w:type="pct"/>
            <w:tcBorders>
              <w:top w:val="nil"/>
              <w:left w:val="nil"/>
              <w:bottom w:val="nil"/>
              <w:right w:val="single" w:sz="8" w:space="0" w:color="auto"/>
            </w:tcBorders>
            <w:shd w:val="clear" w:color="auto" w:fill="auto"/>
            <w:vAlign w:val="center"/>
          </w:tcPr>
          <w:p w14:paraId="5EC27502" w14:textId="6A3D9193" w:rsidR="002C532F" w:rsidRPr="00BF2654" w:rsidRDefault="002C532F" w:rsidP="002C532F">
            <w:pPr>
              <w:spacing w:before="40"/>
              <w:jc w:val="center"/>
              <w:rPr>
                <w:rFonts w:ascii="Arial Narrow" w:hAnsi="Arial Narrow" w:cs="Calibri"/>
              </w:rPr>
            </w:pPr>
            <w:r>
              <w:rPr>
                <w:rFonts w:ascii="Arial Narrow" w:hAnsi="Arial Narrow" w:cs="Calibri"/>
                <w:color w:val="FF0000"/>
              </w:rPr>
              <w:t>-$687.11</w:t>
            </w:r>
          </w:p>
        </w:tc>
        <w:tc>
          <w:tcPr>
            <w:tcW w:w="867" w:type="pct"/>
            <w:tcBorders>
              <w:top w:val="nil"/>
              <w:left w:val="nil"/>
              <w:bottom w:val="single" w:sz="8" w:space="0" w:color="auto"/>
              <w:right w:val="single" w:sz="8" w:space="0" w:color="auto"/>
            </w:tcBorders>
            <w:shd w:val="clear" w:color="auto" w:fill="auto"/>
            <w:vAlign w:val="center"/>
          </w:tcPr>
          <w:p w14:paraId="650FB98C" w14:textId="5706B594" w:rsidR="002C532F" w:rsidRPr="00BF2654" w:rsidRDefault="002C532F" w:rsidP="002C532F">
            <w:pPr>
              <w:spacing w:before="40"/>
              <w:jc w:val="center"/>
              <w:rPr>
                <w:rFonts w:ascii="Arial Narrow" w:hAnsi="Arial Narrow" w:cs="Calibri"/>
              </w:rPr>
            </w:pPr>
            <w:r>
              <w:rPr>
                <w:rFonts w:ascii="Arial Narrow" w:hAnsi="Arial Narrow" w:cs="Calibri"/>
                <w:color w:val="000000"/>
              </w:rPr>
              <w:t>467</w:t>
            </w:r>
          </w:p>
        </w:tc>
        <w:tc>
          <w:tcPr>
            <w:tcW w:w="1024" w:type="pct"/>
            <w:tcBorders>
              <w:top w:val="nil"/>
              <w:left w:val="nil"/>
              <w:bottom w:val="nil"/>
              <w:right w:val="single" w:sz="8" w:space="0" w:color="auto"/>
            </w:tcBorders>
            <w:shd w:val="clear" w:color="auto" w:fill="auto"/>
            <w:vAlign w:val="center"/>
          </w:tcPr>
          <w:p w14:paraId="274E1850" w14:textId="3770CE4D" w:rsidR="002C532F" w:rsidRPr="00BF2654" w:rsidRDefault="002C532F" w:rsidP="002C532F">
            <w:pPr>
              <w:spacing w:before="40"/>
              <w:jc w:val="center"/>
              <w:rPr>
                <w:rFonts w:ascii="Arial Narrow" w:hAnsi="Arial Narrow" w:cs="Calibri"/>
              </w:rPr>
            </w:pPr>
            <w:r>
              <w:rPr>
                <w:rFonts w:ascii="Arial Narrow" w:hAnsi="Arial Narrow" w:cs="Calibri"/>
                <w:color w:val="000000"/>
              </w:rPr>
              <w:t>96</w:t>
            </w:r>
          </w:p>
        </w:tc>
        <w:tc>
          <w:tcPr>
            <w:tcW w:w="516" w:type="pct"/>
            <w:tcBorders>
              <w:top w:val="nil"/>
              <w:left w:val="nil"/>
              <w:bottom w:val="nil"/>
              <w:right w:val="single" w:sz="8" w:space="0" w:color="auto"/>
            </w:tcBorders>
            <w:shd w:val="clear" w:color="auto" w:fill="auto"/>
            <w:vAlign w:val="center"/>
          </w:tcPr>
          <w:p w14:paraId="7A07707A" w14:textId="7DA72A26" w:rsidR="002C532F" w:rsidRPr="00BF2654" w:rsidRDefault="002C532F" w:rsidP="002C532F">
            <w:pPr>
              <w:spacing w:before="40"/>
              <w:jc w:val="center"/>
              <w:rPr>
                <w:rFonts w:ascii="Arial Narrow" w:hAnsi="Arial Narrow" w:cs="Calibri"/>
              </w:rPr>
            </w:pPr>
            <w:r>
              <w:rPr>
                <w:rFonts w:ascii="Arial Narrow" w:hAnsi="Arial Narrow" w:cs="Calibri"/>
                <w:color w:val="000000"/>
              </w:rPr>
              <w:t>Dominant</w:t>
            </w:r>
          </w:p>
        </w:tc>
      </w:tr>
      <w:tr w:rsidR="002C532F" w:rsidRPr="00BF2654" w14:paraId="06B011CC" w14:textId="77777777" w:rsidTr="00636918">
        <w:trPr>
          <w:trHeight w:val="315"/>
        </w:trPr>
        <w:tc>
          <w:tcPr>
            <w:tcW w:w="1254" w:type="pct"/>
            <w:tcBorders>
              <w:top w:val="nil"/>
              <w:left w:val="single" w:sz="8" w:space="0" w:color="auto"/>
              <w:bottom w:val="single" w:sz="4" w:space="0" w:color="auto"/>
              <w:right w:val="single" w:sz="8" w:space="0" w:color="auto"/>
            </w:tcBorders>
            <w:shd w:val="clear" w:color="auto" w:fill="auto"/>
            <w:vAlign w:val="center"/>
            <w:hideMark/>
          </w:tcPr>
          <w:p w14:paraId="77F15BA2" w14:textId="77777777" w:rsidR="002C532F" w:rsidRPr="00BF2654" w:rsidRDefault="002C532F" w:rsidP="002C532F">
            <w:pPr>
              <w:spacing w:before="40"/>
              <w:jc w:val="both"/>
              <w:rPr>
                <w:rFonts w:ascii="Arial Narrow" w:hAnsi="Arial Narrow" w:cs="Calibri"/>
              </w:rPr>
            </w:pPr>
            <w:r w:rsidRPr="00BF2654">
              <w:rPr>
                <w:rFonts w:ascii="Arial Narrow" w:hAnsi="Arial Narrow" w:cs="Calibri"/>
              </w:rPr>
              <w:t>CF/SMA/FXS Testing Only</w:t>
            </w:r>
          </w:p>
        </w:tc>
        <w:tc>
          <w:tcPr>
            <w:tcW w:w="630" w:type="pct"/>
            <w:tcBorders>
              <w:top w:val="nil"/>
              <w:left w:val="nil"/>
              <w:bottom w:val="single" w:sz="4" w:space="0" w:color="auto"/>
              <w:right w:val="single" w:sz="8" w:space="0" w:color="auto"/>
            </w:tcBorders>
            <w:shd w:val="clear" w:color="auto" w:fill="auto"/>
            <w:vAlign w:val="center"/>
          </w:tcPr>
          <w:p w14:paraId="01554BCB" w14:textId="1108ED44" w:rsidR="002C532F" w:rsidRPr="00BF2654" w:rsidRDefault="002C532F" w:rsidP="002C532F">
            <w:pPr>
              <w:spacing w:before="40"/>
              <w:jc w:val="center"/>
              <w:rPr>
                <w:rFonts w:ascii="Arial Narrow" w:hAnsi="Arial Narrow" w:cs="Calibri"/>
              </w:rPr>
            </w:pPr>
            <w:r>
              <w:rPr>
                <w:rFonts w:ascii="Arial Narrow" w:hAnsi="Arial Narrow" w:cs="Calibri"/>
                <w:color w:val="000000"/>
              </w:rPr>
              <w:t>$2,567.83</w:t>
            </w:r>
          </w:p>
        </w:tc>
        <w:tc>
          <w:tcPr>
            <w:tcW w:w="709" w:type="pct"/>
            <w:tcBorders>
              <w:top w:val="nil"/>
              <w:left w:val="nil"/>
              <w:bottom w:val="single" w:sz="4" w:space="0" w:color="auto"/>
              <w:right w:val="single" w:sz="8" w:space="0" w:color="auto"/>
            </w:tcBorders>
            <w:shd w:val="clear" w:color="auto" w:fill="auto"/>
            <w:vAlign w:val="center"/>
          </w:tcPr>
          <w:p w14:paraId="40495AA0" w14:textId="1E830E1D" w:rsidR="002C532F" w:rsidRPr="00BF2654" w:rsidRDefault="002C532F" w:rsidP="002C532F">
            <w:pPr>
              <w:spacing w:before="40"/>
              <w:jc w:val="center"/>
              <w:rPr>
                <w:rFonts w:ascii="Arial Narrow" w:hAnsi="Arial Narrow" w:cs="Calibri"/>
              </w:rPr>
            </w:pPr>
            <w:r>
              <w:rPr>
                <w:rFonts w:ascii="Arial Narrow" w:hAnsi="Arial Narrow" w:cs="Calibri"/>
                <w:color w:val="000000"/>
              </w:rPr>
              <w:t> </w:t>
            </w:r>
          </w:p>
        </w:tc>
        <w:tc>
          <w:tcPr>
            <w:tcW w:w="867" w:type="pct"/>
            <w:tcBorders>
              <w:top w:val="nil"/>
              <w:left w:val="nil"/>
              <w:bottom w:val="single" w:sz="4" w:space="0" w:color="auto"/>
              <w:right w:val="single" w:sz="8" w:space="0" w:color="auto"/>
            </w:tcBorders>
            <w:shd w:val="clear" w:color="auto" w:fill="auto"/>
            <w:vAlign w:val="center"/>
          </w:tcPr>
          <w:p w14:paraId="59268896" w14:textId="24C14228" w:rsidR="002C532F" w:rsidRPr="00BF2654" w:rsidRDefault="002C532F" w:rsidP="002C532F">
            <w:pPr>
              <w:spacing w:before="40"/>
              <w:jc w:val="center"/>
              <w:rPr>
                <w:rFonts w:ascii="Arial Narrow" w:hAnsi="Arial Narrow" w:cs="Calibri"/>
              </w:rPr>
            </w:pPr>
            <w:r>
              <w:rPr>
                <w:rFonts w:ascii="Arial Narrow" w:hAnsi="Arial Narrow" w:cs="Calibri"/>
                <w:color w:val="000000"/>
              </w:rPr>
              <w:t>563</w:t>
            </w:r>
          </w:p>
        </w:tc>
        <w:tc>
          <w:tcPr>
            <w:tcW w:w="1024" w:type="pct"/>
            <w:tcBorders>
              <w:top w:val="nil"/>
              <w:left w:val="nil"/>
              <w:bottom w:val="single" w:sz="4" w:space="0" w:color="auto"/>
              <w:right w:val="single" w:sz="8" w:space="0" w:color="auto"/>
            </w:tcBorders>
            <w:shd w:val="clear" w:color="auto" w:fill="auto"/>
            <w:vAlign w:val="center"/>
          </w:tcPr>
          <w:p w14:paraId="3652CD57" w14:textId="2513C748" w:rsidR="002C532F" w:rsidRPr="00BF2654" w:rsidRDefault="002C532F" w:rsidP="002C532F">
            <w:pPr>
              <w:spacing w:before="40"/>
              <w:jc w:val="center"/>
              <w:rPr>
                <w:rFonts w:ascii="Arial Narrow" w:hAnsi="Arial Narrow" w:cs="Calibri"/>
              </w:rPr>
            </w:pPr>
            <w:r>
              <w:rPr>
                <w:rFonts w:ascii="Arial Narrow" w:hAnsi="Arial Narrow" w:cs="Calibri"/>
                <w:color w:val="000000"/>
              </w:rPr>
              <w:t> </w:t>
            </w:r>
          </w:p>
        </w:tc>
        <w:tc>
          <w:tcPr>
            <w:tcW w:w="516" w:type="pct"/>
            <w:tcBorders>
              <w:top w:val="nil"/>
              <w:left w:val="nil"/>
              <w:bottom w:val="single" w:sz="4" w:space="0" w:color="auto"/>
              <w:right w:val="single" w:sz="8" w:space="0" w:color="auto"/>
            </w:tcBorders>
            <w:shd w:val="clear" w:color="auto" w:fill="auto"/>
            <w:vAlign w:val="center"/>
          </w:tcPr>
          <w:p w14:paraId="219C5D32" w14:textId="02D0EB54" w:rsidR="002C532F" w:rsidRPr="00BF2654" w:rsidRDefault="002C532F" w:rsidP="002C532F">
            <w:pPr>
              <w:spacing w:before="40"/>
              <w:jc w:val="center"/>
              <w:rPr>
                <w:rFonts w:ascii="Arial Narrow" w:hAnsi="Arial Narrow" w:cs="Calibri"/>
              </w:rPr>
            </w:pPr>
            <w:r>
              <w:rPr>
                <w:rFonts w:ascii="Arial Narrow" w:hAnsi="Arial Narrow" w:cs="Calibri"/>
                <w:color w:val="000000"/>
              </w:rPr>
              <w:t> </w:t>
            </w:r>
          </w:p>
        </w:tc>
      </w:tr>
      <w:tr w:rsidR="002C532F" w:rsidRPr="00BF2654" w14:paraId="51653BDB" w14:textId="77777777" w:rsidTr="00324435">
        <w:trPr>
          <w:trHeight w:val="315"/>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BA76F4A" w14:textId="62D8B948" w:rsidR="002C532F" w:rsidRPr="00BF2654" w:rsidRDefault="00BE0888" w:rsidP="002C532F">
            <w:pPr>
              <w:spacing w:before="40"/>
              <w:rPr>
                <w:rFonts w:ascii="Arial Narrow" w:hAnsi="Arial Narrow" w:cs="Calibri"/>
              </w:rPr>
            </w:pPr>
            <w:r>
              <w:rPr>
                <w:rFonts w:ascii="Arial Narrow" w:hAnsi="Arial Narrow" w:cs="Calibri"/>
                <w:b/>
                <w:bCs/>
              </w:rPr>
              <w:t xml:space="preserve">AAAA testing in mixed </w:t>
            </w:r>
            <w:proofErr w:type="gramStart"/>
            <w:r>
              <w:rPr>
                <w:rFonts w:ascii="Arial Narrow" w:hAnsi="Arial Narrow" w:cs="Calibri"/>
                <w:b/>
                <w:bCs/>
              </w:rPr>
              <w:t>couples</w:t>
            </w:r>
            <w:proofErr w:type="gramEnd"/>
            <w:r>
              <w:rPr>
                <w:rFonts w:ascii="Arial Narrow" w:hAnsi="Arial Narrow" w:cs="Calibri"/>
                <w:b/>
                <w:bCs/>
              </w:rPr>
              <w:t xml:space="preserve"> scenario (</w:t>
            </w:r>
            <w:r w:rsidRPr="008C062A">
              <w:rPr>
                <w:rFonts w:ascii="Arial Narrow" w:hAnsi="Arial Narrow" w:cs="Calibri"/>
                <w:b/>
                <w:bCs/>
              </w:rPr>
              <w:t>CCCC testing</w:t>
            </w:r>
            <w:r>
              <w:rPr>
                <w:rFonts w:ascii="Arial Narrow" w:hAnsi="Arial Narrow" w:cs="Calibri"/>
                <w:b/>
                <w:bCs/>
              </w:rPr>
              <w:t xml:space="preserve"> for reproductive partner)</w:t>
            </w:r>
          </w:p>
        </w:tc>
      </w:tr>
      <w:tr w:rsidR="00636918" w:rsidRPr="00BF2654" w14:paraId="7B36E5A7" w14:textId="77777777" w:rsidTr="00636918">
        <w:trPr>
          <w:trHeight w:val="315"/>
        </w:trPr>
        <w:tc>
          <w:tcPr>
            <w:tcW w:w="1254" w:type="pct"/>
            <w:tcBorders>
              <w:top w:val="single" w:sz="4" w:space="0" w:color="auto"/>
              <w:left w:val="single" w:sz="8" w:space="0" w:color="auto"/>
              <w:right w:val="single" w:sz="8" w:space="0" w:color="auto"/>
            </w:tcBorders>
            <w:shd w:val="clear" w:color="auto" w:fill="auto"/>
            <w:vAlign w:val="center"/>
          </w:tcPr>
          <w:p w14:paraId="33B60F76" w14:textId="23E0A4A6" w:rsidR="00636918" w:rsidRPr="00BF2654" w:rsidRDefault="00636918" w:rsidP="002C532F">
            <w:pPr>
              <w:spacing w:before="40"/>
              <w:jc w:val="both"/>
              <w:rPr>
                <w:rFonts w:ascii="Arial Narrow" w:hAnsi="Arial Narrow" w:cs="Calibri"/>
              </w:rPr>
            </w:pPr>
            <w:r>
              <w:rPr>
                <w:rFonts w:ascii="Arial Narrow" w:hAnsi="Arial Narrow" w:cs="Calibri"/>
              </w:rPr>
              <w:t>Carrier</w:t>
            </w:r>
            <w:r w:rsidRPr="00BF2654">
              <w:rPr>
                <w:rFonts w:ascii="Arial Narrow" w:hAnsi="Arial Narrow" w:cs="Calibri"/>
              </w:rPr>
              <w:t xml:space="preserve"> Testing</w:t>
            </w:r>
          </w:p>
        </w:tc>
        <w:tc>
          <w:tcPr>
            <w:tcW w:w="630" w:type="pct"/>
            <w:tcBorders>
              <w:top w:val="single" w:sz="4" w:space="0" w:color="auto"/>
              <w:left w:val="nil"/>
              <w:right w:val="single" w:sz="8" w:space="0" w:color="auto"/>
            </w:tcBorders>
            <w:shd w:val="clear" w:color="auto" w:fill="auto"/>
            <w:vAlign w:val="center"/>
          </w:tcPr>
          <w:p w14:paraId="6A7BDF9B" w14:textId="7C193172" w:rsidR="00636918" w:rsidRPr="00BF2654" w:rsidRDefault="00636918" w:rsidP="002C532F">
            <w:pPr>
              <w:spacing w:before="40"/>
              <w:jc w:val="center"/>
              <w:rPr>
                <w:rFonts w:ascii="Arial Narrow" w:hAnsi="Arial Narrow" w:cs="Calibri"/>
              </w:rPr>
            </w:pPr>
            <w:r>
              <w:rPr>
                <w:rFonts w:ascii="Arial Narrow" w:hAnsi="Arial Narrow" w:cs="Calibri"/>
                <w:color w:val="000000"/>
              </w:rPr>
              <w:t>$1,499.11</w:t>
            </w:r>
          </w:p>
        </w:tc>
        <w:tc>
          <w:tcPr>
            <w:tcW w:w="709" w:type="pct"/>
            <w:vMerge w:val="restart"/>
            <w:tcBorders>
              <w:top w:val="single" w:sz="4" w:space="0" w:color="auto"/>
              <w:left w:val="nil"/>
              <w:right w:val="single" w:sz="8" w:space="0" w:color="auto"/>
            </w:tcBorders>
            <w:shd w:val="clear" w:color="auto" w:fill="auto"/>
            <w:vAlign w:val="center"/>
          </w:tcPr>
          <w:p w14:paraId="0F43883A" w14:textId="77777777" w:rsidR="00636918" w:rsidRPr="00BF2654" w:rsidRDefault="00636918" w:rsidP="002C532F">
            <w:pPr>
              <w:spacing w:before="40"/>
              <w:jc w:val="center"/>
              <w:rPr>
                <w:rFonts w:ascii="Arial Narrow" w:hAnsi="Arial Narrow" w:cs="Calibri"/>
              </w:rPr>
            </w:pPr>
            <w:r>
              <w:rPr>
                <w:rFonts w:ascii="Arial Narrow" w:hAnsi="Arial Narrow" w:cs="Calibri"/>
                <w:color w:val="FF0000"/>
              </w:rPr>
              <w:t>-$972.87</w:t>
            </w:r>
          </w:p>
          <w:p w14:paraId="2D3E30ED" w14:textId="2CCDE31A"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867" w:type="pct"/>
            <w:tcBorders>
              <w:top w:val="single" w:sz="4" w:space="0" w:color="auto"/>
              <w:left w:val="nil"/>
              <w:right w:val="single" w:sz="8" w:space="0" w:color="auto"/>
            </w:tcBorders>
            <w:shd w:val="clear" w:color="auto" w:fill="auto"/>
            <w:vAlign w:val="center"/>
          </w:tcPr>
          <w:p w14:paraId="45E7B1FD" w14:textId="03194540" w:rsidR="00636918" w:rsidRPr="00BF2654" w:rsidRDefault="00636918" w:rsidP="002C532F">
            <w:pPr>
              <w:spacing w:before="40"/>
              <w:jc w:val="center"/>
              <w:rPr>
                <w:rFonts w:ascii="Arial Narrow" w:hAnsi="Arial Narrow" w:cs="Calibri"/>
              </w:rPr>
            </w:pPr>
            <w:r>
              <w:rPr>
                <w:rFonts w:ascii="Arial Narrow" w:hAnsi="Arial Narrow" w:cs="Calibri"/>
                <w:color w:val="000000"/>
              </w:rPr>
              <w:t>430</w:t>
            </w:r>
          </w:p>
        </w:tc>
        <w:tc>
          <w:tcPr>
            <w:tcW w:w="1024" w:type="pct"/>
            <w:vMerge w:val="restart"/>
            <w:tcBorders>
              <w:top w:val="single" w:sz="4" w:space="0" w:color="auto"/>
              <w:left w:val="nil"/>
              <w:right w:val="single" w:sz="8" w:space="0" w:color="auto"/>
            </w:tcBorders>
            <w:shd w:val="clear" w:color="auto" w:fill="auto"/>
            <w:vAlign w:val="center"/>
          </w:tcPr>
          <w:p w14:paraId="0D6216CE"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122</w:t>
            </w:r>
          </w:p>
          <w:p w14:paraId="64A41219" w14:textId="0711835A"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516" w:type="pct"/>
            <w:vMerge w:val="restart"/>
            <w:tcBorders>
              <w:top w:val="single" w:sz="4" w:space="0" w:color="auto"/>
              <w:left w:val="nil"/>
              <w:right w:val="single" w:sz="8" w:space="0" w:color="auto"/>
            </w:tcBorders>
            <w:shd w:val="clear" w:color="auto" w:fill="auto"/>
            <w:vAlign w:val="center"/>
          </w:tcPr>
          <w:p w14:paraId="16E2BBB7"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Dominant</w:t>
            </w:r>
          </w:p>
          <w:p w14:paraId="05572519" w14:textId="13481D7F"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r>
      <w:tr w:rsidR="00636918" w:rsidRPr="00BF2654" w14:paraId="5AAD68CB" w14:textId="77777777" w:rsidTr="000947DD">
        <w:trPr>
          <w:trHeight w:val="315"/>
        </w:trPr>
        <w:tc>
          <w:tcPr>
            <w:tcW w:w="1254" w:type="pct"/>
            <w:tcBorders>
              <w:top w:val="nil"/>
              <w:left w:val="single" w:sz="8" w:space="0" w:color="auto"/>
              <w:bottom w:val="single" w:sz="4" w:space="0" w:color="auto"/>
              <w:right w:val="single" w:sz="8" w:space="0" w:color="auto"/>
            </w:tcBorders>
            <w:shd w:val="clear" w:color="auto" w:fill="auto"/>
            <w:vAlign w:val="center"/>
          </w:tcPr>
          <w:p w14:paraId="04153301" w14:textId="77777777" w:rsidR="00636918" w:rsidRPr="00BF2654" w:rsidRDefault="00636918" w:rsidP="002C532F">
            <w:pPr>
              <w:spacing w:before="40"/>
              <w:jc w:val="both"/>
              <w:rPr>
                <w:rFonts w:ascii="Arial Narrow" w:hAnsi="Arial Narrow" w:cs="Calibri"/>
              </w:rPr>
            </w:pPr>
            <w:r w:rsidRPr="00BF2654">
              <w:rPr>
                <w:rFonts w:ascii="Arial Narrow" w:hAnsi="Arial Narrow" w:cs="Calibri"/>
              </w:rPr>
              <w:t>CF/SMA/FXS Testing Only</w:t>
            </w:r>
          </w:p>
        </w:tc>
        <w:tc>
          <w:tcPr>
            <w:tcW w:w="630" w:type="pct"/>
            <w:tcBorders>
              <w:top w:val="nil"/>
              <w:left w:val="nil"/>
              <w:bottom w:val="single" w:sz="4" w:space="0" w:color="auto"/>
              <w:right w:val="single" w:sz="8" w:space="0" w:color="auto"/>
            </w:tcBorders>
            <w:shd w:val="clear" w:color="auto" w:fill="auto"/>
            <w:vAlign w:val="center"/>
          </w:tcPr>
          <w:p w14:paraId="3C52603D" w14:textId="6F15C7BF" w:rsidR="00636918" w:rsidRPr="00BF2654" w:rsidRDefault="00636918" w:rsidP="002C532F">
            <w:pPr>
              <w:spacing w:before="40"/>
              <w:jc w:val="center"/>
              <w:rPr>
                <w:rFonts w:ascii="Arial Narrow" w:hAnsi="Arial Narrow" w:cs="Calibri"/>
              </w:rPr>
            </w:pPr>
            <w:r>
              <w:rPr>
                <w:rFonts w:ascii="Arial Narrow" w:hAnsi="Arial Narrow" w:cs="Calibri"/>
                <w:color w:val="000000"/>
              </w:rPr>
              <w:t>$2,471.98</w:t>
            </w:r>
          </w:p>
        </w:tc>
        <w:tc>
          <w:tcPr>
            <w:tcW w:w="709" w:type="pct"/>
            <w:vMerge/>
            <w:tcBorders>
              <w:left w:val="nil"/>
              <w:bottom w:val="single" w:sz="4" w:space="0" w:color="auto"/>
              <w:right w:val="single" w:sz="8" w:space="0" w:color="auto"/>
            </w:tcBorders>
            <w:shd w:val="clear" w:color="auto" w:fill="auto"/>
            <w:vAlign w:val="center"/>
          </w:tcPr>
          <w:p w14:paraId="3F42EAD0" w14:textId="482D5C87" w:rsidR="00636918" w:rsidRPr="00BF2654" w:rsidRDefault="00636918" w:rsidP="002C532F">
            <w:pPr>
              <w:spacing w:before="40"/>
              <w:jc w:val="center"/>
              <w:rPr>
                <w:rFonts w:ascii="Arial Narrow" w:hAnsi="Arial Narrow" w:cs="Calibri"/>
              </w:rPr>
            </w:pPr>
          </w:p>
        </w:tc>
        <w:tc>
          <w:tcPr>
            <w:tcW w:w="867" w:type="pct"/>
            <w:tcBorders>
              <w:top w:val="nil"/>
              <w:left w:val="nil"/>
              <w:bottom w:val="single" w:sz="4" w:space="0" w:color="auto"/>
              <w:right w:val="single" w:sz="8" w:space="0" w:color="auto"/>
            </w:tcBorders>
            <w:shd w:val="clear" w:color="auto" w:fill="auto"/>
            <w:vAlign w:val="center"/>
          </w:tcPr>
          <w:p w14:paraId="05370190" w14:textId="68347ED1" w:rsidR="00636918" w:rsidRPr="00BF2654" w:rsidRDefault="00636918" w:rsidP="002C532F">
            <w:pPr>
              <w:spacing w:before="40"/>
              <w:jc w:val="center"/>
              <w:rPr>
                <w:rFonts w:ascii="Arial Narrow" w:hAnsi="Arial Narrow" w:cs="Calibri"/>
              </w:rPr>
            </w:pPr>
            <w:r>
              <w:rPr>
                <w:rFonts w:ascii="Arial Narrow" w:hAnsi="Arial Narrow" w:cs="Calibri"/>
                <w:color w:val="000000"/>
              </w:rPr>
              <w:t>552</w:t>
            </w:r>
          </w:p>
        </w:tc>
        <w:tc>
          <w:tcPr>
            <w:tcW w:w="1024" w:type="pct"/>
            <w:vMerge/>
            <w:tcBorders>
              <w:left w:val="nil"/>
              <w:bottom w:val="single" w:sz="4" w:space="0" w:color="auto"/>
              <w:right w:val="single" w:sz="8" w:space="0" w:color="auto"/>
            </w:tcBorders>
            <w:shd w:val="clear" w:color="auto" w:fill="auto"/>
            <w:vAlign w:val="center"/>
          </w:tcPr>
          <w:p w14:paraId="2A43962E" w14:textId="0CED79B0" w:rsidR="00636918" w:rsidRPr="00BF2654" w:rsidRDefault="00636918" w:rsidP="002C532F">
            <w:pPr>
              <w:spacing w:before="40"/>
              <w:jc w:val="center"/>
              <w:rPr>
                <w:rFonts w:ascii="Arial Narrow" w:hAnsi="Arial Narrow" w:cs="Calibri"/>
              </w:rPr>
            </w:pPr>
          </w:p>
        </w:tc>
        <w:tc>
          <w:tcPr>
            <w:tcW w:w="516" w:type="pct"/>
            <w:vMerge/>
            <w:tcBorders>
              <w:left w:val="nil"/>
              <w:bottom w:val="single" w:sz="4" w:space="0" w:color="auto"/>
              <w:right w:val="single" w:sz="8" w:space="0" w:color="auto"/>
            </w:tcBorders>
            <w:shd w:val="clear" w:color="auto" w:fill="auto"/>
            <w:vAlign w:val="center"/>
          </w:tcPr>
          <w:p w14:paraId="7DE52445" w14:textId="1851D846" w:rsidR="00636918" w:rsidRPr="00BF2654" w:rsidRDefault="00636918" w:rsidP="002C532F">
            <w:pPr>
              <w:spacing w:before="40"/>
              <w:jc w:val="center"/>
              <w:rPr>
                <w:rFonts w:ascii="Arial Narrow" w:hAnsi="Arial Narrow" w:cs="Calibri"/>
              </w:rPr>
            </w:pPr>
          </w:p>
        </w:tc>
      </w:tr>
      <w:tr w:rsidR="002C532F" w:rsidRPr="00BF2654" w14:paraId="3A9CD066" w14:textId="77777777" w:rsidTr="00636918">
        <w:trPr>
          <w:trHeight w:val="315"/>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99A2C28" w14:textId="77777777" w:rsidR="002C532F" w:rsidRPr="00BF2654" w:rsidRDefault="002C532F" w:rsidP="002C532F">
            <w:pPr>
              <w:spacing w:before="40"/>
              <w:rPr>
                <w:rFonts w:ascii="Arial Narrow" w:hAnsi="Arial Narrow" w:cs="Calibri"/>
              </w:rPr>
            </w:pPr>
            <w:r w:rsidRPr="00BF2654">
              <w:rPr>
                <w:rFonts w:ascii="Arial Narrow" w:hAnsi="Arial Narrow" w:cs="Calibri"/>
                <w:b/>
                <w:bCs/>
              </w:rPr>
              <w:t>Weighted cost-effectiveness (Monogenic disease births averted)</w:t>
            </w:r>
            <w:r w:rsidRPr="00C37C6C">
              <w:rPr>
                <w:rFonts w:ascii="Arial Narrow" w:hAnsi="Arial Narrow" w:cs="Calibri"/>
                <w:b/>
                <w:bCs/>
                <w:vertAlign w:val="superscript"/>
              </w:rPr>
              <w:t>1</w:t>
            </w:r>
          </w:p>
        </w:tc>
      </w:tr>
      <w:tr w:rsidR="00636918" w:rsidRPr="00BF2654" w14:paraId="6A981D46" w14:textId="77777777" w:rsidTr="00FC3858">
        <w:trPr>
          <w:trHeight w:val="315"/>
        </w:trPr>
        <w:tc>
          <w:tcPr>
            <w:tcW w:w="1254" w:type="pct"/>
            <w:tcBorders>
              <w:top w:val="single" w:sz="4" w:space="0" w:color="auto"/>
              <w:left w:val="single" w:sz="8" w:space="0" w:color="auto"/>
              <w:bottom w:val="single" w:sz="4" w:space="0" w:color="auto"/>
              <w:right w:val="single" w:sz="8" w:space="0" w:color="auto"/>
            </w:tcBorders>
            <w:shd w:val="clear" w:color="auto" w:fill="auto"/>
            <w:vAlign w:val="center"/>
          </w:tcPr>
          <w:p w14:paraId="2CF3B90A" w14:textId="56EA9064" w:rsidR="00636918" w:rsidRPr="00BF2654" w:rsidRDefault="00636918" w:rsidP="002C532F">
            <w:pPr>
              <w:spacing w:before="40"/>
              <w:jc w:val="both"/>
              <w:rPr>
                <w:rFonts w:ascii="Arial Narrow" w:hAnsi="Arial Narrow" w:cs="Calibri"/>
              </w:rPr>
            </w:pPr>
            <w:r>
              <w:rPr>
                <w:rFonts w:ascii="Arial Narrow" w:hAnsi="Arial Narrow" w:cs="Calibri"/>
              </w:rPr>
              <w:t>Carrier</w:t>
            </w:r>
            <w:r w:rsidRPr="00BF2654">
              <w:rPr>
                <w:rFonts w:ascii="Arial Narrow" w:hAnsi="Arial Narrow" w:cs="Calibri"/>
              </w:rPr>
              <w:t xml:space="preserve"> Testing</w:t>
            </w:r>
          </w:p>
        </w:tc>
        <w:tc>
          <w:tcPr>
            <w:tcW w:w="630" w:type="pct"/>
            <w:tcBorders>
              <w:top w:val="single" w:sz="4" w:space="0" w:color="auto"/>
              <w:left w:val="nil"/>
              <w:bottom w:val="single" w:sz="4" w:space="0" w:color="auto"/>
              <w:right w:val="single" w:sz="8" w:space="0" w:color="auto"/>
            </w:tcBorders>
            <w:shd w:val="clear" w:color="auto" w:fill="auto"/>
            <w:vAlign w:val="center"/>
          </w:tcPr>
          <w:p w14:paraId="1D0E8243" w14:textId="7FB22E7B" w:rsidR="00636918" w:rsidRPr="00BF2654" w:rsidRDefault="00636918" w:rsidP="002C532F">
            <w:pPr>
              <w:spacing w:before="40"/>
              <w:jc w:val="center"/>
              <w:rPr>
                <w:rFonts w:ascii="Arial Narrow" w:hAnsi="Arial Narrow" w:cs="Calibri"/>
              </w:rPr>
            </w:pPr>
            <w:r>
              <w:rPr>
                <w:rFonts w:ascii="Arial Narrow" w:hAnsi="Arial Narrow" w:cs="Calibri"/>
                <w:color w:val="000000"/>
              </w:rPr>
              <w:t>$1,785.31</w:t>
            </w:r>
          </w:p>
        </w:tc>
        <w:tc>
          <w:tcPr>
            <w:tcW w:w="709" w:type="pct"/>
            <w:vMerge w:val="restart"/>
            <w:tcBorders>
              <w:top w:val="single" w:sz="4" w:space="0" w:color="auto"/>
              <w:left w:val="nil"/>
              <w:right w:val="single" w:sz="8" w:space="0" w:color="auto"/>
            </w:tcBorders>
            <w:shd w:val="clear" w:color="auto" w:fill="auto"/>
            <w:vAlign w:val="center"/>
          </w:tcPr>
          <w:p w14:paraId="2F8E0949" w14:textId="77777777" w:rsidR="00636918" w:rsidRPr="00BF2654" w:rsidRDefault="00636918" w:rsidP="002C532F">
            <w:pPr>
              <w:spacing w:before="40"/>
              <w:jc w:val="center"/>
              <w:rPr>
                <w:rFonts w:ascii="Arial Narrow" w:hAnsi="Arial Narrow" w:cs="Calibri"/>
              </w:rPr>
            </w:pPr>
            <w:r>
              <w:rPr>
                <w:rFonts w:ascii="Arial Narrow" w:hAnsi="Arial Narrow" w:cs="Calibri"/>
                <w:color w:val="FF0000"/>
              </w:rPr>
              <w:t>-$758.55</w:t>
            </w:r>
          </w:p>
          <w:p w14:paraId="50A7FEB5" w14:textId="77070E88"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867" w:type="pct"/>
            <w:tcBorders>
              <w:top w:val="single" w:sz="4" w:space="0" w:color="auto"/>
              <w:left w:val="nil"/>
              <w:bottom w:val="single" w:sz="4" w:space="0" w:color="auto"/>
              <w:right w:val="single" w:sz="8" w:space="0" w:color="auto"/>
            </w:tcBorders>
            <w:shd w:val="clear" w:color="auto" w:fill="auto"/>
            <w:vAlign w:val="center"/>
          </w:tcPr>
          <w:p w14:paraId="57E352B3" w14:textId="407F2D93" w:rsidR="00636918" w:rsidRPr="00BF2654" w:rsidRDefault="00636918" w:rsidP="002C532F">
            <w:pPr>
              <w:spacing w:before="40"/>
              <w:jc w:val="center"/>
              <w:rPr>
                <w:rFonts w:ascii="Arial Narrow" w:hAnsi="Arial Narrow" w:cs="Calibri"/>
              </w:rPr>
            </w:pPr>
            <w:r>
              <w:rPr>
                <w:rFonts w:ascii="Arial Narrow" w:hAnsi="Arial Narrow" w:cs="Calibri"/>
                <w:color w:val="000000"/>
              </w:rPr>
              <w:t>458</w:t>
            </w:r>
          </w:p>
        </w:tc>
        <w:tc>
          <w:tcPr>
            <w:tcW w:w="1024" w:type="pct"/>
            <w:vMerge w:val="restart"/>
            <w:tcBorders>
              <w:top w:val="single" w:sz="4" w:space="0" w:color="auto"/>
              <w:left w:val="nil"/>
              <w:right w:val="single" w:sz="8" w:space="0" w:color="auto"/>
            </w:tcBorders>
            <w:shd w:val="clear" w:color="auto" w:fill="auto"/>
            <w:vAlign w:val="center"/>
          </w:tcPr>
          <w:p w14:paraId="6015B93E"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103</w:t>
            </w:r>
          </w:p>
          <w:p w14:paraId="46E87AEA" w14:textId="3C706175"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c>
          <w:tcPr>
            <w:tcW w:w="516" w:type="pct"/>
            <w:vMerge w:val="restart"/>
            <w:tcBorders>
              <w:top w:val="single" w:sz="4" w:space="0" w:color="auto"/>
              <w:left w:val="nil"/>
              <w:right w:val="single" w:sz="8" w:space="0" w:color="auto"/>
            </w:tcBorders>
            <w:shd w:val="clear" w:color="auto" w:fill="auto"/>
            <w:vAlign w:val="center"/>
          </w:tcPr>
          <w:p w14:paraId="579F6214" w14:textId="77777777" w:rsidR="00636918" w:rsidRPr="00BF2654" w:rsidRDefault="00636918" w:rsidP="002C532F">
            <w:pPr>
              <w:spacing w:before="40"/>
              <w:jc w:val="center"/>
              <w:rPr>
                <w:rFonts w:ascii="Arial Narrow" w:hAnsi="Arial Narrow" w:cs="Calibri"/>
              </w:rPr>
            </w:pPr>
            <w:r>
              <w:rPr>
                <w:rFonts w:ascii="Arial Narrow" w:hAnsi="Arial Narrow" w:cs="Calibri"/>
                <w:color w:val="000000"/>
              </w:rPr>
              <w:t>Dominant</w:t>
            </w:r>
          </w:p>
          <w:p w14:paraId="5FC02D56" w14:textId="1882726F" w:rsidR="00636918" w:rsidRPr="00BF2654" w:rsidRDefault="00636918" w:rsidP="002C532F">
            <w:pPr>
              <w:spacing w:before="40"/>
              <w:jc w:val="center"/>
              <w:rPr>
                <w:rFonts w:ascii="Arial Narrow" w:hAnsi="Arial Narrow" w:cs="Calibri"/>
              </w:rPr>
            </w:pPr>
            <w:r>
              <w:rPr>
                <w:rFonts w:ascii="Arial Narrow" w:hAnsi="Arial Narrow" w:cs="Calibri"/>
                <w:color w:val="000000"/>
              </w:rPr>
              <w:t> </w:t>
            </w:r>
          </w:p>
        </w:tc>
      </w:tr>
      <w:tr w:rsidR="00636918" w:rsidRPr="00B65C0F" w14:paraId="149B50C0" w14:textId="77777777" w:rsidTr="00FC3858">
        <w:trPr>
          <w:trHeight w:val="315"/>
        </w:trPr>
        <w:tc>
          <w:tcPr>
            <w:tcW w:w="1254" w:type="pct"/>
            <w:tcBorders>
              <w:top w:val="single" w:sz="4" w:space="0" w:color="auto"/>
              <w:left w:val="single" w:sz="8" w:space="0" w:color="auto"/>
              <w:bottom w:val="single" w:sz="4" w:space="0" w:color="auto"/>
              <w:right w:val="single" w:sz="8" w:space="0" w:color="auto"/>
            </w:tcBorders>
            <w:shd w:val="clear" w:color="auto" w:fill="auto"/>
            <w:vAlign w:val="center"/>
          </w:tcPr>
          <w:p w14:paraId="68A7E8E2" w14:textId="77777777" w:rsidR="00636918" w:rsidRPr="00B65C0F" w:rsidRDefault="00636918" w:rsidP="002C532F">
            <w:pPr>
              <w:spacing w:before="40"/>
              <w:jc w:val="both"/>
              <w:rPr>
                <w:rFonts w:ascii="Arial Narrow" w:hAnsi="Arial Narrow" w:cs="Calibri"/>
                <w:color w:val="000000"/>
              </w:rPr>
            </w:pPr>
            <w:r w:rsidRPr="008C062A">
              <w:rPr>
                <w:rFonts w:ascii="Arial Narrow" w:hAnsi="Arial Narrow" w:cs="Calibri"/>
                <w:color w:val="000000"/>
              </w:rPr>
              <w:t>CF/SMA/FXS Testing Only</w:t>
            </w:r>
          </w:p>
        </w:tc>
        <w:tc>
          <w:tcPr>
            <w:tcW w:w="630" w:type="pct"/>
            <w:tcBorders>
              <w:top w:val="single" w:sz="4" w:space="0" w:color="auto"/>
              <w:left w:val="nil"/>
              <w:bottom w:val="single" w:sz="4" w:space="0" w:color="auto"/>
              <w:right w:val="single" w:sz="8" w:space="0" w:color="auto"/>
            </w:tcBorders>
            <w:shd w:val="clear" w:color="auto" w:fill="auto"/>
            <w:vAlign w:val="center"/>
          </w:tcPr>
          <w:p w14:paraId="0C9E19DF" w14:textId="1B749B86" w:rsidR="00636918" w:rsidRPr="0003567B" w:rsidRDefault="00636918" w:rsidP="002C532F">
            <w:pPr>
              <w:spacing w:before="40"/>
              <w:jc w:val="center"/>
              <w:rPr>
                <w:rFonts w:ascii="Arial Narrow" w:hAnsi="Arial Narrow" w:cs="Calibri"/>
              </w:rPr>
            </w:pPr>
            <w:r>
              <w:rPr>
                <w:rFonts w:ascii="Arial Narrow" w:hAnsi="Arial Narrow" w:cs="Calibri"/>
                <w:color w:val="000000"/>
              </w:rPr>
              <w:t>$2,543.87</w:t>
            </w:r>
          </w:p>
        </w:tc>
        <w:tc>
          <w:tcPr>
            <w:tcW w:w="709" w:type="pct"/>
            <w:vMerge/>
            <w:tcBorders>
              <w:left w:val="nil"/>
              <w:bottom w:val="single" w:sz="4" w:space="0" w:color="auto"/>
              <w:right w:val="single" w:sz="8" w:space="0" w:color="auto"/>
            </w:tcBorders>
            <w:shd w:val="clear" w:color="auto" w:fill="auto"/>
            <w:vAlign w:val="center"/>
          </w:tcPr>
          <w:p w14:paraId="2853257A" w14:textId="44D80D96" w:rsidR="00636918" w:rsidRPr="0003567B" w:rsidRDefault="00636918" w:rsidP="002C532F">
            <w:pPr>
              <w:spacing w:before="40"/>
              <w:jc w:val="center"/>
              <w:rPr>
                <w:rFonts w:ascii="Arial Narrow" w:hAnsi="Arial Narrow" w:cs="Calibri"/>
              </w:rPr>
            </w:pPr>
          </w:p>
        </w:tc>
        <w:tc>
          <w:tcPr>
            <w:tcW w:w="867" w:type="pct"/>
            <w:tcBorders>
              <w:top w:val="single" w:sz="4" w:space="0" w:color="auto"/>
              <w:left w:val="nil"/>
              <w:bottom w:val="single" w:sz="4" w:space="0" w:color="auto"/>
              <w:right w:val="single" w:sz="8" w:space="0" w:color="auto"/>
            </w:tcBorders>
            <w:shd w:val="clear" w:color="auto" w:fill="auto"/>
            <w:vAlign w:val="center"/>
          </w:tcPr>
          <w:p w14:paraId="18D18C45" w14:textId="20A7A8AD" w:rsidR="00636918" w:rsidRPr="0003567B" w:rsidRDefault="00636918" w:rsidP="002C532F">
            <w:pPr>
              <w:spacing w:before="40"/>
              <w:jc w:val="center"/>
              <w:rPr>
                <w:rFonts w:ascii="Arial Narrow" w:hAnsi="Arial Narrow" w:cs="Calibri"/>
              </w:rPr>
            </w:pPr>
            <w:r>
              <w:rPr>
                <w:rFonts w:ascii="Arial Narrow" w:hAnsi="Arial Narrow" w:cs="Calibri"/>
                <w:color w:val="000000"/>
              </w:rPr>
              <w:t>560</w:t>
            </w:r>
          </w:p>
        </w:tc>
        <w:tc>
          <w:tcPr>
            <w:tcW w:w="1024" w:type="pct"/>
            <w:vMerge/>
            <w:tcBorders>
              <w:left w:val="nil"/>
              <w:bottom w:val="single" w:sz="4" w:space="0" w:color="auto"/>
              <w:right w:val="single" w:sz="8" w:space="0" w:color="auto"/>
            </w:tcBorders>
            <w:shd w:val="clear" w:color="auto" w:fill="auto"/>
            <w:vAlign w:val="center"/>
          </w:tcPr>
          <w:p w14:paraId="39FEE977" w14:textId="476DF325" w:rsidR="00636918" w:rsidRPr="0003567B" w:rsidRDefault="00636918" w:rsidP="002C532F">
            <w:pPr>
              <w:spacing w:before="40"/>
              <w:jc w:val="center"/>
              <w:rPr>
                <w:rFonts w:ascii="Arial Narrow" w:hAnsi="Arial Narrow" w:cs="Calibri"/>
              </w:rPr>
            </w:pPr>
          </w:p>
        </w:tc>
        <w:tc>
          <w:tcPr>
            <w:tcW w:w="516" w:type="pct"/>
            <w:vMerge/>
            <w:tcBorders>
              <w:left w:val="nil"/>
              <w:bottom w:val="single" w:sz="4" w:space="0" w:color="auto"/>
              <w:right w:val="single" w:sz="8" w:space="0" w:color="auto"/>
            </w:tcBorders>
            <w:shd w:val="clear" w:color="auto" w:fill="auto"/>
            <w:vAlign w:val="center"/>
          </w:tcPr>
          <w:p w14:paraId="034F4F21" w14:textId="38D828BB" w:rsidR="00636918" w:rsidRPr="0003567B" w:rsidRDefault="00636918" w:rsidP="002C532F">
            <w:pPr>
              <w:spacing w:before="40"/>
              <w:jc w:val="center"/>
              <w:rPr>
                <w:rFonts w:ascii="Arial Narrow" w:hAnsi="Arial Narrow" w:cs="Calibri"/>
              </w:rPr>
            </w:pPr>
          </w:p>
        </w:tc>
      </w:tr>
    </w:tbl>
    <w:p w14:paraId="3C4CA03D" w14:textId="77777777" w:rsidR="0001042F" w:rsidRPr="00EC33F8" w:rsidRDefault="0001042F" w:rsidP="0001042F">
      <w:pPr>
        <w:pStyle w:val="TableFigureFooter"/>
        <w:spacing w:before="0"/>
      </w:pPr>
      <w:r w:rsidRPr="00EC33F8">
        <w:rPr>
          <w:vertAlign w:val="superscript"/>
        </w:rPr>
        <w:t>1</w:t>
      </w:r>
      <w:r>
        <w:t xml:space="preserve"> </w:t>
      </w:r>
      <w:r w:rsidRPr="00EC33F8">
        <w:t>Weighted by 75% AAAA testing and 25% CCCC testing – based on assumption 25% of couples have only one individual at risk</w:t>
      </w:r>
    </w:p>
    <w:p w14:paraId="134E8B9F" w14:textId="05297B11" w:rsidR="00D84BE3" w:rsidRDefault="00D84BE3" w:rsidP="00FF7D57">
      <w:pPr>
        <w:pStyle w:val="Guidelinescross-ref"/>
        <w:rPr>
          <w:b w:val="0"/>
          <w:color w:val="auto"/>
          <w:sz w:val="22"/>
        </w:rPr>
      </w:pPr>
      <w:r>
        <w:rPr>
          <w:b w:val="0"/>
          <w:color w:val="auto"/>
          <w:sz w:val="22"/>
        </w:rPr>
        <w:t xml:space="preserve">The assessment group provided </w:t>
      </w:r>
      <w:r>
        <w:rPr>
          <w:b w:val="0"/>
          <w:iCs/>
          <w:color w:val="auto"/>
          <w:sz w:val="22"/>
        </w:rPr>
        <w:t xml:space="preserve">a </w:t>
      </w:r>
      <w:r w:rsidRPr="00D84BE3">
        <w:rPr>
          <w:b w:val="0"/>
          <w:iCs/>
          <w:color w:val="auto"/>
          <w:sz w:val="22"/>
        </w:rPr>
        <w:t xml:space="preserve">combined </w:t>
      </w:r>
      <w:r w:rsidR="00636918">
        <w:rPr>
          <w:b w:val="0"/>
          <w:iCs/>
          <w:color w:val="auto"/>
          <w:sz w:val="22"/>
        </w:rPr>
        <w:t xml:space="preserve">cost-effectiveness analysis </w:t>
      </w:r>
      <w:r>
        <w:rPr>
          <w:b w:val="0"/>
          <w:iCs/>
          <w:color w:val="auto"/>
          <w:sz w:val="22"/>
        </w:rPr>
        <w:t>also including</w:t>
      </w:r>
      <w:r w:rsidRPr="00D84BE3">
        <w:rPr>
          <w:b w:val="0"/>
          <w:iCs/>
          <w:color w:val="auto"/>
          <w:sz w:val="22"/>
        </w:rPr>
        <w:t xml:space="preserve"> GGGG</w:t>
      </w:r>
      <w:r>
        <w:rPr>
          <w:b w:val="0"/>
          <w:iCs/>
          <w:color w:val="auto"/>
          <w:sz w:val="22"/>
        </w:rPr>
        <w:t xml:space="preserve"> in the </w:t>
      </w:r>
      <w:r w:rsidRPr="00D84BE3">
        <w:rPr>
          <w:b w:val="0"/>
          <w:iCs/>
          <w:color w:val="auto"/>
          <w:sz w:val="22"/>
        </w:rPr>
        <w:t>post-ESC addendum</w:t>
      </w:r>
      <w:r>
        <w:rPr>
          <w:b w:val="0"/>
          <w:iCs/>
          <w:color w:val="auto"/>
          <w:sz w:val="22"/>
        </w:rPr>
        <w:t xml:space="preserve"> to the DCAR (Table 19).</w:t>
      </w:r>
    </w:p>
    <w:p w14:paraId="3C0209A4" w14:textId="2BCB5F76" w:rsidR="00D84BE3" w:rsidRDefault="00D84BE3" w:rsidP="001F46A5">
      <w:pPr>
        <w:pStyle w:val="Caption"/>
        <w:ind w:left="709" w:hanging="709"/>
      </w:pPr>
      <w:r>
        <w:t>Table 19</w:t>
      </w:r>
      <w:r>
        <w:tab/>
      </w:r>
      <w:r w:rsidRPr="00D413D5">
        <w:t>Monogenic disease births averted – Carrier testing compared with CF/SMA/FXS testing (lifetime costs)</w:t>
      </w:r>
      <w:r>
        <w:t>, also including GGGG (at fee $1600)</w:t>
      </w:r>
    </w:p>
    <w:tbl>
      <w:tblPr>
        <w:tblStyle w:val="TableGrid1"/>
        <w:tblW w:w="5000" w:type="pct"/>
        <w:tblLook w:val="04A0" w:firstRow="1" w:lastRow="0" w:firstColumn="1" w:lastColumn="0" w:noHBand="0" w:noVBand="1"/>
      </w:tblPr>
      <w:tblGrid>
        <w:gridCol w:w="2258"/>
        <w:gridCol w:w="1135"/>
        <w:gridCol w:w="1275"/>
        <w:gridCol w:w="1560"/>
        <w:gridCol w:w="1841"/>
        <w:gridCol w:w="937"/>
      </w:tblGrid>
      <w:tr w:rsidR="00D84BE3" w:rsidRPr="00D413D5" w14:paraId="5F3E88BD" w14:textId="77777777" w:rsidTr="00636918">
        <w:trPr>
          <w:cnfStyle w:val="100000000000" w:firstRow="1" w:lastRow="0" w:firstColumn="0" w:lastColumn="0" w:oddVBand="0" w:evenVBand="0" w:oddHBand="0" w:evenHBand="0" w:firstRowFirstColumn="0" w:firstRowLastColumn="0" w:lastRowFirstColumn="0" w:lastRowLastColumn="0"/>
          <w:cantSplit/>
          <w:trHeight w:val="780"/>
          <w:tblHeader/>
        </w:trPr>
        <w:tc>
          <w:tcPr>
            <w:tcW w:w="1254" w:type="pct"/>
            <w:tcBorders>
              <w:top w:val="single" w:sz="8" w:space="0" w:color="auto"/>
              <w:left w:val="single" w:sz="8" w:space="0" w:color="auto"/>
              <w:bottom w:val="single" w:sz="8" w:space="0" w:color="auto"/>
              <w:right w:val="nil"/>
            </w:tcBorders>
            <w:shd w:val="clear" w:color="auto" w:fill="auto"/>
            <w:vAlign w:val="center"/>
            <w:hideMark/>
          </w:tcPr>
          <w:p w14:paraId="3538A4DB" w14:textId="77777777" w:rsidR="00D84BE3" w:rsidRPr="00D413D5" w:rsidRDefault="00D84BE3" w:rsidP="00751522">
            <w:pPr>
              <w:spacing w:after="0"/>
              <w:jc w:val="both"/>
              <w:rPr>
                <w:rFonts w:ascii="Arial Narrow" w:hAnsi="Arial Narrow" w:cs="Calibri"/>
                <w:b/>
                <w:bCs/>
                <w:color w:val="000000"/>
              </w:rPr>
            </w:pPr>
            <w:r w:rsidRPr="00D413D5">
              <w:rPr>
                <w:rFonts w:ascii="Arial Narrow" w:hAnsi="Arial Narrow" w:cs="Calibri"/>
                <w:b/>
                <w:bCs/>
                <w:color w:val="000000"/>
              </w:rPr>
              <w:t> Intervention</w:t>
            </w:r>
          </w:p>
        </w:tc>
        <w:tc>
          <w:tcPr>
            <w:tcW w:w="630" w:type="pct"/>
            <w:tcBorders>
              <w:top w:val="single" w:sz="8" w:space="0" w:color="auto"/>
              <w:left w:val="nil"/>
              <w:bottom w:val="single" w:sz="8" w:space="0" w:color="auto"/>
              <w:right w:val="nil"/>
            </w:tcBorders>
            <w:shd w:val="clear" w:color="auto" w:fill="auto"/>
            <w:vAlign w:val="center"/>
            <w:hideMark/>
          </w:tcPr>
          <w:p w14:paraId="59193BF3" w14:textId="77777777" w:rsidR="00D84BE3" w:rsidRPr="00D413D5" w:rsidRDefault="00D84BE3" w:rsidP="00751522">
            <w:pPr>
              <w:spacing w:after="0"/>
              <w:jc w:val="center"/>
              <w:rPr>
                <w:rFonts w:ascii="Arial Narrow" w:hAnsi="Arial Narrow" w:cs="Calibri"/>
                <w:b/>
                <w:bCs/>
                <w:color w:val="000000"/>
              </w:rPr>
            </w:pPr>
            <w:r w:rsidRPr="00D413D5">
              <w:rPr>
                <w:rFonts w:ascii="Arial Narrow" w:hAnsi="Arial Narrow" w:cs="Calibri"/>
                <w:b/>
                <w:bCs/>
                <w:color w:val="000000"/>
              </w:rPr>
              <w:t>Cost</w:t>
            </w:r>
          </w:p>
        </w:tc>
        <w:tc>
          <w:tcPr>
            <w:tcW w:w="708" w:type="pct"/>
            <w:tcBorders>
              <w:top w:val="single" w:sz="8" w:space="0" w:color="auto"/>
              <w:left w:val="nil"/>
              <w:bottom w:val="single" w:sz="8" w:space="0" w:color="auto"/>
              <w:right w:val="nil"/>
            </w:tcBorders>
            <w:shd w:val="clear" w:color="auto" w:fill="auto"/>
            <w:vAlign w:val="center"/>
            <w:hideMark/>
          </w:tcPr>
          <w:p w14:paraId="381DC3AD" w14:textId="77777777" w:rsidR="00D84BE3" w:rsidRPr="00D413D5" w:rsidRDefault="00D84BE3" w:rsidP="00751522">
            <w:pPr>
              <w:spacing w:after="0"/>
              <w:jc w:val="center"/>
              <w:rPr>
                <w:rFonts w:ascii="Arial Narrow" w:hAnsi="Arial Narrow" w:cs="Calibri"/>
                <w:b/>
                <w:bCs/>
                <w:color w:val="000000"/>
              </w:rPr>
            </w:pPr>
            <w:r w:rsidRPr="00D413D5">
              <w:rPr>
                <w:rFonts w:ascii="Arial Narrow" w:hAnsi="Arial Narrow" w:cs="Calibri"/>
                <w:b/>
                <w:bCs/>
                <w:color w:val="000000"/>
              </w:rPr>
              <w:t>Incremental cost</w:t>
            </w:r>
          </w:p>
        </w:tc>
        <w:tc>
          <w:tcPr>
            <w:tcW w:w="866" w:type="pct"/>
            <w:tcBorders>
              <w:top w:val="single" w:sz="8" w:space="0" w:color="auto"/>
              <w:left w:val="nil"/>
              <w:bottom w:val="single" w:sz="8" w:space="0" w:color="auto"/>
              <w:right w:val="nil"/>
            </w:tcBorders>
            <w:shd w:val="clear" w:color="auto" w:fill="auto"/>
            <w:vAlign w:val="center"/>
            <w:hideMark/>
          </w:tcPr>
          <w:p w14:paraId="68E89AFD" w14:textId="77777777" w:rsidR="00D84BE3" w:rsidRPr="00D413D5" w:rsidRDefault="00D84BE3" w:rsidP="00751522">
            <w:pPr>
              <w:spacing w:after="0"/>
              <w:jc w:val="center"/>
              <w:rPr>
                <w:rFonts w:ascii="Arial Narrow" w:hAnsi="Arial Narrow" w:cs="Calibri"/>
                <w:b/>
                <w:bCs/>
                <w:color w:val="000000"/>
              </w:rPr>
            </w:pPr>
            <w:r w:rsidRPr="00D413D5">
              <w:rPr>
                <w:rFonts w:ascii="Arial Narrow" w:hAnsi="Arial Narrow" w:cs="Calibri"/>
                <w:b/>
                <w:bCs/>
                <w:color w:val="000000"/>
              </w:rPr>
              <w:t>Effectiveness (expected number of affected individuals)</w:t>
            </w:r>
          </w:p>
        </w:tc>
        <w:tc>
          <w:tcPr>
            <w:tcW w:w="1022" w:type="pct"/>
            <w:tcBorders>
              <w:top w:val="single" w:sz="8" w:space="0" w:color="auto"/>
              <w:left w:val="nil"/>
              <w:bottom w:val="single" w:sz="8" w:space="0" w:color="auto"/>
              <w:right w:val="nil"/>
            </w:tcBorders>
            <w:shd w:val="clear" w:color="auto" w:fill="auto"/>
            <w:vAlign w:val="center"/>
            <w:hideMark/>
          </w:tcPr>
          <w:p w14:paraId="3E8EBF44" w14:textId="77777777" w:rsidR="00D84BE3" w:rsidRPr="00D413D5" w:rsidRDefault="00D84BE3" w:rsidP="00751522">
            <w:pPr>
              <w:spacing w:after="0"/>
              <w:jc w:val="center"/>
              <w:rPr>
                <w:rFonts w:ascii="Arial Narrow" w:hAnsi="Arial Narrow" w:cs="Calibri"/>
                <w:b/>
                <w:bCs/>
                <w:color w:val="000000"/>
              </w:rPr>
            </w:pPr>
            <w:r w:rsidRPr="00D413D5">
              <w:rPr>
                <w:rFonts w:ascii="Arial Narrow" w:hAnsi="Arial Narrow" w:cs="Calibri"/>
                <w:b/>
                <w:bCs/>
                <w:color w:val="000000"/>
              </w:rPr>
              <w:t>Incremental effectiveness (reduction in expected number of affected individuals)</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54C6800" w14:textId="77777777" w:rsidR="00D84BE3" w:rsidRPr="00D413D5" w:rsidRDefault="00D84BE3" w:rsidP="00751522">
            <w:pPr>
              <w:spacing w:after="0"/>
              <w:jc w:val="center"/>
              <w:rPr>
                <w:rFonts w:ascii="Arial Narrow" w:hAnsi="Arial Narrow" w:cs="Calibri"/>
                <w:b/>
                <w:bCs/>
                <w:color w:val="000000"/>
              </w:rPr>
            </w:pPr>
            <w:r w:rsidRPr="00D413D5">
              <w:rPr>
                <w:rFonts w:ascii="Arial Narrow" w:hAnsi="Arial Narrow" w:cs="Calibri"/>
                <w:b/>
                <w:bCs/>
                <w:color w:val="000000"/>
              </w:rPr>
              <w:t>ICER</w:t>
            </w:r>
          </w:p>
        </w:tc>
      </w:tr>
      <w:tr w:rsidR="00D84BE3" w:rsidRPr="00D413D5" w14:paraId="7FC1C84F" w14:textId="77777777" w:rsidTr="00751522">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D109219" w14:textId="77777777" w:rsidR="00D84BE3" w:rsidRPr="00D413D5" w:rsidRDefault="00D84BE3" w:rsidP="00751522">
            <w:pPr>
              <w:spacing w:after="0"/>
              <w:rPr>
                <w:rFonts w:ascii="Arial Narrow" w:hAnsi="Arial Narrow" w:cs="Calibri"/>
                <w:b/>
                <w:bCs/>
                <w:color w:val="000000"/>
              </w:rPr>
            </w:pPr>
            <w:r w:rsidRPr="00D413D5">
              <w:rPr>
                <w:rFonts w:ascii="Arial Narrow" w:hAnsi="Arial Narrow" w:cs="Calibri"/>
                <w:b/>
                <w:bCs/>
                <w:color w:val="000000"/>
              </w:rPr>
              <w:t>AAAA testing</w:t>
            </w:r>
          </w:p>
        </w:tc>
      </w:tr>
      <w:tr w:rsidR="00D84BE3" w:rsidRPr="00D413D5" w14:paraId="6637329B" w14:textId="77777777" w:rsidTr="00636918">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482E6906"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Opportunistic Testing</w:t>
            </w:r>
          </w:p>
        </w:tc>
        <w:tc>
          <w:tcPr>
            <w:tcW w:w="630" w:type="pct"/>
            <w:tcBorders>
              <w:top w:val="nil"/>
              <w:left w:val="nil"/>
              <w:bottom w:val="single" w:sz="8" w:space="0" w:color="auto"/>
              <w:right w:val="single" w:sz="8" w:space="0" w:color="auto"/>
            </w:tcBorders>
            <w:shd w:val="clear" w:color="auto" w:fill="auto"/>
            <w:vAlign w:val="center"/>
            <w:hideMark/>
          </w:tcPr>
          <w:p w14:paraId="377FDB6E"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$1,547.12</w:t>
            </w:r>
          </w:p>
        </w:tc>
        <w:tc>
          <w:tcPr>
            <w:tcW w:w="708" w:type="pct"/>
            <w:tcBorders>
              <w:top w:val="nil"/>
              <w:left w:val="nil"/>
              <w:bottom w:val="single" w:sz="8" w:space="0" w:color="auto"/>
              <w:right w:val="single" w:sz="8" w:space="0" w:color="auto"/>
            </w:tcBorders>
            <w:shd w:val="clear" w:color="auto" w:fill="auto"/>
            <w:vAlign w:val="center"/>
            <w:hideMark/>
          </w:tcPr>
          <w:p w14:paraId="3F11D30B"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FF0000"/>
              </w:rPr>
              <w:t>-$1,594.85</w:t>
            </w:r>
          </w:p>
        </w:tc>
        <w:tc>
          <w:tcPr>
            <w:tcW w:w="866" w:type="pct"/>
            <w:tcBorders>
              <w:top w:val="nil"/>
              <w:left w:val="nil"/>
              <w:bottom w:val="single" w:sz="8" w:space="0" w:color="auto"/>
              <w:right w:val="single" w:sz="8" w:space="0" w:color="auto"/>
            </w:tcBorders>
            <w:shd w:val="clear" w:color="auto" w:fill="auto"/>
            <w:vAlign w:val="center"/>
            <w:hideMark/>
          </w:tcPr>
          <w:p w14:paraId="29DA1CCC"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225</w:t>
            </w:r>
          </w:p>
        </w:tc>
        <w:tc>
          <w:tcPr>
            <w:tcW w:w="1022" w:type="pct"/>
            <w:tcBorders>
              <w:top w:val="nil"/>
              <w:left w:val="nil"/>
              <w:bottom w:val="nil"/>
              <w:right w:val="single" w:sz="8" w:space="0" w:color="auto"/>
            </w:tcBorders>
            <w:shd w:val="clear" w:color="auto" w:fill="auto"/>
            <w:vAlign w:val="center"/>
            <w:hideMark/>
          </w:tcPr>
          <w:p w14:paraId="2F8F82BF"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453</w:t>
            </w:r>
          </w:p>
        </w:tc>
        <w:tc>
          <w:tcPr>
            <w:tcW w:w="520" w:type="pct"/>
            <w:tcBorders>
              <w:top w:val="nil"/>
              <w:left w:val="nil"/>
              <w:bottom w:val="nil"/>
              <w:right w:val="single" w:sz="8" w:space="0" w:color="auto"/>
            </w:tcBorders>
            <w:shd w:val="clear" w:color="auto" w:fill="auto"/>
            <w:vAlign w:val="center"/>
            <w:hideMark/>
          </w:tcPr>
          <w:p w14:paraId="2F979B8D"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Dominant</w:t>
            </w:r>
          </w:p>
        </w:tc>
      </w:tr>
      <w:tr w:rsidR="00D84BE3" w:rsidRPr="00D413D5" w14:paraId="1E29CF54" w14:textId="77777777" w:rsidTr="00636918">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6E9D61F6"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CF/SMA/FXS Testing Only</w:t>
            </w:r>
          </w:p>
        </w:tc>
        <w:tc>
          <w:tcPr>
            <w:tcW w:w="630" w:type="pct"/>
            <w:tcBorders>
              <w:top w:val="nil"/>
              <w:left w:val="nil"/>
              <w:bottom w:val="single" w:sz="8" w:space="0" w:color="auto"/>
              <w:right w:val="single" w:sz="8" w:space="0" w:color="auto"/>
            </w:tcBorders>
            <w:shd w:val="clear" w:color="auto" w:fill="auto"/>
            <w:vAlign w:val="center"/>
            <w:hideMark/>
          </w:tcPr>
          <w:p w14:paraId="26C40BA9"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$3,141.97</w:t>
            </w:r>
          </w:p>
        </w:tc>
        <w:tc>
          <w:tcPr>
            <w:tcW w:w="708" w:type="pct"/>
            <w:tcBorders>
              <w:top w:val="nil"/>
              <w:left w:val="nil"/>
              <w:bottom w:val="single" w:sz="8" w:space="0" w:color="auto"/>
              <w:right w:val="single" w:sz="8" w:space="0" w:color="auto"/>
            </w:tcBorders>
            <w:shd w:val="clear" w:color="auto" w:fill="auto"/>
            <w:vAlign w:val="center"/>
            <w:hideMark/>
          </w:tcPr>
          <w:p w14:paraId="4A001E72"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866" w:type="pct"/>
            <w:tcBorders>
              <w:top w:val="nil"/>
              <w:left w:val="nil"/>
              <w:bottom w:val="single" w:sz="8" w:space="0" w:color="auto"/>
              <w:right w:val="single" w:sz="8" w:space="0" w:color="auto"/>
            </w:tcBorders>
            <w:shd w:val="clear" w:color="auto" w:fill="auto"/>
            <w:vAlign w:val="center"/>
            <w:hideMark/>
          </w:tcPr>
          <w:p w14:paraId="019CE345"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678</w:t>
            </w:r>
          </w:p>
        </w:tc>
        <w:tc>
          <w:tcPr>
            <w:tcW w:w="1022" w:type="pct"/>
            <w:tcBorders>
              <w:top w:val="nil"/>
              <w:left w:val="nil"/>
              <w:bottom w:val="single" w:sz="8" w:space="0" w:color="auto"/>
              <w:right w:val="single" w:sz="8" w:space="0" w:color="auto"/>
            </w:tcBorders>
            <w:shd w:val="clear" w:color="auto" w:fill="auto"/>
            <w:vAlign w:val="center"/>
            <w:hideMark/>
          </w:tcPr>
          <w:p w14:paraId="7AC77819"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520" w:type="pct"/>
            <w:tcBorders>
              <w:top w:val="nil"/>
              <w:left w:val="nil"/>
              <w:bottom w:val="single" w:sz="8" w:space="0" w:color="auto"/>
              <w:right w:val="single" w:sz="8" w:space="0" w:color="auto"/>
            </w:tcBorders>
            <w:shd w:val="clear" w:color="auto" w:fill="auto"/>
            <w:vAlign w:val="center"/>
            <w:hideMark/>
          </w:tcPr>
          <w:p w14:paraId="51575377"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($-3.52)</w:t>
            </w:r>
          </w:p>
        </w:tc>
      </w:tr>
      <w:tr w:rsidR="00D84BE3" w:rsidRPr="00D413D5" w14:paraId="3465B0D9" w14:textId="77777777" w:rsidTr="00751522">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5038DDA" w14:textId="77777777" w:rsidR="00D84BE3" w:rsidRPr="00D413D5" w:rsidRDefault="00D84BE3" w:rsidP="00751522">
            <w:pPr>
              <w:spacing w:after="0"/>
              <w:rPr>
                <w:rFonts w:ascii="Arial Narrow" w:hAnsi="Arial Narrow" w:cs="Calibri"/>
                <w:b/>
                <w:bCs/>
                <w:color w:val="000000"/>
              </w:rPr>
            </w:pPr>
            <w:r w:rsidRPr="00D413D5">
              <w:rPr>
                <w:rFonts w:ascii="Arial Narrow" w:hAnsi="Arial Narrow" w:cs="Calibri"/>
                <w:b/>
                <w:bCs/>
                <w:color w:val="000000"/>
              </w:rPr>
              <w:t>CCCC testing</w:t>
            </w:r>
          </w:p>
        </w:tc>
      </w:tr>
      <w:tr w:rsidR="00D84BE3" w:rsidRPr="00D413D5" w14:paraId="66A6A8AD" w14:textId="77777777" w:rsidTr="00636918">
        <w:trPr>
          <w:trHeight w:val="315"/>
        </w:trPr>
        <w:tc>
          <w:tcPr>
            <w:tcW w:w="1254" w:type="pct"/>
            <w:tcBorders>
              <w:top w:val="nil"/>
              <w:left w:val="single" w:sz="8" w:space="0" w:color="auto"/>
              <w:bottom w:val="nil"/>
              <w:right w:val="single" w:sz="8" w:space="0" w:color="auto"/>
            </w:tcBorders>
            <w:shd w:val="clear" w:color="auto" w:fill="auto"/>
            <w:vAlign w:val="center"/>
            <w:hideMark/>
          </w:tcPr>
          <w:p w14:paraId="3C3E47B4"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Opportunistic Testing</w:t>
            </w:r>
          </w:p>
        </w:tc>
        <w:tc>
          <w:tcPr>
            <w:tcW w:w="630" w:type="pct"/>
            <w:tcBorders>
              <w:top w:val="nil"/>
              <w:left w:val="nil"/>
              <w:bottom w:val="nil"/>
              <w:right w:val="single" w:sz="8" w:space="0" w:color="auto"/>
            </w:tcBorders>
            <w:shd w:val="clear" w:color="auto" w:fill="auto"/>
            <w:vAlign w:val="center"/>
            <w:hideMark/>
          </w:tcPr>
          <w:p w14:paraId="3C519A2F"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$793.02</w:t>
            </w:r>
          </w:p>
        </w:tc>
        <w:tc>
          <w:tcPr>
            <w:tcW w:w="708" w:type="pct"/>
            <w:tcBorders>
              <w:top w:val="nil"/>
              <w:left w:val="nil"/>
              <w:bottom w:val="nil"/>
              <w:right w:val="single" w:sz="8" w:space="0" w:color="auto"/>
            </w:tcBorders>
            <w:shd w:val="clear" w:color="auto" w:fill="auto"/>
            <w:vAlign w:val="center"/>
            <w:hideMark/>
          </w:tcPr>
          <w:p w14:paraId="2194D617"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FF0000"/>
              </w:rPr>
              <w:t>-$750.89</w:t>
            </w:r>
          </w:p>
        </w:tc>
        <w:tc>
          <w:tcPr>
            <w:tcW w:w="866" w:type="pct"/>
            <w:tcBorders>
              <w:top w:val="nil"/>
              <w:left w:val="nil"/>
              <w:bottom w:val="single" w:sz="8" w:space="0" w:color="auto"/>
              <w:right w:val="single" w:sz="8" w:space="0" w:color="auto"/>
            </w:tcBorders>
            <w:shd w:val="clear" w:color="auto" w:fill="auto"/>
            <w:vAlign w:val="center"/>
            <w:hideMark/>
          </w:tcPr>
          <w:p w14:paraId="65E6021A"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139</w:t>
            </w:r>
          </w:p>
        </w:tc>
        <w:tc>
          <w:tcPr>
            <w:tcW w:w="1022" w:type="pct"/>
            <w:tcBorders>
              <w:top w:val="nil"/>
              <w:left w:val="nil"/>
              <w:bottom w:val="nil"/>
              <w:right w:val="single" w:sz="8" w:space="0" w:color="auto"/>
            </w:tcBorders>
            <w:shd w:val="clear" w:color="auto" w:fill="auto"/>
            <w:vAlign w:val="center"/>
            <w:hideMark/>
          </w:tcPr>
          <w:p w14:paraId="43EB7FCE"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363</w:t>
            </w:r>
          </w:p>
        </w:tc>
        <w:tc>
          <w:tcPr>
            <w:tcW w:w="520" w:type="pct"/>
            <w:tcBorders>
              <w:top w:val="nil"/>
              <w:left w:val="nil"/>
              <w:bottom w:val="nil"/>
              <w:right w:val="single" w:sz="8" w:space="0" w:color="auto"/>
            </w:tcBorders>
            <w:shd w:val="clear" w:color="auto" w:fill="auto"/>
            <w:vAlign w:val="center"/>
            <w:hideMark/>
          </w:tcPr>
          <w:p w14:paraId="3C92CBF1"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Dominant</w:t>
            </w:r>
          </w:p>
        </w:tc>
      </w:tr>
      <w:tr w:rsidR="00D84BE3" w:rsidRPr="00D413D5" w14:paraId="45B162D5" w14:textId="77777777" w:rsidTr="00636918">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22A1E3AB"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CF/SMA/FXS Testing Only</w:t>
            </w:r>
          </w:p>
        </w:tc>
        <w:tc>
          <w:tcPr>
            <w:tcW w:w="630" w:type="pct"/>
            <w:tcBorders>
              <w:top w:val="nil"/>
              <w:left w:val="nil"/>
              <w:bottom w:val="single" w:sz="8" w:space="0" w:color="auto"/>
              <w:right w:val="single" w:sz="8" w:space="0" w:color="auto"/>
            </w:tcBorders>
            <w:shd w:val="clear" w:color="auto" w:fill="auto"/>
            <w:vAlign w:val="center"/>
            <w:hideMark/>
          </w:tcPr>
          <w:p w14:paraId="37A7E366"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$1,543.91</w:t>
            </w:r>
          </w:p>
        </w:tc>
        <w:tc>
          <w:tcPr>
            <w:tcW w:w="708" w:type="pct"/>
            <w:tcBorders>
              <w:top w:val="nil"/>
              <w:left w:val="nil"/>
              <w:bottom w:val="single" w:sz="8" w:space="0" w:color="auto"/>
              <w:right w:val="single" w:sz="8" w:space="0" w:color="auto"/>
            </w:tcBorders>
            <w:shd w:val="clear" w:color="auto" w:fill="auto"/>
            <w:vAlign w:val="center"/>
            <w:hideMark/>
          </w:tcPr>
          <w:p w14:paraId="3ECB9673"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866" w:type="pct"/>
            <w:tcBorders>
              <w:top w:val="nil"/>
              <w:left w:val="nil"/>
              <w:bottom w:val="single" w:sz="8" w:space="0" w:color="auto"/>
              <w:right w:val="single" w:sz="8" w:space="0" w:color="auto"/>
            </w:tcBorders>
            <w:shd w:val="clear" w:color="auto" w:fill="auto"/>
            <w:vAlign w:val="center"/>
            <w:hideMark/>
          </w:tcPr>
          <w:p w14:paraId="23577DD0"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502</w:t>
            </w:r>
          </w:p>
        </w:tc>
        <w:tc>
          <w:tcPr>
            <w:tcW w:w="1022" w:type="pct"/>
            <w:tcBorders>
              <w:top w:val="nil"/>
              <w:left w:val="nil"/>
              <w:bottom w:val="single" w:sz="8" w:space="0" w:color="auto"/>
              <w:right w:val="single" w:sz="8" w:space="0" w:color="auto"/>
            </w:tcBorders>
            <w:shd w:val="clear" w:color="auto" w:fill="auto"/>
            <w:vAlign w:val="center"/>
            <w:hideMark/>
          </w:tcPr>
          <w:p w14:paraId="6E826BB4"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520" w:type="pct"/>
            <w:tcBorders>
              <w:top w:val="nil"/>
              <w:left w:val="nil"/>
              <w:bottom w:val="single" w:sz="8" w:space="0" w:color="auto"/>
              <w:right w:val="single" w:sz="8" w:space="0" w:color="auto"/>
            </w:tcBorders>
            <w:shd w:val="clear" w:color="auto" w:fill="auto"/>
            <w:vAlign w:val="center"/>
            <w:hideMark/>
          </w:tcPr>
          <w:p w14:paraId="1C6ABBC0"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($-2.07)</w:t>
            </w:r>
          </w:p>
        </w:tc>
      </w:tr>
      <w:tr w:rsidR="00D84BE3" w:rsidRPr="00D413D5" w14:paraId="698A6C48" w14:textId="77777777" w:rsidTr="00751522">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129540E" w14:textId="10B3A2C3" w:rsidR="00D84BE3" w:rsidRPr="00D413D5" w:rsidRDefault="00D84BE3" w:rsidP="00751522">
            <w:pPr>
              <w:spacing w:after="0"/>
              <w:rPr>
                <w:rFonts w:ascii="Arial Narrow" w:hAnsi="Arial Narrow" w:cs="Calibri"/>
                <w:b/>
                <w:bCs/>
                <w:color w:val="000000"/>
              </w:rPr>
            </w:pPr>
            <w:r w:rsidRPr="00D413D5">
              <w:rPr>
                <w:rFonts w:ascii="Arial Narrow" w:hAnsi="Arial Narrow" w:cs="Calibri"/>
                <w:b/>
                <w:bCs/>
                <w:color w:val="000000"/>
              </w:rPr>
              <w:t>Weighted cost-effectiveness (Monogenic disease births averted)</w:t>
            </w:r>
          </w:p>
        </w:tc>
      </w:tr>
      <w:tr w:rsidR="00D84BE3" w:rsidRPr="00D413D5" w14:paraId="0C6DFE24" w14:textId="77777777" w:rsidTr="00636918">
        <w:trPr>
          <w:trHeight w:val="315"/>
        </w:trPr>
        <w:tc>
          <w:tcPr>
            <w:tcW w:w="1254" w:type="pct"/>
            <w:tcBorders>
              <w:top w:val="nil"/>
              <w:left w:val="single" w:sz="8" w:space="0" w:color="auto"/>
              <w:bottom w:val="nil"/>
              <w:right w:val="single" w:sz="8" w:space="0" w:color="auto"/>
            </w:tcBorders>
            <w:shd w:val="clear" w:color="auto" w:fill="auto"/>
            <w:vAlign w:val="center"/>
            <w:hideMark/>
          </w:tcPr>
          <w:p w14:paraId="7E690621"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Opportunistic Testing</w:t>
            </w:r>
          </w:p>
        </w:tc>
        <w:tc>
          <w:tcPr>
            <w:tcW w:w="630" w:type="pct"/>
            <w:tcBorders>
              <w:top w:val="nil"/>
              <w:left w:val="nil"/>
              <w:bottom w:val="single" w:sz="8" w:space="0" w:color="auto"/>
              <w:right w:val="single" w:sz="8" w:space="0" w:color="auto"/>
            </w:tcBorders>
            <w:shd w:val="clear" w:color="auto" w:fill="auto"/>
            <w:vAlign w:val="center"/>
            <w:hideMark/>
          </w:tcPr>
          <w:p w14:paraId="1E1D297C"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$1,358.60</w:t>
            </w:r>
          </w:p>
        </w:tc>
        <w:tc>
          <w:tcPr>
            <w:tcW w:w="708" w:type="pct"/>
            <w:tcBorders>
              <w:top w:val="nil"/>
              <w:left w:val="nil"/>
              <w:bottom w:val="nil"/>
              <w:right w:val="single" w:sz="8" w:space="0" w:color="auto"/>
            </w:tcBorders>
            <w:shd w:val="clear" w:color="auto" w:fill="auto"/>
            <w:vAlign w:val="center"/>
            <w:hideMark/>
          </w:tcPr>
          <w:p w14:paraId="5FCD3982"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FF0000"/>
              </w:rPr>
              <w:t>-$1,383.86</w:t>
            </w:r>
          </w:p>
        </w:tc>
        <w:tc>
          <w:tcPr>
            <w:tcW w:w="866" w:type="pct"/>
            <w:tcBorders>
              <w:top w:val="nil"/>
              <w:left w:val="nil"/>
              <w:bottom w:val="single" w:sz="8" w:space="0" w:color="auto"/>
              <w:right w:val="single" w:sz="8" w:space="0" w:color="auto"/>
            </w:tcBorders>
            <w:shd w:val="clear" w:color="auto" w:fill="auto"/>
            <w:vAlign w:val="center"/>
            <w:hideMark/>
          </w:tcPr>
          <w:p w14:paraId="5F242AA8"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203</w:t>
            </w:r>
          </w:p>
        </w:tc>
        <w:tc>
          <w:tcPr>
            <w:tcW w:w="1022" w:type="pct"/>
            <w:tcBorders>
              <w:top w:val="nil"/>
              <w:left w:val="nil"/>
              <w:bottom w:val="nil"/>
              <w:right w:val="single" w:sz="8" w:space="0" w:color="auto"/>
            </w:tcBorders>
            <w:shd w:val="clear" w:color="auto" w:fill="auto"/>
            <w:vAlign w:val="center"/>
            <w:hideMark/>
          </w:tcPr>
          <w:p w14:paraId="09856798"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431</w:t>
            </w:r>
          </w:p>
        </w:tc>
        <w:tc>
          <w:tcPr>
            <w:tcW w:w="520" w:type="pct"/>
            <w:tcBorders>
              <w:top w:val="nil"/>
              <w:left w:val="nil"/>
              <w:bottom w:val="nil"/>
              <w:right w:val="single" w:sz="8" w:space="0" w:color="auto"/>
            </w:tcBorders>
            <w:shd w:val="clear" w:color="auto" w:fill="auto"/>
            <w:vAlign w:val="center"/>
            <w:hideMark/>
          </w:tcPr>
          <w:p w14:paraId="5DE3EFA9"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Dominant</w:t>
            </w:r>
          </w:p>
        </w:tc>
      </w:tr>
      <w:tr w:rsidR="00D84BE3" w:rsidRPr="00D413D5" w14:paraId="5BF2A3D9" w14:textId="77777777" w:rsidTr="00636918">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72BB5316"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CF/SMA/FXS Testing Only</w:t>
            </w:r>
          </w:p>
        </w:tc>
        <w:tc>
          <w:tcPr>
            <w:tcW w:w="630" w:type="pct"/>
            <w:tcBorders>
              <w:top w:val="nil"/>
              <w:left w:val="nil"/>
              <w:bottom w:val="single" w:sz="8" w:space="0" w:color="auto"/>
              <w:right w:val="single" w:sz="8" w:space="0" w:color="auto"/>
            </w:tcBorders>
            <w:shd w:val="clear" w:color="auto" w:fill="auto"/>
            <w:vAlign w:val="center"/>
            <w:hideMark/>
          </w:tcPr>
          <w:p w14:paraId="176F730C"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$2,742.46</w:t>
            </w:r>
          </w:p>
        </w:tc>
        <w:tc>
          <w:tcPr>
            <w:tcW w:w="708" w:type="pct"/>
            <w:tcBorders>
              <w:top w:val="nil"/>
              <w:left w:val="nil"/>
              <w:bottom w:val="single" w:sz="8" w:space="0" w:color="auto"/>
              <w:right w:val="single" w:sz="8" w:space="0" w:color="auto"/>
            </w:tcBorders>
            <w:shd w:val="clear" w:color="auto" w:fill="auto"/>
            <w:vAlign w:val="center"/>
            <w:hideMark/>
          </w:tcPr>
          <w:p w14:paraId="299D572C"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866" w:type="pct"/>
            <w:tcBorders>
              <w:top w:val="nil"/>
              <w:left w:val="nil"/>
              <w:bottom w:val="single" w:sz="8" w:space="0" w:color="auto"/>
              <w:right w:val="single" w:sz="8" w:space="0" w:color="auto"/>
            </w:tcBorders>
            <w:shd w:val="clear" w:color="auto" w:fill="auto"/>
            <w:vAlign w:val="center"/>
            <w:hideMark/>
          </w:tcPr>
          <w:p w14:paraId="1425F539"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634</w:t>
            </w:r>
          </w:p>
        </w:tc>
        <w:tc>
          <w:tcPr>
            <w:tcW w:w="1022" w:type="pct"/>
            <w:tcBorders>
              <w:top w:val="nil"/>
              <w:left w:val="nil"/>
              <w:bottom w:val="single" w:sz="8" w:space="0" w:color="auto"/>
              <w:right w:val="single" w:sz="8" w:space="0" w:color="auto"/>
            </w:tcBorders>
            <w:shd w:val="clear" w:color="auto" w:fill="auto"/>
            <w:vAlign w:val="center"/>
            <w:hideMark/>
          </w:tcPr>
          <w:p w14:paraId="0F3D5511"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520" w:type="pct"/>
            <w:tcBorders>
              <w:top w:val="nil"/>
              <w:left w:val="nil"/>
              <w:bottom w:val="single" w:sz="8" w:space="0" w:color="auto"/>
              <w:right w:val="single" w:sz="8" w:space="0" w:color="auto"/>
            </w:tcBorders>
            <w:shd w:val="clear" w:color="auto" w:fill="auto"/>
            <w:vAlign w:val="center"/>
            <w:hideMark/>
          </w:tcPr>
          <w:p w14:paraId="3EF519FC"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($-3.21)</w:t>
            </w:r>
          </w:p>
        </w:tc>
      </w:tr>
      <w:tr w:rsidR="00D84BE3" w:rsidRPr="00D413D5" w14:paraId="74845171" w14:textId="77777777" w:rsidTr="00636918">
        <w:trPr>
          <w:trHeight w:val="315"/>
        </w:trPr>
        <w:tc>
          <w:tcPr>
            <w:tcW w:w="1254" w:type="pct"/>
            <w:tcBorders>
              <w:top w:val="nil"/>
              <w:left w:val="single" w:sz="8" w:space="0" w:color="auto"/>
              <w:bottom w:val="single" w:sz="8" w:space="0" w:color="auto"/>
              <w:right w:val="nil"/>
            </w:tcBorders>
            <w:shd w:val="clear" w:color="auto" w:fill="auto"/>
            <w:vAlign w:val="center"/>
            <w:hideMark/>
          </w:tcPr>
          <w:p w14:paraId="0684AABB" w14:textId="77777777" w:rsidR="00D84BE3" w:rsidRPr="00D413D5" w:rsidRDefault="00D84BE3" w:rsidP="00751522">
            <w:pPr>
              <w:spacing w:after="0"/>
              <w:jc w:val="both"/>
              <w:rPr>
                <w:rFonts w:ascii="Arial Narrow" w:hAnsi="Arial Narrow" w:cs="Calibri"/>
                <w:b/>
                <w:bCs/>
                <w:color w:val="000000"/>
              </w:rPr>
            </w:pPr>
            <w:r w:rsidRPr="00D413D5">
              <w:rPr>
                <w:rFonts w:ascii="Arial Narrow" w:hAnsi="Arial Narrow" w:cs="Calibri"/>
                <w:b/>
                <w:bCs/>
                <w:color w:val="000000"/>
              </w:rPr>
              <w:t>GGGG testing</w:t>
            </w:r>
          </w:p>
        </w:tc>
        <w:tc>
          <w:tcPr>
            <w:tcW w:w="630" w:type="pct"/>
            <w:tcBorders>
              <w:top w:val="nil"/>
              <w:left w:val="nil"/>
              <w:bottom w:val="nil"/>
              <w:right w:val="nil"/>
            </w:tcBorders>
            <w:shd w:val="clear" w:color="auto" w:fill="auto"/>
            <w:vAlign w:val="center"/>
            <w:hideMark/>
          </w:tcPr>
          <w:p w14:paraId="2A9674D1" w14:textId="77777777" w:rsidR="00D84BE3" w:rsidRPr="00D413D5" w:rsidRDefault="00D84BE3" w:rsidP="00751522">
            <w:pPr>
              <w:spacing w:after="0"/>
              <w:jc w:val="both"/>
              <w:rPr>
                <w:rFonts w:ascii="Arial Narrow" w:hAnsi="Arial Narrow" w:cs="Calibri"/>
                <w:b/>
                <w:bCs/>
                <w:color w:val="000000"/>
              </w:rPr>
            </w:pPr>
          </w:p>
        </w:tc>
        <w:tc>
          <w:tcPr>
            <w:tcW w:w="708" w:type="pct"/>
            <w:tcBorders>
              <w:top w:val="nil"/>
              <w:left w:val="nil"/>
              <w:bottom w:val="nil"/>
              <w:right w:val="nil"/>
            </w:tcBorders>
            <w:shd w:val="clear" w:color="auto" w:fill="auto"/>
            <w:vAlign w:val="center"/>
            <w:hideMark/>
          </w:tcPr>
          <w:p w14:paraId="690C4832" w14:textId="77777777" w:rsidR="00D84BE3" w:rsidRPr="00D413D5" w:rsidRDefault="00D84BE3" w:rsidP="00751522">
            <w:pPr>
              <w:spacing w:after="0"/>
              <w:jc w:val="center"/>
              <w:rPr>
                <w:rFonts w:ascii="Times New Roman" w:hAnsi="Times New Roman"/>
              </w:rPr>
            </w:pPr>
          </w:p>
        </w:tc>
        <w:tc>
          <w:tcPr>
            <w:tcW w:w="866" w:type="pct"/>
            <w:tcBorders>
              <w:top w:val="nil"/>
              <w:left w:val="nil"/>
              <w:bottom w:val="nil"/>
              <w:right w:val="nil"/>
            </w:tcBorders>
            <w:shd w:val="clear" w:color="auto" w:fill="auto"/>
            <w:vAlign w:val="center"/>
            <w:hideMark/>
          </w:tcPr>
          <w:p w14:paraId="173A90F1" w14:textId="77777777" w:rsidR="00D84BE3" w:rsidRPr="00D413D5" w:rsidRDefault="00D84BE3" w:rsidP="00751522">
            <w:pPr>
              <w:spacing w:after="0"/>
              <w:jc w:val="center"/>
              <w:rPr>
                <w:rFonts w:ascii="Times New Roman" w:hAnsi="Times New Roman"/>
              </w:rPr>
            </w:pPr>
          </w:p>
        </w:tc>
        <w:tc>
          <w:tcPr>
            <w:tcW w:w="1022" w:type="pct"/>
            <w:tcBorders>
              <w:top w:val="nil"/>
              <w:left w:val="nil"/>
              <w:bottom w:val="nil"/>
              <w:right w:val="nil"/>
            </w:tcBorders>
            <w:shd w:val="clear" w:color="auto" w:fill="auto"/>
            <w:vAlign w:val="center"/>
            <w:hideMark/>
          </w:tcPr>
          <w:p w14:paraId="3CD71ACF" w14:textId="77777777" w:rsidR="00D84BE3" w:rsidRPr="00D413D5" w:rsidRDefault="00D84BE3" w:rsidP="00751522">
            <w:pPr>
              <w:spacing w:after="0"/>
              <w:jc w:val="center"/>
              <w:rPr>
                <w:rFonts w:ascii="Times New Roman" w:hAnsi="Times New Roman"/>
              </w:rPr>
            </w:pPr>
          </w:p>
        </w:tc>
        <w:tc>
          <w:tcPr>
            <w:tcW w:w="520" w:type="pct"/>
            <w:tcBorders>
              <w:top w:val="nil"/>
              <w:left w:val="nil"/>
              <w:bottom w:val="nil"/>
              <w:right w:val="single" w:sz="8" w:space="0" w:color="auto"/>
            </w:tcBorders>
            <w:shd w:val="clear" w:color="auto" w:fill="auto"/>
            <w:vAlign w:val="center"/>
            <w:hideMark/>
          </w:tcPr>
          <w:p w14:paraId="232C45F3"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r>
      <w:tr w:rsidR="00D84BE3" w:rsidRPr="00D413D5" w14:paraId="4B17B198" w14:textId="77777777" w:rsidTr="00636918">
        <w:trPr>
          <w:trHeight w:val="315"/>
        </w:trPr>
        <w:tc>
          <w:tcPr>
            <w:tcW w:w="1254" w:type="pct"/>
            <w:tcBorders>
              <w:top w:val="nil"/>
              <w:left w:val="single" w:sz="8" w:space="0" w:color="auto"/>
              <w:bottom w:val="nil"/>
              <w:right w:val="single" w:sz="8" w:space="0" w:color="auto"/>
            </w:tcBorders>
            <w:shd w:val="clear" w:color="auto" w:fill="auto"/>
            <w:vAlign w:val="center"/>
            <w:hideMark/>
          </w:tcPr>
          <w:p w14:paraId="133557E9"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Opportunistic Testing</w:t>
            </w:r>
          </w:p>
        </w:tc>
        <w:tc>
          <w:tcPr>
            <w:tcW w:w="630" w:type="pct"/>
            <w:tcBorders>
              <w:top w:val="single" w:sz="8" w:space="0" w:color="auto"/>
              <w:left w:val="nil"/>
              <w:bottom w:val="single" w:sz="8" w:space="0" w:color="auto"/>
              <w:right w:val="single" w:sz="8" w:space="0" w:color="auto"/>
            </w:tcBorders>
            <w:shd w:val="clear" w:color="auto" w:fill="auto"/>
            <w:vAlign w:val="center"/>
            <w:hideMark/>
          </w:tcPr>
          <w:p w14:paraId="007A42DD"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$431,181.37</w:t>
            </w:r>
          </w:p>
        </w:tc>
        <w:tc>
          <w:tcPr>
            <w:tcW w:w="708" w:type="pct"/>
            <w:tcBorders>
              <w:top w:val="single" w:sz="8" w:space="0" w:color="auto"/>
              <w:left w:val="nil"/>
              <w:bottom w:val="nil"/>
              <w:right w:val="single" w:sz="8" w:space="0" w:color="auto"/>
            </w:tcBorders>
            <w:shd w:val="clear" w:color="auto" w:fill="auto"/>
            <w:vAlign w:val="center"/>
            <w:hideMark/>
          </w:tcPr>
          <w:p w14:paraId="6D63DB1E"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FF0000"/>
              </w:rPr>
              <w:t>-$105,783.12</w:t>
            </w:r>
          </w:p>
        </w:tc>
        <w:tc>
          <w:tcPr>
            <w:tcW w:w="866" w:type="pct"/>
            <w:tcBorders>
              <w:top w:val="single" w:sz="8" w:space="0" w:color="auto"/>
              <w:left w:val="nil"/>
              <w:bottom w:val="single" w:sz="8" w:space="0" w:color="auto"/>
              <w:right w:val="single" w:sz="8" w:space="0" w:color="auto"/>
            </w:tcBorders>
            <w:shd w:val="clear" w:color="auto" w:fill="auto"/>
            <w:vAlign w:val="center"/>
            <w:hideMark/>
          </w:tcPr>
          <w:p w14:paraId="2ADA0F01" w14:textId="482B181A"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xml:space="preserve">51,206 </w:t>
            </w:r>
          </w:p>
        </w:tc>
        <w:tc>
          <w:tcPr>
            <w:tcW w:w="1022" w:type="pct"/>
            <w:tcBorders>
              <w:top w:val="single" w:sz="8" w:space="0" w:color="auto"/>
              <w:left w:val="nil"/>
              <w:bottom w:val="nil"/>
              <w:right w:val="single" w:sz="8" w:space="0" w:color="auto"/>
            </w:tcBorders>
            <w:shd w:val="clear" w:color="auto" w:fill="auto"/>
            <w:vAlign w:val="center"/>
            <w:hideMark/>
          </w:tcPr>
          <w:p w14:paraId="0A7E572F" w14:textId="71B9CFA6"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xml:space="preserve">11,428 </w:t>
            </w:r>
          </w:p>
        </w:tc>
        <w:tc>
          <w:tcPr>
            <w:tcW w:w="520" w:type="pct"/>
            <w:tcBorders>
              <w:top w:val="single" w:sz="8" w:space="0" w:color="auto"/>
              <w:left w:val="nil"/>
              <w:bottom w:val="nil"/>
              <w:right w:val="single" w:sz="8" w:space="0" w:color="auto"/>
            </w:tcBorders>
            <w:shd w:val="clear" w:color="auto" w:fill="auto"/>
            <w:vAlign w:val="center"/>
            <w:hideMark/>
          </w:tcPr>
          <w:p w14:paraId="2BE353EF"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Dominant</w:t>
            </w:r>
          </w:p>
        </w:tc>
      </w:tr>
      <w:tr w:rsidR="00D84BE3" w:rsidRPr="00D413D5" w14:paraId="6D62BB43" w14:textId="77777777" w:rsidTr="00636918">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6704EFC7"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CF/SMA/FXS Testing Only</w:t>
            </w:r>
          </w:p>
        </w:tc>
        <w:tc>
          <w:tcPr>
            <w:tcW w:w="630" w:type="pct"/>
            <w:tcBorders>
              <w:top w:val="nil"/>
              <w:left w:val="nil"/>
              <w:bottom w:val="single" w:sz="8" w:space="0" w:color="auto"/>
              <w:right w:val="single" w:sz="8" w:space="0" w:color="auto"/>
            </w:tcBorders>
            <w:shd w:val="clear" w:color="auto" w:fill="auto"/>
            <w:vAlign w:val="center"/>
            <w:hideMark/>
          </w:tcPr>
          <w:p w14:paraId="436FA426"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$536,964.49</w:t>
            </w:r>
          </w:p>
        </w:tc>
        <w:tc>
          <w:tcPr>
            <w:tcW w:w="708" w:type="pct"/>
            <w:tcBorders>
              <w:top w:val="nil"/>
              <w:left w:val="nil"/>
              <w:bottom w:val="single" w:sz="8" w:space="0" w:color="auto"/>
              <w:right w:val="single" w:sz="8" w:space="0" w:color="auto"/>
            </w:tcBorders>
            <w:shd w:val="clear" w:color="auto" w:fill="auto"/>
            <w:vAlign w:val="center"/>
            <w:hideMark/>
          </w:tcPr>
          <w:p w14:paraId="2CF90D23"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866" w:type="pct"/>
            <w:tcBorders>
              <w:top w:val="nil"/>
              <w:left w:val="nil"/>
              <w:bottom w:val="single" w:sz="8" w:space="0" w:color="auto"/>
              <w:right w:val="single" w:sz="8" w:space="0" w:color="auto"/>
            </w:tcBorders>
            <w:shd w:val="clear" w:color="auto" w:fill="auto"/>
            <w:vAlign w:val="center"/>
            <w:hideMark/>
          </w:tcPr>
          <w:p w14:paraId="6979CE8E" w14:textId="2B6FB7EC"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xml:space="preserve">62,633 </w:t>
            </w:r>
          </w:p>
        </w:tc>
        <w:tc>
          <w:tcPr>
            <w:tcW w:w="1022" w:type="pct"/>
            <w:tcBorders>
              <w:top w:val="nil"/>
              <w:left w:val="nil"/>
              <w:bottom w:val="single" w:sz="8" w:space="0" w:color="auto"/>
              <w:right w:val="single" w:sz="8" w:space="0" w:color="auto"/>
            </w:tcBorders>
            <w:shd w:val="clear" w:color="auto" w:fill="auto"/>
            <w:vAlign w:val="center"/>
            <w:hideMark/>
          </w:tcPr>
          <w:p w14:paraId="00F60B6F"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520" w:type="pct"/>
            <w:tcBorders>
              <w:top w:val="nil"/>
              <w:left w:val="nil"/>
              <w:bottom w:val="single" w:sz="8" w:space="0" w:color="auto"/>
              <w:right w:val="single" w:sz="8" w:space="0" w:color="auto"/>
            </w:tcBorders>
            <w:shd w:val="clear" w:color="auto" w:fill="auto"/>
            <w:vAlign w:val="center"/>
            <w:hideMark/>
          </w:tcPr>
          <w:p w14:paraId="7A215FBC"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($-9.26)</w:t>
            </w:r>
          </w:p>
        </w:tc>
      </w:tr>
      <w:tr w:rsidR="00636918" w:rsidRPr="00D413D5" w14:paraId="49B96B29" w14:textId="77777777" w:rsidTr="00636918">
        <w:trPr>
          <w:trHeight w:val="31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38A5BFBC" w14:textId="29167E0C" w:rsidR="00636918" w:rsidRPr="00D413D5" w:rsidRDefault="00636918" w:rsidP="00636918">
            <w:pPr>
              <w:spacing w:after="0"/>
              <w:rPr>
                <w:rFonts w:ascii="Arial Narrow" w:hAnsi="Arial Narrow" w:cs="Calibri"/>
                <w:color w:val="000000"/>
              </w:rPr>
            </w:pPr>
            <w:r w:rsidRPr="00D413D5">
              <w:rPr>
                <w:rFonts w:ascii="Arial Narrow" w:hAnsi="Arial Narrow" w:cs="Calibri"/>
                <w:b/>
                <w:bCs/>
                <w:color w:val="000000"/>
              </w:rPr>
              <w:t>Weighted cost-effectiveness (Monogenic disease births averted)</w:t>
            </w:r>
          </w:p>
        </w:tc>
      </w:tr>
      <w:tr w:rsidR="00D84BE3" w:rsidRPr="00D413D5" w14:paraId="34BED734" w14:textId="77777777" w:rsidTr="00636918">
        <w:trPr>
          <w:trHeight w:val="315"/>
        </w:trPr>
        <w:tc>
          <w:tcPr>
            <w:tcW w:w="1254" w:type="pct"/>
            <w:tcBorders>
              <w:top w:val="nil"/>
              <w:left w:val="single" w:sz="8" w:space="0" w:color="auto"/>
              <w:bottom w:val="nil"/>
              <w:right w:val="single" w:sz="8" w:space="0" w:color="auto"/>
            </w:tcBorders>
            <w:shd w:val="clear" w:color="auto" w:fill="auto"/>
            <w:vAlign w:val="center"/>
            <w:hideMark/>
          </w:tcPr>
          <w:p w14:paraId="6950D1E5"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Opportunistic Testing</w:t>
            </w:r>
          </w:p>
        </w:tc>
        <w:tc>
          <w:tcPr>
            <w:tcW w:w="630" w:type="pct"/>
            <w:tcBorders>
              <w:top w:val="single" w:sz="8" w:space="0" w:color="auto"/>
              <w:left w:val="nil"/>
              <w:bottom w:val="single" w:sz="8" w:space="0" w:color="auto"/>
              <w:right w:val="single" w:sz="8" w:space="0" w:color="auto"/>
            </w:tcBorders>
            <w:shd w:val="clear" w:color="auto" w:fill="auto"/>
            <w:vAlign w:val="center"/>
            <w:hideMark/>
          </w:tcPr>
          <w:p w14:paraId="5C911B67"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$80,488.97</w:t>
            </w:r>
          </w:p>
        </w:tc>
        <w:tc>
          <w:tcPr>
            <w:tcW w:w="708" w:type="pct"/>
            <w:tcBorders>
              <w:top w:val="single" w:sz="8" w:space="0" w:color="auto"/>
              <w:left w:val="nil"/>
              <w:bottom w:val="nil"/>
              <w:right w:val="single" w:sz="8" w:space="0" w:color="auto"/>
            </w:tcBorders>
            <w:shd w:val="clear" w:color="auto" w:fill="auto"/>
            <w:vAlign w:val="center"/>
            <w:hideMark/>
          </w:tcPr>
          <w:p w14:paraId="45D516C2"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FF0000"/>
              </w:rPr>
              <w:t>-$20,603.76</w:t>
            </w:r>
          </w:p>
        </w:tc>
        <w:tc>
          <w:tcPr>
            <w:tcW w:w="866" w:type="pct"/>
            <w:tcBorders>
              <w:top w:val="single" w:sz="8" w:space="0" w:color="auto"/>
              <w:left w:val="nil"/>
              <w:bottom w:val="single" w:sz="8" w:space="0" w:color="auto"/>
              <w:right w:val="single" w:sz="8" w:space="0" w:color="auto"/>
            </w:tcBorders>
            <w:shd w:val="clear" w:color="auto" w:fill="auto"/>
            <w:vAlign w:val="center"/>
            <w:hideMark/>
          </w:tcPr>
          <w:p w14:paraId="1AD6F03D"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9593</w:t>
            </w:r>
          </w:p>
        </w:tc>
        <w:tc>
          <w:tcPr>
            <w:tcW w:w="1022" w:type="pct"/>
            <w:tcBorders>
              <w:top w:val="single" w:sz="8" w:space="0" w:color="auto"/>
              <w:left w:val="nil"/>
              <w:bottom w:val="nil"/>
              <w:right w:val="single" w:sz="8" w:space="0" w:color="auto"/>
            </w:tcBorders>
            <w:shd w:val="clear" w:color="auto" w:fill="auto"/>
            <w:vAlign w:val="center"/>
            <w:hideMark/>
          </w:tcPr>
          <w:p w14:paraId="42CB0CE2"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2455</w:t>
            </w:r>
          </w:p>
        </w:tc>
        <w:tc>
          <w:tcPr>
            <w:tcW w:w="520" w:type="pct"/>
            <w:tcBorders>
              <w:top w:val="single" w:sz="8" w:space="0" w:color="auto"/>
              <w:left w:val="nil"/>
              <w:bottom w:val="nil"/>
              <w:right w:val="single" w:sz="8" w:space="0" w:color="auto"/>
            </w:tcBorders>
            <w:shd w:val="clear" w:color="auto" w:fill="auto"/>
            <w:vAlign w:val="center"/>
            <w:hideMark/>
          </w:tcPr>
          <w:p w14:paraId="02BA00D7"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Dominant</w:t>
            </w:r>
          </w:p>
        </w:tc>
      </w:tr>
      <w:tr w:rsidR="00D84BE3" w:rsidRPr="00D413D5" w14:paraId="51C6FCD2" w14:textId="77777777" w:rsidTr="00636918">
        <w:trPr>
          <w:trHeight w:val="315"/>
        </w:trPr>
        <w:tc>
          <w:tcPr>
            <w:tcW w:w="1254" w:type="pct"/>
            <w:tcBorders>
              <w:top w:val="nil"/>
              <w:left w:val="single" w:sz="8" w:space="0" w:color="auto"/>
              <w:bottom w:val="single" w:sz="8" w:space="0" w:color="auto"/>
              <w:right w:val="single" w:sz="8" w:space="0" w:color="auto"/>
            </w:tcBorders>
            <w:shd w:val="clear" w:color="auto" w:fill="auto"/>
            <w:vAlign w:val="center"/>
            <w:hideMark/>
          </w:tcPr>
          <w:p w14:paraId="1852A7FC" w14:textId="77777777" w:rsidR="00D84BE3" w:rsidRPr="00D413D5" w:rsidRDefault="00D84BE3" w:rsidP="00751522">
            <w:pPr>
              <w:spacing w:after="0"/>
              <w:jc w:val="both"/>
              <w:rPr>
                <w:rFonts w:ascii="Arial Narrow" w:hAnsi="Arial Narrow" w:cs="Calibri"/>
                <w:color w:val="000000"/>
              </w:rPr>
            </w:pPr>
            <w:r w:rsidRPr="00D413D5">
              <w:rPr>
                <w:rFonts w:ascii="Arial Narrow" w:hAnsi="Arial Narrow" w:cs="Calibri"/>
                <w:color w:val="000000"/>
              </w:rPr>
              <w:t>CF/SMA/FXS Testing Only</w:t>
            </w:r>
          </w:p>
        </w:tc>
        <w:tc>
          <w:tcPr>
            <w:tcW w:w="630" w:type="pct"/>
            <w:tcBorders>
              <w:top w:val="nil"/>
              <w:left w:val="nil"/>
              <w:bottom w:val="single" w:sz="8" w:space="0" w:color="auto"/>
              <w:right w:val="single" w:sz="8" w:space="0" w:color="auto"/>
            </w:tcBorders>
            <w:shd w:val="clear" w:color="auto" w:fill="auto"/>
            <w:vAlign w:val="center"/>
            <w:hideMark/>
          </w:tcPr>
          <w:p w14:paraId="36031A9B"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$101,092.73</w:t>
            </w:r>
          </w:p>
        </w:tc>
        <w:tc>
          <w:tcPr>
            <w:tcW w:w="708" w:type="pct"/>
            <w:tcBorders>
              <w:top w:val="nil"/>
              <w:left w:val="nil"/>
              <w:bottom w:val="single" w:sz="8" w:space="0" w:color="auto"/>
              <w:right w:val="single" w:sz="8" w:space="0" w:color="auto"/>
            </w:tcBorders>
            <w:shd w:val="clear" w:color="auto" w:fill="auto"/>
            <w:vAlign w:val="center"/>
            <w:hideMark/>
          </w:tcPr>
          <w:p w14:paraId="30207EA8"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866" w:type="pct"/>
            <w:tcBorders>
              <w:top w:val="nil"/>
              <w:left w:val="nil"/>
              <w:bottom w:val="single" w:sz="8" w:space="0" w:color="auto"/>
              <w:right w:val="single" w:sz="8" w:space="0" w:color="auto"/>
            </w:tcBorders>
            <w:shd w:val="clear" w:color="auto" w:fill="auto"/>
            <w:vAlign w:val="center"/>
            <w:hideMark/>
          </w:tcPr>
          <w:p w14:paraId="69A7BE68"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12048</w:t>
            </w:r>
          </w:p>
        </w:tc>
        <w:tc>
          <w:tcPr>
            <w:tcW w:w="1022" w:type="pct"/>
            <w:tcBorders>
              <w:top w:val="nil"/>
              <w:left w:val="nil"/>
              <w:bottom w:val="single" w:sz="8" w:space="0" w:color="auto"/>
              <w:right w:val="single" w:sz="8" w:space="0" w:color="auto"/>
            </w:tcBorders>
            <w:shd w:val="clear" w:color="auto" w:fill="auto"/>
            <w:vAlign w:val="center"/>
            <w:hideMark/>
          </w:tcPr>
          <w:p w14:paraId="634091A4"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 </w:t>
            </w:r>
          </w:p>
        </w:tc>
        <w:tc>
          <w:tcPr>
            <w:tcW w:w="520" w:type="pct"/>
            <w:tcBorders>
              <w:top w:val="nil"/>
              <w:left w:val="nil"/>
              <w:bottom w:val="single" w:sz="8" w:space="0" w:color="auto"/>
              <w:right w:val="single" w:sz="8" w:space="0" w:color="auto"/>
            </w:tcBorders>
            <w:shd w:val="clear" w:color="auto" w:fill="auto"/>
            <w:vAlign w:val="center"/>
            <w:hideMark/>
          </w:tcPr>
          <w:p w14:paraId="3F203611" w14:textId="77777777" w:rsidR="00D84BE3" w:rsidRPr="00D413D5" w:rsidRDefault="00D84BE3" w:rsidP="00751522">
            <w:pPr>
              <w:spacing w:after="0"/>
              <w:jc w:val="center"/>
              <w:rPr>
                <w:rFonts w:ascii="Arial Narrow" w:hAnsi="Arial Narrow" w:cs="Calibri"/>
                <w:color w:val="000000"/>
              </w:rPr>
            </w:pPr>
            <w:r w:rsidRPr="00D413D5">
              <w:rPr>
                <w:rFonts w:ascii="Arial Narrow" w:hAnsi="Arial Narrow" w:cs="Calibri"/>
                <w:color w:val="000000"/>
              </w:rPr>
              <w:t>($-8.39)</w:t>
            </w:r>
          </w:p>
        </w:tc>
      </w:tr>
    </w:tbl>
    <w:p w14:paraId="2701AF22" w14:textId="3E89298B" w:rsidR="00D84BE3" w:rsidRPr="00D84BE3" w:rsidRDefault="00D84BE3" w:rsidP="00D84BE3">
      <w:pPr>
        <w:pStyle w:val="TableFigureFooter"/>
        <w:spacing w:before="0"/>
      </w:pPr>
      <w:r w:rsidRPr="00D84BE3">
        <w:t>Source: Addendum to the DCAR</w:t>
      </w:r>
      <w:r>
        <w:t>.</w:t>
      </w:r>
    </w:p>
    <w:p w14:paraId="3D6E194A" w14:textId="1E225ACA" w:rsidR="00FF7D57" w:rsidRDefault="00FF7D57" w:rsidP="00FF7D57">
      <w:pPr>
        <w:pStyle w:val="Guidelinescross-ref"/>
        <w:rPr>
          <w:b w:val="0"/>
          <w:color w:val="auto"/>
          <w:sz w:val="22"/>
        </w:rPr>
      </w:pPr>
      <w:r>
        <w:rPr>
          <w:b w:val="0"/>
          <w:color w:val="auto"/>
          <w:sz w:val="22"/>
        </w:rPr>
        <w:lastRenderedPageBreak/>
        <w:t>For the sensitivity analysis, e</w:t>
      </w:r>
      <w:r w:rsidRPr="003D5695">
        <w:rPr>
          <w:b w:val="0"/>
          <w:color w:val="auto"/>
          <w:sz w:val="22"/>
        </w:rPr>
        <w:t xml:space="preserve">ach parameter was adjusted by ±10%, and where probabilities ranged between 0% and 100%, the maximum adjustment was to 100% as the upper bound and 0% as the lower bound. This allowed a systematic approach in identifying the key drivers of the model. The main outcomes of the model including cost per births averted for all genetic diseases </w:t>
      </w:r>
      <w:r w:rsidR="00E92F21">
        <w:rPr>
          <w:b w:val="0"/>
          <w:color w:val="auto"/>
          <w:sz w:val="22"/>
        </w:rPr>
        <w:t>were</w:t>
      </w:r>
      <w:r w:rsidR="00E92F21" w:rsidRPr="003D5695">
        <w:rPr>
          <w:b w:val="0"/>
          <w:color w:val="auto"/>
          <w:sz w:val="22"/>
        </w:rPr>
        <w:t xml:space="preserve"> </w:t>
      </w:r>
      <w:r w:rsidRPr="003D5695">
        <w:rPr>
          <w:b w:val="0"/>
          <w:color w:val="auto"/>
          <w:sz w:val="22"/>
        </w:rPr>
        <w:t>analysed in line with parameter changes to assess key drivers of the model.</w:t>
      </w:r>
    </w:p>
    <w:p w14:paraId="43CCFEE7" w14:textId="23C8AFD4" w:rsidR="00FF7D57" w:rsidRPr="003D5695" w:rsidRDefault="00FF7D57" w:rsidP="00FF7D57">
      <w:pPr>
        <w:pStyle w:val="Guidelinescross-ref"/>
        <w:rPr>
          <w:b w:val="0"/>
          <w:color w:val="auto"/>
          <w:sz w:val="22"/>
        </w:rPr>
      </w:pPr>
      <w:r>
        <w:rPr>
          <w:b w:val="0"/>
          <w:color w:val="auto"/>
          <w:sz w:val="22"/>
        </w:rPr>
        <w:t>The top 10 drivers of the model were reported for</w:t>
      </w:r>
      <w:r w:rsidR="000649F0">
        <w:rPr>
          <w:b w:val="0"/>
          <w:color w:val="auto"/>
          <w:sz w:val="22"/>
        </w:rPr>
        <w:t xml:space="preserve"> initial and initial and subsequent pregnancies combined against no te</w:t>
      </w:r>
      <w:r>
        <w:rPr>
          <w:b w:val="0"/>
          <w:color w:val="auto"/>
          <w:sz w:val="22"/>
        </w:rPr>
        <w:t xml:space="preserve">sting. Overall, the main drivers of the model were the specificity of genetic carrier testing for </w:t>
      </w:r>
      <w:r w:rsidR="000649F0">
        <w:rPr>
          <w:b w:val="0"/>
          <w:color w:val="auto"/>
          <w:sz w:val="22"/>
        </w:rPr>
        <w:t xml:space="preserve">severe monogenic </w:t>
      </w:r>
      <w:r>
        <w:rPr>
          <w:b w:val="0"/>
          <w:color w:val="auto"/>
          <w:sz w:val="22"/>
        </w:rPr>
        <w:t>conditions</w:t>
      </w:r>
      <w:r w:rsidR="0073651C">
        <w:rPr>
          <w:b w:val="0"/>
          <w:color w:val="auto"/>
          <w:sz w:val="22"/>
        </w:rPr>
        <w:t xml:space="preserve"> </w:t>
      </w:r>
      <w:r w:rsidR="007B57CA">
        <w:rPr>
          <w:b w:val="0"/>
          <w:color w:val="auto"/>
          <w:sz w:val="22"/>
        </w:rPr>
        <w:t>and the lifetime costs of care for BS</w:t>
      </w:r>
      <w:r>
        <w:rPr>
          <w:b w:val="0"/>
          <w:color w:val="auto"/>
          <w:sz w:val="22"/>
        </w:rPr>
        <w:t>. These are further described in the table below.</w:t>
      </w:r>
    </w:p>
    <w:p w14:paraId="2A5BC7A6" w14:textId="03F049BF" w:rsidR="00FF7D57" w:rsidRPr="00CE28E3" w:rsidRDefault="00FF7D57" w:rsidP="00FF7D57">
      <w:pPr>
        <w:pStyle w:val="Caption"/>
      </w:pPr>
      <w:bookmarkStart w:id="77" w:name="_Ref69726321"/>
      <w:bookmarkStart w:id="78" w:name="_Toc103096617"/>
      <w:r w:rsidRPr="007B57CA">
        <w:t>Table </w:t>
      </w:r>
      <w:bookmarkEnd w:id="77"/>
      <w:r w:rsidR="00636918">
        <w:t>20</w:t>
      </w:r>
      <w:r w:rsidRPr="007B57CA">
        <w:tab/>
        <w:t>Key drivers of the model</w:t>
      </w:r>
      <w:bookmarkEnd w:id="78"/>
    </w:p>
    <w:tbl>
      <w:tblPr>
        <w:tblStyle w:val="TableGrid1"/>
        <w:tblW w:w="5000" w:type="pct"/>
        <w:tblLayout w:type="fixed"/>
        <w:tblCellMar>
          <w:left w:w="28" w:type="dxa"/>
          <w:right w:w="28" w:type="dxa"/>
        </w:tblCellMar>
        <w:tblLook w:val="04A0" w:firstRow="1" w:lastRow="0" w:firstColumn="1" w:lastColumn="0" w:noHBand="0" w:noVBand="1"/>
      </w:tblPr>
      <w:tblGrid>
        <w:gridCol w:w="2405"/>
        <w:gridCol w:w="2355"/>
        <w:gridCol w:w="2128"/>
        <w:gridCol w:w="2128"/>
      </w:tblGrid>
      <w:tr w:rsidR="00FF7D57" w:rsidRPr="00CE28E3" w14:paraId="7D734493" w14:textId="77777777" w:rsidTr="00001BBB">
        <w:trPr>
          <w:cnfStyle w:val="100000000000" w:firstRow="1" w:lastRow="0" w:firstColumn="0" w:lastColumn="0" w:oddVBand="0" w:evenVBand="0" w:oddHBand="0" w:evenHBand="0" w:firstRowFirstColumn="0" w:firstRowLastColumn="0" w:lastRowFirstColumn="0" w:lastRowLastColumn="0"/>
          <w:tblHeader/>
        </w:trPr>
        <w:tc>
          <w:tcPr>
            <w:tcW w:w="1334" w:type="pct"/>
            <w:shd w:val="clear" w:color="auto" w:fill="auto"/>
            <w:vAlign w:val="center"/>
          </w:tcPr>
          <w:p w14:paraId="1E06FC14" w14:textId="77777777" w:rsidR="00FF7D57" w:rsidRPr="00CE28E3" w:rsidRDefault="00FF7D57" w:rsidP="00001BBB">
            <w:pPr>
              <w:pStyle w:val="In-tableHeading"/>
              <w:jc w:val="center"/>
            </w:pPr>
            <w:bookmarkStart w:id="79" w:name="Title_Table10" w:colFirst="0" w:colLast="0"/>
            <w:bookmarkStart w:id="80" w:name="_Hlk68276626"/>
            <w:r w:rsidRPr="00CE28E3">
              <w:t>Description</w:t>
            </w:r>
          </w:p>
        </w:tc>
        <w:tc>
          <w:tcPr>
            <w:tcW w:w="1306" w:type="pct"/>
            <w:shd w:val="clear" w:color="auto" w:fill="auto"/>
            <w:vAlign w:val="center"/>
          </w:tcPr>
          <w:p w14:paraId="0D015DC4" w14:textId="77777777" w:rsidR="00FF7D57" w:rsidRPr="00CE28E3" w:rsidRDefault="00FF7D57" w:rsidP="00001BBB">
            <w:pPr>
              <w:pStyle w:val="In-tableHeading"/>
              <w:jc w:val="center"/>
            </w:pPr>
            <w:r>
              <w:t>Base case v</w:t>
            </w:r>
            <w:r w:rsidRPr="00CE28E3">
              <w:t>alue</w:t>
            </w:r>
          </w:p>
        </w:tc>
        <w:tc>
          <w:tcPr>
            <w:tcW w:w="1180" w:type="pct"/>
            <w:vAlign w:val="center"/>
          </w:tcPr>
          <w:p w14:paraId="0876DB28" w14:textId="77777777" w:rsidR="00FF7D57" w:rsidRPr="00CE28E3" w:rsidRDefault="00FF7D57" w:rsidP="00001BBB">
            <w:pPr>
              <w:pStyle w:val="In-tableHeading"/>
              <w:jc w:val="center"/>
            </w:pPr>
            <w:r>
              <w:t>SA v</w:t>
            </w:r>
            <w:r w:rsidRPr="00CE28E3">
              <w:t>alue</w:t>
            </w:r>
          </w:p>
        </w:tc>
        <w:tc>
          <w:tcPr>
            <w:tcW w:w="1180" w:type="pct"/>
            <w:shd w:val="clear" w:color="auto" w:fill="auto"/>
            <w:vAlign w:val="center"/>
          </w:tcPr>
          <w:p w14:paraId="043B9943" w14:textId="16D49CB8" w:rsidR="00FF7D57" w:rsidRPr="00CE28E3" w:rsidRDefault="00FF7D57" w:rsidP="000042E3">
            <w:pPr>
              <w:pStyle w:val="In-tableHeading"/>
              <w:jc w:val="center"/>
            </w:pPr>
            <w:r w:rsidRPr="00CE28E3">
              <w:t>Impact</w:t>
            </w:r>
          </w:p>
        </w:tc>
      </w:tr>
      <w:bookmarkEnd w:id="79"/>
      <w:tr w:rsidR="00FF7D57" w:rsidRPr="00CE28E3" w14:paraId="09E7F510" w14:textId="77777777" w:rsidTr="00001BBB">
        <w:tc>
          <w:tcPr>
            <w:tcW w:w="1334" w:type="pct"/>
            <w:shd w:val="clear" w:color="auto" w:fill="auto"/>
            <w:vAlign w:val="center"/>
          </w:tcPr>
          <w:p w14:paraId="4A1AC62B" w14:textId="77777777" w:rsidR="00FF7D57" w:rsidRPr="00CE28E3" w:rsidRDefault="00FF7D57" w:rsidP="00001BBB">
            <w:pPr>
              <w:pStyle w:val="TableText"/>
              <w:jc w:val="center"/>
              <w:rPr>
                <w:lang w:val="en-US"/>
              </w:rPr>
            </w:pPr>
            <w:r>
              <w:rPr>
                <w:lang w:val="en-US"/>
              </w:rPr>
              <w:t>Specificity</w:t>
            </w:r>
          </w:p>
        </w:tc>
        <w:tc>
          <w:tcPr>
            <w:tcW w:w="1306" w:type="pct"/>
            <w:shd w:val="clear" w:color="auto" w:fill="auto"/>
            <w:vAlign w:val="center"/>
          </w:tcPr>
          <w:p w14:paraId="003148C0" w14:textId="77777777" w:rsidR="00FF7D57" w:rsidRPr="00CE28E3" w:rsidRDefault="00FF7D57" w:rsidP="00001BBB">
            <w:pPr>
              <w:pStyle w:val="TableText"/>
              <w:jc w:val="center"/>
              <w:rPr>
                <w:lang w:val="en-US"/>
              </w:rPr>
            </w:pPr>
            <w:r>
              <w:rPr>
                <w:lang w:val="en-US"/>
              </w:rPr>
              <w:t>1.0</w:t>
            </w:r>
          </w:p>
        </w:tc>
        <w:tc>
          <w:tcPr>
            <w:tcW w:w="1180" w:type="pct"/>
          </w:tcPr>
          <w:p w14:paraId="7DC09B27" w14:textId="77777777" w:rsidR="00FF7D57" w:rsidRPr="00F3625B" w:rsidRDefault="00FF7D57" w:rsidP="00001BBB">
            <w:pPr>
              <w:pStyle w:val="TableText"/>
              <w:jc w:val="center"/>
              <w:rPr>
                <w:lang w:val="en-US"/>
              </w:rPr>
            </w:pPr>
            <w:r w:rsidRPr="00F3625B">
              <w:rPr>
                <w:lang w:val="en-US"/>
              </w:rPr>
              <w:t>+10% = 1.0</w:t>
            </w:r>
          </w:p>
          <w:p w14:paraId="610D2A38" w14:textId="77777777" w:rsidR="00FF7D57" w:rsidRPr="00F3625B" w:rsidRDefault="00FF7D57" w:rsidP="00001BBB">
            <w:pPr>
              <w:pStyle w:val="TableText"/>
              <w:jc w:val="center"/>
              <w:rPr>
                <w:lang w:val="en-US"/>
              </w:rPr>
            </w:pPr>
            <w:r w:rsidRPr="00F3625B">
              <w:rPr>
                <w:lang w:val="en-US"/>
              </w:rPr>
              <w:t>-10% = 0.9</w:t>
            </w:r>
          </w:p>
        </w:tc>
        <w:tc>
          <w:tcPr>
            <w:tcW w:w="1180" w:type="pct"/>
            <w:shd w:val="clear" w:color="auto" w:fill="auto"/>
            <w:vAlign w:val="center"/>
          </w:tcPr>
          <w:p w14:paraId="511982BB" w14:textId="43028D54" w:rsidR="00FF7D57" w:rsidRPr="00F3625B" w:rsidRDefault="000042E3" w:rsidP="00001BBB">
            <w:pPr>
              <w:pStyle w:val="TableText"/>
              <w:jc w:val="center"/>
              <w:rPr>
                <w:lang w:val="en-US"/>
              </w:rPr>
            </w:pPr>
            <w:r w:rsidRPr="00F3625B">
              <w:rPr>
                <w:lang w:val="en-US"/>
              </w:rPr>
              <w:t>Medium</w:t>
            </w:r>
          </w:p>
          <w:p w14:paraId="5AB91859" w14:textId="77777777" w:rsidR="00FF7D57" w:rsidRPr="00F3625B" w:rsidRDefault="00FF7D57" w:rsidP="00001BBB">
            <w:pPr>
              <w:pStyle w:val="TableText"/>
              <w:jc w:val="center"/>
              <w:rPr>
                <w:lang w:val="en-US"/>
              </w:rPr>
            </w:pPr>
            <w:r w:rsidRPr="00F3625B">
              <w:rPr>
                <w:lang w:val="en-US"/>
              </w:rPr>
              <w:t xml:space="preserve"> </w:t>
            </w:r>
          </w:p>
        </w:tc>
      </w:tr>
      <w:tr w:rsidR="007B57CA" w:rsidRPr="00CE28E3" w14:paraId="1036F53C" w14:textId="77777777" w:rsidTr="00001BBB">
        <w:tc>
          <w:tcPr>
            <w:tcW w:w="1334" w:type="pct"/>
            <w:tcBorders>
              <w:bottom w:val="single" w:sz="4" w:space="0" w:color="auto"/>
            </w:tcBorders>
            <w:shd w:val="clear" w:color="auto" w:fill="auto"/>
            <w:vAlign w:val="center"/>
          </w:tcPr>
          <w:p w14:paraId="6787BB2B" w14:textId="3D1AE450" w:rsidR="007B57CA" w:rsidRDefault="007B57CA" w:rsidP="007B57CA">
            <w:pPr>
              <w:pStyle w:val="TableText"/>
              <w:jc w:val="center"/>
              <w:rPr>
                <w:lang w:val="en-US"/>
              </w:rPr>
            </w:pPr>
            <w:r>
              <w:rPr>
                <w:lang w:val="en-US"/>
              </w:rPr>
              <w:t>BS lifetime cost of care</w:t>
            </w:r>
          </w:p>
        </w:tc>
        <w:tc>
          <w:tcPr>
            <w:tcW w:w="1306" w:type="pct"/>
            <w:shd w:val="clear" w:color="auto" w:fill="auto"/>
            <w:vAlign w:val="center"/>
          </w:tcPr>
          <w:p w14:paraId="5D244E2A" w14:textId="07860244" w:rsidR="007B57CA" w:rsidRDefault="007B57CA" w:rsidP="007B57CA">
            <w:pPr>
              <w:pStyle w:val="TableText"/>
              <w:jc w:val="center"/>
              <w:rPr>
                <w:lang w:val="en-US"/>
              </w:rPr>
            </w:pPr>
            <w:r>
              <w:rPr>
                <w:lang w:val="en-US"/>
              </w:rPr>
              <w:t>$</w:t>
            </w:r>
            <w:r w:rsidR="0073651C">
              <w:rPr>
                <w:lang w:val="en-US"/>
              </w:rPr>
              <w:t>2,716,730.12</w:t>
            </w:r>
          </w:p>
        </w:tc>
        <w:tc>
          <w:tcPr>
            <w:tcW w:w="1180" w:type="pct"/>
          </w:tcPr>
          <w:p w14:paraId="1C2EE610" w14:textId="459240B0" w:rsidR="007B57CA" w:rsidRPr="00F3625B" w:rsidRDefault="007B57CA" w:rsidP="007B57CA">
            <w:pPr>
              <w:pStyle w:val="TableText"/>
              <w:jc w:val="center"/>
              <w:rPr>
                <w:lang w:val="en-US"/>
              </w:rPr>
            </w:pPr>
            <w:r w:rsidRPr="00F3625B">
              <w:rPr>
                <w:lang w:val="en-US"/>
              </w:rPr>
              <w:t>+10% =</w:t>
            </w:r>
            <w:r>
              <w:rPr>
                <w:lang w:val="en-US"/>
              </w:rPr>
              <w:t xml:space="preserve"> $</w:t>
            </w:r>
            <w:r w:rsidRPr="007B57CA">
              <w:rPr>
                <w:lang w:val="en-US"/>
              </w:rPr>
              <w:t>29</w:t>
            </w:r>
            <w:r>
              <w:rPr>
                <w:lang w:val="en-US"/>
              </w:rPr>
              <w:t>,</w:t>
            </w:r>
            <w:r w:rsidRPr="007B57CA">
              <w:rPr>
                <w:lang w:val="en-US"/>
              </w:rPr>
              <w:t>884</w:t>
            </w:r>
            <w:r>
              <w:rPr>
                <w:lang w:val="en-US"/>
              </w:rPr>
              <w:t>,</w:t>
            </w:r>
            <w:r w:rsidRPr="007B57CA">
              <w:rPr>
                <w:lang w:val="en-US"/>
              </w:rPr>
              <w:t>03</w:t>
            </w:r>
            <w:r w:rsidRPr="00F3625B">
              <w:rPr>
                <w:lang w:val="en-US"/>
              </w:rPr>
              <w:t>0</w:t>
            </w:r>
          </w:p>
          <w:p w14:paraId="54D79086" w14:textId="16C87535" w:rsidR="007B57CA" w:rsidRPr="00F3625B" w:rsidRDefault="007B57CA" w:rsidP="007B57CA">
            <w:pPr>
              <w:pStyle w:val="TableText"/>
              <w:jc w:val="center"/>
              <w:rPr>
                <w:lang w:val="en-US"/>
              </w:rPr>
            </w:pPr>
            <w:r w:rsidRPr="00F3625B">
              <w:rPr>
                <w:lang w:val="en-US"/>
              </w:rPr>
              <w:t xml:space="preserve">-10% = </w:t>
            </w:r>
            <w:r>
              <w:rPr>
                <w:lang w:val="en-US"/>
              </w:rPr>
              <w:t>$</w:t>
            </w:r>
            <w:r w:rsidRPr="007B57CA">
              <w:rPr>
                <w:lang w:val="en-US"/>
              </w:rPr>
              <w:t>2</w:t>
            </w:r>
            <w:r>
              <w:rPr>
                <w:lang w:val="en-US"/>
              </w:rPr>
              <w:t>,</w:t>
            </w:r>
            <w:r w:rsidRPr="007B57CA">
              <w:rPr>
                <w:lang w:val="en-US"/>
              </w:rPr>
              <w:t>445</w:t>
            </w:r>
            <w:r>
              <w:rPr>
                <w:lang w:val="en-US"/>
              </w:rPr>
              <w:t>,</w:t>
            </w:r>
            <w:r w:rsidRPr="007B57CA">
              <w:rPr>
                <w:lang w:val="en-US"/>
              </w:rPr>
              <w:t>057</w:t>
            </w:r>
          </w:p>
        </w:tc>
        <w:tc>
          <w:tcPr>
            <w:tcW w:w="1180" w:type="pct"/>
            <w:shd w:val="clear" w:color="auto" w:fill="auto"/>
            <w:vAlign w:val="center"/>
          </w:tcPr>
          <w:p w14:paraId="6CD05AC4" w14:textId="79E91539" w:rsidR="007B57CA" w:rsidRPr="00F3625B" w:rsidRDefault="007B57CA" w:rsidP="007B57CA">
            <w:pPr>
              <w:pStyle w:val="TableText"/>
              <w:spacing w:after="160"/>
              <w:jc w:val="center"/>
              <w:rPr>
                <w:lang w:val="en-US"/>
              </w:rPr>
            </w:pPr>
            <w:r w:rsidRPr="00F3625B">
              <w:rPr>
                <w:lang w:val="en-US"/>
              </w:rPr>
              <w:t>Medium</w:t>
            </w:r>
          </w:p>
        </w:tc>
      </w:tr>
    </w:tbl>
    <w:p w14:paraId="349B3977" w14:textId="2CE5DD9D" w:rsidR="00FF7D57" w:rsidRPr="00CE28E3" w:rsidRDefault="00FF7D57" w:rsidP="008F6884">
      <w:pPr>
        <w:pStyle w:val="TableFigureFooter"/>
        <w:spacing w:before="0"/>
      </w:pPr>
      <w:bookmarkStart w:id="81" w:name="_Hlk68276635"/>
      <w:bookmarkEnd w:id="80"/>
      <w:r w:rsidRPr="00CE28E3">
        <w:t>ICER=incremental cost-effectiveness ratio; QALY=quality-adjusted life year</w:t>
      </w:r>
    </w:p>
    <w:bookmarkEnd w:id="81"/>
    <w:p w14:paraId="41F866FE" w14:textId="74148E47" w:rsidR="00FF7D57" w:rsidRPr="002F5A1A" w:rsidRDefault="00FF7D57" w:rsidP="00FF7D57">
      <w:pPr>
        <w:pStyle w:val="Instructionaltext-afterfiguretable"/>
        <w:rPr>
          <w:color w:val="auto"/>
        </w:rPr>
      </w:pPr>
      <w:r w:rsidRPr="00A656C0">
        <w:rPr>
          <w:color w:val="auto"/>
        </w:rPr>
        <w:t xml:space="preserve">Additionally, the impact of different testing costs and utilisation of genetic counselling </w:t>
      </w:r>
      <w:r w:rsidR="0073651C">
        <w:rPr>
          <w:color w:val="auto"/>
        </w:rPr>
        <w:t>was</w:t>
      </w:r>
      <w:r w:rsidR="0073651C" w:rsidRPr="00A656C0">
        <w:rPr>
          <w:color w:val="auto"/>
        </w:rPr>
        <w:t xml:space="preserve"> </w:t>
      </w:r>
      <w:r w:rsidRPr="00A656C0">
        <w:rPr>
          <w:color w:val="auto"/>
        </w:rPr>
        <w:t xml:space="preserve">analysed. </w:t>
      </w:r>
      <w:r>
        <w:rPr>
          <w:color w:val="auto"/>
        </w:rPr>
        <w:t xml:space="preserve">The </w:t>
      </w:r>
      <w:r w:rsidR="000042E3">
        <w:rPr>
          <w:color w:val="auto"/>
        </w:rPr>
        <w:t xml:space="preserve">change in </w:t>
      </w:r>
      <w:r>
        <w:rPr>
          <w:color w:val="auto"/>
        </w:rPr>
        <w:t>utilisation</w:t>
      </w:r>
      <w:r w:rsidR="000042E3">
        <w:rPr>
          <w:color w:val="auto"/>
        </w:rPr>
        <w:t xml:space="preserve"> and costs</w:t>
      </w:r>
      <w:r>
        <w:rPr>
          <w:color w:val="auto"/>
        </w:rPr>
        <w:t xml:space="preserve"> of these services had little impact on the overall results and are detailed further in</w:t>
      </w:r>
      <w:r w:rsidR="0092366F">
        <w:rPr>
          <w:color w:val="auto"/>
        </w:rPr>
        <w:t xml:space="preserve"> Section 3 – Cost-effectiveness analysis</w:t>
      </w:r>
      <w:r w:rsidRPr="00DB701A">
        <w:rPr>
          <w:color w:val="auto"/>
        </w:rPr>
        <w:t>.</w:t>
      </w:r>
    </w:p>
    <w:p w14:paraId="565FFF72" w14:textId="003D56F1" w:rsidR="00FF7D57" w:rsidRPr="00CE28E3" w:rsidRDefault="00FF7D57" w:rsidP="00FF7D57">
      <w:pPr>
        <w:pStyle w:val="Heading2"/>
        <w:numPr>
          <w:ilvl w:val="0"/>
          <w:numId w:val="0"/>
        </w:numPr>
      </w:pPr>
      <w:bookmarkStart w:id="82" w:name="_Toc103096512"/>
      <w:r>
        <w:t>1</w:t>
      </w:r>
      <w:r w:rsidR="00E96E47">
        <w:t>4</w:t>
      </w:r>
      <w:r>
        <w:t>.</w:t>
      </w:r>
      <w:r>
        <w:tab/>
      </w:r>
      <w:r w:rsidRPr="00CE28E3">
        <w:t>Financial/budgetary impacts</w:t>
      </w:r>
      <w:bookmarkEnd w:id="82"/>
    </w:p>
    <w:p w14:paraId="3BD7995F" w14:textId="77777777" w:rsidR="00FF7D57" w:rsidRDefault="00FF7D57">
      <w:pPr>
        <w:pStyle w:val="Instructionaltext"/>
        <w:rPr>
          <w:color w:val="auto"/>
        </w:rPr>
      </w:pPr>
      <w:r w:rsidRPr="00F577AB">
        <w:rPr>
          <w:color w:val="auto"/>
        </w:rPr>
        <w:t xml:space="preserve">The financial impact analysis assumes an epidemiological approach to calculating overall costs to healthcare budgets, including MBS and hospital costs. </w:t>
      </w:r>
    </w:p>
    <w:p w14:paraId="0A6CE11D" w14:textId="3BFCAF4D" w:rsidR="00492193" w:rsidRDefault="00FF7D57">
      <w:r w:rsidRPr="00F577AB">
        <w:t xml:space="preserve">The financial implications to the MBS resulting from the proposed listing of genetic carrier testing for all </w:t>
      </w:r>
      <w:r w:rsidR="00FF2698">
        <w:t>nine</w:t>
      </w:r>
      <w:r w:rsidRPr="00F577AB">
        <w:t xml:space="preserve"> severe monogenic conditions </w:t>
      </w:r>
      <w:r>
        <w:t>over 6 years from 20</w:t>
      </w:r>
      <w:r w:rsidR="009F47BD">
        <w:t>21-</w:t>
      </w:r>
      <w:r>
        <w:t>22 to 20</w:t>
      </w:r>
      <w:r w:rsidR="009F47BD">
        <w:t>26-</w:t>
      </w:r>
      <w:r>
        <w:t xml:space="preserve">27 </w:t>
      </w:r>
      <w:r w:rsidRPr="00F577AB">
        <w:t xml:space="preserve">are summarised in </w:t>
      </w:r>
      <w:r w:rsidR="003A0B9B" w:rsidRPr="00CE28E3">
        <w:t>Table</w:t>
      </w:r>
      <w:r w:rsidR="003A0B9B">
        <w:t> </w:t>
      </w:r>
      <w:r w:rsidR="00A50E42">
        <w:t>2</w:t>
      </w:r>
      <w:r w:rsidR="00636918">
        <w:t>1</w:t>
      </w:r>
      <w:r w:rsidR="00A50E42">
        <w:t>.</w:t>
      </w:r>
      <w:r w:rsidR="00C815C4">
        <w:t xml:space="preserve"> </w:t>
      </w:r>
      <w:r w:rsidRPr="004F531C">
        <w:t xml:space="preserve">The MBS </w:t>
      </w:r>
      <w:r w:rsidR="002F5A1A">
        <w:t xml:space="preserve">annual </w:t>
      </w:r>
      <w:r w:rsidRPr="004F531C">
        <w:t xml:space="preserve">expenditure for </w:t>
      </w:r>
      <w:r w:rsidR="000B0E98">
        <w:t xml:space="preserve">carrier </w:t>
      </w:r>
      <w:r w:rsidR="00A16798">
        <w:t xml:space="preserve">testing </w:t>
      </w:r>
      <w:r w:rsidRPr="004F531C">
        <w:t xml:space="preserve">is expected to be </w:t>
      </w:r>
      <w:r>
        <w:t>$</w:t>
      </w:r>
      <w:r w:rsidR="00377C9B">
        <w:t>17</w:t>
      </w:r>
      <w:r w:rsidR="00D65CEF">
        <w:t>5,598</w:t>
      </w:r>
      <w:r w:rsidR="006B2E2A">
        <w:t xml:space="preserve"> decreasing</w:t>
      </w:r>
      <w:r w:rsidR="000B0E98">
        <w:t xml:space="preserve"> to $</w:t>
      </w:r>
      <w:r w:rsidR="00377C9B">
        <w:t>158,522</w:t>
      </w:r>
      <w:r w:rsidRPr="004F531C">
        <w:t xml:space="preserve"> </w:t>
      </w:r>
      <w:r w:rsidR="006678E6">
        <w:t xml:space="preserve">from </w:t>
      </w:r>
      <w:r w:rsidR="00E93F5D">
        <w:t>2021</w:t>
      </w:r>
      <w:r w:rsidR="00123782">
        <w:t>-</w:t>
      </w:r>
      <w:r w:rsidR="006678E6">
        <w:t>202</w:t>
      </w:r>
      <w:r w:rsidR="00E93F5D">
        <w:t>2</w:t>
      </w:r>
      <w:r w:rsidR="006678E6">
        <w:t xml:space="preserve"> to </w:t>
      </w:r>
      <w:r w:rsidR="00123782">
        <w:t>2026-</w:t>
      </w:r>
      <w:r w:rsidR="006678E6">
        <w:t>2027</w:t>
      </w:r>
      <w:r w:rsidRPr="004F531C">
        <w:t>, and $</w:t>
      </w:r>
      <w:r w:rsidR="00B72171">
        <w:t>212,120</w:t>
      </w:r>
      <w:r w:rsidRPr="004F531C">
        <w:t xml:space="preserve"> a year</w:t>
      </w:r>
      <w:r w:rsidR="009F47BD">
        <w:t xml:space="preserve"> on average</w:t>
      </w:r>
      <w:r w:rsidRPr="004F531C">
        <w:t xml:space="preserve"> with associated MBS </w:t>
      </w:r>
      <w:r w:rsidR="00D86FDB">
        <w:t xml:space="preserve">costs </w:t>
      </w:r>
      <w:r w:rsidR="00C64B6F">
        <w:t>resulting from</w:t>
      </w:r>
      <w:r w:rsidRPr="004F531C">
        <w:t xml:space="preserve"> increased utilisation of </w:t>
      </w:r>
      <w:r w:rsidR="00E76DCC">
        <w:t>c</w:t>
      </w:r>
      <w:r w:rsidR="00E76DCC" w:rsidRPr="00E76DCC">
        <w:t xml:space="preserve">horionic villus sampling </w:t>
      </w:r>
      <w:r w:rsidR="00E76DCC">
        <w:t>(</w:t>
      </w:r>
      <w:r w:rsidRPr="004F531C">
        <w:t>CVS</w:t>
      </w:r>
      <w:r w:rsidR="00E76DCC">
        <w:t>)</w:t>
      </w:r>
      <w:r w:rsidR="00D86FDB">
        <w:t xml:space="preserve"> </w:t>
      </w:r>
      <w:r w:rsidR="00D86FDB" w:rsidRPr="004F531C">
        <w:t>testing</w:t>
      </w:r>
      <w:r w:rsidR="00D86FDB">
        <w:t>/amniocentesis</w:t>
      </w:r>
      <w:r w:rsidRPr="004F531C">
        <w:t xml:space="preserve">, genetic </w:t>
      </w:r>
      <w:r w:rsidR="00C64B6F" w:rsidRPr="004F531C">
        <w:t>counselling,</w:t>
      </w:r>
      <w:r w:rsidRPr="004F531C">
        <w:t xml:space="preserve"> IVF</w:t>
      </w:r>
      <w:r w:rsidR="00D86FDB">
        <w:t xml:space="preserve"> plus PGD</w:t>
      </w:r>
      <w:r w:rsidR="007D0E9A">
        <w:t xml:space="preserve"> and condition-specific treatment costs</w:t>
      </w:r>
      <w:r w:rsidRPr="004F531C">
        <w:t>. However, the decrease</w:t>
      </w:r>
      <w:r w:rsidR="00C64B6F">
        <w:t xml:space="preserve"> in </w:t>
      </w:r>
      <w:r w:rsidRPr="004F531C">
        <w:t xml:space="preserve">number of </w:t>
      </w:r>
      <w:r w:rsidR="00FF2698">
        <w:t xml:space="preserve">affected </w:t>
      </w:r>
      <w:r w:rsidR="00FF2698" w:rsidRPr="004F531C">
        <w:t>births</w:t>
      </w:r>
      <w:r w:rsidR="00FF2698">
        <w:t xml:space="preserve"> results</w:t>
      </w:r>
      <w:r w:rsidR="00C64B6F">
        <w:t xml:space="preserve"> in a decrease </w:t>
      </w:r>
      <w:r w:rsidR="00A1572C">
        <w:t>in</w:t>
      </w:r>
      <w:r w:rsidR="00C64B6F">
        <w:t xml:space="preserve"> </w:t>
      </w:r>
      <w:r w:rsidRPr="004F531C">
        <w:t>MBS costs associated with treatment</w:t>
      </w:r>
      <w:r w:rsidR="00FF2698">
        <w:t xml:space="preserve"> concerning the nine monogenic conditions</w:t>
      </w:r>
      <w:r w:rsidRPr="004F531C">
        <w:t>.</w:t>
      </w:r>
      <w:r w:rsidR="00C64B6F">
        <w:t xml:space="preserve"> </w:t>
      </w:r>
    </w:p>
    <w:p w14:paraId="0BAD4891" w14:textId="3C341E2A" w:rsidR="00A07346" w:rsidRDefault="006E3E62">
      <w:r>
        <w:t xml:space="preserve">While the known </w:t>
      </w:r>
      <w:r w:rsidR="00C64B6F">
        <w:t>hospitalisation costs for CF are large</w:t>
      </w:r>
      <w:r w:rsidR="00F02BF3">
        <w:t>, this DCAR assesses the impact of the additional nine sever</w:t>
      </w:r>
      <w:r w:rsidR="006B2E2A">
        <w:t>e</w:t>
      </w:r>
      <w:r w:rsidR="00F02BF3">
        <w:t xml:space="preserve"> monogenic conditions and therefore CF </w:t>
      </w:r>
      <w:r w:rsidR="00492193">
        <w:t>costs are</w:t>
      </w:r>
      <w:r w:rsidR="00F02BF3">
        <w:t xml:space="preserve"> not an appropriate focus </w:t>
      </w:r>
      <w:r w:rsidR="00B56EA8">
        <w:t xml:space="preserve">associated with the intervention. </w:t>
      </w:r>
      <w:r w:rsidR="0079795D">
        <w:t xml:space="preserve">Rather, the primary focus of the DCAR is on the value </w:t>
      </w:r>
      <w:r w:rsidR="00492193">
        <w:t>proposition</w:t>
      </w:r>
      <w:r w:rsidR="0079795D">
        <w:t xml:space="preserve"> of </w:t>
      </w:r>
      <w:r w:rsidR="00492193">
        <w:t xml:space="preserve">the </w:t>
      </w:r>
      <w:r w:rsidR="0079795D">
        <w:t xml:space="preserve">addition </w:t>
      </w:r>
      <w:r w:rsidR="00492193">
        <w:t xml:space="preserve">of </w:t>
      </w:r>
      <w:r w:rsidR="0079795D">
        <w:t xml:space="preserve">other diseases beyond </w:t>
      </w:r>
      <w:r w:rsidR="008D7ECA">
        <w:t>CF/SMA/FXS</w:t>
      </w:r>
      <w:r w:rsidR="006B2E2A">
        <w:t xml:space="preserve"> into the genetic testing panel</w:t>
      </w:r>
      <w:r w:rsidR="00BF3E0B">
        <w:t xml:space="preserve"> to justify the increased cost of testing over those estimated for 1573.</w:t>
      </w:r>
      <w:r w:rsidR="00F02BF3">
        <w:t xml:space="preserve"> </w:t>
      </w:r>
      <w:r w:rsidR="00A07346">
        <w:t xml:space="preserve">As such, </w:t>
      </w:r>
      <w:r w:rsidR="0052066B">
        <w:t xml:space="preserve">treatment costs </w:t>
      </w:r>
      <w:r w:rsidR="00AB0F46">
        <w:t xml:space="preserve">and utilisation </w:t>
      </w:r>
      <w:r w:rsidR="003E2BEC">
        <w:t xml:space="preserve">(sourced from the Department) </w:t>
      </w:r>
      <w:r w:rsidR="0052066B">
        <w:t xml:space="preserve">have been considered </w:t>
      </w:r>
      <w:r w:rsidR="003E2BEC">
        <w:t>for</w:t>
      </w:r>
      <w:r w:rsidR="0052066B">
        <w:t xml:space="preserve"> all monogenic conditions wh</w:t>
      </w:r>
      <w:r w:rsidR="003E2BEC">
        <w:t xml:space="preserve">ere </w:t>
      </w:r>
      <w:r w:rsidR="0052066B">
        <w:t>data is available.</w:t>
      </w:r>
      <w:r w:rsidR="00F02BF3">
        <w:t xml:space="preserve"> </w:t>
      </w:r>
    </w:p>
    <w:p w14:paraId="1220774A" w14:textId="267302BF" w:rsidR="009C3644" w:rsidRDefault="00583500">
      <w:r>
        <w:t xml:space="preserve">The </w:t>
      </w:r>
      <w:r w:rsidR="004E59BD">
        <w:t xml:space="preserve">utilisation of </w:t>
      </w:r>
      <w:r w:rsidR="009D46D5">
        <w:t>carrier testing</w:t>
      </w:r>
      <w:r w:rsidR="00E671C3">
        <w:t>,</w:t>
      </w:r>
      <w:r w:rsidR="00DC0E0F">
        <w:t xml:space="preserve"> and CF/SMA/FXS testing</w:t>
      </w:r>
      <w:r w:rsidR="009D46D5">
        <w:t xml:space="preserve"> </w:t>
      </w:r>
      <w:r w:rsidR="00E671C3">
        <w:t xml:space="preserve">in the population that could otherwise access the proposed carrier testing services </w:t>
      </w:r>
      <w:r w:rsidR="009D46D5">
        <w:t>is demonstrated below. A</w:t>
      </w:r>
      <w:r w:rsidR="004059EF">
        <w:t xml:space="preserve"> separate</w:t>
      </w:r>
      <w:r w:rsidR="009D46D5">
        <w:t xml:space="preserve"> </w:t>
      </w:r>
      <w:r w:rsidR="00075203">
        <w:t>A</w:t>
      </w:r>
      <w:r w:rsidR="00075203" w:rsidRPr="00075203">
        <w:t>shkenazi</w:t>
      </w:r>
      <w:r w:rsidR="009D46D5">
        <w:t xml:space="preserve"> Jewish and non-</w:t>
      </w:r>
      <w:r w:rsidR="00075203">
        <w:t>A</w:t>
      </w:r>
      <w:r w:rsidR="00075203" w:rsidRPr="00075203">
        <w:t>shkenazi</w:t>
      </w:r>
      <w:r w:rsidR="00075203">
        <w:t xml:space="preserve"> </w:t>
      </w:r>
      <w:r w:rsidR="009D46D5">
        <w:t>Jewish population has been determined</w:t>
      </w:r>
      <w:r w:rsidR="00F41E7D">
        <w:t xml:space="preserve"> </w:t>
      </w:r>
      <w:r w:rsidR="0041019E">
        <w:t xml:space="preserve">to assess the uptake of </w:t>
      </w:r>
      <w:r w:rsidR="00FE70C2">
        <w:t>M</w:t>
      </w:r>
      <w:r w:rsidR="003B17B9">
        <w:t xml:space="preserve">BS Items CCCC. </w:t>
      </w:r>
      <w:r w:rsidR="00347E65">
        <w:t>This is because</w:t>
      </w:r>
      <w:r w:rsidR="001B1668">
        <w:t xml:space="preserve"> </w:t>
      </w:r>
      <w:r w:rsidR="00182FBD">
        <w:t xml:space="preserve">reproductive partner testing </w:t>
      </w:r>
      <w:r w:rsidR="0090434B">
        <w:t xml:space="preserve">(CCCC) </w:t>
      </w:r>
      <w:r w:rsidR="00E349C6">
        <w:t xml:space="preserve">only </w:t>
      </w:r>
      <w:r w:rsidR="00182FBD">
        <w:t xml:space="preserve">applies to </w:t>
      </w:r>
      <w:r w:rsidR="00E349C6">
        <w:t xml:space="preserve">those who </w:t>
      </w:r>
      <w:r w:rsidR="00103BDF">
        <w:t xml:space="preserve">are the </w:t>
      </w:r>
      <w:r w:rsidR="0090434B">
        <w:t>reproductive</w:t>
      </w:r>
      <w:r w:rsidR="00103BDF">
        <w:t xml:space="preserve"> partner of an individual </w:t>
      </w:r>
      <w:r w:rsidR="00A12C49">
        <w:t>who is at risk of being a carrier</w:t>
      </w:r>
      <w:r w:rsidR="0045235F">
        <w:t xml:space="preserve"> and those who have </w:t>
      </w:r>
      <w:r w:rsidR="00CA2EFE">
        <w:t xml:space="preserve">not received </w:t>
      </w:r>
      <w:r w:rsidR="00D16411">
        <w:t>a service described in AAAA</w:t>
      </w:r>
      <w:r w:rsidR="005850B8">
        <w:t xml:space="preserve"> </w:t>
      </w:r>
      <w:r w:rsidR="00E349C6">
        <w:t>(as per the</w:t>
      </w:r>
      <w:r w:rsidR="0090434B">
        <w:t xml:space="preserve"> item descriptor in the</w:t>
      </w:r>
      <w:r w:rsidR="00E349C6">
        <w:t xml:space="preserve"> PICO).</w:t>
      </w:r>
    </w:p>
    <w:p w14:paraId="2CAF8B29" w14:textId="028E1A4B" w:rsidR="003064E4" w:rsidRPr="00843B9C" w:rsidRDefault="00462C40" w:rsidP="00843B9C">
      <w:r w:rsidRPr="00843B9C">
        <w:lastRenderedPageBreak/>
        <w:t xml:space="preserve">The item for reanalysis (EEEE) has not been considered in the analysis, as the impact and prevalence of currently unknown pathogenic or likely pathogenic variants is inherently uncertain. </w:t>
      </w:r>
      <w:r w:rsidR="00DC0E0F" w:rsidRPr="00843B9C">
        <w:t>Therefore,</w:t>
      </w:r>
      <w:r w:rsidRPr="00843B9C">
        <w:t xml:space="preserve"> any assumed uptake of this item would also be uncertain. </w:t>
      </w:r>
      <w:bookmarkStart w:id="83" w:name="_Ref69726382"/>
    </w:p>
    <w:p w14:paraId="48B0AA86" w14:textId="67DDF5D6" w:rsidR="00FF7D57" w:rsidRDefault="00FF7D57" w:rsidP="001F46A5">
      <w:pPr>
        <w:pStyle w:val="Caption"/>
        <w:ind w:left="709" w:hanging="709"/>
      </w:pPr>
      <w:bookmarkStart w:id="84" w:name="_Toc103096618"/>
      <w:r w:rsidRPr="00CE28E3">
        <w:t>Table</w:t>
      </w:r>
      <w:r>
        <w:t> </w:t>
      </w:r>
      <w:bookmarkEnd w:id="83"/>
      <w:r w:rsidR="003A0D53">
        <w:t>2</w:t>
      </w:r>
      <w:r w:rsidR="00636918">
        <w:t>1</w:t>
      </w:r>
      <w:r w:rsidRPr="00CE28E3">
        <w:tab/>
        <w:t>Net financial implications of</w:t>
      </w:r>
      <w:r>
        <w:t xml:space="preserve"> genetic carrier testing for </w:t>
      </w:r>
      <w:r w:rsidR="00A7573D">
        <w:t>9</w:t>
      </w:r>
      <w:r>
        <w:t xml:space="preserve"> severe monogenic conditions</w:t>
      </w:r>
      <w:r w:rsidRPr="00CE28E3">
        <w:t xml:space="preserve"> to the </w:t>
      </w:r>
      <w:r>
        <w:t>MBS</w:t>
      </w:r>
      <w:bookmarkEnd w:id="84"/>
    </w:p>
    <w:tbl>
      <w:tblPr>
        <w:tblStyle w:val="TableGrid1"/>
        <w:tblW w:w="9556" w:type="dxa"/>
        <w:tblBorders>
          <w:top w:val="none" w:sz="0"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32"/>
        <w:gridCol w:w="777"/>
        <w:gridCol w:w="427"/>
        <w:gridCol w:w="1204"/>
        <w:gridCol w:w="1204"/>
        <w:gridCol w:w="1204"/>
        <w:gridCol w:w="1204"/>
        <w:gridCol w:w="1204"/>
      </w:tblGrid>
      <w:tr w:rsidR="00FF7D57" w:rsidRPr="00D30599" w14:paraId="61880214" w14:textId="77777777" w:rsidTr="003D6646">
        <w:trPr>
          <w:cnfStyle w:val="100000000000" w:firstRow="1" w:lastRow="0" w:firstColumn="0" w:lastColumn="0" w:oddVBand="0" w:evenVBand="0" w:oddHBand="0" w:evenHBand="0" w:firstRowFirstColumn="0" w:firstRowLastColumn="0" w:lastRowFirstColumn="0" w:lastRowLastColumn="0"/>
          <w:cantSplit/>
          <w:tblHeader/>
        </w:trPr>
        <w:tc>
          <w:tcPr>
            <w:tcW w:w="2332" w:type="dxa"/>
            <w:tcBorders>
              <w:top w:val="single" w:sz="4" w:space="0" w:color="auto"/>
              <w:bottom w:val="single" w:sz="4" w:space="0" w:color="auto"/>
            </w:tcBorders>
            <w:tcMar>
              <w:top w:w="0" w:type="dxa"/>
              <w:left w:w="108" w:type="dxa"/>
              <w:bottom w:w="0" w:type="dxa"/>
              <w:right w:w="108" w:type="dxa"/>
            </w:tcMar>
          </w:tcPr>
          <w:p w14:paraId="3C8AA222" w14:textId="77777777" w:rsidR="00FF7D57" w:rsidRPr="005B38B2" w:rsidRDefault="00FF7D57" w:rsidP="006F3CFF">
            <w:pPr>
              <w:pStyle w:val="TableText"/>
              <w:keepNext/>
              <w:rPr>
                <w:b/>
                <w:bCs/>
              </w:rPr>
            </w:pPr>
          </w:p>
        </w:tc>
        <w:tc>
          <w:tcPr>
            <w:tcW w:w="1204" w:type="dxa"/>
            <w:gridSpan w:val="2"/>
            <w:tcBorders>
              <w:top w:val="single" w:sz="4" w:space="0" w:color="auto"/>
              <w:bottom w:val="single" w:sz="4" w:space="0" w:color="auto"/>
            </w:tcBorders>
            <w:tcMar>
              <w:top w:w="0" w:type="dxa"/>
              <w:left w:w="108" w:type="dxa"/>
              <w:bottom w:w="0" w:type="dxa"/>
              <w:right w:w="108" w:type="dxa"/>
            </w:tcMar>
            <w:hideMark/>
          </w:tcPr>
          <w:p w14:paraId="2D7AC8D2" w14:textId="4CA370CF" w:rsidR="00FF7D57" w:rsidRPr="005B38B2" w:rsidRDefault="00FF7D57" w:rsidP="006F3CFF">
            <w:pPr>
              <w:pStyle w:val="TableText"/>
              <w:keepNext/>
              <w:jc w:val="center"/>
              <w:rPr>
                <w:b/>
                <w:bCs/>
              </w:rPr>
            </w:pPr>
            <w:r w:rsidRPr="005B38B2">
              <w:rPr>
                <w:b/>
                <w:bCs/>
              </w:rPr>
              <w:t>202</w:t>
            </w:r>
            <w:r w:rsidR="00BD2BE8">
              <w:rPr>
                <w:b/>
                <w:bCs/>
              </w:rPr>
              <w:t>1-2022</w:t>
            </w:r>
          </w:p>
        </w:tc>
        <w:tc>
          <w:tcPr>
            <w:tcW w:w="1204" w:type="dxa"/>
            <w:tcBorders>
              <w:top w:val="single" w:sz="4" w:space="0" w:color="auto"/>
              <w:bottom w:val="single" w:sz="4" w:space="0" w:color="auto"/>
            </w:tcBorders>
            <w:tcMar>
              <w:top w:w="0" w:type="dxa"/>
              <w:left w:w="108" w:type="dxa"/>
              <w:bottom w:w="0" w:type="dxa"/>
              <w:right w:w="108" w:type="dxa"/>
            </w:tcMar>
            <w:hideMark/>
          </w:tcPr>
          <w:p w14:paraId="5A76EB4A" w14:textId="1C061867" w:rsidR="00FF7D57" w:rsidRPr="005B38B2" w:rsidRDefault="00BD2BE8" w:rsidP="006F3CFF">
            <w:pPr>
              <w:pStyle w:val="TableText"/>
              <w:keepNext/>
              <w:jc w:val="center"/>
              <w:rPr>
                <w:b/>
                <w:bCs/>
              </w:rPr>
            </w:pPr>
            <w:r>
              <w:rPr>
                <w:b/>
                <w:bCs/>
              </w:rPr>
              <w:t>2022-</w:t>
            </w:r>
            <w:r w:rsidR="00FF7D57" w:rsidRPr="005B38B2">
              <w:rPr>
                <w:b/>
                <w:bCs/>
              </w:rPr>
              <w:t>2023</w:t>
            </w:r>
          </w:p>
        </w:tc>
        <w:tc>
          <w:tcPr>
            <w:tcW w:w="1204" w:type="dxa"/>
            <w:tcBorders>
              <w:top w:val="single" w:sz="4" w:space="0" w:color="auto"/>
              <w:bottom w:val="single" w:sz="4" w:space="0" w:color="auto"/>
            </w:tcBorders>
            <w:tcMar>
              <w:top w:w="0" w:type="dxa"/>
              <w:left w:w="108" w:type="dxa"/>
              <w:bottom w:w="0" w:type="dxa"/>
              <w:right w:w="108" w:type="dxa"/>
            </w:tcMar>
            <w:hideMark/>
          </w:tcPr>
          <w:p w14:paraId="1F2D6F45" w14:textId="74D95006" w:rsidR="00FF7D57" w:rsidRPr="005B38B2" w:rsidRDefault="00BD2BE8" w:rsidP="006F3CFF">
            <w:pPr>
              <w:pStyle w:val="TableText"/>
              <w:keepNext/>
              <w:jc w:val="center"/>
              <w:rPr>
                <w:b/>
                <w:bCs/>
              </w:rPr>
            </w:pPr>
            <w:r>
              <w:rPr>
                <w:b/>
                <w:bCs/>
              </w:rPr>
              <w:t>2023-</w:t>
            </w:r>
            <w:r w:rsidR="00FF7D57" w:rsidRPr="005B38B2">
              <w:rPr>
                <w:b/>
                <w:bCs/>
              </w:rPr>
              <w:t>2024</w:t>
            </w:r>
          </w:p>
        </w:tc>
        <w:tc>
          <w:tcPr>
            <w:tcW w:w="1204" w:type="dxa"/>
            <w:tcBorders>
              <w:top w:val="single" w:sz="4" w:space="0" w:color="auto"/>
              <w:bottom w:val="single" w:sz="4" w:space="0" w:color="auto"/>
            </w:tcBorders>
            <w:tcMar>
              <w:top w:w="0" w:type="dxa"/>
              <w:left w:w="108" w:type="dxa"/>
              <w:bottom w:w="0" w:type="dxa"/>
              <w:right w:w="108" w:type="dxa"/>
            </w:tcMar>
            <w:hideMark/>
          </w:tcPr>
          <w:p w14:paraId="2D12676F" w14:textId="2B74F847" w:rsidR="00FF7D57" w:rsidRPr="005B38B2" w:rsidRDefault="00BD2BE8" w:rsidP="006F3CFF">
            <w:pPr>
              <w:pStyle w:val="TableText"/>
              <w:keepNext/>
              <w:jc w:val="center"/>
              <w:rPr>
                <w:b/>
                <w:bCs/>
              </w:rPr>
            </w:pPr>
            <w:r>
              <w:rPr>
                <w:b/>
                <w:bCs/>
              </w:rPr>
              <w:t>2024-</w:t>
            </w:r>
            <w:r w:rsidR="00FF7D57" w:rsidRPr="005B38B2">
              <w:rPr>
                <w:b/>
                <w:bCs/>
              </w:rPr>
              <w:t>2025</w:t>
            </w:r>
          </w:p>
        </w:tc>
        <w:tc>
          <w:tcPr>
            <w:tcW w:w="1204" w:type="dxa"/>
            <w:tcBorders>
              <w:top w:val="single" w:sz="4" w:space="0" w:color="auto"/>
              <w:bottom w:val="single" w:sz="4" w:space="0" w:color="auto"/>
            </w:tcBorders>
            <w:tcMar>
              <w:top w:w="0" w:type="dxa"/>
              <w:left w:w="108" w:type="dxa"/>
              <w:bottom w:w="0" w:type="dxa"/>
              <w:right w:w="108" w:type="dxa"/>
            </w:tcMar>
            <w:hideMark/>
          </w:tcPr>
          <w:p w14:paraId="3616DE19" w14:textId="4FAD4FBF" w:rsidR="00FF7D57" w:rsidRPr="005B38B2" w:rsidRDefault="00BD2BE8" w:rsidP="006F3CFF">
            <w:pPr>
              <w:pStyle w:val="TableText"/>
              <w:keepNext/>
              <w:jc w:val="center"/>
              <w:rPr>
                <w:b/>
                <w:bCs/>
              </w:rPr>
            </w:pPr>
            <w:r>
              <w:rPr>
                <w:b/>
                <w:bCs/>
              </w:rPr>
              <w:t>2025-</w:t>
            </w:r>
            <w:r w:rsidR="00FF7D57" w:rsidRPr="005B38B2">
              <w:rPr>
                <w:b/>
                <w:bCs/>
              </w:rPr>
              <w:t>2026</w:t>
            </w:r>
          </w:p>
        </w:tc>
        <w:tc>
          <w:tcPr>
            <w:tcW w:w="1204" w:type="dxa"/>
            <w:tcBorders>
              <w:top w:val="single" w:sz="4" w:space="0" w:color="auto"/>
              <w:bottom w:val="single" w:sz="4" w:space="0" w:color="auto"/>
            </w:tcBorders>
            <w:tcMar>
              <w:top w:w="0" w:type="dxa"/>
              <w:left w:w="108" w:type="dxa"/>
              <w:bottom w:w="0" w:type="dxa"/>
              <w:right w:w="108" w:type="dxa"/>
            </w:tcMar>
            <w:hideMark/>
          </w:tcPr>
          <w:p w14:paraId="26533794" w14:textId="4F5BBCCD" w:rsidR="00FF7D57" w:rsidRPr="005B38B2" w:rsidRDefault="00BD2BE8" w:rsidP="006F3CFF">
            <w:pPr>
              <w:pStyle w:val="TableText"/>
              <w:keepNext/>
              <w:jc w:val="center"/>
              <w:rPr>
                <w:b/>
                <w:bCs/>
              </w:rPr>
            </w:pPr>
            <w:r>
              <w:rPr>
                <w:b/>
                <w:bCs/>
              </w:rPr>
              <w:t>2026-</w:t>
            </w:r>
            <w:r w:rsidR="00FF7D57" w:rsidRPr="005B38B2">
              <w:rPr>
                <w:b/>
                <w:bCs/>
              </w:rPr>
              <w:t>2027</w:t>
            </w:r>
          </w:p>
        </w:tc>
      </w:tr>
      <w:tr w:rsidR="00CC5EC9" w:rsidRPr="00D30599" w14:paraId="77665135" w14:textId="77777777" w:rsidTr="003D6646">
        <w:trPr>
          <w:cantSplit/>
        </w:trPr>
        <w:tc>
          <w:tcPr>
            <w:tcW w:w="9556" w:type="dxa"/>
            <w:gridSpan w:val="8"/>
            <w:tcBorders>
              <w:top w:val="single" w:sz="4" w:space="0" w:color="auto"/>
              <w:bottom w:val="single" w:sz="4" w:space="0" w:color="auto"/>
            </w:tcBorders>
            <w:tcMar>
              <w:top w:w="0" w:type="dxa"/>
              <w:left w:w="108" w:type="dxa"/>
              <w:bottom w:w="0" w:type="dxa"/>
              <w:right w:w="108" w:type="dxa"/>
            </w:tcMar>
          </w:tcPr>
          <w:p w14:paraId="65FB5E87" w14:textId="168450DA" w:rsidR="00CC5EC9" w:rsidRPr="00EC16C4" w:rsidRDefault="00CC5EC9" w:rsidP="006F3CFF">
            <w:pPr>
              <w:pStyle w:val="TableText"/>
              <w:keepNext/>
            </w:pPr>
            <w:r w:rsidRPr="005B38B2">
              <w:rPr>
                <w:b/>
                <w:bCs/>
              </w:rPr>
              <w:t>Estimated use and cost of carrier testing</w:t>
            </w:r>
          </w:p>
        </w:tc>
      </w:tr>
      <w:tr w:rsidR="00D43A17" w:rsidRPr="00D30599" w14:paraId="2E896752" w14:textId="77777777" w:rsidTr="003D6646">
        <w:trPr>
          <w:cantSplit/>
        </w:trPr>
        <w:tc>
          <w:tcPr>
            <w:tcW w:w="2332" w:type="dxa"/>
            <w:tcBorders>
              <w:top w:val="single" w:sz="4" w:space="0" w:color="auto"/>
              <w:bottom w:val="single" w:sz="4" w:space="0" w:color="auto"/>
            </w:tcBorders>
            <w:shd w:val="clear" w:color="auto" w:fill="auto"/>
            <w:tcMar>
              <w:top w:w="0" w:type="dxa"/>
              <w:left w:w="108" w:type="dxa"/>
              <w:bottom w:w="0" w:type="dxa"/>
              <w:right w:w="108" w:type="dxa"/>
            </w:tcMar>
          </w:tcPr>
          <w:p w14:paraId="2B465B3C" w14:textId="3A128EC6" w:rsidR="00D43A17" w:rsidRPr="00A2372D" w:rsidRDefault="00D43A17" w:rsidP="006F3CFF">
            <w:pPr>
              <w:pStyle w:val="TableText"/>
              <w:keepNext/>
              <w:rPr>
                <w:highlight w:val="yellow"/>
              </w:rPr>
            </w:pPr>
            <w:r w:rsidRPr="00D16D96">
              <w:t>Number of people eligible for testing (</w:t>
            </w:r>
            <w:r w:rsidRPr="002A4E01">
              <w:t xml:space="preserve">preconception and </w:t>
            </w:r>
            <w:r w:rsidRPr="00260804" w:rsidDel="005B4E2D">
              <w:t>prenatal</w:t>
            </w:r>
            <w:r w:rsidRPr="00D16D96">
              <w:t>)</w:t>
            </w:r>
          </w:p>
        </w:tc>
        <w:tc>
          <w:tcPr>
            <w:tcW w:w="1204" w:type="dxa"/>
            <w:gridSpan w:val="2"/>
            <w:tcBorders>
              <w:top w:val="single" w:sz="4" w:space="0" w:color="auto"/>
              <w:bottom w:val="single" w:sz="4" w:space="0" w:color="auto"/>
            </w:tcBorders>
            <w:tcMar>
              <w:top w:w="0" w:type="dxa"/>
              <w:left w:w="108" w:type="dxa"/>
              <w:bottom w:w="0" w:type="dxa"/>
              <w:right w:w="108" w:type="dxa"/>
            </w:tcMar>
            <w:vAlign w:val="bottom"/>
            <w:hideMark/>
          </w:tcPr>
          <w:p w14:paraId="4526E5BD" w14:textId="5739E4D7" w:rsidR="00D43A17" w:rsidRPr="00EC16C4" w:rsidRDefault="00D43A17" w:rsidP="006F3CFF">
            <w:pPr>
              <w:pStyle w:val="TableText"/>
              <w:keepNext/>
              <w:jc w:val="center"/>
            </w:pPr>
            <w:r w:rsidRPr="00EB0436">
              <w:t xml:space="preserve">451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00484E71" w14:textId="630CF18E" w:rsidR="00D43A17" w:rsidRPr="00EC16C4" w:rsidRDefault="00D43A17" w:rsidP="006F3CFF">
            <w:pPr>
              <w:pStyle w:val="TableText"/>
              <w:keepNext/>
              <w:jc w:val="center"/>
            </w:pPr>
            <w:r w:rsidRPr="00EB0436">
              <w:t xml:space="preserve">442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70F6032A" w14:textId="029BD28B" w:rsidR="00D43A17" w:rsidRPr="00EC16C4" w:rsidRDefault="00D43A17" w:rsidP="006F3CFF">
            <w:pPr>
              <w:pStyle w:val="TableText"/>
              <w:keepNext/>
              <w:jc w:val="center"/>
            </w:pPr>
            <w:r w:rsidRPr="00EB0436">
              <w:t xml:space="preserve">433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28E4525B" w14:textId="2EE8DEF0" w:rsidR="00D43A17" w:rsidRPr="00EC16C4" w:rsidRDefault="00D43A17" w:rsidP="006F3CFF">
            <w:pPr>
              <w:pStyle w:val="TableText"/>
              <w:keepNext/>
              <w:jc w:val="center"/>
            </w:pPr>
            <w:r w:rsidRPr="00EB0436">
              <w:t xml:space="preserve">424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5A3824BB" w14:textId="36BD58C2" w:rsidR="00D43A17" w:rsidRPr="00EC16C4" w:rsidRDefault="00D43A17" w:rsidP="006F3CFF">
            <w:pPr>
              <w:pStyle w:val="TableText"/>
              <w:keepNext/>
              <w:jc w:val="center"/>
            </w:pPr>
            <w:r w:rsidRPr="00EB0436">
              <w:t xml:space="preserve">416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36E5F233" w14:textId="1902E478" w:rsidR="00D43A17" w:rsidRPr="00EC16C4" w:rsidRDefault="00D43A17" w:rsidP="006F3CFF">
            <w:pPr>
              <w:pStyle w:val="TableText"/>
              <w:keepNext/>
              <w:jc w:val="center"/>
            </w:pPr>
            <w:r w:rsidRPr="00EB0436">
              <w:t xml:space="preserve">407 </w:t>
            </w:r>
          </w:p>
        </w:tc>
      </w:tr>
      <w:tr w:rsidR="00D43A17" w:rsidRPr="00D30599" w14:paraId="146399CF" w14:textId="77777777" w:rsidTr="003D6646">
        <w:trPr>
          <w:cantSplit/>
        </w:trPr>
        <w:tc>
          <w:tcPr>
            <w:tcW w:w="2332" w:type="dxa"/>
            <w:tcBorders>
              <w:top w:val="single" w:sz="4" w:space="0" w:color="auto"/>
              <w:bottom w:val="single" w:sz="4" w:space="0" w:color="auto"/>
            </w:tcBorders>
            <w:tcMar>
              <w:top w:w="0" w:type="dxa"/>
              <w:left w:w="108" w:type="dxa"/>
              <w:bottom w:w="0" w:type="dxa"/>
              <w:right w:w="108" w:type="dxa"/>
            </w:tcMar>
          </w:tcPr>
          <w:p w14:paraId="487F71BB" w14:textId="61D0B32D" w:rsidR="00D43A17" w:rsidRPr="0045267F" w:rsidRDefault="00D43A17" w:rsidP="006F3CFF">
            <w:pPr>
              <w:pStyle w:val="TableText"/>
            </w:pPr>
            <w:r w:rsidRPr="0045267F">
              <w:t>Number of services (</w:t>
            </w:r>
            <w:r>
              <w:t>preconception</w:t>
            </w:r>
            <w:r w:rsidR="00A35409">
              <w:t xml:space="preserve"> and prenatal</w:t>
            </w:r>
            <w:r w:rsidRPr="0045267F">
              <w:t>)</w:t>
            </w:r>
          </w:p>
        </w:tc>
        <w:tc>
          <w:tcPr>
            <w:tcW w:w="1204" w:type="dxa"/>
            <w:gridSpan w:val="2"/>
            <w:tcBorders>
              <w:top w:val="single" w:sz="4" w:space="0" w:color="auto"/>
              <w:bottom w:val="single" w:sz="4" w:space="0" w:color="auto"/>
            </w:tcBorders>
            <w:tcMar>
              <w:top w:w="0" w:type="dxa"/>
              <w:left w:w="108" w:type="dxa"/>
              <w:bottom w:w="0" w:type="dxa"/>
              <w:right w:w="108" w:type="dxa"/>
            </w:tcMar>
            <w:vAlign w:val="bottom"/>
            <w:hideMark/>
          </w:tcPr>
          <w:p w14:paraId="5C3AF59D" w14:textId="1E76AC4D" w:rsidR="00D43A17" w:rsidRPr="00EC16C4" w:rsidRDefault="00D43A17" w:rsidP="006F3CFF">
            <w:pPr>
              <w:pStyle w:val="TableText"/>
              <w:jc w:val="center"/>
            </w:pPr>
            <w:r w:rsidRPr="00EB0436">
              <w:t xml:space="preserve">                       309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5CED6A57" w14:textId="49BCCF7A" w:rsidR="00D43A17" w:rsidRPr="00EC16C4" w:rsidRDefault="00D43A17" w:rsidP="006F3CFF">
            <w:pPr>
              <w:pStyle w:val="TableText"/>
              <w:jc w:val="center"/>
            </w:pPr>
            <w:r w:rsidRPr="00EB0436">
              <w:t xml:space="preserve">                       303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1B157170" w14:textId="6B705C6D" w:rsidR="00D43A17" w:rsidRPr="00EC16C4" w:rsidRDefault="00D43A17" w:rsidP="006F3CFF">
            <w:pPr>
              <w:pStyle w:val="TableText"/>
              <w:jc w:val="center"/>
            </w:pPr>
            <w:r w:rsidRPr="00EB0436">
              <w:t xml:space="preserve">                       297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20AD8365" w14:textId="5096AB05" w:rsidR="00D43A17" w:rsidRPr="00EC16C4" w:rsidRDefault="00D43A17" w:rsidP="006F3CFF">
            <w:pPr>
              <w:pStyle w:val="TableText"/>
              <w:jc w:val="center"/>
            </w:pPr>
            <w:r w:rsidRPr="00EB0436">
              <w:t xml:space="preserve">                       291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3B968BE3" w14:textId="3F2BCE89" w:rsidR="00D43A17" w:rsidRPr="00EC16C4" w:rsidRDefault="00D43A17" w:rsidP="006F3CFF">
            <w:pPr>
              <w:pStyle w:val="TableText"/>
              <w:jc w:val="center"/>
            </w:pPr>
            <w:r w:rsidRPr="00EB0436">
              <w:t xml:space="preserve">                       285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19816746" w14:textId="482F5B23" w:rsidR="00D43A17" w:rsidRPr="00EC16C4" w:rsidRDefault="00D43A17" w:rsidP="006F3CFF">
            <w:pPr>
              <w:pStyle w:val="TableText"/>
              <w:jc w:val="center"/>
            </w:pPr>
            <w:r w:rsidRPr="00EB0436">
              <w:t xml:space="preserve">                            279 </w:t>
            </w:r>
          </w:p>
        </w:tc>
      </w:tr>
      <w:tr w:rsidR="00951DDC" w:rsidRPr="00D30599" w14:paraId="6CC2CE30" w14:textId="77777777" w:rsidTr="003D6646">
        <w:trPr>
          <w:cantSplit/>
        </w:trPr>
        <w:tc>
          <w:tcPr>
            <w:tcW w:w="2332" w:type="dxa"/>
            <w:tcBorders>
              <w:top w:val="single" w:sz="4" w:space="0" w:color="auto"/>
              <w:bottom w:val="single" w:sz="4" w:space="0" w:color="auto"/>
            </w:tcBorders>
            <w:tcMar>
              <w:top w:w="0" w:type="dxa"/>
              <w:left w:w="108" w:type="dxa"/>
              <w:bottom w:w="0" w:type="dxa"/>
              <w:right w:w="108" w:type="dxa"/>
            </w:tcMar>
          </w:tcPr>
          <w:p w14:paraId="2440E326" w14:textId="14426CB7" w:rsidR="00951DDC" w:rsidRPr="0045267F" w:rsidRDefault="002221F2" w:rsidP="006F3CFF">
            <w:pPr>
              <w:pStyle w:val="TableText"/>
            </w:pPr>
            <w:r>
              <w:t>A</w:t>
            </w:r>
            <w:r w:rsidRPr="00075203">
              <w:t>shkenazi</w:t>
            </w:r>
            <w:r>
              <w:t xml:space="preserve"> </w:t>
            </w:r>
            <w:r w:rsidR="00951DDC">
              <w:t>Jewish reproductive individuals</w:t>
            </w:r>
            <w:r w:rsidR="009F47BD">
              <w:t xml:space="preserve"> (item AAAA)</w:t>
            </w:r>
          </w:p>
        </w:tc>
        <w:tc>
          <w:tcPr>
            <w:tcW w:w="1204" w:type="dxa"/>
            <w:gridSpan w:val="2"/>
            <w:tcBorders>
              <w:top w:val="single" w:sz="4" w:space="0" w:color="auto"/>
              <w:bottom w:val="single" w:sz="4" w:space="0" w:color="auto"/>
            </w:tcBorders>
            <w:tcMar>
              <w:top w:w="0" w:type="dxa"/>
              <w:left w:w="108" w:type="dxa"/>
              <w:bottom w:w="0" w:type="dxa"/>
              <w:right w:w="108" w:type="dxa"/>
            </w:tcMar>
            <w:vAlign w:val="bottom"/>
            <w:hideMark/>
          </w:tcPr>
          <w:p w14:paraId="6856F501" w14:textId="16DBA478" w:rsidR="00951DDC" w:rsidRPr="00EC16C4" w:rsidRDefault="00951DDC" w:rsidP="006F3CFF">
            <w:pPr>
              <w:pStyle w:val="TableText"/>
              <w:jc w:val="center"/>
            </w:pPr>
            <w:r w:rsidRPr="00EB0436">
              <w:t xml:space="preserve">232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6B021D26" w14:textId="758F55CE" w:rsidR="00951DDC" w:rsidRPr="00EC16C4" w:rsidRDefault="00951DDC" w:rsidP="006F3CFF">
            <w:pPr>
              <w:pStyle w:val="TableText"/>
              <w:jc w:val="center"/>
            </w:pPr>
            <w:r w:rsidRPr="00EB0436">
              <w:t xml:space="preserve">227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4B252953" w14:textId="0D6EFA91" w:rsidR="00951DDC" w:rsidRPr="00EC16C4" w:rsidRDefault="00951DDC" w:rsidP="006F3CFF">
            <w:pPr>
              <w:pStyle w:val="TableText"/>
              <w:jc w:val="center"/>
            </w:pPr>
            <w:r w:rsidRPr="00EB0436">
              <w:t xml:space="preserve">223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6BAF2BFE" w14:textId="16F69997" w:rsidR="00951DDC" w:rsidRPr="00EC16C4" w:rsidRDefault="00951DDC" w:rsidP="006F3CFF">
            <w:pPr>
              <w:pStyle w:val="TableText"/>
              <w:jc w:val="center"/>
            </w:pPr>
            <w:r w:rsidRPr="00EB0436">
              <w:t xml:space="preserve">218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3A379D1E" w14:textId="65A57140" w:rsidR="00951DDC" w:rsidRPr="00EC16C4" w:rsidRDefault="00951DDC" w:rsidP="006F3CFF">
            <w:pPr>
              <w:pStyle w:val="TableText"/>
              <w:jc w:val="center"/>
            </w:pPr>
            <w:r w:rsidRPr="00EB0436">
              <w:t xml:space="preserve">214 </w:t>
            </w:r>
          </w:p>
        </w:tc>
        <w:tc>
          <w:tcPr>
            <w:tcW w:w="1204" w:type="dxa"/>
            <w:tcBorders>
              <w:top w:val="single" w:sz="4" w:space="0" w:color="auto"/>
              <w:bottom w:val="single" w:sz="4" w:space="0" w:color="auto"/>
            </w:tcBorders>
            <w:tcMar>
              <w:top w:w="0" w:type="dxa"/>
              <w:left w:w="108" w:type="dxa"/>
              <w:bottom w:w="0" w:type="dxa"/>
              <w:right w:w="108" w:type="dxa"/>
            </w:tcMar>
            <w:vAlign w:val="bottom"/>
            <w:hideMark/>
          </w:tcPr>
          <w:p w14:paraId="02936CD5" w14:textId="1F0388D7" w:rsidR="00951DDC" w:rsidRPr="00EC16C4" w:rsidRDefault="00951DDC" w:rsidP="006F3CFF">
            <w:pPr>
              <w:pStyle w:val="TableText"/>
              <w:jc w:val="center"/>
            </w:pPr>
            <w:r w:rsidRPr="00EB0436">
              <w:t xml:space="preserve">209 </w:t>
            </w:r>
          </w:p>
        </w:tc>
      </w:tr>
      <w:tr w:rsidR="00951DDC" w:rsidRPr="00D30599" w14:paraId="03042DCB" w14:textId="77777777" w:rsidTr="003D6646">
        <w:trPr>
          <w:cantSplit/>
        </w:trPr>
        <w:tc>
          <w:tcPr>
            <w:tcW w:w="2332" w:type="dxa"/>
            <w:tcBorders>
              <w:top w:val="single" w:sz="4" w:space="0" w:color="auto"/>
              <w:bottom w:val="single" w:sz="4" w:space="0" w:color="auto"/>
            </w:tcBorders>
            <w:tcMar>
              <w:top w:w="0" w:type="dxa"/>
              <w:left w:w="108" w:type="dxa"/>
              <w:bottom w:w="0" w:type="dxa"/>
              <w:right w:w="108" w:type="dxa"/>
            </w:tcMar>
          </w:tcPr>
          <w:p w14:paraId="197EF531" w14:textId="5A3BEAB1" w:rsidR="00951DDC" w:rsidRPr="0045267F" w:rsidRDefault="00951DDC" w:rsidP="006F3CFF">
            <w:pPr>
              <w:pStyle w:val="TableText"/>
            </w:pPr>
            <w:r>
              <w:t>Non-</w:t>
            </w:r>
            <w:r w:rsidR="004B4342">
              <w:t>A</w:t>
            </w:r>
            <w:r w:rsidR="004B4342" w:rsidRPr="00075203">
              <w:t>shkenazi</w:t>
            </w:r>
            <w:r w:rsidR="004B4342">
              <w:t xml:space="preserve"> </w:t>
            </w:r>
            <w:r>
              <w:t>Jewish reproductive individuals</w:t>
            </w:r>
            <w:r w:rsidR="009F47BD">
              <w:t xml:space="preserve"> (item CCCC)</w:t>
            </w:r>
          </w:p>
        </w:tc>
        <w:tc>
          <w:tcPr>
            <w:tcW w:w="1204" w:type="dxa"/>
            <w:gridSpan w:val="2"/>
            <w:tcBorders>
              <w:top w:val="single" w:sz="4" w:space="0" w:color="auto"/>
              <w:bottom w:val="single" w:sz="4" w:space="0" w:color="auto"/>
            </w:tcBorders>
            <w:tcMar>
              <w:top w:w="0" w:type="dxa"/>
              <w:left w:w="108" w:type="dxa"/>
              <w:bottom w:w="0" w:type="dxa"/>
              <w:right w:w="108" w:type="dxa"/>
            </w:tcMar>
            <w:vAlign w:val="bottom"/>
          </w:tcPr>
          <w:p w14:paraId="369105AF" w14:textId="034140FA" w:rsidR="00951DDC" w:rsidRPr="00592392" w:rsidRDefault="00951DDC" w:rsidP="006F3CFF">
            <w:pPr>
              <w:pStyle w:val="TableText"/>
              <w:jc w:val="center"/>
            </w:pPr>
            <w:r w:rsidRPr="00EB0436">
              <w:t xml:space="preserve">77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7493DCD8" w14:textId="79665ED4" w:rsidR="00951DDC" w:rsidRPr="00592392" w:rsidRDefault="00951DDC" w:rsidP="006F3CFF">
            <w:pPr>
              <w:pStyle w:val="TableText"/>
              <w:jc w:val="center"/>
            </w:pPr>
            <w:r w:rsidRPr="00EB0436">
              <w:t xml:space="preserve">76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678C353D" w14:textId="6750EB11" w:rsidR="00951DDC" w:rsidRPr="00592392" w:rsidRDefault="00951DDC" w:rsidP="006F3CFF">
            <w:pPr>
              <w:pStyle w:val="TableText"/>
              <w:jc w:val="center"/>
            </w:pPr>
            <w:r w:rsidRPr="00EB0436">
              <w:t xml:space="preserve">74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08E35F39" w14:textId="2656EC47" w:rsidR="00951DDC" w:rsidRPr="00592392" w:rsidRDefault="00951DDC" w:rsidP="006F3CFF">
            <w:pPr>
              <w:pStyle w:val="TableText"/>
              <w:jc w:val="center"/>
            </w:pPr>
            <w:r w:rsidRPr="00EB0436">
              <w:t xml:space="preserve">73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15C8BD11" w14:textId="6FB3385B" w:rsidR="00951DDC" w:rsidRPr="00592392" w:rsidRDefault="00951DDC" w:rsidP="006F3CFF">
            <w:pPr>
              <w:pStyle w:val="TableText"/>
              <w:jc w:val="center"/>
            </w:pPr>
            <w:r w:rsidRPr="00EB0436">
              <w:t xml:space="preserve">71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5109E0DC" w14:textId="4985EFB9" w:rsidR="00951DDC" w:rsidRPr="00592392" w:rsidRDefault="00951DDC" w:rsidP="006F3CFF">
            <w:pPr>
              <w:pStyle w:val="TableText"/>
              <w:jc w:val="center"/>
            </w:pPr>
            <w:r w:rsidRPr="00EB0436">
              <w:t xml:space="preserve">70 </w:t>
            </w:r>
          </w:p>
        </w:tc>
      </w:tr>
      <w:tr w:rsidR="0022091D" w:rsidRPr="00D30599" w14:paraId="06A6EC63"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0EDC410F" w14:textId="52978299" w:rsidR="0022091D" w:rsidRPr="0045267F" w:rsidRDefault="0022091D" w:rsidP="006F3CFF">
            <w:pPr>
              <w:pStyle w:val="TableText"/>
            </w:pPr>
            <w:r>
              <w:t>Cost to MBS (item AAAA)</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32B8831D" w14:textId="28544AB1" w:rsidR="0022091D" w:rsidRPr="00592392" w:rsidRDefault="0022091D" w:rsidP="00D60748">
            <w:pPr>
              <w:pStyle w:val="TableText"/>
              <w:jc w:val="right"/>
            </w:pPr>
            <w:r w:rsidRPr="00EB0436">
              <w:t>$83,742.72</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B8ABEE2" w14:textId="67769E87" w:rsidR="0022091D" w:rsidRPr="00592392" w:rsidRDefault="0022091D" w:rsidP="00D60748">
            <w:pPr>
              <w:pStyle w:val="TableText"/>
              <w:jc w:val="right"/>
            </w:pPr>
            <w:r w:rsidRPr="00EB0436">
              <w:t>$82,092.01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4C9CBA7" w14:textId="15C9BE87" w:rsidR="0022091D" w:rsidRPr="00592392" w:rsidRDefault="0022091D" w:rsidP="00D60748">
            <w:pPr>
              <w:pStyle w:val="TableText"/>
              <w:jc w:val="right"/>
            </w:pPr>
            <w:r w:rsidRPr="00EB0436">
              <w:t>$80,441.31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C96A0B6" w14:textId="28D51B74" w:rsidR="0022091D" w:rsidRPr="00592392" w:rsidRDefault="0022091D" w:rsidP="00D60748">
            <w:pPr>
              <w:pStyle w:val="TableText"/>
              <w:jc w:val="right"/>
            </w:pPr>
            <w:r w:rsidRPr="00EB0436">
              <w:t>$78,790.61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9A00DD5" w14:textId="7A9B9794" w:rsidR="0022091D" w:rsidRPr="00592392" w:rsidRDefault="0022091D" w:rsidP="00D60748">
            <w:pPr>
              <w:pStyle w:val="TableText"/>
              <w:jc w:val="right"/>
            </w:pPr>
            <w:r w:rsidRPr="00EB0436">
              <w:t>$77,188.83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C3F6231" w14:textId="78D94008" w:rsidR="0022091D" w:rsidRPr="00592392" w:rsidRDefault="0022091D" w:rsidP="00D60748">
            <w:pPr>
              <w:pStyle w:val="TableText"/>
              <w:jc w:val="right"/>
            </w:pPr>
            <w:r w:rsidRPr="00EB0436">
              <w:t>$75,587.04</w:t>
            </w:r>
          </w:p>
        </w:tc>
      </w:tr>
      <w:tr w:rsidR="00933BC8" w:rsidRPr="00D30599" w14:paraId="04641204"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3E4DEB39" w14:textId="14B85403" w:rsidR="00933BC8" w:rsidRDefault="00933BC8" w:rsidP="00933BC8">
            <w:pPr>
              <w:pStyle w:val="TableText"/>
            </w:pPr>
            <w:r>
              <w:t>Cost to MBS (item CCCC)</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4E45BC47" w14:textId="720E85ED" w:rsidR="00933BC8" w:rsidRPr="00592392" w:rsidRDefault="00933BC8" w:rsidP="00D60748">
            <w:pPr>
              <w:pStyle w:val="TableText"/>
              <w:jc w:val="right"/>
            </w:pPr>
            <w:r w:rsidRPr="00B72510">
              <w:t>$85,933.36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454D013" w14:textId="3234DCCB" w:rsidR="00933BC8" w:rsidRPr="00592392" w:rsidRDefault="00933BC8" w:rsidP="00D60748">
            <w:pPr>
              <w:pStyle w:val="TableText"/>
              <w:jc w:val="right"/>
            </w:pPr>
            <w:r w:rsidRPr="00B72510">
              <w:t>$84,239.47</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24BF5267" w14:textId="31072FCA" w:rsidR="00933BC8" w:rsidRPr="00592392" w:rsidRDefault="00933BC8" w:rsidP="00D60748">
            <w:pPr>
              <w:pStyle w:val="TableText"/>
              <w:jc w:val="right"/>
            </w:pPr>
            <w:r w:rsidRPr="00B72510">
              <w:t>$82,545.59</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AC909AA" w14:textId="7BC11C44" w:rsidR="00933BC8" w:rsidRPr="00592392" w:rsidRDefault="00933BC8" w:rsidP="00D60748">
            <w:pPr>
              <w:pStyle w:val="TableText"/>
              <w:jc w:val="right"/>
            </w:pPr>
            <w:r w:rsidRPr="00B72510">
              <w:t>$80,851.71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D84AD33" w14:textId="3A664C46" w:rsidR="00933BC8" w:rsidRPr="00592392" w:rsidRDefault="00933BC8" w:rsidP="00D60748">
            <w:pPr>
              <w:pStyle w:val="TableText"/>
              <w:jc w:val="right"/>
            </w:pPr>
            <w:r w:rsidRPr="00B72510">
              <w:t>$79,208.02</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5F573B1" w14:textId="0188DEBE" w:rsidR="00933BC8" w:rsidRPr="00592392" w:rsidRDefault="00933BC8" w:rsidP="00D60748">
            <w:pPr>
              <w:pStyle w:val="TableText"/>
              <w:jc w:val="right"/>
            </w:pPr>
            <w:r w:rsidRPr="00B72510">
              <w:t>$77,564.34</w:t>
            </w:r>
          </w:p>
        </w:tc>
      </w:tr>
      <w:tr w:rsidR="00E06A22" w:rsidRPr="00D30599" w14:paraId="79671D73"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5688EF47" w14:textId="251D9831" w:rsidR="00E06A22" w:rsidRDefault="00E06A22" w:rsidP="006F3CFF">
            <w:pPr>
              <w:pStyle w:val="TableText"/>
            </w:pPr>
            <w:r>
              <w:t>Cost to MBS (item GGGG)</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5E506A8E" w14:textId="032E873C" w:rsidR="00E06A22" w:rsidRPr="00592392" w:rsidRDefault="00E06A22" w:rsidP="00D60748">
            <w:pPr>
              <w:pStyle w:val="TableText"/>
              <w:jc w:val="right"/>
            </w:pPr>
            <w:r w:rsidRPr="00EB0436">
              <w:t>$5,921.58</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E14BBC7" w14:textId="3A9D102F" w:rsidR="00E06A22" w:rsidRPr="00592392" w:rsidRDefault="00E06A22" w:rsidP="00D60748">
            <w:pPr>
              <w:pStyle w:val="TableText"/>
              <w:jc w:val="right"/>
            </w:pPr>
            <w:r w:rsidRPr="00EB0436">
              <w:t>$5,804.85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C74943E" w14:textId="4FF30036" w:rsidR="00E06A22" w:rsidRPr="00592392" w:rsidRDefault="00E06A22" w:rsidP="00D60748">
            <w:pPr>
              <w:pStyle w:val="TableText"/>
              <w:jc w:val="right"/>
            </w:pPr>
            <w:r w:rsidRPr="00EB0436">
              <w:t>$5,688.13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F67C4EB" w14:textId="3DD73E4F" w:rsidR="00E06A22" w:rsidRPr="00592392" w:rsidRDefault="00E06A22" w:rsidP="00D60748">
            <w:pPr>
              <w:pStyle w:val="TableText"/>
              <w:jc w:val="right"/>
            </w:pPr>
            <w:r w:rsidRPr="00EB0436">
              <w:t>$5,571.41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AFA66A0" w14:textId="563E5AF5" w:rsidR="00E06A22" w:rsidRPr="00592392" w:rsidRDefault="00E06A22" w:rsidP="00D60748">
            <w:pPr>
              <w:pStyle w:val="TableText"/>
              <w:jc w:val="right"/>
            </w:pPr>
            <w:r w:rsidRPr="00EB0436">
              <w:t>$5,471.01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34000AF" w14:textId="408D00C2" w:rsidR="00E06A22" w:rsidRPr="00592392" w:rsidRDefault="00E06A22" w:rsidP="00D60748">
            <w:pPr>
              <w:pStyle w:val="TableText"/>
              <w:jc w:val="right"/>
            </w:pPr>
            <w:r w:rsidRPr="00EB0436">
              <w:t>$5,370.61</w:t>
            </w:r>
          </w:p>
        </w:tc>
      </w:tr>
      <w:tr w:rsidR="00933BC8" w:rsidRPr="00D30599" w14:paraId="5CE0FFF2"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03E1C9EE" w14:textId="59B7FA06" w:rsidR="00933BC8" w:rsidRDefault="00933BC8" w:rsidP="00933BC8">
            <w:pPr>
              <w:pStyle w:val="TableText"/>
            </w:pPr>
            <w:r>
              <w:t>Sub total cost of testing to the MBS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080C5A66" w14:textId="7AD5D32C" w:rsidR="00933BC8" w:rsidRPr="00592392" w:rsidRDefault="00933BC8" w:rsidP="00D60748">
            <w:pPr>
              <w:pStyle w:val="TableText"/>
              <w:jc w:val="right"/>
            </w:pPr>
            <w:r w:rsidRPr="00B72510">
              <w:t>$175,597.65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CF4B19A" w14:textId="78132902" w:rsidR="00933BC8" w:rsidRPr="00592392" w:rsidRDefault="00933BC8" w:rsidP="00D60748">
            <w:pPr>
              <w:pStyle w:val="TableText"/>
              <w:jc w:val="right"/>
            </w:pPr>
            <w:r w:rsidRPr="00B72510">
              <w:t>$172,136.34</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24E43C7" w14:textId="12191802" w:rsidR="00933BC8" w:rsidRPr="00592392" w:rsidRDefault="00933BC8" w:rsidP="00D60748">
            <w:pPr>
              <w:pStyle w:val="TableText"/>
              <w:jc w:val="right"/>
            </w:pPr>
            <w:r w:rsidRPr="00B72510">
              <w:t>$168,675.04</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F8AF32B" w14:textId="67BAB5F4" w:rsidR="00933BC8" w:rsidRPr="00592392" w:rsidRDefault="00933BC8" w:rsidP="00D60748">
            <w:pPr>
              <w:pStyle w:val="TableText"/>
              <w:jc w:val="right"/>
            </w:pPr>
            <w:r w:rsidRPr="00B72510">
              <w:t>$165,213.73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09FBC93" w14:textId="00E33872" w:rsidR="00933BC8" w:rsidRPr="00592392" w:rsidRDefault="00933BC8" w:rsidP="00D60748">
            <w:pPr>
              <w:pStyle w:val="TableText"/>
              <w:jc w:val="right"/>
            </w:pPr>
            <w:r w:rsidRPr="00B72510">
              <w:t>$161,867.86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B1201EE" w14:textId="27F928FC" w:rsidR="00933BC8" w:rsidRPr="00592392" w:rsidRDefault="00933BC8" w:rsidP="00D60748">
            <w:pPr>
              <w:pStyle w:val="TableText"/>
              <w:jc w:val="right"/>
            </w:pPr>
            <w:r w:rsidRPr="00B72510">
              <w:t>$158,521.99</w:t>
            </w:r>
          </w:p>
        </w:tc>
      </w:tr>
      <w:tr w:rsidR="00A81289" w:rsidRPr="00D30599" w14:paraId="2CA9CC67" w14:textId="77777777" w:rsidTr="003D6646">
        <w:trPr>
          <w:cantSplit/>
        </w:trPr>
        <w:tc>
          <w:tcPr>
            <w:tcW w:w="3109" w:type="dxa"/>
            <w:gridSpan w:val="2"/>
            <w:tcBorders>
              <w:top w:val="single" w:sz="4" w:space="0" w:color="auto"/>
              <w:bottom w:val="single" w:sz="4" w:space="0" w:color="auto"/>
              <w:right w:val="nil"/>
            </w:tcBorders>
            <w:tcMar>
              <w:top w:w="0" w:type="dxa"/>
              <w:left w:w="108" w:type="dxa"/>
              <w:bottom w:w="0" w:type="dxa"/>
              <w:right w:w="108" w:type="dxa"/>
            </w:tcMar>
          </w:tcPr>
          <w:p w14:paraId="6B399AE2" w14:textId="4D18F15A" w:rsidR="00A81289" w:rsidRDefault="00A81289" w:rsidP="00A81289">
            <w:pPr>
              <w:pStyle w:val="TableText"/>
            </w:pPr>
            <w:r w:rsidRPr="005B38B2">
              <w:rPr>
                <w:b/>
                <w:bCs/>
              </w:rPr>
              <w:t xml:space="preserve">Estimated use and cost of </w:t>
            </w:r>
            <w:r w:rsidR="00DC0E0F">
              <w:rPr>
                <w:b/>
                <w:bCs/>
              </w:rPr>
              <w:t>CF/SMA/FXS</w:t>
            </w:r>
            <w:r w:rsidRPr="005B38B2">
              <w:rPr>
                <w:b/>
                <w:bCs/>
              </w:rPr>
              <w:t xml:space="preserve"> testing</w:t>
            </w:r>
          </w:p>
        </w:tc>
        <w:tc>
          <w:tcPr>
            <w:tcW w:w="427" w:type="dxa"/>
            <w:tcBorders>
              <w:top w:val="single" w:sz="4" w:space="0" w:color="auto"/>
              <w:left w:val="nil"/>
              <w:bottom w:val="single" w:sz="4" w:space="0" w:color="auto"/>
              <w:right w:val="nil"/>
            </w:tcBorders>
            <w:tcMar>
              <w:top w:w="0" w:type="dxa"/>
              <w:left w:w="108" w:type="dxa"/>
              <w:bottom w:w="0" w:type="dxa"/>
              <w:right w:w="108" w:type="dxa"/>
            </w:tcMar>
            <w:vAlign w:val="bottom"/>
          </w:tcPr>
          <w:p w14:paraId="1BF7B5EF" w14:textId="77777777" w:rsidR="00A81289" w:rsidRPr="00B72510" w:rsidRDefault="00A81289" w:rsidP="00A81289">
            <w:pPr>
              <w:pStyle w:val="TableText"/>
              <w:jc w:val="center"/>
            </w:pPr>
          </w:p>
        </w:tc>
        <w:tc>
          <w:tcPr>
            <w:tcW w:w="1204" w:type="dxa"/>
            <w:tcBorders>
              <w:top w:val="single" w:sz="4" w:space="0" w:color="auto"/>
              <w:left w:val="nil"/>
              <w:bottom w:val="single" w:sz="4" w:space="0" w:color="auto"/>
              <w:right w:val="nil"/>
            </w:tcBorders>
            <w:tcMar>
              <w:top w:w="0" w:type="dxa"/>
              <w:left w:w="108" w:type="dxa"/>
              <w:bottom w:w="0" w:type="dxa"/>
              <w:right w:w="108" w:type="dxa"/>
            </w:tcMar>
            <w:vAlign w:val="bottom"/>
          </w:tcPr>
          <w:p w14:paraId="090B3F9C" w14:textId="77777777" w:rsidR="00A81289" w:rsidRPr="00B72510" w:rsidRDefault="00A81289" w:rsidP="00A81289">
            <w:pPr>
              <w:pStyle w:val="TableText"/>
              <w:jc w:val="center"/>
            </w:pPr>
          </w:p>
        </w:tc>
        <w:tc>
          <w:tcPr>
            <w:tcW w:w="1204" w:type="dxa"/>
            <w:tcBorders>
              <w:top w:val="single" w:sz="4" w:space="0" w:color="auto"/>
              <w:left w:val="nil"/>
              <w:bottom w:val="single" w:sz="4" w:space="0" w:color="auto"/>
              <w:right w:val="nil"/>
            </w:tcBorders>
            <w:tcMar>
              <w:top w:w="0" w:type="dxa"/>
              <w:left w:w="108" w:type="dxa"/>
              <w:bottom w:w="0" w:type="dxa"/>
              <w:right w:w="108" w:type="dxa"/>
            </w:tcMar>
            <w:vAlign w:val="bottom"/>
          </w:tcPr>
          <w:p w14:paraId="0F93F67A" w14:textId="77777777" w:rsidR="00A81289" w:rsidRPr="00B72510" w:rsidRDefault="00A81289" w:rsidP="00A81289">
            <w:pPr>
              <w:pStyle w:val="TableText"/>
              <w:jc w:val="center"/>
            </w:pPr>
          </w:p>
        </w:tc>
        <w:tc>
          <w:tcPr>
            <w:tcW w:w="1204" w:type="dxa"/>
            <w:tcBorders>
              <w:top w:val="single" w:sz="4" w:space="0" w:color="auto"/>
              <w:left w:val="nil"/>
              <w:bottom w:val="single" w:sz="4" w:space="0" w:color="auto"/>
              <w:right w:val="nil"/>
            </w:tcBorders>
            <w:tcMar>
              <w:top w:w="0" w:type="dxa"/>
              <w:left w:w="108" w:type="dxa"/>
              <w:bottom w:w="0" w:type="dxa"/>
              <w:right w:w="108" w:type="dxa"/>
            </w:tcMar>
            <w:vAlign w:val="bottom"/>
          </w:tcPr>
          <w:p w14:paraId="3A635FA4" w14:textId="77777777" w:rsidR="00A81289" w:rsidRPr="00B72510" w:rsidRDefault="00A81289" w:rsidP="00A81289">
            <w:pPr>
              <w:pStyle w:val="TableText"/>
              <w:jc w:val="center"/>
            </w:pPr>
          </w:p>
        </w:tc>
        <w:tc>
          <w:tcPr>
            <w:tcW w:w="1204" w:type="dxa"/>
            <w:tcBorders>
              <w:top w:val="single" w:sz="4" w:space="0" w:color="auto"/>
              <w:left w:val="nil"/>
              <w:bottom w:val="single" w:sz="4" w:space="0" w:color="auto"/>
              <w:right w:val="nil"/>
            </w:tcBorders>
            <w:tcMar>
              <w:top w:w="0" w:type="dxa"/>
              <w:left w:w="108" w:type="dxa"/>
              <w:bottom w:w="0" w:type="dxa"/>
              <w:right w:w="108" w:type="dxa"/>
            </w:tcMar>
            <w:vAlign w:val="bottom"/>
          </w:tcPr>
          <w:p w14:paraId="1158EEB2" w14:textId="77777777" w:rsidR="00A81289" w:rsidRPr="00B72510" w:rsidRDefault="00A81289" w:rsidP="00A81289">
            <w:pPr>
              <w:pStyle w:val="TableText"/>
              <w:jc w:val="center"/>
            </w:pPr>
          </w:p>
        </w:tc>
        <w:tc>
          <w:tcPr>
            <w:tcW w:w="1204" w:type="dxa"/>
            <w:tcBorders>
              <w:top w:val="single" w:sz="4" w:space="0" w:color="auto"/>
              <w:left w:val="nil"/>
              <w:bottom w:val="single" w:sz="4" w:space="0" w:color="auto"/>
            </w:tcBorders>
            <w:tcMar>
              <w:top w:w="0" w:type="dxa"/>
              <w:left w:w="108" w:type="dxa"/>
              <w:bottom w:w="0" w:type="dxa"/>
              <w:right w:w="108" w:type="dxa"/>
            </w:tcMar>
            <w:vAlign w:val="bottom"/>
          </w:tcPr>
          <w:p w14:paraId="1BC9ED85" w14:textId="77777777" w:rsidR="00A81289" w:rsidRPr="00B72510" w:rsidRDefault="00A81289" w:rsidP="00A81289">
            <w:pPr>
              <w:pStyle w:val="TableText"/>
              <w:jc w:val="center"/>
            </w:pPr>
          </w:p>
        </w:tc>
      </w:tr>
      <w:tr w:rsidR="00A81289" w:rsidRPr="00D30599" w14:paraId="2B9AECDF" w14:textId="77777777" w:rsidTr="003D6646">
        <w:trPr>
          <w:cantSplit/>
        </w:trPr>
        <w:tc>
          <w:tcPr>
            <w:tcW w:w="2332" w:type="dxa"/>
            <w:tcBorders>
              <w:top w:val="single" w:sz="4" w:space="0" w:color="auto"/>
              <w:bottom w:val="single" w:sz="4" w:space="0" w:color="auto"/>
            </w:tcBorders>
            <w:tcMar>
              <w:top w:w="0" w:type="dxa"/>
              <w:left w:w="108" w:type="dxa"/>
              <w:bottom w:w="0" w:type="dxa"/>
              <w:right w:w="108" w:type="dxa"/>
            </w:tcMar>
          </w:tcPr>
          <w:p w14:paraId="00A4C586" w14:textId="1B633885" w:rsidR="00A81289" w:rsidRDefault="00A81289" w:rsidP="00A81289">
            <w:pPr>
              <w:pStyle w:val="TableText"/>
            </w:pPr>
            <w:r w:rsidRPr="0045267F">
              <w:t>Number of services (</w:t>
            </w:r>
            <w:r>
              <w:t>preconception and prenatal</w:t>
            </w:r>
            <w:r w:rsidRPr="0045267F">
              <w:t>)</w:t>
            </w:r>
          </w:p>
        </w:tc>
        <w:tc>
          <w:tcPr>
            <w:tcW w:w="1204" w:type="dxa"/>
            <w:gridSpan w:val="2"/>
            <w:tcBorders>
              <w:top w:val="single" w:sz="4" w:space="0" w:color="auto"/>
              <w:bottom w:val="single" w:sz="4" w:space="0" w:color="auto"/>
            </w:tcBorders>
            <w:tcMar>
              <w:top w:w="0" w:type="dxa"/>
              <w:left w:w="108" w:type="dxa"/>
              <w:bottom w:w="0" w:type="dxa"/>
              <w:right w:w="108" w:type="dxa"/>
            </w:tcMar>
            <w:vAlign w:val="bottom"/>
          </w:tcPr>
          <w:p w14:paraId="4C3A4D8B" w14:textId="6EA3C868" w:rsidR="00A81289" w:rsidRPr="00B72510" w:rsidRDefault="00A81289" w:rsidP="00A81289">
            <w:pPr>
              <w:pStyle w:val="TableText"/>
              <w:jc w:val="center"/>
            </w:pPr>
            <w:r w:rsidRPr="003D6646">
              <w:t xml:space="preserve">                       260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73BD993F" w14:textId="10A24BEF" w:rsidR="00A81289" w:rsidRPr="00B72510" w:rsidRDefault="00A81289" w:rsidP="00A81289">
            <w:pPr>
              <w:pStyle w:val="TableText"/>
              <w:jc w:val="center"/>
            </w:pPr>
            <w:r w:rsidRPr="003D6646">
              <w:t xml:space="preserve">                       255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4BAD03B1" w14:textId="03788588" w:rsidR="00A81289" w:rsidRPr="00B72510" w:rsidRDefault="00A81289" w:rsidP="00A81289">
            <w:pPr>
              <w:pStyle w:val="TableText"/>
              <w:jc w:val="center"/>
            </w:pPr>
            <w:r w:rsidRPr="003D6646">
              <w:t xml:space="preserve">                       250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4773763E" w14:textId="4C197680" w:rsidR="00A81289" w:rsidRPr="00B72510" w:rsidRDefault="00A81289" w:rsidP="00A81289">
            <w:pPr>
              <w:pStyle w:val="TableText"/>
              <w:jc w:val="center"/>
            </w:pPr>
            <w:r w:rsidRPr="003D6646">
              <w:t xml:space="preserve">                       245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338BF34E" w14:textId="4D3C26F3" w:rsidR="00A81289" w:rsidRPr="00B72510" w:rsidRDefault="00A81289" w:rsidP="00A81289">
            <w:pPr>
              <w:pStyle w:val="TableText"/>
              <w:jc w:val="center"/>
            </w:pPr>
            <w:r w:rsidRPr="003D6646">
              <w:t xml:space="preserve">                       240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1B01B574" w14:textId="32A756F3" w:rsidR="00A81289" w:rsidRPr="00B72510" w:rsidRDefault="00A81289" w:rsidP="00A81289">
            <w:pPr>
              <w:pStyle w:val="TableText"/>
              <w:jc w:val="center"/>
            </w:pPr>
            <w:r w:rsidRPr="003D6646">
              <w:t xml:space="preserve">                            235 </w:t>
            </w:r>
          </w:p>
        </w:tc>
      </w:tr>
      <w:tr w:rsidR="00A81289" w:rsidRPr="00D30599" w14:paraId="13022DA3" w14:textId="77777777" w:rsidTr="003D6646">
        <w:trPr>
          <w:cantSplit/>
        </w:trPr>
        <w:tc>
          <w:tcPr>
            <w:tcW w:w="2332" w:type="dxa"/>
            <w:tcBorders>
              <w:top w:val="single" w:sz="4" w:space="0" w:color="auto"/>
              <w:bottom w:val="single" w:sz="4" w:space="0" w:color="auto"/>
            </w:tcBorders>
            <w:tcMar>
              <w:top w:w="0" w:type="dxa"/>
              <w:left w:w="108" w:type="dxa"/>
              <w:bottom w:w="0" w:type="dxa"/>
              <w:right w:w="108" w:type="dxa"/>
            </w:tcMar>
          </w:tcPr>
          <w:p w14:paraId="717DF6A8" w14:textId="487C15AA" w:rsidR="00A81289" w:rsidRDefault="00A81289" w:rsidP="00A81289">
            <w:pPr>
              <w:pStyle w:val="TableText"/>
            </w:pPr>
            <w:r>
              <w:t>A</w:t>
            </w:r>
            <w:r w:rsidRPr="00075203">
              <w:t>shkenazi</w:t>
            </w:r>
            <w:r>
              <w:t xml:space="preserve"> Jewish reproductive individuals</w:t>
            </w:r>
          </w:p>
        </w:tc>
        <w:tc>
          <w:tcPr>
            <w:tcW w:w="1204" w:type="dxa"/>
            <w:gridSpan w:val="2"/>
            <w:tcBorders>
              <w:top w:val="single" w:sz="4" w:space="0" w:color="auto"/>
              <w:bottom w:val="single" w:sz="4" w:space="0" w:color="auto"/>
            </w:tcBorders>
            <w:tcMar>
              <w:top w:w="0" w:type="dxa"/>
              <w:left w:w="108" w:type="dxa"/>
              <w:bottom w:w="0" w:type="dxa"/>
              <w:right w:w="108" w:type="dxa"/>
            </w:tcMar>
            <w:vAlign w:val="bottom"/>
          </w:tcPr>
          <w:p w14:paraId="086C8E76" w14:textId="0D564FF8" w:rsidR="00A81289" w:rsidRPr="00B72510" w:rsidRDefault="00A81289" w:rsidP="00A81289">
            <w:pPr>
              <w:pStyle w:val="TableText"/>
              <w:jc w:val="center"/>
            </w:pPr>
            <w:r w:rsidRPr="003D6646">
              <w:t xml:space="preserve">                       195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47A1E90F" w14:textId="07136C78" w:rsidR="00A81289" w:rsidRPr="00B72510" w:rsidRDefault="00A81289" w:rsidP="00A81289">
            <w:pPr>
              <w:pStyle w:val="TableText"/>
              <w:jc w:val="center"/>
            </w:pPr>
            <w:r w:rsidRPr="003D6646">
              <w:t xml:space="preserve">                       191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2976B406" w14:textId="3BB3BA5C" w:rsidR="00A81289" w:rsidRPr="00B72510" w:rsidRDefault="00A81289" w:rsidP="00A81289">
            <w:pPr>
              <w:pStyle w:val="TableText"/>
              <w:jc w:val="center"/>
            </w:pPr>
            <w:r w:rsidRPr="003D6646">
              <w:t xml:space="preserve">                       187</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49E52046" w14:textId="71CBF826" w:rsidR="00A81289" w:rsidRPr="00B72510" w:rsidRDefault="00A81289" w:rsidP="00A81289">
            <w:pPr>
              <w:pStyle w:val="TableText"/>
              <w:jc w:val="center"/>
            </w:pPr>
            <w:r w:rsidRPr="003D6646">
              <w:t xml:space="preserve">                       183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7613EBF4" w14:textId="0828DF70" w:rsidR="00A81289" w:rsidRPr="00B72510" w:rsidRDefault="00A81289" w:rsidP="00A81289">
            <w:pPr>
              <w:pStyle w:val="TableText"/>
              <w:jc w:val="center"/>
            </w:pPr>
            <w:r w:rsidRPr="003D6646">
              <w:t xml:space="preserve">                       180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754FD743" w14:textId="4D526441" w:rsidR="00A81289" w:rsidRPr="00B72510" w:rsidRDefault="00A81289" w:rsidP="00A81289">
            <w:pPr>
              <w:pStyle w:val="TableText"/>
              <w:jc w:val="center"/>
            </w:pPr>
            <w:r w:rsidRPr="003D6646">
              <w:t xml:space="preserve">                            176 </w:t>
            </w:r>
          </w:p>
        </w:tc>
      </w:tr>
      <w:tr w:rsidR="00A81289" w:rsidRPr="00D30599" w14:paraId="26AB07AD" w14:textId="77777777" w:rsidTr="003D6646">
        <w:trPr>
          <w:cantSplit/>
        </w:trPr>
        <w:tc>
          <w:tcPr>
            <w:tcW w:w="2332" w:type="dxa"/>
            <w:tcBorders>
              <w:top w:val="single" w:sz="4" w:space="0" w:color="auto"/>
              <w:bottom w:val="single" w:sz="4" w:space="0" w:color="auto"/>
            </w:tcBorders>
            <w:tcMar>
              <w:top w:w="0" w:type="dxa"/>
              <w:left w:w="108" w:type="dxa"/>
              <w:bottom w:w="0" w:type="dxa"/>
              <w:right w:w="108" w:type="dxa"/>
            </w:tcMar>
          </w:tcPr>
          <w:p w14:paraId="559D8946" w14:textId="5B58024F" w:rsidR="00A81289" w:rsidRDefault="00A81289" w:rsidP="00A81289">
            <w:pPr>
              <w:pStyle w:val="TableText"/>
            </w:pPr>
            <w:r>
              <w:t>Non-A</w:t>
            </w:r>
            <w:r w:rsidRPr="00075203">
              <w:t>shkenazi</w:t>
            </w:r>
            <w:r>
              <w:t xml:space="preserve"> Jewish reproductive individuals</w:t>
            </w:r>
          </w:p>
        </w:tc>
        <w:tc>
          <w:tcPr>
            <w:tcW w:w="1204" w:type="dxa"/>
            <w:gridSpan w:val="2"/>
            <w:tcBorders>
              <w:top w:val="single" w:sz="4" w:space="0" w:color="auto"/>
              <w:bottom w:val="single" w:sz="4" w:space="0" w:color="auto"/>
            </w:tcBorders>
            <w:tcMar>
              <w:top w:w="0" w:type="dxa"/>
              <w:left w:w="108" w:type="dxa"/>
              <w:bottom w:w="0" w:type="dxa"/>
              <w:right w:w="108" w:type="dxa"/>
            </w:tcMar>
            <w:vAlign w:val="bottom"/>
          </w:tcPr>
          <w:p w14:paraId="17A83213" w14:textId="6CDCEB73" w:rsidR="00A81289" w:rsidRPr="00B72510" w:rsidRDefault="00A81289" w:rsidP="00A81289">
            <w:pPr>
              <w:pStyle w:val="TableText"/>
              <w:jc w:val="center"/>
            </w:pPr>
            <w:r w:rsidRPr="003D6646">
              <w:t xml:space="preserve">                         65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2A95CF1B" w14:textId="724192CF" w:rsidR="00A81289" w:rsidRPr="00B72510" w:rsidRDefault="00A81289" w:rsidP="00A81289">
            <w:pPr>
              <w:pStyle w:val="TableText"/>
              <w:jc w:val="center"/>
            </w:pPr>
            <w:r w:rsidRPr="003D6646">
              <w:t xml:space="preserve">                         64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50370E3B" w14:textId="79013CAD" w:rsidR="00A81289" w:rsidRPr="00B72510" w:rsidRDefault="00A81289" w:rsidP="00A81289">
            <w:pPr>
              <w:pStyle w:val="TableText"/>
              <w:jc w:val="center"/>
            </w:pPr>
            <w:r w:rsidRPr="003D6646">
              <w:t xml:space="preserve">                         62</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6B29DBF3" w14:textId="0F1234AF" w:rsidR="00A81289" w:rsidRPr="00B72510" w:rsidRDefault="00A81289" w:rsidP="00A81289">
            <w:pPr>
              <w:pStyle w:val="TableText"/>
              <w:jc w:val="center"/>
            </w:pPr>
            <w:r w:rsidRPr="003D6646">
              <w:t xml:space="preserve">                         61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3FE7F668" w14:textId="487BE80E" w:rsidR="00A81289" w:rsidRPr="00B72510" w:rsidRDefault="00A81289" w:rsidP="00A81289">
            <w:pPr>
              <w:pStyle w:val="TableText"/>
              <w:jc w:val="center"/>
            </w:pPr>
            <w:r w:rsidRPr="003D6646">
              <w:t xml:space="preserve">                         60 </w:t>
            </w:r>
          </w:p>
        </w:tc>
        <w:tc>
          <w:tcPr>
            <w:tcW w:w="1204" w:type="dxa"/>
            <w:tcBorders>
              <w:top w:val="single" w:sz="4" w:space="0" w:color="auto"/>
              <w:bottom w:val="single" w:sz="4" w:space="0" w:color="auto"/>
            </w:tcBorders>
            <w:tcMar>
              <w:top w:w="0" w:type="dxa"/>
              <w:left w:w="108" w:type="dxa"/>
              <w:bottom w:w="0" w:type="dxa"/>
              <w:right w:w="108" w:type="dxa"/>
            </w:tcMar>
            <w:vAlign w:val="bottom"/>
          </w:tcPr>
          <w:p w14:paraId="40E4DACF" w14:textId="548229B1" w:rsidR="00A81289" w:rsidRPr="00B72510" w:rsidRDefault="00A81289" w:rsidP="00A81289">
            <w:pPr>
              <w:pStyle w:val="TableText"/>
              <w:jc w:val="center"/>
            </w:pPr>
            <w:r w:rsidRPr="003D6646">
              <w:t xml:space="preserve">                              59 </w:t>
            </w:r>
          </w:p>
        </w:tc>
      </w:tr>
      <w:tr w:rsidR="00810CC8" w:rsidRPr="00D30599" w14:paraId="221E8A84"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19C78C99" w14:textId="511C6BB7" w:rsidR="00810CC8" w:rsidRDefault="00810CC8" w:rsidP="00810CC8">
            <w:pPr>
              <w:pStyle w:val="TableText"/>
            </w:pPr>
            <w:r>
              <w:t>Services (item XXXXX</w:t>
            </w:r>
            <w:r w:rsidR="00D63D20">
              <w:t xml:space="preserve"> </w:t>
            </w:r>
            <w:r>
              <w:t>– MSAC 1573)</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17698A8C" w14:textId="7137F882" w:rsidR="00810CC8" w:rsidRPr="003D6646" w:rsidRDefault="00810CC8" w:rsidP="00810CC8">
            <w:pPr>
              <w:pStyle w:val="TableText"/>
              <w:jc w:val="center"/>
            </w:pPr>
            <w:r>
              <w:t>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6F4E2D8" w14:textId="25B69AED" w:rsidR="00810CC8" w:rsidRPr="003D6646" w:rsidRDefault="00810CC8" w:rsidP="00810CC8">
            <w:pPr>
              <w:pStyle w:val="TableText"/>
              <w:jc w:val="center"/>
            </w:pPr>
            <w:r>
              <w:t>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BAF44F9" w14:textId="5A155752" w:rsidR="00810CC8" w:rsidRPr="003D6646" w:rsidRDefault="00810CC8" w:rsidP="00810CC8">
            <w:pPr>
              <w:pStyle w:val="TableText"/>
              <w:jc w:val="center"/>
            </w:pPr>
            <w:r w:rsidRPr="00DD6BA6">
              <w:t>84</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DF5C964" w14:textId="7FC3CB5D" w:rsidR="00810CC8" w:rsidRPr="003D6646" w:rsidRDefault="00810CC8" w:rsidP="00810CC8">
            <w:pPr>
              <w:pStyle w:val="TableText"/>
              <w:jc w:val="center"/>
            </w:pPr>
            <w:r w:rsidRPr="00DD6BA6">
              <w:t>124</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93BDF5C" w14:textId="155DA22D" w:rsidR="00810CC8" w:rsidRPr="003D6646" w:rsidRDefault="00810CC8" w:rsidP="00810CC8">
            <w:pPr>
              <w:pStyle w:val="TableText"/>
              <w:jc w:val="center"/>
            </w:pPr>
            <w:r w:rsidRPr="00DD6BA6">
              <w:t>121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8F4CB0D" w14:textId="442367B2" w:rsidR="00810CC8" w:rsidRPr="003D6646" w:rsidRDefault="00810CC8" w:rsidP="00810CC8">
            <w:pPr>
              <w:pStyle w:val="TableText"/>
              <w:jc w:val="center"/>
            </w:pPr>
            <w:r w:rsidRPr="00DD6BA6">
              <w:t>118</w:t>
            </w:r>
          </w:p>
        </w:tc>
      </w:tr>
      <w:tr w:rsidR="00810CC8" w:rsidRPr="00D30599" w14:paraId="707F8A90"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71C84138" w14:textId="31FE234E" w:rsidR="00810CC8" w:rsidRDefault="00810CC8" w:rsidP="00810CC8">
            <w:pPr>
              <w:pStyle w:val="TableText"/>
            </w:pPr>
            <w:r>
              <w:t>Services (item YYYYY – MSAC 1573)</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2A7AED18" w14:textId="3A1921F1" w:rsidR="00810CC8" w:rsidRPr="003D6646" w:rsidRDefault="00810CC8" w:rsidP="00810CC8">
            <w:pPr>
              <w:pStyle w:val="TableText"/>
              <w:jc w:val="center"/>
            </w:pPr>
            <w:r>
              <w:t>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8E66CFD" w14:textId="69624692" w:rsidR="00810CC8" w:rsidRPr="003D6646" w:rsidRDefault="00810CC8" w:rsidP="00810CC8">
            <w:pPr>
              <w:pStyle w:val="TableText"/>
              <w:jc w:val="center"/>
            </w:pPr>
            <w:r>
              <w:t>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AEFF363" w14:textId="1D4DFF38" w:rsidR="00810CC8" w:rsidRPr="003D6646" w:rsidRDefault="00810CC8" w:rsidP="00810CC8">
            <w:pPr>
              <w:pStyle w:val="TableText"/>
              <w:jc w:val="center"/>
            </w:pPr>
            <w:r w:rsidRPr="00DD6BA6">
              <w:t>72</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258EFC2" w14:textId="5444BBDE" w:rsidR="00810CC8" w:rsidRPr="003D6646" w:rsidRDefault="00810CC8" w:rsidP="00810CC8">
            <w:pPr>
              <w:pStyle w:val="TableText"/>
              <w:jc w:val="center"/>
            </w:pPr>
            <w:r w:rsidRPr="00DD6BA6">
              <w:t>106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8F2DAAA" w14:textId="6BE81A26" w:rsidR="00810CC8" w:rsidRPr="003D6646" w:rsidRDefault="00810CC8" w:rsidP="00810CC8">
            <w:pPr>
              <w:pStyle w:val="TableText"/>
              <w:jc w:val="center"/>
            </w:pPr>
            <w:r w:rsidRPr="00DD6BA6">
              <w:t>103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7BB88E4" w14:textId="4240103A" w:rsidR="00810CC8" w:rsidRPr="003D6646" w:rsidRDefault="00810CC8" w:rsidP="00810CC8">
            <w:pPr>
              <w:pStyle w:val="TableText"/>
              <w:jc w:val="center"/>
            </w:pPr>
            <w:r w:rsidRPr="00DD6BA6">
              <w:t>101</w:t>
            </w:r>
          </w:p>
        </w:tc>
      </w:tr>
      <w:tr w:rsidR="00810CC8" w:rsidRPr="00D30599" w14:paraId="0EBC8EFF"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4C49C905" w14:textId="6B981C24" w:rsidR="00810CC8" w:rsidRDefault="00810CC8" w:rsidP="00810CC8">
            <w:pPr>
              <w:pStyle w:val="TableText"/>
            </w:pPr>
            <w:r>
              <w:t>Services (item ZZZZZ – MSAC 1573)</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45B1A2B4" w14:textId="24B7CBFB" w:rsidR="00810CC8" w:rsidRPr="003D6646" w:rsidRDefault="00810CC8" w:rsidP="00810CC8">
            <w:pPr>
              <w:pStyle w:val="TableText"/>
              <w:jc w:val="center"/>
            </w:pPr>
            <w:r>
              <w:t>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ABB9DB8" w14:textId="7A3A2C06" w:rsidR="00810CC8" w:rsidRPr="003D6646" w:rsidRDefault="00810CC8" w:rsidP="00810CC8">
            <w:pPr>
              <w:pStyle w:val="TableText"/>
              <w:jc w:val="center"/>
            </w:pPr>
            <w:r>
              <w:t>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A9E7CE1" w14:textId="2EBB549E" w:rsidR="00810CC8" w:rsidRPr="003D6646" w:rsidRDefault="00810CC8" w:rsidP="00810CC8">
            <w:pPr>
              <w:pStyle w:val="TableText"/>
              <w:jc w:val="center"/>
            </w:pPr>
            <w:r w:rsidRPr="00DD6BA6">
              <w:t>11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D297FD5" w14:textId="63A9F92E" w:rsidR="00810CC8" w:rsidRPr="003D6646" w:rsidRDefault="00810CC8" w:rsidP="00810CC8">
            <w:pPr>
              <w:pStyle w:val="TableText"/>
              <w:jc w:val="center"/>
            </w:pPr>
            <w:r w:rsidRPr="00DD6BA6">
              <w:t>15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C19DBC8" w14:textId="0AC93401" w:rsidR="00810CC8" w:rsidRPr="003D6646" w:rsidRDefault="00810CC8" w:rsidP="00810CC8">
            <w:pPr>
              <w:pStyle w:val="TableText"/>
              <w:jc w:val="center"/>
            </w:pPr>
            <w:r w:rsidRPr="00DD6BA6">
              <w:t>15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711537D" w14:textId="63DCB91E" w:rsidR="00810CC8" w:rsidRPr="003D6646" w:rsidRDefault="00810CC8" w:rsidP="00810CC8">
            <w:pPr>
              <w:pStyle w:val="TableText"/>
              <w:jc w:val="center"/>
            </w:pPr>
            <w:r w:rsidRPr="00DD6BA6">
              <w:t>15</w:t>
            </w:r>
          </w:p>
        </w:tc>
      </w:tr>
      <w:tr w:rsidR="00810CC8" w:rsidRPr="00D30599" w14:paraId="531EB6FC"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0A522E79" w14:textId="6D51C8BA" w:rsidR="00810CC8" w:rsidRDefault="00810CC8" w:rsidP="00810CC8">
            <w:pPr>
              <w:pStyle w:val="TableText"/>
            </w:pPr>
            <w:r>
              <w:t>Cost to MBS (item XXXXX</w:t>
            </w:r>
            <w:r w:rsidR="00D63D20">
              <w:t xml:space="preserve"> </w:t>
            </w:r>
            <w:r>
              <w:t>– MSAC 1573)</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0DCD9B65" w14:textId="2C7FA10F" w:rsidR="00810CC8" w:rsidRPr="00B72510"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23CF3774" w14:textId="37529A69" w:rsidR="00810CC8" w:rsidRPr="00B72510"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F8F14BC" w14:textId="758E81DA" w:rsidR="00810CC8" w:rsidRPr="00B72510" w:rsidRDefault="00810CC8" w:rsidP="00D60748">
            <w:pPr>
              <w:pStyle w:val="TableText"/>
              <w:jc w:val="right"/>
            </w:pPr>
            <w:r w:rsidRPr="00660823">
              <w:t xml:space="preserve"> $28,589.21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F1B67F6" w14:textId="771872D1" w:rsidR="00810CC8" w:rsidRPr="00B72510" w:rsidRDefault="00810CC8" w:rsidP="00D60748">
            <w:pPr>
              <w:pStyle w:val="TableText"/>
              <w:jc w:val="right"/>
            </w:pPr>
            <w:r w:rsidRPr="00660823">
              <w:t xml:space="preserve"> $41,995.50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296FFEEB" w14:textId="7FF9A80B" w:rsidR="00810CC8" w:rsidRPr="00B72510" w:rsidRDefault="00810CC8" w:rsidP="00D60748">
            <w:pPr>
              <w:pStyle w:val="TableText"/>
              <w:jc w:val="right"/>
            </w:pPr>
            <w:r w:rsidRPr="00660823">
              <w:t xml:space="preserve"> $41,107.19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89339D7" w14:textId="27B0B265" w:rsidR="00810CC8" w:rsidRPr="00B72510" w:rsidRDefault="00810CC8" w:rsidP="00D60748">
            <w:pPr>
              <w:pStyle w:val="TableText"/>
              <w:jc w:val="right"/>
            </w:pPr>
            <w:r w:rsidRPr="00660823">
              <w:t xml:space="preserve"> $40,218.88 </w:t>
            </w:r>
          </w:p>
        </w:tc>
      </w:tr>
      <w:tr w:rsidR="00810CC8" w:rsidRPr="00D30599" w14:paraId="2404BAD4"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3BD5E7D7" w14:textId="4C2CC7A6" w:rsidR="00810CC8" w:rsidRDefault="00810CC8" w:rsidP="00810CC8">
            <w:pPr>
              <w:pStyle w:val="TableText"/>
            </w:pPr>
            <w:r>
              <w:t>Cost to MBS (item YYYYY – MSAC 1573)</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182BECEA" w14:textId="77468981" w:rsidR="00810CC8" w:rsidRPr="003D6646"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82C7D42" w14:textId="681614AB" w:rsidR="00810CC8" w:rsidRPr="003D6646"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DCE4C48" w14:textId="00D77A8B" w:rsidR="00810CC8" w:rsidRPr="003D6646" w:rsidRDefault="00810CC8" w:rsidP="00D60748">
            <w:pPr>
              <w:pStyle w:val="TableText"/>
              <w:jc w:val="right"/>
            </w:pPr>
            <w:r w:rsidRPr="00660823">
              <w:t xml:space="preserve"> $24,449.86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E5130EF" w14:textId="6584D420" w:rsidR="00810CC8" w:rsidRPr="003D6646" w:rsidRDefault="00810CC8" w:rsidP="00D60748">
            <w:pPr>
              <w:pStyle w:val="TableText"/>
              <w:jc w:val="right"/>
            </w:pPr>
            <w:r w:rsidRPr="00660823">
              <w:t xml:space="preserve"> $35,930.51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BCF254D" w14:textId="33CAC138" w:rsidR="00810CC8" w:rsidRPr="003D6646" w:rsidRDefault="00810CC8" w:rsidP="00D60748">
            <w:pPr>
              <w:pStyle w:val="TableText"/>
              <w:jc w:val="right"/>
            </w:pPr>
            <w:r w:rsidRPr="00660823">
              <w:t xml:space="preserve"> $35,186.23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4D6EB10" w14:textId="04634E60" w:rsidR="00810CC8" w:rsidRPr="003D6646" w:rsidRDefault="00810CC8" w:rsidP="00D60748">
            <w:pPr>
              <w:pStyle w:val="TableText"/>
              <w:jc w:val="right"/>
            </w:pPr>
            <w:r w:rsidRPr="00660823">
              <w:t xml:space="preserve"> $34,441.95 </w:t>
            </w:r>
          </w:p>
        </w:tc>
      </w:tr>
      <w:tr w:rsidR="00810CC8" w:rsidRPr="00D30599" w14:paraId="5F18DFAE"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5C5EBF22" w14:textId="40B8A508" w:rsidR="00810CC8" w:rsidRDefault="00810CC8" w:rsidP="00810CC8">
            <w:pPr>
              <w:pStyle w:val="TableText"/>
            </w:pPr>
            <w:r>
              <w:t>Cost to MBS (item ZZZZZ – MSAC 1573)</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39D7502C" w14:textId="7E3176D6" w:rsidR="00810CC8" w:rsidRPr="00B72510"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42B7324" w14:textId="4AA8F57D" w:rsidR="00810CC8" w:rsidRPr="00B72510"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1ECE6AC" w14:textId="06A003AB" w:rsidR="00810CC8" w:rsidRPr="00B72510" w:rsidRDefault="00810CC8" w:rsidP="00D60748">
            <w:pPr>
              <w:pStyle w:val="TableText"/>
              <w:jc w:val="right"/>
            </w:pPr>
            <w:r w:rsidRPr="00660823">
              <w:t xml:space="preserve"> $3,573.06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85A2FF8" w14:textId="43B96FD8" w:rsidR="00810CC8" w:rsidRPr="00B72510" w:rsidRDefault="00810CC8" w:rsidP="00D60748">
            <w:pPr>
              <w:pStyle w:val="TableText"/>
              <w:jc w:val="right"/>
            </w:pPr>
            <w:r w:rsidRPr="00660823">
              <w:t xml:space="preserve"> $5,249.62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6EF34FB" w14:textId="3C047834" w:rsidR="00810CC8" w:rsidRPr="00B72510" w:rsidRDefault="00810CC8" w:rsidP="00D60748">
            <w:pPr>
              <w:pStyle w:val="TableText"/>
              <w:jc w:val="right"/>
            </w:pPr>
            <w:r w:rsidRPr="00660823">
              <w:t xml:space="preserve"> $5,201.02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1D04CA2" w14:textId="730CC6C7" w:rsidR="00810CC8" w:rsidRPr="00B72510" w:rsidRDefault="00810CC8" w:rsidP="00D60748">
            <w:pPr>
              <w:pStyle w:val="TableText"/>
              <w:jc w:val="right"/>
            </w:pPr>
            <w:r w:rsidRPr="00660823">
              <w:t xml:space="preserve"> $5,152.42 </w:t>
            </w:r>
          </w:p>
        </w:tc>
      </w:tr>
      <w:tr w:rsidR="00D65CEF" w:rsidRPr="00D30599" w14:paraId="2BEE552D"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584A07BA" w14:textId="62E4155B" w:rsidR="00D65CEF" w:rsidRDefault="00D65CEF" w:rsidP="00D65CEF">
            <w:pPr>
              <w:pStyle w:val="TableText"/>
            </w:pPr>
            <w:r>
              <w:t>Sub total cost of testing to the MBS (CF/SMA/FXS)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2B174B87" w14:textId="067AC6CD" w:rsidR="00D65CEF" w:rsidRPr="00B72510" w:rsidRDefault="00D65CEF"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7B95588" w14:textId="2F295F6B" w:rsidR="00D65CEF" w:rsidRPr="00B72510" w:rsidRDefault="00D65CEF"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C1313ED" w14:textId="04B7230E" w:rsidR="00D65CEF" w:rsidRPr="00B72510" w:rsidRDefault="00D65CEF" w:rsidP="00D60748">
            <w:pPr>
              <w:pStyle w:val="TableText"/>
              <w:jc w:val="right"/>
            </w:pPr>
            <w:r w:rsidRPr="003D6646">
              <w:t>$56,612.13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2F05CE9" w14:textId="28EA4BC9" w:rsidR="00D65CEF" w:rsidRPr="00B72510" w:rsidRDefault="00D65CEF" w:rsidP="00D60748">
            <w:pPr>
              <w:pStyle w:val="TableText"/>
              <w:jc w:val="right"/>
            </w:pPr>
            <w:r w:rsidRPr="003D6646">
              <w:t>$83,175.62</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A29537A" w14:textId="673603E1" w:rsidR="00D65CEF" w:rsidRPr="00B72510" w:rsidRDefault="00D65CEF" w:rsidP="00D60748">
            <w:pPr>
              <w:pStyle w:val="TableText"/>
              <w:jc w:val="right"/>
            </w:pPr>
            <w:r w:rsidRPr="003D6646">
              <w:t>$81,494.44</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E743A52" w14:textId="0FD63207" w:rsidR="00D65CEF" w:rsidRPr="00B72510" w:rsidRDefault="00D65CEF" w:rsidP="00D60748">
            <w:pPr>
              <w:pStyle w:val="TableText"/>
              <w:jc w:val="right"/>
            </w:pPr>
            <w:r w:rsidRPr="003D6646">
              <w:t>$79,813.25</w:t>
            </w:r>
          </w:p>
        </w:tc>
      </w:tr>
      <w:tr w:rsidR="003952F4" w:rsidRPr="00CC5EC9" w14:paraId="5EAA27E3" w14:textId="77777777" w:rsidTr="003D6646">
        <w:trPr>
          <w:cantSplit/>
        </w:trPr>
        <w:tc>
          <w:tcPr>
            <w:tcW w:w="9556" w:type="dxa"/>
            <w:gridSpan w:val="8"/>
            <w:tcBorders>
              <w:top w:val="single" w:sz="4" w:space="0" w:color="auto"/>
              <w:bottom w:val="single" w:sz="4" w:space="0" w:color="auto"/>
            </w:tcBorders>
            <w:tcMar>
              <w:top w:w="0" w:type="dxa"/>
              <w:left w:w="108" w:type="dxa"/>
              <w:bottom w:w="0" w:type="dxa"/>
              <w:right w:w="108" w:type="dxa"/>
            </w:tcMar>
          </w:tcPr>
          <w:p w14:paraId="2D3ED625" w14:textId="0FCE9218" w:rsidR="003952F4" w:rsidRPr="00EB0436" w:rsidRDefault="003952F4" w:rsidP="003952F4">
            <w:pPr>
              <w:pStyle w:val="TableText"/>
              <w:rPr>
                <w:b/>
                <w:bCs/>
              </w:rPr>
            </w:pPr>
            <w:r w:rsidRPr="00EB0436">
              <w:rPr>
                <w:b/>
                <w:bCs/>
              </w:rPr>
              <w:t xml:space="preserve">Associated MBS costs – </w:t>
            </w:r>
            <w:r>
              <w:rPr>
                <w:b/>
                <w:bCs/>
              </w:rPr>
              <w:t>carrier</w:t>
            </w:r>
            <w:r w:rsidRPr="00EB0436">
              <w:rPr>
                <w:b/>
                <w:bCs/>
              </w:rPr>
              <w:t xml:space="preserve"> testing</w:t>
            </w:r>
          </w:p>
        </w:tc>
      </w:tr>
      <w:tr w:rsidR="003952F4" w:rsidRPr="00D30599" w14:paraId="243F6091"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40C91AE0" w14:textId="57EFB6EB" w:rsidR="003952F4" w:rsidRPr="000F44A1" w:rsidRDefault="003952F4" w:rsidP="003952F4">
            <w:pPr>
              <w:pStyle w:val="TableText"/>
            </w:pPr>
            <w:r w:rsidRPr="000F44A1">
              <w:t>CVS Testing</w:t>
            </w:r>
            <w:r>
              <w:t>/Amniocentesis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7E18D8A4" w14:textId="1CA60E89" w:rsidR="003952F4" w:rsidRPr="00EC16C4" w:rsidRDefault="003952F4" w:rsidP="00D60748">
            <w:pPr>
              <w:pStyle w:val="TableText"/>
              <w:jc w:val="right"/>
            </w:pPr>
            <w:r w:rsidRPr="00B72510">
              <w:t>$2,010.31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A3C008B" w14:textId="29886B96" w:rsidR="003952F4" w:rsidRPr="00EC16C4" w:rsidRDefault="003952F4" w:rsidP="00D60748">
            <w:pPr>
              <w:pStyle w:val="TableText"/>
              <w:jc w:val="right"/>
            </w:pPr>
            <w:r w:rsidRPr="00B72510">
              <w:t>$1,971.10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AED9CCE" w14:textId="71941219" w:rsidR="003952F4" w:rsidRPr="00EC16C4" w:rsidRDefault="003952F4" w:rsidP="00D60748">
            <w:pPr>
              <w:pStyle w:val="TableText"/>
              <w:jc w:val="right"/>
            </w:pPr>
            <w:r w:rsidRPr="00B72510">
              <w:t>$1,931.90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8A5492D" w14:textId="58873EE8" w:rsidR="003952F4" w:rsidRPr="00EC16C4" w:rsidRDefault="003952F4" w:rsidP="00D60748">
            <w:pPr>
              <w:pStyle w:val="TableText"/>
              <w:jc w:val="right"/>
            </w:pPr>
            <w:r w:rsidRPr="00B72510">
              <w:t>$1,892.69</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7F521FB" w14:textId="57852937" w:rsidR="003952F4" w:rsidRPr="00EC16C4" w:rsidRDefault="003952F4" w:rsidP="00D60748">
            <w:pPr>
              <w:pStyle w:val="TableText"/>
              <w:jc w:val="right"/>
            </w:pPr>
            <w:r w:rsidRPr="00B72510">
              <w:t>$1,854.65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22583D4" w14:textId="2A8B0224" w:rsidR="003952F4" w:rsidRPr="00EC16C4" w:rsidRDefault="003952F4" w:rsidP="00D60748">
            <w:pPr>
              <w:pStyle w:val="TableText"/>
              <w:jc w:val="right"/>
            </w:pPr>
            <w:r w:rsidRPr="00B72510">
              <w:t>$1,816.60</w:t>
            </w:r>
          </w:p>
        </w:tc>
      </w:tr>
      <w:tr w:rsidR="003952F4" w:rsidRPr="00D30599" w14:paraId="5DE79835"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2E685A97" w14:textId="77777777" w:rsidR="003952F4" w:rsidRPr="000F44A1" w:rsidRDefault="003952F4" w:rsidP="003952F4">
            <w:pPr>
              <w:pStyle w:val="TableText"/>
            </w:pPr>
            <w:r w:rsidRPr="000F44A1">
              <w:t>Genetic Counselling</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74682A5E" w14:textId="31DDECC8" w:rsidR="003952F4" w:rsidRPr="00EC16C4" w:rsidRDefault="003952F4" w:rsidP="00D60748">
            <w:pPr>
              <w:pStyle w:val="TableText"/>
              <w:jc w:val="right"/>
            </w:pPr>
            <w:r w:rsidRPr="00B72510">
              <w:t>$1,064.85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B2E5E58" w14:textId="29D175FF" w:rsidR="003952F4" w:rsidRPr="00EC16C4" w:rsidRDefault="003952F4" w:rsidP="00D60748">
            <w:pPr>
              <w:pStyle w:val="TableText"/>
              <w:jc w:val="right"/>
            </w:pPr>
            <w:r w:rsidRPr="00B72510">
              <w:t>$1,043.86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CE63C19" w14:textId="63A87A19" w:rsidR="003952F4" w:rsidRPr="00EC16C4" w:rsidRDefault="003952F4" w:rsidP="00D60748">
            <w:pPr>
              <w:pStyle w:val="TableText"/>
              <w:jc w:val="right"/>
            </w:pPr>
            <w:r w:rsidRPr="00B72510">
              <w:t>$1,022.87</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79C54A9" w14:textId="5160EF57" w:rsidR="003952F4" w:rsidRPr="00EC16C4" w:rsidRDefault="003952F4" w:rsidP="00D60748">
            <w:pPr>
              <w:pStyle w:val="TableText"/>
              <w:jc w:val="right"/>
            </w:pPr>
            <w:r w:rsidRPr="00B72510">
              <w:t>$1,001.88</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368BF78" w14:textId="0ECAC9C8" w:rsidR="003952F4" w:rsidRPr="00EC16C4" w:rsidRDefault="003952F4" w:rsidP="00D60748">
            <w:pPr>
              <w:pStyle w:val="TableText"/>
              <w:jc w:val="right"/>
            </w:pPr>
            <w:r w:rsidRPr="00B72510">
              <w:t>$981.51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48643E5" w14:textId="14ABA3B9" w:rsidR="003952F4" w:rsidRPr="00EC16C4" w:rsidRDefault="003952F4" w:rsidP="00D60748">
            <w:pPr>
              <w:pStyle w:val="TableText"/>
              <w:jc w:val="right"/>
            </w:pPr>
            <w:r w:rsidRPr="00B72510">
              <w:t>$961.15</w:t>
            </w:r>
          </w:p>
        </w:tc>
      </w:tr>
      <w:tr w:rsidR="003952F4" w:rsidRPr="00D30599" w14:paraId="75A16C59"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18C71860" w14:textId="2A9A08EA" w:rsidR="003952F4" w:rsidRPr="000F44A1" w:rsidRDefault="003952F4" w:rsidP="003952F4">
            <w:pPr>
              <w:pStyle w:val="TableText"/>
            </w:pPr>
            <w:r w:rsidRPr="000F44A1">
              <w:t xml:space="preserve">IVF </w:t>
            </w:r>
            <w:r>
              <w:t>&amp; PGD</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28FEDCAA" w14:textId="17B4AE2D" w:rsidR="003952F4" w:rsidRPr="00EC16C4" w:rsidRDefault="003952F4" w:rsidP="00D60748">
            <w:pPr>
              <w:pStyle w:val="TableText"/>
              <w:jc w:val="right"/>
            </w:pPr>
            <w:r w:rsidRPr="00B72510">
              <w:t>$43,490.39</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4642BAA" w14:textId="098AB025" w:rsidR="003952F4" w:rsidRPr="00EC16C4" w:rsidRDefault="003952F4" w:rsidP="00D60748">
            <w:pPr>
              <w:pStyle w:val="TableText"/>
              <w:jc w:val="right"/>
            </w:pPr>
            <w:r w:rsidRPr="00B72510">
              <w:t>$42,625.35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21EC04A8" w14:textId="28942CF9" w:rsidR="003952F4" w:rsidRPr="00EC16C4" w:rsidRDefault="003952F4" w:rsidP="00D60748">
            <w:pPr>
              <w:pStyle w:val="TableText"/>
              <w:jc w:val="right"/>
            </w:pPr>
            <w:r w:rsidRPr="00B72510">
              <w:t>$41,760.31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67B6A15" w14:textId="578E0267" w:rsidR="003952F4" w:rsidRPr="00EC16C4" w:rsidRDefault="003952F4" w:rsidP="00D60748">
            <w:pPr>
              <w:pStyle w:val="TableText"/>
              <w:jc w:val="right"/>
            </w:pPr>
            <w:r w:rsidRPr="00B72510">
              <w:t>$40,895.27</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7A1ABA6" w14:textId="7DFF213A" w:rsidR="003952F4" w:rsidRPr="00EC16C4" w:rsidRDefault="003952F4" w:rsidP="00D60748">
            <w:pPr>
              <w:pStyle w:val="TableText"/>
              <w:jc w:val="right"/>
            </w:pPr>
            <w:r w:rsidRPr="00B72510">
              <w:t>$40,055.87</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043019C" w14:textId="3FAA98EB" w:rsidR="003952F4" w:rsidRPr="00EC16C4" w:rsidRDefault="003952F4" w:rsidP="00D60748">
            <w:pPr>
              <w:pStyle w:val="TableText"/>
              <w:jc w:val="right"/>
            </w:pPr>
            <w:r w:rsidRPr="00B72510">
              <w:t>$39,216.47</w:t>
            </w:r>
          </w:p>
        </w:tc>
      </w:tr>
      <w:tr w:rsidR="003952F4" w:rsidRPr="00D30599" w14:paraId="7FBF0982"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4CC698C1" w14:textId="331CEC11" w:rsidR="003952F4" w:rsidRPr="000F44A1" w:rsidRDefault="003952F4" w:rsidP="003952F4">
            <w:pPr>
              <w:pStyle w:val="TableText"/>
            </w:pPr>
            <w:r>
              <w:lastRenderedPageBreak/>
              <w:t>Condition-specific treatment costs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79DEF8DB" w14:textId="0EB94A1D" w:rsidR="003952F4" w:rsidRPr="00EC16C4" w:rsidRDefault="003952F4" w:rsidP="00D60748">
            <w:pPr>
              <w:pStyle w:val="TableText"/>
              <w:jc w:val="right"/>
            </w:pPr>
            <w:r w:rsidRPr="00B72510">
              <w:t>$895.06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9FDD41A" w14:textId="755CECBC" w:rsidR="003952F4" w:rsidRPr="00EC16C4" w:rsidRDefault="003952F4" w:rsidP="00D60748">
            <w:pPr>
              <w:pStyle w:val="TableText"/>
              <w:jc w:val="right"/>
            </w:pPr>
            <w:r w:rsidRPr="00B72510">
              <w:t>$877.59</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9BEF50A" w14:textId="08F2DCF7" w:rsidR="003952F4" w:rsidRPr="00EC16C4" w:rsidRDefault="003952F4" w:rsidP="00D60748">
            <w:pPr>
              <w:pStyle w:val="TableText"/>
              <w:jc w:val="right"/>
            </w:pPr>
            <w:r w:rsidRPr="00B72510">
              <w:t>$860.11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DCB4365" w14:textId="68139C29" w:rsidR="003952F4" w:rsidRPr="00EC16C4" w:rsidRDefault="003952F4" w:rsidP="00D60748">
            <w:pPr>
              <w:pStyle w:val="TableText"/>
              <w:jc w:val="right"/>
            </w:pPr>
            <w:r w:rsidRPr="00B72510">
              <w:t>$842.64</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9E54D77" w14:textId="535AC615" w:rsidR="003952F4" w:rsidRPr="00EC16C4" w:rsidRDefault="003952F4" w:rsidP="00D60748">
            <w:pPr>
              <w:pStyle w:val="TableText"/>
              <w:jc w:val="right"/>
            </w:pPr>
            <w:r w:rsidRPr="00B72510">
              <w:t>$825.68</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CD9848E" w14:textId="5C6DF0C3" w:rsidR="003952F4" w:rsidRPr="00EC16C4" w:rsidRDefault="003952F4" w:rsidP="00D60748">
            <w:pPr>
              <w:pStyle w:val="TableText"/>
              <w:jc w:val="right"/>
            </w:pPr>
            <w:r w:rsidRPr="00B72510">
              <w:t>$808.72</w:t>
            </w:r>
          </w:p>
        </w:tc>
      </w:tr>
      <w:tr w:rsidR="00D65CEF" w:rsidRPr="00D30599" w14:paraId="671BAF2A"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3399F70E" w14:textId="2A7A759F" w:rsidR="00D65CEF" w:rsidRPr="000F44A1" w:rsidRDefault="00D65CEF" w:rsidP="00D65CEF">
            <w:pPr>
              <w:pStyle w:val="TableText"/>
            </w:pPr>
            <w:r>
              <w:t>Combined cost of carrier testing (associated MBS costs)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34A79BDE" w14:textId="5ACD48CF" w:rsidR="00D65CEF" w:rsidRPr="00EC16C4" w:rsidRDefault="00D65CEF" w:rsidP="00D60748">
            <w:pPr>
              <w:pStyle w:val="TableText"/>
              <w:jc w:val="right"/>
            </w:pPr>
            <w:r w:rsidRPr="003D6646">
              <w:t>$47,460.61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1D136DF1" w14:textId="106F1D4C" w:rsidR="00D65CEF" w:rsidRPr="00EC16C4" w:rsidRDefault="00D65CEF" w:rsidP="00D60748">
            <w:pPr>
              <w:pStyle w:val="TableText"/>
              <w:jc w:val="right"/>
            </w:pPr>
            <w:r w:rsidRPr="003D6646">
              <w:t>$46,517.91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D6D654F" w14:textId="11C395E6" w:rsidR="00D65CEF" w:rsidRPr="00EC16C4" w:rsidRDefault="00D65CEF" w:rsidP="00D60748">
            <w:pPr>
              <w:pStyle w:val="TableText"/>
              <w:jc w:val="right"/>
            </w:pPr>
            <w:r w:rsidRPr="003D6646">
              <w:t>$45,575.20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8D4485D" w14:textId="175A4F41" w:rsidR="00D65CEF" w:rsidRPr="00EC16C4" w:rsidRDefault="00D65CEF" w:rsidP="00D60748">
            <w:pPr>
              <w:pStyle w:val="TableText"/>
              <w:jc w:val="right"/>
            </w:pPr>
            <w:r w:rsidRPr="003D6646">
              <w:t>$44,632.49</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2E8E842" w14:textId="7E9F3B03" w:rsidR="00D65CEF" w:rsidRPr="00EC16C4" w:rsidRDefault="00D65CEF" w:rsidP="00D60748">
            <w:pPr>
              <w:pStyle w:val="TableText"/>
              <w:jc w:val="right"/>
            </w:pPr>
            <w:r w:rsidRPr="003D6646">
              <w:t>$43,717.72</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C2308F6" w14:textId="3DA7F074" w:rsidR="00D65CEF" w:rsidRPr="00EC16C4" w:rsidRDefault="00D65CEF" w:rsidP="00D60748">
            <w:pPr>
              <w:pStyle w:val="TableText"/>
              <w:jc w:val="right"/>
            </w:pPr>
            <w:r w:rsidRPr="003D6646">
              <w:t>$42,802.94</w:t>
            </w:r>
          </w:p>
        </w:tc>
      </w:tr>
      <w:tr w:rsidR="003952F4" w:rsidRPr="00D30599" w14:paraId="1E76E6B1"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2C1BCA62" w14:textId="3DEC67A4" w:rsidR="003952F4" w:rsidRPr="005D73E0" w:rsidRDefault="003952F4" w:rsidP="003952F4">
            <w:pPr>
              <w:spacing w:before="0"/>
              <w:rPr>
                <w:rFonts w:ascii="Arial Narrow" w:hAnsi="Arial Narrow"/>
              </w:rPr>
            </w:pPr>
            <w:r w:rsidRPr="005D73E0">
              <w:rPr>
                <w:rFonts w:ascii="Arial Narrow" w:hAnsi="Arial Narrow"/>
              </w:rPr>
              <w:t xml:space="preserve">Combined Cost of </w:t>
            </w:r>
            <w:r>
              <w:rPr>
                <w:rFonts w:ascii="Arial Narrow" w:hAnsi="Arial Narrow"/>
              </w:rPr>
              <w:t>Carrier</w:t>
            </w:r>
            <w:r w:rsidRPr="005D73E0">
              <w:rPr>
                <w:rFonts w:ascii="Arial Narrow" w:hAnsi="Arial Narrow"/>
              </w:rPr>
              <w:t xml:space="preserve"> Testing</w:t>
            </w:r>
            <w:r>
              <w:rPr>
                <w:rFonts w:ascii="Arial Narrow" w:hAnsi="Arial Narrow"/>
              </w:rPr>
              <w:t xml:space="preserve"> (MBS and associated MBS costs)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412FC933" w14:textId="159A1EFB" w:rsidR="003952F4" w:rsidRPr="000F44A1" w:rsidRDefault="003952F4" w:rsidP="00D60748">
            <w:pPr>
              <w:pStyle w:val="TableText"/>
              <w:jc w:val="right"/>
            </w:pPr>
            <w:r>
              <w:rPr>
                <w:rFonts w:cs="Calibri"/>
                <w:color w:val="000000"/>
              </w:rPr>
              <w:t>$223,058.26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1467AD3" w14:textId="54A3372F" w:rsidR="003952F4" w:rsidRPr="000F44A1" w:rsidRDefault="003952F4" w:rsidP="00D60748">
            <w:pPr>
              <w:pStyle w:val="TableText"/>
              <w:jc w:val="right"/>
            </w:pPr>
            <w:r>
              <w:rPr>
                <w:rFonts w:cs="Calibri"/>
                <w:color w:val="000000"/>
              </w:rPr>
              <w:t>$218,654.25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7E2CD90" w14:textId="1488E22A" w:rsidR="003952F4" w:rsidRPr="000F44A1" w:rsidRDefault="003952F4" w:rsidP="00D60748">
            <w:pPr>
              <w:pStyle w:val="TableText"/>
              <w:jc w:val="right"/>
            </w:pPr>
            <w:r>
              <w:rPr>
                <w:rFonts w:cs="Calibri"/>
                <w:color w:val="000000"/>
              </w:rPr>
              <w:t>$214,250.23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2F4F026" w14:textId="625921CC" w:rsidR="003952F4" w:rsidRPr="000F44A1" w:rsidRDefault="003952F4" w:rsidP="00D60748">
            <w:pPr>
              <w:pStyle w:val="TableText"/>
              <w:jc w:val="right"/>
            </w:pPr>
            <w:r>
              <w:rPr>
                <w:rFonts w:cs="Calibri"/>
                <w:color w:val="000000"/>
              </w:rPr>
              <w:t>$209,846.22</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9AD8553" w14:textId="10728653" w:rsidR="003952F4" w:rsidRPr="000F44A1" w:rsidRDefault="003952F4" w:rsidP="00D60748">
            <w:pPr>
              <w:pStyle w:val="TableText"/>
              <w:jc w:val="right"/>
            </w:pPr>
            <w:r>
              <w:rPr>
                <w:rFonts w:cs="Calibri"/>
                <w:color w:val="000000"/>
              </w:rPr>
              <w:t>$205,585.58</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0E07860" w14:textId="1497D142" w:rsidR="003952F4" w:rsidRPr="000F44A1" w:rsidRDefault="003952F4" w:rsidP="00D60748">
            <w:pPr>
              <w:pStyle w:val="TableText"/>
              <w:jc w:val="right"/>
            </w:pPr>
            <w:r>
              <w:rPr>
                <w:rFonts w:cs="Calibri"/>
                <w:color w:val="000000"/>
              </w:rPr>
              <w:t>$201,324.94</w:t>
            </w:r>
          </w:p>
        </w:tc>
      </w:tr>
      <w:tr w:rsidR="003952F4" w:rsidRPr="00D30599" w14:paraId="3EC8C54B" w14:textId="77777777" w:rsidTr="003D6646">
        <w:trPr>
          <w:cantSplit/>
        </w:trPr>
        <w:tc>
          <w:tcPr>
            <w:tcW w:w="9556" w:type="dxa"/>
            <w:gridSpan w:val="8"/>
            <w:tcBorders>
              <w:top w:val="single" w:sz="4" w:space="0" w:color="auto"/>
              <w:bottom w:val="single" w:sz="4" w:space="0" w:color="auto"/>
            </w:tcBorders>
            <w:tcMar>
              <w:top w:w="0" w:type="dxa"/>
              <w:left w:w="108" w:type="dxa"/>
              <w:bottom w:w="0" w:type="dxa"/>
              <w:right w:w="108" w:type="dxa"/>
            </w:tcMar>
          </w:tcPr>
          <w:p w14:paraId="26FC795E" w14:textId="78FAE813" w:rsidR="003952F4" w:rsidRPr="00EB0436" w:rsidRDefault="003952F4" w:rsidP="003D6646">
            <w:pPr>
              <w:pStyle w:val="TableText"/>
              <w:keepNext/>
              <w:rPr>
                <w:b/>
                <w:bCs/>
              </w:rPr>
            </w:pPr>
            <w:r w:rsidRPr="00EB0436">
              <w:rPr>
                <w:b/>
                <w:bCs/>
              </w:rPr>
              <w:t>Associated MBS costs – CF/SMA/FXS testing</w:t>
            </w:r>
          </w:p>
        </w:tc>
      </w:tr>
      <w:tr w:rsidR="00810CC8" w:rsidRPr="00D30599" w14:paraId="690D8B0E"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3745A64A" w14:textId="244F29F5" w:rsidR="00810CC8" w:rsidRPr="000F44A1" w:rsidRDefault="00810CC8" w:rsidP="00810CC8">
            <w:pPr>
              <w:pStyle w:val="TableText"/>
              <w:keepNext/>
            </w:pPr>
            <w:r w:rsidRPr="000F44A1">
              <w:t>CVS Testing</w:t>
            </w:r>
            <w:r>
              <w:t>/Amniocentesis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060928C6" w14:textId="4C32C870" w:rsidR="00810CC8" w:rsidRPr="00EC16C4" w:rsidRDefault="00810CC8" w:rsidP="00D60748">
            <w:pPr>
              <w:pStyle w:val="TableText"/>
              <w:keepN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286DD6C6" w14:textId="53404C2D" w:rsidR="00810CC8" w:rsidRPr="00EC16C4" w:rsidRDefault="00810CC8" w:rsidP="00D60748">
            <w:pPr>
              <w:pStyle w:val="TableText"/>
              <w:keepN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tcPr>
          <w:p w14:paraId="18D52F2B" w14:textId="64B72BDE" w:rsidR="00810CC8" w:rsidRPr="00EC16C4" w:rsidRDefault="00810CC8" w:rsidP="00D60748">
            <w:pPr>
              <w:pStyle w:val="TableText"/>
              <w:keepNext/>
              <w:jc w:val="right"/>
            </w:pPr>
            <w:r w:rsidRPr="00FA6437">
              <w:t xml:space="preserve"> $321.30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57F31CE" w14:textId="011A0560" w:rsidR="00810CC8" w:rsidRPr="00EC16C4" w:rsidRDefault="00810CC8" w:rsidP="00D60748">
            <w:pPr>
              <w:pStyle w:val="TableText"/>
              <w:keepNext/>
              <w:jc w:val="right"/>
            </w:pPr>
            <w:r w:rsidRPr="00B72510">
              <w:t>$472.16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BA6739E" w14:textId="5E4CD464" w:rsidR="00810CC8" w:rsidRPr="00EC16C4" w:rsidRDefault="00810CC8" w:rsidP="00D60748">
            <w:pPr>
              <w:pStyle w:val="TableText"/>
              <w:keepNext/>
              <w:jc w:val="right"/>
            </w:pPr>
            <w:r w:rsidRPr="00B72510">
              <w:t>$462.73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BAE4EAF" w14:textId="447CFA16" w:rsidR="00810CC8" w:rsidRPr="00EC16C4" w:rsidRDefault="00810CC8" w:rsidP="00D60748">
            <w:pPr>
              <w:pStyle w:val="TableText"/>
              <w:keepNext/>
              <w:jc w:val="right"/>
            </w:pPr>
            <w:r w:rsidRPr="00B72510">
              <w:t>$453.29</w:t>
            </w:r>
          </w:p>
        </w:tc>
      </w:tr>
      <w:tr w:rsidR="00810CC8" w:rsidRPr="00D30599" w14:paraId="6F49D4BB"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479C7F1D" w14:textId="77777777" w:rsidR="00810CC8" w:rsidRPr="000F44A1" w:rsidRDefault="00810CC8" w:rsidP="00810CC8">
            <w:pPr>
              <w:pStyle w:val="TableText"/>
              <w:keepNext/>
            </w:pPr>
            <w:r w:rsidRPr="000F44A1">
              <w:t>Genetic Counselling</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59C54C02" w14:textId="621AD576" w:rsidR="00810CC8" w:rsidRPr="00EC16C4" w:rsidRDefault="00810CC8" w:rsidP="00D60748">
            <w:pPr>
              <w:pStyle w:val="TableText"/>
              <w:keepN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101C5B7" w14:textId="3A7C0CB3" w:rsidR="00810CC8" w:rsidRPr="00EC16C4" w:rsidRDefault="00810CC8" w:rsidP="00D60748">
            <w:pPr>
              <w:pStyle w:val="TableText"/>
              <w:keepN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tcPr>
          <w:p w14:paraId="3C0AC0EB" w14:textId="43FFFA08" w:rsidR="00810CC8" w:rsidRPr="00EC16C4" w:rsidRDefault="00810CC8" w:rsidP="00D60748">
            <w:pPr>
              <w:pStyle w:val="TableText"/>
              <w:keepNext/>
              <w:jc w:val="right"/>
            </w:pPr>
            <w:r w:rsidRPr="00FA6437">
              <w:t xml:space="preserve"> $162.60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397BD22" w14:textId="292C0B05" w:rsidR="00810CC8" w:rsidRPr="00EC16C4" w:rsidRDefault="00810CC8" w:rsidP="00D60748">
            <w:pPr>
              <w:pStyle w:val="TableText"/>
              <w:keepNext/>
              <w:jc w:val="right"/>
            </w:pPr>
            <w:r w:rsidRPr="00B72510">
              <w:t>$238.89</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F3F8469" w14:textId="19AF9091" w:rsidR="00810CC8" w:rsidRPr="00EC16C4" w:rsidRDefault="00810CC8" w:rsidP="00D60748">
            <w:pPr>
              <w:pStyle w:val="TableText"/>
              <w:keepNext/>
              <w:jc w:val="right"/>
            </w:pPr>
            <w:r w:rsidRPr="00B72510">
              <w:t>$234.07</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2C79FC9" w14:textId="7F49C4AB" w:rsidR="00810CC8" w:rsidRPr="00EC16C4" w:rsidRDefault="00810CC8" w:rsidP="00D60748">
            <w:pPr>
              <w:pStyle w:val="TableText"/>
              <w:keepNext/>
              <w:jc w:val="right"/>
            </w:pPr>
            <w:r w:rsidRPr="00B72510">
              <w:t>$229.24</w:t>
            </w:r>
          </w:p>
        </w:tc>
      </w:tr>
      <w:tr w:rsidR="00810CC8" w:rsidRPr="00D30599" w14:paraId="430A9ECB"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7E730DBB" w14:textId="60D29E76" w:rsidR="00810CC8" w:rsidRPr="000F44A1" w:rsidRDefault="00810CC8" w:rsidP="00810CC8">
            <w:pPr>
              <w:pStyle w:val="TableText"/>
            </w:pPr>
            <w:r w:rsidRPr="000F44A1">
              <w:t xml:space="preserve">IVF </w:t>
            </w:r>
            <w:r>
              <w:t>&amp; PGD</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1EE2AC42" w14:textId="4E27D7ED" w:rsidR="00810CC8" w:rsidRPr="00EC16C4"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8F7140C" w14:textId="699382D3" w:rsidR="00810CC8" w:rsidRPr="00EC16C4" w:rsidRDefault="00810CC8" w:rsidP="00D60748">
            <w:pPr>
              <w:pStyle w:val="TableText"/>
              <w:jc w:val="right"/>
            </w:pPr>
            <w:r w:rsidRPr="003D6646">
              <w:t>$0.00</w:t>
            </w:r>
          </w:p>
        </w:tc>
        <w:tc>
          <w:tcPr>
            <w:tcW w:w="1204" w:type="dxa"/>
            <w:tcBorders>
              <w:top w:val="single" w:sz="4" w:space="0" w:color="auto"/>
              <w:bottom w:val="single" w:sz="4" w:space="0" w:color="auto"/>
            </w:tcBorders>
            <w:tcMar>
              <w:top w:w="0" w:type="dxa"/>
              <w:left w:w="108" w:type="dxa"/>
              <w:bottom w:w="0" w:type="dxa"/>
              <w:right w:w="108" w:type="dxa"/>
            </w:tcMar>
          </w:tcPr>
          <w:p w14:paraId="39C919C7" w14:textId="5B0ECFC9" w:rsidR="00810CC8" w:rsidRPr="00EC16C4" w:rsidRDefault="00810CC8" w:rsidP="00D60748">
            <w:pPr>
              <w:pStyle w:val="TableText"/>
              <w:jc w:val="right"/>
            </w:pPr>
            <w:r w:rsidRPr="00FA6437">
              <w:t xml:space="preserve"> $5,483.06 </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72EEC639" w14:textId="6659D887" w:rsidR="00810CC8" w:rsidRPr="00EC16C4" w:rsidRDefault="00810CC8" w:rsidP="00D60748">
            <w:pPr>
              <w:pStyle w:val="TableText"/>
              <w:jc w:val="right"/>
            </w:pPr>
            <w:r w:rsidRPr="00B72510">
              <w:t>$8,054.23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D377E3B" w14:textId="1FD4B02D" w:rsidR="00810CC8" w:rsidRPr="00EC16C4" w:rsidRDefault="00810CC8" w:rsidP="00D60748">
            <w:pPr>
              <w:pStyle w:val="TableText"/>
              <w:jc w:val="right"/>
            </w:pPr>
            <w:r w:rsidRPr="00B72510">
              <w:t>$7,889.86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4F26B48" w14:textId="3D776EDD" w:rsidR="00810CC8" w:rsidRPr="00EC16C4" w:rsidRDefault="00810CC8" w:rsidP="00D60748">
            <w:pPr>
              <w:pStyle w:val="TableText"/>
              <w:jc w:val="right"/>
            </w:pPr>
            <w:r w:rsidRPr="00B72510">
              <w:t>$7,725.50</w:t>
            </w:r>
          </w:p>
        </w:tc>
      </w:tr>
      <w:tr w:rsidR="00E671C3" w:rsidRPr="00D30599" w14:paraId="1EBCBFAF"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097AB255" w14:textId="0B15F0BC" w:rsidR="00E671C3" w:rsidRPr="000F44A1" w:rsidRDefault="00E671C3" w:rsidP="00E671C3">
            <w:pPr>
              <w:pStyle w:val="TableText"/>
            </w:pPr>
            <w:r>
              <w:t>Condition-specific treatment costs</w:t>
            </w:r>
          </w:p>
        </w:tc>
        <w:tc>
          <w:tcPr>
            <w:tcW w:w="1204" w:type="dxa"/>
            <w:gridSpan w:val="2"/>
            <w:tcBorders>
              <w:top w:val="single" w:sz="4" w:space="0" w:color="auto"/>
              <w:bottom w:val="single" w:sz="4" w:space="0" w:color="auto"/>
            </w:tcBorders>
            <w:tcMar>
              <w:top w:w="0" w:type="dxa"/>
              <w:left w:w="108" w:type="dxa"/>
              <w:bottom w:w="0" w:type="dxa"/>
              <w:right w:w="108" w:type="dxa"/>
            </w:tcMar>
          </w:tcPr>
          <w:p w14:paraId="43181F86" w14:textId="62464AE1" w:rsidR="00E671C3" w:rsidRPr="00EC16C4" w:rsidRDefault="00E671C3" w:rsidP="00D60748">
            <w:pPr>
              <w:pStyle w:val="TableText"/>
              <w:jc w:val="right"/>
            </w:pPr>
            <w:r w:rsidRPr="00507FF0">
              <w:t>$2,139.38</w:t>
            </w:r>
          </w:p>
        </w:tc>
        <w:tc>
          <w:tcPr>
            <w:tcW w:w="1204" w:type="dxa"/>
            <w:tcBorders>
              <w:top w:val="single" w:sz="4" w:space="0" w:color="auto"/>
              <w:bottom w:val="single" w:sz="4" w:space="0" w:color="auto"/>
            </w:tcBorders>
            <w:tcMar>
              <w:top w:w="0" w:type="dxa"/>
              <w:left w:w="108" w:type="dxa"/>
              <w:bottom w:w="0" w:type="dxa"/>
              <w:right w:w="108" w:type="dxa"/>
            </w:tcMar>
          </w:tcPr>
          <w:p w14:paraId="0F7E3DCF" w14:textId="3DB3730E" w:rsidR="00E671C3" w:rsidRPr="00EC16C4" w:rsidRDefault="00E671C3" w:rsidP="00D60748">
            <w:pPr>
              <w:pStyle w:val="TableText"/>
              <w:jc w:val="right"/>
            </w:pPr>
            <w:r w:rsidRPr="00507FF0">
              <w:t>$2,097.21</w:t>
            </w:r>
          </w:p>
        </w:tc>
        <w:tc>
          <w:tcPr>
            <w:tcW w:w="1204" w:type="dxa"/>
            <w:tcBorders>
              <w:top w:val="single" w:sz="4" w:space="0" w:color="auto"/>
              <w:bottom w:val="single" w:sz="4" w:space="0" w:color="auto"/>
            </w:tcBorders>
            <w:tcMar>
              <w:top w:w="0" w:type="dxa"/>
              <w:left w:w="108" w:type="dxa"/>
              <w:bottom w:w="0" w:type="dxa"/>
              <w:right w:w="108" w:type="dxa"/>
            </w:tcMar>
          </w:tcPr>
          <w:p w14:paraId="7915F7C7" w14:textId="2851A758" w:rsidR="00E671C3" w:rsidRPr="00EC16C4" w:rsidRDefault="00E671C3" w:rsidP="00D60748">
            <w:pPr>
              <w:pStyle w:val="TableText"/>
              <w:jc w:val="right"/>
            </w:pPr>
            <w:r w:rsidRPr="00FA6437">
              <w:t>$1,937.83</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ACF755E" w14:textId="4459732A" w:rsidR="00E671C3" w:rsidRPr="00EC16C4" w:rsidRDefault="00E671C3" w:rsidP="00D60748">
            <w:pPr>
              <w:pStyle w:val="TableText"/>
              <w:jc w:val="right"/>
            </w:pPr>
            <w:r w:rsidRPr="00B72510">
              <w:t>$1,840.66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3D67C86" w14:textId="36A3F311" w:rsidR="00E671C3" w:rsidRPr="00EC16C4" w:rsidRDefault="00E671C3" w:rsidP="00D60748">
            <w:pPr>
              <w:pStyle w:val="TableText"/>
              <w:jc w:val="right"/>
            </w:pPr>
            <w:r w:rsidRPr="00B72510">
              <w:t>$1,803.25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67417AB" w14:textId="4AB0A0BA" w:rsidR="00E671C3" w:rsidRPr="00EC16C4" w:rsidRDefault="00E671C3" w:rsidP="00D60748">
            <w:pPr>
              <w:pStyle w:val="TableText"/>
              <w:jc w:val="right"/>
            </w:pPr>
            <w:r w:rsidRPr="00B72510">
              <w:t>$1,765.84</w:t>
            </w:r>
          </w:p>
        </w:tc>
      </w:tr>
      <w:tr w:rsidR="00BC3792" w:rsidRPr="00D30599" w14:paraId="64AB20C3"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4A1257C4" w14:textId="66DF6FB1" w:rsidR="00BC3792" w:rsidRPr="000F44A1" w:rsidRDefault="00BC3792" w:rsidP="00BC3792">
            <w:pPr>
              <w:pStyle w:val="TableText"/>
            </w:pPr>
            <w:r>
              <w:t>Combined cost of CF/SMA/FXS testing (associated MBS costs)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3CBDE713" w14:textId="6EC07079" w:rsidR="00BC3792" w:rsidRPr="00EC16C4" w:rsidRDefault="00BC3792" w:rsidP="00D60748">
            <w:pPr>
              <w:pStyle w:val="TableText"/>
              <w:jc w:val="right"/>
            </w:pPr>
            <w:r w:rsidRPr="003D6646">
              <w:t>$2,139.38</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5C569AD1" w14:textId="67A7C618" w:rsidR="00BC3792" w:rsidRPr="00EC16C4" w:rsidRDefault="00BC3792" w:rsidP="00D60748">
            <w:pPr>
              <w:pStyle w:val="TableText"/>
              <w:jc w:val="right"/>
            </w:pPr>
            <w:r w:rsidRPr="003D6646">
              <w:t>$2,097.21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17E38BE" w14:textId="2A67758A" w:rsidR="00BC3792" w:rsidRPr="00EC16C4" w:rsidRDefault="00BC3792" w:rsidP="00D60748">
            <w:pPr>
              <w:pStyle w:val="TableText"/>
              <w:jc w:val="right"/>
            </w:pPr>
            <w:r w:rsidRPr="003D6646">
              <w:t>$7,904.79</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2538B51" w14:textId="5E14FB69" w:rsidR="00BC3792" w:rsidRPr="00EC16C4" w:rsidRDefault="00BC3792" w:rsidP="00D60748">
            <w:pPr>
              <w:pStyle w:val="TableText"/>
              <w:jc w:val="right"/>
            </w:pPr>
            <w:r w:rsidRPr="003D6646">
              <w:t>$10,605.95</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3A148868" w14:textId="65FDC189" w:rsidR="00BC3792" w:rsidRPr="00EC16C4" w:rsidRDefault="00BC3792" w:rsidP="00D60748">
            <w:pPr>
              <w:pStyle w:val="TableText"/>
              <w:jc w:val="right"/>
            </w:pPr>
            <w:r w:rsidRPr="003D6646">
              <w:t>$10,389.91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40C1C4E3" w14:textId="52F68F2B" w:rsidR="00BC3792" w:rsidRPr="00EC16C4" w:rsidRDefault="00BC3792" w:rsidP="00D60748">
            <w:pPr>
              <w:pStyle w:val="TableText"/>
              <w:jc w:val="right"/>
            </w:pPr>
            <w:r w:rsidRPr="003D6646">
              <w:t>$10,173.87</w:t>
            </w:r>
          </w:p>
        </w:tc>
      </w:tr>
      <w:tr w:rsidR="007B276D" w:rsidRPr="00D30599" w14:paraId="48DB2DD4"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vAlign w:val="bottom"/>
          </w:tcPr>
          <w:p w14:paraId="1414D30D" w14:textId="34764BFB" w:rsidR="007B276D" w:rsidRPr="000F44A1" w:rsidRDefault="007B276D" w:rsidP="007B276D">
            <w:pPr>
              <w:pStyle w:val="TableText"/>
            </w:pPr>
            <w:r w:rsidRPr="005D73E0">
              <w:t xml:space="preserve">Combined Cost of </w:t>
            </w:r>
            <w:r>
              <w:t>CF/SMA/FXS testing (MBS and associated MBS costs)</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tcPr>
          <w:p w14:paraId="7DF15703" w14:textId="57DF3BC3" w:rsidR="007B276D" w:rsidRPr="00EC16C4" w:rsidRDefault="007B276D" w:rsidP="00D60748">
            <w:pPr>
              <w:pStyle w:val="TableText"/>
              <w:jc w:val="right"/>
            </w:pPr>
            <w:r w:rsidRPr="003D6646">
              <w:t>$2,139.38</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2EA3FE42" w14:textId="2A048B32" w:rsidR="007B276D" w:rsidRPr="00EC16C4" w:rsidRDefault="007B276D" w:rsidP="00D60748">
            <w:pPr>
              <w:pStyle w:val="TableText"/>
              <w:jc w:val="right"/>
            </w:pPr>
            <w:r w:rsidRPr="003D6646">
              <w:t>$2,097.21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45E00AB" w14:textId="0B5CD176" w:rsidR="007B276D" w:rsidRPr="00EC16C4" w:rsidRDefault="007B276D" w:rsidP="00D60748">
            <w:pPr>
              <w:pStyle w:val="TableText"/>
              <w:jc w:val="right"/>
            </w:pPr>
            <w:r w:rsidRPr="003D6646">
              <w:t>$64,516.91</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054C8009" w14:textId="02DC5C9C" w:rsidR="007B276D" w:rsidRPr="00EC16C4" w:rsidRDefault="007B276D" w:rsidP="00D60748">
            <w:pPr>
              <w:pStyle w:val="TableText"/>
              <w:jc w:val="right"/>
            </w:pPr>
            <w:r w:rsidRPr="003D6646">
              <w:t>$93,781.56</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62D87990" w14:textId="5AD97DC0" w:rsidR="007B276D" w:rsidRPr="00EC16C4" w:rsidRDefault="007B276D" w:rsidP="00D60748">
            <w:pPr>
              <w:pStyle w:val="TableText"/>
              <w:jc w:val="right"/>
            </w:pPr>
            <w:r w:rsidRPr="003D6646">
              <w:t>$91,884.34</w:t>
            </w:r>
          </w:p>
        </w:tc>
        <w:tc>
          <w:tcPr>
            <w:tcW w:w="1204" w:type="dxa"/>
            <w:tcBorders>
              <w:top w:val="single" w:sz="4" w:space="0" w:color="auto"/>
              <w:bottom w:val="single" w:sz="4" w:space="0" w:color="auto"/>
            </w:tcBorders>
            <w:tcMar>
              <w:top w:w="0" w:type="dxa"/>
              <w:left w:w="108" w:type="dxa"/>
              <w:bottom w:w="0" w:type="dxa"/>
              <w:right w:w="108" w:type="dxa"/>
            </w:tcMar>
            <w:vAlign w:val="center"/>
          </w:tcPr>
          <w:p w14:paraId="25BC6E2B" w14:textId="64BA079E" w:rsidR="007B276D" w:rsidRPr="00EC16C4" w:rsidRDefault="007B276D" w:rsidP="00D60748">
            <w:pPr>
              <w:pStyle w:val="TableText"/>
              <w:jc w:val="right"/>
            </w:pPr>
            <w:r w:rsidRPr="003D6646">
              <w:t>$89,987.12</w:t>
            </w:r>
          </w:p>
        </w:tc>
      </w:tr>
      <w:tr w:rsidR="003952F4" w:rsidRPr="00D30599" w14:paraId="543B3D15" w14:textId="77777777" w:rsidTr="003D6646">
        <w:trPr>
          <w:cantSplit/>
        </w:trPr>
        <w:tc>
          <w:tcPr>
            <w:tcW w:w="2332" w:type="dxa"/>
            <w:tcBorders>
              <w:top w:val="single" w:sz="4" w:space="0" w:color="auto"/>
              <w:bottom w:val="single" w:sz="4" w:space="0" w:color="auto"/>
              <w:right w:val="nil"/>
            </w:tcBorders>
            <w:tcMar>
              <w:top w:w="0" w:type="dxa"/>
              <w:left w:w="108" w:type="dxa"/>
              <w:bottom w:w="0" w:type="dxa"/>
              <w:right w:w="108" w:type="dxa"/>
            </w:tcMar>
          </w:tcPr>
          <w:p w14:paraId="4CDA74D0" w14:textId="77777777" w:rsidR="003952F4" w:rsidRPr="005B38B2" w:rsidRDefault="003952F4" w:rsidP="003952F4">
            <w:pPr>
              <w:pStyle w:val="TableText"/>
              <w:rPr>
                <w:b/>
                <w:bCs/>
              </w:rPr>
            </w:pPr>
            <w:r>
              <w:rPr>
                <w:b/>
                <w:bCs/>
              </w:rPr>
              <w:t>Difference in costs</w:t>
            </w:r>
          </w:p>
        </w:tc>
        <w:tc>
          <w:tcPr>
            <w:tcW w:w="1204" w:type="dxa"/>
            <w:gridSpan w:val="2"/>
            <w:tcBorders>
              <w:top w:val="single" w:sz="4" w:space="0" w:color="auto"/>
              <w:left w:val="nil"/>
              <w:bottom w:val="single" w:sz="4" w:space="0" w:color="auto"/>
              <w:right w:val="nil"/>
            </w:tcBorders>
            <w:tcMar>
              <w:top w:w="0" w:type="dxa"/>
              <w:left w:w="108" w:type="dxa"/>
              <w:bottom w:w="0" w:type="dxa"/>
              <w:right w:w="108" w:type="dxa"/>
            </w:tcMar>
          </w:tcPr>
          <w:p w14:paraId="73C03BD5" w14:textId="77777777" w:rsidR="003952F4" w:rsidRPr="00EC16C4" w:rsidRDefault="003952F4" w:rsidP="003952F4">
            <w:pPr>
              <w:pStyle w:val="TableText"/>
            </w:pPr>
          </w:p>
        </w:tc>
        <w:tc>
          <w:tcPr>
            <w:tcW w:w="1204" w:type="dxa"/>
            <w:tcBorders>
              <w:top w:val="single" w:sz="4" w:space="0" w:color="auto"/>
              <w:left w:val="nil"/>
              <w:bottom w:val="single" w:sz="4" w:space="0" w:color="auto"/>
              <w:right w:val="nil"/>
            </w:tcBorders>
            <w:tcMar>
              <w:top w:w="0" w:type="dxa"/>
              <w:left w:w="108" w:type="dxa"/>
              <w:bottom w:w="0" w:type="dxa"/>
              <w:right w:w="108" w:type="dxa"/>
            </w:tcMar>
          </w:tcPr>
          <w:p w14:paraId="30C44647" w14:textId="77777777" w:rsidR="003952F4" w:rsidRPr="00EC16C4" w:rsidRDefault="003952F4" w:rsidP="003952F4">
            <w:pPr>
              <w:pStyle w:val="TableText"/>
            </w:pPr>
          </w:p>
        </w:tc>
        <w:tc>
          <w:tcPr>
            <w:tcW w:w="1204" w:type="dxa"/>
            <w:tcBorders>
              <w:top w:val="single" w:sz="4" w:space="0" w:color="auto"/>
              <w:left w:val="nil"/>
              <w:bottom w:val="single" w:sz="4" w:space="0" w:color="auto"/>
              <w:right w:val="nil"/>
            </w:tcBorders>
            <w:tcMar>
              <w:top w:w="0" w:type="dxa"/>
              <w:left w:w="108" w:type="dxa"/>
              <w:bottom w:w="0" w:type="dxa"/>
              <w:right w:w="108" w:type="dxa"/>
            </w:tcMar>
          </w:tcPr>
          <w:p w14:paraId="74C8DAD8" w14:textId="77777777" w:rsidR="003952F4" w:rsidRPr="00EC16C4" w:rsidRDefault="003952F4" w:rsidP="003952F4">
            <w:pPr>
              <w:pStyle w:val="TableText"/>
            </w:pPr>
          </w:p>
        </w:tc>
        <w:tc>
          <w:tcPr>
            <w:tcW w:w="1204" w:type="dxa"/>
            <w:tcBorders>
              <w:top w:val="single" w:sz="4" w:space="0" w:color="auto"/>
              <w:left w:val="nil"/>
              <w:bottom w:val="single" w:sz="4" w:space="0" w:color="auto"/>
              <w:right w:val="nil"/>
            </w:tcBorders>
            <w:tcMar>
              <w:top w:w="0" w:type="dxa"/>
              <w:left w:w="108" w:type="dxa"/>
              <w:bottom w:w="0" w:type="dxa"/>
              <w:right w:w="108" w:type="dxa"/>
            </w:tcMar>
          </w:tcPr>
          <w:p w14:paraId="5880947E" w14:textId="77777777" w:rsidR="003952F4" w:rsidRPr="00EC16C4" w:rsidRDefault="003952F4" w:rsidP="003952F4">
            <w:pPr>
              <w:pStyle w:val="TableText"/>
            </w:pPr>
          </w:p>
        </w:tc>
        <w:tc>
          <w:tcPr>
            <w:tcW w:w="1204" w:type="dxa"/>
            <w:tcBorders>
              <w:top w:val="single" w:sz="4" w:space="0" w:color="auto"/>
              <w:left w:val="nil"/>
              <w:bottom w:val="single" w:sz="4" w:space="0" w:color="auto"/>
              <w:right w:val="nil"/>
            </w:tcBorders>
            <w:tcMar>
              <w:top w:w="0" w:type="dxa"/>
              <w:left w:w="108" w:type="dxa"/>
              <w:bottom w:w="0" w:type="dxa"/>
              <w:right w:w="108" w:type="dxa"/>
            </w:tcMar>
          </w:tcPr>
          <w:p w14:paraId="57CD81B6" w14:textId="77777777" w:rsidR="003952F4" w:rsidRPr="00EC16C4" w:rsidRDefault="003952F4" w:rsidP="003952F4">
            <w:pPr>
              <w:pStyle w:val="TableText"/>
            </w:pPr>
          </w:p>
        </w:tc>
        <w:tc>
          <w:tcPr>
            <w:tcW w:w="1204" w:type="dxa"/>
            <w:tcBorders>
              <w:top w:val="single" w:sz="4" w:space="0" w:color="auto"/>
              <w:left w:val="nil"/>
              <w:bottom w:val="single" w:sz="4" w:space="0" w:color="auto"/>
            </w:tcBorders>
            <w:tcMar>
              <w:top w:w="0" w:type="dxa"/>
              <w:left w:w="108" w:type="dxa"/>
              <w:bottom w:w="0" w:type="dxa"/>
              <w:right w:w="108" w:type="dxa"/>
            </w:tcMar>
          </w:tcPr>
          <w:p w14:paraId="01F5F817" w14:textId="77777777" w:rsidR="003952F4" w:rsidRPr="00EC16C4" w:rsidRDefault="003952F4" w:rsidP="003952F4">
            <w:pPr>
              <w:pStyle w:val="TableText"/>
            </w:pPr>
          </w:p>
        </w:tc>
      </w:tr>
      <w:tr w:rsidR="007B276D" w:rsidRPr="00D30599" w14:paraId="64935AA2" w14:textId="77777777" w:rsidTr="00D60748">
        <w:trPr>
          <w:cantSplit/>
        </w:trPr>
        <w:tc>
          <w:tcPr>
            <w:tcW w:w="2332" w:type="dxa"/>
            <w:tcBorders>
              <w:top w:val="single" w:sz="4" w:space="0" w:color="auto"/>
              <w:bottom w:val="single" w:sz="4" w:space="0" w:color="auto"/>
            </w:tcBorders>
            <w:tcMar>
              <w:top w:w="0" w:type="dxa"/>
              <w:left w:w="108" w:type="dxa"/>
              <w:bottom w:w="0" w:type="dxa"/>
              <w:right w:w="108" w:type="dxa"/>
            </w:tcMar>
          </w:tcPr>
          <w:p w14:paraId="7FA32758" w14:textId="2A024FE3" w:rsidR="007B276D" w:rsidRPr="00954D99" w:rsidRDefault="007B276D" w:rsidP="007B276D">
            <w:pPr>
              <w:pStyle w:val="TableText"/>
            </w:pPr>
            <w:r w:rsidRPr="00954D99">
              <w:t>Total (</w:t>
            </w:r>
            <w:r>
              <w:t xml:space="preserve">carrier </w:t>
            </w:r>
            <w:r w:rsidRPr="00954D99">
              <w:t>testing compared with CF/SMA/FXS testing)</w:t>
            </w:r>
          </w:p>
        </w:tc>
        <w:tc>
          <w:tcPr>
            <w:tcW w:w="1204" w:type="dxa"/>
            <w:gridSpan w:val="2"/>
            <w:tcBorders>
              <w:top w:val="single" w:sz="4" w:space="0" w:color="auto"/>
              <w:bottom w:val="single" w:sz="4" w:space="0" w:color="auto"/>
            </w:tcBorders>
            <w:tcMar>
              <w:top w:w="0" w:type="dxa"/>
              <w:left w:w="108" w:type="dxa"/>
              <w:bottom w:w="0" w:type="dxa"/>
              <w:right w:w="108" w:type="dxa"/>
            </w:tcMar>
            <w:vAlign w:val="center"/>
            <w:hideMark/>
          </w:tcPr>
          <w:p w14:paraId="31294E36" w14:textId="4FC31336" w:rsidR="007B276D" w:rsidRPr="00EC16C4" w:rsidRDefault="007B276D" w:rsidP="00D60748">
            <w:pPr>
              <w:pStyle w:val="TableText"/>
              <w:jc w:val="right"/>
            </w:pPr>
            <w:r w:rsidRPr="003D6646">
              <w:t>$220,918.89</w:t>
            </w:r>
          </w:p>
        </w:tc>
        <w:tc>
          <w:tcPr>
            <w:tcW w:w="1204" w:type="dxa"/>
            <w:tcBorders>
              <w:top w:val="single" w:sz="4" w:space="0" w:color="auto"/>
              <w:bottom w:val="single" w:sz="4" w:space="0" w:color="auto"/>
            </w:tcBorders>
            <w:tcMar>
              <w:top w:w="0" w:type="dxa"/>
              <w:left w:w="108" w:type="dxa"/>
              <w:bottom w:w="0" w:type="dxa"/>
              <w:right w:w="108" w:type="dxa"/>
            </w:tcMar>
            <w:vAlign w:val="center"/>
            <w:hideMark/>
          </w:tcPr>
          <w:p w14:paraId="18AA2F2F" w14:textId="09C4DE28" w:rsidR="007B276D" w:rsidRPr="00EC16C4" w:rsidRDefault="007B276D" w:rsidP="00D60748">
            <w:pPr>
              <w:pStyle w:val="TableText"/>
              <w:jc w:val="right"/>
            </w:pPr>
            <w:r w:rsidRPr="003D6646">
              <w:t>$216,557.04</w:t>
            </w:r>
          </w:p>
        </w:tc>
        <w:tc>
          <w:tcPr>
            <w:tcW w:w="1204" w:type="dxa"/>
            <w:tcBorders>
              <w:top w:val="single" w:sz="4" w:space="0" w:color="auto"/>
              <w:bottom w:val="single" w:sz="4" w:space="0" w:color="auto"/>
            </w:tcBorders>
            <w:tcMar>
              <w:top w:w="0" w:type="dxa"/>
              <w:left w:w="108" w:type="dxa"/>
              <w:bottom w:w="0" w:type="dxa"/>
              <w:right w:w="108" w:type="dxa"/>
            </w:tcMar>
            <w:vAlign w:val="center"/>
            <w:hideMark/>
          </w:tcPr>
          <w:p w14:paraId="53E0CF14" w14:textId="608B4858" w:rsidR="007B276D" w:rsidRPr="00EC16C4" w:rsidRDefault="007B276D" w:rsidP="00D60748">
            <w:pPr>
              <w:pStyle w:val="TableText"/>
              <w:jc w:val="right"/>
            </w:pPr>
            <w:r w:rsidRPr="003D6646">
              <w:t>$149,733.32</w:t>
            </w:r>
          </w:p>
        </w:tc>
        <w:tc>
          <w:tcPr>
            <w:tcW w:w="1204" w:type="dxa"/>
            <w:tcBorders>
              <w:top w:val="single" w:sz="4" w:space="0" w:color="auto"/>
              <w:bottom w:val="single" w:sz="4" w:space="0" w:color="auto"/>
            </w:tcBorders>
            <w:tcMar>
              <w:top w:w="0" w:type="dxa"/>
              <w:left w:w="108" w:type="dxa"/>
              <w:bottom w:w="0" w:type="dxa"/>
              <w:right w:w="108" w:type="dxa"/>
            </w:tcMar>
            <w:vAlign w:val="center"/>
            <w:hideMark/>
          </w:tcPr>
          <w:p w14:paraId="72750429" w14:textId="5A63516D" w:rsidR="007B276D" w:rsidRPr="00EC16C4" w:rsidRDefault="007B276D" w:rsidP="00D60748">
            <w:pPr>
              <w:pStyle w:val="TableText"/>
              <w:jc w:val="right"/>
            </w:pPr>
            <w:r w:rsidRPr="003D6646">
              <w:t>$116,064.65</w:t>
            </w:r>
          </w:p>
        </w:tc>
        <w:tc>
          <w:tcPr>
            <w:tcW w:w="1204" w:type="dxa"/>
            <w:tcBorders>
              <w:top w:val="single" w:sz="4" w:space="0" w:color="auto"/>
              <w:bottom w:val="single" w:sz="4" w:space="0" w:color="auto"/>
            </w:tcBorders>
            <w:tcMar>
              <w:top w:w="0" w:type="dxa"/>
              <w:left w:w="108" w:type="dxa"/>
              <w:bottom w:w="0" w:type="dxa"/>
              <w:right w:w="108" w:type="dxa"/>
            </w:tcMar>
            <w:vAlign w:val="center"/>
            <w:hideMark/>
          </w:tcPr>
          <w:p w14:paraId="0E2D8731" w14:textId="2F37AD4C" w:rsidR="007B276D" w:rsidRPr="00EC16C4" w:rsidRDefault="007B276D" w:rsidP="00D60748">
            <w:pPr>
              <w:pStyle w:val="TableText"/>
              <w:jc w:val="right"/>
            </w:pPr>
            <w:r w:rsidRPr="003D6646">
              <w:t>$113,701.24</w:t>
            </w:r>
          </w:p>
        </w:tc>
        <w:tc>
          <w:tcPr>
            <w:tcW w:w="1204" w:type="dxa"/>
            <w:tcBorders>
              <w:top w:val="single" w:sz="4" w:space="0" w:color="auto"/>
              <w:bottom w:val="single" w:sz="4" w:space="0" w:color="auto"/>
            </w:tcBorders>
            <w:tcMar>
              <w:top w:w="0" w:type="dxa"/>
              <w:left w:w="108" w:type="dxa"/>
              <w:bottom w:w="0" w:type="dxa"/>
              <w:right w:w="108" w:type="dxa"/>
            </w:tcMar>
            <w:vAlign w:val="center"/>
            <w:hideMark/>
          </w:tcPr>
          <w:p w14:paraId="03A824AB" w14:textId="06000944" w:rsidR="007B276D" w:rsidRPr="00EC16C4" w:rsidRDefault="007B276D" w:rsidP="00D60748">
            <w:pPr>
              <w:pStyle w:val="TableText"/>
              <w:jc w:val="right"/>
            </w:pPr>
            <w:r w:rsidRPr="003D6646">
              <w:t>$111,337.82</w:t>
            </w:r>
          </w:p>
        </w:tc>
      </w:tr>
    </w:tbl>
    <w:p w14:paraId="4B649423" w14:textId="77777777" w:rsidR="00FF7D57" w:rsidRDefault="00FF7D57" w:rsidP="006C2C3F">
      <w:pPr>
        <w:pStyle w:val="TFAbbrevs18"/>
      </w:pPr>
      <w:r w:rsidRPr="00991E1F">
        <w:t xml:space="preserve">CF= Cystic </w:t>
      </w:r>
      <w:r w:rsidRPr="00C31696">
        <w:t>Fibrosis, FXS= Fragile X Syndrome, SMA= Spinal Muscular Atrophy, MBS= Medicare Benefits Schedule.</w:t>
      </w:r>
    </w:p>
    <w:p w14:paraId="0D9A11E8" w14:textId="6AADB8C3" w:rsidR="001F46A5" w:rsidRPr="001F46A5" w:rsidRDefault="00FF7D57" w:rsidP="001F46A5">
      <w:r w:rsidRPr="001938E9">
        <w:t xml:space="preserve">The financial implications to </w:t>
      </w:r>
      <w:r w:rsidR="00A6130E">
        <w:t>State and Territory</w:t>
      </w:r>
      <w:r w:rsidR="00A6130E" w:rsidRPr="001938E9">
        <w:t xml:space="preserve"> </w:t>
      </w:r>
      <w:r w:rsidRPr="001938E9">
        <w:t>budgets include costs of termination</w:t>
      </w:r>
      <w:r w:rsidR="00DE3720">
        <w:t>. As mentioned above, although hospital separation, length of stay and cost data is available for the CF-specific DRGs, the focus of the DCAR are the additional nine severe monogenic conditions. Additionally, t</w:t>
      </w:r>
      <w:r w:rsidR="00DE3720" w:rsidRPr="004F531C">
        <w:t xml:space="preserve">he </w:t>
      </w:r>
      <w:r w:rsidR="00DE3720">
        <w:t>hospital</w:t>
      </w:r>
      <w:r w:rsidR="00DE3720" w:rsidRPr="004F531C">
        <w:t xml:space="preserve"> costs for </w:t>
      </w:r>
      <w:r w:rsidR="00DE3720">
        <w:t>all other monogenic conditions</w:t>
      </w:r>
      <w:r w:rsidR="00DE3720" w:rsidRPr="004F531C">
        <w:t xml:space="preserve"> were not captured in this assessment due to limited data, and therefore savings due to births averted attributed to </w:t>
      </w:r>
      <w:r w:rsidR="00DE3720">
        <w:t>carrier</w:t>
      </w:r>
      <w:r w:rsidR="00DE3720" w:rsidRPr="004F531C">
        <w:t xml:space="preserve"> testing may be underestimated.</w:t>
      </w:r>
      <w:r w:rsidR="00DE3720">
        <w:t xml:space="preserve"> Therefore, the impact of reducing these costs due to carrier testing should result in further future cost savings.</w:t>
      </w:r>
      <w:r w:rsidR="00DE3720" w:rsidRPr="004F531C">
        <w:t xml:space="preserve"> </w:t>
      </w:r>
      <w:bookmarkStart w:id="85" w:name="_Toc103096619"/>
      <w:r w:rsidR="001F46A5">
        <w:br w:type="page"/>
      </w:r>
    </w:p>
    <w:p w14:paraId="5B0F4AA1" w14:textId="26365650" w:rsidR="00DE3720" w:rsidRDefault="00DE3720" w:rsidP="001F46A5">
      <w:pPr>
        <w:pStyle w:val="Caption"/>
        <w:ind w:left="709" w:hanging="709"/>
      </w:pPr>
      <w:r>
        <w:lastRenderedPageBreak/>
        <w:t xml:space="preserve">Table </w:t>
      </w:r>
      <w:r w:rsidR="003A0D53">
        <w:t>2</w:t>
      </w:r>
      <w:r w:rsidR="00636918">
        <w:t>2</w:t>
      </w:r>
      <w:r w:rsidR="009A5FA7">
        <w:tab/>
      </w:r>
      <w:r w:rsidRPr="00CE28E3">
        <w:t>Net financial implications of</w:t>
      </w:r>
      <w:r>
        <w:t xml:space="preserve"> genetic carrier testing for 9 severe monogenic conditions</w:t>
      </w:r>
      <w:r w:rsidRPr="00CE28E3">
        <w:t xml:space="preserve"> to </w:t>
      </w:r>
      <w:r>
        <w:t>State and Territory budgets</w:t>
      </w:r>
      <w:bookmarkEnd w:id="85"/>
    </w:p>
    <w:tbl>
      <w:tblPr>
        <w:tblStyle w:val="TableGrid1"/>
        <w:tblW w:w="9006" w:type="dxa"/>
        <w:tblLayout w:type="fixed"/>
        <w:tblCellMar>
          <w:left w:w="0" w:type="dxa"/>
          <w:right w:w="0" w:type="dxa"/>
        </w:tblCellMar>
        <w:tblLook w:val="04A0" w:firstRow="1" w:lastRow="0" w:firstColumn="1" w:lastColumn="0" w:noHBand="0" w:noVBand="1"/>
      </w:tblPr>
      <w:tblGrid>
        <w:gridCol w:w="2258"/>
        <w:gridCol w:w="1134"/>
        <w:gridCol w:w="1134"/>
        <w:gridCol w:w="1134"/>
        <w:gridCol w:w="1134"/>
        <w:gridCol w:w="1134"/>
        <w:gridCol w:w="1078"/>
      </w:tblGrid>
      <w:tr w:rsidR="00BD2BE8" w:rsidRPr="00D30599" w14:paraId="58B0F83C" w14:textId="77777777" w:rsidTr="003D6646">
        <w:trPr>
          <w:cnfStyle w:val="100000000000" w:firstRow="1" w:lastRow="0" w:firstColumn="0" w:lastColumn="0" w:oddVBand="0" w:evenVBand="0" w:oddHBand="0" w:evenHBand="0" w:firstRowFirstColumn="0" w:firstRowLastColumn="0" w:lastRowFirstColumn="0" w:lastRowLastColumn="0"/>
          <w:trHeight w:val="319"/>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A66393" w14:textId="77777777" w:rsidR="00BD2BE8" w:rsidRPr="005B38B2" w:rsidRDefault="00BD2BE8" w:rsidP="003D6646">
            <w:pPr>
              <w:pStyle w:val="TableText"/>
              <w:keepNext/>
              <w:rPr>
                <w:b/>
                <w:bC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6EF05" w14:textId="09C5FADE" w:rsidR="00BD2BE8" w:rsidRPr="005B38B2" w:rsidRDefault="00BD2BE8" w:rsidP="003D6646">
            <w:pPr>
              <w:pStyle w:val="TableText"/>
              <w:keepNext/>
              <w:jc w:val="center"/>
              <w:rPr>
                <w:b/>
                <w:bCs/>
              </w:rPr>
            </w:pPr>
            <w:r w:rsidRPr="005B38B2">
              <w:rPr>
                <w:b/>
                <w:bCs/>
              </w:rPr>
              <w:t>202</w:t>
            </w:r>
            <w:r>
              <w:rPr>
                <w:b/>
                <w:bCs/>
              </w:rPr>
              <w:t>1-2022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C6CF5" w14:textId="0B35DAD6" w:rsidR="00BD2BE8" w:rsidRPr="005B38B2" w:rsidRDefault="00BD2BE8" w:rsidP="003D6646">
            <w:pPr>
              <w:pStyle w:val="TableText"/>
              <w:keepNext/>
              <w:jc w:val="center"/>
              <w:rPr>
                <w:b/>
                <w:bCs/>
              </w:rPr>
            </w:pPr>
            <w:r>
              <w:rPr>
                <w:b/>
                <w:bCs/>
              </w:rPr>
              <w:t>2022-</w:t>
            </w:r>
            <w:r w:rsidRPr="005B38B2">
              <w:rPr>
                <w:b/>
                <w:bCs/>
              </w:rPr>
              <w:t>2023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CBA30" w14:textId="2C190275" w:rsidR="00BD2BE8" w:rsidRPr="005B38B2" w:rsidRDefault="00BD2BE8" w:rsidP="003D6646">
            <w:pPr>
              <w:pStyle w:val="TableText"/>
              <w:keepNext/>
              <w:jc w:val="center"/>
              <w:rPr>
                <w:b/>
                <w:bCs/>
              </w:rPr>
            </w:pPr>
            <w:r>
              <w:rPr>
                <w:b/>
                <w:bCs/>
              </w:rPr>
              <w:t>2023-</w:t>
            </w:r>
            <w:r w:rsidRPr="005B38B2">
              <w:rPr>
                <w:b/>
                <w:bCs/>
              </w:rPr>
              <w:t>2024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F8C59" w14:textId="56801D9E" w:rsidR="00BD2BE8" w:rsidRPr="005B38B2" w:rsidRDefault="00BD2BE8" w:rsidP="003D6646">
            <w:pPr>
              <w:pStyle w:val="TableText"/>
              <w:keepNext/>
              <w:jc w:val="center"/>
              <w:rPr>
                <w:b/>
                <w:bCs/>
              </w:rPr>
            </w:pPr>
            <w:r>
              <w:rPr>
                <w:b/>
                <w:bCs/>
              </w:rPr>
              <w:t>2024-</w:t>
            </w:r>
            <w:r w:rsidRPr="005B38B2">
              <w:rPr>
                <w:b/>
                <w:bCs/>
              </w:rPr>
              <w:t>2025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7DBB1" w14:textId="0BFD0B72" w:rsidR="00BD2BE8" w:rsidRPr="005B38B2" w:rsidRDefault="00BD2BE8" w:rsidP="003D6646">
            <w:pPr>
              <w:pStyle w:val="TableText"/>
              <w:keepNext/>
              <w:jc w:val="center"/>
              <w:rPr>
                <w:b/>
                <w:bCs/>
              </w:rPr>
            </w:pPr>
            <w:r>
              <w:rPr>
                <w:b/>
                <w:bCs/>
              </w:rPr>
              <w:t>2025-</w:t>
            </w:r>
            <w:r w:rsidRPr="005B38B2">
              <w:rPr>
                <w:b/>
                <w:bCs/>
              </w:rPr>
              <w:t>2026</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3F955" w14:textId="05ACCE1D" w:rsidR="00BD2BE8" w:rsidRPr="005B38B2" w:rsidRDefault="00BD2BE8" w:rsidP="003D6646">
            <w:pPr>
              <w:pStyle w:val="TableText"/>
              <w:keepNext/>
              <w:jc w:val="center"/>
              <w:rPr>
                <w:b/>
                <w:bCs/>
              </w:rPr>
            </w:pPr>
            <w:r>
              <w:rPr>
                <w:b/>
                <w:bCs/>
              </w:rPr>
              <w:t>2026-</w:t>
            </w:r>
            <w:r w:rsidRPr="005B38B2">
              <w:rPr>
                <w:b/>
                <w:bCs/>
              </w:rPr>
              <w:t>2027</w:t>
            </w:r>
          </w:p>
        </w:tc>
      </w:tr>
      <w:tr w:rsidR="00BD2BE8" w:rsidRPr="00D30599" w14:paraId="33E4FFB5" w14:textId="77777777" w:rsidTr="003D6646">
        <w:trPr>
          <w:cnfStyle w:val="100000000000" w:firstRow="1" w:lastRow="0" w:firstColumn="0" w:lastColumn="0" w:oddVBand="0" w:evenVBand="0" w:oddHBand="0" w:evenHBand="0" w:firstRowFirstColumn="0" w:firstRowLastColumn="0" w:lastRowFirstColumn="0" w:lastRowLastColumn="0"/>
          <w:trHeight w:val="548"/>
          <w:tblHeader/>
        </w:trPr>
        <w:tc>
          <w:tcPr>
            <w:tcW w:w="900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284B7E" w14:textId="419CDE45" w:rsidR="00BD2BE8" w:rsidRPr="00EC16C4" w:rsidRDefault="00BD2BE8" w:rsidP="003D6646">
            <w:pPr>
              <w:pStyle w:val="TableText"/>
              <w:keepNext/>
            </w:pPr>
            <w:r w:rsidRPr="005B38B2">
              <w:rPr>
                <w:b/>
                <w:bCs/>
              </w:rPr>
              <w:t>Estimated ut</w:t>
            </w:r>
            <w:r>
              <w:rPr>
                <w:b/>
                <w:bCs/>
              </w:rPr>
              <w:t>ilisation of carrier testing</w:t>
            </w:r>
          </w:p>
        </w:tc>
      </w:tr>
      <w:tr w:rsidR="007F4375" w:rsidRPr="00D30599" w14:paraId="2FCCDD90" w14:textId="77777777" w:rsidTr="003D6646">
        <w:trPr>
          <w:cnfStyle w:val="100000000000" w:firstRow="1" w:lastRow="0" w:firstColumn="0" w:lastColumn="0" w:oddVBand="0" w:evenVBand="0" w:oddHBand="0" w:evenHBand="0" w:firstRowFirstColumn="0" w:firstRowLastColumn="0" w:lastRowFirstColumn="0" w:lastRowLastColumn="0"/>
          <w:trHeight w:val="625"/>
          <w:tblHeader/>
        </w:trPr>
        <w:tc>
          <w:tcPr>
            <w:tcW w:w="22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332A1E9" w14:textId="516BDCC4" w:rsidR="007F4375" w:rsidRPr="0045267F" w:rsidRDefault="007F4375" w:rsidP="003D6646">
            <w:pPr>
              <w:pStyle w:val="TableText"/>
              <w:keepNext/>
            </w:pPr>
            <w:r w:rsidRPr="0045267F">
              <w:t>Number of people eligible for testing (</w:t>
            </w:r>
            <w:r>
              <w:t>preconception</w:t>
            </w:r>
            <w:r w:rsidRPr="0045267F">
              <w:t xml:space="preserve"> </w:t>
            </w:r>
            <w:r>
              <w:t xml:space="preserve">and </w:t>
            </w:r>
            <w:r w:rsidRPr="0045267F">
              <w:t>prenatal)</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87A5BB5" w14:textId="41E6325B" w:rsidR="007F4375" w:rsidRPr="00EC16C4" w:rsidRDefault="007F4375" w:rsidP="003D6646">
            <w:pPr>
              <w:pStyle w:val="TableText"/>
              <w:keepNext/>
              <w:jc w:val="center"/>
            </w:pPr>
            <w:r w:rsidRPr="00D4160E">
              <w:t>451</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91D1689" w14:textId="372698E3" w:rsidR="007F4375" w:rsidRPr="00EC16C4" w:rsidRDefault="007F4375" w:rsidP="003D6646">
            <w:pPr>
              <w:pStyle w:val="TableText"/>
              <w:keepNext/>
              <w:jc w:val="center"/>
            </w:pPr>
            <w:r w:rsidRPr="00D4160E">
              <w:t>442</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BF628E9" w14:textId="5EC40F69" w:rsidR="007F4375" w:rsidRPr="00EC16C4" w:rsidRDefault="007F4375" w:rsidP="003D6646">
            <w:pPr>
              <w:pStyle w:val="TableText"/>
              <w:keepNext/>
              <w:jc w:val="center"/>
            </w:pPr>
            <w:r w:rsidRPr="00D4160E">
              <w:t>433</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D8C53C0" w14:textId="22900BE8" w:rsidR="007F4375" w:rsidRPr="00EC16C4" w:rsidRDefault="007F4375" w:rsidP="003D6646">
            <w:pPr>
              <w:pStyle w:val="TableText"/>
              <w:keepNext/>
              <w:jc w:val="center"/>
            </w:pPr>
            <w:r w:rsidRPr="00D4160E">
              <w:t>424</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B75D62D" w14:textId="0B25982E" w:rsidR="007F4375" w:rsidRPr="00EC16C4" w:rsidRDefault="007F4375" w:rsidP="003D6646">
            <w:pPr>
              <w:pStyle w:val="TableText"/>
              <w:keepNext/>
              <w:jc w:val="center"/>
            </w:pPr>
            <w:r w:rsidRPr="00D4160E">
              <w:t>416</w:t>
            </w:r>
          </w:p>
        </w:tc>
        <w:tc>
          <w:tcPr>
            <w:tcW w:w="107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2A645B4" w14:textId="3C4BC878" w:rsidR="007F4375" w:rsidRPr="00EC16C4" w:rsidRDefault="007F4375" w:rsidP="003D6646">
            <w:pPr>
              <w:pStyle w:val="TableText"/>
              <w:keepNext/>
              <w:jc w:val="center"/>
            </w:pPr>
            <w:r w:rsidRPr="00D4160E">
              <w:t>407</w:t>
            </w:r>
          </w:p>
        </w:tc>
      </w:tr>
      <w:tr w:rsidR="00C72289" w:rsidRPr="00D30599" w14:paraId="51F59B6A" w14:textId="77777777" w:rsidTr="003D6646">
        <w:trPr>
          <w:cnfStyle w:val="100000000000" w:firstRow="1" w:lastRow="0" w:firstColumn="0" w:lastColumn="0" w:oddVBand="0" w:evenVBand="0" w:oddHBand="0" w:evenHBand="0" w:firstRowFirstColumn="0" w:firstRowLastColumn="0" w:lastRowFirstColumn="0" w:lastRowLastColumn="0"/>
          <w:trHeight w:val="770"/>
          <w:tblHeader/>
        </w:trPr>
        <w:tc>
          <w:tcPr>
            <w:tcW w:w="22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15CA89D" w14:textId="4F57FC71" w:rsidR="00C72289" w:rsidRPr="0045267F" w:rsidRDefault="00C72289" w:rsidP="00C72289">
            <w:pPr>
              <w:pStyle w:val="TableText"/>
            </w:pPr>
            <w:r w:rsidRPr="0045267F">
              <w:t>Number of services (</w:t>
            </w:r>
            <w:r>
              <w:t>preconception and</w:t>
            </w:r>
            <w:r w:rsidRPr="0045267F">
              <w:t xml:space="preserve"> prenatal)</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ABD7DEE" w14:textId="4256806E" w:rsidR="00C72289" w:rsidRPr="00EC16C4" w:rsidRDefault="00C72289" w:rsidP="003D6646">
            <w:pPr>
              <w:pStyle w:val="TableText"/>
              <w:jc w:val="center"/>
            </w:pPr>
            <w:r w:rsidRPr="00EB0436">
              <w:t>309</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94E6B6" w14:textId="0B89D7D4" w:rsidR="00C72289" w:rsidRPr="00EC16C4" w:rsidRDefault="00C72289" w:rsidP="003D6646">
            <w:pPr>
              <w:pStyle w:val="TableText"/>
              <w:jc w:val="center"/>
            </w:pPr>
            <w:r w:rsidRPr="00EB0436">
              <w:t>303</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5638006" w14:textId="422987A7" w:rsidR="00C72289" w:rsidRPr="00EC16C4" w:rsidRDefault="00C72289" w:rsidP="003D6646">
            <w:pPr>
              <w:pStyle w:val="TableText"/>
              <w:jc w:val="center"/>
            </w:pPr>
            <w:r w:rsidRPr="00EB0436">
              <w:t>297</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3350F5" w14:textId="4E45EEE1" w:rsidR="00C72289" w:rsidRPr="00EC16C4" w:rsidRDefault="00C72289" w:rsidP="003D6646">
            <w:pPr>
              <w:pStyle w:val="TableText"/>
              <w:jc w:val="center"/>
            </w:pPr>
            <w:r w:rsidRPr="00EB0436">
              <w:t>291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CB57457" w14:textId="6BEA0614" w:rsidR="00C72289" w:rsidRPr="00EC16C4" w:rsidRDefault="00C72289" w:rsidP="003D6646">
            <w:pPr>
              <w:pStyle w:val="TableText"/>
              <w:jc w:val="center"/>
            </w:pPr>
            <w:r w:rsidRPr="00EB0436">
              <w:t>285</w:t>
            </w:r>
          </w:p>
        </w:tc>
        <w:tc>
          <w:tcPr>
            <w:tcW w:w="10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3CDCF5" w14:textId="0BF80D07" w:rsidR="00C72289" w:rsidRPr="00EC16C4" w:rsidRDefault="00C72289" w:rsidP="003D6646">
            <w:pPr>
              <w:pStyle w:val="TableText"/>
              <w:jc w:val="center"/>
            </w:pPr>
            <w:r w:rsidRPr="00EB0436">
              <w:t>279</w:t>
            </w:r>
          </w:p>
        </w:tc>
      </w:tr>
      <w:tr w:rsidR="00BD2BE8" w:rsidRPr="00D30599" w14:paraId="21C520C9" w14:textId="77777777" w:rsidTr="007C70AB">
        <w:trPr>
          <w:cnfStyle w:val="100000000000" w:firstRow="1" w:lastRow="0" w:firstColumn="0" w:lastColumn="0" w:oddVBand="0" w:evenVBand="0" w:oddHBand="0" w:evenHBand="0" w:firstRowFirstColumn="0" w:firstRowLastColumn="0" w:lastRowFirstColumn="0" w:lastRowLastColumn="0"/>
          <w:trHeight w:val="563"/>
          <w:tblHeader/>
        </w:trPr>
        <w:tc>
          <w:tcPr>
            <w:tcW w:w="900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18FD95" w14:textId="2BD2DD27" w:rsidR="00BD2BE8" w:rsidRPr="00EC16C4" w:rsidRDefault="00BD2BE8" w:rsidP="00BD2BE8">
            <w:pPr>
              <w:pStyle w:val="TableText"/>
            </w:pPr>
            <w:r>
              <w:rPr>
                <w:b/>
                <w:bCs/>
              </w:rPr>
              <w:t xml:space="preserve">Associated </w:t>
            </w:r>
            <w:r w:rsidR="00797798">
              <w:rPr>
                <w:b/>
                <w:bCs/>
              </w:rPr>
              <w:t xml:space="preserve">State and Territory </w:t>
            </w:r>
            <w:r>
              <w:rPr>
                <w:b/>
                <w:bCs/>
              </w:rPr>
              <w:t xml:space="preserve">costs – carrier </w:t>
            </w:r>
            <w:r w:rsidR="00E671C3">
              <w:rPr>
                <w:b/>
                <w:bCs/>
              </w:rPr>
              <w:t>testing</w:t>
            </w:r>
          </w:p>
        </w:tc>
      </w:tr>
      <w:tr w:rsidR="000B50E6" w:rsidRPr="00D30599" w14:paraId="606A57AB" w14:textId="77777777" w:rsidTr="00D60748">
        <w:trPr>
          <w:cnfStyle w:val="100000000000" w:firstRow="1" w:lastRow="0" w:firstColumn="0" w:lastColumn="0" w:oddVBand="0" w:evenVBand="0" w:oddHBand="0" w:evenHBand="0" w:firstRowFirstColumn="0" w:firstRowLastColumn="0" w:lastRowFirstColumn="0" w:lastRowLastColumn="0"/>
          <w:trHeight w:val="304"/>
          <w:tblHeader/>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28788D3" w14:textId="0A0616FE" w:rsidR="000B50E6" w:rsidRPr="000F44A1" w:rsidRDefault="000B50E6" w:rsidP="000B50E6">
            <w:pPr>
              <w:pStyle w:val="TableText"/>
            </w:pPr>
            <w:r>
              <w:t>Termination of pregnancy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98DD45" w14:textId="26ACCFC3" w:rsidR="000B50E6" w:rsidRPr="00EC16C4" w:rsidRDefault="000B50E6" w:rsidP="00D60748">
            <w:pPr>
              <w:pStyle w:val="TableText"/>
              <w:jc w:val="right"/>
            </w:pPr>
            <w:r w:rsidRPr="00EB0436">
              <w:t>$6,050.99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6D7902" w14:textId="4EAB3C3D" w:rsidR="000B50E6" w:rsidRPr="00EC16C4" w:rsidRDefault="000B50E6" w:rsidP="00D60748">
            <w:pPr>
              <w:pStyle w:val="TableText"/>
              <w:jc w:val="right"/>
            </w:pPr>
            <w:r w:rsidRPr="00EB0436">
              <w:t>$5,932.98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C80C80" w14:textId="1A32C62E" w:rsidR="000B50E6" w:rsidRPr="00EC16C4" w:rsidRDefault="000B50E6" w:rsidP="00D60748">
            <w:pPr>
              <w:pStyle w:val="TableText"/>
              <w:jc w:val="right"/>
            </w:pPr>
            <w:r w:rsidRPr="00EB0436">
              <w:t>$5,814.97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949557" w14:textId="28E99A45" w:rsidR="000B50E6" w:rsidRPr="00EC16C4" w:rsidRDefault="000B50E6" w:rsidP="00D60748">
            <w:pPr>
              <w:pStyle w:val="TableText"/>
              <w:jc w:val="right"/>
            </w:pPr>
            <w:r w:rsidRPr="00EB0436">
              <w:t>$5,696.96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321AC6" w14:textId="24D00E74" w:rsidR="000B50E6" w:rsidRPr="00EC16C4" w:rsidRDefault="000B50E6" w:rsidP="00D60748">
            <w:pPr>
              <w:pStyle w:val="TableText"/>
              <w:jc w:val="right"/>
            </w:pPr>
            <w:r w:rsidRPr="00EB0436">
              <w:t>$5,582.45</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39F4A0" w14:textId="5CC73342" w:rsidR="000B50E6" w:rsidRPr="00EC16C4" w:rsidRDefault="000B50E6" w:rsidP="00D60748">
            <w:pPr>
              <w:pStyle w:val="TableText"/>
              <w:jc w:val="right"/>
            </w:pPr>
            <w:r w:rsidRPr="00EB0436">
              <w:t>$5,467.94</w:t>
            </w:r>
          </w:p>
        </w:tc>
      </w:tr>
      <w:tr w:rsidR="00BD2BE8" w:rsidRPr="00D30599" w14:paraId="1CB45957" w14:textId="77777777" w:rsidTr="007C70AB">
        <w:trPr>
          <w:cnfStyle w:val="100000000000" w:firstRow="1" w:lastRow="0" w:firstColumn="0" w:lastColumn="0" w:oddVBand="0" w:evenVBand="0" w:oddHBand="0" w:evenHBand="0" w:firstRowFirstColumn="0" w:firstRowLastColumn="0" w:lastRowFirstColumn="0" w:lastRowLastColumn="0"/>
          <w:trHeight w:val="548"/>
          <w:tblHeader/>
        </w:trPr>
        <w:tc>
          <w:tcPr>
            <w:tcW w:w="900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DDC3FA" w14:textId="4226EE55" w:rsidR="00BD2BE8" w:rsidRPr="00EC16C4" w:rsidRDefault="00BD2BE8" w:rsidP="00BD2BE8">
            <w:pPr>
              <w:pStyle w:val="TableText"/>
            </w:pPr>
            <w:r>
              <w:rPr>
                <w:b/>
                <w:bCs/>
              </w:rPr>
              <w:t xml:space="preserve">Associated </w:t>
            </w:r>
            <w:r w:rsidR="00797798">
              <w:rPr>
                <w:b/>
                <w:bCs/>
              </w:rPr>
              <w:t xml:space="preserve">State and Territory </w:t>
            </w:r>
            <w:r>
              <w:rPr>
                <w:b/>
                <w:bCs/>
              </w:rPr>
              <w:t>costs – CF/SMA/FXS testing</w:t>
            </w:r>
          </w:p>
        </w:tc>
      </w:tr>
      <w:tr w:rsidR="00797798" w:rsidRPr="00D30599" w14:paraId="6C45CB97" w14:textId="77777777" w:rsidTr="00D60748">
        <w:trPr>
          <w:cnfStyle w:val="100000000000" w:firstRow="1" w:lastRow="0" w:firstColumn="0" w:lastColumn="0" w:oddVBand="0" w:evenVBand="0" w:oddHBand="0" w:evenHBand="0" w:firstRowFirstColumn="0" w:firstRowLastColumn="0" w:lastRowFirstColumn="0" w:lastRowLastColumn="0"/>
          <w:trHeight w:val="319"/>
          <w:tblHeader/>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DD41A79" w14:textId="610650E1" w:rsidR="00797798" w:rsidRPr="000F44A1" w:rsidRDefault="00797798" w:rsidP="00797798">
            <w:pPr>
              <w:pStyle w:val="TableText"/>
            </w:pPr>
            <w:r>
              <w:t>Termination of pregnancy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0872D1" w14:textId="6A91FF27" w:rsidR="00797798" w:rsidRPr="00EC16C4" w:rsidRDefault="00797798" w:rsidP="00D60748">
            <w:pPr>
              <w:pStyle w:val="TableText"/>
              <w:jc w:val="right"/>
            </w:pPr>
            <w:r w:rsidRPr="003D6646">
              <w:t>$0.00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29941E" w14:textId="7DF677EC" w:rsidR="00797798" w:rsidRPr="00EC16C4" w:rsidRDefault="00797798" w:rsidP="00D60748">
            <w:pPr>
              <w:pStyle w:val="TableText"/>
              <w:jc w:val="right"/>
            </w:pPr>
            <w:r w:rsidRPr="003D6646">
              <w:t>$0.00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2414B8" w14:textId="73638321" w:rsidR="00797798" w:rsidRPr="00EC16C4" w:rsidRDefault="00797798" w:rsidP="00D60748">
            <w:pPr>
              <w:pStyle w:val="TableText"/>
              <w:jc w:val="right"/>
            </w:pPr>
            <w:r w:rsidRPr="003D6646">
              <w:t>$843.65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3BBE2C" w14:textId="4BAA867E" w:rsidR="00797798" w:rsidRPr="00EC16C4" w:rsidRDefault="00797798" w:rsidP="00D60748">
            <w:pPr>
              <w:pStyle w:val="TableText"/>
              <w:jc w:val="right"/>
            </w:pPr>
            <w:r w:rsidRPr="003D6646">
              <w:t>$1,239.79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FB63F7" w14:textId="67F67333" w:rsidR="00797798" w:rsidRPr="00EC16C4" w:rsidRDefault="00797798" w:rsidP="00D60748">
            <w:pPr>
              <w:pStyle w:val="TableText"/>
              <w:jc w:val="right"/>
            </w:pPr>
            <w:r w:rsidRPr="003D6646">
              <w:t>$1,215.02</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36ED99" w14:textId="74AE6D27" w:rsidR="00797798" w:rsidRPr="00EC16C4" w:rsidRDefault="00797798" w:rsidP="00D60748">
            <w:pPr>
              <w:pStyle w:val="TableText"/>
              <w:jc w:val="right"/>
            </w:pPr>
            <w:r w:rsidRPr="003D6646">
              <w:t>$1,190.24</w:t>
            </w:r>
          </w:p>
        </w:tc>
      </w:tr>
      <w:tr w:rsidR="00BD2BE8" w:rsidRPr="00D30599" w14:paraId="713DA415" w14:textId="77777777" w:rsidTr="003D6646">
        <w:trPr>
          <w:cnfStyle w:val="100000000000" w:firstRow="1" w:lastRow="0" w:firstColumn="0" w:lastColumn="0" w:oddVBand="0" w:evenVBand="0" w:oddHBand="0" w:evenHBand="0" w:firstRowFirstColumn="0" w:firstRowLastColumn="0" w:lastRowFirstColumn="0" w:lastRowLastColumn="0"/>
          <w:trHeight w:val="548"/>
          <w:tblHeader/>
        </w:trPr>
        <w:tc>
          <w:tcPr>
            <w:tcW w:w="900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778BDE" w14:textId="55198B12" w:rsidR="00BD2BE8" w:rsidRPr="002C2CE3" w:rsidRDefault="00BD2BE8" w:rsidP="00EB0436">
            <w:pPr>
              <w:pStyle w:val="TableText"/>
            </w:pPr>
            <w:r>
              <w:rPr>
                <w:b/>
                <w:bCs/>
              </w:rPr>
              <w:t>Difference in costs</w:t>
            </w:r>
          </w:p>
        </w:tc>
      </w:tr>
      <w:tr w:rsidR="00797798" w:rsidRPr="00D30599" w14:paraId="64F165CB" w14:textId="77777777" w:rsidTr="00D60748">
        <w:trPr>
          <w:cnfStyle w:val="100000000000" w:firstRow="1" w:lastRow="0" w:firstColumn="0" w:lastColumn="0" w:oddVBand="0" w:evenVBand="0" w:oddHBand="0" w:evenHBand="0" w:firstRowFirstColumn="0" w:firstRowLastColumn="0" w:lastRowFirstColumn="0" w:lastRowLastColumn="0"/>
          <w:trHeight w:val="465"/>
          <w:tblHeader/>
        </w:trPr>
        <w:tc>
          <w:tcPr>
            <w:tcW w:w="22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4CCA1B4" w14:textId="77777777" w:rsidR="00797798" w:rsidRPr="00954D99" w:rsidRDefault="00797798" w:rsidP="00797798">
            <w:pPr>
              <w:pStyle w:val="TableText"/>
            </w:pPr>
            <w:r w:rsidRPr="00954D99">
              <w:t>Total (testing compared with CF/SMA/FXS testing)</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9645BC5" w14:textId="629E5425" w:rsidR="00797798" w:rsidRPr="00797798" w:rsidRDefault="00797798" w:rsidP="00D60748">
            <w:pPr>
              <w:pStyle w:val="TableText"/>
              <w:jc w:val="right"/>
            </w:pPr>
            <w:r w:rsidRPr="003D6646">
              <w:t>$6,050.99</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A216531" w14:textId="6F0F0DB1" w:rsidR="00797798" w:rsidRPr="00797798" w:rsidRDefault="00797798" w:rsidP="00D60748">
            <w:pPr>
              <w:pStyle w:val="TableText"/>
              <w:jc w:val="right"/>
            </w:pPr>
            <w:r w:rsidRPr="003D6646">
              <w:t>$5,932.98</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E33CD5D" w14:textId="2F8D41FA" w:rsidR="00797798" w:rsidRPr="00797798" w:rsidRDefault="00797798" w:rsidP="00D60748">
            <w:pPr>
              <w:pStyle w:val="TableText"/>
              <w:jc w:val="right"/>
            </w:pPr>
            <w:r w:rsidRPr="003D6646">
              <w:t>$4,971.32</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45A23FB" w14:textId="5928E544" w:rsidR="00797798" w:rsidRPr="00797798" w:rsidRDefault="00797798" w:rsidP="00D60748">
            <w:pPr>
              <w:pStyle w:val="TableText"/>
              <w:jc w:val="right"/>
            </w:pPr>
            <w:r w:rsidRPr="003D6646">
              <w:t>$4,457.17</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1231AB0" w14:textId="10F04C8E" w:rsidR="00797798" w:rsidRPr="00797798" w:rsidRDefault="00797798" w:rsidP="00D60748">
            <w:pPr>
              <w:pStyle w:val="TableText"/>
              <w:jc w:val="right"/>
            </w:pPr>
            <w:r w:rsidRPr="003D6646">
              <w:t>$4,367.43</w:t>
            </w:r>
          </w:p>
        </w:tc>
        <w:tc>
          <w:tcPr>
            <w:tcW w:w="107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AC3CF38" w14:textId="6DB597CF" w:rsidR="00797798" w:rsidRPr="00797798" w:rsidRDefault="00797798" w:rsidP="00D60748">
            <w:pPr>
              <w:pStyle w:val="TableText"/>
              <w:jc w:val="right"/>
            </w:pPr>
            <w:r w:rsidRPr="003D6646">
              <w:t>$4,277.70</w:t>
            </w:r>
          </w:p>
        </w:tc>
      </w:tr>
    </w:tbl>
    <w:p w14:paraId="48C2D6E7" w14:textId="3DC0FC6D" w:rsidR="00FF7D57" w:rsidRDefault="00FF7D57" w:rsidP="00FF7D57">
      <w:pPr>
        <w:pStyle w:val="Instructionaltext-afterfiguretable"/>
        <w:rPr>
          <w:color w:val="auto"/>
        </w:rPr>
      </w:pPr>
      <w:r>
        <w:rPr>
          <w:color w:val="auto"/>
        </w:rPr>
        <w:t xml:space="preserve">The combined </w:t>
      </w:r>
      <w:r w:rsidR="00AA5235">
        <w:rPr>
          <w:color w:val="auto"/>
        </w:rPr>
        <w:t xml:space="preserve">MBS and </w:t>
      </w:r>
      <w:r w:rsidR="009B4CEF">
        <w:rPr>
          <w:color w:val="auto"/>
        </w:rPr>
        <w:t>State and Territory</w:t>
      </w:r>
      <w:r w:rsidR="00AA5235">
        <w:rPr>
          <w:color w:val="auto"/>
        </w:rPr>
        <w:t xml:space="preserve"> </w:t>
      </w:r>
      <w:r>
        <w:rPr>
          <w:color w:val="auto"/>
        </w:rPr>
        <w:t>cost</w:t>
      </w:r>
      <w:r w:rsidR="00AA5235">
        <w:rPr>
          <w:color w:val="auto"/>
        </w:rPr>
        <w:t>s</w:t>
      </w:r>
      <w:r>
        <w:rPr>
          <w:color w:val="auto"/>
        </w:rPr>
        <w:t xml:space="preserve"> of </w:t>
      </w:r>
      <w:r w:rsidR="00CA2EEE">
        <w:rPr>
          <w:color w:val="auto"/>
        </w:rPr>
        <w:t>carrier</w:t>
      </w:r>
      <w:r w:rsidR="00911C3B">
        <w:rPr>
          <w:color w:val="auto"/>
        </w:rPr>
        <w:t xml:space="preserve"> </w:t>
      </w:r>
      <w:r>
        <w:rPr>
          <w:color w:val="auto"/>
        </w:rPr>
        <w:t>testing to the healthcare budget is outlined below.</w:t>
      </w:r>
    </w:p>
    <w:p w14:paraId="2FA0B824" w14:textId="2595F59F" w:rsidR="009A5FA7" w:rsidRDefault="009A5FA7" w:rsidP="009A5FA7">
      <w:pPr>
        <w:pStyle w:val="Caption"/>
      </w:pPr>
      <w:bookmarkStart w:id="86" w:name="_Toc103096620"/>
      <w:r>
        <w:t xml:space="preserve">Table </w:t>
      </w:r>
      <w:r w:rsidR="003A0B9B">
        <w:rPr>
          <w:noProof/>
        </w:rPr>
        <w:t>2</w:t>
      </w:r>
      <w:r w:rsidR="00636918">
        <w:rPr>
          <w:noProof/>
        </w:rPr>
        <w:t>3</w:t>
      </w:r>
      <w:r w:rsidR="00C04362">
        <w:tab/>
        <w:t xml:space="preserve">Total </w:t>
      </w:r>
      <w:r w:rsidR="00A002E0">
        <w:t>c</w:t>
      </w:r>
      <w:r w:rsidR="00C04362">
        <w:t>ost of carrier testing</w:t>
      </w:r>
      <w:bookmarkEnd w:id="86"/>
      <w:r w:rsidR="00C04362">
        <w:t xml:space="preserve"> </w:t>
      </w:r>
      <w:r w:rsidR="00C04362">
        <w:tab/>
      </w:r>
    </w:p>
    <w:tbl>
      <w:tblPr>
        <w:tblStyle w:val="TableGrid"/>
        <w:tblW w:w="0" w:type="auto"/>
        <w:tblLayout w:type="fixed"/>
        <w:tblLook w:val="04A0" w:firstRow="1" w:lastRow="0" w:firstColumn="1" w:lastColumn="0" w:noHBand="0" w:noVBand="1"/>
      </w:tblPr>
      <w:tblGrid>
        <w:gridCol w:w="2122"/>
        <w:gridCol w:w="1134"/>
        <w:gridCol w:w="1134"/>
        <w:gridCol w:w="1134"/>
        <w:gridCol w:w="1134"/>
        <w:gridCol w:w="1134"/>
        <w:gridCol w:w="1224"/>
      </w:tblGrid>
      <w:tr w:rsidR="00BD2BE8" w14:paraId="75EF8F38" w14:textId="77777777" w:rsidTr="00B137E1">
        <w:trPr>
          <w:cantSplit/>
          <w:tblHeader/>
        </w:trPr>
        <w:tc>
          <w:tcPr>
            <w:tcW w:w="2122" w:type="dxa"/>
            <w:tcBorders>
              <w:bottom w:val="single" w:sz="4" w:space="0" w:color="auto"/>
            </w:tcBorders>
            <w:vAlign w:val="center"/>
          </w:tcPr>
          <w:p w14:paraId="75BB2917" w14:textId="77777777" w:rsidR="00BD2BE8" w:rsidRDefault="00BD2BE8" w:rsidP="00A002E0">
            <w:pPr>
              <w:pStyle w:val="TableText"/>
              <w:keepNext/>
            </w:pPr>
          </w:p>
        </w:tc>
        <w:tc>
          <w:tcPr>
            <w:tcW w:w="1134" w:type="dxa"/>
            <w:tcBorders>
              <w:bottom w:val="single" w:sz="4" w:space="0" w:color="auto"/>
            </w:tcBorders>
            <w:vAlign w:val="center"/>
          </w:tcPr>
          <w:p w14:paraId="28245B02" w14:textId="26396D29" w:rsidR="00BD2BE8" w:rsidRPr="00557FA9" w:rsidRDefault="00BD2BE8" w:rsidP="00B137E1">
            <w:pPr>
              <w:pStyle w:val="TableText"/>
              <w:keepNext/>
              <w:jc w:val="center"/>
            </w:pPr>
            <w:r w:rsidRPr="005B38B2">
              <w:rPr>
                <w:b/>
                <w:bCs/>
              </w:rPr>
              <w:t>202</w:t>
            </w:r>
            <w:r>
              <w:rPr>
                <w:b/>
                <w:bCs/>
              </w:rPr>
              <w:t>1-2022</w:t>
            </w:r>
          </w:p>
        </w:tc>
        <w:tc>
          <w:tcPr>
            <w:tcW w:w="1134" w:type="dxa"/>
            <w:tcBorders>
              <w:bottom w:val="single" w:sz="4" w:space="0" w:color="auto"/>
            </w:tcBorders>
            <w:vAlign w:val="center"/>
          </w:tcPr>
          <w:p w14:paraId="15C414C0" w14:textId="041D74F9" w:rsidR="00BD2BE8" w:rsidRPr="00557FA9" w:rsidRDefault="00BD2BE8" w:rsidP="00B137E1">
            <w:pPr>
              <w:pStyle w:val="TableText"/>
              <w:keepNext/>
              <w:jc w:val="center"/>
            </w:pPr>
            <w:r>
              <w:rPr>
                <w:b/>
                <w:bCs/>
              </w:rPr>
              <w:t>2022-</w:t>
            </w:r>
            <w:r w:rsidRPr="005B38B2">
              <w:rPr>
                <w:b/>
                <w:bCs/>
              </w:rPr>
              <w:t>2023</w:t>
            </w:r>
          </w:p>
        </w:tc>
        <w:tc>
          <w:tcPr>
            <w:tcW w:w="1134" w:type="dxa"/>
            <w:tcBorders>
              <w:bottom w:val="single" w:sz="4" w:space="0" w:color="auto"/>
            </w:tcBorders>
            <w:vAlign w:val="center"/>
          </w:tcPr>
          <w:p w14:paraId="1E5CC5FF" w14:textId="791D14F9" w:rsidR="00BD2BE8" w:rsidRPr="00557FA9" w:rsidRDefault="00BD2BE8" w:rsidP="00B137E1">
            <w:pPr>
              <w:pStyle w:val="TableText"/>
              <w:keepNext/>
              <w:jc w:val="center"/>
            </w:pPr>
            <w:r>
              <w:rPr>
                <w:b/>
                <w:bCs/>
              </w:rPr>
              <w:t>2023-</w:t>
            </w:r>
            <w:r w:rsidRPr="005B38B2">
              <w:rPr>
                <w:b/>
                <w:bCs/>
              </w:rPr>
              <w:t>2024</w:t>
            </w:r>
          </w:p>
        </w:tc>
        <w:tc>
          <w:tcPr>
            <w:tcW w:w="1134" w:type="dxa"/>
            <w:tcBorders>
              <w:bottom w:val="single" w:sz="4" w:space="0" w:color="auto"/>
            </w:tcBorders>
            <w:vAlign w:val="center"/>
          </w:tcPr>
          <w:p w14:paraId="68247C9C" w14:textId="6BBA8E37" w:rsidR="00BD2BE8" w:rsidRPr="00557FA9" w:rsidRDefault="00BD2BE8" w:rsidP="00B137E1">
            <w:pPr>
              <w:pStyle w:val="TableText"/>
              <w:keepNext/>
              <w:jc w:val="center"/>
            </w:pPr>
            <w:r>
              <w:rPr>
                <w:b/>
                <w:bCs/>
              </w:rPr>
              <w:t>2024-</w:t>
            </w:r>
            <w:r w:rsidRPr="005B38B2">
              <w:rPr>
                <w:b/>
                <w:bCs/>
              </w:rPr>
              <w:t>2025</w:t>
            </w:r>
          </w:p>
        </w:tc>
        <w:tc>
          <w:tcPr>
            <w:tcW w:w="1134" w:type="dxa"/>
            <w:tcBorders>
              <w:bottom w:val="single" w:sz="4" w:space="0" w:color="auto"/>
            </w:tcBorders>
            <w:vAlign w:val="center"/>
          </w:tcPr>
          <w:p w14:paraId="5ACD569F" w14:textId="6EEEB443" w:rsidR="00BD2BE8" w:rsidRPr="00557FA9" w:rsidRDefault="00BD2BE8" w:rsidP="00B137E1">
            <w:pPr>
              <w:pStyle w:val="TableText"/>
              <w:keepNext/>
              <w:jc w:val="center"/>
            </w:pPr>
            <w:r>
              <w:rPr>
                <w:b/>
                <w:bCs/>
              </w:rPr>
              <w:t>2025-</w:t>
            </w:r>
            <w:r w:rsidRPr="005B38B2">
              <w:rPr>
                <w:b/>
                <w:bCs/>
              </w:rPr>
              <w:t>2026</w:t>
            </w:r>
          </w:p>
        </w:tc>
        <w:tc>
          <w:tcPr>
            <w:tcW w:w="1224" w:type="dxa"/>
            <w:tcBorders>
              <w:bottom w:val="single" w:sz="4" w:space="0" w:color="auto"/>
            </w:tcBorders>
            <w:vAlign w:val="center"/>
          </w:tcPr>
          <w:p w14:paraId="1280E576" w14:textId="568657EA" w:rsidR="00BD2BE8" w:rsidRPr="00557FA9" w:rsidRDefault="00BD2BE8" w:rsidP="00B137E1">
            <w:pPr>
              <w:pStyle w:val="TableText"/>
              <w:keepNext/>
              <w:jc w:val="center"/>
            </w:pPr>
            <w:r>
              <w:rPr>
                <w:b/>
                <w:bCs/>
              </w:rPr>
              <w:t>2026-</w:t>
            </w:r>
            <w:r w:rsidRPr="005B38B2">
              <w:rPr>
                <w:b/>
                <w:bCs/>
              </w:rPr>
              <w:t>2027</w:t>
            </w:r>
          </w:p>
        </w:tc>
      </w:tr>
      <w:tr w:rsidR="00045FD4" w:rsidRPr="00557FA9" w14:paraId="51A81610" w14:textId="77777777" w:rsidTr="00EB0436">
        <w:tc>
          <w:tcPr>
            <w:tcW w:w="9016" w:type="dxa"/>
            <w:gridSpan w:val="7"/>
            <w:vAlign w:val="center"/>
          </w:tcPr>
          <w:p w14:paraId="559BB629" w14:textId="3072EE0A" w:rsidR="00045FD4" w:rsidRPr="00F5522F" w:rsidRDefault="00045FD4" w:rsidP="00F5522F">
            <w:pPr>
              <w:pStyle w:val="TableText"/>
            </w:pPr>
            <w:r w:rsidRPr="00F5522F">
              <w:rPr>
                <w:b/>
                <w:bCs/>
              </w:rPr>
              <w:t>Combined costs to the healthcare budget</w:t>
            </w:r>
          </w:p>
        </w:tc>
      </w:tr>
      <w:tr w:rsidR="009B229A" w:rsidRPr="00557FA9" w14:paraId="6A13A9A7" w14:textId="77777777" w:rsidTr="00B137E1">
        <w:tc>
          <w:tcPr>
            <w:tcW w:w="2122" w:type="dxa"/>
            <w:vAlign w:val="center"/>
          </w:tcPr>
          <w:p w14:paraId="3863557B" w14:textId="1EA4EBE7" w:rsidR="009B229A" w:rsidRPr="00F5522F" w:rsidRDefault="009B229A" w:rsidP="009B229A">
            <w:pPr>
              <w:pStyle w:val="TableText"/>
            </w:pPr>
            <w:r>
              <w:t>Carrier</w:t>
            </w:r>
            <w:r w:rsidRPr="00F5522F">
              <w:t xml:space="preserve"> testing</w:t>
            </w:r>
          </w:p>
        </w:tc>
        <w:tc>
          <w:tcPr>
            <w:tcW w:w="1134" w:type="dxa"/>
            <w:vAlign w:val="center"/>
          </w:tcPr>
          <w:p w14:paraId="55D31837" w14:textId="47D993B6" w:rsidR="009B229A" w:rsidRPr="002F4BCD" w:rsidRDefault="009B229A" w:rsidP="00D60748">
            <w:pPr>
              <w:pStyle w:val="TableText"/>
              <w:jc w:val="right"/>
              <w:rPr>
                <w:szCs w:val="20"/>
              </w:rPr>
            </w:pPr>
            <w:r w:rsidRPr="00B72510">
              <w:rPr>
                <w:szCs w:val="20"/>
              </w:rPr>
              <w:t>$229,109.25</w:t>
            </w:r>
          </w:p>
        </w:tc>
        <w:tc>
          <w:tcPr>
            <w:tcW w:w="1134" w:type="dxa"/>
            <w:vAlign w:val="center"/>
          </w:tcPr>
          <w:p w14:paraId="1E54C93A" w14:textId="01049379" w:rsidR="009B229A" w:rsidRPr="002F4BCD" w:rsidRDefault="009B229A" w:rsidP="00D60748">
            <w:pPr>
              <w:pStyle w:val="TableText"/>
              <w:jc w:val="right"/>
              <w:rPr>
                <w:szCs w:val="20"/>
              </w:rPr>
            </w:pPr>
            <w:r w:rsidRPr="00B72510">
              <w:rPr>
                <w:szCs w:val="20"/>
              </w:rPr>
              <w:t>$224,587.23</w:t>
            </w:r>
          </w:p>
        </w:tc>
        <w:tc>
          <w:tcPr>
            <w:tcW w:w="1134" w:type="dxa"/>
            <w:vAlign w:val="center"/>
          </w:tcPr>
          <w:p w14:paraId="35B88858" w14:textId="279A4115" w:rsidR="009B229A" w:rsidRPr="002F4BCD" w:rsidRDefault="009B229A" w:rsidP="00D60748">
            <w:pPr>
              <w:pStyle w:val="TableText"/>
              <w:jc w:val="right"/>
              <w:rPr>
                <w:szCs w:val="20"/>
              </w:rPr>
            </w:pPr>
            <w:r w:rsidRPr="00B72510">
              <w:rPr>
                <w:szCs w:val="20"/>
              </w:rPr>
              <w:t>$220,065.20</w:t>
            </w:r>
          </w:p>
        </w:tc>
        <w:tc>
          <w:tcPr>
            <w:tcW w:w="1134" w:type="dxa"/>
            <w:vAlign w:val="center"/>
          </w:tcPr>
          <w:p w14:paraId="03535C62" w14:textId="63BF77FA" w:rsidR="009B229A" w:rsidRPr="002F4BCD" w:rsidRDefault="009B229A" w:rsidP="00D60748">
            <w:pPr>
              <w:pStyle w:val="TableText"/>
              <w:jc w:val="right"/>
              <w:rPr>
                <w:szCs w:val="20"/>
              </w:rPr>
            </w:pPr>
            <w:r w:rsidRPr="00B72510">
              <w:rPr>
                <w:szCs w:val="20"/>
              </w:rPr>
              <w:t>$215,543.18</w:t>
            </w:r>
          </w:p>
        </w:tc>
        <w:tc>
          <w:tcPr>
            <w:tcW w:w="1134" w:type="dxa"/>
            <w:vAlign w:val="center"/>
          </w:tcPr>
          <w:p w14:paraId="300BC8DC" w14:textId="436AA3C0" w:rsidR="009B229A" w:rsidRPr="002F4BCD" w:rsidRDefault="009B229A" w:rsidP="00D60748">
            <w:pPr>
              <w:pStyle w:val="TableText"/>
              <w:jc w:val="right"/>
              <w:rPr>
                <w:szCs w:val="20"/>
              </w:rPr>
            </w:pPr>
            <w:r w:rsidRPr="00B72510">
              <w:rPr>
                <w:szCs w:val="20"/>
              </w:rPr>
              <w:t>$211,168.03</w:t>
            </w:r>
          </w:p>
        </w:tc>
        <w:tc>
          <w:tcPr>
            <w:tcW w:w="1224" w:type="dxa"/>
            <w:vAlign w:val="center"/>
          </w:tcPr>
          <w:p w14:paraId="4F256EAC" w14:textId="6D18CA86" w:rsidR="009B229A" w:rsidRPr="002F4BCD" w:rsidRDefault="009B229A" w:rsidP="00D60748">
            <w:pPr>
              <w:pStyle w:val="TableText"/>
              <w:jc w:val="right"/>
              <w:rPr>
                <w:szCs w:val="20"/>
              </w:rPr>
            </w:pPr>
            <w:r w:rsidRPr="00B72510">
              <w:rPr>
                <w:szCs w:val="20"/>
              </w:rPr>
              <w:t>$206,792.87</w:t>
            </w:r>
          </w:p>
        </w:tc>
      </w:tr>
      <w:tr w:rsidR="001619E8" w:rsidRPr="00557FA9" w14:paraId="15EE9D34" w14:textId="77777777" w:rsidTr="00B137E1">
        <w:tc>
          <w:tcPr>
            <w:tcW w:w="2122" w:type="dxa"/>
            <w:vAlign w:val="center"/>
          </w:tcPr>
          <w:p w14:paraId="0F605E76" w14:textId="77777777" w:rsidR="001619E8" w:rsidRPr="00F5522F" w:rsidRDefault="001619E8" w:rsidP="001619E8">
            <w:pPr>
              <w:pStyle w:val="TableText"/>
            </w:pPr>
            <w:r w:rsidRPr="00F5522F">
              <w:t>CF/SMA/FXS testing</w:t>
            </w:r>
          </w:p>
        </w:tc>
        <w:tc>
          <w:tcPr>
            <w:tcW w:w="1134" w:type="dxa"/>
            <w:vAlign w:val="center"/>
          </w:tcPr>
          <w:p w14:paraId="7F1492D4" w14:textId="6A1042F2" w:rsidR="001619E8" w:rsidRPr="002F4BCD" w:rsidRDefault="001619E8" w:rsidP="00D60748">
            <w:pPr>
              <w:pStyle w:val="TableText"/>
              <w:jc w:val="right"/>
              <w:rPr>
                <w:szCs w:val="20"/>
              </w:rPr>
            </w:pPr>
            <w:r w:rsidRPr="003D6646">
              <w:rPr>
                <w:szCs w:val="20"/>
              </w:rPr>
              <w:t>$2,139.38</w:t>
            </w:r>
          </w:p>
        </w:tc>
        <w:tc>
          <w:tcPr>
            <w:tcW w:w="1134" w:type="dxa"/>
            <w:vAlign w:val="center"/>
          </w:tcPr>
          <w:p w14:paraId="5351D789" w14:textId="0CE53F9E" w:rsidR="001619E8" w:rsidRPr="002F4BCD" w:rsidRDefault="001619E8" w:rsidP="00D60748">
            <w:pPr>
              <w:pStyle w:val="TableText"/>
              <w:jc w:val="right"/>
              <w:rPr>
                <w:szCs w:val="20"/>
              </w:rPr>
            </w:pPr>
            <w:r w:rsidRPr="003D6646">
              <w:rPr>
                <w:szCs w:val="20"/>
              </w:rPr>
              <w:t>$2,097.21</w:t>
            </w:r>
          </w:p>
        </w:tc>
        <w:tc>
          <w:tcPr>
            <w:tcW w:w="1134" w:type="dxa"/>
            <w:vAlign w:val="center"/>
          </w:tcPr>
          <w:p w14:paraId="05C67AD0" w14:textId="51C653FC" w:rsidR="001619E8" w:rsidRPr="002F4BCD" w:rsidRDefault="001619E8" w:rsidP="00D60748">
            <w:pPr>
              <w:pStyle w:val="TableText"/>
              <w:jc w:val="right"/>
              <w:rPr>
                <w:szCs w:val="20"/>
              </w:rPr>
            </w:pPr>
            <w:r w:rsidRPr="003D6646">
              <w:rPr>
                <w:szCs w:val="20"/>
              </w:rPr>
              <w:t>$65,360.56</w:t>
            </w:r>
          </w:p>
        </w:tc>
        <w:tc>
          <w:tcPr>
            <w:tcW w:w="1134" w:type="dxa"/>
            <w:vAlign w:val="center"/>
          </w:tcPr>
          <w:p w14:paraId="2A624173" w14:textId="4090BE3E" w:rsidR="001619E8" w:rsidRPr="002F4BCD" w:rsidRDefault="001619E8" w:rsidP="00D60748">
            <w:pPr>
              <w:pStyle w:val="TableText"/>
              <w:jc w:val="right"/>
              <w:rPr>
                <w:szCs w:val="20"/>
              </w:rPr>
            </w:pPr>
            <w:r w:rsidRPr="003D6646">
              <w:rPr>
                <w:szCs w:val="20"/>
              </w:rPr>
              <w:t>$95,021.36</w:t>
            </w:r>
          </w:p>
        </w:tc>
        <w:tc>
          <w:tcPr>
            <w:tcW w:w="1134" w:type="dxa"/>
            <w:vAlign w:val="center"/>
          </w:tcPr>
          <w:p w14:paraId="1675A1FC" w14:textId="0BDF263F" w:rsidR="001619E8" w:rsidRPr="002F4BCD" w:rsidRDefault="001619E8" w:rsidP="00D60748">
            <w:pPr>
              <w:pStyle w:val="TableText"/>
              <w:jc w:val="right"/>
              <w:rPr>
                <w:szCs w:val="20"/>
              </w:rPr>
            </w:pPr>
            <w:r w:rsidRPr="003D6646">
              <w:rPr>
                <w:szCs w:val="20"/>
              </w:rPr>
              <w:t>$93,099.36</w:t>
            </w:r>
          </w:p>
        </w:tc>
        <w:tc>
          <w:tcPr>
            <w:tcW w:w="1224" w:type="dxa"/>
            <w:vAlign w:val="center"/>
          </w:tcPr>
          <w:p w14:paraId="39D405C8" w14:textId="0ACAEA93" w:rsidR="001619E8" w:rsidRPr="002F4BCD" w:rsidRDefault="001619E8" w:rsidP="00D60748">
            <w:pPr>
              <w:pStyle w:val="TableText"/>
              <w:jc w:val="right"/>
              <w:rPr>
                <w:szCs w:val="20"/>
              </w:rPr>
            </w:pPr>
            <w:r w:rsidRPr="003D6646">
              <w:rPr>
                <w:szCs w:val="20"/>
              </w:rPr>
              <w:t>$91,177.36</w:t>
            </w:r>
          </w:p>
        </w:tc>
      </w:tr>
      <w:tr w:rsidR="00045FD4" w:rsidRPr="00557FA9" w14:paraId="0F55BABB" w14:textId="77777777" w:rsidTr="00EB0436">
        <w:tc>
          <w:tcPr>
            <w:tcW w:w="9016" w:type="dxa"/>
            <w:gridSpan w:val="7"/>
            <w:vAlign w:val="center"/>
          </w:tcPr>
          <w:p w14:paraId="65EEA5A6" w14:textId="2DD6D166" w:rsidR="00045FD4" w:rsidRPr="00F5522F" w:rsidRDefault="00045FD4" w:rsidP="00A002E0">
            <w:pPr>
              <w:pStyle w:val="TableText"/>
              <w:keepNext/>
            </w:pPr>
            <w:r w:rsidRPr="00F5522F">
              <w:rPr>
                <w:b/>
                <w:bCs/>
              </w:rPr>
              <w:t>Difference in costs</w:t>
            </w:r>
          </w:p>
        </w:tc>
      </w:tr>
      <w:tr w:rsidR="001619E8" w:rsidRPr="00557FA9" w14:paraId="7E37286C" w14:textId="77777777" w:rsidTr="00B137E1">
        <w:tc>
          <w:tcPr>
            <w:tcW w:w="2122" w:type="dxa"/>
            <w:vAlign w:val="center"/>
          </w:tcPr>
          <w:p w14:paraId="66E96136" w14:textId="5946289C" w:rsidR="001619E8" w:rsidRPr="00F5522F" w:rsidRDefault="001619E8" w:rsidP="001619E8">
            <w:pPr>
              <w:pStyle w:val="TableText"/>
              <w:keepNext/>
            </w:pPr>
            <w:r w:rsidRPr="00F5522F">
              <w:t>Total (testing compared with CF/SMA/FXS testing)</w:t>
            </w:r>
          </w:p>
        </w:tc>
        <w:tc>
          <w:tcPr>
            <w:tcW w:w="1134" w:type="dxa"/>
            <w:vAlign w:val="center"/>
          </w:tcPr>
          <w:p w14:paraId="2243472F" w14:textId="2595B8E9" w:rsidR="001619E8" w:rsidRPr="002F4BCD" w:rsidRDefault="001619E8" w:rsidP="00D60748">
            <w:pPr>
              <w:pStyle w:val="TableText"/>
              <w:keepNext/>
              <w:jc w:val="right"/>
              <w:rPr>
                <w:szCs w:val="20"/>
              </w:rPr>
            </w:pPr>
            <w:r w:rsidRPr="003D6646">
              <w:rPr>
                <w:szCs w:val="20"/>
              </w:rPr>
              <w:t>$226,969.87</w:t>
            </w:r>
          </w:p>
        </w:tc>
        <w:tc>
          <w:tcPr>
            <w:tcW w:w="1134" w:type="dxa"/>
            <w:vAlign w:val="center"/>
          </w:tcPr>
          <w:p w14:paraId="0A0EA580" w14:textId="7BE37C43" w:rsidR="001619E8" w:rsidRPr="002F4BCD" w:rsidRDefault="001619E8" w:rsidP="00D60748">
            <w:pPr>
              <w:pStyle w:val="TableText"/>
              <w:keepNext/>
              <w:jc w:val="right"/>
              <w:rPr>
                <w:szCs w:val="20"/>
              </w:rPr>
            </w:pPr>
            <w:r w:rsidRPr="003D6646">
              <w:rPr>
                <w:szCs w:val="20"/>
              </w:rPr>
              <w:t>$222,490.02</w:t>
            </w:r>
          </w:p>
        </w:tc>
        <w:tc>
          <w:tcPr>
            <w:tcW w:w="1134" w:type="dxa"/>
            <w:vAlign w:val="center"/>
          </w:tcPr>
          <w:p w14:paraId="6EEFE7A7" w14:textId="61230A54" w:rsidR="001619E8" w:rsidRPr="002F4BCD" w:rsidRDefault="001619E8" w:rsidP="00D60748">
            <w:pPr>
              <w:pStyle w:val="TableText"/>
              <w:keepNext/>
              <w:jc w:val="right"/>
              <w:rPr>
                <w:szCs w:val="20"/>
              </w:rPr>
            </w:pPr>
            <w:r w:rsidRPr="003D6646">
              <w:rPr>
                <w:szCs w:val="20"/>
              </w:rPr>
              <w:t>$154,704.64</w:t>
            </w:r>
          </w:p>
        </w:tc>
        <w:tc>
          <w:tcPr>
            <w:tcW w:w="1134" w:type="dxa"/>
            <w:vAlign w:val="center"/>
          </w:tcPr>
          <w:p w14:paraId="0496EECD" w14:textId="18501940" w:rsidR="001619E8" w:rsidRPr="002F4BCD" w:rsidRDefault="001619E8" w:rsidP="00D60748">
            <w:pPr>
              <w:pStyle w:val="TableText"/>
              <w:keepNext/>
              <w:jc w:val="right"/>
              <w:rPr>
                <w:szCs w:val="20"/>
              </w:rPr>
            </w:pPr>
            <w:r w:rsidRPr="003D6646">
              <w:rPr>
                <w:szCs w:val="20"/>
              </w:rPr>
              <w:t>$120,521.82</w:t>
            </w:r>
          </w:p>
        </w:tc>
        <w:tc>
          <w:tcPr>
            <w:tcW w:w="1134" w:type="dxa"/>
            <w:vAlign w:val="center"/>
          </w:tcPr>
          <w:p w14:paraId="2D53EF23" w14:textId="53E572D5" w:rsidR="001619E8" w:rsidRPr="002F4BCD" w:rsidRDefault="001619E8" w:rsidP="00D60748">
            <w:pPr>
              <w:pStyle w:val="TableText"/>
              <w:keepNext/>
              <w:jc w:val="right"/>
              <w:rPr>
                <w:szCs w:val="20"/>
              </w:rPr>
            </w:pPr>
            <w:r w:rsidRPr="003D6646">
              <w:rPr>
                <w:szCs w:val="20"/>
              </w:rPr>
              <w:t>$118,068.67</w:t>
            </w:r>
          </w:p>
        </w:tc>
        <w:tc>
          <w:tcPr>
            <w:tcW w:w="1224" w:type="dxa"/>
            <w:vAlign w:val="center"/>
          </w:tcPr>
          <w:p w14:paraId="0809E231" w14:textId="24733344" w:rsidR="001619E8" w:rsidRPr="002F4BCD" w:rsidRDefault="001619E8" w:rsidP="00D60748">
            <w:pPr>
              <w:pStyle w:val="TableText"/>
              <w:keepNext/>
              <w:jc w:val="right"/>
              <w:rPr>
                <w:szCs w:val="20"/>
              </w:rPr>
            </w:pPr>
            <w:r w:rsidRPr="003D6646">
              <w:rPr>
                <w:szCs w:val="20"/>
              </w:rPr>
              <w:t>$115,615.51</w:t>
            </w:r>
          </w:p>
        </w:tc>
      </w:tr>
    </w:tbl>
    <w:p w14:paraId="41846D47" w14:textId="7CD7A522" w:rsidR="00FF7D57" w:rsidRPr="00557FA9" w:rsidRDefault="00FF7D57" w:rsidP="00FF7D57">
      <w:pPr>
        <w:pStyle w:val="Instructionaltext-afterfiguretable"/>
        <w:rPr>
          <w:color w:val="auto"/>
        </w:rPr>
      </w:pPr>
      <w:r w:rsidRPr="00557FA9">
        <w:rPr>
          <w:color w:val="auto"/>
        </w:rPr>
        <w:t xml:space="preserve">As demonstrated above, </w:t>
      </w:r>
      <w:r w:rsidR="00CA2EEE">
        <w:rPr>
          <w:color w:val="auto"/>
        </w:rPr>
        <w:t>carrier</w:t>
      </w:r>
      <w:r w:rsidR="00911C3B" w:rsidRPr="00557FA9">
        <w:rPr>
          <w:color w:val="auto"/>
        </w:rPr>
        <w:t xml:space="preserve"> </w:t>
      </w:r>
      <w:r w:rsidRPr="00557FA9">
        <w:rPr>
          <w:color w:val="auto"/>
        </w:rPr>
        <w:t xml:space="preserve">testing </w:t>
      </w:r>
      <w:r w:rsidR="00B240F3">
        <w:rPr>
          <w:color w:val="auto"/>
        </w:rPr>
        <w:t xml:space="preserve">costs the </w:t>
      </w:r>
      <w:r w:rsidRPr="00557FA9">
        <w:rPr>
          <w:color w:val="auto"/>
        </w:rPr>
        <w:t>healthcare budget</w:t>
      </w:r>
      <w:r w:rsidR="00B240F3">
        <w:rPr>
          <w:color w:val="auto"/>
        </w:rPr>
        <w:t xml:space="preserve"> an additional $</w:t>
      </w:r>
      <w:r w:rsidR="001F516F">
        <w:rPr>
          <w:color w:val="auto"/>
        </w:rPr>
        <w:t>1</w:t>
      </w:r>
      <w:r w:rsidR="001619E8">
        <w:rPr>
          <w:color w:val="auto"/>
        </w:rPr>
        <w:t>59</w:t>
      </w:r>
      <w:r w:rsidR="001F516F">
        <w:rPr>
          <w:color w:val="auto"/>
        </w:rPr>
        <w:t>,</w:t>
      </w:r>
      <w:r w:rsidR="001619E8">
        <w:rPr>
          <w:color w:val="auto"/>
        </w:rPr>
        <w:t>728</w:t>
      </w:r>
      <w:r w:rsidR="00B240F3">
        <w:rPr>
          <w:color w:val="auto"/>
        </w:rPr>
        <w:t xml:space="preserve"> </w:t>
      </w:r>
      <w:r w:rsidR="00E671C3">
        <w:rPr>
          <w:color w:val="auto"/>
        </w:rPr>
        <w:t xml:space="preserve">per year </w:t>
      </w:r>
      <w:r w:rsidR="00B240F3">
        <w:rPr>
          <w:color w:val="auto"/>
        </w:rPr>
        <w:t>on average</w:t>
      </w:r>
      <w:r w:rsidRPr="00557FA9">
        <w:rPr>
          <w:color w:val="auto"/>
        </w:rPr>
        <w:t xml:space="preserve"> when compared with </w:t>
      </w:r>
      <w:r w:rsidR="00A65309">
        <w:rPr>
          <w:color w:val="auto"/>
        </w:rPr>
        <w:t>CF/SMA/FXS</w:t>
      </w:r>
      <w:r w:rsidRPr="00557FA9">
        <w:rPr>
          <w:color w:val="auto"/>
        </w:rPr>
        <w:t xml:space="preserve"> testing. When compared with </w:t>
      </w:r>
      <w:r w:rsidR="00B240F3">
        <w:rPr>
          <w:color w:val="auto"/>
        </w:rPr>
        <w:t>no</w:t>
      </w:r>
      <w:r w:rsidR="00B240F3" w:rsidRPr="00557FA9">
        <w:rPr>
          <w:color w:val="auto"/>
        </w:rPr>
        <w:t xml:space="preserve"> </w:t>
      </w:r>
      <w:r w:rsidRPr="00557FA9">
        <w:rPr>
          <w:color w:val="auto"/>
        </w:rPr>
        <w:t xml:space="preserve">testing there is a </w:t>
      </w:r>
      <w:r w:rsidR="00B240F3">
        <w:rPr>
          <w:color w:val="auto"/>
        </w:rPr>
        <w:t>significant i</w:t>
      </w:r>
      <w:r w:rsidRPr="00557FA9">
        <w:rPr>
          <w:color w:val="auto"/>
        </w:rPr>
        <w:t xml:space="preserve">ncrease in costs to the </w:t>
      </w:r>
      <w:r w:rsidR="00DF7E8A">
        <w:rPr>
          <w:color w:val="auto"/>
        </w:rPr>
        <w:t>healthcare</w:t>
      </w:r>
      <w:r w:rsidR="00DF7E8A" w:rsidRPr="00557FA9">
        <w:rPr>
          <w:color w:val="auto"/>
        </w:rPr>
        <w:t xml:space="preserve"> </w:t>
      </w:r>
      <w:r w:rsidRPr="00557FA9">
        <w:rPr>
          <w:color w:val="auto"/>
        </w:rPr>
        <w:t>of $</w:t>
      </w:r>
      <w:r w:rsidR="00C065CC">
        <w:rPr>
          <w:color w:val="auto"/>
        </w:rPr>
        <w:t>2</w:t>
      </w:r>
      <w:r w:rsidR="009B229A">
        <w:rPr>
          <w:color w:val="auto"/>
        </w:rPr>
        <w:t>15</w:t>
      </w:r>
      <w:r w:rsidRPr="00557FA9">
        <w:rPr>
          <w:color w:val="auto"/>
        </w:rPr>
        <w:t>,</w:t>
      </w:r>
      <w:r w:rsidR="001F516F">
        <w:rPr>
          <w:color w:val="auto"/>
        </w:rPr>
        <w:t>843</w:t>
      </w:r>
      <w:r w:rsidRPr="00557FA9">
        <w:rPr>
          <w:color w:val="auto"/>
        </w:rPr>
        <w:t xml:space="preserve"> per year</w:t>
      </w:r>
      <w:r w:rsidR="00E671C3">
        <w:rPr>
          <w:color w:val="auto"/>
        </w:rPr>
        <w:t xml:space="preserve"> on average</w:t>
      </w:r>
      <w:r w:rsidR="00DF7E8A">
        <w:rPr>
          <w:color w:val="auto"/>
        </w:rPr>
        <w:t xml:space="preserve">, however </w:t>
      </w:r>
      <w:r w:rsidR="00D63D20">
        <w:rPr>
          <w:color w:val="auto"/>
        </w:rPr>
        <w:t>i</w:t>
      </w:r>
      <w:r w:rsidR="00DF7E8A">
        <w:rPr>
          <w:color w:val="auto"/>
        </w:rPr>
        <w:t>t is noted that this is a conservative estimate as hospitalisation costs for the listed monogenic conditions have not been considered</w:t>
      </w:r>
      <w:r w:rsidRPr="00557FA9">
        <w:rPr>
          <w:color w:val="auto"/>
        </w:rPr>
        <w:t>.</w:t>
      </w:r>
    </w:p>
    <w:p w14:paraId="7838A9FF" w14:textId="110BA7AC" w:rsidR="00772829" w:rsidRPr="00CE28E3" w:rsidRDefault="00C36633" w:rsidP="002A18BE">
      <w:pPr>
        <w:pStyle w:val="Heading2"/>
        <w:numPr>
          <w:ilvl w:val="0"/>
          <w:numId w:val="0"/>
        </w:numPr>
      </w:pPr>
      <w:bookmarkStart w:id="87" w:name="_Toc103096513"/>
      <w:r>
        <w:t>1</w:t>
      </w:r>
      <w:r w:rsidR="00E96E47">
        <w:t>5</w:t>
      </w:r>
      <w:r>
        <w:t>.</w:t>
      </w:r>
      <w:r>
        <w:tab/>
      </w:r>
      <w:r w:rsidR="00772829" w:rsidRPr="00CE28E3">
        <w:t xml:space="preserve">Other relevant </w:t>
      </w:r>
      <w:r w:rsidR="00FA5766">
        <w:t>information</w:t>
      </w:r>
      <w:bookmarkEnd w:id="87"/>
    </w:p>
    <w:p w14:paraId="30DE9625" w14:textId="4E3BA7A5" w:rsidR="00772829" w:rsidRDefault="008F6884" w:rsidP="006A120A">
      <w:r>
        <w:t>N</w:t>
      </w:r>
      <w:r w:rsidR="0001042F">
        <w:t>il</w:t>
      </w:r>
      <w:r w:rsidR="0092366F">
        <w:t>.</w:t>
      </w:r>
    </w:p>
    <w:p w14:paraId="69321DBB" w14:textId="77777777" w:rsidR="00E96E47" w:rsidRDefault="00E96E47" w:rsidP="00E96E47">
      <w:pPr>
        <w:pStyle w:val="Heading2"/>
        <w:numPr>
          <w:ilvl w:val="0"/>
          <w:numId w:val="0"/>
        </w:numPr>
      </w:pPr>
      <w:r>
        <w:lastRenderedPageBreak/>
        <w:t>16.</w:t>
      </w:r>
      <w:r>
        <w:tab/>
        <w:t>Key issues from ESC to MSAC</w:t>
      </w:r>
    </w:p>
    <w:tbl>
      <w:tblPr>
        <w:tblStyle w:val="TableGrid"/>
        <w:tblW w:w="9209" w:type="dxa"/>
        <w:tblInd w:w="-147" w:type="dxa"/>
        <w:tblLook w:val="04A0" w:firstRow="1" w:lastRow="0" w:firstColumn="1" w:lastColumn="0" w:noHBand="0" w:noVBand="1"/>
      </w:tblPr>
      <w:tblGrid>
        <w:gridCol w:w="9209"/>
      </w:tblGrid>
      <w:tr w:rsidR="00E96E47" w:rsidRPr="00A73FC7" w14:paraId="04B4282C" w14:textId="77777777" w:rsidTr="00E96E47">
        <w:tc>
          <w:tcPr>
            <w:tcW w:w="9209" w:type="dxa"/>
          </w:tcPr>
          <w:p w14:paraId="1A7A5411" w14:textId="77777777" w:rsidR="00E96E47" w:rsidRPr="00A73FC7" w:rsidRDefault="00E96E47" w:rsidP="00E96E47">
            <w:pPr>
              <w:spacing w:after="120"/>
              <w:ind w:left="360" w:hanging="360"/>
              <w:rPr>
                <w:rFonts w:eastAsia="Calibri" w:cs="Times New Roman"/>
                <w:b/>
                <w:bCs/>
              </w:rPr>
            </w:pPr>
            <w:bookmarkStart w:id="88" w:name="_Hlk69734340"/>
            <w:r w:rsidRPr="00A73FC7">
              <w:rPr>
                <w:rFonts w:eastAsia="Calibri" w:cs="Times New Roman"/>
                <w:b/>
                <w:bCs/>
              </w:rPr>
              <w:t xml:space="preserve">Main issues for MSAC consideration </w:t>
            </w:r>
          </w:p>
          <w:p w14:paraId="61F7C08A" w14:textId="77777777" w:rsidR="00E96E47" w:rsidRPr="00A73FC7" w:rsidRDefault="00E96E47" w:rsidP="00E96E47">
            <w:pPr>
              <w:spacing w:after="120"/>
              <w:ind w:left="360" w:hanging="360"/>
              <w:rPr>
                <w:rFonts w:eastAsia="Calibri" w:cs="Times New Roman"/>
                <w:b/>
                <w:bCs/>
              </w:rPr>
            </w:pPr>
            <w:r w:rsidRPr="00A73FC7">
              <w:rPr>
                <w:rFonts w:eastAsia="Calibri" w:cs="Times New Roman"/>
                <w:b/>
                <w:bCs/>
              </w:rPr>
              <w:t>Clinical issues:</w:t>
            </w:r>
          </w:p>
          <w:p w14:paraId="78A264B4" w14:textId="77777777" w:rsidR="00E96E47" w:rsidRDefault="00E96E47" w:rsidP="00E96E47">
            <w:pPr>
              <w:spacing w:after="120"/>
              <w:rPr>
                <w:rFonts w:eastAsia="Calibri" w:cs="Times New Roman"/>
              </w:rPr>
            </w:pPr>
            <w:r>
              <w:rPr>
                <w:rFonts w:eastAsia="Calibri" w:cs="Times New Roman"/>
              </w:rPr>
              <w:t xml:space="preserve">The proposed test for AAAA is an amplicon-specific gene panel examining specific variants that are more prevalent in the </w:t>
            </w:r>
            <w:r w:rsidRPr="00A73FC7">
              <w:rPr>
                <w:rFonts w:eastAsia="Calibri" w:cs="Times New Roman"/>
                <w:iCs/>
              </w:rPr>
              <w:t xml:space="preserve">Ashkenazi Jewish </w:t>
            </w:r>
            <w:r>
              <w:rPr>
                <w:rFonts w:eastAsia="Calibri" w:cs="Times New Roman"/>
                <w:iCs/>
              </w:rPr>
              <w:t>population. The item descriptor defines e</w:t>
            </w:r>
            <w:r w:rsidRPr="00A73FC7">
              <w:rPr>
                <w:rFonts w:eastAsia="Calibri" w:cs="Times New Roman"/>
              </w:rPr>
              <w:t>ligibility based on identifi</w:t>
            </w:r>
            <w:r>
              <w:rPr>
                <w:rFonts w:eastAsia="Calibri" w:cs="Times New Roman"/>
              </w:rPr>
              <w:t>ed</w:t>
            </w:r>
            <w:r w:rsidRPr="00A73FC7">
              <w:rPr>
                <w:rFonts w:eastAsia="Calibri" w:cs="Times New Roman"/>
              </w:rPr>
              <w:t xml:space="preserve"> risk</w:t>
            </w:r>
            <w:r>
              <w:rPr>
                <w:rFonts w:eastAsia="Calibri" w:cs="Times New Roman"/>
              </w:rPr>
              <w:t xml:space="preserve"> rather than </w:t>
            </w:r>
            <w:r w:rsidRPr="00A73FC7">
              <w:rPr>
                <w:rFonts w:eastAsia="Calibri" w:cs="Times New Roman"/>
              </w:rPr>
              <w:t>ethnicity</w:t>
            </w:r>
            <w:r>
              <w:rPr>
                <w:rFonts w:eastAsia="Calibri" w:cs="Times New Roman"/>
              </w:rPr>
              <w:t xml:space="preserve">, which seems acceptable, though </w:t>
            </w:r>
            <w:r>
              <w:rPr>
                <w:rFonts w:eastAsia="Calibri" w:cs="Times New Roman"/>
                <w:iCs/>
              </w:rPr>
              <w:t>MSAC should note the proposed services are intended for the Ashkenazi Jewish population, and that in practice referring practitioners will determine testing eligibility based on their patient’s ethnicity. MSAC will need to consider the appropriateness of defining testing eligibility based on a de facto requirement of Ashkenazi Jewish ancestry</w:t>
            </w:r>
            <w:r w:rsidRPr="00A73FC7">
              <w:rPr>
                <w:rFonts w:eastAsia="Calibri" w:cs="Times New Roman"/>
              </w:rPr>
              <w:t>.</w:t>
            </w:r>
            <w:r>
              <w:rPr>
                <w:rFonts w:eastAsia="Calibri" w:cs="Times New Roman"/>
                <w:iCs/>
              </w:rPr>
              <w:t xml:space="preserve"> The evidence for risk in other ethnicities (or consanguineous cases) was not examined as part of this application.</w:t>
            </w:r>
          </w:p>
          <w:p w14:paraId="08FE4B93" w14:textId="77777777" w:rsidR="00E96E47" w:rsidRPr="00311AE1" w:rsidRDefault="00E96E47" w:rsidP="00E96E47">
            <w:pPr>
              <w:spacing w:after="120"/>
              <w:rPr>
                <w:rFonts w:eastAsia="Calibri" w:cs="Times New Roman"/>
              </w:rPr>
            </w:pPr>
            <w:r>
              <w:rPr>
                <w:rFonts w:eastAsia="Calibri" w:cs="Times New Roman"/>
                <w:iCs/>
              </w:rPr>
              <w:t xml:space="preserve">This testing represents positive discrimination for a previously under-catered-for group, but also </w:t>
            </w:r>
            <w:r>
              <w:rPr>
                <w:rFonts w:eastAsia="Calibri" w:cs="Times New Roman"/>
              </w:rPr>
              <w:t xml:space="preserve">raises ethical concerns that affording access to publicly funded testing to people of select ethnicities and omitting others could result in actual or perceived </w:t>
            </w:r>
            <w:r w:rsidRPr="00CD60E0">
              <w:rPr>
                <w:rFonts w:eastAsia="Calibri" w:cs="Times New Roman"/>
              </w:rPr>
              <w:t>systemic discrimination</w:t>
            </w:r>
            <w:r>
              <w:rPr>
                <w:rFonts w:eastAsia="Calibri" w:cs="Times New Roman"/>
              </w:rPr>
              <w:t>.</w:t>
            </w:r>
          </w:p>
          <w:p w14:paraId="1EA5F562" w14:textId="77777777" w:rsidR="00E96E47" w:rsidRDefault="00E96E47" w:rsidP="00E96E47">
            <w:pPr>
              <w:spacing w:after="120"/>
              <w:rPr>
                <w:rFonts w:eastAsia="Calibri" w:cs="Times New Roman"/>
              </w:rPr>
            </w:pPr>
            <w:r>
              <w:rPr>
                <w:rFonts w:eastAsia="Calibri" w:cs="Times New Roman"/>
              </w:rPr>
              <w:t>When already pregnant, simultaneous testing of both reproductive partners is proposed where both partners are eligible for AAAA. However, reproductive partners not eligible for AAAA are proposed to be tested sequentially using gene sequencing under CCCC where their partner is first found to have a variant in any gene or genes using AAAA. Sequential testing for partners not eligible for AAAA would be more cost-effective and have a lower financial impact than simultaneous testing, though simultaneous testing of both partners may be more clinically appropriate.</w:t>
            </w:r>
          </w:p>
          <w:p w14:paraId="5FC3862B" w14:textId="77777777" w:rsidR="00E96E47" w:rsidRDefault="00E96E47" w:rsidP="00E96E47">
            <w:pPr>
              <w:spacing w:after="120"/>
              <w:rPr>
                <w:rFonts w:eastAsia="Calibri" w:cs="Times New Roman"/>
              </w:rPr>
            </w:pPr>
            <w:r>
              <w:rPr>
                <w:rFonts w:eastAsia="Calibri" w:cs="Times New Roman"/>
              </w:rPr>
              <w:t>Gene panel testing is proposed to only be available to asymptomatic individuals, making individuals with a known condition listed in AAAA but who might still be at risk of also being a carrier for other conditions, ineligible for gene panel testing. ESC recommended the deletion of this requirement.</w:t>
            </w:r>
          </w:p>
          <w:p w14:paraId="6AFF0A18" w14:textId="77777777" w:rsidR="00E96E47" w:rsidRDefault="00E96E47" w:rsidP="00E96E47">
            <w:pPr>
              <w:spacing w:after="120"/>
              <w:rPr>
                <w:rFonts w:eastAsia="Calibri" w:cs="Times New Roman"/>
              </w:rPr>
            </w:pPr>
            <w:r>
              <w:rPr>
                <w:rFonts w:eastAsia="Calibri" w:cs="Times New Roman"/>
              </w:rPr>
              <w:t>The re-analysis item (EEEE) may be unnecessary. While the item descriptor for AAAA is method-agnostic, the fee is expected to support an amplicon-specific gene panel test. As such, it is unlikely there will be unreported variants.</w:t>
            </w:r>
          </w:p>
          <w:p w14:paraId="553318D4" w14:textId="77777777" w:rsidR="00E96E47" w:rsidRPr="00A73FC7" w:rsidRDefault="00E96E47" w:rsidP="00E96E47">
            <w:pPr>
              <w:spacing w:after="120"/>
              <w:rPr>
                <w:rFonts w:eastAsia="Calibri" w:cs="Times New Roman"/>
              </w:rPr>
            </w:pPr>
            <w:r w:rsidRPr="00A73FC7">
              <w:rPr>
                <w:rFonts w:eastAsia="Calibri" w:cs="Times New Roman"/>
              </w:rPr>
              <w:t xml:space="preserve">The fee for </w:t>
            </w:r>
            <w:proofErr w:type="spellStart"/>
            <w:r>
              <w:rPr>
                <w:rFonts w:eastAsia="Calibri" w:cs="Times New Roman"/>
              </w:rPr>
              <w:t>fetal</w:t>
            </w:r>
            <w:proofErr w:type="spellEnd"/>
            <w:r>
              <w:rPr>
                <w:rFonts w:eastAsia="Calibri" w:cs="Times New Roman"/>
              </w:rPr>
              <w:t xml:space="preserve"> testing</w:t>
            </w:r>
            <w:r w:rsidRPr="00A73FC7">
              <w:rPr>
                <w:rFonts w:eastAsia="Calibri" w:cs="Times New Roman"/>
              </w:rPr>
              <w:t xml:space="preserve"> item GGGG </w:t>
            </w:r>
            <w:r>
              <w:rPr>
                <w:rFonts w:eastAsia="Calibri" w:cs="Times New Roman"/>
              </w:rPr>
              <w:t xml:space="preserve">should be $1,600, </w:t>
            </w:r>
            <w:r w:rsidRPr="00A73FC7">
              <w:rPr>
                <w:rFonts w:eastAsia="Calibri" w:cs="Times New Roman"/>
              </w:rPr>
              <w:t>in line with similar MBS items.</w:t>
            </w:r>
            <w:r>
              <w:rPr>
                <w:rFonts w:eastAsia="Calibri" w:cs="Times New Roman"/>
              </w:rPr>
              <w:t xml:space="preserve"> The item descriptor should also reflect the risk that the </w:t>
            </w:r>
            <w:proofErr w:type="spellStart"/>
            <w:r>
              <w:rPr>
                <w:rFonts w:eastAsia="Calibri" w:cs="Times New Roman"/>
              </w:rPr>
              <w:t>fetus</w:t>
            </w:r>
            <w:proofErr w:type="spellEnd"/>
            <w:r>
              <w:rPr>
                <w:rFonts w:eastAsia="Calibri" w:cs="Times New Roman"/>
              </w:rPr>
              <w:t xml:space="preserve"> has the disease, rather than is a carrier.</w:t>
            </w:r>
          </w:p>
          <w:p w14:paraId="244C5C40" w14:textId="77777777" w:rsidR="00E96E47" w:rsidRPr="00A73FC7" w:rsidRDefault="00E96E47" w:rsidP="00E96E47">
            <w:pPr>
              <w:spacing w:after="120"/>
              <w:rPr>
                <w:rFonts w:eastAsia="Calibri" w:cs="Times New Roman"/>
              </w:rPr>
            </w:pPr>
            <w:r>
              <w:rPr>
                <w:rFonts w:eastAsia="Calibri" w:cs="Times New Roman"/>
              </w:rPr>
              <w:t>T</w:t>
            </w:r>
            <w:r w:rsidRPr="00C54E79">
              <w:rPr>
                <w:rFonts w:eastAsia="Calibri" w:cs="Times New Roman"/>
              </w:rPr>
              <w:t>he only test accuracy measure was diagnostic yield in the Ashkenazi Jewish population. Eleven studies were identified, but none had a relevant comparator, and all studies were at high risk of bias</w:t>
            </w:r>
            <w:r>
              <w:rPr>
                <w:rFonts w:eastAsia="Calibri" w:cs="Times New Roman"/>
              </w:rPr>
              <w:t xml:space="preserve">. </w:t>
            </w:r>
          </w:p>
          <w:p w14:paraId="207BD7EC" w14:textId="77777777" w:rsidR="00E96E47" w:rsidRPr="00A73FC7" w:rsidRDefault="00E96E47" w:rsidP="00E96E47">
            <w:pPr>
              <w:spacing w:after="120"/>
              <w:ind w:left="360" w:hanging="360"/>
              <w:rPr>
                <w:rFonts w:eastAsia="Calibri" w:cs="Times New Roman"/>
                <w:b/>
                <w:bCs/>
              </w:rPr>
            </w:pPr>
            <w:r w:rsidRPr="00A73FC7">
              <w:rPr>
                <w:rFonts w:eastAsia="Calibri" w:cs="Times New Roman"/>
                <w:b/>
                <w:bCs/>
              </w:rPr>
              <w:t>Economic issues:</w:t>
            </w:r>
          </w:p>
          <w:p w14:paraId="4A1735F3" w14:textId="5369B7CD" w:rsidR="00E96E47" w:rsidRDefault="00E96E47" w:rsidP="00E96E47">
            <w:pPr>
              <w:spacing w:after="120"/>
              <w:rPr>
                <w:rFonts w:eastAsia="Calibri" w:cs="Times New Roman"/>
              </w:rPr>
            </w:pPr>
            <w:r>
              <w:rPr>
                <w:rFonts w:eastAsia="Calibri" w:cs="Times New Roman"/>
              </w:rPr>
              <w:t xml:space="preserve">The proposed testing (items AAAA and CCCC) has dominant cost-effectiveness both when only the cost of providing testing is </w:t>
            </w:r>
            <w:proofErr w:type="gramStart"/>
            <w:r>
              <w:rPr>
                <w:rFonts w:eastAsia="Calibri" w:cs="Times New Roman"/>
              </w:rPr>
              <w:t>taken into account</w:t>
            </w:r>
            <w:proofErr w:type="gramEnd"/>
            <w:r>
              <w:rPr>
                <w:rFonts w:eastAsia="Calibri" w:cs="Times New Roman"/>
              </w:rPr>
              <w:t>, and also when lifetime healthcare costs are considered.</w:t>
            </w:r>
          </w:p>
          <w:p w14:paraId="777D9479" w14:textId="77777777" w:rsidR="00E96E47" w:rsidRDefault="00E96E47" w:rsidP="00E96E47">
            <w:pPr>
              <w:spacing w:after="120"/>
              <w:rPr>
                <w:rFonts w:eastAsia="Calibri" w:cs="Times New Roman"/>
              </w:rPr>
            </w:pPr>
            <w:r>
              <w:rPr>
                <w:rFonts w:eastAsia="Calibri" w:cs="Times New Roman"/>
              </w:rPr>
              <w:t>The fee for item AAAA ($425) is reasonable considering the proposed gene panel is an amplicon-specific panel, only examining specific genetic variants that are prevalent in people of Ashkenazi Jewish ancestry.</w:t>
            </w:r>
          </w:p>
          <w:p w14:paraId="27B5E70F" w14:textId="77E7164A" w:rsidR="00E96E47" w:rsidRPr="00A73FC7" w:rsidRDefault="00E96E47" w:rsidP="00E96E47">
            <w:pPr>
              <w:spacing w:after="120"/>
              <w:rPr>
                <w:rFonts w:eastAsia="Calibri" w:cs="Times New Roman"/>
              </w:rPr>
            </w:pPr>
            <w:r>
              <w:rPr>
                <w:rFonts w:eastAsia="Calibri" w:cs="Times New Roman"/>
              </w:rPr>
              <w:t xml:space="preserve">The economic </w:t>
            </w:r>
            <w:r w:rsidRPr="00C54E79">
              <w:rPr>
                <w:rFonts w:eastAsia="Calibri" w:cs="Times New Roman"/>
              </w:rPr>
              <w:t xml:space="preserve">model </w:t>
            </w:r>
            <w:r>
              <w:rPr>
                <w:rFonts w:eastAsia="Calibri" w:cs="Times New Roman"/>
              </w:rPr>
              <w:t>does not account for people who are carriers for</w:t>
            </w:r>
            <w:r w:rsidRPr="00C54E79">
              <w:rPr>
                <w:rFonts w:eastAsia="Calibri" w:cs="Times New Roman"/>
              </w:rPr>
              <w:t xml:space="preserve"> </w:t>
            </w:r>
            <w:r>
              <w:rPr>
                <w:rFonts w:eastAsia="Calibri" w:cs="Times New Roman"/>
              </w:rPr>
              <w:t xml:space="preserve">more than </w:t>
            </w:r>
            <w:r w:rsidRPr="00C54E79">
              <w:rPr>
                <w:rFonts w:eastAsia="Calibri" w:cs="Times New Roman"/>
              </w:rPr>
              <w:t xml:space="preserve">one </w:t>
            </w:r>
            <w:r>
              <w:rPr>
                <w:rFonts w:eastAsia="Calibri" w:cs="Times New Roman"/>
              </w:rPr>
              <w:t>disease</w:t>
            </w:r>
            <w:r w:rsidRPr="00C54E79">
              <w:rPr>
                <w:rFonts w:eastAsia="Calibri" w:cs="Times New Roman"/>
              </w:rPr>
              <w:t>,</w:t>
            </w:r>
            <w:r>
              <w:rPr>
                <w:rFonts w:eastAsia="Calibri" w:cs="Times New Roman"/>
              </w:rPr>
              <w:t xml:space="preserve"> yet in the Ashkenazi Jewish population this is a substantial proportion of people (</w:t>
            </w:r>
            <w:r w:rsidR="00CD16BB">
              <w:rPr>
                <w:rFonts w:eastAsia="Calibri" w:cs="Times New Roman"/>
              </w:rPr>
              <w:t>e.g.,</w:t>
            </w:r>
            <w:r>
              <w:rPr>
                <w:rFonts w:eastAsia="Calibri" w:cs="Times New Roman"/>
              </w:rPr>
              <w:t xml:space="preserve"> </w:t>
            </w:r>
            <w:r w:rsidRPr="00A73FC7">
              <w:rPr>
                <w:rFonts w:eastAsia="Calibri" w:cs="Times New Roman"/>
                <w:iCs/>
              </w:rPr>
              <w:t xml:space="preserve">10.1% </w:t>
            </w:r>
            <w:r>
              <w:rPr>
                <w:rFonts w:eastAsia="Calibri" w:cs="Times New Roman"/>
                <w:iCs/>
              </w:rPr>
              <w:t xml:space="preserve">of this population are </w:t>
            </w:r>
            <w:r w:rsidRPr="00A73FC7">
              <w:rPr>
                <w:rFonts w:eastAsia="Calibri" w:cs="Times New Roman"/>
                <w:iCs/>
              </w:rPr>
              <w:t xml:space="preserve">carriers for two conditions and 2.5% </w:t>
            </w:r>
            <w:r>
              <w:rPr>
                <w:rFonts w:eastAsia="Calibri" w:cs="Times New Roman"/>
                <w:iCs/>
              </w:rPr>
              <w:t>are</w:t>
            </w:r>
            <w:r w:rsidRPr="00A73FC7">
              <w:rPr>
                <w:rFonts w:eastAsia="Calibri" w:cs="Times New Roman"/>
                <w:iCs/>
              </w:rPr>
              <w:t xml:space="preserve"> carriers for three conditions</w:t>
            </w:r>
            <w:r>
              <w:rPr>
                <w:rFonts w:eastAsia="Calibri" w:cs="Times New Roman"/>
                <w:iCs/>
              </w:rPr>
              <w:t>)</w:t>
            </w:r>
            <w:r>
              <w:rPr>
                <w:rFonts w:eastAsia="Calibri" w:cs="Times New Roman"/>
              </w:rPr>
              <w:t>.</w:t>
            </w:r>
          </w:p>
          <w:p w14:paraId="086E0318" w14:textId="77777777" w:rsidR="00E96E47" w:rsidRPr="00975E13" w:rsidRDefault="00E96E47" w:rsidP="00E96E47">
            <w:pPr>
              <w:spacing w:after="120"/>
              <w:rPr>
                <w:rFonts w:eastAsia="Calibri" w:cs="Times New Roman"/>
              </w:rPr>
            </w:pPr>
            <w:r>
              <w:rPr>
                <w:rFonts w:eastAsia="Calibri" w:cs="Times New Roman"/>
              </w:rPr>
              <w:t>S</w:t>
            </w:r>
            <w:r w:rsidRPr="00A73FC7">
              <w:rPr>
                <w:rFonts w:eastAsia="Calibri" w:cs="Times New Roman"/>
              </w:rPr>
              <w:t xml:space="preserve">ome of the inputs </w:t>
            </w:r>
            <w:r>
              <w:rPr>
                <w:rFonts w:eastAsia="Calibri" w:cs="Times New Roman"/>
              </w:rPr>
              <w:t xml:space="preserve">in the economic evaluation </w:t>
            </w:r>
            <w:r w:rsidRPr="00A73FC7">
              <w:rPr>
                <w:rFonts w:eastAsia="Calibri" w:cs="Times New Roman"/>
              </w:rPr>
              <w:t>were</w:t>
            </w:r>
            <w:r>
              <w:rPr>
                <w:rFonts w:eastAsia="Calibri" w:cs="Times New Roman"/>
              </w:rPr>
              <w:t xml:space="preserve"> uncertain, including that </w:t>
            </w:r>
            <w:proofErr w:type="gramStart"/>
            <w:r>
              <w:rPr>
                <w:rFonts w:eastAsia="Calibri" w:cs="Times New Roman"/>
              </w:rPr>
              <w:t>a</w:t>
            </w:r>
            <w:r w:rsidRPr="00975E13">
              <w:rPr>
                <w:rFonts w:eastAsia="Calibri" w:cs="Times New Roman"/>
              </w:rPr>
              <w:t xml:space="preserve"> number of</w:t>
            </w:r>
            <w:proofErr w:type="gramEnd"/>
            <w:r w:rsidRPr="00975E13">
              <w:rPr>
                <w:rFonts w:eastAsia="Calibri" w:cs="Times New Roman"/>
              </w:rPr>
              <w:t xml:space="preserve"> probabilities (such as rates of </w:t>
            </w:r>
            <w:r w:rsidRPr="006C2C3F">
              <w:rPr>
                <w:rFonts w:eastAsia="Calibri" w:cs="Times New Roman"/>
                <w:i/>
                <w:iCs/>
              </w:rPr>
              <w:t>in vitro</w:t>
            </w:r>
            <w:r w:rsidRPr="00975E13">
              <w:rPr>
                <w:rFonts w:eastAsia="Calibri" w:cs="Times New Roman"/>
              </w:rPr>
              <w:t xml:space="preserve"> fertilisation [IVF] and termination of pregnancy) are based on the international Ashkenazi Jewish population. However</w:t>
            </w:r>
            <w:r>
              <w:rPr>
                <w:rFonts w:eastAsia="Calibri" w:cs="Times New Roman"/>
              </w:rPr>
              <w:t>,</w:t>
            </w:r>
            <w:r w:rsidRPr="00975E13">
              <w:rPr>
                <w:rFonts w:eastAsia="Calibri" w:cs="Times New Roman"/>
              </w:rPr>
              <w:t xml:space="preserve"> there may be inter-country cultural </w:t>
            </w:r>
            <w:r w:rsidRPr="00975E13">
              <w:rPr>
                <w:rFonts w:eastAsia="Calibri" w:cs="Times New Roman"/>
              </w:rPr>
              <w:lastRenderedPageBreak/>
              <w:t>differences from the Australian Ashkenazi Jewish population that could lead to different proportions in Australia.</w:t>
            </w:r>
          </w:p>
          <w:p w14:paraId="7F795E9F" w14:textId="774F0858" w:rsidR="00E96E47" w:rsidRDefault="00E96E47" w:rsidP="00E96E47">
            <w:pPr>
              <w:spacing w:after="120"/>
              <w:rPr>
                <w:rFonts w:eastAsia="Calibri" w:cs="Times New Roman"/>
              </w:rPr>
            </w:pPr>
            <w:r>
              <w:rPr>
                <w:rFonts w:eastAsia="Calibri" w:cs="Times New Roman"/>
              </w:rPr>
              <w:t xml:space="preserve">The cost effectiveness analysis of item GGGG considered at ESC </w:t>
            </w:r>
            <w:r w:rsidRPr="004E23BF">
              <w:rPr>
                <w:rFonts w:eastAsia="Calibri" w:cs="Times New Roman"/>
              </w:rPr>
              <w:t xml:space="preserve">was a standalone analysis </w:t>
            </w:r>
            <w:r>
              <w:rPr>
                <w:rFonts w:eastAsia="Calibri" w:cs="Times New Roman"/>
              </w:rPr>
              <w:t>that</w:t>
            </w:r>
            <w:r w:rsidRPr="004E23BF">
              <w:rPr>
                <w:rFonts w:eastAsia="Calibri" w:cs="Times New Roman"/>
              </w:rPr>
              <w:t xml:space="preserve"> arrived with the rejoinder and had not been integrated into the AAAA and AAAA+CCCC analysis.</w:t>
            </w:r>
            <w:r>
              <w:rPr>
                <w:rFonts w:eastAsia="Calibri" w:cs="Times New Roman"/>
                <w:iCs/>
              </w:rPr>
              <w:t xml:space="preserve"> Some of the results of the GGGG analysis and the assumptions on probabilities underlying the analysis merited further investigation, and the assessment group provided a post-ESC addendum: ESC considered the updates to the combined model with GGGG did not appear to change any of the conclusions of the model.</w:t>
            </w:r>
          </w:p>
          <w:p w14:paraId="6E2FEEB9" w14:textId="2E0014BA" w:rsidR="00E96E47" w:rsidRPr="00A73FC7" w:rsidRDefault="00E96E47" w:rsidP="00E96E47">
            <w:pPr>
              <w:spacing w:after="120"/>
              <w:rPr>
                <w:rFonts w:eastAsia="Calibri" w:cs="Times New Roman"/>
              </w:rPr>
            </w:pPr>
            <w:r>
              <w:rPr>
                <w:rFonts w:eastAsia="Calibri" w:cs="Times New Roman"/>
                <w:iCs/>
              </w:rPr>
              <w:t>T</w:t>
            </w:r>
            <w:r w:rsidRPr="00A73FC7">
              <w:rPr>
                <w:rFonts w:eastAsia="Calibri" w:cs="Times New Roman"/>
                <w:iCs/>
              </w:rPr>
              <w:t xml:space="preserve">esting in the </w:t>
            </w:r>
            <w:r w:rsidR="00EB445A">
              <w:rPr>
                <w:rFonts w:eastAsia="Calibri" w:cs="Times New Roman"/>
                <w:iCs/>
              </w:rPr>
              <w:t>preconception</w:t>
            </w:r>
            <w:r w:rsidRPr="00A73FC7">
              <w:rPr>
                <w:rFonts w:eastAsia="Calibri" w:cs="Times New Roman"/>
                <w:iCs/>
              </w:rPr>
              <w:t xml:space="preserve"> stage </w:t>
            </w:r>
            <w:r>
              <w:rPr>
                <w:rFonts w:eastAsia="Calibri" w:cs="Times New Roman"/>
                <w:iCs/>
              </w:rPr>
              <w:t xml:space="preserve">was more cost effective </w:t>
            </w:r>
            <w:r w:rsidRPr="00A73FC7">
              <w:rPr>
                <w:rFonts w:eastAsia="Calibri" w:cs="Times New Roman"/>
                <w:iCs/>
              </w:rPr>
              <w:t xml:space="preserve">than </w:t>
            </w:r>
            <w:r>
              <w:rPr>
                <w:rFonts w:eastAsia="Calibri" w:cs="Times New Roman"/>
                <w:iCs/>
              </w:rPr>
              <w:t xml:space="preserve">pre-natal </w:t>
            </w:r>
            <w:r w:rsidRPr="00A73FC7">
              <w:rPr>
                <w:rFonts w:eastAsia="Calibri" w:cs="Times New Roman"/>
                <w:iCs/>
              </w:rPr>
              <w:t>testing</w:t>
            </w:r>
            <w:r>
              <w:rPr>
                <w:rFonts w:eastAsia="Calibri" w:cs="Times New Roman"/>
                <w:iCs/>
              </w:rPr>
              <w:t xml:space="preserve"> (ICER per birth averted was lower for </w:t>
            </w:r>
            <w:r w:rsidR="00EB445A">
              <w:rPr>
                <w:rFonts w:eastAsia="Calibri" w:cs="Times New Roman"/>
                <w:iCs/>
              </w:rPr>
              <w:t>preconception</w:t>
            </w:r>
            <w:r>
              <w:rPr>
                <w:rFonts w:eastAsia="Calibri" w:cs="Times New Roman"/>
                <w:iCs/>
              </w:rPr>
              <w:t xml:space="preserve"> testing than pre-natal testing). </w:t>
            </w:r>
            <w:r w:rsidR="00CD16BB">
              <w:rPr>
                <w:rFonts w:eastAsia="Calibri" w:cs="Times New Roman"/>
                <w:iCs/>
              </w:rPr>
              <w:t>Thus,</w:t>
            </w:r>
            <w:r>
              <w:rPr>
                <w:rFonts w:eastAsia="Calibri" w:cs="Times New Roman"/>
                <w:iCs/>
              </w:rPr>
              <w:t xml:space="preserve"> the </w:t>
            </w:r>
            <w:r w:rsidRPr="00A73FC7">
              <w:rPr>
                <w:rFonts w:eastAsia="Calibri" w:cs="Times New Roman"/>
                <w:iCs/>
              </w:rPr>
              <w:t xml:space="preserve">proportion of </w:t>
            </w:r>
            <w:r w:rsidR="00EB445A">
              <w:rPr>
                <w:rFonts w:eastAsia="Calibri" w:cs="Times New Roman"/>
                <w:iCs/>
              </w:rPr>
              <w:t>preconception</w:t>
            </w:r>
            <w:r>
              <w:rPr>
                <w:rFonts w:eastAsia="Calibri" w:cs="Times New Roman"/>
                <w:iCs/>
              </w:rPr>
              <w:t xml:space="preserve"> vs pre-natal </w:t>
            </w:r>
            <w:r w:rsidRPr="00A73FC7">
              <w:rPr>
                <w:rFonts w:eastAsia="Calibri" w:cs="Times New Roman"/>
                <w:iCs/>
              </w:rPr>
              <w:t>testing (</w:t>
            </w:r>
            <w:r>
              <w:rPr>
                <w:rFonts w:eastAsia="Calibri" w:cs="Times New Roman"/>
                <w:iCs/>
              </w:rPr>
              <w:t xml:space="preserve">base case </w:t>
            </w:r>
            <w:r w:rsidRPr="00A73FC7">
              <w:rPr>
                <w:rFonts w:eastAsia="Calibri" w:cs="Times New Roman"/>
                <w:iCs/>
              </w:rPr>
              <w:t>2</w:t>
            </w:r>
            <w:r>
              <w:rPr>
                <w:rFonts w:eastAsia="Calibri" w:cs="Times New Roman"/>
                <w:iCs/>
              </w:rPr>
              <w:t>0</w:t>
            </w:r>
            <w:proofErr w:type="gramStart"/>
            <w:r>
              <w:rPr>
                <w:rFonts w:eastAsia="Calibri" w:cs="Times New Roman"/>
                <w:iCs/>
              </w:rPr>
              <w:t>%</w:t>
            </w:r>
            <w:r w:rsidRPr="00A73FC7">
              <w:rPr>
                <w:rFonts w:eastAsia="Calibri" w:cs="Times New Roman"/>
                <w:iCs/>
              </w:rPr>
              <w:t xml:space="preserve"> </w:t>
            </w:r>
            <w:r>
              <w:rPr>
                <w:rFonts w:eastAsia="Calibri" w:cs="Times New Roman"/>
                <w:iCs/>
              </w:rPr>
              <w:t>:</w:t>
            </w:r>
            <w:proofErr w:type="gramEnd"/>
            <w:r w:rsidRPr="00A73FC7">
              <w:rPr>
                <w:rFonts w:eastAsia="Calibri" w:cs="Times New Roman"/>
                <w:iCs/>
              </w:rPr>
              <w:t xml:space="preserve"> 8</w:t>
            </w:r>
            <w:r>
              <w:rPr>
                <w:rFonts w:eastAsia="Calibri" w:cs="Times New Roman"/>
                <w:iCs/>
              </w:rPr>
              <w:t>0%</w:t>
            </w:r>
            <w:r w:rsidRPr="00A73FC7">
              <w:rPr>
                <w:rFonts w:eastAsia="Calibri" w:cs="Times New Roman"/>
                <w:iCs/>
              </w:rPr>
              <w:t>) may be an additional driver</w:t>
            </w:r>
            <w:r>
              <w:rPr>
                <w:rFonts w:eastAsia="Calibri" w:cs="Times New Roman"/>
                <w:iCs/>
              </w:rPr>
              <w:t xml:space="preserve"> of cost savings. The addendum’s </w:t>
            </w:r>
            <w:r w:rsidRPr="004E73D5">
              <w:rPr>
                <w:rFonts w:eastAsia="Calibri" w:cs="Times New Roman"/>
                <w:iCs/>
              </w:rPr>
              <w:t xml:space="preserve">economic and financial sensitivity analysis around the rates of </w:t>
            </w:r>
            <w:r w:rsidR="00EB445A">
              <w:rPr>
                <w:rFonts w:eastAsia="Calibri" w:cs="Times New Roman"/>
                <w:iCs/>
              </w:rPr>
              <w:t>preconception</w:t>
            </w:r>
            <w:r w:rsidRPr="004E73D5">
              <w:rPr>
                <w:rFonts w:eastAsia="Calibri" w:cs="Times New Roman"/>
                <w:iCs/>
              </w:rPr>
              <w:t xml:space="preserve"> and pre-natal testing </w:t>
            </w:r>
            <w:r>
              <w:rPr>
                <w:rFonts w:eastAsia="Calibri" w:cs="Times New Roman"/>
                <w:iCs/>
              </w:rPr>
              <w:t xml:space="preserve">showed that efficiency gains can be made by increasing the proportion of </w:t>
            </w:r>
            <w:r w:rsidR="00EB445A">
              <w:rPr>
                <w:rFonts w:eastAsia="Calibri" w:cs="Times New Roman"/>
                <w:iCs/>
              </w:rPr>
              <w:t>preconception</w:t>
            </w:r>
            <w:r>
              <w:rPr>
                <w:rFonts w:eastAsia="Calibri" w:cs="Times New Roman"/>
                <w:iCs/>
              </w:rPr>
              <w:t xml:space="preserve"> testing, as testing earlier reduces downstream costs.</w:t>
            </w:r>
          </w:p>
          <w:p w14:paraId="3FE61DE0" w14:textId="77777777" w:rsidR="00E96E47" w:rsidRPr="00A73FC7" w:rsidRDefault="00E96E47" w:rsidP="00E96E47">
            <w:pPr>
              <w:spacing w:after="120"/>
              <w:ind w:left="360" w:hanging="360"/>
              <w:rPr>
                <w:rFonts w:eastAsia="Calibri" w:cs="Times New Roman"/>
                <w:b/>
                <w:bCs/>
              </w:rPr>
            </w:pPr>
            <w:r w:rsidRPr="00A73FC7">
              <w:rPr>
                <w:rFonts w:eastAsia="Calibri" w:cs="Times New Roman"/>
                <w:b/>
                <w:bCs/>
              </w:rPr>
              <w:t>Financial issues:</w:t>
            </w:r>
          </w:p>
          <w:p w14:paraId="7A14FF26" w14:textId="1111F8C8" w:rsidR="00E96E47" w:rsidRPr="00A73FC7" w:rsidRDefault="00E96E47" w:rsidP="00E96E47">
            <w:pPr>
              <w:spacing w:after="120"/>
              <w:rPr>
                <w:rFonts w:eastAsia="Calibri" w:cs="Times New Roman"/>
              </w:rPr>
            </w:pPr>
            <w:r>
              <w:rPr>
                <w:rFonts w:eastAsia="Calibri" w:cs="Times New Roman"/>
                <w:snapToGrid w:val="0"/>
              </w:rPr>
              <w:t>U</w:t>
            </w:r>
            <w:r w:rsidRPr="00F066EB">
              <w:rPr>
                <w:rFonts w:eastAsia="Calibri" w:cs="Times New Roman"/>
                <w:snapToGrid w:val="0"/>
              </w:rPr>
              <w:t>ptake for genetic testing for high school students with Ashkenazi Jewish ancestry is up to three times higher than what was used in the financial</w:t>
            </w:r>
            <w:r>
              <w:rPr>
                <w:rFonts w:eastAsia="Calibri" w:cs="Times New Roman"/>
                <w:snapToGrid w:val="0"/>
              </w:rPr>
              <w:t xml:space="preserve"> analyse</w:t>
            </w:r>
            <w:r w:rsidRPr="00F066EB">
              <w:rPr>
                <w:rFonts w:eastAsia="Calibri" w:cs="Times New Roman"/>
                <w:snapToGrid w:val="0"/>
              </w:rPr>
              <w:t>s</w:t>
            </w:r>
            <w:r>
              <w:rPr>
                <w:rFonts w:eastAsia="Calibri" w:cs="Times New Roman"/>
                <w:snapToGrid w:val="0"/>
              </w:rPr>
              <w:t xml:space="preserve"> as an assumption for </w:t>
            </w:r>
            <w:r w:rsidR="00EB445A">
              <w:rPr>
                <w:rFonts w:eastAsia="Calibri" w:cs="Times New Roman"/>
                <w:snapToGrid w:val="0"/>
              </w:rPr>
              <w:t>preconception</w:t>
            </w:r>
            <w:r>
              <w:rPr>
                <w:rFonts w:eastAsia="Calibri" w:cs="Times New Roman"/>
                <w:snapToGrid w:val="0"/>
              </w:rPr>
              <w:t xml:space="preserve"> testing</w:t>
            </w:r>
            <w:r w:rsidRPr="00F066EB">
              <w:rPr>
                <w:rFonts w:eastAsia="Calibri" w:cs="Times New Roman"/>
                <w:snapToGrid w:val="0"/>
              </w:rPr>
              <w:t xml:space="preserve">. </w:t>
            </w:r>
            <w:r>
              <w:rPr>
                <w:rFonts w:eastAsia="Calibri" w:cs="Times New Roman"/>
                <w:snapToGrid w:val="0"/>
              </w:rPr>
              <w:t xml:space="preserve"> ESC noted that increasing the </w:t>
            </w:r>
            <w:r w:rsidR="00EB445A">
              <w:rPr>
                <w:rFonts w:eastAsia="Calibri" w:cs="Times New Roman"/>
                <w:snapToGrid w:val="0"/>
              </w:rPr>
              <w:t>preconception</w:t>
            </w:r>
            <w:r>
              <w:rPr>
                <w:rFonts w:eastAsia="Calibri" w:cs="Times New Roman"/>
                <w:snapToGrid w:val="0"/>
              </w:rPr>
              <w:t xml:space="preserve"> proportion of testing increases the financial cost of testing to the healthcare budget, though is more cost-effective.</w:t>
            </w:r>
          </w:p>
          <w:p w14:paraId="128D60C6" w14:textId="77777777" w:rsidR="00E96E47" w:rsidRPr="00A73FC7" w:rsidRDefault="00E96E47" w:rsidP="00E96E47">
            <w:pPr>
              <w:spacing w:after="120"/>
              <w:ind w:left="360" w:hanging="360"/>
              <w:rPr>
                <w:rFonts w:eastAsia="Calibri" w:cs="Times New Roman"/>
                <w:b/>
                <w:bCs/>
              </w:rPr>
            </w:pPr>
            <w:r w:rsidRPr="00A73FC7">
              <w:rPr>
                <w:rFonts w:eastAsia="Calibri" w:cs="Times New Roman"/>
                <w:b/>
                <w:bCs/>
              </w:rPr>
              <w:t>Other relevant information:</w:t>
            </w:r>
          </w:p>
          <w:p w14:paraId="54C64B18" w14:textId="77777777" w:rsidR="00E96E47" w:rsidRPr="00A73FC7" w:rsidRDefault="00E96E47" w:rsidP="00E96E47">
            <w:pPr>
              <w:spacing w:after="120"/>
              <w:rPr>
                <w:rFonts w:eastAsia="Calibri" w:cs="Times New Roman"/>
              </w:rPr>
            </w:pPr>
            <w:r>
              <w:rPr>
                <w:rFonts w:eastAsia="Calibri" w:cs="Times New Roman"/>
                <w:lang w:val="en-US"/>
              </w:rPr>
              <w:t>NPAAC advised t</w:t>
            </w:r>
            <w:r w:rsidRPr="00A97FEF">
              <w:rPr>
                <w:rFonts w:eastAsia="Calibri" w:cs="Times New Roman"/>
                <w:lang w:val="en-US"/>
              </w:rPr>
              <w:t xml:space="preserve">here is </w:t>
            </w:r>
            <w:r>
              <w:rPr>
                <w:rFonts w:eastAsia="Calibri" w:cs="Times New Roman"/>
                <w:lang w:val="en-US"/>
              </w:rPr>
              <w:t xml:space="preserve">currently </w:t>
            </w:r>
            <w:r w:rsidRPr="00A97FEF">
              <w:rPr>
                <w:rFonts w:eastAsia="Calibri" w:cs="Times New Roman"/>
                <w:lang w:val="en-US"/>
              </w:rPr>
              <w:t>no specific EQA program for this panel in Australia or internationally</w:t>
            </w:r>
            <w:r>
              <w:rPr>
                <w:rFonts w:eastAsia="Calibri" w:cs="Times New Roman"/>
                <w:lang w:val="en-US"/>
              </w:rPr>
              <w:t xml:space="preserve"> – </w:t>
            </w:r>
            <w:r>
              <w:rPr>
                <w:rFonts w:eastAsia="Calibri" w:cs="Times New Roman"/>
              </w:rPr>
              <w:t xml:space="preserve">alternatives include using established EQA programs for single genes or </w:t>
            </w:r>
            <w:r>
              <w:t>sample swaps</w:t>
            </w:r>
            <w:r w:rsidRPr="00F22FE8">
              <w:t xml:space="preserve"> with</w:t>
            </w:r>
            <w:r>
              <w:t xml:space="preserve"> other</w:t>
            </w:r>
            <w:r w:rsidRPr="00F22FE8">
              <w:t xml:space="preserve"> Australia</w:t>
            </w:r>
            <w:r>
              <w:t>n laboratories.</w:t>
            </w:r>
          </w:p>
          <w:p w14:paraId="563BB647" w14:textId="77777777" w:rsidR="00E96E47" w:rsidRDefault="00E96E47" w:rsidP="00E96E47">
            <w:pPr>
              <w:spacing w:after="120"/>
              <w:rPr>
                <w:rFonts w:eastAsia="Calibri" w:cs="Times New Roman"/>
              </w:rPr>
            </w:pPr>
            <w:r>
              <w:rPr>
                <w:rFonts w:eastAsia="Calibri" w:cs="Times New Roman"/>
              </w:rPr>
              <w:t>A</w:t>
            </w:r>
            <w:r w:rsidRPr="00A73FC7">
              <w:rPr>
                <w:rFonts w:eastAsia="Calibri" w:cs="Times New Roman"/>
              </w:rPr>
              <w:t xml:space="preserve">pplication </w:t>
            </w:r>
            <w:r>
              <w:rPr>
                <w:rFonts w:eastAsia="Calibri" w:cs="Times New Roman"/>
              </w:rPr>
              <w:t xml:space="preserve">1637 also proposes reproductive carrier </w:t>
            </w:r>
            <w:proofErr w:type="gramStart"/>
            <w:r>
              <w:rPr>
                <w:rFonts w:eastAsia="Calibri" w:cs="Times New Roman"/>
              </w:rPr>
              <w:t>testing, and</w:t>
            </w:r>
            <w:proofErr w:type="gramEnd"/>
            <w:r>
              <w:rPr>
                <w:rFonts w:eastAsia="Calibri" w:cs="Times New Roman"/>
              </w:rPr>
              <w:t xml:space="preserve"> is being </w:t>
            </w:r>
            <w:r w:rsidRPr="00A73FC7">
              <w:rPr>
                <w:rFonts w:eastAsia="Calibri" w:cs="Times New Roman"/>
              </w:rPr>
              <w:t>concurrently being considered by MSAC</w:t>
            </w:r>
            <w:r>
              <w:rPr>
                <w:rFonts w:eastAsia="Calibri" w:cs="Times New Roman"/>
              </w:rPr>
              <w:t xml:space="preserve">. The services proposed under Application 1573 </w:t>
            </w:r>
            <w:r>
              <w:t>will</w:t>
            </w:r>
            <w:r w:rsidRPr="006976A1">
              <w:t xml:space="preserve"> be introduced </w:t>
            </w:r>
            <w:r>
              <w:t xml:space="preserve">onto the MBS on </w:t>
            </w:r>
            <w:r w:rsidRPr="006976A1">
              <w:t>1</w:t>
            </w:r>
            <w:r>
              <w:t> </w:t>
            </w:r>
            <w:r w:rsidRPr="006976A1">
              <w:t>November 2023</w:t>
            </w:r>
            <w:r>
              <w:t>.</w:t>
            </w:r>
            <w:r>
              <w:rPr>
                <w:rFonts w:eastAsia="Calibri" w:cs="Times New Roman"/>
              </w:rPr>
              <w:t xml:space="preserve"> ESC considered this application should be considered in relation to the testing proposed and supported under 1637 and 1573 respectively</w:t>
            </w:r>
            <w:r w:rsidRPr="00A73FC7">
              <w:rPr>
                <w:rFonts w:eastAsia="Calibri" w:cs="Times New Roman"/>
              </w:rPr>
              <w:t>.</w:t>
            </w:r>
          </w:p>
          <w:p w14:paraId="04CE9844" w14:textId="0AC6DECF" w:rsidR="00E96E47" w:rsidRPr="00A73FC7" w:rsidRDefault="00E96E47" w:rsidP="00E96E47">
            <w:pPr>
              <w:spacing w:after="120"/>
              <w:rPr>
                <w:rFonts w:eastAsia="Calibri" w:cs="Times New Roman"/>
              </w:rPr>
            </w:pPr>
            <w:r>
              <w:rPr>
                <w:rFonts w:eastAsia="Calibri" w:cs="Times New Roman"/>
              </w:rPr>
              <w:t xml:space="preserve">ESC additionally noted that </w:t>
            </w:r>
            <w:r>
              <w:t>supporting targeted carrier testing for severe monogenic conditions</w:t>
            </w:r>
            <w:r w:rsidRPr="003648F8">
              <w:t xml:space="preserve"> </w:t>
            </w:r>
            <w:r>
              <w:t>may contribute to increasing stigma for those living with genetic conditions included in the proposed panel testing and may be at odds with efforts to change society under the s</w:t>
            </w:r>
            <w:r w:rsidRPr="00017D36">
              <w:t>ocial model of disability</w:t>
            </w:r>
            <w:r>
              <w:t>.</w:t>
            </w:r>
          </w:p>
        </w:tc>
      </w:tr>
    </w:tbl>
    <w:bookmarkEnd w:id="88"/>
    <w:p w14:paraId="0E75CDB2" w14:textId="77777777" w:rsidR="00E96E47" w:rsidRPr="00E96E47" w:rsidRDefault="00E96E47" w:rsidP="00E96E47">
      <w:pPr>
        <w:keepNext/>
        <w:keepLines/>
        <w:spacing w:before="360" w:after="240" w:line="240" w:lineRule="auto"/>
        <w:outlineLvl w:val="1"/>
        <w:rPr>
          <w:rFonts w:ascii="Franklin Gothic Medium" w:eastAsia="SimSun" w:hAnsi="Franklin Gothic Medium" w:cs="Times New Roman"/>
          <w:b/>
          <w:bCs/>
          <w:color w:val="000000"/>
        </w:rPr>
      </w:pPr>
      <w:r w:rsidRPr="00E96E47">
        <w:rPr>
          <w:rFonts w:ascii="Franklin Gothic Medium" w:eastAsia="SimSun" w:hAnsi="Franklin Gothic Medium" w:cs="Times New Roman"/>
          <w:b/>
          <w:bCs/>
          <w:color w:val="000000"/>
        </w:rPr>
        <w:lastRenderedPageBreak/>
        <w:t>ESC discussion</w:t>
      </w:r>
    </w:p>
    <w:p w14:paraId="5860D17F" w14:textId="77777777" w:rsidR="00E96E47" w:rsidRDefault="00E96E47" w:rsidP="00E96E47">
      <w:pPr>
        <w:spacing w:after="240"/>
        <w:rPr>
          <w:rFonts w:eastAsia="Calibri" w:cs="Times New Roman"/>
          <w:iCs/>
        </w:rPr>
      </w:pPr>
      <w:r w:rsidRPr="00A73FC7">
        <w:rPr>
          <w:rFonts w:eastAsia="Calibri" w:cs="Times New Roman"/>
          <w:iCs/>
        </w:rPr>
        <w:t>ESC noted that this was a new application for Medicare Benefits Schedule (MBS) listing of targeted carrier testing for</w:t>
      </w:r>
      <w:r>
        <w:rPr>
          <w:rFonts w:eastAsia="Calibri" w:cs="Times New Roman"/>
          <w:iCs/>
        </w:rPr>
        <w:t xml:space="preserve"> twelve genes associated with</w:t>
      </w:r>
      <w:r w:rsidRPr="00A73FC7">
        <w:rPr>
          <w:rFonts w:eastAsia="Calibri" w:cs="Times New Roman"/>
          <w:iCs/>
        </w:rPr>
        <w:t xml:space="preserve"> nine severe </w:t>
      </w:r>
      <w:r>
        <w:rPr>
          <w:rFonts w:eastAsia="Calibri" w:cs="Times New Roman"/>
          <w:iCs/>
        </w:rPr>
        <w:t xml:space="preserve">autosomal recessive and X-linked </w:t>
      </w:r>
      <w:r w:rsidRPr="00A73FC7">
        <w:rPr>
          <w:rFonts w:eastAsia="Calibri" w:cs="Times New Roman"/>
          <w:iCs/>
        </w:rPr>
        <w:t>monogenic conditions: Tay</w:t>
      </w:r>
      <w:r>
        <w:rPr>
          <w:rFonts w:eastAsia="Calibri" w:cs="Times New Roman"/>
          <w:iCs/>
        </w:rPr>
        <w:t>-</w:t>
      </w:r>
      <w:r w:rsidRPr="00A73FC7">
        <w:rPr>
          <w:rFonts w:eastAsia="Calibri" w:cs="Times New Roman"/>
          <w:iCs/>
        </w:rPr>
        <w:t xml:space="preserve">Sachs disease (TSD), Canavan disease (CD), </w:t>
      </w:r>
      <w:r>
        <w:rPr>
          <w:rFonts w:eastAsia="Calibri" w:cs="Times New Roman"/>
          <w:iCs/>
        </w:rPr>
        <w:t>F</w:t>
      </w:r>
      <w:r w:rsidRPr="00A73FC7">
        <w:rPr>
          <w:rFonts w:eastAsia="Calibri" w:cs="Times New Roman"/>
          <w:iCs/>
        </w:rPr>
        <w:t xml:space="preserve">amilial dysautonomia (FD), </w:t>
      </w:r>
      <w:proofErr w:type="spellStart"/>
      <w:r>
        <w:rPr>
          <w:rFonts w:eastAsia="Calibri" w:cs="Times New Roman"/>
          <w:iCs/>
        </w:rPr>
        <w:t>M</w:t>
      </w:r>
      <w:r w:rsidRPr="00A73FC7">
        <w:rPr>
          <w:rFonts w:eastAsia="Calibri" w:cs="Times New Roman"/>
          <w:iCs/>
        </w:rPr>
        <w:t>ucolipidosis</w:t>
      </w:r>
      <w:proofErr w:type="spellEnd"/>
      <w:r w:rsidRPr="00A73FC7">
        <w:rPr>
          <w:rFonts w:eastAsia="Calibri" w:cs="Times New Roman"/>
          <w:iCs/>
        </w:rPr>
        <w:t xml:space="preserve"> </w:t>
      </w:r>
      <w:r>
        <w:rPr>
          <w:rFonts w:eastAsia="Calibri" w:cs="Times New Roman"/>
          <w:iCs/>
        </w:rPr>
        <w:t>T</w:t>
      </w:r>
      <w:r w:rsidRPr="00A73FC7">
        <w:rPr>
          <w:rFonts w:eastAsia="Calibri" w:cs="Times New Roman"/>
          <w:iCs/>
        </w:rPr>
        <w:t xml:space="preserve">ype IV (MLD), </w:t>
      </w:r>
      <w:r>
        <w:rPr>
          <w:rFonts w:eastAsia="Calibri" w:cs="Times New Roman"/>
          <w:iCs/>
        </w:rPr>
        <w:t>G</w:t>
      </w:r>
      <w:r w:rsidRPr="00A73FC7">
        <w:rPr>
          <w:rFonts w:eastAsia="Calibri" w:cs="Times New Roman"/>
          <w:iCs/>
        </w:rPr>
        <w:t xml:space="preserve">lycogen storage disease type 1 (GSD1), Fanconi anaemia type C (FA), Gaucher disease type 1 (GD), Niemann Pick disease type A (NPD) and Bloom </w:t>
      </w:r>
      <w:r>
        <w:rPr>
          <w:rFonts w:eastAsia="Calibri" w:cs="Times New Roman"/>
          <w:iCs/>
        </w:rPr>
        <w:t>S</w:t>
      </w:r>
      <w:r w:rsidRPr="00A73FC7">
        <w:rPr>
          <w:rFonts w:eastAsia="Calibri" w:cs="Times New Roman"/>
          <w:iCs/>
        </w:rPr>
        <w:t>yndrome (BS).</w:t>
      </w:r>
      <w:r>
        <w:rPr>
          <w:rFonts w:eastAsia="Calibri" w:cs="Times New Roman"/>
          <w:iCs/>
        </w:rPr>
        <w:t xml:space="preserve"> ESC noted the proposed testing is incremental to that for Cystic Fibrosis (CF), Spinal Muscular Atrophy (SMA) and Fragile-X Syndrome (FXS), previously supported by MSAC under application 1573 – but that these genes and diseases are also included in the proposed item descriptor as the proposed testing would replace CF/SMA/FXS only testing in practice.</w:t>
      </w:r>
    </w:p>
    <w:p w14:paraId="1551D8F2" w14:textId="77777777" w:rsidR="00E96E47" w:rsidRPr="00A73FC7" w:rsidRDefault="00E96E47" w:rsidP="00E96E47">
      <w:pPr>
        <w:spacing w:after="240"/>
        <w:rPr>
          <w:rFonts w:eastAsia="Calibri" w:cs="Times New Roman"/>
          <w:iCs/>
        </w:rPr>
      </w:pPr>
      <w:r w:rsidRPr="00A73FC7">
        <w:rPr>
          <w:rFonts w:eastAsia="Calibri" w:cs="Times New Roman"/>
          <w:iCs/>
        </w:rPr>
        <w:t>ESC noted that the</w:t>
      </w:r>
      <w:r>
        <w:rPr>
          <w:rFonts w:eastAsia="Calibri" w:cs="Times New Roman"/>
          <w:iCs/>
        </w:rPr>
        <w:t xml:space="preserve"> base case</w:t>
      </w:r>
      <w:r w:rsidRPr="00A73FC7">
        <w:rPr>
          <w:rFonts w:eastAsia="Calibri" w:cs="Times New Roman"/>
          <w:iCs/>
        </w:rPr>
        <w:t xml:space="preserve"> comparator for the proposed carrier testing is genetic carrier testing for CF</w:t>
      </w:r>
      <w:r>
        <w:rPr>
          <w:rFonts w:eastAsia="Calibri" w:cs="Times New Roman"/>
          <w:iCs/>
        </w:rPr>
        <w:t>/SMA/</w:t>
      </w:r>
      <w:r w:rsidRPr="00A73FC7">
        <w:rPr>
          <w:rFonts w:eastAsia="Calibri" w:cs="Times New Roman"/>
          <w:iCs/>
        </w:rPr>
        <w:t>FX</w:t>
      </w:r>
      <w:r>
        <w:rPr>
          <w:rFonts w:eastAsia="Calibri" w:cs="Times New Roman"/>
          <w:iCs/>
        </w:rPr>
        <w:t>S</w:t>
      </w:r>
      <w:r w:rsidRPr="00A73FC7">
        <w:rPr>
          <w:rFonts w:eastAsia="Calibri" w:cs="Times New Roman"/>
          <w:iCs/>
        </w:rPr>
        <w:t xml:space="preserve">, which MSAC supported </w:t>
      </w:r>
      <w:r>
        <w:rPr>
          <w:rFonts w:eastAsia="Calibri" w:cs="Times New Roman"/>
          <w:iCs/>
        </w:rPr>
        <w:t xml:space="preserve">in application 1573 in July </w:t>
      </w:r>
      <w:r w:rsidRPr="00A73FC7">
        <w:rPr>
          <w:rFonts w:eastAsia="Calibri" w:cs="Times New Roman"/>
          <w:iCs/>
        </w:rPr>
        <w:t xml:space="preserve">2020. </w:t>
      </w:r>
      <w:r>
        <w:rPr>
          <w:rFonts w:eastAsia="Calibri" w:cs="Times New Roman"/>
          <w:iCs/>
        </w:rPr>
        <w:t xml:space="preserve">ESC noted PASC had permitted </w:t>
      </w:r>
      <w:r w:rsidRPr="00A73FC7">
        <w:rPr>
          <w:rFonts w:eastAsia="Calibri" w:cs="Times New Roman"/>
          <w:iCs/>
        </w:rPr>
        <w:t>an alternative comparator</w:t>
      </w:r>
      <w:r>
        <w:rPr>
          <w:rFonts w:eastAsia="Calibri" w:cs="Times New Roman"/>
          <w:iCs/>
        </w:rPr>
        <w:t xml:space="preserve"> of</w:t>
      </w:r>
      <w:r w:rsidRPr="00A73FC7">
        <w:rPr>
          <w:rFonts w:eastAsia="Calibri" w:cs="Times New Roman"/>
          <w:iCs/>
        </w:rPr>
        <w:t xml:space="preserve"> “no genetic testing”</w:t>
      </w:r>
      <w:r>
        <w:rPr>
          <w:rFonts w:eastAsia="Calibri" w:cs="Times New Roman"/>
          <w:iCs/>
        </w:rPr>
        <w:t xml:space="preserve">, as </w:t>
      </w:r>
      <w:r w:rsidRPr="00A73FC7">
        <w:rPr>
          <w:rFonts w:eastAsia="Calibri" w:cs="Times New Roman"/>
          <w:iCs/>
        </w:rPr>
        <w:t>the MBS item</w:t>
      </w:r>
      <w:r>
        <w:rPr>
          <w:rFonts w:eastAsia="Calibri" w:cs="Times New Roman"/>
          <w:iCs/>
        </w:rPr>
        <w:t>s</w:t>
      </w:r>
      <w:r w:rsidRPr="00A73FC7">
        <w:rPr>
          <w:rFonts w:eastAsia="Calibri" w:cs="Times New Roman"/>
          <w:iCs/>
        </w:rPr>
        <w:t xml:space="preserve"> for Application 1573 testing were yet to be supported by Government</w:t>
      </w:r>
      <w:r>
        <w:rPr>
          <w:rFonts w:eastAsia="Calibri" w:cs="Times New Roman"/>
          <w:iCs/>
        </w:rPr>
        <w:t xml:space="preserve"> at the time</w:t>
      </w:r>
      <w:r w:rsidRPr="00A73FC7">
        <w:rPr>
          <w:rFonts w:eastAsia="Calibri" w:cs="Times New Roman"/>
          <w:iCs/>
        </w:rPr>
        <w:t xml:space="preserve">. ESC </w:t>
      </w:r>
      <w:r>
        <w:rPr>
          <w:rFonts w:eastAsia="Calibri" w:cs="Times New Roman"/>
          <w:iCs/>
        </w:rPr>
        <w:t xml:space="preserve">noted the </w:t>
      </w:r>
      <w:r>
        <w:rPr>
          <w:rFonts w:eastAsia="Calibri" w:cs="Times New Roman"/>
          <w:iCs/>
        </w:rPr>
        <w:lastRenderedPageBreak/>
        <w:t xml:space="preserve">Government has now supported this testing and it will be </w:t>
      </w:r>
      <w:r w:rsidRPr="00A73FC7">
        <w:rPr>
          <w:rFonts w:eastAsia="Calibri" w:cs="Times New Roman"/>
          <w:iCs/>
        </w:rPr>
        <w:t>introduced</w:t>
      </w:r>
      <w:r>
        <w:rPr>
          <w:rFonts w:eastAsia="Calibri" w:cs="Times New Roman"/>
          <w:iCs/>
        </w:rPr>
        <w:t xml:space="preserve"> to the MBS on</w:t>
      </w:r>
      <w:r w:rsidRPr="00A73FC7">
        <w:rPr>
          <w:rFonts w:eastAsia="Calibri" w:cs="Times New Roman"/>
          <w:iCs/>
        </w:rPr>
        <w:t xml:space="preserve"> 1 November 2023</w:t>
      </w:r>
      <w:r>
        <w:rPr>
          <w:rFonts w:eastAsia="Calibri" w:cs="Times New Roman"/>
          <w:iCs/>
        </w:rPr>
        <w:t xml:space="preserve">, therefore ESC </w:t>
      </w:r>
      <w:r w:rsidRPr="00A73FC7">
        <w:rPr>
          <w:rFonts w:eastAsia="Calibri" w:cs="Times New Roman"/>
          <w:iCs/>
        </w:rPr>
        <w:t xml:space="preserve">considered that </w:t>
      </w:r>
      <w:r>
        <w:rPr>
          <w:rFonts w:eastAsia="Calibri" w:cs="Times New Roman"/>
          <w:iCs/>
        </w:rPr>
        <w:t>the alternative comparator is no longer relevant</w:t>
      </w:r>
      <w:r w:rsidRPr="00A73FC7">
        <w:rPr>
          <w:rFonts w:eastAsia="Calibri" w:cs="Times New Roman"/>
          <w:iCs/>
        </w:rPr>
        <w:t>.</w:t>
      </w:r>
    </w:p>
    <w:p w14:paraId="7FFC6D4A" w14:textId="77777777" w:rsidR="00E96E47" w:rsidRDefault="00E96E47" w:rsidP="00E96E47">
      <w:pPr>
        <w:spacing w:after="240"/>
        <w:rPr>
          <w:rFonts w:eastAsia="Calibri" w:cs="Times New Roman"/>
          <w:iCs/>
        </w:rPr>
      </w:pPr>
      <w:r w:rsidRPr="00A73FC7">
        <w:rPr>
          <w:rFonts w:eastAsia="Calibri" w:cs="Times New Roman"/>
          <w:iCs/>
        </w:rPr>
        <w:t>ESC noted and accepted the proposed clinical management algorithm.</w:t>
      </w:r>
    </w:p>
    <w:p w14:paraId="11F9A4A0" w14:textId="77777777" w:rsidR="00E96E47" w:rsidRDefault="00E96E47" w:rsidP="00E96E47">
      <w:pPr>
        <w:spacing w:after="240"/>
        <w:rPr>
          <w:rFonts w:eastAsia="Calibri" w:cs="Times New Roman"/>
          <w:iCs/>
        </w:rPr>
      </w:pPr>
      <w:r>
        <w:rPr>
          <w:rFonts w:eastAsia="Calibri" w:cs="Times New Roman"/>
          <w:iCs/>
        </w:rPr>
        <w:t xml:space="preserve">While the item itself is method agnostic, </w:t>
      </w:r>
      <w:r w:rsidRPr="00A73FC7">
        <w:rPr>
          <w:rFonts w:eastAsia="Calibri" w:cs="Times New Roman"/>
          <w:iCs/>
        </w:rPr>
        <w:t xml:space="preserve">ESC noted the </w:t>
      </w:r>
      <w:r>
        <w:rPr>
          <w:rFonts w:eastAsia="Calibri" w:cs="Times New Roman"/>
          <w:iCs/>
        </w:rPr>
        <w:t xml:space="preserve">test </w:t>
      </w:r>
      <w:r w:rsidRPr="00A73FC7">
        <w:rPr>
          <w:rFonts w:eastAsia="Calibri" w:cs="Times New Roman"/>
          <w:iCs/>
        </w:rPr>
        <w:t xml:space="preserve">proposed </w:t>
      </w:r>
      <w:r>
        <w:rPr>
          <w:rFonts w:eastAsia="Calibri" w:cs="Times New Roman"/>
          <w:iCs/>
        </w:rPr>
        <w:t xml:space="preserve">for </w:t>
      </w:r>
      <w:r w:rsidRPr="00A73FC7">
        <w:rPr>
          <w:rFonts w:eastAsia="Calibri" w:cs="Times New Roman"/>
          <w:iCs/>
        </w:rPr>
        <w:t xml:space="preserve">item AAAA </w:t>
      </w:r>
      <w:r>
        <w:rPr>
          <w:rFonts w:eastAsia="Calibri" w:cs="Times New Roman"/>
          <w:iCs/>
        </w:rPr>
        <w:t>is</w:t>
      </w:r>
      <w:r w:rsidRPr="00A73FC7">
        <w:rPr>
          <w:rFonts w:eastAsia="Calibri" w:cs="Times New Roman"/>
          <w:iCs/>
        </w:rPr>
        <w:t xml:space="preserve"> a</w:t>
      </w:r>
      <w:r>
        <w:rPr>
          <w:rFonts w:eastAsia="Calibri" w:cs="Times New Roman"/>
          <w:iCs/>
        </w:rPr>
        <w:t>n</w:t>
      </w:r>
      <w:r w:rsidRPr="00A73FC7">
        <w:rPr>
          <w:rFonts w:eastAsia="Calibri" w:cs="Times New Roman"/>
          <w:iCs/>
        </w:rPr>
        <w:t xml:space="preserve"> </w:t>
      </w:r>
      <w:r>
        <w:rPr>
          <w:rFonts w:eastAsia="Calibri" w:cs="Times New Roman"/>
          <w:iCs/>
        </w:rPr>
        <w:t xml:space="preserve">amplicon-specific gene panel </w:t>
      </w:r>
      <w:r w:rsidRPr="00A73FC7">
        <w:rPr>
          <w:rFonts w:eastAsia="Calibri" w:cs="Times New Roman"/>
          <w:iCs/>
        </w:rPr>
        <w:t xml:space="preserve">test </w:t>
      </w:r>
      <w:r>
        <w:rPr>
          <w:rFonts w:eastAsia="Calibri" w:cs="Times New Roman"/>
          <w:iCs/>
        </w:rPr>
        <w:t>targeting</w:t>
      </w:r>
      <w:r w:rsidRPr="00A73FC7">
        <w:rPr>
          <w:rFonts w:eastAsia="Calibri" w:cs="Times New Roman"/>
          <w:iCs/>
        </w:rPr>
        <w:t xml:space="preserve"> </w:t>
      </w:r>
      <w:r>
        <w:rPr>
          <w:rFonts w:eastAsia="Calibri" w:cs="Times New Roman"/>
          <w:iCs/>
        </w:rPr>
        <w:t>specific variants (“hotspots”) that are prevalent in</w:t>
      </w:r>
      <w:r w:rsidRPr="00A73FC7">
        <w:rPr>
          <w:rFonts w:eastAsia="Calibri" w:cs="Times New Roman"/>
          <w:iCs/>
        </w:rPr>
        <w:t xml:space="preserve"> individuals</w:t>
      </w:r>
      <w:r>
        <w:rPr>
          <w:rFonts w:eastAsia="Calibri" w:cs="Times New Roman"/>
          <w:iCs/>
        </w:rPr>
        <w:t xml:space="preserve"> of Ashkenazi Jewish ancestry</w:t>
      </w:r>
      <w:r w:rsidRPr="00A73FC7">
        <w:rPr>
          <w:rFonts w:eastAsia="Calibri" w:cs="Times New Roman"/>
          <w:iCs/>
        </w:rPr>
        <w:t xml:space="preserve">. </w:t>
      </w:r>
      <w:r>
        <w:rPr>
          <w:rFonts w:eastAsia="Calibri" w:cs="Times New Roman"/>
          <w:iCs/>
        </w:rPr>
        <w:t>ESC noted the item descriptor defines e</w:t>
      </w:r>
      <w:r w:rsidRPr="00A73FC7">
        <w:rPr>
          <w:rFonts w:eastAsia="Calibri" w:cs="Times New Roman"/>
        </w:rPr>
        <w:t xml:space="preserve">ligibility </w:t>
      </w:r>
      <w:r>
        <w:rPr>
          <w:rFonts w:eastAsia="Calibri" w:cs="Times New Roman"/>
        </w:rPr>
        <w:t xml:space="preserve">as </w:t>
      </w:r>
      <w:r w:rsidRPr="00A73FC7">
        <w:rPr>
          <w:rFonts w:eastAsia="Calibri" w:cs="Times New Roman"/>
          <w:iCs/>
        </w:rPr>
        <w:t>those with at least a 10%</w:t>
      </w:r>
      <w:r>
        <w:rPr>
          <w:rFonts w:eastAsia="Calibri" w:cs="Times New Roman"/>
          <w:iCs/>
        </w:rPr>
        <w:t xml:space="preserve"> a priori</w:t>
      </w:r>
      <w:r w:rsidRPr="00A73FC7">
        <w:rPr>
          <w:rFonts w:eastAsia="Calibri" w:cs="Times New Roman"/>
          <w:iCs/>
        </w:rPr>
        <w:t xml:space="preserve"> risk of being a genetic carrier,</w:t>
      </w:r>
      <w:r>
        <w:rPr>
          <w:rFonts w:eastAsia="Calibri" w:cs="Times New Roman"/>
          <w:iCs/>
        </w:rPr>
        <w:t xml:space="preserve"> but that in practice</w:t>
      </w:r>
      <w:r w:rsidRPr="00A73FC7">
        <w:rPr>
          <w:rFonts w:eastAsia="Calibri" w:cs="Times New Roman"/>
          <w:iCs/>
        </w:rPr>
        <w:t xml:space="preserve"> </w:t>
      </w:r>
      <w:r>
        <w:rPr>
          <w:rFonts w:eastAsia="Calibri" w:cs="Times New Roman"/>
          <w:iCs/>
        </w:rPr>
        <w:t>referring medical practitioners will infer this</w:t>
      </w:r>
      <w:r w:rsidRPr="00A73FC7">
        <w:rPr>
          <w:rFonts w:eastAsia="Calibri" w:cs="Times New Roman"/>
          <w:iCs/>
        </w:rPr>
        <w:t xml:space="preserve"> risk based on </w:t>
      </w:r>
      <w:proofErr w:type="gramStart"/>
      <w:r>
        <w:rPr>
          <w:rFonts w:eastAsia="Calibri" w:cs="Times New Roman"/>
          <w:iCs/>
        </w:rPr>
        <w:t>whether or not</w:t>
      </w:r>
      <w:proofErr w:type="gramEnd"/>
      <w:r>
        <w:rPr>
          <w:rFonts w:eastAsia="Calibri" w:cs="Times New Roman"/>
          <w:iCs/>
        </w:rPr>
        <w:t xml:space="preserve"> their patient is of </w:t>
      </w:r>
      <w:r w:rsidRPr="00A73FC7">
        <w:rPr>
          <w:rFonts w:eastAsia="Calibri" w:cs="Times New Roman"/>
          <w:iCs/>
        </w:rPr>
        <w:t xml:space="preserve">Ashkenazi Jewish ancestry. </w:t>
      </w:r>
    </w:p>
    <w:p w14:paraId="312D419A" w14:textId="0859AE3C" w:rsidR="00E96E47" w:rsidRPr="00A73FC7" w:rsidRDefault="00E96E47" w:rsidP="00E96E47">
      <w:pPr>
        <w:spacing w:after="240"/>
        <w:rPr>
          <w:rFonts w:eastAsia="Calibri" w:cs="Times New Roman"/>
          <w:iCs/>
        </w:rPr>
      </w:pPr>
      <w:r w:rsidRPr="00A73FC7">
        <w:rPr>
          <w:rFonts w:eastAsia="Calibri" w:cs="Times New Roman"/>
          <w:iCs/>
        </w:rPr>
        <w:t xml:space="preserve">ESC noted that some individuals in the Ashkenazi Jewish population </w:t>
      </w:r>
      <w:r>
        <w:rPr>
          <w:rFonts w:eastAsia="Calibri" w:cs="Times New Roman"/>
          <w:iCs/>
        </w:rPr>
        <w:t>already undertake the proposed gene</w:t>
      </w:r>
      <w:r w:rsidR="007D750B">
        <w:rPr>
          <w:rFonts w:eastAsia="Calibri" w:cs="Times New Roman"/>
          <w:iCs/>
        </w:rPr>
        <w:t>tic</w:t>
      </w:r>
      <w:r>
        <w:rPr>
          <w:rFonts w:eastAsia="Calibri" w:cs="Times New Roman"/>
          <w:iCs/>
        </w:rPr>
        <w:t xml:space="preserve"> panel test through</w:t>
      </w:r>
      <w:r w:rsidRPr="00A73FC7">
        <w:rPr>
          <w:rFonts w:eastAsia="Calibri" w:cs="Times New Roman"/>
          <w:iCs/>
        </w:rPr>
        <w:t xml:space="preserve"> private funding.</w:t>
      </w:r>
    </w:p>
    <w:p w14:paraId="303A829E" w14:textId="77777777" w:rsidR="00E96E47" w:rsidRDefault="00E96E47" w:rsidP="00E96E47">
      <w:pPr>
        <w:spacing w:after="120"/>
        <w:rPr>
          <w:rFonts w:eastAsia="Calibri" w:cs="Times New Roman"/>
          <w:iCs/>
        </w:rPr>
      </w:pPr>
      <w:r w:rsidRPr="00A73FC7">
        <w:rPr>
          <w:rFonts w:eastAsia="Calibri" w:cs="Times New Roman"/>
          <w:iCs/>
        </w:rPr>
        <w:t xml:space="preserve">ESC queried the appropriateness of using </w:t>
      </w:r>
      <w:r>
        <w:rPr>
          <w:rFonts w:eastAsia="Calibri" w:cs="Times New Roman"/>
          <w:iCs/>
        </w:rPr>
        <w:t>Ashkenazi Jewish ancestry</w:t>
      </w:r>
      <w:r w:rsidRPr="00A73FC7">
        <w:rPr>
          <w:rFonts w:eastAsia="Calibri" w:cs="Times New Roman"/>
          <w:iCs/>
        </w:rPr>
        <w:t xml:space="preserve"> as </w:t>
      </w:r>
      <w:r>
        <w:rPr>
          <w:rFonts w:eastAsia="Calibri" w:cs="Times New Roman"/>
          <w:iCs/>
        </w:rPr>
        <w:t>a de facto eligibility criterion</w:t>
      </w:r>
      <w:r w:rsidRPr="00A73FC7">
        <w:rPr>
          <w:rFonts w:eastAsia="Calibri" w:cs="Times New Roman"/>
          <w:iCs/>
        </w:rPr>
        <w:t xml:space="preserve">, as </w:t>
      </w:r>
      <w:r>
        <w:rPr>
          <w:rFonts w:eastAsia="Calibri" w:cs="Times New Roman"/>
          <w:iCs/>
        </w:rPr>
        <w:t>people</w:t>
      </w:r>
      <w:r w:rsidRPr="00A73FC7">
        <w:rPr>
          <w:rFonts w:eastAsia="Calibri" w:cs="Times New Roman"/>
          <w:iCs/>
        </w:rPr>
        <w:t xml:space="preserve"> with </w:t>
      </w:r>
      <w:r>
        <w:rPr>
          <w:rFonts w:eastAsia="Calibri" w:cs="Times New Roman"/>
          <w:iCs/>
        </w:rPr>
        <w:t xml:space="preserve">ancestry other than Ashkenazi Jewish (or </w:t>
      </w:r>
      <w:r w:rsidRPr="00A73FC7">
        <w:rPr>
          <w:rFonts w:eastAsia="Calibri" w:cs="Times New Roman"/>
          <w:iCs/>
        </w:rPr>
        <w:t>unknown ancestry</w:t>
      </w:r>
      <w:r>
        <w:rPr>
          <w:rFonts w:eastAsia="Calibri" w:cs="Times New Roman"/>
          <w:iCs/>
        </w:rPr>
        <w:t>)</w:t>
      </w:r>
      <w:r w:rsidRPr="00A73FC7">
        <w:rPr>
          <w:rFonts w:eastAsia="Calibri" w:cs="Times New Roman"/>
          <w:iCs/>
        </w:rPr>
        <w:t xml:space="preserve"> will </w:t>
      </w:r>
      <w:r>
        <w:rPr>
          <w:rFonts w:eastAsia="Calibri" w:cs="Times New Roman"/>
          <w:iCs/>
        </w:rPr>
        <w:t xml:space="preserve">effectively </w:t>
      </w:r>
      <w:r w:rsidRPr="00A73FC7">
        <w:rPr>
          <w:rFonts w:eastAsia="Calibri" w:cs="Times New Roman"/>
          <w:iCs/>
        </w:rPr>
        <w:t xml:space="preserve">not be </w:t>
      </w:r>
      <w:r>
        <w:rPr>
          <w:rFonts w:eastAsia="Calibri" w:cs="Times New Roman"/>
          <w:iCs/>
        </w:rPr>
        <w:t>eligible for this testing, though may also be</w:t>
      </w:r>
      <w:r w:rsidRPr="00A73FC7">
        <w:rPr>
          <w:rFonts w:eastAsia="Calibri" w:cs="Times New Roman"/>
          <w:iCs/>
        </w:rPr>
        <w:t xml:space="preserve"> at risk for </w:t>
      </w:r>
      <w:r>
        <w:rPr>
          <w:rFonts w:eastAsia="Calibri" w:cs="Times New Roman"/>
          <w:iCs/>
        </w:rPr>
        <w:t>one or more</w:t>
      </w:r>
      <w:r w:rsidRPr="00A73FC7">
        <w:rPr>
          <w:rFonts w:eastAsia="Calibri" w:cs="Times New Roman"/>
          <w:iCs/>
        </w:rPr>
        <w:t xml:space="preserve"> of the named conditions. ESC noted that </w:t>
      </w:r>
      <w:r>
        <w:rPr>
          <w:rFonts w:eastAsia="Calibri" w:cs="Times New Roman"/>
          <w:iCs/>
        </w:rPr>
        <w:t xml:space="preserve">although the risk of the listed diseases may be unknown in other ethnic groups, this </w:t>
      </w:r>
      <w:r w:rsidRPr="00A73FC7">
        <w:rPr>
          <w:rFonts w:eastAsia="Calibri" w:cs="Times New Roman"/>
          <w:iCs/>
        </w:rPr>
        <w:t>does not equate to “low risk”.</w:t>
      </w:r>
      <w:r>
        <w:rPr>
          <w:rFonts w:eastAsia="Calibri" w:cs="Times New Roman"/>
          <w:iCs/>
        </w:rPr>
        <w:t xml:space="preserve"> </w:t>
      </w:r>
      <w:r w:rsidRPr="00A73FC7">
        <w:rPr>
          <w:rFonts w:eastAsia="Calibri" w:cs="Times New Roman"/>
          <w:iCs/>
        </w:rPr>
        <w:t>ESC noted that</w:t>
      </w:r>
      <w:r>
        <w:rPr>
          <w:rFonts w:eastAsia="Calibri" w:cs="Times New Roman"/>
          <w:iCs/>
        </w:rPr>
        <w:t xml:space="preserve"> in</w:t>
      </w:r>
      <w:r w:rsidRPr="00A73FC7">
        <w:rPr>
          <w:rFonts w:eastAsia="Calibri" w:cs="Times New Roman"/>
          <w:iCs/>
        </w:rPr>
        <w:t xml:space="preserve"> </w:t>
      </w:r>
      <w:r>
        <w:rPr>
          <w:rFonts w:eastAsia="Calibri" w:cs="Times New Roman"/>
          <w:iCs/>
        </w:rPr>
        <w:t>cases</w:t>
      </w:r>
      <w:r w:rsidRPr="00A73FC7">
        <w:rPr>
          <w:rFonts w:eastAsia="Calibri" w:cs="Times New Roman"/>
          <w:iCs/>
        </w:rPr>
        <w:t xml:space="preserve"> involving consanguinity, </w:t>
      </w:r>
      <w:r>
        <w:rPr>
          <w:rFonts w:eastAsia="Calibri" w:cs="Times New Roman"/>
          <w:iCs/>
        </w:rPr>
        <w:t xml:space="preserve">these individuals are also at an increased risk of rare hereditary disorders. </w:t>
      </w:r>
    </w:p>
    <w:p w14:paraId="4FB1C0CA" w14:textId="77777777" w:rsidR="00E96E47" w:rsidRDefault="00E96E47" w:rsidP="00E96E47">
      <w:pPr>
        <w:spacing w:after="120"/>
        <w:rPr>
          <w:rFonts w:eastAsia="Calibri" w:cs="Times New Roman"/>
          <w:iCs/>
        </w:rPr>
      </w:pPr>
      <w:r>
        <w:rPr>
          <w:rFonts w:eastAsia="Calibri" w:cs="Times New Roman"/>
          <w:iCs/>
        </w:rPr>
        <w:t>ESC also noted that although the reproductive partner of a person eligible for AAAA would be eligible to access sequential testing under CCCC, the proposed approach would not support testing partners for other variants/genes for which the reproductive partner has an a priori</w:t>
      </w:r>
      <w:r w:rsidRPr="00A73FC7">
        <w:rPr>
          <w:rFonts w:eastAsia="Calibri" w:cs="Times New Roman"/>
          <w:iCs/>
        </w:rPr>
        <w:t xml:space="preserve"> risk of being a genetic carrier</w:t>
      </w:r>
      <w:r>
        <w:rPr>
          <w:rFonts w:eastAsia="Calibri" w:cs="Times New Roman"/>
          <w:iCs/>
        </w:rPr>
        <w:t xml:space="preserve"> due to their own ethnic heritage. ESC queried whether this was equitable.</w:t>
      </w:r>
    </w:p>
    <w:p w14:paraId="713DD39B" w14:textId="77777777" w:rsidR="00E96E47" w:rsidRDefault="00E96E47" w:rsidP="00E96E47">
      <w:pPr>
        <w:spacing w:after="120"/>
        <w:rPr>
          <w:rFonts w:eastAsia="Calibri" w:cs="Times New Roman"/>
        </w:rPr>
      </w:pPr>
      <w:r w:rsidRPr="00A73FC7">
        <w:rPr>
          <w:rFonts w:eastAsia="Calibri" w:cs="Times New Roman"/>
          <w:iCs/>
        </w:rPr>
        <w:t>ESC noted that the applicant originally propose</w:t>
      </w:r>
      <w:r>
        <w:rPr>
          <w:rFonts w:eastAsia="Calibri" w:cs="Times New Roman"/>
          <w:iCs/>
        </w:rPr>
        <w:t>d</w:t>
      </w:r>
      <w:r w:rsidRPr="00A73FC7">
        <w:rPr>
          <w:rFonts w:eastAsia="Calibri" w:cs="Times New Roman"/>
          <w:iCs/>
        </w:rPr>
        <w:t xml:space="preserve"> </w:t>
      </w:r>
      <w:r>
        <w:rPr>
          <w:rFonts w:eastAsia="Calibri" w:cs="Times New Roman"/>
          <w:iCs/>
        </w:rPr>
        <w:t xml:space="preserve">that </w:t>
      </w:r>
      <w:r w:rsidRPr="00A73FC7">
        <w:rPr>
          <w:rFonts w:eastAsia="Calibri" w:cs="Times New Roman"/>
          <w:iCs/>
        </w:rPr>
        <w:t xml:space="preserve">other high-risk ethnic groups </w:t>
      </w:r>
      <w:r>
        <w:rPr>
          <w:rFonts w:eastAsia="Calibri" w:cs="Times New Roman"/>
          <w:iCs/>
        </w:rPr>
        <w:t xml:space="preserve">also </w:t>
      </w:r>
      <w:r w:rsidRPr="00A73FC7">
        <w:rPr>
          <w:rFonts w:eastAsia="Calibri" w:cs="Times New Roman"/>
          <w:iCs/>
        </w:rPr>
        <w:t xml:space="preserve">be </w:t>
      </w:r>
      <w:proofErr w:type="gramStart"/>
      <w:r w:rsidRPr="00A73FC7">
        <w:rPr>
          <w:rFonts w:eastAsia="Calibri" w:cs="Times New Roman"/>
          <w:iCs/>
        </w:rPr>
        <w:t>included, but</w:t>
      </w:r>
      <w:proofErr w:type="gramEnd"/>
      <w:r>
        <w:rPr>
          <w:rFonts w:eastAsia="Calibri" w:cs="Times New Roman"/>
          <w:iCs/>
        </w:rPr>
        <w:t xml:space="preserve"> had</w:t>
      </w:r>
      <w:r w:rsidRPr="00A73FC7">
        <w:rPr>
          <w:rFonts w:eastAsia="Calibri" w:cs="Times New Roman"/>
          <w:iCs/>
        </w:rPr>
        <w:t xml:space="preserve"> </w:t>
      </w:r>
      <w:r>
        <w:rPr>
          <w:rFonts w:eastAsia="Calibri" w:cs="Times New Roman"/>
          <w:iCs/>
        </w:rPr>
        <w:t xml:space="preserve">agreed to </w:t>
      </w:r>
      <w:r w:rsidRPr="00A73FC7">
        <w:rPr>
          <w:rFonts w:eastAsia="Calibri" w:cs="Times New Roman"/>
          <w:iCs/>
        </w:rPr>
        <w:t xml:space="preserve">restrict the </w:t>
      </w:r>
      <w:r>
        <w:rPr>
          <w:rFonts w:eastAsia="Calibri" w:cs="Times New Roman"/>
          <w:iCs/>
        </w:rPr>
        <w:t>PICO</w:t>
      </w:r>
      <w:r w:rsidRPr="00A73FC7">
        <w:rPr>
          <w:rFonts w:eastAsia="Calibri" w:cs="Times New Roman"/>
          <w:iCs/>
        </w:rPr>
        <w:t xml:space="preserve"> to </w:t>
      </w:r>
      <w:r>
        <w:rPr>
          <w:rFonts w:eastAsia="Calibri" w:cs="Times New Roman"/>
          <w:iCs/>
        </w:rPr>
        <w:t xml:space="preserve">the </w:t>
      </w:r>
      <w:r w:rsidRPr="00A73FC7">
        <w:rPr>
          <w:rFonts w:eastAsia="Calibri" w:cs="Times New Roman"/>
          <w:iCs/>
        </w:rPr>
        <w:t xml:space="preserve">Ashkenazi Jewish </w:t>
      </w:r>
      <w:r>
        <w:rPr>
          <w:rFonts w:eastAsia="Calibri" w:cs="Times New Roman"/>
          <w:iCs/>
        </w:rPr>
        <w:t>population</w:t>
      </w:r>
      <w:r w:rsidRPr="00A73FC7">
        <w:rPr>
          <w:rFonts w:eastAsia="Calibri" w:cs="Times New Roman"/>
          <w:iCs/>
        </w:rPr>
        <w:t xml:space="preserve">, citing a lack of evidence supporting </w:t>
      </w:r>
      <w:r>
        <w:rPr>
          <w:rFonts w:eastAsia="Calibri" w:cs="Times New Roman"/>
          <w:iCs/>
        </w:rPr>
        <w:t>the inclusion of</w:t>
      </w:r>
      <w:r w:rsidRPr="00A73FC7">
        <w:rPr>
          <w:rFonts w:eastAsia="Calibri" w:cs="Times New Roman"/>
          <w:iCs/>
        </w:rPr>
        <w:t xml:space="preserve"> other ethnic groups. ESC </w:t>
      </w:r>
      <w:r>
        <w:rPr>
          <w:rFonts w:eastAsia="Calibri" w:cs="Times New Roman"/>
          <w:iCs/>
        </w:rPr>
        <w:t>noted that the evidence being considered for this application only relates to the Ashkenazi Jewish population, and therefore considered that other populations are outside the scope of this consideration, though applications for other populations at increased risk could be lodged in the future when</w:t>
      </w:r>
      <w:r w:rsidRPr="00A73FC7">
        <w:rPr>
          <w:rFonts w:eastAsia="Calibri" w:cs="Times New Roman"/>
          <w:iCs/>
        </w:rPr>
        <w:t xml:space="preserve"> evidence becomes available</w:t>
      </w:r>
      <w:r>
        <w:rPr>
          <w:rFonts w:eastAsia="Calibri" w:cs="Times New Roman"/>
          <w:iCs/>
        </w:rPr>
        <w:t xml:space="preserve"> for those populations</w:t>
      </w:r>
      <w:r w:rsidRPr="00A73FC7">
        <w:rPr>
          <w:rFonts w:eastAsia="Calibri" w:cs="Times New Roman"/>
          <w:iCs/>
        </w:rPr>
        <w:t xml:space="preserve">. </w:t>
      </w:r>
      <w:r>
        <w:rPr>
          <w:rFonts w:eastAsia="Calibri" w:cs="Times New Roman"/>
          <w:iCs/>
        </w:rPr>
        <w:t xml:space="preserve">ESC considered that MSAC will need to consider the appropriateness of defining testing eligibility based on a de facto requirement of Ashkenazi Jewish ancestry. ESC considered that this testing represents positive discrimination for a previously under-catered-for group, and that the variants included on the panel are specifically chosen to cater to individuals of Ashkenazi Jewish descent. In contrast, ESC also considered </w:t>
      </w:r>
      <w:r>
        <w:rPr>
          <w:rFonts w:eastAsia="Calibri" w:cs="Times New Roman"/>
        </w:rPr>
        <w:t xml:space="preserve">public funding for the proposed services could result in actual or perceived </w:t>
      </w:r>
      <w:r w:rsidRPr="00CD60E0">
        <w:rPr>
          <w:rFonts w:eastAsia="Calibri" w:cs="Times New Roman"/>
        </w:rPr>
        <w:t>systemic discrimination towards other groups that are not eligible</w:t>
      </w:r>
      <w:r>
        <w:rPr>
          <w:rFonts w:eastAsia="Calibri" w:cs="Times New Roman"/>
        </w:rPr>
        <w:t>. Additionally, not affording access to other under-catered for groups may perpetuate knowledge gaps of genetic variants and conditions prevalent in those groups (</w:t>
      </w:r>
      <w:r w:rsidRPr="00CD60E0">
        <w:rPr>
          <w:rFonts w:eastAsia="Calibri" w:cs="Times New Roman"/>
        </w:rPr>
        <w:t>for example</w:t>
      </w:r>
      <w:r>
        <w:rPr>
          <w:rFonts w:eastAsia="Calibri" w:cs="Times New Roman"/>
        </w:rPr>
        <w:t>,</w:t>
      </w:r>
      <w:r w:rsidRPr="00CD60E0">
        <w:rPr>
          <w:rFonts w:eastAsia="Calibri" w:cs="Times New Roman"/>
        </w:rPr>
        <w:t xml:space="preserve"> Aboriginal and Torres Strait Islander peoples</w:t>
      </w:r>
      <w:r>
        <w:rPr>
          <w:rFonts w:eastAsia="Calibri" w:cs="Times New Roman"/>
        </w:rPr>
        <w:t>)</w:t>
      </w:r>
      <w:r w:rsidRPr="00CD60E0">
        <w:rPr>
          <w:rFonts w:eastAsia="Calibri" w:cs="Times New Roman"/>
        </w:rPr>
        <w:t>.</w:t>
      </w:r>
    </w:p>
    <w:p w14:paraId="6BEBD36C" w14:textId="77777777" w:rsidR="00E96E47" w:rsidRPr="00A73FC7" w:rsidRDefault="00E96E47" w:rsidP="00E96E47">
      <w:pPr>
        <w:spacing w:after="240"/>
        <w:rPr>
          <w:rFonts w:eastAsia="Calibri" w:cs="Times New Roman"/>
          <w:iCs/>
        </w:rPr>
      </w:pPr>
      <w:r>
        <w:rPr>
          <w:rFonts w:eastAsia="Calibri" w:cs="Times New Roman"/>
          <w:iCs/>
        </w:rPr>
        <w:t xml:space="preserve">ESC considered that restriction </w:t>
      </w:r>
      <w:proofErr w:type="gramStart"/>
      <w:r>
        <w:rPr>
          <w:rFonts w:eastAsia="Calibri" w:cs="Times New Roman"/>
          <w:iCs/>
        </w:rPr>
        <w:t>on the basis of</w:t>
      </w:r>
      <w:proofErr w:type="gramEnd"/>
      <w:r>
        <w:rPr>
          <w:rFonts w:eastAsia="Calibri" w:cs="Times New Roman"/>
          <w:iCs/>
        </w:rPr>
        <w:t xml:space="preserve"> ethnicity would be inappropriate, and that the current eligibility proposal based on risk instead is acceptable. ESC considered that if testing cannot be judged by MSAC to be acceptably targeted to the individuals for whom the panel is designed, then a consequence would be that testing without restriction would have reduced cost-effectiveness and increased financial impact. </w:t>
      </w:r>
      <w:r w:rsidRPr="00A73FC7">
        <w:rPr>
          <w:rFonts w:eastAsia="Calibri" w:cs="Times New Roman"/>
          <w:iCs/>
        </w:rPr>
        <w:t xml:space="preserve">ESC noted other organisations do not support ethnically targeted carrier </w:t>
      </w:r>
      <w:r>
        <w:rPr>
          <w:rFonts w:eastAsia="Calibri" w:cs="Times New Roman"/>
          <w:iCs/>
        </w:rPr>
        <w:t>testing</w:t>
      </w:r>
      <w:r w:rsidRPr="00A73FC7">
        <w:rPr>
          <w:rFonts w:eastAsia="Calibri" w:cs="Times New Roman"/>
          <w:iCs/>
        </w:rPr>
        <w:t>. For example, the recently published revised American College of Medical Genetics and Genomics</w:t>
      </w:r>
      <w:r>
        <w:rPr>
          <w:rFonts w:eastAsia="Calibri" w:cs="Times New Roman"/>
          <w:iCs/>
        </w:rPr>
        <w:t xml:space="preserve"> (ACMG)</w:t>
      </w:r>
      <w:r w:rsidRPr="00A73FC7">
        <w:rPr>
          <w:rFonts w:eastAsia="Calibri" w:cs="Times New Roman"/>
          <w:iCs/>
        </w:rPr>
        <w:t xml:space="preserve"> guidelines</w:t>
      </w:r>
      <w:r w:rsidRPr="001572E8">
        <w:rPr>
          <w:rFonts w:eastAsia="Calibri" w:cs="Times New Roman"/>
          <w:iCs/>
        </w:rPr>
        <w:t xml:space="preserve"> </w:t>
      </w:r>
      <w:r w:rsidRPr="00A73FC7">
        <w:rPr>
          <w:rFonts w:eastAsia="Calibri" w:cs="Times New Roman"/>
          <w:iCs/>
        </w:rPr>
        <w:t xml:space="preserve">on carrier </w:t>
      </w:r>
      <w:r>
        <w:rPr>
          <w:rFonts w:eastAsia="Calibri" w:cs="Times New Roman"/>
          <w:iCs/>
        </w:rPr>
        <w:t>testing</w:t>
      </w:r>
      <w:r>
        <w:rPr>
          <w:rStyle w:val="FootnoteReference"/>
          <w:rFonts w:eastAsia="Calibri" w:cs="Times New Roman"/>
          <w:iCs/>
        </w:rPr>
        <w:footnoteReference w:id="19"/>
      </w:r>
      <w:r w:rsidRPr="00A73FC7">
        <w:rPr>
          <w:rFonts w:eastAsia="Calibri" w:cs="Times New Roman"/>
          <w:iCs/>
        </w:rPr>
        <w:t xml:space="preserve"> state “restricting carrier </w:t>
      </w:r>
      <w:r w:rsidRPr="00A73FC7">
        <w:rPr>
          <w:rFonts w:eastAsia="Calibri" w:cs="Times New Roman"/>
          <w:iCs/>
        </w:rPr>
        <w:lastRenderedPageBreak/>
        <w:t>screening by using socially defined ethnic constructs or by self-identified ancestry is both inequitable and scientifically flawed”.</w:t>
      </w:r>
      <w:r>
        <w:rPr>
          <w:rFonts w:eastAsia="Calibri" w:cs="Times New Roman"/>
          <w:iCs/>
        </w:rPr>
        <w:t xml:space="preserve"> The ACMG guidelines state that</w:t>
      </w:r>
      <w:r w:rsidRPr="00A73FC7">
        <w:rPr>
          <w:rFonts w:eastAsia="Calibri" w:cs="Times New Roman"/>
          <w:iCs/>
        </w:rPr>
        <w:t xml:space="preserve"> </w:t>
      </w:r>
      <w:r>
        <w:rPr>
          <w:rFonts w:eastAsia="Calibri" w:cs="Times New Roman"/>
          <w:iCs/>
        </w:rPr>
        <w:t xml:space="preserve">while </w:t>
      </w:r>
      <w:r w:rsidRPr="00A73FC7">
        <w:rPr>
          <w:rFonts w:eastAsia="Calibri" w:cs="Times New Roman"/>
          <w:iCs/>
        </w:rPr>
        <w:t xml:space="preserve">carrier </w:t>
      </w:r>
      <w:r>
        <w:rPr>
          <w:rFonts w:eastAsia="Calibri" w:cs="Times New Roman"/>
          <w:iCs/>
        </w:rPr>
        <w:t>testing</w:t>
      </w:r>
      <w:r w:rsidRPr="00A73FC7">
        <w:rPr>
          <w:rFonts w:eastAsia="Calibri" w:cs="Times New Roman"/>
          <w:iCs/>
        </w:rPr>
        <w:t xml:space="preserve"> for targeted genes in selected ethnic populations was appropriate in the past, massively parallel sequencing allows for a wider panel of genes to be tested without the need to identify the a priori risk based on ethnic background.</w:t>
      </w:r>
    </w:p>
    <w:p w14:paraId="511AC8A6" w14:textId="4FC27655" w:rsidR="00E96E47" w:rsidRPr="006C2C3F" w:rsidRDefault="00E96E47" w:rsidP="00E96E47">
      <w:pPr>
        <w:spacing w:after="240"/>
        <w:rPr>
          <w:rFonts w:eastAsia="Calibri" w:cs="Times New Roman"/>
          <w:iCs/>
        </w:rPr>
      </w:pPr>
      <w:r w:rsidRPr="006C2C3F">
        <w:rPr>
          <w:rFonts w:eastAsia="Calibri" w:cs="Times New Roman"/>
        </w:rPr>
        <w:t xml:space="preserve">ESC noted that item AAAA is </w:t>
      </w:r>
      <w:r>
        <w:rPr>
          <w:rFonts w:eastAsia="Calibri" w:cs="Times New Roman"/>
        </w:rPr>
        <w:t>proposed to be restricted to</w:t>
      </w:r>
      <w:r w:rsidRPr="006C2C3F">
        <w:rPr>
          <w:rFonts w:eastAsia="Calibri" w:cs="Times New Roman"/>
        </w:rPr>
        <w:t xml:space="preserve"> asymptomatic individuals</w:t>
      </w:r>
      <w:r>
        <w:rPr>
          <w:rFonts w:eastAsia="Calibri" w:cs="Times New Roman"/>
        </w:rPr>
        <w:t xml:space="preserve">. ESC considered that </w:t>
      </w:r>
      <w:r w:rsidRPr="006C2C3F">
        <w:rPr>
          <w:rFonts w:eastAsia="Calibri" w:cs="Times New Roman"/>
        </w:rPr>
        <w:t>individuals with an existing condition</w:t>
      </w:r>
      <w:r>
        <w:rPr>
          <w:rFonts w:eastAsia="Calibri" w:cs="Times New Roman"/>
        </w:rPr>
        <w:t xml:space="preserve"> (of those listed in AAAA) may still</w:t>
      </w:r>
      <w:r w:rsidRPr="006C2C3F">
        <w:rPr>
          <w:rFonts w:eastAsia="Calibri" w:cs="Times New Roman"/>
        </w:rPr>
        <w:t xml:space="preserve"> be at risk </w:t>
      </w:r>
      <w:r>
        <w:rPr>
          <w:rFonts w:eastAsia="Calibri" w:cs="Times New Roman"/>
        </w:rPr>
        <w:t xml:space="preserve">of being a carrier </w:t>
      </w:r>
      <w:r w:rsidRPr="006C2C3F">
        <w:rPr>
          <w:rFonts w:eastAsia="Calibri" w:cs="Times New Roman"/>
        </w:rPr>
        <w:t xml:space="preserve">for other </w:t>
      </w:r>
      <w:r>
        <w:rPr>
          <w:rFonts w:eastAsia="Calibri" w:cs="Times New Roman"/>
        </w:rPr>
        <w:t xml:space="preserve">listed </w:t>
      </w:r>
      <w:proofErr w:type="gramStart"/>
      <w:r w:rsidRPr="006C2C3F">
        <w:rPr>
          <w:rFonts w:eastAsia="Calibri" w:cs="Times New Roman"/>
        </w:rPr>
        <w:t>conditions</w:t>
      </w:r>
      <w:r>
        <w:rPr>
          <w:rFonts w:eastAsia="Calibri" w:cs="Times New Roman"/>
        </w:rPr>
        <w:t>, and</w:t>
      </w:r>
      <w:proofErr w:type="gramEnd"/>
      <w:r>
        <w:rPr>
          <w:rFonts w:eastAsia="Calibri" w:cs="Times New Roman"/>
        </w:rPr>
        <w:t xml:space="preserve"> recommended “asymptomatic” in AAAA be removed</w:t>
      </w:r>
      <w:r w:rsidRPr="006C2C3F">
        <w:rPr>
          <w:rFonts w:eastAsia="Calibri" w:cs="Times New Roman"/>
        </w:rPr>
        <w:t>.</w:t>
      </w:r>
      <w:r>
        <w:rPr>
          <w:rFonts w:eastAsia="Calibri" w:cs="Times New Roman"/>
        </w:rPr>
        <w:t xml:space="preserve"> </w:t>
      </w:r>
      <w:r>
        <w:rPr>
          <w:rFonts w:eastAsia="Calibri" w:cs="Times New Roman"/>
          <w:iCs/>
        </w:rPr>
        <w:t>ESC’s changes to AAAA are reflected below (</w:t>
      </w:r>
      <w:r>
        <w:t xml:space="preserve">Table </w:t>
      </w:r>
      <w:r w:rsidR="007260EF">
        <w:t>2</w:t>
      </w:r>
      <w:r w:rsidR="00636918">
        <w:t>4</w:t>
      </w:r>
      <w:r>
        <w:rPr>
          <w:rFonts w:eastAsia="Calibri" w:cs="Times New Roman"/>
          <w:iCs/>
        </w:rPr>
        <w:t>).</w:t>
      </w:r>
    </w:p>
    <w:p w14:paraId="0B90703C" w14:textId="72427E02" w:rsidR="00E96E47" w:rsidRDefault="00E96E47" w:rsidP="00E96E47">
      <w:pPr>
        <w:pStyle w:val="Caption"/>
      </w:pPr>
      <w:bookmarkStart w:id="89" w:name="_Ref107306656"/>
      <w:r>
        <w:t xml:space="preserve">Table </w:t>
      </w:r>
      <w:r w:rsidR="007260EF">
        <w:t>2</w:t>
      </w:r>
      <w:r w:rsidR="00636918">
        <w:t>4</w:t>
      </w:r>
      <w:bookmarkEnd w:id="89"/>
      <w:r>
        <w:tab/>
        <w:t>ESC’s revisions to the item descriptor for targeted carrier testing</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E96E47" w:rsidRPr="00CE28E3" w14:paraId="70F7B05E" w14:textId="77777777" w:rsidTr="00E96E47">
        <w:trPr>
          <w:cantSplit/>
          <w:trHeight w:val="350"/>
          <w:tblHeader/>
        </w:trPr>
        <w:tc>
          <w:tcPr>
            <w:tcW w:w="9016" w:type="dxa"/>
          </w:tcPr>
          <w:p w14:paraId="3F2E5ECD" w14:textId="77777777" w:rsidR="00E96E47" w:rsidRPr="00170D5B" w:rsidRDefault="00E96E47" w:rsidP="00E96E47">
            <w:pPr>
              <w:pStyle w:val="TableText"/>
            </w:pPr>
            <w:r>
              <w:t>Category 6 (Pathology Services) – Group P7 Genetics</w:t>
            </w:r>
          </w:p>
        </w:tc>
      </w:tr>
      <w:tr w:rsidR="00E96E47" w:rsidRPr="00CE28E3" w14:paraId="7A14A2FB" w14:textId="77777777" w:rsidTr="00E96E47">
        <w:trPr>
          <w:cantSplit/>
          <w:tblHeader/>
        </w:trPr>
        <w:tc>
          <w:tcPr>
            <w:tcW w:w="9016" w:type="dxa"/>
          </w:tcPr>
          <w:p w14:paraId="6935F471" w14:textId="77777777" w:rsidR="00E96E47" w:rsidRDefault="00E96E47" w:rsidP="00E96E47">
            <w:pPr>
              <w:pStyle w:val="TableText"/>
            </w:pPr>
            <w:r>
              <w:t>MBS item AAAA</w:t>
            </w:r>
          </w:p>
          <w:p w14:paraId="55EF7B46" w14:textId="445CDCDF" w:rsidR="00E96E47" w:rsidRDefault="00E96E47" w:rsidP="00E96E47">
            <w:pPr>
              <w:pStyle w:val="TableText"/>
              <w:spacing w:before="240"/>
            </w:pPr>
            <w:r>
              <w:t xml:space="preserve">Testing of </w:t>
            </w:r>
            <w:r w:rsidRPr="006C2C3F">
              <w:rPr>
                <w:strike/>
                <w:color w:val="00B050"/>
              </w:rPr>
              <w:t>asymptomatic</w:t>
            </w:r>
            <w:r w:rsidRPr="006C2C3F">
              <w:rPr>
                <w:color w:val="00B050"/>
              </w:rPr>
              <w:t xml:space="preserve"> </w:t>
            </w:r>
            <w:r>
              <w:t xml:space="preserve">individuals of reproductive age, for the presence of pathogenic or likely pathogenic variants </w:t>
            </w:r>
            <w:proofErr w:type="gramStart"/>
            <w:r>
              <w:t>in order to</w:t>
            </w:r>
            <w:proofErr w:type="gramEnd"/>
            <w:r>
              <w:t xml:space="preserve"> ascertain their carrier status, in a panel of genes causing severe monogenic disorders that must include the </w:t>
            </w:r>
            <w:r>
              <w:rPr>
                <w:i/>
                <w:iCs/>
              </w:rPr>
              <w:t>CFTR</w:t>
            </w:r>
            <w:r>
              <w:t xml:space="preserve">, </w:t>
            </w:r>
            <w:r>
              <w:rPr>
                <w:i/>
                <w:iCs/>
              </w:rPr>
              <w:t>SMN1</w:t>
            </w:r>
            <w:r>
              <w:t xml:space="preserve">, </w:t>
            </w:r>
            <w:r>
              <w:rPr>
                <w:i/>
                <w:iCs/>
              </w:rPr>
              <w:t xml:space="preserve">FMR1, HEXA, ASPA, ELP1, MCOLN1, G6PC1, SLC37A4, FANCA, FANCC, FANCG, </w:t>
            </w:r>
            <w:r w:rsidR="00161D54">
              <w:rPr>
                <w:i/>
                <w:iCs/>
              </w:rPr>
              <w:t>GBA1</w:t>
            </w:r>
            <w:r>
              <w:rPr>
                <w:i/>
                <w:iCs/>
              </w:rPr>
              <w:t>, SMPD1,</w:t>
            </w:r>
            <w:r>
              <w:t xml:space="preserve"> and</w:t>
            </w:r>
            <w:r>
              <w:rPr>
                <w:i/>
                <w:iCs/>
              </w:rPr>
              <w:t xml:space="preserve"> BLM</w:t>
            </w:r>
            <w:r w:rsidRPr="00CB075C">
              <w:t xml:space="preserve"> genes, </w:t>
            </w:r>
            <w:r>
              <w:t>requested by or on behalf of a medical practitioner who manages the treatment of the patient.</w:t>
            </w:r>
          </w:p>
          <w:p w14:paraId="5F591FAB" w14:textId="77777777" w:rsidR="00E96E47" w:rsidRDefault="00E96E47" w:rsidP="00E96E47">
            <w:pPr>
              <w:pStyle w:val="TableText"/>
              <w:spacing w:before="240"/>
            </w:pPr>
            <w:r>
              <w:t xml:space="preserve">Individuals must have a &gt;10% personal risk of being a genetic carrier of any of the clinical disorders associated with pathogenic or likely pathogenic variants of genes in the testing panel, namely Cystic Fibrosis, Spinal Muscular Atrophy, Fragile X Syndrome, Tay Sachs Disease, Canavan disease, Familial dysautonomia, </w:t>
            </w:r>
            <w:proofErr w:type="spellStart"/>
            <w:r>
              <w:t>Mucolipidosis</w:t>
            </w:r>
            <w:proofErr w:type="spellEnd"/>
            <w:r>
              <w:t xml:space="preserve"> Type IV, Glycogen storage disease type 1, Fanconi anaemia type C, Gaucher disease, Niemann Pick Disease </w:t>
            </w:r>
            <w:proofErr w:type="gramStart"/>
            <w:r>
              <w:t>type</w:t>
            </w:r>
            <w:proofErr w:type="gramEnd"/>
            <w:r>
              <w:t xml:space="preserve"> A, and Bloom Syndrome.</w:t>
            </w:r>
          </w:p>
          <w:p w14:paraId="7920CAE5" w14:textId="77777777" w:rsidR="00E96E47" w:rsidRPr="00C0345A" w:rsidRDefault="00E96E47" w:rsidP="00E96E47">
            <w:pPr>
              <w:pStyle w:val="TableText"/>
              <w:spacing w:before="240"/>
              <w:rPr>
                <w:szCs w:val="20"/>
              </w:rPr>
            </w:pPr>
            <w:r>
              <w:t>One test per lifetime.</w:t>
            </w:r>
          </w:p>
        </w:tc>
      </w:tr>
      <w:tr w:rsidR="00E96E47" w:rsidRPr="00CE28E3" w14:paraId="73A56231" w14:textId="77777777" w:rsidTr="00E96E47">
        <w:trPr>
          <w:cantSplit/>
          <w:trHeight w:val="223"/>
          <w:tblHeader/>
        </w:trPr>
        <w:tc>
          <w:tcPr>
            <w:tcW w:w="9016" w:type="dxa"/>
          </w:tcPr>
          <w:p w14:paraId="04BD77B1" w14:textId="77777777" w:rsidR="00E96E47" w:rsidRPr="00E3330E" w:rsidRDefault="00E96E47" w:rsidP="00E96E47">
            <w:pPr>
              <w:pStyle w:val="TableText"/>
              <w:rPr>
                <w:snapToGrid w:val="0"/>
                <w:szCs w:val="20"/>
              </w:rPr>
            </w:pPr>
            <w:r>
              <w:t xml:space="preserve">Fee:  </w:t>
            </w:r>
            <w:r w:rsidRPr="001C3AA1">
              <w:t>$</w:t>
            </w:r>
            <w:r>
              <w:t>425</w:t>
            </w:r>
          </w:p>
        </w:tc>
      </w:tr>
    </w:tbl>
    <w:p w14:paraId="2AB4E80A" w14:textId="77777777" w:rsidR="00E96E47" w:rsidRDefault="00E96E47" w:rsidP="00E96E47">
      <w:pPr>
        <w:pStyle w:val="TFAbbrevs0"/>
      </w:pPr>
      <w:r w:rsidRPr="006C2C3F">
        <w:rPr>
          <w:bCs/>
          <w:color w:val="auto"/>
        </w:rPr>
        <w:t xml:space="preserve">Practice Note 1: For individuals of Ashkenazi Jewish ancestry, the panel </w:t>
      </w:r>
      <w:r w:rsidRPr="006C2C3F">
        <w:rPr>
          <w:bCs/>
          <w:i/>
          <w:iCs/>
          <w:color w:val="auto"/>
        </w:rPr>
        <w:t>must also</w:t>
      </w:r>
      <w:r w:rsidRPr="006C2C3F">
        <w:rPr>
          <w:bCs/>
          <w:color w:val="auto"/>
        </w:rPr>
        <w:t xml:space="preserve"> include </w:t>
      </w:r>
      <w:r w:rsidRPr="006C2C3F">
        <w:rPr>
          <w:bCs/>
          <w:i/>
          <w:iCs/>
          <w:color w:val="auto"/>
        </w:rPr>
        <w:t>HEXA,</w:t>
      </w:r>
      <w:r w:rsidRPr="006C2C3F">
        <w:rPr>
          <w:bCs/>
          <w:color w:val="auto"/>
        </w:rPr>
        <w:t xml:space="preserve"> </w:t>
      </w:r>
      <w:r w:rsidRPr="006C2C3F">
        <w:rPr>
          <w:bCs/>
          <w:i/>
          <w:iCs/>
          <w:color w:val="auto"/>
        </w:rPr>
        <w:t xml:space="preserve">ELP1, SMPD1, ASPA, FANCC, BLM </w:t>
      </w:r>
      <w:r w:rsidRPr="006C2C3F">
        <w:rPr>
          <w:bCs/>
          <w:color w:val="auto"/>
        </w:rPr>
        <w:t xml:space="preserve">and </w:t>
      </w:r>
      <w:r w:rsidRPr="006C2C3F">
        <w:rPr>
          <w:bCs/>
          <w:i/>
          <w:iCs/>
          <w:color w:val="auto"/>
        </w:rPr>
        <w:t>MCOLN1</w:t>
      </w:r>
      <w:r w:rsidRPr="006C2C3F">
        <w:rPr>
          <w:bCs/>
          <w:color w:val="auto"/>
        </w:rPr>
        <w:t>. Additional genes may also be included in the panel using standardised pathology lists of genes according to ethnic risk. The reference source for these gene lists will be provided by the applicant.</w:t>
      </w:r>
      <w:r w:rsidRPr="0001042F">
        <w:rPr>
          <w:bCs/>
        </w:rPr>
        <w:t xml:space="preserve"> </w:t>
      </w:r>
      <w:r w:rsidRPr="006C2C3F">
        <w:rPr>
          <w:bCs/>
        </w:rPr>
        <w:t xml:space="preserve">Practice Note </w:t>
      </w:r>
      <w:r w:rsidRPr="006C2C3F">
        <w:rPr>
          <w:bCs/>
          <w:color w:val="auto"/>
        </w:rPr>
        <w:t>2</w:t>
      </w:r>
      <w:r w:rsidRPr="000D6651">
        <w:rPr>
          <w:b/>
        </w:rPr>
        <w:t>:</w:t>
      </w:r>
      <w:r w:rsidRPr="00EA4C61">
        <w:t xml:space="preserve"> where the couple is already pregnant, concurrent testing of any partner(s) not already tested is recommended.</w:t>
      </w:r>
    </w:p>
    <w:p w14:paraId="79369362" w14:textId="77777777" w:rsidR="00E96E47" w:rsidRPr="00A73FC7" w:rsidRDefault="00E96E47" w:rsidP="00E96E47">
      <w:pPr>
        <w:pStyle w:val="TFAbbrevs18"/>
        <w:rPr>
          <w:rFonts w:eastAsia="Calibri"/>
        </w:rPr>
      </w:pPr>
      <w:r>
        <w:rPr>
          <w:rFonts w:eastAsia="Calibri"/>
        </w:rPr>
        <w:t>ESC’s deletion is in green strikethrough.</w:t>
      </w:r>
    </w:p>
    <w:p w14:paraId="3DC108F1" w14:textId="77777777" w:rsidR="00E96E47" w:rsidRPr="00A73FC7" w:rsidRDefault="00E96E47" w:rsidP="00E96E47">
      <w:pPr>
        <w:spacing w:after="240"/>
        <w:rPr>
          <w:rFonts w:eastAsia="Calibri" w:cs="Times New Roman"/>
          <w:iCs/>
        </w:rPr>
      </w:pPr>
      <w:r w:rsidRPr="00A73FC7">
        <w:rPr>
          <w:rFonts w:eastAsia="Calibri" w:cs="Times New Roman"/>
          <w:iCs/>
        </w:rPr>
        <w:t xml:space="preserve">ESC noted stakeholder feedback that the fee for item AAAA should be $1,200, </w:t>
      </w:r>
      <w:r>
        <w:rPr>
          <w:rFonts w:eastAsia="Calibri" w:cs="Times New Roman"/>
          <w:iCs/>
        </w:rPr>
        <w:t>to be</w:t>
      </w:r>
      <w:r w:rsidRPr="00A73FC7">
        <w:rPr>
          <w:rFonts w:eastAsia="Calibri" w:cs="Times New Roman"/>
          <w:iCs/>
        </w:rPr>
        <w:t xml:space="preserve"> consistent with the fee for item CCCC. </w:t>
      </w:r>
      <w:r>
        <w:rPr>
          <w:rFonts w:eastAsia="Calibri" w:cs="Times New Roman"/>
          <w:iCs/>
        </w:rPr>
        <w:t>ESC noted t</w:t>
      </w:r>
      <w:r w:rsidRPr="00A73FC7">
        <w:rPr>
          <w:rFonts w:eastAsia="Calibri" w:cs="Times New Roman"/>
          <w:iCs/>
        </w:rPr>
        <w:t xml:space="preserve">he fee </w:t>
      </w:r>
      <w:r>
        <w:rPr>
          <w:rFonts w:eastAsia="Calibri" w:cs="Times New Roman"/>
          <w:iCs/>
        </w:rPr>
        <w:t xml:space="preserve">is comparable to that </w:t>
      </w:r>
      <w:r w:rsidRPr="00A73FC7">
        <w:rPr>
          <w:rFonts w:eastAsia="Calibri" w:cs="Times New Roman"/>
          <w:iCs/>
        </w:rPr>
        <w:t xml:space="preserve">for other similar </w:t>
      </w:r>
      <w:r>
        <w:rPr>
          <w:rFonts w:eastAsia="Calibri" w:cs="Times New Roman"/>
          <w:iCs/>
        </w:rPr>
        <w:t>amplicon-specific gene panels</w:t>
      </w:r>
      <w:r w:rsidRPr="00A73FC7">
        <w:rPr>
          <w:rFonts w:eastAsia="Calibri" w:cs="Times New Roman"/>
          <w:iCs/>
        </w:rPr>
        <w:t xml:space="preserve">. ESC </w:t>
      </w:r>
      <w:r>
        <w:rPr>
          <w:rFonts w:eastAsia="Calibri" w:cs="Times New Roman"/>
          <w:iCs/>
        </w:rPr>
        <w:t>considered</w:t>
      </w:r>
      <w:r w:rsidRPr="00A73FC7">
        <w:rPr>
          <w:rFonts w:eastAsia="Calibri" w:cs="Times New Roman"/>
          <w:iCs/>
        </w:rPr>
        <w:t xml:space="preserve"> that increas</w:t>
      </w:r>
      <w:r>
        <w:rPr>
          <w:rFonts w:eastAsia="Calibri" w:cs="Times New Roman"/>
          <w:iCs/>
        </w:rPr>
        <w:t>ing</w:t>
      </w:r>
      <w:r w:rsidRPr="00A73FC7">
        <w:rPr>
          <w:rFonts w:eastAsia="Calibri" w:cs="Times New Roman"/>
          <w:iCs/>
        </w:rPr>
        <w:t xml:space="preserve"> </w:t>
      </w:r>
      <w:r>
        <w:rPr>
          <w:rFonts w:eastAsia="Calibri" w:cs="Times New Roman"/>
          <w:iCs/>
        </w:rPr>
        <w:t>the</w:t>
      </w:r>
      <w:r w:rsidRPr="00A73FC7">
        <w:rPr>
          <w:rFonts w:eastAsia="Calibri" w:cs="Times New Roman"/>
          <w:iCs/>
        </w:rPr>
        <w:t xml:space="preserve"> fee </w:t>
      </w:r>
      <w:r>
        <w:rPr>
          <w:rFonts w:eastAsia="Calibri" w:cs="Times New Roman"/>
          <w:iCs/>
        </w:rPr>
        <w:t xml:space="preserve">for AAAA </w:t>
      </w:r>
      <w:r w:rsidRPr="00A73FC7">
        <w:rPr>
          <w:rFonts w:eastAsia="Calibri" w:cs="Times New Roman"/>
          <w:iCs/>
        </w:rPr>
        <w:t>to $1,200 may support providers to use whole genome or exome sequencing and the use of a virtual panel</w:t>
      </w:r>
      <w:r>
        <w:rPr>
          <w:rFonts w:eastAsia="Calibri" w:cs="Times New Roman"/>
          <w:iCs/>
        </w:rPr>
        <w:t>, in line with previous gene panels where a $1,200 fee has been supported by MSAC to permit such methods</w:t>
      </w:r>
      <w:r w:rsidRPr="00A73FC7">
        <w:rPr>
          <w:rFonts w:eastAsia="Calibri" w:cs="Times New Roman"/>
          <w:iCs/>
        </w:rPr>
        <w:t xml:space="preserve">. However, </w:t>
      </w:r>
      <w:r>
        <w:rPr>
          <w:rFonts w:eastAsia="Calibri" w:cs="Times New Roman"/>
          <w:iCs/>
        </w:rPr>
        <w:t>ESC noted the applicant’s consistent advice that this gene panel test will use</w:t>
      </w:r>
      <w:r w:rsidRPr="00A73FC7">
        <w:rPr>
          <w:rFonts w:eastAsia="Calibri" w:cs="Times New Roman"/>
          <w:iCs/>
        </w:rPr>
        <w:t xml:space="preserve"> amplicon</w:t>
      </w:r>
      <w:r>
        <w:rPr>
          <w:rFonts w:eastAsia="Calibri" w:cs="Times New Roman"/>
          <w:iCs/>
        </w:rPr>
        <w:t>-specific</w:t>
      </w:r>
      <w:r w:rsidRPr="00A73FC7">
        <w:rPr>
          <w:rFonts w:eastAsia="Calibri" w:cs="Times New Roman"/>
          <w:iCs/>
        </w:rPr>
        <w:t xml:space="preserve"> </w:t>
      </w:r>
      <w:r>
        <w:rPr>
          <w:rFonts w:eastAsia="Calibri" w:cs="Times New Roman"/>
          <w:iCs/>
        </w:rPr>
        <w:t xml:space="preserve">methods rather than whole gene </w:t>
      </w:r>
      <w:r w:rsidRPr="00A73FC7">
        <w:rPr>
          <w:rFonts w:eastAsia="Calibri" w:cs="Times New Roman"/>
          <w:iCs/>
        </w:rPr>
        <w:t xml:space="preserve">sequencing. ESC </w:t>
      </w:r>
      <w:r>
        <w:rPr>
          <w:rFonts w:eastAsia="Calibri" w:cs="Times New Roman"/>
          <w:iCs/>
        </w:rPr>
        <w:t>therefore</w:t>
      </w:r>
      <w:r w:rsidRPr="00A73FC7">
        <w:rPr>
          <w:rFonts w:eastAsia="Calibri" w:cs="Times New Roman"/>
          <w:iCs/>
        </w:rPr>
        <w:t xml:space="preserve"> considered </w:t>
      </w:r>
      <w:r>
        <w:rPr>
          <w:rFonts w:eastAsia="Calibri" w:cs="Times New Roman"/>
          <w:iCs/>
        </w:rPr>
        <w:t>the applicant’s proposed fee of $425 to be reasonable given the intended amplicon-specific testing methods</w:t>
      </w:r>
      <w:r w:rsidRPr="00A73FC7">
        <w:rPr>
          <w:rFonts w:eastAsia="Calibri" w:cs="Times New Roman"/>
          <w:iCs/>
        </w:rPr>
        <w:t>.</w:t>
      </w:r>
    </w:p>
    <w:p w14:paraId="3180E696" w14:textId="77777777" w:rsidR="00E96E47" w:rsidRPr="00A73FC7" w:rsidRDefault="00E96E47" w:rsidP="00E96E47">
      <w:pPr>
        <w:spacing w:after="240"/>
        <w:rPr>
          <w:rFonts w:eastAsia="Calibri" w:cs="Times New Roman"/>
          <w:iCs/>
        </w:rPr>
      </w:pPr>
      <w:r>
        <w:rPr>
          <w:rFonts w:eastAsia="Calibri" w:cs="Times New Roman"/>
          <w:iCs/>
        </w:rPr>
        <w:t xml:space="preserve">ESC noted that where already pregnant, simultaneous testing of both partners is recommended in the practice note for AAAA, where both partners are eligible for AAAA. </w:t>
      </w:r>
      <w:r w:rsidRPr="00A73FC7">
        <w:rPr>
          <w:rFonts w:eastAsia="Calibri" w:cs="Times New Roman"/>
          <w:iCs/>
        </w:rPr>
        <w:t xml:space="preserve">ESC </w:t>
      </w:r>
      <w:r>
        <w:rPr>
          <w:rFonts w:eastAsia="Calibri" w:cs="Times New Roman"/>
          <w:iCs/>
        </w:rPr>
        <w:t>noted the item descriptor for CCCC proposes sequential testing to inform whether partner testing is needed in the non-Ashkenazi Jewish partner and if so the relevant gene/s to be sequenced under CCCC. ESC considered</w:t>
      </w:r>
      <w:r w:rsidRPr="00A73FC7">
        <w:rPr>
          <w:rFonts w:eastAsia="Calibri" w:cs="Times New Roman"/>
          <w:iCs/>
        </w:rPr>
        <w:t xml:space="preserve"> </w:t>
      </w:r>
      <w:r>
        <w:rPr>
          <w:rFonts w:eastAsia="Calibri" w:cs="Times New Roman"/>
          <w:iCs/>
        </w:rPr>
        <w:t>sequential testing would</w:t>
      </w:r>
      <w:r w:rsidRPr="00A73FC7">
        <w:rPr>
          <w:rFonts w:eastAsia="Calibri" w:cs="Times New Roman"/>
          <w:iCs/>
        </w:rPr>
        <w:t xml:space="preserve"> </w:t>
      </w:r>
      <w:r>
        <w:rPr>
          <w:rFonts w:eastAsia="Calibri" w:cs="Times New Roman"/>
          <w:iCs/>
        </w:rPr>
        <w:t xml:space="preserve">be more cost-effective and have lower budget impact than simultaneous </w:t>
      </w:r>
      <w:proofErr w:type="gramStart"/>
      <w:r>
        <w:rPr>
          <w:rFonts w:eastAsia="Calibri" w:cs="Times New Roman"/>
          <w:iCs/>
        </w:rPr>
        <w:t>testing,</w:t>
      </w:r>
      <w:r w:rsidRPr="00A73FC7">
        <w:rPr>
          <w:rFonts w:eastAsia="Calibri" w:cs="Times New Roman"/>
          <w:iCs/>
        </w:rPr>
        <w:t xml:space="preserve"> </w:t>
      </w:r>
      <w:r>
        <w:rPr>
          <w:rFonts w:eastAsia="Calibri" w:cs="Times New Roman"/>
          <w:iCs/>
        </w:rPr>
        <w:t>and</w:t>
      </w:r>
      <w:proofErr w:type="gramEnd"/>
      <w:r>
        <w:rPr>
          <w:rFonts w:eastAsia="Calibri" w:cs="Times New Roman"/>
          <w:iCs/>
        </w:rPr>
        <w:t xml:space="preserve"> noted the DCAR used sequential testing in its costings in line with the item descriptor. H</w:t>
      </w:r>
      <w:r w:rsidRPr="00A73FC7">
        <w:rPr>
          <w:rFonts w:eastAsia="Calibri" w:cs="Times New Roman"/>
          <w:iCs/>
        </w:rPr>
        <w:t xml:space="preserve">owever, ESC </w:t>
      </w:r>
      <w:r>
        <w:rPr>
          <w:rFonts w:eastAsia="Calibri" w:cs="Times New Roman"/>
          <w:iCs/>
        </w:rPr>
        <w:t xml:space="preserve">also </w:t>
      </w:r>
      <w:r w:rsidRPr="00A73FC7">
        <w:rPr>
          <w:rFonts w:eastAsia="Calibri" w:cs="Times New Roman"/>
          <w:iCs/>
        </w:rPr>
        <w:t xml:space="preserve">noted the RCPA’s feedback that concurrent testing </w:t>
      </w:r>
      <w:r>
        <w:rPr>
          <w:rFonts w:eastAsia="Calibri" w:cs="Times New Roman"/>
          <w:iCs/>
        </w:rPr>
        <w:t xml:space="preserve">of both partners </w:t>
      </w:r>
      <w:r w:rsidRPr="00A73FC7">
        <w:rPr>
          <w:rFonts w:eastAsia="Calibri" w:cs="Times New Roman"/>
          <w:iCs/>
        </w:rPr>
        <w:t xml:space="preserve">is </w:t>
      </w:r>
      <w:r>
        <w:rPr>
          <w:rFonts w:eastAsia="Calibri" w:cs="Times New Roman"/>
          <w:iCs/>
        </w:rPr>
        <w:t>desired</w:t>
      </w:r>
      <w:r w:rsidRPr="00A73FC7">
        <w:rPr>
          <w:rFonts w:eastAsia="Calibri" w:cs="Times New Roman"/>
          <w:iCs/>
        </w:rPr>
        <w:t xml:space="preserve"> due to best clinical </w:t>
      </w:r>
      <w:proofErr w:type="gramStart"/>
      <w:r w:rsidRPr="00A73FC7">
        <w:rPr>
          <w:rFonts w:eastAsia="Calibri" w:cs="Times New Roman"/>
          <w:iCs/>
        </w:rPr>
        <w:t>practice</w:t>
      </w:r>
      <w:r>
        <w:rPr>
          <w:rFonts w:eastAsia="Calibri" w:cs="Times New Roman"/>
          <w:iCs/>
        </w:rPr>
        <w:t>, and</w:t>
      </w:r>
      <w:proofErr w:type="gramEnd"/>
      <w:r>
        <w:rPr>
          <w:rFonts w:eastAsia="Calibri" w:cs="Times New Roman"/>
          <w:iCs/>
        </w:rPr>
        <w:t xml:space="preserve"> queried whether simultaneous testing would be more clinically appropriate</w:t>
      </w:r>
      <w:r w:rsidRPr="00A73FC7">
        <w:rPr>
          <w:rFonts w:eastAsia="Calibri" w:cs="Times New Roman"/>
          <w:iCs/>
        </w:rPr>
        <w:t>.</w:t>
      </w:r>
    </w:p>
    <w:p w14:paraId="391AC496" w14:textId="77777777" w:rsidR="00E96E47" w:rsidRDefault="00E96E47" w:rsidP="00E96E47">
      <w:pPr>
        <w:spacing w:after="240"/>
        <w:rPr>
          <w:rFonts w:eastAsia="Calibri" w:cs="Times New Roman"/>
          <w:iCs/>
        </w:rPr>
      </w:pPr>
      <w:r>
        <w:rPr>
          <w:rFonts w:eastAsia="Calibri" w:cs="Times New Roman"/>
          <w:iCs/>
        </w:rPr>
        <w:lastRenderedPageBreak/>
        <w:t>ESC noted that r</w:t>
      </w:r>
      <w:r w:rsidRPr="007D1B14">
        <w:rPr>
          <w:rFonts w:eastAsia="Calibri" w:cs="Times New Roman"/>
          <w:iCs/>
        </w:rPr>
        <w:t>ecoupling</w:t>
      </w:r>
      <w:r>
        <w:rPr>
          <w:rFonts w:eastAsia="Calibri" w:cs="Times New Roman"/>
          <w:iCs/>
        </w:rPr>
        <w:t xml:space="preserve"> was accounted for in reproductive partner testing, through the proposed “o</w:t>
      </w:r>
      <w:r w:rsidRPr="00C30CA2">
        <w:rPr>
          <w:rFonts w:eastAsia="Calibri" w:cs="Times New Roman"/>
          <w:iCs/>
        </w:rPr>
        <w:t>ne test per couple per lifetime</w:t>
      </w:r>
      <w:r>
        <w:rPr>
          <w:rFonts w:eastAsia="Calibri" w:cs="Times New Roman"/>
          <w:iCs/>
        </w:rPr>
        <w:t>” restriction on CCCC.</w:t>
      </w:r>
    </w:p>
    <w:p w14:paraId="52F47BE4" w14:textId="77777777" w:rsidR="00E96E47" w:rsidRPr="00A73FC7" w:rsidRDefault="00E96E47" w:rsidP="00E96E47">
      <w:pPr>
        <w:spacing w:after="240"/>
        <w:rPr>
          <w:rFonts w:eastAsia="Calibri" w:cs="Times New Roman"/>
          <w:iCs/>
        </w:rPr>
      </w:pPr>
      <w:r w:rsidRPr="00A73FC7">
        <w:rPr>
          <w:rFonts w:eastAsia="Calibri" w:cs="Times New Roman"/>
          <w:iCs/>
        </w:rPr>
        <w:t xml:space="preserve">For </w:t>
      </w:r>
      <w:r>
        <w:rPr>
          <w:rFonts w:eastAsia="Calibri" w:cs="Times New Roman"/>
          <w:iCs/>
        </w:rPr>
        <w:t>proposed</w:t>
      </w:r>
      <w:r w:rsidRPr="00A73FC7">
        <w:rPr>
          <w:rFonts w:eastAsia="Calibri" w:cs="Times New Roman"/>
          <w:iCs/>
        </w:rPr>
        <w:t xml:space="preserve"> item CCCC</w:t>
      </w:r>
      <w:r>
        <w:rPr>
          <w:rFonts w:eastAsia="Calibri" w:cs="Times New Roman"/>
          <w:iCs/>
        </w:rPr>
        <w:t xml:space="preserve"> for reproductive partner testing</w:t>
      </w:r>
      <w:r w:rsidRPr="00A73FC7">
        <w:rPr>
          <w:rFonts w:eastAsia="Calibri" w:cs="Times New Roman"/>
          <w:iCs/>
        </w:rPr>
        <w:t xml:space="preserve">, ESC </w:t>
      </w:r>
      <w:r>
        <w:rPr>
          <w:rFonts w:eastAsia="Calibri" w:cs="Times New Roman"/>
          <w:iCs/>
        </w:rPr>
        <w:t xml:space="preserve">noted that Ashkenazi Jewish partners will be independently eligible for AAAA, and so CCCC will be used by non-Ashkenazi Jewish partners only. ESC considered that </w:t>
      </w:r>
      <w:r w:rsidRPr="00A73FC7">
        <w:rPr>
          <w:rFonts w:eastAsia="Calibri" w:cs="Times New Roman"/>
          <w:iCs/>
        </w:rPr>
        <w:t xml:space="preserve">whole gene sequencing of </w:t>
      </w:r>
      <w:r>
        <w:rPr>
          <w:rFonts w:eastAsia="Calibri" w:cs="Times New Roman"/>
          <w:iCs/>
        </w:rPr>
        <w:t xml:space="preserve">the </w:t>
      </w:r>
      <w:r w:rsidRPr="00A73FC7">
        <w:rPr>
          <w:rFonts w:eastAsia="Calibri" w:cs="Times New Roman"/>
          <w:iCs/>
        </w:rPr>
        <w:t>relevant gene</w:t>
      </w:r>
      <w:r>
        <w:rPr>
          <w:rFonts w:eastAsia="Calibri" w:cs="Times New Roman"/>
          <w:iCs/>
        </w:rPr>
        <w:t>/</w:t>
      </w:r>
      <w:r w:rsidRPr="00A73FC7">
        <w:rPr>
          <w:rFonts w:eastAsia="Calibri" w:cs="Times New Roman"/>
          <w:iCs/>
        </w:rPr>
        <w:t>s is</w:t>
      </w:r>
      <w:r>
        <w:rPr>
          <w:rFonts w:eastAsia="Calibri" w:cs="Times New Roman"/>
          <w:iCs/>
        </w:rPr>
        <w:t xml:space="preserve"> appropriate</w:t>
      </w:r>
      <w:r w:rsidRPr="00A73FC7">
        <w:rPr>
          <w:rFonts w:eastAsia="Calibri" w:cs="Times New Roman"/>
          <w:iCs/>
        </w:rPr>
        <w:t xml:space="preserve"> </w:t>
      </w:r>
      <w:r>
        <w:rPr>
          <w:rFonts w:eastAsia="Calibri" w:cs="Times New Roman"/>
          <w:iCs/>
        </w:rPr>
        <w:t xml:space="preserve">because reproductive partners may have other variants beyond the variants associated with Ashkenazi Jewish ancestry, </w:t>
      </w:r>
      <w:proofErr w:type="gramStart"/>
      <w:r>
        <w:rPr>
          <w:rFonts w:eastAsia="Calibri" w:cs="Times New Roman"/>
          <w:iCs/>
        </w:rPr>
        <w:t>and also</w:t>
      </w:r>
      <w:proofErr w:type="gramEnd"/>
      <w:r>
        <w:rPr>
          <w:rFonts w:eastAsia="Calibri" w:cs="Times New Roman"/>
          <w:iCs/>
        </w:rPr>
        <w:t xml:space="preserve"> because this would be in line with MSAC’s recent support for reproductive partner testing using whole gene sequencing in other applications. ESC therefore considered the fee of $1,200 is appropriate in line with the required methodology</w:t>
      </w:r>
      <w:r w:rsidRPr="00A73FC7">
        <w:rPr>
          <w:rFonts w:eastAsia="Calibri" w:cs="Times New Roman"/>
          <w:iCs/>
        </w:rPr>
        <w:t>.</w:t>
      </w:r>
    </w:p>
    <w:p w14:paraId="0841CC06" w14:textId="7C8D1DF0" w:rsidR="00E96E47" w:rsidRDefault="00E96E47" w:rsidP="00E96E47">
      <w:pPr>
        <w:spacing w:after="240"/>
        <w:rPr>
          <w:rFonts w:eastAsia="Calibri" w:cs="Times New Roman"/>
          <w:iCs/>
        </w:rPr>
      </w:pPr>
      <w:r w:rsidRPr="00A73FC7">
        <w:rPr>
          <w:rFonts w:eastAsia="Calibri" w:cs="Times New Roman"/>
          <w:iCs/>
        </w:rPr>
        <w:t xml:space="preserve">ESC </w:t>
      </w:r>
      <w:r>
        <w:rPr>
          <w:rFonts w:eastAsia="Calibri" w:cs="Times New Roman"/>
          <w:iCs/>
        </w:rPr>
        <w:t>considered</w:t>
      </w:r>
      <w:r w:rsidRPr="00A73FC7">
        <w:rPr>
          <w:rFonts w:eastAsia="Calibri" w:cs="Times New Roman"/>
          <w:iCs/>
        </w:rPr>
        <w:t xml:space="preserve"> </w:t>
      </w:r>
      <w:r>
        <w:rPr>
          <w:rFonts w:eastAsia="Calibri" w:cs="Times New Roman"/>
          <w:iCs/>
        </w:rPr>
        <w:t xml:space="preserve">having a re-analysis </w:t>
      </w:r>
      <w:r w:rsidRPr="00A73FC7">
        <w:rPr>
          <w:rFonts w:eastAsia="Calibri" w:cs="Times New Roman"/>
          <w:iCs/>
        </w:rPr>
        <w:t xml:space="preserve">item </w:t>
      </w:r>
      <w:r>
        <w:rPr>
          <w:rFonts w:eastAsia="Calibri" w:cs="Times New Roman"/>
          <w:iCs/>
        </w:rPr>
        <w:t>(</w:t>
      </w:r>
      <w:r w:rsidRPr="00A73FC7">
        <w:rPr>
          <w:rFonts w:eastAsia="Calibri" w:cs="Times New Roman"/>
          <w:iCs/>
        </w:rPr>
        <w:t>EEEE</w:t>
      </w:r>
      <w:r>
        <w:rPr>
          <w:rFonts w:eastAsia="Calibri" w:cs="Times New Roman"/>
          <w:iCs/>
        </w:rPr>
        <w:t>) may be unnecessary</w:t>
      </w:r>
      <w:r w:rsidRPr="00A73FC7">
        <w:rPr>
          <w:rFonts w:eastAsia="Calibri" w:cs="Times New Roman"/>
          <w:iCs/>
        </w:rPr>
        <w:t xml:space="preserve">, </w:t>
      </w:r>
      <w:r>
        <w:rPr>
          <w:rFonts w:eastAsia="Calibri" w:cs="Times New Roman"/>
          <w:iCs/>
        </w:rPr>
        <w:t>given the proposed gene</w:t>
      </w:r>
      <w:r w:rsidR="007D750B">
        <w:rPr>
          <w:rFonts w:eastAsia="Calibri" w:cs="Times New Roman"/>
          <w:iCs/>
        </w:rPr>
        <w:t>tic</w:t>
      </w:r>
      <w:r>
        <w:rPr>
          <w:rFonts w:eastAsia="Calibri" w:cs="Times New Roman"/>
          <w:iCs/>
        </w:rPr>
        <w:t xml:space="preserve"> panel test (AAAA) </w:t>
      </w:r>
      <w:r w:rsidR="007D750B">
        <w:rPr>
          <w:rFonts w:eastAsia="Calibri" w:cs="Times New Roman"/>
          <w:iCs/>
        </w:rPr>
        <w:t xml:space="preserve">is </w:t>
      </w:r>
      <w:r>
        <w:rPr>
          <w:rFonts w:eastAsia="Calibri" w:cs="Times New Roman"/>
          <w:iCs/>
        </w:rPr>
        <w:t>likely to be amplicon-specific (i.e., for ‘hotspots’ only) and therefore there will not be any unreported variants</w:t>
      </w:r>
      <w:r w:rsidRPr="00A73FC7">
        <w:rPr>
          <w:rFonts w:eastAsia="Calibri" w:cs="Times New Roman"/>
          <w:iCs/>
        </w:rPr>
        <w:t>.</w:t>
      </w:r>
      <w:r>
        <w:rPr>
          <w:rFonts w:eastAsia="Calibri" w:cs="Times New Roman"/>
          <w:iCs/>
        </w:rPr>
        <w:t xml:space="preserve"> If MSAC does support a re-analysis item, a fee of $500 would be more aligned with other MSAC-supported re-analysis items.</w:t>
      </w:r>
    </w:p>
    <w:p w14:paraId="5F3CAEC3" w14:textId="77777777" w:rsidR="00E96E47" w:rsidRDefault="00E96E47" w:rsidP="00E96E47">
      <w:pPr>
        <w:spacing w:after="240"/>
        <w:rPr>
          <w:rFonts w:eastAsia="Calibri" w:cs="Times New Roman"/>
          <w:iCs/>
        </w:rPr>
      </w:pPr>
      <w:r w:rsidRPr="00A73FC7">
        <w:rPr>
          <w:rFonts w:eastAsia="Calibri" w:cs="Times New Roman"/>
          <w:iCs/>
        </w:rPr>
        <w:t xml:space="preserve">ESC </w:t>
      </w:r>
      <w:r>
        <w:rPr>
          <w:rFonts w:eastAsia="Calibri" w:cs="Times New Roman"/>
          <w:iCs/>
        </w:rPr>
        <w:t>noted</w:t>
      </w:r>
      <w:r w:rsidRPr="00A73FC7">
        <w:rPr>
          <w:rFonts w:eastAsia="Calibri" w:cs="Times New Roman"/>
          <w:iCs/>
        </w:rPr>
        <w:t xml:space="preserve"> </w:t>
      </w:r>
      <w:r>
        <w:rPr>
          <w:rFonts w:eastAsia="Calibri" w:cs="Times New Roman"/>
          <w:iCs/>
        </w:rPr>
        <w:t xml:space="preserve">the PICO stated a fee of $100 for GGGG is too </w:t>
      </w:r>
      <w:proofErr w:type="gramStart"/>
      <w:r>
        <w:rPr>
          <w:rFonts w:eastAsia="Calibri" w:cs="Times New Roman"/>
          <w:iCs/>
        </w:rPr>
        <w:t>low, but</w:t>
      </w:r>
      <w:proofErr w:type="gramEnd"/>
      <w:r>
        <w:rPr>
          <w:rFonts w:eastAsia="Calibri" w:cs="Times New Roman"/>
          <w:iCs/>
        </w:rPr>
        <w:t xml:space="preserve"> had not revised the base case fee upwards to a specific figure. ESC noted </w:t>
      </w:r>
      <w:r w:rsidRPr="00A73FC7">
        <w:rPr>
          <w:rFonts w:eastAsia="Calibri" w:cs="Times New Roman"/>
          <w:iCs/>
        </w:rPr>
        <w:t xml:space="preserve">RCPA and Australian Pathology </w:t>
      </w:r>
      <w:r>
        <w:rPr>
          <w:rFonts w:eastAsia="Calibri" w:cs="Times New Roman"/>
          <w:iCs/>
        </w:rPr>
        <w:t>feedback that $100</w:t>
      </w:r>
      <w:r w:rsidRPr="00A73FC7">
        <w:rPr>
          <w:rFonts w:eastAsia="Calibri" w:cs="Times New Roman"/>
          <w:iCs/>
        </w:rPr>
        <w:t xml:space="preserve"> is below the cost of providing </w:t>
      </w:r>
      <w:proofErr w:type="spellStart"/>
      <w:r>
        <w:rPr>
          <w:rFonts w:eastAsia="Calibri" w:cs="Times New Roman"/>
          <w:iCs/>
        </w:rPr>
        <w:t>fetal</w:t>
      </w:r>
      <w:proofErr w:type="spellEnd"/>
      <w:r>
        <w:rPr>
          <w:rFonts w:eastAsia="Calibri" w:cs="Times New Roman"/>
          <w:iCs/>
        </w:rPr>
        <w:t xml:space="preserve"> testing under GGGG, and that the DCAR had included sensitivity analyses at </w:t>
      </w:r>
      <w:r w:rsidRPr="00A73FC7">
        <w:rPr>
          <w:rFonts w:eastAsia="Calibri" w:cs="Times New Roman"/>
          <w:iCs/>
        </w:rPr>
        <w:t>a fee of $1,600</w:t>
      </w:r>
      <w:r>
        <w:rPr>
          <w:rFonts w:eastAsia="Calibri" w:cs="Times New Roman"/>
          <w:iCs/>
        </w:rPr>
        <w:t>.</w:t>
      </w:r>
      <w:r w:rsidRPr="00A73FC7">
        <w:rPr>
          <w:rFonts w:eastAsia="Calibri" w:cs="Times New Roman"/>
          <w:iCs/>
        </w:rPr>
        <w:t xml:space="preserve"> ESC considered </w:t>
      </w:r>
      <w:r>
        <w:rPr>
          <w:rFonts w:eastAsia="Calibri" w:cs="Times New Roman"/>
          <w:iCs/>
        </w:rPr>
        <w:t xml:space="preserve">$1,600 </w:t>
      </w:r>
      <w:r w:rsidRPr="00A73FC7">
        <w:rPr>
          <w:rFonts w:eastAsia="Calibri" w:cs="Times New Roman"/>
          <w:iCs/>
        </w:rPr>
        <w:t xml:space="preserve">to be </w:t>
      </w:r>
      <w:r>
        <w:rPr>
          <w:rFonts w:eastAsia="Calibri" w:cs="Times New Roman"/>
          <w:iCs/>
        </w:rPr>
        <w:t xml:space="preserve">the </w:t>
      </w:r>
      <w:r w:rsidRPr="00A73FC7">
        <w:rPr>
          <w:rFonts w:eastAsia="Calibri" w:cs="Times New Roman"/>
          <w:iCs/>
        </w:rPr>
        <w:t>more appropriate</w:t>
      </w:r>
      <w:r>
        <w:rPr>
          <w:rFonts w:eastAsia="Calibri" w:cs="Times New Roman"/>
          <w:iCs/>
        </w:rPr>
        <w:t xml:space="preserve"> fee for GGGG</w:t>
      </w:r>
      <w:r w:rsidRPr="00A73FC7">
        <w:rPr>
          <w:rFonts w:eastAsia="Calibri" w:cs="Times New Roman"/>
          <w:iCs/>
        </w:rPr>
        <w:t>.</w:t>
      </w:r>
      <w:r>
        <w:rPr>
          <w:rFonts w:eastAsia="Calibri" w:cs="Times New Roman"/>
          <w:iCs/>
        </w:rPr>
        <w:t xml:space="preserve"> </w:t>
      </w:r>
    </w:p>
    <w:p w14:paraId="36094B9A" w14:textId="77777777" w:rsidR="00E96E47" w:rsidRDefault="00E96E47" w:rsidP="00E96E47">
      <w:pPr>
        <w:spacing w:after="240"/>
        <w:rPr>
          <w:rFonts w:eastAsia="Calibri" w:cs="Times New Roman"/>
          <w:iCs/>
        </w:rPr>
      </w:pPr>
      <w:r>
        <w:rPr>
          <w:rFonts w:eastAsia="Calibri" w:cs="Times New Roman"/>
          <w:iCs/>
        </w:rPr>
        <w:t xml:space="preserve">ESC also noted that the wording of GGGG describes the risk that the </w:t>
      </w:r>
      <w:proofErr w:type="spellStart"/>
      <w:r>
        <w:rPr>
          <w:rFonts w:eastAsia="Calibri" w:cs="Times New Roman"/>
          <w:iCs/>
        </w:rPr>
        <w:t>fetus</w:t>
      </w:r>
      <w:proofErr w:type="spellEnd"/>
      <w:r>
        <w:rPr>
          <w:rFonts w:eastAsia="Calibri" w:cs="Times New Roman"/>
          <w:iCs/>
        </w:rPr>
        <w:t xml:space="preserve"> is a carrier, rather than has a disease. ESC considered that in clinical practice </w:t>
      </w:r>
      <w:proofErr w:type="spellStart"/>
      <w:r>
        <w:rPr>
          <w:rFonts w:eastAsia="Calibri" w:cs="Times New Roman"/>
          <w:iCs/>
        </w:rPr>
        <w:t>fetal</w:t>
      </w:r>
      <w:proofErr w:type="spellEnd"/>
      <w:r>
        <w:rPr>
          <w:rFonts w:eastAsia="Calibri" w:cs="Times New Roman"/>
          <w:iCs/>
        </w:rPr>
        <w:t xml:space="preserve"> testing would only occur where both parents are known carriers of an autosomal recessive variant or one parent, the female partner, is a known carrier of an X-linked variant. While ESC’s comment aligns with the population for GGGG recommended by PASC, ESC noted the item descriptor presented to it supports testing of a broader population – it supports testing of a pregnant patient where only one parent was a known carrier of an autosomal recessive variant, and where the </w:t>
      </w:r>
      <w:proofErr w:type="spellStart"/>
      <w:r>
        <w:rPr>
          <w:rFonts w:eastAsia="Calibri" w:cs="Times New Roman"/>
          <w:iCs/>
        </w:rPr>
        <w:t>fetus</w:t>
      </w:r>
      <w:proofErr w:type="spellEnd"/>
      <w:r>
        <w:rPr>
          <w:rFonts w:eastAsia="Calibri" w:cs="Times New Roman"/>
          <w:iCs/>
        </w:rPr>
        <w:t xml:space="preserve"> is at </w:t>
      </w:r>
      <w:r w:rsidRPr="00AC5F12">
        <w:rPr>
          <w:rFonts w:eastAsia="Calibri" w:cs="Times New Roman"/>
          <w:iCs/>
        </w:rPr>
        <w:t>≥</w:t>
      </w:r>
      <w:r>
        <w:rPr>
          <w:rFonts w:eastAsia="Calibri" w:cs="Times New Roman"/>
          <w:iCs/>
        </w:rPr>
        <w:t xml:space="preserve">25% risk of inheriting a variant, </w:t>
      </w:r>
      <w:proofErr w:type="gramStart"/>
      <w:r>
        <w:rPr>
          <w:rFonts w:eastAsia="Calibri" w:cs="Times New Roman"/>
          <w:iCs/>
        </w:rPr>
        <w:t>i.e.</w:t>
      </w:r>
      <w:proofErr w:type="gramEnd"/>
      <w:r>
        <w:rPr>
          <w:rFonts w:eastAsia="Calibri" w:cs="Times New Roman"/>
          <w:iCs/>
        </w:rPr>
        <w:t xml:space="preserve"> being a carrier rather than affected by the disease. </w:t>
      </w:r>
      <w:r w:rsidRPr="00AC5F12">
        <w:rPr>
          <w:rFonts w:eastAsia="Calibri" w:cs="Times New Roman"/>
          <w:iCs/>
        </w:rPr>
        <w:t xml:space="preserve">ESC </w:t>
      </w:r>
      <w:r>
        <w:rPr>
          <w:rFonts w:eastAsia="Calibri" w:cs="Times New Roman"/>
          <w:iCs/>
        </w:rPr>
        <w:t xml:space="preserve">considered that preventing the birth of carriers is not an endpoint of </w:t>
      </w:r>
      <w:proofErr w:type="spellStart"/>
      <w:r>
        <w:rPr>
          <w:rFonts w:eastAsia="Calibri" w:cs="Times New Roman"/>
          <w:iCs/>
        </w:rPr>
        <w:t>fetal</w:t>
      </w:r>
      <w:proofErr w:type="spellEnd"/>
      <w:r>
        <w:rPr>
          <w:rFonts w:eastAsia="Calibri" w:cs="Times New Roman"/>
          <w:iCs/>
        </w:rPr>
        <w:t xml:space="preserve"> </w:t>
      </w:r>
      <w:proofErr w:type="gramStart"/>
      <w:r>
        <w:rPr>
          <w:rFonts w:eastAsia="Calibri" w:cs="Times New Roman"/>
          <w:iCs/>
        </w:rPr>
        <w:t>testing, and</w:t>
      </w:r>
      <w:proofErr w:type="gramEnd"/>
      <w:r>
        <w:rPr>
          <w:rFonts w:eastAsia="Calibri" w:cs="Times New Roman"/>
          <w:iCs/>
        </w:rPr>
        <w:t xml:space="preserve"> </w:t>
      </w:r>
      <w:r w:rsidRPr="00AD202F">
        <w:rPr>
          <w:rFonts w:eastAsia="Calibri" w:cs="Times New Roman"/>
          <w:iCs/>
        </w:rPr>
        <w:t xml:space="preserve">requested the item descriptor be amended to </w:t>
      </w:r>
      <w:r>
        <w:rPr>
          <w:rFonts w:eastAsia="Calibri" w:cs="Times New Roman"/>
          <w:iCs/>
        </w:rPr>
        <w:t xml:space="preserve">more clearly describe the requirement for parental testing prior to </w:t>
      </w:r>
      <w:proofErr w:type="spellStart"/>
      <w:r>
        <w:rPr>
          <w:rFonts w:eastAsia="Calibri" w:cs="Times New Roman"/>
          <w:iCs/>
        </w:rPr>
        <w:t>fetal</w:t>
      </w:r>
      <w:proofErr w:type="spellEnd"/>
      <w:r>
        <w:rPr>
          <w:rFonts w:eastAsia="Calibri" w:cs="Times New Roman"/>
          <w:iCs/>
        </w:rPr>
        <w:t xml:space="preserve"> testing, including to </w:t>
      </w:r>
      <w:r w:rsidRPr="00AD202F">
        <w:rPr>
          <w:rFonts w:eastAsia="Calibri" w:cs="Times New Roman"/>
          <w:iCs/>
        </w:rPr>
        <w:t>describe</w:t>
      </w:r>
      <w:r>
        <w:rPr>
          <w:rFonts w:eastAsia="Calibri" w:cs="Times New Roman"/>
          <w:iCs/>
        </w:rPr>
        <w:t xml:space="preserve"> the eligible </w:t>
      </w:r>
      <w:proofErr w:type="spellStart"/>
      <w:r>
        <w:rPr>
          <w:rFonts w:eastAsia="Calibri" w:cs="Times New Roman"/>
          <w:iCs/>
        </w:rPr>
        <w:t>fetus</w:t>
      </w:r>
      <w:proofErr w:type="spellEnd"/>
      <w:r>
        <w:rPr>
          <w:rFonts w:eastAsia="Calibri" w:cs="Times New Roman"/>
          <w:iCs/>
        </w:rPr>
        <w:t xml:space="preserve"> as being at</w:t>
      </w:r>
      <w:r w:rsidRPr="00AC5F12">
        <w:rPr>
          <w:rFonts w:eastAsia="Calibri" w:cs="Times New Roman"/>
          <w:iCs/>
        </w:rPr>
        <w:t xml:space="preserve"> ≥25% risk of </w:t>
      </w:r>
      <w:r>
        <w:rPr>
          <w:rFonts w:eastAsia="Calibri" w:cs="Times New Roman"/>
          <w:iCs/>
        </w:rPr>
        <w:t>inheriting</w:t>
      </w:r>
      <w:r w:rsidRPr="00AC5F12">
        <w:rPr>
          <w:rFonts w:eastAsia="Calibri" w:cs="Times New Roman"/>
          <w:iCs/>
        </w:rPr>
        <w:t xml:space="preserve"> the disease rather than </w:t>
      </w:r>
      <w:r>
        <w:rPr>
          <w:rFonts w:eastAsia="Calibri" w:cs="Times New Roman"/>
          <w:iCs/>
        </w:rPr>
        <w:t>at</w:t>
      </w:r>
      <w:r w:rsidRPr="00AC5F12">
        <w:rPr>
          <w:rFonts w:eastAsia="Calibri" w:cs="Times New Roman"/>
          <w:iCs/>
        </w:rPr>
        <w:t xml:space="preserve"> ≥25% risk </w:t>
      </w:r>
      <w:r>
        <w:rPr>
          <w:rFonts w:eastAsia="Calibri" w:cs="Times New Roman"/>
          <w:iCs/>
        </w:rPr>
        <w:t xml:space="preserve">of </w:t>
      </w:r>
      <w:r w:rsidRPr="00AC5F12">
        <w:rPr>
          <w:rFonts w:eastAsia="Calibri" w:cs="Times New Roman"/>
          <w:iCs/>
        </w:rPr>
        <w:t>being a carrier.</w:t>
      </w:r>
      <w:r>
        <w:rPr>
          <w:rFonts w:eastAsia="Calibri" w:cs="Times New Roman"/>
          <w:iCs/>
        </w:rPr>
        <w:t xml:space="preserve"> In effect, this would restrict eligibility to the population recommended by the PICO and align with ESC’s comments concerning clinical practice. </w:t>
      </w:r>
    </w:p>
    <w:p w14:paraId="1DA627D7" w14:textId="1B4D31C0" w:rsidR="00E96E47" w:rsidRPr="00414743" w:rsidRDefault="00E96E47" w:rsidP="00E96E47">
      <w:pPr>
        <w:spacing w:after="240"/>
        <w:rPr>
          <w:rFonts w:eastAsia="Calibri" w:cs="Times New Roman"/>
          <w:iCs/>
          <w:highlight w:val="yellow"/>
        </w:rPr>
      </w:pPr>
      <w:r>
        <w:rPr>
          <w:rFonts w:eastAsia="Calibri" w:cs="Times New Roman"/>
          <w:iCs/>
        </w:rPr>
        <w:t>ESC’s changes to GGGG are reflected below (</w:t>
      </w:r>
      <w:r>
        <w:t xml:space="preserve">Table </w:t>
      </w:r>
      <w:r>
        <w:rPr>
          <w:noProof/>
        </w:rPr>
        <w:t>2</w:t>
      </w:r>
      <w:r w:rsidR="00636918">
        <w:rPr>
          <w:noProof/>
        </w:rPr>
        <w:t>5</w:t>
      </w:r>
      <w:r>
        <w:rPr>
          <w:rFonts w:eastAsia="Calibri" w:cs="Times New Roman"/>
          <w:iCs/>
        </w:rPr>
        <w:t>).</w:t>
      </w:r>
    </w:p>
    <w:p w14:paraId="5743A2BA" w14:textId="77777777" w:rsidR="001F46A5" w:rsidRDefault="001F46A5">
      <w:pPr>
        <w:spacing w:before="0"/>
        <w:rPr>
          <w:rFonts w:ascii="Arial Narrow" w:eastAsia="Times New Roman" w:hAnsi="Arial Narrow" w:cs="Times New Roman"/>
          <w:b/>
          <w:bCs/>
          <w:sz w:val="20"/>
          <w:szCs w:val="20"/>
        </w:rPr>
      </w:pPr>
      <w:bookmarkStart w:id="90" w:name="_Ref107304473"/>
      <w:r>
        <w:br w:type="page"/>
      </w:r>
    </w:p>
    <w:p w14:paraId="0A53353B" w14:textId="1B0CDB3E" w:rsidR="00E96E47" w:rsidRDefault="00E96E47" w:rsidP="00E96E47">
      <w:pPr>
        <w:pStyle w:val="Caption"/>
      </w:pPr>
      <w:r>
        <w:lastRenderedPageBreak/>
        <w:t xml:space="preserve">Table </w:t>
      </w:r>
      <w:r>
        <w:rPr>
          <w:noProof/>
        </w:rPr>
        <w:t>2</w:t>
      </w:r>
      <w:bookmarkEnd w:id="90"/>
      <w:r w:rsidR="00636918">
        <w:rPr>
          <w:noProof/>
        </w:rPr>
        <w:t>5</w:t>
      </w:r>
      <w:r>
        <w:tab/>
        <w:t xml:space="preserve">ESC’s revisions to the </w:t>
      </w:r>
      <w:r w:rsidRPr="00500B48">
        <w:t xml:space="preserve">item descriptor for </w:t>
      </w:r>
      <w:proofErr w:type="spellStart"/>
      <w:r>
        <w:t>fetal</w:t>
      </w:r>
      <w:proofErr w:type="spellEnd"/>
      <w:r>
        <w:t xml:space="preserve"> testing</w:t>
      </w:r>
    </w:p>
    <w:tbl>
      <w:tblPr>
        <w:tblStyle w:val="TableGrid"/>
        <w:tblW w:w="0" w:type="auto"/>
        <w:tblLook w:val="04A0" w:firstRow="1" w:lastRow="0" w:firstColumn="1" w:lastColumn="0" w:noHBand="0" w:noVBand="1"/>
      </w:tblPr>
      <w:tblGrid>
        <w:gridCol w:w="9016"/>
      </w:tblGrid>
      <w:tr w:rsidR="00E96E47" w:rsidRPr="00DE3D6C" w14:paraId="39677625" w14:textId="77777777" w:rsidTr="00E96E47">
        <w:tc>
          <w:tcPr>
            <w:tcW w:w="9016" w:type="dxa"/>
          </w:tcPr>
          <w:p w14:paraId="352DCEE8" w14:textId="77777777" w:rsidR="00E96E47" w:rsidRPr="00DE3D6C" w:rsidRDefault="00E96E47" w:rsidP="00E96E47">
            <w:pPr>
              <w:pStyle w:val="Tabletext0"/>
            </w:pPr>
            <w:r w:rsidRPr="00DB11DC">
              <w:t>Category 6 (Pathology Services) – Group P7 Genetics</w:t>
            </w:r>
          </w:p>
        </w:tc>
      </w:tr>
      <w:tr w:rsidR="00E96E47" w:rsidRPr="00DE3D6C" w14:paraId="6D6981DF" w14:textId="77777777" w:rsidTr="00E96E47">
        <w:tc>
          <w:tcPr>
            <w:tcW w:w="9016" w:type="dxa"/>
          </w:tcPr>
          <w:p w14:paraId="512C3771" w14:textId="77777777" w:rsidR="00E96E47" w:rsidRDefault="00E96E47" w:rsidP="00E96E47">
            <w:pPr>
              <w:pStyle w:val="Tabletext0"/>
            </w:pPr>
            <w:r>
              <w:t>MBS item GGGG</w:t>
            </w:r>
          </w:p>
          <w:p w14:paraId="2857C743" w14:textId="77777777" w:rsidR="00E96E47" w:rsidRDefault="00E96E47" w:rsidP="00E96E47">
            <w:pPr>
              <w:pStyle w:val="Tabletext0"/>
              <w:spacing w:before="240"/>
            </w:pPr>
            <w:r w:rsidRPr="000A323C">
              <w:t xml:space="preserve">Testing of a pregnant patient, where </w:t>
            </w:r>
            <w:r w:rsidRPr="00414743">
              <w:rPr>
                <w:strike/>
                <w:color w:val="00B050"/>
              </w:rPr>
              <w:t>one or</w:t>
            </w:r>
            <w:r w:rsidRPr="00414743">
              <w:rPr>
                <w:color w:val="00B050"/>
              </w:rPr>
              <w:t xml:space="preserve"> </w:t>
            </w:r>
            <w:r w:rsidRPr="000A323C">
              <w:t xml:space="preserve">both prospective parents are known to be affected by or carriers of </w:t>
            </w:r>
            <w:r w:rsidRPr="00414743">
              <w:rPr>
                <w:color w:val="00B050"/>
                <w:u w:val="single"/>
              </w:rPr>
              <w:t>autosomal recessive variants or one parent is known to be affected by or a carrier of an X-linked</w:t>
            </w:r>
            <w:r w:rsidRPr="00414743">
              <w:rPr>
                <w:color w:val="00B050"/>
              </w:rPr>
              <w:t xml:space="preserve"> </w:t>
            </w:r>
            <w:r w:rsidRPr="00414743">
              <w:rPr>
                <w:strike/>
                <w:color w:val="00B050"/>
              </w:rPr>
              <w:t>known</w:t>
            </w:r>
            <w:r w:rsidRPr="00414743">
              <w:rPr>
                <w:color w:val="00B050"/>
              </w:rPr>
              <w:t xml:space="preserve"> </w:t>
            </w:r>
            <w:r w:rsidRPr="000A323C">
              <w:t xml:space="preserve">pathogenic variant/s causative of </w:t>
            </w:r>
            <w:r>
              <w:t>a disease tested for in AAAA</w:t>
            </w:r>
            <w:r w:rsidRPr="000A323C">
              <w:t xml:space="preserve">, for the purpose of determining whether </w:t>
            </w:r>
            <w:r>
              <w:t>familial</w:t>
            </w:r>
            <w:r w:rsidRPr="000A323C">
              <w:t xml:space="preserve"> variants are present in the </w:t>
            </w:r>
            <w:proofErr w:type="spellStart"/>
            <w:r w:rsidRPr="000A323C">
              <w:t>fetus</w:t>
            </w:r>
            <w:proofErr w:type="spellEnd"/>
            <w:r w:rsidRPr="000A323C">
              <w:t xml:space="preserve">, if: </w:t>
            </w:r>
          </w:p>
          <w:p w14:paraId="4A842DAE" w14:textId="77777777" w:rsidR="00E96E47" w:rsidRDefault="00E96E47" w:rsidP="00E96E47">
            <w:pPr>
              <w:pStyle w:val="Tabletext0"/>
            </w:pPr>
            <w:r w:rsidRPr="000A323C">
              <w:t xml:space="preserve">(a) </w:t>
            </w:r>
            <w:r>
              <w:t>The pregnancy is a singleton pregnancy; and</w:t>
            </w:r>
          </w:p>
          <w:p w14:paraId="4BD94BF8" w14:textId="77777777" w:rsidR="00E96E47" w:rsidRDefault="00E96E47" w:rsidP="00E96E47">
            <w:pPr>
              <w:pStyle w:val="Tabletext0"/>
            </w:pPr>
            <w:r>
              <w:t xml:space="preserve">(b) </w:t>
            </w:r>
            <w:r w:rsidRPr="000A323C">
              <w:t xml:space="preserve">The detection is requested by a consultant physician practising as a clinical geneticist; </w:t>
            </w:r>
            <w:r>
              <w:t>and</w:t>
            </w:r>
          </w:p>
          <w:p w14:paraId="6A44482D" w14:textId="77777777" w:rsidR="00E96E47" w:rsidRDefault="00E96E47" w:rsidP="00E96E47">
            <w:pPr>
              <w:pStyle w:val="Tabletext0"/>
            </w:pPr>
            <w:r w:rsidRPr="000A323C">
              <w:t>(</w:t>
            </w:r>
            <w:r>
              <w:t>c</w:t>
            </w:r>
            <w:r w:rsidRPr="000A323C">
              <w:t xml:space="preserve">) The </w:t>
            </w:r>
            <w:proofErr w:type="spellStart"/>
            <w:r w:rsidRPr="000A323C">
              <w:t>fetus</w:t>
            </w:r>
            <w:proofErr w:type="spellEnd"/>
            <w:r w:rsidRPr="000A323C">
              <w:t xml:space="preserve"> is at 25% or more risk of inheriting </w:t>
            </w:r>
            <w:r w:rsidRPr="006C2C3F">
              <w:rPr>
                <w:strike/>
                <w:color w:val="00B050"/>
              </w:rPr>
              <w:t>a monogenic variant known to cause</w:t>
            </w:r>
            <w:r w:rsidRPr="006C2C3F">
              <w:rPr>
                <w:color w:val="00B050"/>
              </w:rPr>
              <w:t xml:space="preserve"> </w:t>
            </w:r>
            <w:r>
              <w:t xml:space="preserve">a </w:t>
            </w:r>
            <w:r w:rsidRPr="000A323C">
              <w:t>disease</w:t>
            </w:r>
            <w:r>
              <w:t xml:space="preserve"> tested for in AAAA</w:t>
            </w:r>
            <w:r w:rsidRPr="000A323C">
              <w:t>.</w:t>
            </w:r>
          </w:p>
          <w:p w14:paraId="5891D371" w14:textId="77777777" w:rsidR="00E96E47" w:rsidRPr="00DE3D6C" w:rsidRDefault="00E96E47" w:rsidP="00E96E47">
            <w:pPr>
              <w:pStyle w:val="Tabletext0"/>
              <w:spacing w:before="240"/>
            </w:pPr>
            <w:r>
              <w:t>One test per pregnancy.</w:t>
            </w:r>
          </w:p>
        </w:tc>
      </w:tr>
      <w:tr w:rsidR="00E96E47" w:rsidRPr="00DE3D6C" w14:paraId="665800CC" w14:textId="77777777" w:rsidTr="00E96E47">
        <w:tc>
          <w:tcPr>
            <w:tcW w:w="9016" w:type="dxa"/>
          </w:tcPr>
          <w:p w14:paraId="03A83077" w14:textId="77777777" w:rsidR="00E96E47" w:rsidRDefault="00E96E47" w:rsidP="00E96E47">
            <w:pPr>
              <w:pStyle w:val="Tabletext0"/>
            </w:pPr>
            <w:r>
              <w:t xml:space="preserve">Fee:  </w:t>
            </w:r>
            <w:r w:rsidRPr="006C2C3F">
              <w:rPr>
                <w:strike/>
                <w:color w:val="00B050"/>
              </w:rPr>
              <w:t>$100</w:t>
            </w:r>
            <w:r w:rsidRPr="006C2C3F">
              <w:rPr>
                <w:color w:val="00B050"/>
              </w:rPr>
              <w:t xml:space="preserve"> </w:t>
            </w:r>
            <w:r w:rsidRPr="006C2C3F">
              <w:rPr>
                <w:color w:val="00B050"/>
                <w:u w:val="single"/>
              </w:rPr>
              <w:t>$1,600</w:t>
            </w:r>
          </w:p>
        </w:tc>
      </w:tr>
    </w:tbl>
    <w:p w14:paraId="59237B75" w14:textId="77777777" w:rsidR="00E96E47" w:rsidRPr="00A73FC7" w:rsidRDefault="00E96E47" w:rsidP="00E96E47">
      <w:pPr>
        <w:pStyle w:val="TFAbbrevs18"/>
        <w:rPr>
          <w:rFonts w:eastAsia="Calibri"/>
        </w:rPr>
      </w:pPr>
      <w:r>
        <w:rPr>
          <w:rFonts w:eastAsia="Calibri"/>
        </w:rPr>
        <w:t>ESC’s additions are in green underlined text, and deletions in green strikethrough.</w:t>
      </w:r>
    </w:p>
    <w:p w14:paraId="4144202E" w14:textId="77777777" w:rsidR="00E96E47" w:rsidRPr="00A73FC7" w:rsidRDefault="00E96E47" w:rsidP="00E96E47">
      <w:pPr>
        <w:spacing w:after="240"/>
        <w:rPr>
          <w:rFonts w:eastAsia="Calibri" w:cs="Times New Roman"/>
          <w:iCs/>
        </w:rPr>
      </w:pPr>
      <w:r w:rsidRPr="00A73FC7">
        <w:rPr>
          <w:rFonts w:eastAsia="Calibri" w:cs="Times New Roman"/>
          <w:iCs/>
        </w:rPr>
        <w:t xml:space="preserve">ESC noted the potential for psychological harm of preimplantation genetic </w:t>
      </w:r>
      <w:proofErr w:type="gramStart"/>
      <w:r w:rsidRPr="00A73FC7">
        <w:rPr>
          <w:rFonts w:eastAsia="Calibri" w:cs="Times New Roman"/>
          <w:iCs/>
        </w:rPr>
        <w:t>diagnosis, but</w:t>
      </w:r>
      <w:proofErr w:type="gramEnd"/>
      <w:r w:rsidRPr="00A73FC7">
        <w:rPr>
          <w:rFonts w:eastAsia="Calibri" w:cs="Times New Roman"/>
          <w:iCs/>
        </w:rPr>
        <w:t xml:space="preserve"> noted the lack of evidence supporting this. Further, ESC noted that there was no comparative evidence identified for the safety of targeted carrier testing for severe monogenic conditions compared with genetic carrier testing for CF, SMA and FXS.</w:t>
      </w:r>
    </w:p>
    <w:p w14:paraId="6D935508" w14:textId="77777777" w:rsidR="00E96E47" w:rsidRPr="00A73FC7" w:rsidRDefault="00E96E47" w:rsidP="00E96E47">
      <w:pPr>
        <w:spacing w:after="240"/>
        <w:rPr>
          <w:rFonts w:eastAsia="Calibri" w:cs="Times New Roman"/>
          <w:iCs/>
        </w:rPr>
      </w:pPr>
      <w:r w:rsidRPr="00A73FC7">
        <w:rPr>
          <w:rFonts w:eastAsia="Calibri" w:cs="Times New Roman"/>
          <w:iCs/>
        </w:rPr>
        <w:t xml:space="preserve">ESC noted that the only test accuracy measure for targeted carrier testing for severe monogenic conditions was </w:t>
      </w:r>
      <w:r>
        <w:rPr>
          <w:rFonts w:eastAsia="Calibri" w:cs="Times New Roman"/>
          <w:iCs/>
        </w:rPr>
        <w:t xml:space="preserve">the </w:t>
      </w:r>
      <w:r w:rsidRPr="00A73FC7">
        <w:rPr>
          <w:rFonts w:eastAsia="Calibri" w:cs="Times New Roman"/>
          <w:iCs/>
        </w:rPr>
        <w:t xml:space="preserve">diagnostic yield in the Ashkenazi Jewish population. Eleven studies were identified, but none had a relevant comparator, and all studies </w:t>
      </w:r>
      <w:proofErr w:type="gramStart"/>
      <w:r w:rsidRPr="00A73FC7">
        <w:rPr>
          <w:rFonts w:eastAsia="Calibri" w:cs="Times New Roman"/>
          <w:iCs/>
        </w:rPr>
        <w:t>were considered to be</w:t>
      </w:r>
      <w:proofErr w:type="gramEnd"/>
      <w:r w:rsidRPr="00A73FC7">
        <w:rPr>
          <w:rFonts w:eastAsia="Calibri" w:cs="Times New Roman"/>
          <w:iCs/>
        </w:rPr>
        <w:t xml:space="preserve"> at high risk of bias.</w:t>
      </w:r>
    </w:p>
    <w:p w14:paraId="48320952" w14:textId="77777777" w:rsidR="00E96E47" w:rsidRDefault="00E96E47" w:rsidP="00E96E47">
      <w:pPr>
        <w:spacing w:after="120"/>
        <w:rPr>
          <w:rFonts w:eastAsia="Calibri" w:cs="Times New Roman"/>
          <w:iCs/>
        </w:rPr>
      </w:pPr>
      <w:r>
        <w:rPr>
          <w:rFonts w:eastAsia="Calibri" w:cs="Times New Roman"/>
          <w:iCs/>
        </w:rPr>
        <w:t>ESC noted that for the economic evaluation n</w:t>
      </w:r>
      <w:r w:rsidRPr="001576A6">
        <w:rPr>
          <w:rFonts w:eastAsia="Calibri" w:cs="Times New Roman"/>
          <w:iCs/>
        </w:rPr>
        <w:t xml:space="preserve">o comparative evidence </w:t>
      </w:r>
      <w:r>
        <w:rPr>
          <w:rFonts w:eastAsia="Calibri" w:cs="Times New Roman"/>
          <w:iCs/>
        </w:rPr>
        <w:t>was available, so a l</w:t>
      </w:r>
      <w:r w:rsidRPr="001576A6">
        <w:rPr>
          <w:rFonts w:eastAsia="Calibri" w:cs="Times New Roman"/>
          <w:iCs/>
        </w:rPr>
        <w:t xml:space="preserve">inked evidence approach </w:t>
      </w:r>
      <w:r>
        <w:rPr>
          <w:rFonts w:eastAsia="Calibri" w:cs="Times New Roman"/>
          <w:iCs/>
        </w:rPr>
        <w:t xml:space="preserve">was </w:t>
      </w:r>
      <w:r w:rsidRPr="001576A6">
        <w:rPr>
          <w:rFonts w:eastAsia="Calibri" w:cs="Times New Roman"/>
          <w:iCs/>
        </w:rPr>
        <w:t>used</w:t>
      </w:r>
      <w:r>
        <w:rPr>
          <w:rFonts w:eastAsia="Calibri" w:cs="Times New Roman"/>
          <w:iCs/>
        </w:rPr>
        <w:t xml:space="preserve">. </w:t>
      </w:r>
      <w:r w:rsidRPr="00A73FC7">
        <w:rPr>
          <w:rFonts w:eastAsia="Calibri" w:cs="Times New Roman"/>
          <w:iCs/>
        </w:rPr>
        <w:t xml:space="preserve">ESC noted that the economic evaluation was a cost-effectiveness analysis using a decision tree and a stepped approach, which ESC considered to be appropriate for MBS items AAAA and CCCC. </w:t>
      </w:r>
    </w:p>
    <w:p w14:paraId="429C5A8B" w14:textId="77777777" w:rsidR="00E96E47" w:rsidRDefault="00E96E47" w:rsidP="00E96E47">
      <w:pPr>
        <w:spacing w:after="240"/>
        <w:rPr>
          <w:rFonts w:eastAsia="Calibri" w:cs="Times New Roman"/>
          <w:iCs/>
        </w:rPr>
      </w:pPr>
      <w:r>
        <w:rPr>
          <w:rFonts w:eastAsia="Calibri" w:cs="Times New Roman"/>
          <w:iCs/>
        </w:rPr>
        <w:t>ESC noted that the primary outcome of the model was c</w:t>
      </w:r>
      <w:r w:rsidRPr="001576A6">
        <w:rPr>
          <w:rFonts w:eastAsia="Calibri" w:cs="Times New Roman"/>
          <w:iCs/>
        </w:rPr>
        <w:t>ost per affected birth</w:t>
      </w:r>
      <w:r>
        <w:rPr>
          <w:rFonts w:eastAsia="Calibri" w:cs="Times New Roman"/>
          <w:iCs/>
        </w:rPr>
        <w:t>, while secondary outcomes were:</w:t>
      </w:r>
    </w:p>
    <w:p w14:paraId="034A527A" w14:textId="77777777" w:rsidR="00E96E47" w:rsidRDefault="00E96E47" w:rsidP="00E96E47">
      <w:pPr>
        <w:pStyle w:val="ListParagraph"/>
        <w:numPr>
          <w:ilvl w:val="0"/>
          <w:numId w:val="49"/>
        </w:numPr>
        <w:spacing w:after="240"/>
        <w:rPr>
          <w:rFonts w:eastAsia="Calibri" w:cs="Times New Roman"/>
          <w:iCs/>
        </w:rPr>
      </w:pPr>
      <w:r w:rsidRPr="00CD4295">
        <w:rPr>
          <w:rFonts w:eastAsia="Calibri" w:cs="Times New Roman"/>
          <w:iCs/>
        </w:rPr>
        <w:t xml:space="preserve">Cost of informed reproductive decision </w:t>
      </w:r>
    </w:p>
    <w:p w14:paraId="554ACCD7" w14:textId="77777777" w:rsidR="00E96E47" w:rsidRDefault="00E96E47" w:rsidP="00E96E47">
      <w:pPr>
        <w:pStyle w:val="ListParagraph"/>
        <w:numPr>
          <w:ilvl w:val="0"/>
          <w:numId w:val="49"/>
        </w:numPr>
        <w:spacing w:after="240"/>
        <w:rPr>
          <w:rFonts w:eastAsia="Calibri" w:cs="Times New Roman"/>
          <w:iCs/>
        </w:rPr>
      </w:pPr>
      <w:r w:rsidRPr="00CD4295">
        <w:rPr>
          <w:rFonts w:eastAsia="Calibri" w:cs="Times New Roman"/>
          <w:iCs/>
        </w:rPr>
        <w:t>Cost per additional IVF and pre-implantation genetic diagnosis event.</w:t>
      </w:r>
    </w:p>
    <w:p w14:paraId="31A128A1" w14:textId="77777777" w:rsidR="00E96E47" w:rsidRDefault="00E96E47" w:rsidP="00E96E47">
      <w:pPr>
        <w:pStyle w:val="ListParagraph"/>
        <w:numPr>
          <w:ilvl w:val="0"/>
          <w:numId w:val="49"/>
        </w:numPr>
        <w:spacing w:after="240"/>
        <w:rPr>
          <w:rFonts w:eastAsia="Calibri" w:cs="Times New Roman"/>
          <w:iCs/>
        </w:rPr>
      </w:pPr>
      <w:r w:rsidRPr="00CD4295">
        <w:rPr>
          <w:rFonts w:eastAsia="Calibri" w:cs="Times New Roman"/>
          <w:iCs/>
        </w:rPr>
        <w:t xml:space="preserve">Number of terminations </w:t>
      </w:r>
    </w:p>
    <w:p w14:paraId="0EA06EC6" w14:textId="77777777" w:rsidR="00E96E47" w:rsidRPr="00CD4295" w:rsidRDefault="00E96E47" w:rsidP="00E96E47">
      <w:pPr>
        <w:pStyle w:val="ListParagraph"/>
        <w:numPr>
          <w:ilvl w:val="0"/>
          <w:numId w:val="49"/>
        </w:numPr>
        <w:spacing w:after="240"/>
        <w:rPr>
          <w:rFonts w:eastAsia="Calibri" w:cs="Times New Roman"/>
          <w:iCs/>
        </w:rPr>
      </w:pPr>
      <w:r w:rsidRPr="00CD4295">
        <w:rPr>
          <w:rFonts w:eastAsia="Calibri" w:cs="Times New Roman"/>
          <w:iCs/>
        </w:rPr>
        <w:t>Cost per termination</w:t>
      </w:r>
    </w:p>
    <w:p w14:paraId="3BC663F1" w14:textId="77777777" w:rsidR="00E96E47" w:rsidRPr="00A73FC7" w:rsidRDefault="00E96E47" w:rsidP="00E96E47">
      <w:pPr>
        <w:spacing w:after="120"/>
        <w:rPr>
          <w:rFonts w:eastAsia="Calibri" w:cs="Times New Roman"/>
          <w:iCs/>
        </w:rPr>
      </w:pPr>
      <w:r>
        <w:rPr>
          <w:rFonts w:eastAsia="Calibri" w:cs="Times New Roman"/>
          <w:iCs/>
        </w:rPr>
        <w:t>ESC noted that these outcomes were reported both with and without lifetime costs as requested by PASC, because lifetime costs are expected to be considerable</w:t>
      </w:r>
      <w:r w:rsidRPr="00A73FC7">
        <w:rPr>
          <w:rFonts w:eastAsia="Calibri" w:cs="Times New Roman"/>
          <w:iCs/>
        </w:rPr>
        <w:t xml:space="preserve"> (</w:t>
      </w:r>
      <w:r>
        <w:rPr>
          <w:rFonts w:eastAsia="Calibri" w:cs="Times New Roman"/>
          <w:iCs/>
        </w:rPr>
        <w:t>as done in</w:t>
      </w:r>
      <w:r w:rsidRPr="00A73FC7">
        <w:rPr>
          <w:rFonts w:eastAsia="Calibri" w:cs="Times New Roman"/>
          <w:iCs/>
        </w:rPr>
        <w:t xml:space="preserve"> </w:t>
      </w:r>
      <w:r>
        <w:rPr>
          <w:rFonts w:eastAsia="Calibri" w:cs="Times New Roman"/>
          <w:iCs/>
        </w:rPr>
        <w:t>the assessment</w:t>
      </w:r>
      <w:r w:rsidRPr="00A73FC7">
        <w:rPr>
          <w:rFonts w:eastAsia="Calibri" w:cs="Times New Roman"/>
          <w:iCs/>
        </w:rPr>
        <w:t xml:space="preserve"> </w:t>
      </w:r>
      <w:r>
        <w:rPr>
          <w:rFonts w:eastAsia="Calibri" w:cs="Times New Roman"/>
          <w:iCs/>
        </w:rPr>
        <w:t>of</w:t>
      </w:r>
      <w:r w:rsidRPr="00A73FC7">
        <w:rPr>
          <w:rFonts w:eastAsia="Calibri" w:cs="Times New Roman"/>
          <w:iCs/>
        </w:rPr>
        <w:t xml:space="preserve"> Application 1573). </w:t>
      </w:r>
    </w:p>
    <w:p w14:paraId="44F4EF5D" w14:textId="77777777" w:rsidR="00E96E47" w:rsidRDefault="00E96E47" w:rsidP="00E96E47">
      <w:pPr>
        <w:spacing w:after="240"/>
        <w:rPr>
          <w:rFonts w:eastAsia="Calibri" w:cs="Times New Roman"/>
          <w:iCs/>
        </w:rPr>
      </w:pPr>
      <w:r>
        <w:rPr>
          <w:rFonts w:eastAsia="Calibri" w:cs="Times New Roman"/>
          <w:iCs/>
        </w:rPr>
        <w:t>ESC noted that the economic evaluation involved the following stepped approach:</w:t>
      </w:r>
    </w:p>
    <w:p w14:paraId="038FA253" w14:textId="39922E4E" w:rsidR="00E96E47" w:rsidRDefault="00E96E47" w:rsidP="00E96E47">
      <w:pPr>
        <w:pStyle w:val="ListParagraph"/>
        <w:numPr>
          <w:ilvl w:val="0"/>
          <w:numId w:val="50"/>
        </w:numPr>
        <w:spacing w:after="240"/>
        <w:rPr>
          <w:rFonts w:eastAsia="Calibri" w:cs="Times New Roman"/>
          <w:iCs/>
        </w:rPr>
      </w:pPr>
      <w:r w:rsidRPr="001576A6">
        <w:rPr>
          <w:rFonts w:eastAsia="Calibri" w:cs="Times New Roman"/>
          <w:iCs/>
        </w:rPr>
        <w:t>Step 1</w:t>
      </w:r>
      <w:r>
        <w:rPr>
          <w:rFonts w:eastAsia="Calibri" w:cs="Times New Roman"/>
          <w:iCs/>
        </w:rPr>
        <w:t>:</w:t>
      </w:r>
      <w:r w:rsidRPr="001576A6">
        <w:rPr>
          <w:rFonts w:eastAsia="Calibri" w:cs="Times New Roman"/>
          <w:iCs/>
        </w:rPr>
        <w:t xml:space="preserve"> </w:t>
      </w:r>
      <w:r>
        <w:rPr>
          <w:rFonts w:eastAsia="Calibri" w:cs="Times New Roman"/>
          <w:iCs/>
        </w:rPr>
        <w:t>s</w:t>
      </w:r>
      <w:r w:rsidRPr="001576A6">
        <w:rPr>
          <w:rFonts w:eastAsia="Calibri" w:cs="Times New Roman"/>
          <w:iCs/>
        </w:rPr>
        <w:t xml:space="preserve">tand-alone costs per affected birth </w:t>
      </w:r>
      <w:r>
        <w:rPr>
          <w:rFonts w:eastAsia="Calibri" w:cs="Times New Roman"/>
          <w:iCs/>
        </w:rPr>
        <w:t xml:space="preserve">(reported separately for </w:t>
      </w:r>
      <w:r w:rsidR="00EB445A">
        <w:rPr>
          <w:rFonts w:eastAsia="Calibri" w:cs="Times New Roman"/>
          <w:iCs/>
        </w:rPr>
        <w:t>preconception</w:t>
      </w:r>
      <w:r w:rsidRPr="001576A6">
        <w:rPr>
          <w:rFonts w:eastAsia="Calibri" w:cs="Times New Roman"/>
          <w:iCs/>
        </w:rPr>
        <w:t xml:space="preserve"> </w:t>
      </w:r>
      <w:r>
        <w:rPr>
          <w:rFonts w:eastAsia="Calibri" w:cs="Times New Roman"/>
          <w:iCs/>
        </w:rPr>
        <w:t>and</w:t>
      </w:r>
      <w:r w:rsidRPr="001576A6">
        <w:rPr>
          <w:rFonts w:eastAsia="Calibri" w:cs="Times New Roman"/>
          <w:iCs/>
        </w:rPr>
        <w:t xml:space="preserve"> pre-natal</w:t>
      </w:r>
      <w:r>
        <w:rPr>
          <w:rFonts w:eastAsia="Calibri" w:cs="Times New Roman"/>
          <w:iCs/>
        </w:rPr>
        <w:t xml:space="preserve"> testing)</w:t>
      </w:r>
    </w:p>
    <w:p w14:paraId="3852EDF8" w14:textId="77777777" w:rsidR="00E96E47" w:rsidRDefault="00E96E47" w:rsidP="00E96E47">
      <w:pPr>
        <w:pStyle w:val="ListParagraph"/>
        <w:numPr>
          <w:ilvl w:val="0"/>
          <w:numId w:val="50"/>
        </w:numPr>
        <w:spacing w:after="240"/>
        <w:rPr>
          <w:rFonts w:eastAsia="Calibri" w:cs="Times New Roman"/>
          <w:iCs/>
        </w:rPr>
      </w:pPr>
      <w:r w:rsidRPr="001576A6">
        <w:rPr>
          <w:rFonts w:eastAsia="Calibri" w:cs="Times New Roman"/>
          <w:iCs/>
        </w:rPr>
        <w:t>Step 2</w:t>
      </w:r>
      <w:r>
        <w:rPr>
          <w:rFonts w:eastAsia="Calibri" w:cs="Times New Roman"/>
          <w:iCs/>
        </w:rPr>
        <w:t>:</w:t>
      </w:r>
      <w:r w:rsidRPr="001576A6">
        <w:rPr>
          <w:rFonts w:eastAsia="Calibri" w:cs="Times New Roman"/>
          <w:iCs/>
        </w:rPr>
        <w:t xml:space="preserve"> </w:t>
      </w:r>
      <w:r>
        <w:rPr>
          <w:rFonts w:eastAsia="Calibri" w:cs="Times New Roman"/>
          <w:iCs/>
        </w:rPr>
        <w:t>t</w:t>
      </w:r>
      <w:r w:rsidRPr="001576A6">
        <w:rPr>
          <w:rFonts w:eastAsia="Calibri" w:cs="Times New Roman"/>
          <w:iCs/>
        </w:rPr>
        <w:t xml:space="preserve">otal costs of Step 1 compared with comparators, using cumulative proportions of </w:t>
      </w:r>
      <w:r>
        <w:rPr>
          <w:rFonts w:eastAsia="Calibri" w:cs="Times New Roman"/>
          <w:iCs/>
        </w:rPr>
        <w:t>reproductive decision</w:t>
      </w:r>
      <w:r w:rsidRPr="001576A6">
        <w:rPr>
          <w:rFonts w:eastAsia="Calibri" w:cs="Times New Roman"/>
          <w:iCs/>
        </w:rPr>
        <w:t xml:space="preserve"> outcomes (Baby with condition; Baby without condition;</w:t>
      </w:r>
      <w:r>
        <w:rPr>
          <w:rFonts w:eastAsia="Calibri" w:cs="Times New Roman"/>
          <w:iCs/>
        </w:rPr>
        <w:t xml:space="preserve"> </w:t>
      </w:r>
      <w:r w:rsidRPr="001576A6">
        <w:rPr>
          <w:rFonts w:eastAsia="Calibri" w:cs="Times New Roman"/>
          <w:iCs/>
        </w:rPr>
        <w:t>IVF;</w:t>
      </w:r>
      <w:r>
        <w:rPr>
          <w:rFonts w:eastAsia="Calibri" w:cs="Times New Roman"/>
          <w:iCs/>
        </w:rPr>
        <w:t xml:space="preserve"> </w:t>
      </w:r>
      <w:r w:rsidRPr="001576A6">
        <w:rPr>
          <w:rFonts w:eastAsia="Calibri" w:cs="Times New Roman"/>
          <w:iCs/>
        </w:rPr>
        <w:t>Abstain;</w:t>
      </w:r>
      <w:r>
        <w:rPr>
          <w:rFonts w:eastAsia="Calibri" w:cs="Times New Roman"/>
          <w:iCs/>
        </w:rPr>
        <w:t xml:space="preserve"> </w:t>
      </w:r>
      <w:r w:rsidRPr="001576A6">
        <w:rPr>
          <w:rFonts w:eastAsia="Calibri" w:cs="Times New Roman"/>
          <w:iCs/>
        </w:rPr>
        <w:t>Infant mortality;</w:t>
      </w:r>
      <w:r>
        <w:rPr>
          <w:rFonts w:eastAsia="Calibri" w:cs="Times New Roman"/>
          <w:iCs/>
        </w:rPr>
        <w:t xml:space="preserve"> </w:t>
      </w:r>
      <w:r w:rsidRPr="001576A6">
        <w:rPr>
          <w:rFonts w:eastAsia="Calibri" w:cs="Times New Roman"/>
          <w:iCs/>
        </w:rPr>
        <w:t>Termination)</w:t>
      </w:r>
    </w:p>
    <w:p w14:paraId="60801630" w14:textId="38073144" w:rsidR="00E96E47" w:rsidRDefault="00E96E47" w:rsidP="00E96E47">
      <w:pPr>
        <w:pStyle w:val="ListParagraph"/>
        <w:numPr>
          <w:ilvl w:val="0"/>
          <w:numId w:val="50"/>
        </w:numPr>
        <w:spacing w:after="240"/>
        <w:rPr>
          <w:rFonts w:eastAsia="Calibri" w:cs="Times New Roman"/>
          <w:iCs/>
        </w:rPr>
      </w:pPr>
      <w:r w:rsidRPr="001576A6">
        <w:rPr>
          <w:rFonts w:eastAsia="Calibri" w:cs="Times New Roman"/>
          <w:iCs/>
        </w:rPr>
        <w:t>Step 3</w:t>
      </w:r>
      <w:r>
        <w:rPr>
          <w:rFonts w:eastAsia="Calibri" w:cs="Times New Roman"/>
          <w:iCs/>
        </w:rPr>
        <w:t>:</w:t>
      </w:r>
      <w:r w:rsidRPr="001576A6">
        <w:rPr>
          <w:rFonts w:eastAsia="Calibri" w:cs="Times New Roman"/>
          <w:iCs/>
        </w:rPr>
        <w:t xml:space="preserve"> combined </w:t>
      </w:r>
      <w:r w:rsidR="00EB445A">
        <w:rPr>
          <w:rFonts w:eastAsia="Calibri" w:cs="Times New Roman"/>
          <w:iCs/>
        </w:rPr>
        <w:t>preconception</w:t>
      </w:r>
      <w:r w:rsidRPr="001576A6">
        <w:rPr>
          <w:rFonts w:eastAsia="Calibri" w:cs="Times New Roman"/>
          <w:iCs/>
        </w:rPr>
        <w:t xml:space="preserve"> and pre-natal</w:t>
      </w:r>
    </w:p>
    <w:p w14:paraId="2CE01A23" w14:textId="77777777" w:rsidR="00E96E47" w:rsidRDefault="00E96E47" w:rsidP="00E96E47">
      <w:pPr>
        <w:pStyle w:val="ListParagraph"/>
        <w:numPr>
          <w:ilvl w:val="0"/>
          <w:numId w:val="50"/>
        </w:numPr>
        <w:spacing w:after="240"/>
        <w:rPr>
          <w:rFonts w:eastAsia="Calibri" w:cs="Times New Roman"/>
          <w:iCs/>
        </w:rPr>
      </w:pPr>
      <w:r w:rsidRPr="001576A6">
        <w:rPr>
          <w:rFonts w:eastAsia="Calibri" w:cs="Times New Roman"/>
          <w:iCs/>
        </w:rPr>
        <w:t>Step 4</w:t>
      </w:r>
      <w:r>
        <w:rPr>
          <w:rFonts w:eastAsia="Calibri" w:cs="Times New Roman"/>
          <w:iCs/>
        </w:rPr>
        <w:t>:</w:t>
      </w:r>
      <w:r w:rsidRPr="001576A6">
        <w:rPr>
          <w:rFonts w:eastAsia="Calibri" w:cs="Times New Roman"/>
          <w:iCs/>
        </w:rPr>
        <w:t xml:space="preserve"> costs and events for initial plus subsequent pregnancies</w:t>
      </w:r>
    </w:p>
    <w:p w14:paraId="2C577D5E" w14:textId="77777777" w:rsidR="00E96E47" w:rsidRDefault="00E96E47" w:rsidP="00E96E47">
      <w:pPr>
        <w:spacing w:after="240"/>
        <w:rPr>
          <w:rFonts w:eastAsia="Calibri" w:cs="Times New Roman"/>
          <w:iCs/>
        </w:rPr>
      </w:pPr>
      <w:r>
        <w:rPr>
          <w:rFonts w:eastAsia="Calibri" w:cs="Times New Roman"/>
          <w:iCs/>
        </w:rPr>
        <w:lastRenderedPageBreak/>
        <w:t>ESC noted that this was b</w:t>
      </w:r>
      <w:r w:rsidRPr="008E0CF4">
        <w:rPr>
          <w:rFonts w:eastAsia="Calibri" w:cs="Times New Roman"/>
          <w:iCs/>
        </w:rPr>
        <w:t xml:space="preserve">ased on </w:t>
      </w:r>
      <w:r>
        <w:rPr>
          <w:rFonts w:eastAsia="Calibri" w:cs="Times New Roman"/>
          <w:iCs/>
        </w:rPr>
        <w:t xml:space="preserve">the </w:t>
      </w:r>
      <w:r w:rsidRPr="008E0CF4">
        <w:rPr>
          <w:rFonts w:eastAsia="Calibri" w:cs="Times New Roman"/>
          <w:iCs/>
        </w:rPr>
        <w:t>approach by Norman et al</w:t>
      </w:r>
      <w:r>
        <w:rPr>
          <w:rFonts w:eastAsia="Calibri" w:cs="Times New Roman"/>
          <w:iCs/>
        </w:rPr>
        <w:t>.</w:t>
      </w:r>
      <w:r w:rsidRPr="008E0CF4">
        <w:rPr>
          <w:rFonts w:eastAsia="Calibri" w:cs="Times New Roman"/>
          <w:iCs/>
        </w:rPr>
        <w:t xml:space="preserve"> (2012)</w:t>
      </w:r>
      <w:r>
        <w:rPr>
          <w:rStyle w:val="FootnoteReference"/>
          <w:rFonts w:eastAsia="Calibri" w:cs="Times New Roman"/>
          <w:iCs/>
        </w:rPr>
        <w:footnoteReference w:id="20"/>
      </w:r>
      <w:r w:rsidRPr="008E0CF4">
        <w:rPr>
          <w:rFonts w:eastAsia="Calibri" w:cs="Times New Roman"/>
          <w:iCs/>
        </w:rPr>
        <w:t xml:space="preserve"> for CF carrier </w:t>
      </w:r>
      <w:proofErr w:type="gramStart"/>
      <w:r w:rsidRPr="008E0CF4">
        <w:rPr>
          <w:rFonts w:eastAsia="Calibri" w:cs="Times New Roman"/>
          <w:iCs/>
        </w:rPr>
        <w:t>testin</w:t>
      </w:r>
      <w:r>
        <w:rPr>
          <w:rFonts w:eastAsia="Calibri" w:cs="Times New Roman"/>
          <w:iCs/>
        </w:rPr>
        <w:t>g, and</w:t>
      </w:r>
      <w:proofErr w:type="gramEnd"/>
      <w:r>
        <w:rPr>
          <w:rFonts w:eastAsia="Calibri" w:cs="Times New Roman"/>
          <w:iCs/>
        </w:rPr>
        <w:t xml:space="preserve"> is consistent with the approach undertaken in application 1573. </w:t>
      </w:r>
    </w:p>
    <w:p w14:paraId="33715205" w14:textId="77777777" w:rsidR="00E96E47" w:rsidRPr="00A73FC7" w:rsidRDefault="00E96E47" w:rsidP="00E96E47">
      <w:pPr>
        <w:spacing w:after="240"/>
        <w:rPr>
          <w:rFonts w:eastAsia="Calibri" w:cs="Times New Roman"/>
          <w:iCs/>
        </w:rPr>
      </w:pPr>
      <w:r>
        <w:rPr>
          <w:rFonts w:eastAsia="Calibri" w:cs="Times New Roman"/>
          <w:iCs/>
        </w:rPr>
        <w:t>ESC noted that in the economic model, t</w:t>
      </w:r>
      <w:r w:rsidRPr="008E0CF4">
        <w:rPr>
          <w:rFonts w:eastAsia="Calibri" w:cs="Times New Roman"/>
          <w:iCs/>
        </w:rPr>
        <w:t xml:space="preserve">he cumulative outcome represents patients flowing through for </w:t>
      </w:r>
      <w:r>
        <w:rPr>
          <w:rFonts w:eastAsia="Calibri" w:cs="Times New Roman"/>
          <w:iCs/>
        </w:rPr>
        <w:t xml:space="preserve">the </w:t>
      </w:r>
      <w:r w:rsidRPr="008E0CF4">
        <w:rPr>
          <w:rFonts w:eastAsia="Calibri" w:cs="Times New Roman"/>
          <w:iCs/>
        </w:rPr>
        <w:t xml:space="preserve">first cycle to determine </w:t>
      </w:r>
      <w:r>
        <w:rPr>
          <w:rFonts w:eastAsia="Calibri" w:cs="Times New Roman"/>
          <w:iCs/>
        </w:rPr>
        <w:t xml:space="preserve">the </w:t>
      </w:r>
      <w:r w:rsidRPr="008E0CF4">
        <w:rPr>
          <w:rFonts w:eastAsia="Calibri" w:cs="Times New Roman"/>
          <w:iCs/>
        </w:rPr>
        <w:t xml:space="preserve">costs and events </w:t>
      </w:r>
      <w:r>
        <w:rPr>
          <w:rFonts w:eastAsia="Calibri" w:cs="Times New Roman"/>
          <w:iCs/>
        </w:rPr>
        <w:t xml:space="preserve">associated with a </w:t>
      </w:r>
      <w:proofErr w:type="spellStart"/>
      <w:r>
        <w:rPr>
          <w:rFonts w:eastAsia="Calibri" w:cs="Times New Roman"/>
          <w:iCs/>
        </w:rPr>
        <w:t>fetus</w:t>
      </w:r>
      <w:proofErr w:type="spellEnd"/>
      <w:r>
        <w:rPr>
          <w:rFonts w:eastAsia="Calibri" w:cs="Times New Roman"/>
          <w:iCs/>
        </w:rPr>
        <w:t xml:space="preserve"> being affected by one condition (for example CF)</w:t>
      </w:r>
      <w:r w:rsidRPr="008E0CF4">
        <w:rPr>
          <w:rFonts w:eastAsia="Calibri" w:cs="Times New Roman"/>
          <w:iCs/>
        </w:rPr>
        <w:t>. When a</w:t>
      </w:r>
      <w:r>
        <w:rPr>
          <w:rFonts w:eastAsia="Calibri" w:cs="Times New Roman"/>
          <w:iCs/>
        </w:rPr>
        <w:t xml:space="preserve"> </w:t>
      </w:r>
      <w:r w:rsidRPr="008E0CF4">
        <w:rPr>
          <w:rFonts w:eastAsia="Calibri" w:cs="Times New Roman"/>
          <w:iCs/>
        </w:rPr>
        <w:t>baby</w:t>
      </w:r>
      <w:r>
        <w:rPr>
          <w:rFonts w:eastAsia="Calibri" w:cs="Times New Roman"/>
          <w:iCs/>
        </w:rPr>
        <w:t xml:space="preserve"> with that one condition</w:t>
      </w:r>
      <w:r w:rsidRPr="008E0CF4">
        <w:rPr>
          <w:rFonts w:eastAsia="Calibri" w:cs="Times New Roman"/>
          <w:iCs/>
        </w:rPr>
        <w:t xml:space="preserve"> is not born, th</w:t>
      </w:r>
      <w:r>
        <w:rPr>
          <w:rFonts w:eastAsia="Calibri" w:cs="Times New Roman"/>
          <w:iCs/>
        </w:rPr>
        <w:t xml:space="preserve">e model </w:t>
      </w:r>
      <w:r w:rsidRPr="008E0CF4">
        <w:rPr>
          <w:rFonts w:eastAsia="Calibri" w:cs="Times New Roman"/>
          <w:iCs/>
        </w:rPr>
        <w:t>flow</w:t>
      </w:r>
      <w:r>
        <w:rPr>
          <w:rFonts w:eastAsia="Calibri" w:cs="Times New Roman"/>
          <w:iCs/>
        </w:rPr>
        <w:t>s</w:t>
      </w:r>
      <w:r w:rsidRPr="008E0CF4">
        <w:rPr>
          <w:rFonts w:eastAsia="Calibri" w:cs="Times New Roman"/>
          <w:iCs/>
        </w:rPr>
        <w:t xml:space="preserve"> through again for</w:t>
      </w:r>
      <w:r>
        <w:rPr>
          <w:rFonts w:eastAsia="Calibri" w:cs="Times New Roman"/>
          <w:iCs/>
        </w:rPr>
        <w:t xml:space="preserve"> </w:t>
      </w:r>
      <w:r w:rsidRPr="008E0CF4">
        <w:rPr>
          <w:rFonts w:eastAsia="Calibri" w:cs="Times New Roman"/>
          <w:iCs/>
        </w:rPr>
        <w:t>testing</w:t>
      </w:r>
      <w:r>
        <w:rPr>
          <w:rFonts w:eastAsia="Calibri" w:cs="Times New Roman"/>
          <w:iCs/>
        </w:rPr>
        <w:t xml:space="preserve"> against the next condition</w:t>
      </w:r>
      <w:r w:rsidRPr="008E0CF4">
        <w:rPr>
          <w:rFonts w:eastAsia="Calibri" w:cs="Times New Roman"/>
          <w:iCs/>
        </w:rPr>
        <w:t xml:space="preserve"> and so on.</w:t>
      </w:r>
      <w:r>
        <w:rPr>
          <w:rFonts w:eastAsia="Calibri" w:cs="Times New Roman"/>
          <w:iCs/>
        </w:rPr>
        <w:t xml:space="preserve"> Thus in the </w:t>
      </w:r>
      <w:proofErr w:type="gramStart"/>
      <w:r>
        <w:rPr>
          <w:rFonts w:eastAsia="Calibri" w:cs="Times New Roman"/>
          <w:iCs/>
        </w:rPr>
        <w:t xml:space="preserve">model, </w:t>
      </w:r>
      <w:r w:rsidRPr="008E0CF4">
        <w:rPr>
          <w:rFonts w:eastAsia="Calibri" w:cs="Times New Roman"/>
          <w:iCs/>
        </w:rPr>
        <w:t xml:space="preserve"> </w:t>
      </w:r>
      <w:r>
        <w:rPr>
          <w:rFonts w:eastAsia="Calibri" w:cs="Times New Roman"/>
          <w:iCs/>
        </w:rPr>
        <w:t>o</w:t>
      </w:r>
      <w:r w:rsidRPr="008E0CF4">
        <w:rPr>
          <w:rFonts w:eastAsia="Calibri" w:cs="Times New Roman"/>
          <w:iCs/>
        </w:rPr>
        <w:t>nly</w:t>
      </w:r>
      <w:proofErr w:type="gramEnd"/>
      <w:r w:rsidRPr="008E0CF4">
        <w:rPr>
          <w:rFonts w:eastAsia="Calibri" w:cs="Times New Roman"/>
          <w:iCs/>
        </w:rPr>
        <w:t xml:space="preserve"> one cost of testing is assumed so </w:t>
      </w:r>
      <w:r>
        <w:rPr>
          <w:rFonts w:eastAsia="Calibri" w:cs="Times New Roman"/>
          <w:iCs/>
        </w:rPr>
        <w:t xml:space="preserve">the </w:t>
      </w:r>
      <w:r w:rsidRPr="008E0CF4">
        <w:rPr>
          <w:rFonts w:eastAsia="Calibri" w:cs="Times New Roman"/>
          <w:iCs/>
        </w:rPr>
        <w:t xml:space="preserve">denominator is weighted for each subsequent condition. </w:t>
      </w:r>
      <w:r>
        <w:rPr>
          <w:rFonts w:eastAsia="Calibri" w:cs="Times New Roman"/>
          <w:iCs/>
        </w:rPr>
        <w:t>ESC noted that this means that in the model p</w:t>
      </w:r>
      <w:r w:rsidRPr="008E0CF4">
        <w:rPr>
          <w:rFonts w:eastAsia="Calibri" w:cs="Times New Roman"/>
          <w:iCs/>
        </w:rPr>
        <w:t xml:space="preserve">atients can only be </w:t>
      </w:r>
      <w:r>
        <w:rPr>
          <w:rFonts w:eastAsia="Calibri" w:cs="Times New Roman"/>
          <w:iCs/>
        </w:rPr>
        <w:t xml:space="preserve">a carrier </w:t>
      </w:r>
      <w:r w:rsidRPr="008E0CF4">
        <w:rPr>
          <w:rFonts w:eastAsia="Calibri" w:cs="Times New Roman"/>
          <w:iCs/>
        </w:rPr>
        <w:t xml:space="preserve">for one </w:t>
      </w:r>
      <w:r>
        <w:rPr>
          <w:rFonts w:eastAsia="Calibri" w:cs="Times New Roman"/>
          <w:iCs/>
        </w:rPr>
        <w:t>disease</w:t>
      </w:r>
      <w:r w:rsidRPr="008E0CF4">
        <w:rPr>
          <w:rFonts w:eastAsia="Calibri" w:cs="Times New Roman"/>
          <w:iCs/>
        </w:rPr>
        <w:t>, not multiple</w:t>
      </w:r>
      <w:r>
        <w:rPr>
          <w:rFonts w:eastAsia="Calibri" w:cs="Times New Roman"/>
          <w:iCs/>
        </w:rPr>
        <w:t xml:space="preserve"> diseases. </w:t>
      </w:r>
      <w:r w:rsidRPr="00A73FC7">
        <w:rPr>
          <w:rFonts w:eastAsia="Calibri" w:cs="Times New Roman"/>
          <w:iCs/>
        </w:rPr>
        <w:t xml:space="preserve">ESC noted a </w:t>
      </w:r>
      <w:r>
        <w:rPr>
          <w:rFonts w:eastAsia="Calibri" w:cs="Times New Roman"/>
          <w:iCs/>
        </w:rPr>
        <w:t xml:space="preserve">one </w:t>
      </w:r>
      <w:r w:rsidRPr="00A73FC7">
        <w:rPr>
          <w:rFonts w:eastAsia="Calibri" w:cs="Times New Roman"/>
          <w:iCs/>
        </w:rPr>
        <w:t xml:space="preserve">study </w:t>
      </w:r>
      <w:r>
        <w:rPr>
          <w:rFonts w:eastAsia="Calibri" w:cs="Times New Roman"/>
          <w:iCs/>
        </w:rPr>
        <w:t>had</w:t>
      </w:r>
      <w:r w:rsidRPr="00A73FC7">
        <w:rPr>
          <w:rFonts w:eastAsia="Calibri" w:cs="Times New Roman"/>
          <w:iCs/>
        </w:rPr>
        <w:t xml:space="preserve"> reported 30.2% of individuals with Ashkenazi Jewish ancestry were carriers for at least one</w:t>
      </w:r>
      <w:r>
        <w:rPr>
          <w:rFonts w:eastAsia="Calibri" w:cs="Times New Roman"/>
          <w:iCs/>
        </w:rPr>
        <w:t xml:space="preserve"> genetic</w:t>
      </w:r>
      <w:r w:rsidRPr="00A73FC7">
        <w:rPr>
          <w:rFonts w:eastAsia="Calibri" w:cs="Times New Roman"/>
          <w:iCs/>
        </w:rPr>
        <w:t xml:space="preserve"> condition, 10.1% were carriers for two conditions and 2.5% were carriers for three conditions</w:t>
      </w:r>
      <w:r>
        <w:rPr>
          <w:rStyle w:val="FootnoteReference"/>
          <w:rFonts w:eastAsia="Calibri" w:cs="Times New Roman"/>
          <w:iCs/>
        </w:rPr>
        <w:footnoteReference w:id="21"/>
      </w:r>
      <w:r w:rsidRPr="00A73FC7">
        <w:rPr>
          <w:rFonts w:eastAsia="Calibri" w:cs="Times New Roman"/>
          <w:iCs/>
        </w:rPr>
        <w:t xml:space="preserve">. Therefore, </w:t>
      </w:r>
      <w:r>
        <w:rPr>
          <w:rFonts w:eastAsia="Calibri" w:cs="Times New Roman"/>
          <w:iCs/>
        </w:rPr>
        <w:t xml:space="preserve">ESC considered that </w:t>
      </w:r>
      <w:r w:rsidRPr="00A73FC7">
        <w:rPr>
          <w:rFonts w:eastAsia="Calibri" w:cs="Times New Roman"/>
          <w:iCs/>
        </w:rPr>
        <w:t>although individual conditions may be rare</w:t>
      </w:r>
      <w:r>
        <w:rPr>
          <w:rFonts w:eastAsia="Calibri" w:cs="Times New Roman"/>
          <w:iCs/>
        </w:rPr>
        <w:t xml:space="preserve"> on a population level</w:t>
      </w:r>
      <w:r w:rsidRPr="00A73FC7">
        <w:rPr>
          <w:rFonts w:eastAsia="Calibri" w:cs="Times New Roman"/>
          <w:iCs/>
        </w:rPr>
        <w:t xml:space="preserve">, </w:t>
      </w:r>
      <w:r>
        <w:rPr>
          <w:rFonts w:eastAsia="Calibri" w:cs="Times New Roman"/>
          <w:iCs/>
        </w:rPr>
        <w:t>a substantial proportion</w:t>
      </w:r>
      <w:r w:rsidRPr="00A73FC7">
        <w:rPr>
          <w:rFonts w:eastAsia="Calibri" w:cs="Times New Roman"/>
          <w:iCs/>
        </w:rPr>
        <w:t xml:space="preserve"> of people with Ashkenazi Jewish ancestry will be carriers for more </w:t>
      </w:r>
      <w:r>
        <w:rPr>
          <w:rFonts w:eastAsia="Calibri" w:cs="Times New Roman"/>
          <w:iCs/>
        </w:rPr>
        <w:t xml:space="preserve">than one </w:t>
      </w:r>
      <w:r w:rsidRPr="00A73FC7">
        <w:rPr>
          <w:rFonts w:eastAsia="Calibri" w:cs="Times New Roman"/>
          <w:iCs/>
        </w:rPr>
        <w:t>of the conditions</w:t>
      </w:r>
      <w:r>
        <w:rPr>
          <w:rFonts w:eastAsia="Calibri" w:cs="Times New Roman"/>
          <w:iCs/>
        </w:rPr>
        <w:t xml:space="preserve"> tested for</w:t>
      </w:r>
      <w:r w:rsidRPr="00A73FC7">
        <w:rPr>
          <w:rFonts w:eastAsia="Calibri" w:cs="Times New Roman"/>
          <w:iCs/>
        </w:rPr>
        <w:t>.</w:t>
      </w:r>
      <w:r>
        <w:rPr>
          <w:rFonts w:eastAsia="Calibri" w:cs="Times New Roman"/>
          <w:iCs/>
        </w:rPr>
        <w:t xml:space="preserve"> ESC noted the economic model assumed people would only be a carrier for a single disease, which it considered was inappropriate given the substantial proportion of Ashkenazi Jewish individuals who are carriers for multiple diseases. ESC considered it would have been ideal for the economic analyses to account for multiple carriers, though this would likely have minimal impact on the ICER as the numbers are small.</w:t>
      </w:r>
    </w:p>
    <w:p w14:paraId="1D645F9D" w14:textId="77777777" w:rsidR="00E96E47" w:rsidRDefault="00E96E47" w:rsidP="00E96E47">
      <w:pPr>
        <w:spacing w:after="240"/>
        <w:rPr>
          <w:rFonts w:eastAsia="Calibri" w:cs="Times New Roman"/>
          <w:iCs/>
        </w:rPr>
      </w:pPr>
      <w:r>
        <w:rPr>
          <w:rFonts w:eastAsia="Calibri" w:cs="Times New Roman"/>
          <w:iCs/>
        </w:rPr>
        <w:t>ESC noted that in the model, d</w:t>
      </w:r>
      <w:r w:rsidRPr="008E0CF4">
        <w:rPr>
          <w:rFonts w:eastAsia="Calibri" w:cs="Times New Roman"/>
          <w:iCs/>
        </w:rPr>
        <w:t xml:space="preserve">ownstream consequences are different for each outcome depending on </w:t>
      </w:r>
      <w:r>
        <w:rPr>
          <w:rFonts w:eastAsia="Calibri" w:cs="Times New Roman"/>
          <w:iCs/>
        </w:rPr>
        <w:t>whether one or both parents are carriers or if an ‘</w:t>
      </w:r>
      <w:r w:rsidRPr="008E0CF4">
        <w:rPr>
          <w:rFonts w:eastAsia="Calibri" w:cs="Times New Roman"/>
          <w:iCs/>
        </w:rPr>
        <w:t>affected individual</w:t>
      </w:r>
      <w:r>
        <w:rPr>
          <w:rFonts w:eastAsia="Calibri" w:cs="Times New Roman"/>
          <w:iCs/>
        </w:rPr>
        <w:t>’ is born</w:t>
      </w:r>
      <w:r w:rsidRPr="008E0CF4">
        <w:rPr>
          <w:rFonts w:eastAsia="Calibri" w:cs="Times New Roman"/>
          <w:iCs/>
        </w:rPr>
        <w:t>.</w:t>
      </w:r>
      <w:r>
        <w:rPr>
          <w:rFonts w:eastAsia="Calibri" w:cs="Times New Roman"/>
          <w:iCs/>
        </w:rPr>
        <w:t xml:space="preserve"> ESC noted that because the model did not consider</w:t>
      </w:r>
      <w:r w:rsidRPr="008E0CF4">
        <w:rPr>
          <w:rFonts w:eastAsia="Calibri" w:cs="Times New Roman"/>
          <w:iCs/>
        </w:rPr>
        <w:t xml:space="preserve"> quality-of-life decrements in the risks of testing</w:t>
      </w:r>
      <w:r>
        <w:rPr>
          <w:rFonts w:eastAsia="Calibri" w:cs="Times New Roman"/>
          <w:iCs/>
        </w:rPr>
        <w:t xml:space="preserve">, this </w:t>
      </w:r>
      <w:r w:rsidRPr="008E0CF4">
        <w:rPr>
          <w:rFonts w:eastAsia="Calibri" w:cs="Times New Roman"/>
          <w:iCs/>
        </w:rPr>
        <w:t xml:space="preserve">favours </w:t>
      </w:r>
      <w:r>
        <w:rPr>
          <w:rFonts w:eastAsia="Calibri" w:cs="Times New Roman"/>
          <w:iCs/>
        </w:rPr>
        <w:t xml:space="preserve">the </w:t>
      </w:r>
      <w:r w:rsidRPr="008E0CF4">
        <w:rPr>
          <w:rFonts w:eastAsia="Calibri" w:cs="Times New Roman"/>
          <w:iCs/>
        </w:rPr>
        <w:t>intervention relative to no testing</w:t>
      </w:r>
      <w:r>
        <w:rPr>
          <w:rFonts w:eastAsia="Calibri" w:cs="Times New Roman"/>
          <w:iCs/>
        </w:rPr>
        <w:t>.</w:t>
      </w:r>
    </w:p>
    <w:p w14:paraId="2EB4BCB0" w14:textId="77777777" w:rsidR="00E96E47" w:rsidRDefault="00E96E47" w:rsidP="00E96E47">
      <w:pPr>
        <w:spacing w:after="240"/>
        <w:rPr>
          <w:rFonts w:eastAsia="Calibri" w:cs="Times New Roman"/>
          <w:iCs/>
        </w:rPr>
      </w:pPr>
      <w:r w:rsidRPr="00A73FC7">
        <w:rPr>
          <w:rFonts w:eastAsia="Calibri" w:cs="Times New Roman"/>
          <w:iCs/>
        </w:rPr>
        <w:t xml:space="preserve">ESC </w:t>
      </w:r>
      <w:r>
        <w:rPr>
          <w:rFonts w:eastAsia="Calibri" w:cs="Times New Roman"/>
          <w:iCs/>
        </w:rPr>
        <w:t>considered that d</w:t>
      </w:r>
      <w:r w:rsidRPr="00A73FC7">
        <w:rPr>
          <w:rFonts w:eastAsia="Calibri" w:cs="Times New Roman"/>
          <w:iCs/>
        </w:rPr>
        <w:t xml:space="preserve">ue to insufficient data </w:t>
      </w:r>
      <w:r>
        <w:rPr>
          <w:rFonts w:eastAsia="Calibri" w:cs="Times New Roman"/>
          <w:iCs/>
        </w:rPr>
        <w:t>there was</w:t>
      </w:r>
      <w:r w:rsidRPr="00A73FC7">
        <w:rPr>
          <w:rFonts w:eastAsia="Calibri" w:cs="Times New Roman"/>
          <w:iCs/>
        </w:rPr>
        <w:t xml:space="preserve"> significant uncertainty in </w:t>
      </w:r>
      <w:r>
        <w:rPr>
          <w:rFonts w:eastAsia="Calibri" w:cs="Times New Roman"/>
          <w:iCs/>
        </w:rPr>
        <w:t>many</w:t>
      </w:r>
      <w:r w:rsidRPr="00A73FC7">
        <w:rPr>
          <w:rFonts w:eastAsia="Calibri" w:cs="Times New Roman"/>
          <w:iCs/>
        </w:rPr>
        <w:t xml:space="preserve"> input assumptions, </w:t>
      </w:r>
      <w:proofErr w:type="gramStart"/>
      <w:r w:rsidRPr="00A73FC7">
        <w:rPr>
          <w:rFonts w:eastAsia="Calibri" w:cs="Times New Roman"/>
          <w:iCs/>
        </w:rPr>
        <w:t>in particular</w:t>
      </w:r>
      <w:r>
        <w:rPr>
          <w:rFonts w:eastAsia="Calibri" w:cs="Times New Roman"/>
          <w:iCs/>
        </w:rPr>
        <w:t xml:space="preserve"> that</w:t>
      </w:r>
      <w:proofErr w:type="gramEnd"/>
      <w:r>
        <w:rPr>
          <w:rFonts w:eastAsia="Calibri" w:cs="Times New Roman"/>
          <w:iCs/>
        </w:rPr>
        <w:t xml:space="preserve"> </w:t>
      </w:r>
      <w:r w:rsidRPr="00804BDA">
        <w:rPr>
          <w:rFonts w:eastAsia="Calibri" w:cs="Times New Roman"/>
          <w:iCs/>
        </w:rPr>
        <w:t>a number of probabilities (such as rates of in vitro fertilisation [IVF] and termination of pregnancy) are based on the international Ashkenazi Jewish population. If there are inter-country cultural differences in this population, it may impact these proportions</w:t>
      </w:r>
      <w:r>
        <w:rPr>
          <w:rFonts w:eastAsia="Calibri" w:cs="Times New Roman"/>
          <w:iCs/>
        </w:rPr>
        <w:t xml:space="preserve"> for Australia</w:t>
      </w:r>
      <w:r w:rsidRPr="00804BDA">
        <w:rPr>
          <w:rFonts w:eastAsia="Calibri" w:cs="Times New Roman"/>
          <w:iCs/>
        </w:rPr>
        <w:t>. </w:t>
      </w:r>
    </w:p>
    <w:p w14:paraId="66B77DAF" w14:textId="77777777" w:rsidR="00E96E47" w:rsidRPr="00A73FC7" w:rsidRDefault="00E96E47" w:rsidP="00E96E47">
      <w:pPr>
        <w:spacing w:after="240"/>
        <w:rPr>
          <w:rFonts w:eastAsia="Calibri" w:cs="Times New Roman"/>
          <w:iCs/>
        </w:rPr>
      </w:pPr>
      <w:r w:rsidRPr="00A73FC7">
        <w:rPr>
          <w:rFonts w:eastAsia="Calibri" w:cs="Times New Roman"/>
          <w:iCs/>
        </w:rPr>
        <w:t xml:space="preserve">ESC noted </w:t>
      </w:r>
      <w:r>
        <w:rPr>
          <w:rFonts w:eastAsia="Calibri" w:cs="Times New Roman"/>
          <w:iCs/>
        </w:rPr>
        <w:t xml:space="preserve">the cost-effectiveness analyses showed </w:t>
      </w:r>
      <w:r w:rsidRPr="00A73FC7">
        <w:rPr>
          <w:rFonts w:eastAsia="Calibri" w:cs="Times New Roman"/>
          <w:iCs/>
        </w:rPr>
        <w:t xml:space="preserve">that, when only </w:t>
      </w:r>
      <w:r>
        <w:rPr>
          <w:rFonts w:eastAsia="Calibri" w:cs="Times New Roman"/>
          <w:iCs/>
        </w:rPr>
        <w:t xml:space="preserve">carrier </w:t>
      </w:r>
      <w:r w:rsidRPr="00A73FC7">
        <w:rPr>
          <w:rFonts w:eastAsia="Calibri" w:cs="Times New Roman"/>
          <w:iCs/>
        </w:rPr>
        <w:t xml:space="preserve">testing costs were considered, genetic </w:t>
      </w:r>
      <w:r>
        <w:rPr>
          <w:rFonts w:eastAsia="Calibri" w:cs="Times New Roman"/>
          <w:iCs/>
        </w:rPr>
        <w:t xml:space="preserve">carrier </w:t>
      </w:r>
      <w:r w:rsidRPr="00A73FC7">
        <w:rPr>
          <w:rFonts w:eastAsia="Calibri" w:cs="Times New Roman"/>
          <w:iCs/>
        </w:rPr>
        <w:t xml:space="preserve">testing </w:t>
      </w:r>
      <w:r>
        <w:rPr>
          <w:rFonts w:eastAsia="Calibri" w:cs="Times New Roman"/>
          <w:iCs/>
        </w:rPr>
        <w:t xml:space="preserve">for the nine conditions dominated the base case comparator (based on negative incremental costs and a reduction in the number of affected individuals) – this was true of both the scenario where each partner was Ashkenazi and the mixed couples scenario (where the reproductive partner used item CCCC resulting in a </w:t>
      </w:r>
      <w:r w:rsidRPr="00A73FC7">
        <w:rPr>
          <w:rFonts w:eastAsia="Calibri" w:cs="Times New Roman"/>
          <w:iCs/>
        </w:rPr>
        <w:t xml:space="preserve">weighted cost-effectiveness </w:t>
      </w:r>
      <w:r>
        <w:rPr>
          <w:rFonts w:eastAsia="Calibri" w:cs="Times New Roman"/>
          <w:iCs/>
        </w:rPr>
        <w:t xml:space="preserve">of </w:t>
      </w:r>
      <w:r w:rsidRPr="00A73FC7">
        <w:rPr>
          <w:rFonts w:eastAsia="Calibri" w:cs="Times New Roman"/>
          <w:iCs/>
        </w:rPr>
        <w:t xml:space="preserve">75% </w:t>
      </w:r>
      <w:r>
        <w:rPr>
          <w:rFonts w:eastAsia="Calibri" w:cs="Times New Roman"/>
          <w:iCs/>
        </w:rPr>
        <w:t xml:space="preserve">of the cost of </w:t>
      </w:r>
      <w:r w:rsidRPr="00A73FC7">
        <w:rPr>
          <w:rFonts w:eastAsia="Calibri" w:cs="Times New Roman"/>
          <w:iCs/>
        </w:rPr>
        <w:t xml:space="preserve">AAAA + 25% </w:t>
      </w:r>
      <w:r>
        <w:rPr>
          <w:rFonts w:eastAsia="Calibri" w:cs="Times New Roman"/>
          <w:iCs/>
        </w:rPr>
        <w:t xml:space="preserve">of the cost of </w:t>
      </w:r>
      <w:r w:rsidRPr="00A73FC7">
        <w:rPr>
          <w:rFonts w:eastAsia="Calibri" w:cs="Times New Roman"/>
          <w:iCs/>
        </w:rPr>
        <w:t>CCCC</w:t>
      </w:r>
      <w:r>
        <w:rPr>
          <w:rFonts w:eastAsia="Calibri" w:cs="Times New Roman"/>
          <w:iCs/>
        </w:rPr>
        <w:t xml:space="preserve">). Carrier testing for nine conditions was also dominant when lifetime costs were </w:t>
      </w:r>
      <w:proofErr w:type="gramStart"/>
      <w:r>
        <w:rPr>
          <w:rFonts w:eastAsia="Calibri" w:cs="Times New Roman"/>
          <w:iCs/>
        </w:rPr>
        <w:t>taken into account</w:t>
      </w:r>
      <w:proofErr w:type="gramEnd"/>
      <w:r>
        <w:rPr>
          <w:rFonts w:eastAsia="Calibri" w:cs="Times New Roman"/>
          <w:iCs/>
        </w:rPr>
        <w:t xml:space="preserve">. </w:t>
      </w:r>
    </w:p>
    <w:p w14:paraId="285D82EF" w14:textId="77777777" w:rsidR="00E96E47" w:rsidRPr="00A73FC7" w:rsidRDefault="00E96E47" w:rsidP="00E96E47">
      <w:pPr>
        <w:spacing w:after="240"/>
        <w:rPr>
          <w:rFonts w:eastAsia="Calibri" w:cs="Times New Roman"/>
          <w:iCs/>
        </w:rPr>
      </w:pPr>
      <w:r>
        <w:rPr>
          <w:rFonts w:eastAsia="Calibri" w:cs="Times New Roman"/>
          <w:iCs/>
        </w:rPr>
        <w:t xml:space="preserve">ESC noted that analyses incorporating GGGG </w:t>
      </w:r>
      <w:r w:rsidRPr="00A73FC7">
        <w:rPr>
          <w:rFonts w:eastAsia="Calibri" w:cs="Times New Roman"/>
          <w:iCs/>
        </w:rPr>
        <w:t>(</w:t>
      </w:r>
      <w:proofErr w:type="spellStart"/>
      <w:r>
        <w:rPr>
          <w:rFonts w:eastAsia="Calibri" w:cs="Times New Roman"/>
          <w:iCs/>
        </w:rPr>
        <w:t>fetal</w:t>
      </w:r>
      <w:proofErr w:type="spellEnd"/>
      <w:r w:rsidRPr="00A73FC7">
        <w:rPr>
          <w:rFonts w:eastAsia="Calibri" w:cs="Times New Roman"/>
          <w:iCs/>
        </w:rPr>
        <w:t xml:space="preserve"> testing)</w:t>
      </w:r>
      <w:r>
        <w:rPr>
          <w:rFonts w:eastAsia="Calibri" w:cs="Times New Roman"/>
          <w:iCs/>
        </w:rPr>
        <w:t xml:space="preserve"> had been provided as a standalone analysis that formed part of the rejoinder and had not been integrated into the AAAA and AAAA+CCCC analyses. </w:t>
      </w:r>
      <w:r w:rsidRPr="00A73FC7">
        <w:rPr>
          <w:rFonts w:eastAsia="Calibri" w:cs="Times New Roman"/>
          <w:iCs/>
        </w:rPr>
        <w:t xml:space="preserve">For GGGG, ESC noted that </w:t>
      </w:r>
      <w:r>
        <w:rPr>
          <w:rFonts w:eastAsia="Calibri" w:cs="Times New Roman"/>
          <w:iCs/>
        </w:rPr>
        <w:t xml:space="preserve">while </w:t>
      </w:r>
      <w:r w:rsidRPr="00A73FC7">
        <w:rPr>
          <w:rFonts w:eastAsia="Calibri" w:cs="Times New Roman"/>
          <w:iCs/>
        </w:rPr>
        <w:t xml:space="preserve">the economic evaluation </w:t>
      </w:r>
      <w:r>
        <w:rPr>
          <w:rFonts w:eastAsia="Calibri" w:cs="Times New Roman"/>
          <w:iCs/>
        </w:rPr>
        <w:t xml:space="preserve">still utilised a </w:t>
      </w:r>
      <w:r w:rsidRPr="00A73FC7">
        <w:rPr>
          <w:rFonts w:eastAsia="Calibri" w:cs="Times New Roman"/>
          <w:iCs/>
        </w:rPr>
        <w:t>stepped approach</w:t>
      </w:r>
      <w:r>
        <w:rPr>
          <w:rFonts w:eastAsia="Calibri" w:cs="Times New Roman"/>
          <w:iCs/>
        </w:rPr>
        <w:t xml:space="preserve"> (as described above), steps 3 and 4 were redundant given that this item is only relevant to pre-natal testing</w:t>
      </w:r>
      <w:r w:rsidRPr="00A73FC7">
        <w:rPr>
          <w:rFonts w:eastAsia="Calibri" w:cs="Times New Roman"/>
          <w:iCs/>
        </w:rPr>
        <w:t>. ESC noted that the GGGG model assum</w:t>
      </w:r>
      <w:r>
        <w:rPr>
          <w:rFonts w:eastAsia="Calibri" w:cs="Times New Roman"/>
          <w:iCs/>
        </w:rPr>
        <w:t xml:space="preserve">ed both partners were </w:t>
      </w:r>
      <w:r w:rsidRPr="00A73FC7">
        <w:rPr>
          <w:rFonts w:eastAsia="Calibri" w:cs="Times New Roman"/>
          <w:iCs/>
        </w:rPr>
        <w:t xml:space="preserve">Ashkenazi Jewish with </w:t>
      </w:r>
      <w:r>
        <w:rPr>
          <w:rFonts w:eastAsia="Calibri" w:cs="Times New Roman"/>
          <w:iCs/>
        </w:rPr>
        <w:t xml:space="preserve">only </w:t>
      </w:r>
      <w:r w:rsidRPr="00A73FC7">
        <w:rPr>
          <w:rFonts w:eastAsia="Calibri" w:cs="Times New Roman"/>
          <w:iCs/>
        </w:rPr>
        <w:t>one partner assumed to be a known carrier (</w:t>
      </w:r>
      <w:r>
        <w:rPr>
          <w:rFonts w:eastAsia="Calibri" w:cs="Times New Roman"/>
          <w:iCs/>
        </w:rPr>
        <w:t xml:space="preserve">but </w:t>
      </w:r>
      <w:r w:rsidRPr="00A73FC7">
        <w:rPr>
          <w:rFonts w:eastAsia="Calibri" w:cs="Times New Roman"/>
          <w:iCs/>
        </w:rPr>
        <w:t>not diagnosed with the condition) and the other a</w:t>
      </w:r>
      <w:r>
        <w:rPr>
          <w:rFonts w:eastAsia="Calibri" w:cs="Times New Roman"/>
          <w:iCs/>
        </w:rPr>
        <w:t>t</w:t>
      </w:r>
      <w:r w:rsidRPr="00A73FC7">
        <w:rPr>
          <w:rFonts w:eastAsia="Calibri" w:cs="Times New Roman"/>
          <w:iCs/>
        </w:rPr>
        <w:t xml:space="preserve"> high risk due to Ashkenazi Jewish ancestry. </w:t>
      </w:r>
    </w:p>
    <w:p w14:paraId="2674D4EE" w14:textId="1CCDF1C7" w:rsidR="00E96E47" w:rsidRPr="00A73FC7" w:rsidRDefault="00E96E47" w:rsidP="00E96E47">
      <w:pPr>
        <w:spacing w:after="240"/>
        <w:rPr>
          <w:rFonts w:eastAsia="Calibri" w:cs="Times New Roman"/>
          <w:iCs/>
        </w:rPr>
      </w:pPr>
      <w:r w:rsidRPr="00A73FC7">
        <w:rPr>
          <w:rFonts w:eastAsia="Calibri" w:cs="Times New Roman"/>
          <w:iCs/>
        </w:rPr>
        <w:lastRenderedPageBreak/>
        <w:t xml:space="preserve">ESC noted </w:t>
      </w:r>
      <w:r>
        <w:rPr>
          <w:rFonts w:eastAsia="Calibri" w:cs="Times New Roman"/>
          <w:iCs/>
        </w:rPr>
        <w:t xml:space="preserve">that the GGGG modelling had assigned a carrier risk of 0.5 to the second partner, though ESC considered that </w:t>
      </w:r>
      <w:proofErr w:type="spellStart"/>
      <w:r>
        <w:rPr>
          <w:rFonts w:eastAsia="Calibri" w:cs="Times New Roman"/>
          <w:iCs/>
        </w:rPr>
        <w:t>fetal</w:t>
      </w:r>
      <w:proofErr w:type="spellEnd"/>
      <w:r>
        <w:rPr>
          <w:rFonts w:eastAsia="Calibri" w:cs="Times New Roman"/>
          <w:iCs/>
        </w:rPr>
        <w:t xml:space="preserve"> testing would only be conducted where both parents (AR) or the mother (XL) are already known carriers. ESC noted the rejoinder’s modelling for GGGG found that use of this item resulted in incremental costs that were positive and there an increase in the number of affected individuals relative to the two comparators, which would imply that this item was dominated by both comparators. ESC noted the rejoinder’s results showed GGGG was also dominated when lifetime costs were </w:t>
      </w:r>
      <w:proofErr w:type="gramStart"/>
      <w:r>
        <w:rPr>
          <w:rFonts w:eastAsia="Calibri" w:cs="Times New Roman"/>
          <w:iCs/>
        </w:rPr>
        <w:t>taken into account</w:t>
      </w:r>
      <w:proofErr w:type="gramEnd"/>
      <w:r w:rsidRPr="00A73FC7">
        <w:rPr>
          <w:rFonts w:eastAsia="Calibri" w:cs="Times New Roman"/>
          <w:iCs/>
        </w:rPr>
        <w:t xml:space="preserve">. </w:t>
      </w:r>
      <w:r>
        <w:rPr>
          <w:rFonts w:eastAsia="Calibri" w:cs="Times New Roman"/>
          <w:iCs/>
        </w:rPr>
        <w:t>ESC noted that only a limited time was available to it to evaluate the analysis for item GGGG as it arrived. Post-ESC it was noted that some of the results of the GGGG analysis and the assumptions on probabilities underlying the analysis merited further investigation. The HTA group provided a post-ESC addendum with updates to the combined model with GGGG, which ESC considered to be useful though the updates do not appear to change any of the conclusions of the model.</w:t>
      </w:r>
    </w:p>
    <w:p w14:paraId="6B197A96" w14:textId="0EEC7DFB" w:rsidR="00E96E47" w:rsidRDefault="00E96E47" w:rsidP="00E96E47">
      <w:pPr>
        <w:spacing w:after="240"/>
      </w:pPr>
      <w:r w:rsidRPr="00A73FC7">
        <w:rPr>
          <w:rFonts w:eastAsia="Calibri" w:cs="Times New Roman"/>
          <w:iCs/>
        </w:rPr>
        <w:t xml:space="preserve">ESC noted that testing in the </w:t>
      </w:r>
      <w:r w:rsidR="00EB445A">
        <w:rPr>
          <w:rFonts w:eastAsia="Calibri" w:cs="Times New Roman"/>
          <w:iCs/>
        </w:rPr>
        <w:t>preconception</w:t>
      </w:r>
      <w:r w:rsidRPr="00A73FC7">
        <w:rPr>
          <w:rFonts w:eastAsia="Calibri" w:cs="Times New Roman"/>
          <w:iCs/>
        </w:rPr>
        <w:t xml:space="preserve"> stage </w:t>
      </w:r>
      <w:r>
        <w:rPr>
          <w:rFonts w:eastAsia="Calibri" w:cs="Times New Roman"/>
          <w:iCs/>
        </w:rPr>
        <w:t xml:space="preserve">was more cost-effective (in the sense of resulting in a lower ICER per averted birth) </w:t>
      </w:r>
      <w:r w:rsidRPr="00A73FC7">
        <w:rPr>
          <w:rFonts w:eastAsia="Calibri" w:cs="Times New Roman"/>
          <w:iCs/>
        </w:rPr>
        <w:t xml:space="preserve">than </w:t>
      </w:r>
      <w:r>
        <w:rPr>
          <w:rFonts w:eastAsia="Calibri" w:cs="Times New Roman"/>
          <w:iCs/>
        </w:rPr>
        <w:t xml:space="preserve">pre-natal </w:t>
      </w:r>
      <w:r w:rsidRPr="00A73FC7">
        <w:rPr>
          <w:rFonts w:eastAsia="Calibri" w:cs="Times New Roman"/>
          <w:iCs/>
        </w:rPr>
        <w:t xml:space="preserve">testing (notably for TSD). </w:t>
      </w:r>
      <w:r>
        <w:rPr>
          <w:rFonts w:eastAsia="Calibri" w:cs="Times New Roman"/>
          <w:iCs/>
        </w:rPr>
        <w:t xml:space="preserve">For instance, the ICER for incremental cost per TSD birth averted was $1.93 for </w:t>
      </w:r>
      <w:r w:rsidR="00EB445A">
        <w:rPr>
          <w:rFonts w:eastAsia="Calibri" w:cs="Times New Roman"/>
          <w:iCs/>
        </w:rPr>
        <w:t>preconception</w:t>
      </w:r>
      <w:r>
        <w:rPr>
          <w:rFonts w:eastAsia="Calibri" w:cs="Times New Roman"/>
          <w:iCs/>
        </w:rPr>
        <w:t xml:space="preserve"> testing and $80.17 for pre-natal testing. </w:t>
      </w:r>
      <w:proofErr w:type="gramStart"/>
      <w:r>
        <w:rPr>
          <w:rFonts w:eastAsia="Calibri" w:cs="Times New Roman"/>
          <w:iCs/>
        </w:rPr>
        <w:t>Thus</w:t>
      </w:r>
      <w:proofErr w:type="gramEnd"/>
      <w:r>
        <w:rPr>
          <w:rFonts w:eastAsia="Calibri" w:cs="Times New Roman"/>
          <w:iCs/>
        </w:rPr>
        <w:t xml:space="preserve"> ESC considered the </w:t>
      </w:r>
      <w:r w:rsidRPr="00A73FC7">
        <w:rPr>
          <w:rFonts w:eastAsia="Calibri" w:cs="Times New Roman"/>
          <w:iCs/>
        </w:rPr>
        <w:t xml:space="preserve">proportion of </w:t>
      </w:r>
      <w:r w:rsidR="00EB445A">
        <w:rPr>
          <w:rFonts w:eastAsia="Calibri" w:cs="Times New Roman"/>
          <w:iCs/>
        </w:rPr>
        <w:t>preconception</w:t>
      </w:r>
      <w:r>
        <w:rPr>
          <w:rFonts w:eastAsia="Calibri" w:cs="Times New Roman"/>
          <w:iCs/>
        </w:rPr>
        <w:t xml:space="preserve"> vs pre-natal </w:t>
      </w:r>
      <w:r w:rsidRPr="00A73FC7">
        <w:rPr>
          <w:rFonts w:eastAsia="Calibri" w:cs="Times New Roman"/>
          <w:iCs/>
        </w:rPr>
        <w:t>testing (</w:t>
      </w:r>
      <w:r>
        <w:rPr>
          <w:rFonts w:eastAsia="Calibri" w:cs="Times New Roman"/>
          <w:iCs/>
        </w:rPr>
        <w:t xml:space="preserve">base case: </w:t>
      </w:r>
      <w:r w:rsidRPr="00A73FC7">
        <w:rPr>
          <w:rFonts w:eastAsia="Calibri" w:cs="Times New Roman"/>
          <w:iCs/>
        </w:rPr>
        <w:t>2</w:t>
      </w:r>
      <w:r>
        <w:rPr>
          <w:rFonts w:eastAsia="Calibri" w:cs="Times New Roman"/>
          <w:iCs/>
        </w:rPr>
        <w:t>0%</w:t>
      </w:r>
      <w:r w:rsidRPr="00A73FC7">
        <w:rPr>
          <w:rFonts w:eastAsia="Calibri" w:cs="Times New Roman"/>
          <w:iCs/>
        </w:rPr>
        <w:t xml:space="preserve"> vs 8</w:t>
      </w:r>
      <w:r>
        <w:rPr>
          <w:rFonts w:eastAsia="Calibri" w:cs="Times New Roman"/>
          <w:iCs/>
        </w:rPr>
        <w:t>0%</w:t>
      </w:r>
      <w:r w:rsidRPr="00A73FC7">
        <w:rPr>
          <w:rFonts w:eastAsia="Calibri" w:cs="Times New Roman"/>
          <w:iCs/>
        </w:rPr>
        <w:t xml:space="preserve">) may be an additional driver </w:t>
      </w:r>
      <w:r>
        <w:rPr>
          <w:rFonts w:eastAsia="Calibri" w:cs="Times New Roman"/>
          <w:iCs/>
        </w:rPr>
        <w:t>of cost-effectiveness that had been insufficiently explored</w:t>
      </w:r>
      <w:r w:rsidRPr="00A73FC7">
        <w:rPr>
          <w:rFonts w:eastAsia="Calibri" w:cs="Times New Roman"/>
          <w:iCs/>
        </w:rPr>
        <w:t>.</w:t>
      </w:r>
      <w:r w:rsidRPr="00C46051">
        <w:t xml:space="preserve"> </w:t>
      </w:r>
      <w:r>
        <w:rPr>
          <w:rFonts w:eastAsia="Calibri" w:cs="Times New Roman"/>
          <w:iCs/>
        </w:rPr>
        <w:t xml:space="preserve">ESC noted that the addendum also provided sensitivity analyses exploring the effect of varying this ratio on the economic and financial analyses. ESC noted that the addendum’s analyses showed that as the proportion of </w:t>
      </w:r>
      <w:r w:rsidR="00EB445A">
        <w:rPr>
          <w:rFonts w:eastAsia="Calibri" w:cs="Times New Roman"/>
          <w:iCs/>
        </w:rPr>
        <w:t>preconception</w:t>
      </w:r>
      <w:r>
        <w:rPr>
          <w:rFonts w:eastAsia="Calibri" w:cs="Times New Roman"/>
          <w:iCs/>
        </w:rPr>
        <w:t xml:space="preserve"> testing increases, the cost-effectiveness increases, as does the financial impact to the healthcare budget. ESC considered that this is an important sensitivity analysis as it shows efficiency gains can be made by increasing the proportion of </w:t>
      </w:r>
      <w:r w:rsidR="00EB445A">
        <w:rPr>
          <w:rFonts w:eastAsia="Calibri" w:cs="Times New Roman"/>
          <w:iCs/>
        </w:rPr>
        <w:t>preconception</w:t>
      </w:r>
      <w:r>
        <w:rPr>
          <w:rFonts w:eastAsia="Calibri" w:cs="Times New Roman"/>
          <w:iCs/>
        </w:rPr>
        <w:t xml:space="preserve"> testing. ESC also noted that quality of life was not considered in this assessment as it was in previous assessments, so considered the benefits of testing earlier may have been underestimated.</w:t>
      </w:r>
    </w:p>
    <w:p w14:paraId="4B80BB50" w14:textId="77777777" w:rsidR="00E96E47" w:rsidRDefault="00E96E47" w:rsidP="00E96E47">
      <w:pPr>
        <w:spacing w:after="240"/>
      </w:pPr>
      <w:r>
        <w:t xml:space="preserve">ESC noted the applicant’s pre-ESC comment that between </w:t>
      </w:r>
      <w:r w:rsidRPr="00B1126B">
        <w:t>50</w:t>
      </w:r>
      <w:r>
        <w:t>%</w:t>
      </w:r>
      <w:r w:rsidRPr="00B1126B">
        <w:t xml:space="preserve">-70% of Jewish high school students in Sydney and Melbourne attend schools that </w:t>
      </w:r>
      <w:r>
        <w:t>offer</w:t>
      </w:r>
      <w:r w:rsidRPr="00B1126B">
        <w:t xml:space="preserve"> genetic carrier </w:t>
      </w:r>
      <w:r>
        <w:t xml:space="preserve">testing for TSD, where the reported testing uptake within multi-disease Ashkenazi Jewish testing programs is high, </w:t>
      </w:r>
      <w:r w:rsidRPr="00B1126B">
        <w:t>up to 99</w:t>
      </w:r>
      <w:r>
        <w:t>%</w:t>
      </w:r>
      <w:r>
        <w:rPr>
          <w:rStyle w:val="FootnoteReference"/>
        </w:rPr>
        <w:footnoteReference w:id="22"/>
      </w:r>
      <w:r>
        <w:t xml:space="preserve"> – and that this is approximately three times higher than the uptake rate in the DCAR’s financial analyses. ESC considered the estimated uptake may be too low, though noted the rejoinder’s results showing that </w:t>
      </w:r>
      <w:r w:rsidRPr="00B1126B">
        <w:t>adjusting the</w:t>
      </w:r>
      <w:r>
        <w:t xml:space="preserve"> uptake</w:t>
      </w:r>
      <w:r w:rsidRPr="00B1126B">
        <w:t xml:space="preserve"> rate by 10% results in a maximum 26% change in the</w:t>
      </w:r>
      <w:r>
        <w:t xml:space="preserve"> total financial costs of listing.</w:t>
      </w:r>
    </w:p>
    <w:p w14:paraId="249EB86B" w14:textId="77777777" w:rsidR="00E96E47" w:rsidRDefault="00E96E47" w:rsidP="00E96E47">
      <w:pPr>
        <w:spacing w:after="240"/>
        <w:rPr>
          <w:rFonts w:eastAsia="Calibri" w:cs="Times New Roman"/>
          <w:iCs/>
        </w:rPr>
      </w:pPr>
      <w:r w:rsidRPr="00A73FC7">
        <w:rPr>
          <w:rFonts w:eastAsia="Calibri" w:cs="Times New Roman"/>
          <w:iCs/>
        </w:rPr>
        <w:t xml:space="preserve">ESC noted that the financial </w:t>
      </w:r>
      <w:r>
        <w:rPr>
          <w:rFonts w:eastAsia="Calibri" w:cs="Times New Roman"/>
          <w:iCs/>
        </w:rPr>
        <w:t>modelling</w:t>
      </w:r>
      <w:r w:rsidRPr="00A73FC7">
        <w:rPr>
          <w:rFonts w:eastAsia="Calibri" w:cs="Times New Roman"/>
          <w:iCs/>
        </w:rPr>
        <w:t xml:space="preserve"> used an epidemiological approach</w:t>
      </w:r>
      <w:r>
        <w:rPr>
          <w:rFonts w:eastAsia="Calibri" w:cs="Times New Roman"/>
          <w:iCs/>
        </w:rPr>
        <w:t xml:space="preserve"> to estimate utilisation</w:t>
      </w:r>
      <w:r w:rsidRPr="00A73FC7">
        <w:rPr>
          <w:rFonts w:eastAsia="Calibri" w:cs="Times New Roman"/>
          <w:iCs/>
        </w:rPr>
        <w:t xml:space="preserve">. The annual cost to the MBS for the testing was calculated to be $175,598 in year 1, decreasing to $158,522 by year 6. ESC also noted additional costs to the MBS each year of about $223,058 due to increased use of chorionic villus sampling testing/amniocentesis, genetic </w:t>
      </w:r>
      <w:proofErr w:type="gramStart"/>
      <w:r w:rsidRPr="00A73FC7">
        <w:rPr>
          <w:rFonts w:eastAsia="Calibri" w:cs="Times New Roman"/>
          <w:iCs/>
        </w:rPr>
        <w:t>counselling</w:t>
      </w:r>
      <w:proofErr w:type="gramEnd"/>
      <w:r w:rsidRPr="00A73FC7">
        <w:rPr>
          <w:rFonts w:eastAsia="Calibri" w:cs="Times New Roman"/>
          <w:iCs/>
        </w:rPr>
        <w:t xml:space="preserve"> and IVF plus pre-implantation genetic diagnosis (which is a significant cost of about $44,000 per year). However, ESC noted that if there is a decrease in the number of affected births, this results in a decrease in MBS costs associated with treatment concerning the nine monogenic conditions. </w:t>
      </w:r>
      <w:r>
        <w:rPr>
          <w:rFonts w:eastAsia="Calibri" w:cs="Times New Roman"/>
          <w:iCs/>
        </w:rPr>
        <w:t xml:space="preserve">ESC noted that </w:t>
      </w:r>
      <w:r w:rsidRPr="00A73FC7">
        <w:rPr>
          <w:rFonts w:eastAsia="Calibri" w:cs="Times New Roman"/>
          <w:iCs/>
        </w:rPr>
        <w:t xml:space="preserve">the overall budget impact to the healthcare system is </w:t>
      </w:r>
      <w:r>
        <w:rPr>
          <w:rFonts w:eastAsia="Calibri" w:cs="Times New Roman"/>
          <w:iCs/>
        </w:rPr>
        <w:t xml:space="preserve">estimated </w:t>
      </w:r>
      <w:r w:rsidRPr="00A73FC7">
        <w:rPr>
          <w:rFonts w:eastAsia="Calibri" w:cs="Times New Roman"/>
          <w:iCs/>
        </w:rPr>
        <w:t>to be from $229,109 in year 1 to $206,793 by year 6.</w:t>
      </w:r>
      <w:r>
        <w:rPr>
          <w:rFonts w:eastAsia="Calibri" w:cs="Times New Roman"/>
          <w:iCs/>
        </w:rPr>
        <w:t xml:space="preserve"> ESC considered this to be low.</w:t>
      </w:r>
    </w:p>
    <w:p w14:paraId="781597DE" w14:textId="77777777" w:rsidR="00E96E47" w:rsidRPr="00A73FC7" w:rsidRDefault="00E96E47" w:rsidP="00E96E47">
      <w:pPr>
        <w:spacing w:after="240"/>
        <w:rPr>
          <w:rFonts w:eastAsia="Calibri" w:cs="Times New Roman"/>
          <w:iCs/>
        </w:rPr>
      </w:pPr>
      <w:r>
        <w:rPr>
          <w:rFonts w:eastAsia="Calibri" w:cs="Times New Roman"/>
          <w:iCs/>
        </w:rPr>
        <w:t xml:space="preserve">ESC noted </w:t>
      </w:r>
      <w:r w:rsidRPr="007D1B14">
        <w:rPr>
          <w:rFonts w:eastAsia="Calibri" w:cs="Times New Roman"/>
          <w:iCs/>
        </w:rPr>
        <w:t>some errors</w:t>
      </w:r>
      <w:r>
        <w:rPr>
          <w:rFonts w:eastAsia="Calibri" w:cs="Times New Roman"/>
          <w:iCs/>
        </w:rPr>
        <w:t xml:space="preserve"> in the financials, </w:t>
      </w:r>
      <w:r w:rsidRPr="007D1B14">
        <w:rPr>
          <w:rFonts w:eastAsia="Calibri" w:cs="Times New Roman"/>
          <w:iCs/>
        </w:rPr>
        <w:t xml:space="preserve">which </w:t>
      </w:r>
      <w:r>
        <w:rPr>
          <w:rFonts w:eastAsia="Calibri" w:cs="Times New Roman"/>
          <w:iCs/>
        </w:rPr>
        <w:t xml:space="preserve">it considered </w:t>
      </w:r>
      <w:r w:rsidRPr="007D1B14">
        <w:rPr>
          <w:rFonts w:eastAsia="Calibri" w:cs="Times New Roman"/>
          <w:iCs/>
        </w:rPr>
        <w:t xml:space="preserve">will </w:t>
      </w:r>
      <w:r>
        <w:rPr>
          <w:rFonts w:eastAsia="Calibri" w:cs="Times New Roman"/>
          <w:iCs/>
        </w:rPr>
        <w:t xml:space="preserve">lead to an </w:t>
      </w:r>
      <w:r w:rsidRPr="007D1B14">
        <w:rPr>
          <w:rFonts w:eastAsia="Calibri" w:cs="Times New Roman"/>
          <w:iCs/>
        </w:rPr>
        <w:t xml:space="preserve">underestimate </w:t>
      </w:r>
      <w:r>
        <w:rPr>
          <w:rFonts w:eastAsia="Calibri" w:cs="Times New Roman"/>
          <w:iCs/>
        </w:rPr>
        <w:t xml:space="preserve">of the </w:t>
      </w:r>
      <w:r w:rsidRPr="007D1B14">
        <w:rPr>
          <w:rFonts w:eastAsia="Calibri" w:cs="Times New Roman"/>
          <w:iCs/>
        </w:rPr>
        <w:t>financial</w:t>
      </w:r>
      <w:r>
        <w:rPr>
          <w:rFonts w:eastAsia="Calibri" w:cs="Times New Roman"/>
          <w:iCs/>
        </w:rPr>
        <w:t xml:space="preserve"> costs of carrier testing. </w:t>
      </w:r>
    </w:p>
    <w:p w14:paraId="6F7005EC" w14:textId="77777777" w:rsidR="00E96E47" w:rsidRDefault="00E96E47" w:rsidP="00E96E47">
      <w:pPr>
        <w:spacing w:after="240"/>
        <w:rPr>
          <w:rFonts w:eastAsia="Calibri" w:cs="Times New Roman"/>
          <w:iCs/>
        </w:rPr>
      </w:pPr>
      <w:r w:rsidRPr="00A73FC7">
        <w:rPr>
          <w:rFonts w:eastAsia="Calibri" w:cs="Times New Roman"/>
          <w:iCs/>
        </w:rPr>
        <w:lastRenderedPageBreak/>
        <w:t xml:space="preserve">ESC noted </w:t>
      </w:r>
      <w:r>
        <w:rPr>
          <w:rFonts w:eastAsia="Calibri" w:cs="Times New Roman"/>
          <w:iCs/>
        </w:rPr>
        <w:t xml:space="preserve">NPAAC’s advice </w:t>
      </w:r>
      <w:r w:rsidRPr="00A73FC7">
        <w:rPr>
          <w:rFonts w:eastAsia="Calibri" w:cs="Times New Roman"/>
          <w:iCs/>
        </w:rPr>
        <w:t xml:space="preserve">that there is no </w:t>
      </w:r>
      <w:r>
        <w:rPr>
          <w:rFonts w:eastAsia="Calibri" w:cs="Times New Roman"/>
          <w:iCs/>
        </w:rPr>
        <w:t xml:space="preserve">specific </w:t>
      </w:r>
      <w:r w:rsidRPr="00A73FC7">
        <w:rPr>
          <w:rFonts w:eastAsia="Calibri" w:cs="Times New Roman"/>
          <w:iCs/>
        </w:rPr>
        <w:t xml:space="preserve">existing External Quality Assurance (EQA) program </w:t>
      </w:r>
      <w:r>
        <w:rPr>
          <w:rFonts w:eastAsia="Calibri" w:cs="Times New Roman"/>
          <w:iCs/>
        </w:rPr>
        <w:t>for</w:t>
      </w:r>
      <w:r w:rsidRPr="00A73FC7">
        <w:rPr>
          <w:rFonts w:eastAsia="Calibri" w:cs="Times New Roman"/>
          <w:iCs/>
        </w:rPr>
        <w:t xml:space="preserve"> </w:t>
      </w:r>
      <w:r>
        <w:rPr>
          <w:rFonts w:eastAsia="Calibri" w:cs="Times New Roman"/>
          <w:iCs/>
        </w:rPr>
        <w:t>this</w:t>
      </w:r>
      <w:r w:rsidRPr="00A73FC7">
        <w:rPr>
          <w:rFonts w:eastAsia="Calibri" w:cs="Times New Roman"/>
          <w:iCs/>
        </w:rPr>
        <w:t xml:space="preserve"> gene panel</w:t>
      </w:r>
      <w:r>
        <w:rPr>
          <w:rFonts w:eastAsia="Calibri" w:cs="Times New Roman"/>
          <w:iCs/>
        </w:rPr>
        <w:t xml:space="preserve"> in Australia or internationally</w:t>
      </w:r>
      <w:r w:rsidRPr="00A73FC7">
        <w:rPr>
          <w:rFonts w:eastAsia="Calibri" w:cs="Times New Roman"/>
          <w:iCs/>
        </w:rPr>
        <w:t xml:space="preserve">, though </w:t>
      </w:r>
      <w:r>
        <w:rPr>
          <w:rFonts w:eastAsia="Calibri" w:cs="Times New Roman"/>
          <w:iCs/>
        </w:rPr>
        <w:t>an alternative would be to use</w:t>
      </w:r>
      <w:r w:rsidRPr="00A73FC7">
        <w:rPr>
          <w:rFonts w:eastAsia="Calibri" w:cs="Times New Roman"/>
          <w:iCs/>
        </w:rPr>
        <w:t xml:space="preserve"> </w:t>
      </w:r>
      <w:r>
        <w:rPr>
          <w:rFonts w:eastAsia="Calibri" w:cs="Times New Roman"/>
          <w:iCs/>
        </w:rPr>
        <w:t xml:space="preserve">existing </w:t>
      </w:r>
      <w:r w:rsidRPr="00A73FC7">
        <w:rPr>
          <w:rFonts w:eastAsia="Calibri" w:cs="Times New Roman"/>
          <w:iCs/>
        </w:rPr>
        <w:t xml:space="preserve">EQA </w:t>
      </w:r>
      <w:r>
        <w:rPr>
          <w:rFonts w:eastAsia="Calibri" w:cs="Times New Roman"/>
          <w:iCs/>
        </w:rPr>
        <w:t>programs for</w:t>
      </w:r>
      <w:r w:rsidRPr="00A73FC7">
        <w:rPr>
          <w:rFonts w:eastAsia="Calibri" w:cs="Times New Roman"/>
          <w:iCs/>
        </w:rPr>
        <w:t xml:space="preserve"> </w:t>
      </w:r>
      <w:r>
        <w:rPr>
          <w:rFonts w:eastAsia="Calibri" w:cs="Times New Roman"/>
          <w:iCs/>
        </w:rPr>
        <w:t xml:space="preserve">single genes, and/or </w:t>
      </w:r>
      <w:r w:rsidRPr="00A73FC7">
        <w:rPr>
          <w:rFonts w:eastAsia="Calibri" w:cs="Times New Roman"/>
          <w:iCs/>
        </w:rPr>
        <w:t>inter-laboratory sample exchanges. All testing should be conducted in National Association of Testing Authorities (NATA)-accredited laboratories and by appropriately qualified personnel.</w:t>
      </w:r>
    </w:p>
    <w:p w14:paraId="37A02CB1" w14:textId="77777777" w:rsidR="00E96E47" w:rsidRDefault="00E96E47" w:rsidP="00E96E47">
      <w:pPr>
        <w:spacing w:after="120"/>
      </w:pPr>
      <w:r>
        <w:rPr>
          <w:rFonts w:eastAsia="Calibri" w:cs="Times New Roman"/>
        </w:rPr>
        <w:t xml:space="preserve">ESC noted that </w:t>
      </w:r>
      <w:r>
        <w:t>public funding of the proposed services</w:t>
      </w:r>
      <w:r w:rsidRPr="003648F8">
        <w:t xml:space="preserve"> </w:t>
      </w:r>
      <w:r>
        <w:t>may contribute to increasing stigma for those living with genetic conditions included in the proposed panel testing. It noted that it may complicate or prevent efforts to change societal perceptions and improve the lived experience of those with such conditions under the social model of disability.</w:t>
      </w:r>
    </w:p>
    <w:p w14:paraId="16DF42D1" w14:textId="77777777" w:rsidR="00E96E47" w:rsidRPr="00A73FC7" w:rsidRDefault="00E96E47" w:rsidP="0052029F">
      <w:pPr>
        <w:spacing w:before="240" w:after="240"/>
        <w:rPr>
          <w:rFonts w:eastAsia="Calibri" w:cs="Times New Roman"/>
          <w:iCs/>
        </w:rPr>
      </w:pPr>
      <w:r>
        <w:rPr>
          <w:rFonts w:eastAsia="Calibri" w:cs="Times New Roman"/>
        </w:rPr>
        <w:t>ESC noted that A</w:t>
      </w:r>
      <w:r w:rsidRPr="00A73FC7">
        <w:rPr>
          <w:rFonts w:eastAsia="Calibri" w:cs="Times New Roman"/>
        </w:rPr>
        <w:t xml:space="preserve">pplication </w:t>
      </w:r>
      <w:r>
        <w:rPr>
          <w:rFonts w:eastAsia="Calibri" w:cs="Times New Roman"/>
        </w:rPr>
        <w:t xml:space="preserve">1637 – </w:t>
      </w:r>
      <w:r w:rsidRPr="00975E13">
        <w:rPr>
          <w:rFonts w:eastAsia="Calibri" w:cs="Times New Roman"/>
        </w:rPr>
        <w:t xml:space="preserve">Expanded Reproductive Carrier </w:t>
      </w:r>
      <w:r>
        <w:rPr>
          <w:rFonts w:eastAsia="Calibri" w:cs="Times New Roman"/>
        </w:rPr>
        <w:t>Testing</w:t>
      </w:r>
      <w:r w:rsidRPr="00975E13">
        <w:rPr>
          <w:rFonts w:eastAsia="Calibri" w:cs="Times New Roman"/>
        </w:rPr>
        <w:t xml:space="preserve"> of couples for joint carrier status of genes associated with autosomal recessive and X-linked conditions</w:t>
      </w:r>
      <w:r>
        <w:rPr>
          <w:rFonts w:eastAsia="Calibri" w:cs="Times New Roman"/>
        </w:rPr>
        <w:t xml:space="preserve"> (Mackenzie’s Mission) – is </w:t>
      </w:r>
      <w:r w:rsidRPr="00A73FC7">
        <w:rPr>
          <w:rFonts w:eastAsia="Calibri" w:cs="Times New Roman"/>
        </w:rPr>
        <w:t>concurrently being considered by MSAC</w:t>
      </w:r>
      <w:r>
        <w:rPr>
          <w:rFonts w:eastAsia="Calibri" w:cs="Times New Roman"/>
        </w:rPr>
        <w:t xml:space="preserve"> and that Application 1573 - </w:t>
      </w:r>
      <w:r w:rsidRPr="00FC64E3">
        <w:rPr>
          <w:rFonts w:eastAsia="Calibri" w:cs="Times New Roman"/>
        </w:rPr>
        <w:t xml:space="preserve">Reproductive carrier screening for </w:t>
      </w:r>
      <w:r>
        <w:rPr>
          <w:rFonts w:eastAsia="Calibri" w:cs="Times New Roman"/>
        </w:rPr>
        <w:t xml:space="preserve">CF, SMA and FXS – </w:t>
      </w:r>
      <w:r>
        <w:t>will</w:t>
      </w:r>
      <w:r w:rsidRPr="006976A1">
        <w:t xml:space="preserve"> be introduced </w:t>
      </w:r>
      <w:r>
        <w:t xml:space="preserve">onto the MBS on </w:t>
      </w:r>
      <w:r w:rsidRPr="006976A1">
        <w:t>1</w:t>
      </w:r>
      <w:r>
        <w:t> </w:t>
      </w:r>
      <w:r w:rsidRPr="006976A1">
        <w:t>November 2023</w:t>
      </w:r>
      <w:r>
        <w:t xml:space="preserve">. </w:t>
      </w:r>
      <w:r>
        <w:rPr>
          <w:rFonts w:eastAsia="Calibri" w:cs="Times New Roman"/>
        </w:rPr>
        <w:t>ESC considered that this application should be considered in relation to Applications 1637 and 1573.</w:t>
      </w:r>
    </w:p>
    <w:p w14:paraId="49302CE2" w14:textId="77777777" w:rsidR="00F309FA" w:rsidRDefault="00F309FA" w:rsidP="00F309FA">
      <w:pPr>
        <w:pStyle w:val="Heading2"/>
        <w:numPr>
          <w:ilvl w:val="0"/>
          <w:numId w:val="0"/>
        </w:numPr>
      </w:pPr>
      <w:r>
        <w:t>17.</w:t>
      </w:r>
      <w:r>
        <w:tab/>
        <w:t>Applicant comments on MSAC’s Public Summary Document</w:t>
      </w:r>
    </w:p>
    <w:p w14:paraId="30CAC1F1" w14:textId="6113B910" w:rsidR="00A71BC6" w:rsidRDefault="008B4E22" w:rsidP="008B4E22">
      <w:r w:rsidRPr="008B4E22">
        <w:t xml:space="preserve">The College’s Working Party would like to express their delight in MSAC approving public funding targeted reproductive carrier testing for these severe monogenic </w:t>
      </w:r>
      <w:proofErr w:type="gramStart"/>
      <w:r w:rsidRPr="008B4E22">
        <w:t>conditions, and</w:t>
      </w:r>
      <w:proofErr w:type="gramEnd"/>
      <w:r w:rsidRPr="008B4E22">
        <w:t xml:space="preserve"> would like to take this opportunity to thank the Department for its assistance throughout the assessment process.</w:t>
      </w:r>
    </w:p>
    <w:p w14:paraId="475402B2" w14:textId="77777777" w:rsidR="00F309FA" w:rsidRDefault="00F309FA" w:rsidP="00F309FA">
      <w:pPr>
        <w:pStyle w:val="Heading2"/>
        <w:numPr>
          <w:ilvl w:val="0"/>
          <w:numId w:val="0"/>
        </w:numPr>
      </w:pPr>
      <w:r>
        <w:t>18.</w:t>
      </w:r>
      <w:r>
        <w:tab/>
        <w:t>Further information on MSAC</w:t>
      </w:r>
    </w:p>
    <w:p w14:paraId="0D4B3D46" w14:textId="6B64E33C" w:rsidR="00E96E47" w:rsidRPr="00F309FA" w:rsidRDefault="00F309FA" w:rsidP="00F309FA">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10" w:tooltip="Link to the MSAC website" w:history="1">
        <w:r w:rsidRPr="00F309FA">
          <w:rPr>
            <w:rStyle w:val="Hyperlink"/>
            <w:rFonts w:ascii="Franklin Gothic Book" w:hAnsi="Franklin Gothic Book"/>
            <w:b w:val="0"/>
            <w:bCs/>
            <w:i w:val="0"/>
            <w:iCs/>
            <w:sz w:val="22"/>
          </w:rPr>
          <w:t>visit the MSAC website</w:t>
        </w:r>
      </w:hyperlink>
    </w:p>
    <w:sectPr w:rsidR="00E96E47" w:rsidRPr="00F309FA" w:rsidSect="00D40D17">
      <w:footerReference w:type="default" r:id="rId11"/>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B56B" w14:textId="77777777" w:rsidR="007E4E58" w:rsidRDefault="007E4E58" w:rsidP="00B62DF2">
      <w:pPr>
        <w:spacing w:after="0" w:line="240" w:lineRule="auto"/>
      </w:pPr>
      <w:r>
        <w:separator/>
      </w:r>
    </w:p>
  </w:endnote>
  <w:endnote w:type="continuationSeparator" w:id="0">
    <w:p w14:paraId="29B3B358" w14:textId="77777777" w:rsidR="007E4E58" w:rsidRDefault="007E4E58" w:rsidP="00B62DF2">
      <w:pPr>
        <w:spacing w:after="0" w:line="240" w:lineRule="auto"/>
      </w:pPr>
      <w:r>
        <w:continuationSeparator/>
      </w:r>
    </w:p>
  </w:endnote>
  <w:endnote w:type="continuationNotice" w:id="1">
    <w:p w14:paraId="45052017" w14:textId="77777777" w:rsidR="007E4E58" w:rsidRDefault="007E4E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6161"/>
      <w:docPartObj>
        <w:docPartGallery w:val="Page Numbers (Bottom of Page)"/>
        <w:docPartUnique/>
      </w:docPartObj>
    </w:sdtPr>
    <w:sdtEndPr>
      <w:rPr>
        <w:noProof/>
      </w:rPr>
    </w:sdtEndPr>
    <w:sdtContent>
      <w:p w14:paraId="5AB092FD" w14:textId="03CB127F" w:rsidR="007D57B9" w:rsidRDefault="007D57B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CDE4D61" w14:textId="77777777" w:rsidR="007D57B9" w:rsidRDefault="007D5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96EA" w14:textId="77777777" w:rsidR="007E4E58" w:rsidRDefault="007E4E58" w:rsidP="00B62DF2">
      <w:pPr>
        <w:spacing w:after="0" w:line="240" w:lineRule="auto"/>
      </w:pPr>
      <w:r>
        <w:separator/>
      </w:r>
    </w:p>
  </w:footnote>
  <w:footnote w:type="continuationSeparator" w:id="0">
    <w:p w14:paraId="48A3524A" w14:textId="77777777" w:rsidR="007E4E58" w:rsidRDefault="007E4E58" w:rsidP="00B62DF2">
      <w:pPr>
        <w:spacing w:after="0" w:line="240" w:lineRule="auto"/>
      </w:pPr>
      <w:r>
        <w:continuationSeparator/>
      </w:r>
    </w:p>
  </w:footnote>
  <w:footnote w:type="continuationNotice" w:id="1">
    <w:p w14:paraId="4CB2C0AF" w14:textId="77777777" w:rsidR="007E4E58" w:rsidRDefault="007E4E58">
      <w:pPr>
        <w:spacing w:before="0" w:after="0" w:line="240" w:lineRule="auto"/>
      </w:pPr>
    </w:p>
  </w:footnote>
  <w:footnote w:id="2">
    <w:p w14:paraId="36027B16" w14:textId="08A83FFC" w:rsidR="007D57B9" w:rsidRDefault="007D57B9">
      <w:pPr>
        <w:pStyle w:val="FootnoteText"/>
      </w:pPr>
      <w:r>
        <w:rPr>
          <w:rStyle w:val="FootnoteReference"/>
        </w:rPr>
        <w:footnoteRef/>
      </w:r>
      <w:r>
        <w:t xml:space="preserve"> </w:t>
      </w:r>
      <w:r w:rsidRPr="00EB445A">
        <w:t>David Graham (2019). The Jewish Population of Australia – Key findings from the 2016 Census</w:t>
      </w:r>
      <w:r>
        <w:t xml:space="preserve">. Available at: </w:t>
      </w:r>
      <w:hyperlink r:id="rId1" w:history="1">
        <w:r w:rsidRPr="00260534">
          <w:rPr>
            <w:rStyle w:val="Hyperlink"/>
          </w:rPr>
          <w:t>https://jca.org.au/wp-content/uploads/2022/05/Graham-Narunsky-2019-Australia-2016-Census-Report.Final_.pdf</w:t>
        </w:r>
      </w:hyperlink>
      <w:r>
        <w:t xml:space="preserve"> </w:t>
      </w:r>
    </w:p>
  </w:footnote>
  <w:footnote w:id="3">
    <w:p w14:paraId="78D820D7" w14:textId="0A985294" w:rsidR="007D57B9" w:rsidRDefault="007D57B9" w:rsidP="006C2C3F">
      <w:pPr>
        <w:pStyle w:val="FootnoteText"/>
        <w:spacing w:before="0"/>
      </w:pPr>
      <w:r>
        <w:rPr>
          <w:rStyle w:val="FootnoteReference"/>
        </w:rPr>
        <w:footnoteRef/>
      </w:r>
      <w:r>
        <w:t xml:space="preserve"> </w:t>
      </w:r>
      <w:r w:rsidRPr="00973494">
        <w:t xml:space="preserve">Barlow-Stewart K, </w:t>
      </w:r>
      <w:r>
        <w:t>et al</w:t>
      </w:r>
      <w:r w:rsidRPr="00973494">
        <w:t xml:space="preserve">. (2003). A genetic screening programme for Tay-Sachs disease and cystic fibrosis for Australian Jewish high school students. </w:t>
      </w:r>
      <w:r w:rsidRPr="006C2C3F">
        <w:rPr>
          <w:i/>
          <w:iCs/>
        </w:rPr>
        <w:t>J Med Genet</w:t>
      </w:r>
      <w:r w:rsidRPr="00973494">
        <w:t xml:space="preserve">, </w:t>
      </w:r>
      <w:r w:rsidRPr="006C2C3F">
        <w:rPr>
          <w:b/>
          <w:bCs/>
        </w:rPr>
        <w:t>40</w:t>
      </w:r>
      <w:r w:rsidRPr="00973494">
        <w:t>(4), e45.</w:t>
      </w:r>
    </w:p>
  </w:footnote>
  <w:footnote w:id="4">
    <w:p w14:paraId="04207407" w14:textId="526BBF2E" w:rsidR="007D57B9" w:rsidRDefault="007D57B9" w:rsidP="006C2C3F">
      <w:pPr>
        <w:pStyle w:val="FootnoteText"/>
        <w:spacing w:before="0"/>
      </w:pPr>
      <w:r>
        <w:rPr>
          <w:rStyle w:val="FootnoteReference"/>
        </w:rPr>
        <w:footnoteRef/>
      </w:r>
      <w:r>
        <w:t xml:space="preserve"> </w:t>
      </w:r>
      <w:r w:rsidRPr="00973494">
        <w:t xml:space="preserve">Curd H, </w:t>
      </w:r>
      <w:r>
        <w:t>et al</w:t>
      </w:r>
      <w:r w:rsidRPr="00973494">
        <w:t>. (2014). High school Tay-Sachs disease carrier screening: 5 to 11-year follow-up</w:t>
      </w:r>
      <w:r w:rsidRPr="006C2C3F">
        <w:rPr>
          <w:i/>
          <w:iCs/>
        </w:rPr>
        <w:t>. J Community Genet</w:t>
      </w:r>
      <w:r w:rsidRPr="00973494">
        <w:t xml:space="preserve">, </w:t>
      </w:r>
      <w:r w:rsidRPr="006C2C3F">
        <w:rPr>
          <w:b/>
          <w:bCs/>
        </w:rPr>
        <w:t>5</w:t>
      </w:r>
      <w:r w:rsidRPr="00973494">
        <w:t>(2), 139-146</w:t>
      </w:r>
      <w:r>
        <w:t>.</w:t>
      </w:r>
    </w:p>
  </w:footnote>
  <w:footnote w:id="5">
    <w:p w14:paraId="08C82827" w14:textId="44063A33" w:rsidR="007D57B9" w:rsidRDefault="007D57B9" w:rsidP="006C2C3F">
      <w:pPr>
        <w:pStyle w:val="FootnoteText"/>
        <w:spacing w:before="0"/>
      </w:pPr>
      <w:r>
        <w:rPr>
          <w:rStyle w:val="FootnoteReference"/>
        </w:rPr>
        <w:footnoteRef/>
      </w:r>
      <w:r>
        <w:t xml:space="preserve"> </w:t>
      </w:r>
      <w:proofErr w:type="spellStart"/>
      <w:r>
        <w:t>I</w:t>
      </w:r>
      <w:r w:rsidRPr="00973494">
        <w:t>oannou</w:t>
      </w:r>
      <w:proofErr w:type="spellEnd"/>
      <w:r w:rsidRPr="00973494">
        <w:t xml:space="preserve"> L, </w:t>
      </w:r>
      <w:r>
        <w:t>et al</w:t>
      </w:r>
      <w:r w:rsidRPr="00973494">
        <w:t>. (2010). Evaluation of a multi-disease carrier screening programme in Ashkenazi Jewish high schools</w:t>
      </w:r>
      <w:r w:rsidRPr="006C2C3F">
        <w:rPr>
          <w:i/>
          <w:iCs/>
        </w:rPr>
        <w:t>. Clin Genet</w:t>
      </w:r>
      <w:r w:rsidRPr="00973494">
        <w:t xml:space="preserve">, </w:t>
      </w:r>
      <w:r w:rsidRPr="006C2C3F">
        <w:rPr>
          <w:b/>
          <w:bCs/>
        </w:rPr>
        <w:t>78</w:t>
      </w:r>
      <w:r w:rsidRPr="00973494">
        <w:t xml:space="preserve">(1), 21-31. </w:t>
      </w:r>
    </w:p>
  </w:footnote>
  <w:footnote w:id="6">
    <w:p w14:paraId="0618BA2D" w14:textId="5FBDAF38" w:rsidR="007D57B9" w:rsidRDefault="007D57B9" w:rsidP="006C2C3F">
      <w:pPr>
        <w:pStyle w:val="FootnoteText"/>
        <w:spacing w:before="0"/>
      </w:pPr>
      <w:r>
        <w:rPr>
          <w:rStyle w:val="FootnoteReference"/>
        </w:rPr>
        <w:footnoteRef/>
      </w:r>
      <w:r>
        <w:t xml:space="preserve"> </w:t>
      </w:r>
      <w:proofErr w:type="spellStart"/>
      <w:r w:rsidRPr="00973494">
        <w:t>Karatas</w:t>
      </w:r>
      <w:proofErr w:type="spellEnd"/>
      <w:r w:rsidRPr="00973494">
        <w:t xml:space="preserve"> JC, </w:t>
      </w:r>
      <w:r>
        <w:t>et al</w:t>
      </w:r>
      <w:r w:rsidRPr="00973494">
        <w:t xml:space="preserve">. (2010a). Psychological adjustment, knowledge and unmet information needs in women undergoing PGD. </w:t>
      </w:r>
      <w:r w:rsidRPr="006C2C3F">
        <w:rPr>
          <w:i/>
          <w:iCs/>
        </w:rPr>
        <w:t xml:space="preserve">Hum </w:t>
      </w:r>
      <w:proofErr w:type="spellStart"/>
      <w:r w:rsidRPr="006C2C3F">
        <w:rPr>
          <w:i/>
          <w:iCs/>
        </w:rPr>
        <w:t>Reprod</w:t>
      </w:r>
      <w:proofErr w:type="spellEnd"/>
      <w:r w:rsidRPr="00973494">
        <w:t xml:space="preserve">, </w:t>
      </w:r>
      <w:r w:rsidRPr="006C2C3F">
        <w:rPr>
          <w:b/>
          <w:bCs/>
        </w:rPr>
        <w:t>25</w:t>
      </w:r>
      <w:r w:rsidRPr="00973494">
        <w:t xml:space="preserve">(6), 1481-1489. </w:t>
      </w:r>
    </w:p>
  </w:footnote>
  <w:footnote w:id="7">
    <w:p w14:paraId="5AD8B2AA" w14:textId="1E70E0FE" w:rsidR="007D57B9" w:rsidRDefault="007D57B9" w:rsidP="006C2C3F">
      <w:pPr>
        <w:pStyle w:val="FootnoteText"/>
        <w:spacing w:before="0"/>
      </w:pPr>
      <w:r>
        <w:rPr>
          <w:rStyle w:val="FootnoteReference"/>
        </w:rPr>
        <w:footnoteRef/>
      </w:r>
      <w:r>
        <w:t xml:space="preserve"> </w:t>
      </w:r>
      <w:proofErr w:type="spellStart"/>
      <w:r w:rsidRPr="00580A96">
        <w:t>Karatas</w:t>
      </w:r>
      <w:proofErr w:type="spellEnd"/>
      <w:r w:rsidRPr="00580A96">
        <w:t xml:space="preserve"> JC, </w:t>
      </w:r>
      <w:r>
        <w:t xml:space="preserve">et al. </w:t>
      </w:r>
      <w:r w:rsidRPr="00580A96">
        <w:t>(2011). A prospective study assessing anxiety, depression and maternal-</w:t>
      </w:r>
      <w:proofErr w:type="spellStart"/>
      <w:r w:rsidRPr="00580A96">
        <w:t>fetal</w:t>
      </w:r>
      <w:proofErr w:type="spellEnd"/>
      <w:r w:rsidRPr="00580A96">
        <w:t xml:space="preserve"> attachment in women using PGD. </w:t>
      </w:r>
      <w:r w:rsidRPr="006C2C3F">
        <w:rPr>
          <w:i/>
          <w:iCs/>
        </w:rPr>
        <w:t xml:space="preserve">Hum </w:t>
      </w:r>
      <w:proofErr w:type="spellStart"/>
      <w:r w:rsidRPr="006C2C3F">
        <w:rPr>
          <w:i/>
          <w:iCs/>
        </w:rPr>
        <w:t>Reprod</w:t>
      </w:r>
      <w:proofErr w:type="spellEnd"/>
      <w:r w:rsidRPr="00580A96">
        <w:t xml:space="preserve">, </w:t>
      </w:r>
      <w:r w:rsidRPr="006C2C3F">
        <w:rPr>
          <w:b/>
          <w:bCs/>
        </w:rPr>
        <w:t>26</w:t>
      </w:r>
      <w:r w:rsidRPr="00580A96">
        <w:t xml:space="preserve">(1), 148-156. </w:t>
      </w:r>
    </w:p>
  </w:footnote>
  <w:footnote w:id="8">
    <w:p w14:paraId="39565089" w14:textId="409E467F" w:rsidR="007D57B9" w:rsidRDefault="007D57B9" w:rsidP="006C2C3F">
      <w:pPr>
        <w:pStyle w:val="FootnoteText"/>
        <w:spacing w:before="0"/>
      </w:pPr>
      <w:r>
        <w:rPr>
          <w:rStyle w:val="FootnoteReference"/>
        </w:rPr>
        <w:footnoteRef/>
      </w:r>
      <w:r>
        <w:t xml:space="preserve"> </w:t>
      </w:r>
      <w:proofErr w:type="spellStart"/>
      <w:r w:rsidRPr="00580A96">
        <w:t>Karatas</w:t>
      </w:r>
      <w:proofErr w:type="spellEnd"/>
      <w:r w:rsidRPr="00580A96">
        <w:t xml:space="preserve"> J</w:t>
      </w:r>
      <w:r>
        <w:t xml:space="preserve">C, et al. </w:t>
      </w:r>
      <w:r w:rsidRPr="00580A96" w:rsidDel="0020575A">
        <w:t xml:space="preserve"> </w:t>
      </w:r>
      <w:r>
        <w:t>(</w:t>
      </w:r>
      <w:r w:rsidRPr="00580A96">
        <w:t xml:space="preserve">2010b). Women's experience of pre-implantation genetic diagnosis: a qualitative study. </w:t>
      </w:r>
      <w:proofErr w:type="spellStart"/>
      <w:r w:rsidRPr="006C2C3F">
        <w:rPr>
          <w:i/>
          <w:iCs/>
        </w:rPr>
        <w:t>Prenat</w:t>
      </w:r>
      <w:proofErr w:type="spellEnd"/>
      <w:r w:rsidRPr="006C2C3F">
        <w:rPr>
          <w:i/>
          <w:iCs/>
        </w:rPr>
        <w:t xml:space="preserve"> Diagn</w:t>
      </w:r>
      <w:r w:rsidRPr="00580A96">
        <w:t xml:space="preserve">, </w:t>
      </w:r>
      <w:r w:rsidRPr="006C2C3F">
        <w:rPr>
          <w:b/>
          <w:bCs/>
        </w:rPr>
        <w:t>30</w:t>
      </w:r>
      <w:r w:rsidRPr="00580A96">
        <w:t xml:space="preserve">(8), 771-777. </w:t>
      </w:r>
    </w:p>
  </w:footnote>
  <w:footnote w:id="9">
    <w:p w14:paraId="64FD80D1" w14:textId="2787707C" w:rsidR="007D57B9" w:rsidRDefault="007D57B9" w:rsidP="006C2C3F">
      <w:pPr>
        <w:pStyle w:val="FootnoteText"/>
        <w:spacing w:before="0"/>
      </w:pPr>
      <w:r>
        <w:rPr>
          <w:rStyle w:val="FootnoteReference"/>
        </w:rPr>
        <w:footnoteRef/>
      </w:r>
      <w:r>
        <w:t xml:space="preserve"> </w:t>
      </w:r>
      <w:proofErr w:type="spellStart"/>
      <w:r w:rsidRPr="003E1A35">
        <w:t>Akler</w:t>
      </w:r>
      <w:proofErr w:type="spellEnd"/>
      <w:r>
        <w:t xml:space="preserve"> </w:t>
      </w:r>
      <w:r w:rsidRPr="003E1A35">
        <w:t>G,</w:t>
      </w:r>
      <w:r>
        <w:t xml:space="preserve"> et al.</w:t>
      </w:r>
      <w:r w:rsidRPr="003E1A35">
        <w:t xml:space="preserve"> (2020). Lessons learned from expanded reproductive carrier screening in self-reported Ashkenazi, Sephardi, and Mizrahi Jewish patients. </w:t>
      </w:r>
      <w:r w:rsidRPr="006C2C3F">
        <w:rPr>
          <w:i/>
          <w:iCs/>
        </w:rPr>
        <w:t>Mol Genet Genomic Med</w:t>
      </w:r>
      <w:r w:rsidRPr="003E1A35">
        <w:t xml:space="preserve">, </w:t>
      </w:r>
      <w:r w:rsidRPr="006C2C3F">
        <w:rPr>
          <w:b/>
          <w:bCs/>
        </w:rPr>
        <w:t>8</w:t>
      </w:r>
      <w:r w:rsidRPr="003E1A35">
        <w:t>(2)</w:t>
      </w:r>
      <w:r>
        <w:t>, e1053.</w:t>
      </w:r>
    </w:p>
  </w:footnote>
  <w:footnote w:id="10">
    <w:p w14:paraId="35E0C88E" w14:textId="289D9A6E" w:rsidR="007D57B9" w:rsidRDefault="007D57B9" w:rsidP="006C2C3F">
      <w:pPr>
        <w:pStyle w:val="FootnoteText"/>
        <w:spacing w:before="0"/>
      </w:pPr>
      <w:r>
        <w:rPr>
          <w:rStyle w:val="FootnoteReference"/>
        </w:rPr>
        <w:footnoteRef/>
      </w:r>
      <w:r>
        <w:t xml:space="preserve"> </w:t>
      </w:r>
      <w:r w:rsidRPr="003E1A35">
        <w:t>Cecchi, A</w:t>
      </w:r>
      <w:r>
        <w:t>C, et al</w:t>
      </w:r>
      <w:r w:rsidRPr="003E1A35">
        <w:t xml:space="preserve">. (2019). Screening for Tay-Sachs disease carriers by full-exon sequencing with novel variant interpretation outperforms enzyme testing in a pan-ethnic cohort. </w:t>
      </w:r>
      <w:r w:rsidRPr="006C2C3F">
        <w:rPr>
          <w:i/>
          <w:iCs/>
        </w:rPr>
        <w:t>Mol Genet Genomic Med</w:t>
      </w:r>
      <w:r w:rsidRPr="003E1A35">
        <w:t xml:space="preserve">, </w:t>
      </w:r>
      <w:r w:rsidRPr="006C2C3F">
        <w:rPr>
          <w:b/>
          <w:bCs/>
        </w:rPr>
        <w:t>7</w:t>
      </w:r>
      <w:r w:rsidRPr="003E1A35">
        <w:t>(8), e836</w:t>
      </w:r>
      <w:r>
        <w:t>.</w:t>
      </w:r>
    </w:p>
  </w:footnote>
  <w:footnote w:id="11">
    <w:p w14:paraId="73153E53" w14:textId="56012110" w:rsidR="007D57B9" w:rsidRDefault="007D57B9" w:rsidP="006C2C3F">
      <w:pPr>
        <w:pStyle w:val="FootnoteText"/>
        <w:spacing w:before="0"/>
      </w:pPr>
      <w:r>
        <w:rPr>
          <w:rStyle w:val="FootnoteReference"/>
        </w:rPr>
        <w:footnoteRef/>
      </w:r>
      <w:r>
        <w:t xml:space="preserve"> </w:t>
      </w:r>
      <w:proofErr w:type="spellStart"/>
      <w:r w:rsidRPr="003E1A35">
        <w:t>Hantash</w:t>
      </w:r>
      <w:proofErr w:type="spellEnd"/>
      <w:r w:rsidRPr="003E1A35">
        <w:t xml:space="preserve">, FM, </w:t>
      </w:r>
      <w:r>
        <w:t xml:space="preserve">et al. </w:t>
      </w:r>
      <w:r w:rsidRPr="003E1A35">
        <w:t xml:space="preserve">(2006). Rapid one-step carrier detection assay of </w:t>
      </w:r>
      <w:proofErr w:type="spellStart"/>
      <w:r w:rsidRPr="003E1A35">
        <w:t>mucolipidosis</w:t>
      </w:r>
      <w:proofErr w:type="spellEnd"/>
      <w:r w:rsidRPr="003E1A35">
        <w:t xml:space="preserve"> IV mutations in the Ashkenazi Jewish population. </w:t>
      </w:r>
      <w:r w:rsidRPr="006C2C3F">
        <w:rPr>
          <w:i/>
          <w:iCs/>
        </w:rPr>
        <w:t>J Mol Diagn</w:t>
      </w:r>
      <w:r w:rsidRPr="003E1A35">
        <w:t xml:space="preserve">, </w:t>
      </w:r>
      <w:r w:rsidRPr="006C2C3F">
        <w:rPr>
          <w:b/>
          <w:bCs/>
        </w:rPr>
        <w:t>8</w:t>
      </w:r>
      <w:r w:rsidRPr="003E1A35">
        <w:t>(2), 282-287</w:t>
      </w:r>
    </w:p>
  </w:footnote>
  <w:footnote w:id="12">
    <w:p w14:paraId="2EDF1D9E" w14:textId="496F50AE" w:rsidR="007D57B9" w:rsidRDefault="007D57B9" w:rsidP="006C2C3F">
      <w:pPr>
        <w:pStyle w:val="FootnoteText"/>
        <w:spacing w:before="0"/>
      </w:pPr>
      <w:r>
        <w:rPr>
          <w:rStyle w:val="FootnoteReference"/>
        </w:rPr>
        <w:footnoteRef/>
      </w:r>
      <w:r>
        <w:t xml:space="preserve"> </w:t>
      </w:r>
      <w:r w:rsidRPr="003E1A35">
        <w:t>Howell,</w:t>
      </w:r>
      <w:r>
        <w:t xml:space="preserve"> VM, et al. </w:t>
      </w:r>
      <w:r w:rsidRPr="003E1A35">
        <w:t xml:space="preserve">(2004). Carrier screening for Canavan disease in Australia. </w:t>
      </w:r>
      <w:r w:rsidRPr="006C2C3F">
        <w:rPr>
          <w:i/>
          <w:iCs/>
        </w:rPr>
        <w:t xml:space="preserve">J Inherit </w:t>
      </w:r>
      <w:proofErr w:type="spellStart"/>
      <w:r w:rsidRPr="006C2C3F">
        <w:rPr>
          <w:i/>
          <w:iCs/>
        </w:rPr>
        <w:t>Metab</w:t>
      </w:r>
      <w:proofErr w:type="spellEnd"/>
      <w:r w:rsidRPr="006C2C3F">
        <w:rPr>
          <w:i/>
          <w:iCs/>
        </w:rPr>
        <w:t xml:space="preserve"> Dis</w:t>
      </w:r>
      <w:r>
        <w:rPr>
          <w:i/>
          <w:iCs/>
        </w:rPr>
        <w:t>,</w:t>
      </w:r>
      <w:r w:rsidRPr="003E1A35">
        <w:t xml:space="preserve"> </w:t>
      </w:r>
      <w:r w:rsidRPr="006C2C3F">
        <w:rPr>
          <w:b/>
          <w:bCs/>
        </w:rPr>
        <w:t>27</w:t>
      </w:r>
      <w:r w:rsidRPr="003E1A35">
        <w:t>(2), 289-290.</w:t>
      </w:r>
    </w:p>
  </w:footnote>
  <w:footnote w:id="13">
    <w:p w14:paraId="4438C004" w14:textId="3DD63E2F" w:rsidR="007D57B9" w:rsidRDefault="007D57B9" w:rsidP="006C2C3F">
      <w:pPr>
        <w:pStyle w:val="FootnoteText"/>
        <w:spacing w:before="0"/>
      </w:pPr>
      <w:r>
        <w:rPr>
          <w:rStyle w:val="FootnoteReference"/>
        </w:rPr>
        <w:footnoteRef/>
      </w:r>
      <w:r>
        <w:t xml:space="preserve"> </w:t>
      </w:r>
      <w:r w:rsidRPr="00216477">
        <w:t xml:space="preserve">Lew, R., </w:t>
      </w:r>
      <w:r>
        <w:t xml:space="preserve">et al. </w:t>
      </w:r>
      <w:r w:rsidRPr="00216477">
        <w:t xml:space="preserve">(2011). Tay-Sachs disease preconception screening in Australia: self-knowledge of being an Ashkenazi Jew predicts carrier state better than does ancestral origin, although there is an increased risk for c.1421 + 1G &gt; C mutation in individuals with South African heritage. J Community Genet, </w:t>
      </w:r>
      <w:r w:rsidRPr="006C2C3F">
        <w:rPr>
          <w:b/>
          <w:bCs/>
        </w:rPr>
        <w:t>2</w:t>
      </w:r>
      <w:r w:rsidRPr="00216477">
        <w:t>(4), 201-209.</w:t>
      </w:r>
    </w:p>
  </w:footnote>
  <w:footnote w:id="14">
    <w:p w14:paraId="5CE8AB17" w14:textId="3084381B" w:rsidR="007D57B9" w:rsidRDefault="007D57B9" w:rsidP="006C2C3F">
      <w:pPr>
        <w:pStyle w:val="FootnoteText"/>
        <w:spacing w:before="0"/>
      </w:pPr>
      <w:r>
        <w:rPr>
          <w:rStyle w:val="FootnoteReference"/>
        </w:rPr>
        <w:footnoteRef/>
      </w:r>
      <w:r>
        <w:t xml:space="preserve"> S</w:t>
      </w:r>
      <w:r w:rsidRPr="00216477">
        <w:t>cott, SA,</w:t>
      </w:r>
      <w:r>
        <w:t xml:space="preserve"> et al</w:t>
      </w:r>
      <w:r w:rsidRPr="00216477">
        <w:t xml:space="preserve">. (2010). Experience with carrier screening and prenatal diagnosis for 16 Ashkenazi Jewish genetic diseases. </w:t>
      </w:r>
      <w:r w:rsidRPr="006C2C3F">
        <w:rPr>
          <w:i/>
          <w:iCs/>
        </w:rPr>
        <w:t xml:space="preserve">Hum </w:t>
      </w:r>
      <w:proofErr w:type="spellStart"/>
      <w:r w:rsidRPr="006C2C3F">
        <w:rPr>
          <w:i/>
          <w:iCs/>
        </w:rPr>
        <w:t>Mutat</w:t>
      </w:r>
      <w:proofErr w:type="spellEnd"/>
      <w:r w:rsidRPr="006C2C3F">
        <w:rPr>
          <w:i/>
          <w:iCs/>
        </w:rPr>
        <w:t>.</w:t>
      </w:r>
      <w:r w:rsidRPr="00216477">
        <w:t xml:space="preserve">, </w:t>
      </w:r>
      <w:r w:rsidRPr="006C2C3F">
        <w:rPr>
          <w:b/>
          <w:bCs/>
        </w:rPr>
        <w:t>31</w:t>
      </w:r>
      <w:r w:rsidRPr="00216477">
        <w:t>(11), 1240-1250</w:t>
      </w:r>
      <w:r>
        <w:t>.</w:t>
      </w:r>
    </w:p>
  </w:footnote>
  <w:footnote w:id="15">
    <w:p w14:paraId="6BFC62AD" w14:textId="293A48B3" w:rsidR="007D57B9" w:rsidRDefault="007D57B9" w:rsidP="006C2C3F">
      <w:pPr>
        <w:pStyle w:val="FootnoteText"/>
        <w:spacing w:before="0"/>
      </w:pPr>
      <w:r>
        <w:rPr>
          <w:rStyle w:val="FootnoteReference"/>
        </w:rPr>
        <w:footnoteRef/>
      </w:r>
      <w:r>
        <w:t xml:space="preserve"> </w:t>
      </w:r>
      <w:r w:rsidRPr="00580A96">
        <w:t>Shao Y,</w:t>
      </w:r>
      <w:r>
        <w:t xml:space="preserve"> et al. </w:t>
      </w:r>
      <w:r w:rsidRPr="00580A96">
        <w:t xml:space="preserve">(2015). Evaluation of two-year Jewish genetic disease screening program in Atlanta: insight into community genetic screening approaches. </w:t>
      </w:r>
      <w:r w:rsidRPr="00EF18DB">
        <w:rPr>
          <w:i/>
          <w:iCs/>
        </w:rPr>
        <w:t>J Community Genet</w:t>
      </w:r>
      <w:r w:rsidRPr="00580A96">
        <w:t xml:space="preserve">, </w:t>
      </w:r>
      <w:r w:rsidRPr="00EF18DB">
        <w:rPr>
          <w:b/>
          <w:bCs/>
        </w:rPr>
        <w:t>6</w:t>
      </w:r>
      <w:r w:rsidRPr="00580A96">
        <w:t>(2), 137-145</w:t>
      </w:r>
      <w:r>
        <w:t>.</w:t>
      </w:r>
    </w:p>
  </w:footnote>
  <w:footnote w:id="16">
    <w:p w14:paraId="75640FDC" w14:textId="7A0B2868" w:rsidR="007D57B9" w:rsidRDefault="007D57B9" w:rsidP="006C2C3F">
      <w:pPr>
        <w:pStyle w:val="FootnoteText"/>
        <w:spacing w:before="0"/>
      </w:pPr>
      <w:r>
        <w:rPr>
          <w:rStyle w:val="FootnoteReference"/>
        </w:rPr>
        <w:footnoteRef/>
      </w:r>
      <w:r>
        <w:t xml:space="preserve"> </w:t>
      </w:r>
      <w:r w:rsidRPr="00580A96">
        <w:t xml:space="preserve">Singer, A, </w:t>
      </w:r>
      <w:r>
        <w:t>et al</w:t>
      </w:r>
      <w:r w:rsidRPr="00580A96">
        <w:t xml:space="preserve">. (2020). Impact of a national genetic carrier-screening program for reproductive purposes. </w:t>
      </w:r>
      <w:r w:rsidRPr="00EF18DB">
        <w:rPr>
          <w:i/>
          <w:iCs/>
        </w:rPr>
        <w:t xml:space="preserve">Acta </w:t>
      </w:r>
      <w:proofErr w:type="spellStart"/>
      <w:r w:rsidRPr="00EF18DB">
        <w:rPr>
          <w:i/>
          <w:iCs/>
        </w:rPr>
        <w:t>Obstet</w:t>
      </w:r>
      <w:proofErr w:type="spellEnd"/>
      <w:r w:rsidRPr="00EF18DB">
        <w:rPr>
          <w:i/>
          <w:iCs/>
        </w:rPr>
        <w:t xml:space="preserve"> </w:t>
      </w:r>
      <w:proofErr w:type="spellStart"/>
      <w:r w:rsidRPr="00EF18DB">
        <w:rPr>
          <w:i/>
          <w:iCs/>
        </w:rPr>
        <w:t>Gynecol</w:t>
      </w:r>
      <w:proofErr w:type="spellEnd"/>
      <w:r w:rsidRPr="00EF18DB">
        <w:rPr>
          <w:i/>
          <w:iCs/>
        </w:rPr>
        <w:t xml:space="preserve"> </w:t>
      </w:r>
      <w:proofErr w:type="spellStart"/>
      <w:r w:rsidRPr="00EF18DB">
        <w:rPr>
          <w:i/>
          <w:iCs/>
        </w:rPr>
        <w:t>Scand</w:t>
      </w:r>
      <w:proofErr w:type="spellEnd"/>
      <w:r w:rsidRPr="00580A96">
        <w:t xml:space="preserve">, </w:t>
      </w:r>
      <w:r w:rsidRPr="00EF18DB">
        <w:rPr>
          <w:b/>
          <w:bCs/>
        </w:rPr>
        <w:t>99</w:t>
      </w:r>
      <w:r w:rsidRPr="00580A96">
        <w:t>(6), 802-808.</w:t>
      </w:r>
    </w:p>
  </w:footnote>
  <w:footnote w:id="17">
    <w:p w14:paraId="3EAE7F77" w14:textId="667AE636" w:rsidR="007D57B9" w:rsidRDefault="007D57B9" w:rsidP="006C2C3F">
      <w:pPr>
        <w:pStyle w:val="FootnoteText"/>
        <w:spacing w:before="0"/>
      </w:pPr>
      <w:r>
        <w:rPr>
          <w:rStyle w:val="FootnoteReference"/>
        </w:rPr>
        <w:footnoteRef/>
      </w:r>
      <w:r>
        <w:t xml:space="preserve"> </w:t>
      </w:r>
      <w:proofErr w:type="spellStart"/>
      <w:r w:rsidRPr="00216477">
        <w:t>Zlotogora</w:t>
      </w:r>
      <w:proofErr w:type="spellEnd"/>
      <w:r w:rsidRPr="00216477">
        <w:t xml:space="preserve"> J, </w:t>
      </w:r>
      <w:r>
        <w:t xml:space="preserve">et al. </w:t>
      </w:r>
      <w:r w:rsidRPr="00216477">
        <w:t xml:space="preserve">(2016). The Israeli national population program of genetic carrier screening for reproductive purposes. </w:t>
      </w:r>
      <w:r w:rsidRPr="006C2C3F">
        <w:rPr>
          <w:i/>
          <w:iCs/>
        </w:rPr>
        <w:t>Genet Med</w:t>
      </w:r>
      <w:r w:rsidRPr="00216477">
        <w:t xml:space="preserve">, </w:t>
      </w:r>
      <w:r w:rsidRPr="006C2C3F">
        <w:rPr>
          <w:b/>
          <w:bCs/>
        </w:rPr>
        <w:t>18</w:t>
      </w:r>
      <w:r w:rsidRPr="00216477">
        <w:t>(2), 203-206</w:t>
      </w:r>
    </w:p>
  </w:footnote>
  <w:footnote w:id="18">
    <w:p w14:paraId="47FEF38A" w14:textId="1B6296DD" w:rsidR="007D57B9" w:rsidRDefault="007D57B9" w:rsidP="006C2C3F">
      <w:pPr>
        <w:pStyle w:val="FootnoteText"/>
        <w:spacing w:before="0"/>
      </w:pPr>
      <w:r>
        <w:rPr>
          <w:rStyle w:val="FootnoteReference"/>
        </w:rPr>
        <w:footnoteRef/>
      </w:r>
      <w:r>
        <w:t xml:space="preserve"> </w:t>
      </w:r>
      <w:r w:rsidRPr="00580A96">
        <w:t xml:space="preserve">Lew RM, </w:t>
      </w:r>
      <w:r>
        <w:t xml:space="preserve">et al. </w:t>
      </w:r>
      <w:r w:rsidRPr="00580A96">
        <w:t xml:space="preserve">(2012). Tay </w:t>
      </w:r>
      <w:proofErr w:type="spellStart"/>
      <w:r w:rsidRPr="00580A96">
        <w:t>sachs</w:t>
      </w:r>
      <w:proofErr w:type="spellEnd"/>
      <w:r w:rsidRPr="00580A96">
        <w:t xml:space="preserve"> disease in Australia: Reduced disease incidence despite stable carrier frequency in Australian </w:t>
      </w:r>
      <w:proofErr w:type="spellStart"/>
      <w:r w:rsidRPr="00580A96">
        <w:t>jews</w:t>
      </w:r>
      <w:proofErr w:type="spellEnd"/>
      <w:r w:rsidRPr="00580A96">
        <w:t xml:space="preserve">. </w:t>
      </w:r>
      <w:r w:rsidRPr="006C2C3F">
        <w:rPr>
          <w:i/>
          <w:iCs/>
        </w:rPr>
        <w:t>Med J Aust</w:t>
      </w:r>
      <w:r w:rsidRPr="00580A96">
        <w:t xml:space="preserve">, </w:t>
      </w:r>
      <w:r w:rsidRPr="006C2C3F">
        <w:rPr>
          <w:b/>
          <w:bCs/>
        </w:rPr>
        <w:t>197</w:t>
      </w:r>
      <w:r w:rsidRPr="00580A96">
        <w:t xml:space="preserve">(11), 652-654. </w:t>
      </w:r>
    </w:p>
  </w:footnote>
  <w:footnote w:id="19">
    <w:p w14:paraId="0E130E77" w14:textId="77777777" w:rsidR="007D57B9" w:rsidRDefault="007D57B9" w:rsidP="00E96E47">
      <w:pPr>
        <w:pStyle w:val="FootnoteText"/>
        <w:spacing w:before="0"/>
      </w:pPr>
      <w:r>
        <w:rPr>
          <w:rStyle w:val="FootnoteReference"/>
        </w:rPr>
        <w:footnoteRef/>
      </w:r>
      <w:r>
        <w:t xml:space="preserve"> </w:t>
      </w:r>
      <w:r w:rsidRPr="00892FCD">
        <w:rPr>
          <w:rFonts w:cstheme="minorHAnsi"/>
          <w:color w:val="222222"/>
          <w:shd w:val="clear" w:color="auto" w:fill="FFFFFF"/>
        </w:rPr>
        <w:t>Gregg, A.R.</w:t>
      </w:r>
      <w:r>
        <w:rPr>
          <w:rFonts w:cstheme="minorHAnsi"/>
          <w:color w:val="222222"/>
          <w:shd w:val="clear" w:color="auto" w:fill="FFFFFF"/>
        </w:rPr>
        <w:t xml:space="preserve">, </w:t>
      </w:r>
      <w:r w:rsidRPr="006C2C3F">
        <w:rPr>
          <w:rFonts w:cstheme="minorHAnsi"/>
          <w:color w:val="222222"/>
          <w:shd w:val="clear" w:color="auto" w:fill="FFFFFF"/>
        </w:rPr>
        <w:t>et al</w:t>
      </w:r>
      <w:r w:rsidRPr="007D74DA">
        <w:rPr>
          <w:rFonts w:cstheme="minorHAnsi"/>
          <w:color w:val="222222"/>
          <w:shd w:val="clear" w:color="auto" w:fill="FFFFFF"/>
        </w:rPr>
        <w:t>.</w:t>
      </w:r>
      <w:r w:rsidRPr="00892FCD">
        <w:rPr>
          <w:rFonts w:cstheme="minorHAnsi"/>
          <w:color w:val="222222"/>
          <w:shd w:val="clear" w:color="auto" w:fill="FFFFFF"/>
        </w:rPr>
        <w:t> </w:t>
      </w:r>
      <w:r>
        <w:rPr>
          <w:rFonts w:cstheme="minorHAnsi"/>
          <w:color w:val="222222"/>
          <w:shd w:val="clear" w:color="auto" w:fill="FFFFFF"/>
        </w:rPr>
        <w:t xml:space="preserve">(2021). </w:t>
      </w:r>
      <w:r w:rsidRPr="00892FCD">
        <w:rPr>
          <w:rFonts w:cstheme="minorHAnsi"/>
          <w:color w:val="222222"/>
          <w:shd w:val="clear" w:color="auto" w:fill="FFFFFF"/>
        </w:rPr>
        <w:t>Screening for autosomal recessive and X-linked conditions during pregnancy and preconception: a practice resource of the American College of Medical Genetics and Genomics (ACMG). </w:t>
      </w:r>
      <w:r w:rsidRPr="00892FCD">
        <w:rPr>
          <w:rFonts w:cstheme="minorHAnsi"/>
          <w:i/>
          <w:iCs/>
          <w:color w:val="222222"/>
          <w:shd w:val="clear" w:color="auto" w:fill="FFFFFF"/>
        </w:rPr>
        <w:t>Genet Med</w:t>
      </w:r>
      <w:r>
        <w:rPr>
          <w:rFonts w:cstheme="minorHAnsi"/>
          <w:color w:val="222222"/>
          <w:shd w:val="clear" w:color="auto" w:fill="FFFFFF"/>
        </w:rPr>
        <w:t>,</w:t>
      </w:r>
      <w:r w:rsidRPr="00892FCD">
        <w:rPr>
          <w:rFonts w:cstheme="minorHAnsi"/>
          <w:color w:val="222222"/>
          <w:shd w:val="clear" w:color="auto" w:fill="FFFFFF"/>
        </w:rPr>
        <w:t> </w:t>
      </w:r>
      <w:r w:rsidRPr="00892FCD">
        <w:rPr>
          <w:rFonts w:cstheme="minorHAnsi"/>
          <w:b/>
          <w:bCs/>
          <w:color w:val="222222"/>
          <w:shd w:val="clear" w:color="auto" w:fill="FFFFFF"/>
        </w:rPr>
        <w:t>23</w:t>
      </w:r>
      <w:r>
        <w:rPr>
          <w:rFonts w:cstheme="minorHAnsi"/>
          <w:color w:val="222222"/>
          <w:shd w:val="clear" w:color="auto" w:fill="FFFFFF"/>
        </w:rPr>
        <w:t>:</w:t>
      </w:r>
      <w:r w:rsidRPr="00892FCD">
        <w:rPr>
          <w:rFonts w:cstheme="minorHAnsi"/>
          <w:b/>
          <w:bCs/>
          <w:color w:val="222222"/>
          <w:shd w:val="clear" w:color="auto" w:fill="FFFFFF"/>
        </w:rPr>
        <w:t> </w:t>
      </w:r>
      <w:r w:rsidRPr="00892FCD">
        <w:rPr>
          <w:rFonts w:cstheme="minorHAnsi"/>
          <w:color w:val="222222"/>
          <w:shd w:val="clear" w:color="auto" w:fill="FFFFFF"/>
        </w:rPr>
        <w:t xml:space="preserve">1793–1806. </w:t>
      </w:r>
    </w:p>
  </w:footnote>
  <w:footnote w:id="20">
    <w:p w14:paraId="0C1EAA19" w14:textId="77777777" w:rsidR="007D57B9" w:rsidRDefault="007D57B9" w:rsidP="00E96E47">
      <w:pPr>
        <w:pStyle w:val="FootnoteText"/>
        <w:spacing w:before="0"/>
      </w:pPr>
      <w:r>
        <w:rPr>
          <w:rStyle w:val="FootnoteReference"/>
        </w:rPr>
        <w:footnoteRef/>
      </w:r>
      <w:r>
        <w:t xml:space="preserve"> </w:t>
      </w:r>
      <w:r w:rsidRPr="003A5B25">
        <w:t>Norman R,</w:t>
      </w:r>
      <w:r>
        <w:t xml:space="preserve"> et al</w:t>
      </w:r>
      <w:r w:rsidRPr="003A5B25">
        <w:t>. (2012)</w:t>
      </w:r>
      <w:r>
        <w:t>.</w:t>
      </w:r>
      <w:r w:rsidRPr="003A5B25">
        <w:t xml:space="preserve"> Cost-effectiveness of carrier screening for cystic fibrosis in Australia. </w:t>
      </w:r>
      <w:r w:rsidRPr="006C2C3F">
        <w:rPr>
          <w:i/>
          <w:iCs/>
        </w:rPr>
        <w:t xml:space="preserve">J Cyst </w:t>
      </w:r>
      <w:proofErr w:type="spellStart"/>
      <w:r w:rsidRPr="006C2C3F">
        <w:rPr>
          <w:i/>
          <w:iCs/>
        </w:rPr>
        <w:t>Fibros</w:t>
      </w:r>
      <w:proofErr w:type="spellEnd"/>
      <w:r w:rsidRPr="003A5B25">
        <w:t xml:space="preserve">, </w:t>
      </w:r>
      <w:r w:rsidRPr="006C2C3F">
        <w:rPr>
          <w:b/>
          <w:bCs/>
        </w:rPr>
        <w:t>11</w:t>
      </w:r>
      <w:r w:rsidRPr="003A5B25">
        <w:t xml:space="preserve">(4), 281-287. </w:t>
      </w:r>
    </w:p>
  </w:footnote>
  <w:footnote w:id="21">
    <w:p w14:paraId="0F7043C6" w14:textId="77777777" w:rsidR="007D57B9" w:rsidRPr="00B8437A" w:rsidRDefault="007D57B9" w:rsidP="00E96E47">
      <w:pPr>
        <w:pStyle w:val="FootnoteText"/>
        <w:spacing w:before="0"/>
        <w:rPr>
          <w:rFonts w:cstheme="minorHAnsi"/>
        </w:rPr>
      </w:pPr>
      <w:r w:rsidRPr="00B8437A">
        <w:rPr>
          <w:rStyle w:val="FootnoteReference"/>
          <w:rFonts w:cstheme="minorHAnsi"/>
        </w:rPr>
        <w:footnoteRef/>
      </w:r>
      <w:r w:rsidRPr="00B8437A">
        <w:rPr>
          <w:rFonts w:cstheme="minorHAnsi"/>
        </w:rPr>
        <w:t xml:space="preserve"> </w:t>
      </w:r>
      <w:proofErr w:type="spellStart"/>
      <w:r w:rsidRPr="00B8437A">
        <w:rPr>
          <w:rFonts w:cstheme="minorHAnsi"/>
          <w:color w:val="212121"/>
          <w:shd w:val="clear" w:color="auto" w:fill="FFFFFF"/>
        </w:rPr>
        <w:t>Lazarin</w:t>
      </w:r>
      <w:proofErr w:type="spellEnd"/>
      <w:r w:rsidRPr="00B8437A">
        <w:rPr>
          <w:rFonts w:cstheme="minorHAnsi"/>
          <w:color w:val="212121"/>
          <w:shd w:val="clear" w:color="auto" w:fill="FFFFFF"/>
        </w:rPr>
        <w:t xml:space="preserve"> GA</w:t>
      </w:r>
      <w:r w:rsidRPr="007D74DA">
        <w:rPr>
          <w:rFonts w:cstheme="minorHAnsi"/>
          <w:color w:val="212121"/>
          <w:shd w:val="clear" w:color="auto" w:fill="FFFFFF"/>
        </w:rPr>
        <w:t xml:space="preserve">, </w:t>
      </w:r>
      <w:r w:rsidRPr="006C2C3F">
        <w:rPr>
          <w:rFonts w:cstheme="minorHAnsi"/>
          <w:color w:val="212121"/>
          <w:shd w:val="clear" w:color="auto" w:fill="FFFFFF"/>
        </w:rPr>
        <w:t>et al</w:t>
      </w:r>
      <w:r>
        <w:rPr>
          <w:rFonts w:cstheme="minorHAnsi"/>
          <w:color w:val="212121"/>
          <w:shd w:val="clear" w:color="auto" w:fill="FFFFFF"/>
        </w:rPr>
        <w:t>. (2013).</w:t>
      </w:r>
      <w:r w:rsidRPr="00B8437A">
        <w:rPr>
          <w:rFonts w:cstheme="minorHAnsi"/>
          <w:color w:val="212121"/>
          <w:shd w:val="clear" w:color="auto" w:fill="FFFFFF"/>
        </w:rPr>
        <w:t xml:space="preserve"> An empirical estimate of carrier frequencies for 400+ causal Mendelian variants: results from an ethnically diverse clinical sample of 23,453 individuals</w:t>
      </w:r>
      <w:r w:rsidRPr="00B8437A">
        <w:rPr>
          <w:rFonts w:cstheme="minorHAnsi"/>
          <w:i/>
          <w:iCs/>
          <w:color w:val="212121"/>
          <w:shd w:val="clear" w:color="auto" w:fill="FFFFFF"/>
        </w:rPr>
        <w:t>. Genet Med</w:t>
      </w:r>
      <w:r w:rsidRPr="00B8437A">
        <w:rPr>
          <w:rFonts w:cstheme="minorHAnsi"/>
          <w:color w:val="212121"/>
          <w:shd w:val="clear" w:color="auto" w:fill="FFFFFF"/>
        </w:rPr>
        <w:t xml:space="preserve">. </w:t>
      </w:r>
      <w:r w:rsidRPr="006C2C3F">
        <w:rPr>
          <w:rFonts w:cstheme="minorHAnsi"/>
          <w:b/>
          <w:bCs/>
          <w:color w:val="212121"/>
          <w:shd w:val="clear" w:color="auto" w:fill="FFFFFF"/>
        </w:rPr>
        <w:t>15</w:t>
      </w:r>
      <w:r w:rsidRPr="00B8437A">
        <w:rPr>
          <w:rFonts w:cstheme="minorHAnsi"/>
          <w:color w:val="212121"/>
          <w:shd w:val="clear" w:color="auto" w:fill="FFFFFF"/>
        </w:rPr>
        <w:t>(3):178-86.</w:t>
      </w:r>
    </w:p>
  </w:footnote>
  <w:footnote w:id="22">
    <w:p w14:paraId="60E4A95E" w14:textId="77777777" w:rsidR="007D57B9" w:rsidRPr="00CA398B" w:rsidRDefault="007D57B9" w:rsidP="00E96E47">
      <w:pPr>
        <w:pStyle w:val="FootnoteText"/>
        <w:spacing w:before="0"/>
        <w:rPr>
          <w:rFonts w:cstheme="minorHAnsi"/>
          <w:szCs w:val="18"/>
        </w:rPr>
      </w:pPr>
      <w:r w:rsidRPr="00CA398B">
        <w:rPr>
          <w:rStyle w:val="FootnoteReference"/>
          <w:rFonts w:cstheme="minorHAnsi"/>
          <w:szCs w:val="18"/>
        </w:rPr>
        <w:footnoteRef/>
      </w:r>
      <w:r w:rsidRPr="00CA398B">
        <w:rPr>
          <w:rFonts w:cstheme="minorHAnsi"/>
          <w:szCs w:val="18"/>
        </w:rPr>
        <w:t xml:space="preserve"> </w:t>
      </w:r>
      <w:r w:rsidRPr="00CA398B">
        <w:rPr>
          <w:rFonts w:cstheme="minorHAnsi"/>
          <w:color w:val="1C1D1E"/>
          <w:szCs w:val="18"/>
          <w:shd w:val="clear" w:color="auto" w:fill="FFFFFF"/>
        </w:rPr>
        <w:t xml:space="preserve">Lew RM, </w:t>
      </w:r>
      <w:r>
        <w:rPr>
          <w:rFonts w:cstheme="minorHAnsi"/>
          <w:color w:val="1C1D1E"/>
          <w:szCs w:val="18"/>
          <w:shd w:val="clear" w:color="auto" w:fill="FFFFFF"/>
        </w:rPr>
        <w:t>et al</w:t>
      </w:r>
      <w:r w:rsidRPr="00CA398B">
        <w:rPr>
          <w:rFonts w:cstheme="minorHAnsi"/>
          <w:color w:val="1C1D1E"/>
          <w:szCs w:val="18"/>
          <w:shd w:val="clear" w:color="auto" w:fill="FFFFFF"/>
        </w:rPr>
        <w:t>. (2012)</w:t>
      </w:r>
      <w:r>
        <w:rPr>
          <w:rFonts w:cstheme="minorHAnsi"/>
          <w:color w:val="1C1D1E"/>
          <w:szCs w:val="18"/>
          <w:shd w:val="clear" w:color="auto" w:fill="FFFFFF"/>
        </w:rPr>
        <w:t>.</w:t>
      </w:r>
      <w:r w:rsidRPr="00CA398B">
        <w:rPr>
          <w:rFonts w:cstheme="minorHAnsi"/>
          <w:color w:val="1C1D1E"/>
          <w:szCs w:val="18"/>
          <w:shd w:val="clear" w:color="auto" w:fill="FFFFFF"/>
        </w:rPr>
        <w:t xml:space="preserve"> Tay Sachs disease in Australia: reduced disease incidence despite stable carrier frequency in Australian Jews. </w:t>
      </w:r>
      <w:r w:rsidRPr="007D74DA">
        <w:rPr>
          <w:rFonts w:cstheme="minorHAnsi"/>
          <w:i/>
          <w:iCs/>
          <w:color w:val="1C1D1E"/>
          <w:szCs w:val="18"/>
          <w:shd w:val="clear" w:color="auto" w:fill="FFFFFF"/>
        </w:rPr>
        <w:t>Med J Aust</w:t>
      </w:r>
      <w:r w:rsidRPr="00CA398B">
        <w:rPr>
          <w:rFonts w:cstheme="minorHAnsi"/>
          <w:color w:val="1C1D1E"/>
          <w:szCs w:val="18"/>
          <w:shd w:val="clear" w:color="auto" w:fill="FFFFFF"/>
        </w:rPr>
        <w:t xml:space="preserve">, </w:t>
      </w:r>
      <w:r w:rsidRPr="00E62412">
        <w:rPr>
          <w:rFonts w:cstheme="minorHAnsi"/>
          <w:b/>
          <w:bCs/>
          <w:color w:val="1C1D1E"/>
          <w:szCs w:val="18"/>
          <w:shd w:val="clear" w:color="auto" w:fill="FFFFFF"/>
        </w:rPr>
        <w:t>197</w:t>
      </w:r>
      <w:r w:rsidRPr="00CA398B">
        <w:rPr>
          <w:rFonts w:cstheme="minorHAnsi"/>
          <w:color w:val="1C1D1E"/>
          <w:szCs w:val="18"/>
          <w:shd w:val="clear" w:color="auto" w:fill="FFFFFF"/>
        </w:rPr>
        <w:t>: 652-654.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972732"/>
    <w:multiLevelType w:val="hybridMultilevel"/>
    <w:tmpl w:val="C6622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23545D"/>
    <w:multiLevelType w:val="hybridMultilevel"/>
    <w:tmpl w:val="8F74D3EE"/>
    <w:lvl w:ilvl="0" w:tplc="70641146">
      <w:start w:val="1"/>
      <w:numFmt w:val="upperLetter"/>
      <w:pStyle w:val="AppendixHeader1"/>
      <w:lvlText w:val="Appendix %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C2C16"/>
    <w:multiLevelType w:val="hybridMultilevel"/>
    <w:tmpl w:val="F644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B431F"/>
    <w:multiLevelType w:val="hybridMultilevel"/>
    <w:tmpl w:val="4622E13A"/>
    <w:lvl w:ilvl="0" w:tplc="6A4A329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A6F55BB"/>
    <w:multiLevelType w:val="hybridMultilevel"/>
    <w:tmpl w:val="4F6A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568DD"/>
    <w:multiLevelType w:val="hybridMultilevel"/>
    <w:tmpl w:val="5ABEB7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6B4738A"/>
    <w:multiLevelType w:val="hybridMultilevel"/>
    <w:tmpl w:val="B0E60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840CC"/>
    <w:multiLevelType w:val="hybridMultilevel"/>
    <w:tmpl w:val="96EE9BBA"/>
    <w:lvl w:ilvl="0" w:tplc="BA8E696A">
      <w:numFmt w:val="bullet"/>
      <w:lvlText w:val="-"/>
      <w:lvlJc w:val="left"/>
      <w:pPr>
        <w:ind w:left="720" w:hanging="36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DE2604C"/>
    <w:multiLevelType w:val="hybridMultilevel"/>
    <w:tmpl w:val="A5E83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7042D7"/>
    <w:multiLevelType w:val="hybridMultilevel"/>
    <w:tmpl w:val="84D201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BC7D51"/>
    <w:multiLevelType w:val="hybridMultilevel"/>
    <w:tmpl w:val="00EC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4682CAD"/>
    <w:multiLevelType w:val="hybridMultilevel"/>
    <w:tmpl w:val="DCAE9E9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DD3AEF"/>
    <w:multiLevelType w:val="hybridMultilevel"/>
    <w:tmpl w:val="A99C6874"/>
    <w:lvl w:ilvl="0" w:tplc="8426433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5BA537A"/>
    <w:multiLevelType w:val="hybridMultilevel"/>
    <w:tmpl w:val="4D68D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C01305"/>
    <w:multiLevelType w:val="multilevel"/>
    <w:tmpl w:val="9FF04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7F15131"/>
    <w:multiLevelType w:val="hybridMultilevel"/>
    <w:tmpl w:val="002C0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5A4BCA"/>
    <w:multiLevelType w:val="hybridMultilevel"/>
    <w:tmpl w:val="A5E83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205933"/>
    <w:multiLevelType w:val="hybridMultilevel"/>
    <w:tmpl w:val="7512B23C"/>
    <w:lvl w:ilvl="0" w:tplc="708E81B0">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AC4A1D"/>
    <w:multiLevelType w:val="hybridMultilevel"/>
    <w:tmpl w:val="1FCA094A"/>
    <w:lvl w:ilvl="0" w:tplc="DB304BE6">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783C99"/>
    <w:multiLevelType w:val="hybridMultilevel"/>
    <w:tmpl w:val="716EF172"/>
    <w:lvl w:ilvl="0" w:tplc="7B169ED8">
      <w:numFmt w:val="bullet"/>
      <w:lvlText w:val="-"/>
      <w:lvlJc w:val="left"/>
      <w:pPr>
        <w:ind w:left="720" w:hanging="36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718272A"/>
    <w:multiLevelType w:val="hybridMultilevel"/>
    <w:tmpl w:val="4614F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F3503F"/>
    <w:multiLevelType w:val="hybridMultilevel"/>
    <w:tmpl w:val="6EA04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D808F1"/>
    <w:multiLevelType w:val="hybridMultilevel"/>
    <w:tmpl w:val="1C78B0E2"/>
    <w:lvl w:ilvl="0" w:tplc="0C090001">
      <w:start w:val="1"/>
      <w:numFmt w:val="bullet"/>
      <w:lvlText w:val=""/>
      <w:lvlJc w:val="left"/>
      <w:pPr>
        <w:ind w:left="502" w:hanging="360"/>
      </w:pPr>
      <w:rPr>
        <w:rFonts w:ascii="Symbol" w:hAnsi="Symbol" w:hint="default"/>
      </w:rPr>
    </w:lvl>
    <w:lvl w:ilvl="1" w:tplc="4C6418A4">
      <w:numFmt w:val="bullet"/>
      <w:lvlText w:val="•"/>
      <w:lvlJc w:val="left"/>
      <w:pPr>
        <w:ind w:left="862" w:hanging="720"/>
      </w:pPr>
      <w:rPr>
        <w:rFonts w:ascii="Calibri" w:eastAsia="Calibri" w:hAnsi="Calibri" w:cs="Calibri" w:hint="default"/>
      </w:rPr>
    </w:lvl>
    <w:lvl w:ilvl="2" w:tplc="0C090005">
      <w:start w:val="1"/>
      <w:numFmt w:val="bullet"/>
      <w:lvlText w:val=""/>
      <w:lvlJc w:val="left"/>
      <w:pPr>
        <w:ind w:left="927" w:hanging="360"/>
      </w:pPr>
      <w:rPr>
        <w:rFonts w:ascii="Wingdings" w:hAnsi="Wingdings" w:hint="default"/>
      </w:rPr>
    </w:lvl>
    <w:lvl w:ilvl="3" w:tplc="0C090003">
      <w:start w:val="1"/>
      <w:numFmt w:val="bullet"/>
      <w:lvlText w:val="o"/>
      <w:lvlJc w:val="left"/>
      <w:pPr>
        <w:ind w:left="1636" w:hanging="360"/>
      </w:pPr>
      <w:rPr>
        <w:rFonts w:ascii="Courier New" w:hAnsi="Courier New" w:cs="Courier New"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4AE56600"/>
    <w:multiLevelType w:val="hybridMultilevel"/>
    <w:tmpl w:val="C5EEEE80"/>
    <w:lvl w:ilvl="0" w:tplc="DB304BE6">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7" w15:restartNumberingAfterBreak="0">
    <w:nsid w:val="4B094A99"/>
    <w:multiLevelType w:val="hybridMultilevel"/>
    <w:tmpl w:val="A5E83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43585D"/>
    <w:multiLevelType w:val="hybridMultilevel"/>
    <w:tmpl w:val="41389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82A1E1B"/>
    <w:multiLevelType w:val="hybridMultilevel"/>
    <w:tmpl w:val="3A8A3CB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562772"/>
    <w:multiLevelType w:val="hybridMultilevel"/>
    <w:tmpl w:val="E2B86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061863"/>
    <w:multiLevelType w:val="hybridMultilevel"/>
    <w:tmpl w:val="AD42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2871929"/>
    <w:multiLevelType w:val="hybridMultilevel"/>
    <w:tmpl w:val="C98CB3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45" w15:restartNumberingAfterBreak="0">
    <w:nsid w:val="66760C78"/>
    <w:multiLevelType w:val="hybridMultilevel"/>
    <w:tmpl w:val="A5E83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5671AF"/>
    <w:multiLevelType w:val="hybridMultilevel"/>
    <w:tmpl w:val="4622E13A"/>
    <w:lvl w:ilvl="0" w:tplc="6A4A329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6A273021"/>
    <w:multiLevelType w:val="hybridMultilevel"/>
    <w:tmpl w:val="4F0CE2CC"/>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15:restartNumberingAfterBreak="0">
    <w:nsid w:val="6DA63A7A"/>
    <w:multiLevelType w:val="multilevel"/>
    <w:tmpl w:val="5036828C"/>
    <w:lvl w:ilvl="0">
      <w:start w:val="1"/>
      <w:numFmt w:val="upperLetter"/>
      <w:pStyle w:val="AppendixHeader"/>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770DD6"/>
    <w:multiLevelType w:val="hybridMultilevel"/>
    <w:tmpl w:val="D994A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EEB0A42"/>
    <w:multiLevelType w:val="hybridMultilevel"/>
    <w:tmpl w:val="564A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762FEC"/>
    <w:multiLevelType w:val="hybridMultilevel"/>
    <w:tmpl w:val="3AD68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5E51C21"/>
    <w:multiLevelType w:val="hybridMultilevel"/>
    <w:tmpl w:val="1378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C95665"/>
    <w:multiLevelType w:val="hybridMultilevel"/>
    <w:tmpl w:val="A5E83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6" w15:restartNumberingAfterBreak="0">
    <w:nsid w:val="7D282CB7"/>
    <w:multiLevelType w:val="hybridMultilevel"/>
    <w:tmpl w:val="A5E83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9"/>
  </w:num>
  <w:num w:numId="2">
    <w:abstractNumId w:val="57"/>
  </w:num>
  <w:num w:numId="3">
    <w:abstractNumId w:val="4"/>
  </w:num>
  <w:num w:numId="4">
    <w:abstractNumId w:val="10"/>
  </w:num>
  <w:num w:numId="5">
    <w:abstractNumId w:val="53"/>
  </w:num>
  <w:num w:numId="6">
    <w:abstractNumId w:val="13"/>
  </w:num>
  <w:num w:numId="7">
    <w:abstractNumId w:val="31"/>
  </w:num>
  <w:num w:numId="8">
    <w:abstractNumId w:val="8"/>
  </w:num>
  <w:num w:numId="9">
    <w:abstractNumId w:val="14"/>
  </w:num>
  <w:num w:numId="10">
    <w:abstractNumId w:val="17"/>
  </w:num>
  <w:num w:numId="11">
    <w:abstractNumId w:val="0"/>
  </w:num>
  <w:num w:numId="12">
    <w:abstractNumId w:val="18"/>
  </w:num>
  <w:num w:numId="13">
    <w:abstractNumId w:val="42"/>
  </w:num>
  <w:num w:numId="14">
    <w:abstractNumId w:val="32"/>
  </w:num>
  <w:num w:numId="15">
    <w:abstractNumId w:val="6"/>
  </w:num>
  <w:num w:numId="16">
    <w:abstractNumId w:val="26"/>
  </w:num>
  <w:num w:numId="17">
    <w:abstractNumId w:val="35"/>
  </w:num>
  <w:num w:numId="18">
    <w:abstractNumId w:val="21"/>
  </w:num>
  <w:num w:numId="19">
    <w:abstractNumId w:val="37"/>
  </w:num>
  <w:num w:numId="20">
    <w:abstractNumId w:val="43"/>
  </w:num>
  <w:num w:numId="21">
    <w:abstractNumId w:val="47"/>
  </w:num>
  <w:num w:numId="22">
    <w:abstractNumId w:val="44"/>
  </w:num>
  <w:num w:numId="23">
    <w:abstractNumId w:val="55"/>
  </w:num>
  <w:num w:numId="24">
    <w:abstractNumId w:val="9"/>
  </w:num>
  <w:num w:numId="25">
    <w:abstractNumId w:val="48"/>
  </w:num>
  <w:num w:numId="26">
    <w:abstractNumId w:val="54"/>
  </w:num>
  <w:num w:numId="27">
    <w:abstractNumId w:val="7"/>
  </w:num>
  <w:num w:numId="28">
    <w:abstractNumId w:val="1"/>
  </w:num>
  <w:num w:numId="29">
    <w:abstractNumId w:val="38"/>
  </w:num>
  <w:num w:numId="30">
    <w:abstractNumId w:val="39"/>
  </w:num>
  <w:num w:numId="31">
    <w:abstractNumId w:val="41"/>
  </w:num>
  <w:num w:numId="32">
    <w:abstractNumId w:val="52"/>
  </w:num>
  <w:num w:numId="33">
    <w:abstractNumId w:val="11"/>
  </w:num>
  <w:num w:numId="34">
    <w:abstractNumId w:val="49"/>
  </w:num>
  <w:num w:numId="35">
    <w:abstractNumId w:val="19"/>
  </w:num>
  <w:num w:numId="36">
    <w:abstractNumId w:val="19"/>
  </w:num>
  <w:num w:numId="37">
    <w:abstractNumId w:val="51"/>
  </w:num>
  <w:num w:numId="38">
    <w:abstractNumId w:val="2"/>
  </w:num>
  <w:num w:numId="39">
    <w:abstractNumId w:val="56"/>
  </w:num>
  <w:num w:numId="40">
    <w:abstractNumId w:val="45"/>
  </w:num>
  <w:num w:numId="41">
    <w:abstractNumId w:val="15"/>
  </w:num>
  <w:num w:numId="42">
    <w:abstractNumId w:val="23"/>
  </w:num>
  <w:num w:numId="43">
    <w:abstractNumId w:val="2"/>
    <w:lvlOverride w:ilvl="0">
      <w:startOverride w:val="1"/>
    </w:lvlOverride>
  </w:num>
  <w:num w:numId="44">
    <w:abstractNumId w:val="29"/>
  </w:num>
  <w:num w:numId="45">
    <w:abstractNumId w:val="25"/>
  </w:num>
  <w:num w:numId="46">
    <w:abstractNumId w:val="30"/>
  </w:num>
  <w:num w:numId="47">
    <w:abstractNumId w:val="12"/>
  </w:num>
  <w:num w:numId="48">
    <w:abstractNumId w:val="3"/>
  </w:num>
  <w:num w:numId="49">
    <w:abstractNumId w:val="33"/>
  </w:num>
  <w:num w:numId="50">
    <w:abstractNumId w:val="50"/>
  </w:num>
  <w:num w:numId="51">
    <w:abstractNumId w:val="34"/>
  </w:num>
  <w:num w:numId="52">
    <w:abstractNumId w:val="27"/>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7Y0NjEzNDW2NDRU0lEKTi0uzszPAykwqQUAO17KkiwAAAA="/>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Franklin Gothic Book&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dxe5zsrb92za8ef02mvr0rivzvpwp5ffwaw&quot;&gt;DCAR 1671&lt;record-ids&gt;&lt;item&gt;2&lt;/item&gt;&lt;item&gt;4&lt;/item&gt;&lt;item&gt;24&lt;/item&gt;&lt;item&gt;35&lt;/item&gt;&lt;item&gt;45&lt;/item&gt;&lt;item&gt;46&lt;/item&gt;&lt;item&gt;48&lt;/item&gt;&lt;item&gt;50&lt;/item&gt;&lt;item&gt;52&lt;/item&gt;&lt;item&gt;56&lt;/item&gt;&lt;item&gt;58&lt;/item&gt;&lt;item&gt;87&lt;/item&gt;&lt;item&gt;116&lt;/item&gt;&lt;item&gt;126&lt;/item&gt;&lt;item&gt;130&lt;/item&gt;&lt;item&gt;142&lt;/item&gt;&lt;item&gt;156&lt;/item&gt;&lt;item&gt;175&lt;/item&gt;&lt;item&gt;176&lt;/item&gt;&lt;/record-ids&gt;&lt;/item&gt;&lt;/Libraries&gt;"/>
  </w:docVars>
  <w:rsids>
    <w:rsidRoot w:val="008157F1"/>
    <w:rsid w:val="000005DE"/>
    <w:rsid w:val="000006DC"/>
    <w:rsid w:val="00000B04"/>
    <w:rsid w:val="00000C18"/>
    <w:rsid w:val="0000109A"/>
    <w:rsid w:val="0000179D"/>
    <w:rsid w:val="00001AE6"/>
    <w:rsid w:val="00001BBB"/>
    <w:rsid w:val="00002441"/>
    <w:rsid w:val="00002796"/>
    <w:rsid w:val="000029EA"/>
    <w:rsid w:val="00003B78"/>
    <w:rsid w:val="00003D88"/>
    <w:rsid w:val="000042E3"/>
    <w:rsid w:val="00004A78"/>
    <w:rsid w:val="00004C2C"/>
    <w:rsid w:val="00004CE8"/>
    <w:rsid w:val="00004D69"/>
    <w:rsid w:val="00004F7F"/>
    <w:rsid w:val="000054C9"/>
    <w:rsid w:val="000057F4"/>
    <w:rsid w:val="00005D57"/>
    <w:rsid w:val="00005DD2"/>
    <w:rsid w:val="00006196"/>
    <w:rsid w:val="000061B8"/>
    <w:rsid w:val="000063B4"/>
    <w:rsid w:val="00007370"/>
    <w:rsid w:val="000079FB"/>
    <w:rsid w:val="0001042F"/>
    <w:rsid w:val="00010CF7"/>
    <w:rsid w:val="00010E88"/>
    <w:rsid w:val="00011568"/>
    <w:rsid w:val="00011A59"/>
    <w:rsid w:val="00011D63"/>
    <w:rsid w:val="00011DFE"/>
    <w:rsid w:val="00012F3F"/>
    <w:rsid w:val="00014974"/>
    <w:rsid w:val="00014D3C"/>
    <w:rsid w:val="00015C82"/>
    <w:rsid w:val="00015CF6"/>
    <w:rsid w:val="00015D7C"/>
    <w:rsid w:val="000162DA"/>
    <w:rsid w:val="00016868"/>
    <w:rsid w:val="000171AC"/>
    <w:rsid w:val="0001724C"/>
    <w:rsid w:val="0001752B"/>
    <w:rsid w:val="00017D36"/>
    <w:rsid w:val="00021A14"/>
    <w:rsid w:val="00021EE0"/>
    <w:rsid w:val="000228B8"/>
    <w:rsid w:val="00022939"/>
    <w:rsid w:val="00022DBB"/>
    <w:rsid w:val="00022EC9"/>
    <w:rsid w:val="0002381B"/>
    <w:rsid w:val="0002429F"/>
    <w:rsid w:val="00024642"/>
    <w:rsid w:val="00024C03"/>
    <w:rsid w:val="00024EA5"/>
    <w:rsid w:val="00026A9B"/>
    <w:rsid w:val="0002755F"/>
    <w:rsid w:val="000304E6"/>
    <w:rsid w:val="00030DB7"/>
    <w:rsid w:val="000318E9"/>
    <w:rsid w:val="00032101"/>
    <w:rsid w:val="0003211C"/>
    <w:rsid w:val="00032482"/>
    <w:rsid w:val="00032BAF"/>
    <w:rsid w:val="0003340D"/>
    <w:rsid w:val="000336F4"/>
    <w:rsid w:val="00033B5D"/>
    <w:rsid w:val="0003423A"/>
    <w:rsid w:val="0003477F"/>
    <w:rsid w:val="00034EE3"/>
    <w:rsid w:val="000351D4"/>
    <w:rsid w:val="000357C7"/>
    <w:rsid w:val="000361C7"/>
    <w:rsid w:val="00036AD8"/>
    <w:rsid w:val="00036CE1"/>
    <w:rsid w:val="00036EF7"/>
    <w:rsid w:val="00037037"/>
    <w:rsid w:val="00037302"/>
    <w:rsid w:val="00037A77"/>
    <w:rsid w:val="00037F71"/>
    <w:rsid w:val="0004005D"/>
    <w:rsid w:val="00040530"/>
    <w:rsid w:val="00040690"/>
    <w:rsid w:val="0004073E"/>
    <w:rsid w:val="00040897"/>
    <w:rsid w:val="00040ADF"/>
    <w:rsid w:val="00040DC4"/>
    <w:rsid w:val="00040FB4"/>
    <w:rsid w:val="00041091"/>
    <w:rsid w:val="0004178C"/>
    <w:rsid w:val="00041F5D"/>
    <w:rsid w:val="0004257E"/>
    <w:rsid w:val="00043D8D"/>
    <w:rsid w:val="000443A6"/>
    <w:rsid w:val="000449D1"/>
    <w:rsid w:val="00044D16"/>
    <w:rsid w:val="00045B8D"/>
    <w:rsid w:val="00045CC5"/>
    <w:rsid w:val="00045FAF"/>
    <w:rsid w:val="00045FD4"/>
    <w:rsid w:val="00046698"/>
    <w:rsid w:val="00046B6A"/>
    <w:rsid w:val="00046E92"/>
    <w:rsid w:val="000472D4"/>
    <w:rsid w:val="00050140"/>
    <w:rsid w:val="00051148"/>
    <w:rsid w:val="00051653"/>
    <w:rsid w:val="00051940"/>
    <w:rsid w:val="000524EB"/>
    <w:rsid w:val="00052532"/>
    <w:rsid w:val="00052DD3"/>
    <w:rsid w:val="0005326D"/>
    <w:rsid w:val="000536AF"/>
    <w:rsid w:val="000537E0"/>
    <w:rsid w:val="00053EA7"/>
    <w:rsid w:val="00053F6C"/>
    <w:rsid w:val="000542A8"/>
    <w:rsid w:val="00054CF8"/>
    <w:rsid w:val="00055014"/>
    <w:rsid w:val="000569BD"/>
    <w:rsid w:val="000569CF"/>
    <w:rsid w:val="00057334"/>
    <w:rsid w:val="000573B0"/>
    <w:rsid w:val="00061D71"/>
    <w:rsid w:val="00061EFD"/>
    <w:rsid w:val="000628AE"/>
    <w:rsid w:val="00063190"/>
    <w:rsid w:val="0006339C"/>
    <w:rsid w:val="000638B7"/>
    <w:rsid w:val="000644C9"/>
    <w:rsid w:val="00064783"/>
    <w:rsid w:val="000647C2"/>
    <w:rsid w:val="000649F0"/>
    <w:rsid w:val="000654D7"/>
    <w:rsid w:val="00066244"/>
    <w:rsid w:val="00066FFE"/>
    <w:rsid w:val="0007021F"/>
    <w:rsid w:val="000709A0"/>
    <w:rsid w:val="00070FCB"/>
    <w:rsid w:val="00071D27"/>
    <w:rsid w:val="00072652"/>
    <w:rsid w:val="0007397D"/>
    <w:rsid w:val="00073F88"/>
    <w:rsid w:val="00074199"/>
    <w:rsid w:val="00074758"/>
    <w:rsid w:val="000749C9"/>
    <w:rsid w:val="00075059"/>
    <w:rsid w:val="00075203"/>
    <w:rsid w:val="0007543E"/>
    <w:rsid w:val="00075C01"/>
    <w:rsid w:val="00077CB1"/>
    <w:rsid w:val="00077FEC"/>
    <w:rsid w:val="00080241"/>
    <w:rsid w:val="00081778"/>
    <w:rsid w:val="00081C26"/>
    <w:rsid w:val="0008211A"/>
    <w:rsid w:val="0008350D"/>
    <w:rsid w:val="00084C8F"/>
    <w:rsid w:val="000869CD"/>
    <w:rsid w:val="00086AC6"/>
    <w:rsid w:val="000870B6"/>
    <w:rsid w:val="00090613"/>
    <w:rsid w:val="00090BD1"/>
    <w:rsid w:val="00091857"/>
    <w:rsid w:val="00091914"/>
    <w:rsid w:val="00091C59"/>
    <w:rsid w:val="00092981"/>
    <w:rsid w:val="00092A21"/>
    <w:rsid w:val="00092D89"/>
    <w:rsid w:val="00092F59"/>
    <w:rsid w:val="000934BA"/>
    <w:rsid w:val="00093D9A"/>
    <w:rsid w:val="000940A8"/>
    <w:rsid w:val="00094656"/>
    <w:rsid w:val="00094ED7"/>
    <w:rsid w:val="00095C6B"/>
    <w:rsid w:val="00095FBA"/>
    <w:rsid w:val="00096253"/>
    <w:rsid w:val="0009669D"/>
    <w:rsid w:val="0009685D"/>
    <w:rsid w:val="00096B48"/>
    <w:rsid w:val="00096B52"/>
    <w:rsid w:val="000974B4"/>
    <w:rsid w:val="000A0D27"/>
    <w:rsid w:val="000A10BF"/>
    <w:rsid w:val="000A1544"/>
    <w:rsid w:val="000A2ACD"/>
    <w:rsid w:val="000A2B65"/>
    <w:rsid w:val="000A2CD6"/>
    <w:rsid w:val="000A2DA8"/>
    <w:rsid w:val="000A3089"/>
    <w:rsid w:val="000A323B"/>
    <w:rsid w:val="000A37C0"/>
    <w:rsid w:val="000A3888"/>
    <w:rsid w:val="000A3F21"/>
    <w:rsid w:val="000A4153"/>
    <w:rsid w:val="000A4864"/>
    <w:rsid w:val="000A4AAD"/>
    <w:rsid w:val="000A50EA"/>
    <w:rsid w:val="000A5C47"/>
    <w:rsid w:val="000A6014"/>
    <w:rsid w:val="000A629E"/>
    <w:rsid w:val="000A65B2"/>
    <w:rsid w:val="000A6B30"/>
    <w:rsid w:val="000A6E56"/>
    <w:rsid w:val="000A6ECF"/>
    <w:rsid w:val="000A7213"/>
    <w:rsid w:val="000A73F0"/>
    <w:rsid w:val="000B0E98"/>
    <w:rsid w:val="000B1688"/>
    <w:rsid w:val="000B1F52"/>
    <w:rsid w:val="000B29A3"/>
    <w:rsid w:val="000B31B4"/>
    <w:rsid w:val="000B3330"/>
    <w:rsid w:val="000B43AF"/>
    <w:rsid w:val="000B4F06"/>
    <w:rsid w:val="000B50E6"/>
    <w:rsid w:val="000B5E96"/>
    <w:rsid w:val="000B5FC5"/>
    <w:rsid w:val="000B61C7"/>
    <w:rsid w:val="000B6650"/>
    <w:rsid w:val="000B670B"/>
    <w:rsid w:val="000B6BFD"/>
    <w:rsid w:val="000B6CF0"/>
    <w:rsid w:val="000B720C"/>
    <w:rsid w:val="000B73A4"/>
    <w:rsid w:val="000B74CF"/>
    <w:rsid w:val="000B7665"/>
    <w:rsid w:val="000B7D29"/>
    <w:rsid w:val="000C0887"/>
    <w:rsid w:val="000C127C"/>
    <w:rsid w:val="000C22A9"/>
    <w:rsid w:val="000C29B1"/>
    <w:rsid w:val="000C2DDC"/>
    <w:rsid w:val="000C3C29"/>
    <w:rsid w:val="000C44B7"/>
    <w:rsid w:val="000C4A97"/>
    <w:rsid w:val="000C4C8F"/>
    <w:rsid w:val="000C5893"/>
    <w:rsid w:val="000C62A4"/>
    <w:rsid w:val="000C70B2"/>
    <w:rsid w:val="000C7531"/>
    <w:rsid w:val="000C7B1D"/>
    <w:rsid w:val="000C7C46"/>
    <w:rsid w:val="000D05AF"/>
    <w:rsid w:val="000D1997"/>
    <w:rsid w:val="000D1B52"/>
    <w:rsid w:val="000D23DF"/>
    <w:rsid w:val="000D2661"/>
    <w:rsid w:val="000D2BA1"/>
    <w:rsid w:val="000D4C1B"/>
    <w:rsid w:val="000D5523"/>
    <w:rsid w:val="000D5BE3"/>
    <w:rsid w:val="000D6043"/>
    <w:rsid w:val="000D6099"/>
    <w:rsid w:val="000D63EA"/>
    <w:rsid w:val="000D63FE"/>
    <w:rsid w:val="000D64BF"/>
    <w:rsid w:val="000D67F5"/>
    <w:rsid w:val="000D7032"/>
    <w:rsid w:val="000D774F"/>
    <w:rsid w:val="000D7EF6"/>
    <w:rsid w:val="000E0274"/>
    <w:rsid w:val="000E03DC"/>
    <w:rsid w:val="000E06B6"/>
    <w:rsid w:val="000E0FEE"/>
    <w:rsid w:val="000E109F"/>
    <w:rsid w:val="000E1124"/>
    <w:rsid w:val="000E11C5"/>
    <w:rsid w:val="000E1331"/>
    <w:rsid w:val="000E1E7B"/>
    <w:rsid w:val="000E204E"/>
    <w:rsid w:val="000E33A0"/>
    <w:rsid w:val="000E34EC"/>
    <w:rsid w:val="000E40E2"/>
    <w:rsid w:val="000E45EB"/>
    <w:rsid w:val="000E5531"/>
    <w:rsid w:val="000E6186"/>
    <w:rsid w:val="000E6410"/>
    <w:rsid w:val="000E678B"/>
    <w:rsid w:val="000E6AB7"/>
    <w:rsid w:val="000E756E"/>
    <w:rsid w:val="000E7E17"/>
    <w:rsid w:val="000E7EDE"/>
    <w:rsid w:val="000F0096"/>
    <w:rsid w:val="000F05F8"/>
    <w:rsid w:val="000F0E42"/>
    <w:rsid w:val="000F2E01"/>
    <w:rsid w:val="000F312B"/>
    <w:rsid w:val="000F35BE"/>
    <w:rsid w:val="000F36A0"/>
    <w:rsid w:val="000F3750"/>
    <w:rsid w:val="000F4429"/>
    <w:rsid w:val="000F47C2"/>
    <w:rsid w:val="000F49CE"/>
    <w:rsid w:val="000F4D60"/>
    <w:rsid w:val="000F4F40"/>
    <w:rsid w:val="000F5634"/>
    <w:rsid w:val="000F5A54"/>
    <w:rsid w:val="000F60B2"/>
    <w:rsid w:val="000F6631"/>
    <w:rsid w:val="000F7442"/>
    <w:rsid w:val="000F74B9"/>
    <w:rsid w:val="000F7987"/>
    <w:rsid w:val="000F7A50"/>
    <w:rsid w:val="0010051C"/>
    <w:rsid w:val="00100DB4"/>
    <w:rsid w:val="00100F2A"/>
    <w:rsid w:val="0010151C"/>
    <w:rsid w:val="00102286"/>
    <w:rsid w:val="00102388"/>
    <w:rsid w:val="00102833"/>
    <w:rsid w:val="00102D3B"/>
    <w:rsid w:val="00103828"/>
    <w:rsid w:val="00103BDF"/>
    <w:rsid w:val="0010448B"/>
    <w:rsid w:val="0010465C"/>
    <w:rsid w:val="0010521F"/>
    <w:rsid w:val="0010589A"/>
    <w:rsid w:val="00105BED"/>
    <w:rsid w:val="0010625A"/>
    <w:rsid w:val="00106FCC"/>
    <w:rsid w:val="001071EF"/>
    <w:rsid w:val="00107524"/>
    <w:rsid w:val="00107663"/>
    <w:rsid w:val="00107B74"/>
    <w:rsid w:val="00107DCD"/>
    <w:rsid w:val="00107EF0"/>
    <w:rsid w:val="00107EF6"/>
    <w:rsid w:val="0011005A"/>
    <w:rsid w:val="00110BD1"/>
    <w:rsid w:val="00110E49"/>
    <w:rsid w:val="00111417"/>
    <w:rsid w:val="00111F82"/>
    <w:rsid w:val="00112014"/>
    <w:rsid w:val="0011246A"/>
    <w:rsid w:val="00112DB3"/>
    <w:rsid w:val="001138E4"/>
    <w:rsid w:val="001139CE"/>
    <w:rsid w:val="00113C60"/>
    <w:rsid w:val="001147ED"/>
    <w:rsid w:val="00114C3B"/>
    <w:rsid w:val="00114D62"/>
    <w:rsid w:val="00114DCB"/>
    <w:rsid w:val="001154DD"/>
    <w:rsid w:val="00115599"/>
    <w:rsid w:val="00115691"/>
    <w:rsid w:val="00115857"/>
    <w:rsid w:val="00115AFA"/>
    <w:rsid w:val="00116891"/>
    <w:rsid w:val="00116BBD"/>
    <w:rsid w:val="00116FB2"/>
    <w:rsid w:val="00117039"/>
    <w:rsid w:val="00117F04"/>
    <w:rsid w:val="00120FB1"/>
    <w:rsid w:val="00121056"/>
    <w:rsid w:val="00121116"/>
    <w:rsid w:val="00121836"/>
    <w:rsid w:val="001220B3"/>
    <w:rsid w:val="0012256C"/>
    <w:rsid w:val="00122AE3"/>
    <w:rsid w:val="00122EE1"/>
    <w:rsid w:val="0012334E"/>
    <w:rsid w:val="00123658"/>
    <w:rsid w:val="00123782"/>
    <w:rsid w:val="001237AF"/>
    <w:rsid w:val="001247EB"/>
    <w:rsid w:val="00124D5E"/>
    <w:rsid w:val="00124F3C"/>
    <w:rsid w:val="001252F8"/>
    <w:rsid w:val="001254DB"/>
    <w:rsid w:val="001257F2"/>
    <w:rsid w:val="00125B61"/>
    <w:rsid w:val="00125D9B"/>
    <w:rsid w:val="00125F0F"/>
    <w:rsid w:val="00126122"/>
    <w:rsid w:val="001266BD"/>
    <w:rsid w:val="001267E8"/>
    <w:rsid w:val="00126A14"/>
    <w:rsid w:val="00126AB1"/>
    <w:rsid w:val="00126B7B"/>
    <w:rsid w:val="00127D9B"/>
    <w:rsid w:val="00130334"/>
    <w:rsid w:val="00131089"/>
    <w:rsid w:val="00131B49"/>
    <w:rsid w:val="00131D45"/>
    <w:rsid w:val="001320F0"/>
    <w:rsid w:val="00132992"/>
    <w:rsid w:val="001336E0"/>
    <w:rsid w:val="00133C15"/>
    <w:rsid w:val="00133E44"/>
    <w:rsid w:val="00133F34"/>
    <w:rsid w:val="001343D6"/>
    <w:rsid w:val="0013447D"/>
    <w:rsid w:val="00134608"/>
    <w:rsid w:val="00134DC3"/>
    <w:rsid w:val="001350D3"/>
    <w:rsid w:val="00135227"/>
    <w:rsid w:val="00135273"/>
    <w:rsid w:val="00135FC9"/>
    <w:rsid w:val="001368BF"/>
    <w:rsid w:val="001374F7"/>
    <w:rsid w:val="001376A3"/>
    <w:rsid w:val="00137D9C"/>
    <w:rsid w:val="00137FC5"/>
    <w:rsid w:val="00140B23"/>
    <w:rsid w:val="00140C6C"/>
    <w:rsid w:val="0014196E"/>
    <w:rsid w:val="00141C04"/>
    <w:rsid w:val="00141CFE"/>
    <w:rsid w:val="00142384"/>
    <w:rsid w:val="00142A17"/>
    <w:rsid w:val="00142AAA"/>
    <w:rsid w:val="00142E23"/>
    <w:rsid w:val="00143015"/>
    <w:rsid w:val="00143478"/>
    <w:rsid w:val="0014387E"/>
    <w:rsid w:val="00143F2F"/>
    <w:rsid w:val="001440CB"/>
    <w:rsid w:val="00144484"/>
    <w:rsid w:val="00144950"/>
    <w:rsid w:val="0014588A"/>
    <w:rsid w:val="00145A60"/>
    <w:rsid w:val="00145B8E"/>
    <w:rsid w:val="00146624"/>
    <w:rsid w:val="00147B46"/>
    <w:rsid w:val="00150376"/>
    <w:rsid w:val="001512A2"/>
    <w:rsid w:val="0015148F"/>
    <w:rsid w:val="00151DBD"/>
    <w:rsid w:val="001521D2"/>
    <w:rsid w:val="001525D4"/>
    <w:rsid w:val="00152B70"/>
    <w:rsid w:val="001531D6"/>
    <w:rsid w:val="00153472"/>
    <w:rsid w:val="00153560"/>
    <w:rsid w:val="00153EA1"/>
    <w:rsid w:val="00154C3F"/>
    <w:rsid w:val="001553D8"/>
    <w:rsid w:val="00155434"/>
    <w:rsid w:val="001558B4"/>
    <w:rsid w:val="00155A52"/>
    <w:rsid w:val="00155BDA"/>
    <w:rsid w:val="001560FB"/>
    <w:rsid w:val="00156CD6"/>
    <w:rsid w:val="00156FA7"/>
    <w:rsid w:val="001572E8"/>
    <w:rsid w:val="001576A6"/>
    <w:rsid w:val="0016023A"/>
    <w:rsid w:val="0016049C"/>
    <w:rsid w:val="00160AC8"/>
    <w:rsid w:val="00160CC1"/>
    <w:rsid w:val="001619E8"/>
    <w:rsid w:val="00161D54"/>
    <w:rsid w:val="00161EBB"/>
    <w:rsid w:val="00162337"/>
    <w:rsid w:val="001627BD"/>
    <w:rsid w:val="00162913"/>
    <w:rsid w:val="00162DBF"/>
    <w:rsid w:val="001639D0"/>
    <w:rsid w:val="00163D10"/>
    <w:rsid w:val="00164CDC"/>
    <w:rsid w:val="00164CF8"/>
    <w:rsid w:val="00165114"/>
    <w:rsid w:val="00165307"/>
    <w:rsid w:val="001653AE"/>
    <w:rsid w:val="00165E43"/>
    <w:rsid w:val="00165E6D"/>
    <w:rsid w:val="0016774E"/>
    <w:rsid w:val="00167DA3"/>
    <w:rsid w:val="001701C0"/>
    <w:rsid w:val="001701E7"/>
    <w:rsid w:val="00170874"/>
    <w:rsid w:val="00170D5B"/>
    <w:rsid w:val="00171859"/>
    <w:rsid w:val="00171970"/>
    <w:rsid w:val="00171BCA"/>
    <w:rsid w:val="00172648"/>
    <w:rsid w:val="00172B8F"/>
    <w:rsid w:val="00172CA2"/>
    <w:rsid w:val="00172DC4"/>
    <w:rsid w:val="0017369A"/>
    <w:rsid w:val="001736F8"/>
    <w:rsid w:val="00173CF5"/>
    <w:rsid w:val="00173D85"/>
    <w:rsid w:val="00173EC6"/>
    <w:rsid w:val="00174F40"/>
    <w:rsid w:val="00174FD4"/>
    <w:rsid w:val="00175E88"/>
    <w:rsid w:val="00175F1D"/>
    <w:rsid w:val="00176329"/>
    <w:rsid w:val="001771AD"/>
    <w:rsid w:val="001771F9"/>
    <w:rsid w:val="00177543"/>
    <w:rsid w:val="001775C5"/>
    <w:rsid w:val="00177806"/>
    <w:rsid w:val="00180668"/>
    <w:rsid w:val="001828DE"/>
    <w:rsid w:val="00182FBD"/>
    <w:rsid w:val="0018338A"/>
    <w:rsid w:val="00183692"/>
    <w:rsid w:val="00183D76"/>
    <w:rsid w:val="00184BAE"/>
    <w:rsid w:val="00184CC1"/>
    <w:rsid w:val="00184D74"/>
    <w:rsid w:val="00185328"/>
    <w:rsid w:val="00190733"/>
    <w:rsid w:val="00191857"/>
    <w:rsid w:val="00192130"/>
    <w:rsid w:val="00192219"/>
    <w:rsid w:val="001923DD"/>
    <w:rsid w:val="0019362A"/>
    <w:rsid w:val="001938EF"/>
    <w:rsid w:val="0019465C"/>
    <w:rsid w:val="0019474E"/>
    <w:rsid w:val="0019505F"/>
    <w:rsid w:val="001950DA"/>
    <w:rsid w:val="00195728"/>
    <w:rsid w:val="00195FA7"/>
    <w:rsid w:val="001960D8"/>
    <w:rsid w:val="00196153"/>
    <w:rsid w:val="001969C8"/>
    <w:rsid w:val="001970C0"/>
    <w:rsid w:val="00197318"/>
    <w:rsid w:val="001A023A"/>
    <w:rsid w:val="001A11D2"/>
    <w:rsid w:val="001A17CF"/>
    <w:rsid w:val="001A1CAD"/>
    <w:rsid w:val="001A1CB7"/>
    <w:rsid w:val="001A1E01"/>
    <w:rsid w:val="001A26DE"/>
    <w:rsid w:val="001A275B"/>
    <w:rsid w:val="001A31C2"/>
    <w:rsid w:val="001A3E45"/>
    <w:rsid w:val="001A420B"/>
    <w:rsid w:val="001A44F7"/>
    <w:rsid w:val="001A4B97"/>
    <w:rsid w:val="001A4F7D"/>
    <w:rsid w:val="001A509C"/>
    <w:rsid w:val="001A71F2"/>
    <w:rsid w:val="001A7B42"/>
    <w:rsid w:val="001A7D8F"/>
    <w:rsid w:val="001B02B4"/>
    <w:rsid w:val="001B0D4B"/>
    <w:rsid w:val="001B1087"/>
    <w:rsid w:val="001B1668"/>
    <w:rsid w:val="001B264C"/>
    <w:rsid w:val="001B2A97"/>
    <w:rsid w:val="001B2CB5"/>
    <w:rsid w:val="001B2CD4"/>
    <w:rsid w:val="001B2E40"/>
    <w:rsid w:val="001B45A5"/>
    <w:rsid w:val="001B4C1B"/>
    <w:rsid w:val="001B5470"/>
    <w:rsid w:val="001B564F"/>
    <w:rsid w:val="001B5F70"/>
    <w:rsid w:val="001B6345"/>
    <w:rsid w:val="001B7329"/>
    <w:rsid w:val="001B7380"/>
    <w:rsid w:val="001C0FA5"/>
    <w:rsid w:val="001C174A"/>
    <w:rsid w:val="001C1C9E"/>
    <w:rsid w:val="001C1D05"/>
    <w:rsid w:val="001C1D4C"/>
    <w:rsid w:val="001C2A48"/>
    <w:rsid w:val="001C362A"/>
    <w:rsid w:val="001C3817"/>
    <w:rsid w:val="001C40A9"/>
    <w:rsid w:val="001C4B05"/>
    <w:rsid w:val="001C4FAB"/>
    <w:rsid w:val="001C5081"/>
    <w:rsid w:val="001C5873"/>
    <w:rsid w:val="001C59DF"/>
    <w:rsid w:val="001C69E3"/>
    <w:rsid w:val="001C6DFD"/>
    <w:rsid w:val="001C7741"/>
    <w:rsid w:val="001C79CF"/>
    <w:rsid w:val="001C7B33"/>
    <w:rsid w:val="001D0D2C"/>
    <w:rsid w:val="001D186B"/>
    <w:rsid w:val="001D1B60"/>
    <w:rsid w:val="001D26E0"/>
    <w:rsid w:val="001D32C0"/>
    <w:rsid w:val="001D3A64"/>
    <w:rsid w:val="001D3A70"/>
    <w:rsid w:val="001D4800"/>
    <w:rsid w:val="001D483E"/>
    <w:rsid w:val="001D4FEC"/>
    <w:rsid w:val="001D5793"/>
    <w:rsid w:val="001D5F7F"/>
    <w:rsid w:val="001D63D0"/>
    <w:rsid w:val="001D6B25"/>
    <w:rsid w:val="001D74A7"/>
    <w:rsid w:val="001D77B7"/>
    <w:rsid w:val="001D7A9D"/>
    <w:rsid w:val="001D7D24"/>
    <w:rsid w:val="001E13F0"/>
    <w:rsid w:val="001E14E9"/>
    <w:rsid w:val="001E15F2"/>
    <w:rsid w:val="001E22F7"/>
    <w:rsid w:val="001E436E"/>
    <w:rsid w:val="001E4651"/>
    <w:rsid w:val="001E465F"/>
    <w:rsid w:val="001E472A"/>
    <w:rsid w:val="001E546A"/>
    <w:rsid w:val="001E56E5"/>
    <w:rsid w:val="001E609C"/>
    <w:rsid w:val="001E6149"/>
    <w:rsid w:val="001E646F"/>
    <w:rsid w:val="001E680D"/>
    <w:rsid w:val="001E693A"/>
    <w:rsid w:val="001F0704"/>
    <w:rsid w:val="001F0B96"/>
    <w:rsid w:val="001F1227"/>
    <w:rsid w:val="001F2107"/>
    <w:rsid w:val="001F2902"/>
    <w:rsid w:val="001F35E9"/>
    <w:rsid w:val="001F3B56"/>
    <w:rsid w:val="001F3F36"/>
    <w:rsid w:val="001F46A5"/>
    <w:rsid w:val="001F5103"/>
    <w:rsid w:val="001F516F"/>
    <w:rsid w:val="001F51B6"/>
    <w:rsid w:val="001F5347"/>
    <w:rsid w:val="001F53F5"/>
    <w:rsid w:val="001F64FB"/>
    <w:rsid w:val="001F658C"/>
    <w:rsid w:val="001F675C"/>
    <w:rsid w:val="001F6F44"/>
    <w:rsid w:val="001F7393"/>
    <w:rsid w:val="001F7563"/>
    <w:rsid w:val="00200CA3"/>
    <w:rsid w:val="00201162"/>
    <w:rsid w:val="00202714"/>
    <w:rsid w:val="00202C1E"/>
    <w:rsid w:val="00202CA8"/>
    <w:rsid w:val="002034C1"/>
    <w:rsid w:val="00203A01"/>
    <w:rsid w:val="00203EDF"/>
    <w:rsid w:val="002055A9"/>
    <w:rsid w:val="0020575A"/>
    <w:rsid w:val="00205D7A"/>
    <w:rsid w:val="00206812"/>
    <w:rsid w:val="002076A8"/>
    <w:rsid w:val="00207A7A"/>
    <w:rsid w:val="00207E2B"/>
    <w:rsid w:val="00207F59"/>
    <w:rsid w:val="00210BA0"/>
    <w:rsid w:val="00211DC3"/>
    <w:rsid w:val="002127C6"/>
    <w:rsid w:val="002141B2"/>
    <w:rsid w:val="00214842"/>
    <w:rsid w:val="00214D0E"/>
    <w:rsid w:val="0021519B"/>
    <w:rsid w:val="002155B6"/>
    <w:rsid w:val="002157E4"/>
    <w:rsid w:val="0021589C"/>
    <w:rsid w:val="00215AFB"/>
    <w:rsid w:val="00215C73"/>
    <w:rsid w:val="00215DEA"/>
    <w:rsid w:val="00216477"/>
    <w:rsid w:val="00216D1C"/>
    <w:rsid w:val="0021783E"/>
    <w:rsid w:val="00217AD6"/>
    <w:rsid w:val="00217C76"/>
    <w:rsid w:val="002200D8"/>
    <w:rsid w:val="00220169"/>
    <w:rsid w:val="0022091D"/>
    <w:rsid w:val="0022207B"/>
    <w:rsid w:val="002221F2"/>
    <w:rsid w:val="0022230C"/>
    <w:rsid w:val="002225BD"/>
    <w:rsid w:val="002230DE"/>
    <w:rsid w:val="00223664"/>
    <w:rsid w:val="00223A56"/>
    <w:rsid w:val="002246E4"/>
    <w:rsid w:val="00224F8F"/>
    <w:rsid w:val="00225222"/>
    <w:rsid w:val="00225459"/>
    <w:rsid w:val="00225833"/>
    <w:rsid w:val="00225B1B"/>
    <w:rsid w:val="00225DD4"/>
    <w:rsid w:val="00226095"/>
    <w:rsid w:val="002262A3"/>
    <w:rsid w:val="00226353"/>
    <w:rsid w:val="002276FD"/>
    <w:rsid w:val="0022794D"/>
    <w:rsid w:val="00227B89"/>
    <w:rsid w:val="00227E8A"/>
    <w:rsid w:val="00227F43"/>
    <w:rsid w:val="002308B4"/>
    <w:rsid w:val="00230BF9"/>
    <w:rsid w:val="00231169"/>
    <w:rsid w:val="00234408"/>
    <w:rsid w:val="00234640"/>
    <w:rsid w:val="002348F8"/>
    <w:rsid w:val="00235039"/>
    <w:rsid w:val="002351F0"/>
    <w:rsid w:val="00235668"/>
    <w:rsid w:val="00237317"/>
    <w:rsid w:val="0023750A"/>
    <w:rsid w:val="00240106"/>
    <w:rsid w:val="002403AC"/>
    <w:rsid w:val="002408F9"/>
    <w:rsid w:val="002411C7"/>
    <w:rsid w:val="002422BA"/>
    <w:rsid w:val="00242F4E"/>
    <w:rsid w:val="00243662"/>
    <w:rsid w:val="002438B1"/>
    <w:rsid w:val="00244021"/>
    <w:rsid w:val="002450F7"/>
    <w:rsid w:val="002452A0"/>
    <w:rsid w:val="0024562B"/>
    <w:rsid w:val="00245D91"/>
    <w:rsid w:val="00246315"/>
    <w:rsid w:val="002463A6"/>
    <w:rsid w:val="00246ADB"/>
    <w:rsid w:val="00247127"/>
    <w:rsid w:val="002511F2"/>
    <w:rsid w:val="002517A5"/>
    <w:rsid w:val="002518CE"/>
    <w:rsid w:val="00251E66"/>
    <w:rsid w:val="00251F6C"/>
    <w:rsid w:val="0025222F"/>
    <w:rsid w:val="0025249C"/>
    <w:rsid w:val="00252652"/>
    <w:rsid w:val="002529A0"/>
    <w:rsid w:val="00253638"/>
    <w:rsid w:val="002539ED"/>
    <w:rsid w:val="00253AA4"/>
    <w:rsid w:val="00253C85"/>
    <w:rsid w:val="00253FE8"/>
    <w:rsid w:val="0025440D"/>
    <w:rsid w:val="0025450E"/>
    <w:rsid w:val="00254A61"/>
    <w:rsid w:val="00255152"/>
    <w:rsid w:val="00255178"/>
    <w:rsid w:val="0025554E"/>
    <w:rsid w:val="00256229"/>
    <w:rsid w:val="0025683C"/>
    <w:rsid w:val="00256B06"/>
    <w:rsid w:val="00256DE1"/>
    <w:rsid w:val="0025737A"/>
    <w:rsid w:val="00257BF4"/>
    <w:rsid w:val="00260547"/>
    <w:rsid w:val="00260804"/>
    <w:rsid w:val="00260934"/>
    <w:rsid w:val="002614B2"/>
    <w:rsid w:val="00261A55"/>
    <w:rsid w:val="00261B73"/>
    <w:rsid w:val="00261EF4"/>
    <w:rsid w:val="00262430"/>
    <w:rsid w:val="002633BD"/>
    <w:rsid w:val="002636BD"/>
    <w:rsid w:val="002637EF"/>
    <w:rsid w:val="002638F4"/>
    <w:rsid w:val="0026403E"/>
    <w:rsid w:val="002640C1"/>
    <w:rsid w:val="00265CF3"/>
    <w:rsid w:val="0026613F"/>
    <w:rsid w:val="0026638D"/>
    <w:rsid w:val="00267A7E"/>
    <w:rsid w:val="00270155"/>
    <w:rsid w:val="00270A54"/>
    <w:rsid w:val="0027160C"/>
    <w:rsid w:val="002727E9"/>
    <w:rsid w:val="00273608"/>
    <w:rsid w:val="002751D1"/>
    <w:rsid w:val="00275209"/>
    <w:rsid w:val="002760C8"/>
    <w:rsid w:val="002771E8"/>
    <w:rsid w:val="00277350"/>
    <w:rsid w:val="00277B0B"/>
    <w:rsid w:val="00277B54"/>
    <w:rsid w:val="0028116D"/>
    <w:rsid w:val="00281282"/>
    <w:rsid w:val="00284340"/>
    <w:rsid w:val="00285620"/>
    <w:rsid w:val="00285BBD"/>
    <w:rsid w:val="00286CD9"/>
    <w:rsid w:val="00287293"/>
    <w:rsid w:val="00287717"/>
    <w:rsid w:val="00287B90"/>
    <w:rsid w:val="00287E78"/>
    <w:rsid w:val="00290676"/>
    <w:rsid w:val="002906D9"/>
    <w:rsid w:val="00290934"/>
    <w:rsid w:val="00290A7E"/>
    <w:rsid w:val="00290B8B"/>
    <w:rsid w:val="00291346"/>
    <w:rsid w:val="00291462"/>
    <w:rsid w:val="00291572"/>
    <w:rsid w:val="00291A52"/>
    <w:rsid w:val="00291B6F"/>
    <w:rsid w:val="00291DA4"/>
    <w:rsid w:val="00291FA7"/>
    <w:rsid w:val="00292198"/>
    <w:rsid w:val="0029364B"/>
    <w:rsid w:val="00293867"/>
    <w:rsid w:val="0029401C"/>
    <w:rsid w:val="00295752"/>
    <w:rsid w:val="00295A50"/>
    <w:rsid w:val="0029784A"/>
    <w:rsid w:val="002A0224"/>
    <w:rsid w:val="002A04B4"/>
    <w:rsid w:val="002A0D60"/>
    <w:rsid w:val="002A1270"/>
    <w:rsid w:val="002A145B"/>
    <w:rsid w:val="002A1831"/>
    <w:rsid w:val="002A18BE"/>
    <w:rsid w:val="002A2B9E"/>
    <w:rsid w:val="002A314E"/>
    <w:rsid w:val="002A36F6"/>
    <w:rsid w:val="002A391D"/>
    <w:rsid w:val="002A3AB4"/>
    <w:rsid w:val="002A4084"/>
    <w:rsid w:val="002A4624"/>
    <w:rsid w:val="002A4AD6"/>
    <w:rsid w:val="002A4E01"/>
    <w:rsid w:val="002A6086"/>
    <w:rsid w:val="002A63E6"/>
    <w:rsid w:val="002A6AA2"/>
    <w:rsid w:val="002A7196"/>
    <w:rsid w:val="002A76AE"/>
    <w:rsid w:val="002A76EB"/>
    <w:rsid w:val="002A797E"/>
    <w:rsid w:val="002A7BF7"/>
    <w:rsid w:val="002A7E54"/>
    <w:rsid w:val="002B020D"/>
    <w:rsid w:val="002B0BAE"/>
    <w:rsid w:val="002B0CF6"/>
    <w:rsid w:val="002B0E5E"/>
    <w:rsid w:val="002B1384"/>
    <w:rsid w:val="002B17A5"/>
    <w:rsid w:val="002B2882"/>
    <w:rsid w:val="002B29D5"/>
    <w:rsid w:val="002B34E4"/>
    <w:rsid w:val="002B3681"/>
    <w:rsid w:val="002B36B7"/>
    <w:rsid w:val="002B3960"/>
    <w:rsid w:val="002B3FD0"/>
    <w:rsid w:val="002B43AC"/>
    <w:rsid w:val="002B48F1"/>
    <w:rsid w:val="002B4DDF"/>
    <w:rsid w:val="002B57BA"/>
    <w:rsid w:val="002B629C"/>
    <w:rsid w:val="002B667C"/>
    <w:rsid w:val="002B6A12"/>
    <w:rsid w:val="002B6F18"/>
    <w:rsid w:val="002B757C"/>
    <w:rsid w:val="002B7F3C"/>
    <w:rsid w:val="002C0140"/>
    <w:rsid w:val="002C0FC8"/>
    <w:rsid w:val="002C11CA"/>
    <w:rsid w:val="002C1E20"/>
    <w:rsid w:val="002C1EAC"/>
    <w:rsid w:val="002C2D55"/>
    <w:rsid w:val="002C3165"/>
    <w:rsid w:val="002C3934"/>
    <w:rsid w:val="002C45E8"/>
    <w:rsid w:val="002C4DB8"/>
    <w:rsid w:val="002C532F"/>
    <w:rsid w:val="002C57B9"/>
    <w:rsid w:val="002C64FC"/>
    <w:rsid w:val="002C6B61"/>
    <w:rsid w:val="002C6FCF"/>
    <w:rsid w:val="002C70CE"/>
    <w:rsid w:val="002C717C"/>
    <w:rsid w:val="002C7753"/>
    <w:rsid w:val="002C7F4A"/>
    <w:rsid w:val="002D0F1F"/>
    <w:rsid w:val="002D138F"/>
    <w:rsid w:val="002D271D"/>
    <w:rsid w:val="002D2D02"/>
    <w:rsid w:val="002D2D1F"/>
    <w:rsid w:val="002D376B"/>
    <w:rsid w:val="002D454E"/>
    <w:rsid w:val="002D4CC5"/>
    <w:rsid w:val="002D5097"/>
    <w:rsid w:val="002D55E4"/>
    <w:rsid w:val="002D568D"/>
    <w:rsid w:val="002D57AF"/>
    <w:rsid w:val="002D5BE2"/>
    <w:rsid w:val="002D5C7B"/>
    <w:rsid w:val="002D690D"/>
    <w:rsid w:val="002D70DC"/>
    <w:rsid w:val="002D763A"/>
    <w:rsid w:val="002E29BC"/>
    <w:rsid w:val="002E31A5"/>
    <w:rsid w:val="002E323B"/>
    <w:rsid w:val="002E3BCC"/>
    <w:rsid w:val="002E3FDC"/>
    <w:rsid w:val="002E463F"/>
    <w:rsid w:val="002E4826"/>
    <w:rsid w:val="002E4DDA"/>
    <w:rsid w:val="002E5199"/>
    <w:rsid w:val="002E5496"/>
    <w:rsid w:val="002E55FE"/>
    <w:rsid w:val="002E58DE"/>
    <w:rsid w:val="002E6BCA"/>
    <w:rsid w:val="002E6FE3"/>
    <w:rsid w:val="002E7775"/>
    <w:rsid w:val="002E78E4"/>
    <w:rsid w:val="002E7AD2"/>
    <w:rsid w:val="002E7EF3"/>
    <w:rsid w:val="002F0083"/>
    <w:rsid w:val="002F0696"/>
    <w:rsid w:val="002F0C48"/>
    <w:rsid w:val="002F0C7C"/>
    <w:rsid w:val="002F1077"/>
    <w:rsid w:val="002F1399"/>
    <w:rsid w:val="002F1692"/>
    <w:rsid w:val="002F1F6C"/>
    <w:rsid w:val="002F294A"/>
    <w:rsid w:val="002F2D1B"/>
    <w:rsid w:val="002F32FB"/>
    <w:rsid w:val="002F3B1D"/>
    <w:rsid w:val="002F3B24"/>
    <w:rsid w:val="002F4BCD"/>
    <w:rsid w:val="002F4E73"/>
    <w:rsid w:val="002F5611"/>
    <w:rsid w:val="002F590E"/>
    <w:rsid w:val="002F5A1A"/>
    <w:rsid w:val="002F5F5E"/>
    <w:rsid w:val="002F5F85"/>
    <w:rsid w:val="002F6145"/>
    <w:rsid w:val="002F693F"/>
    <w:rsid w:val="002F7F47"/>
    <w:rsid w:val="003008CC"/>
    <w:rsid w:val="00301763"/>
    <w:rsid w:val="0030194D"/>
    <w:rsid w:val="00301F3A"/>
    <w:rsid w:val="00302252"/>
    <w:rsid w:val="00303C60"/>
    <w:rsid w:val="00304CB8"/>
    <w:rsid w:val="00304FB8"/>
    <w:rsid w:val="00305FF5"/>
    <w:rsid w:val="003064E4"/>
    <w:rsid w:val="00306766"/>
    <w:rsid w:val="00307299"/>
    <w:rsid w:val="003075DC"/>
    <w:rsid w:val="003100DB"/>
    <w:rsid w:val="0031072D"/>
    <w:rsid w:val="00310B9B"/>
    <w:rsid w:val="00310C3F"/>
    <w:rsid w:val="003112CE"/>
    <w:rsid w:val="0031142D"/>
    <w:rsid w:val="003116AC"/>
    <w:rsid w:val="00311AE1"/>
    <w:rsid w:val="00311CEC"/>
    <w:rsid w:val="0031257F"/>
    <w:rsid w:val="0031267B"/>
    <w:rsid w:val="00313944"/>
    <w:rsid w:val="003140D2"/>
    <w:rsid w:val="003151D2"/>
    <w:rsid w:val="00315848"/>
    <w:rsid w:val="0031589A"/>
    <w:rsid w:val="00315A83"/>
    <w:rsid w:val="003165C5"/>
    <w:rsid w:val="00316819"/>
    <w:rsid w:val="0031760B"/>
    <w:rsid w:val="00317714"/>
    <w:rsid w:val="00317FC6"/>
    <w:rsid w:val="003200A2"/>
    <w:rsid w:val="0032021F"/>
    <w:rsid w:val="0032059A"/>
    <w:rsid w:val="003208AC"/>
    <w:rsid w:val="0032097E"/>
    <w:rsid w:val="00320A17"/>
    <w:rsid w:val="00320F69"/>
    <w:rsid w:val="003213DC"/>
    <w:rsid w:val="003218CD"/>
    <w:rsid w:val="003219BF"/>
    <w:rsid w:val="00322A61"/>
    <w:rsid w:val="00322DA9"/>
    <w:rsid w:val="0032343F"/>
    <w:rsid w:val="003234B1"/>
    <w:rsid w:val="00323AF6"/>
    <w:rsid w:val="00324270"/>
    <w:rsid w:val="00324435"/>
    <w:rsid w:val="00324A9B"/>
    <w:rsid w:val="00324BA1"/>
    <w:rsid w:val="003251C2"/>
    <w:rsid w:val="003255A4"/>
    <w:rsid w:val="00325696"/>
    <w:rsid w:val="00325FA0"/>
    <w:rsid w:val="00326C37"/>
    <w:rsid w:val="00326F1C"/>
    <w:rsid w:val="00327162"/>
    <w:rsid w:val="0032747B"/>
    <w:rsid w:val="003274E0"/>
    <w:rsid w:val="00327859"/>
    <w:rsid w:val="00330A0A"/>
    <w:rsid w:val="00331BF3"/>
    <w:rsid w:val="00331D66"/>
    <w:rsid w:val="00332005"/>
    <w:rsid w:val="003327AA"/>
    <w:rsid w:val="003328A9"/>
    <w:rsid w:val="003328FC"/>
    <w:rsid w:val="00334063"/>
    <w:rsid w:val="0033487A"/>
    <w:rsid w:val="00335256"/>
    <w:rsid w:val="00335AC9"/>
    <w:rsid w:val="00335DD0"/>
    <w:rsid w:val="00336864"/>
    <w:rsid w:val="00336C23"/>
    <w:rsid w:val="00336E20"/>
    <w:rsid w:val="003371B5"/>
    <w:rsid w:val="0033723F"/>
    <w:rsid w:val="00337BAF"/>
    <w:rsid w:val="00340341"/>
    <w:rsid w:val="003407A2"/>
    <w:rsid w:val="00340803"/>
    <w:rsid w:val="00340A68"/>
    <w:rsid w:val="00340CAF"/>
    <w:rsid w:val="00341043"/>
    <w:rsid w:val="003417CB"/>
    <w:rsid w:val="00342446"/>
    <w:rsid w:val="003431F1"/>
    <w:rsid w:val="003435A9"/>
    <w:rsid w:val="0034395B"/>
    <w:rsid w:val="003444F7"/>
    <w:rsid w:val="00344649"/>
    <w:rsid w:val="00344791"/>
    <w:rsid w:val="0034480B"/>
    <w:rsid w:val="00344FF6"/>
    <w:rsid w:val="00345496"/>
    <w:rsid w:val="00345897"/>
    <w:rsid w:val="00345BCF"/>
    <w:rsid w:val="00346164"/>
    <w:rsid w:val="003466F9"/>
    <w:rsid w:val="00346D2D"/>
    <w:rsid w:val="00347E65"/>
    <w:rsid w:val="00350092"/>
    <w:rsid w:val="00350A0B"/>
    <w:rsid w:val="00350E73"/>
    <w:rsid w:val="00351778"/>
    <w:rsid w:val="003519AD"/>
    <w:rsid w:val="00351DD4"/>
    <w:rsid w:val="00351E0E"/>
    <w:rsid w:val="00351E13"/>
    <w:rsid w:val="0035210B"/>
    <w:rsid w:val="00352810"/>
    <w:rsid w:val="003534D8"/>
    <w:rsid w:val="00353A80"/>
    <w:rsid w:val="00354BD9"/>
    <w:rsid w:val="00354EB4"/>
    <w:rsid w:val="00355D31"/>
    <w:rsid w:val="00356291"/>
    <w:rsid w:val="00356D29"/>
    <w:rsid w:val="003571C2"/>
    <w:rsid w:val="003579BD"/>
    <w:rsid w:val="0036165D"/>
    <w:rsid w:val="00361AF6"/>
    <w:rsid w:val="00361C0C"/>
    <w:rsid w:val="003620A7"/>
    <w:rsid w:val="00362998"/>
    <w:rsid w:val="00362FB6"/>
    <w:rsid w:val="00363A9A"/>
    <w:rsid w:val="003640A7"/>
    <w:rsid w:val="003648A6"/>
    <w:rsid w:val="00364B61"/>
    <w:rsid w:val="00364E1F"/>
    <w:rsid w:val="00364E6C"/>
    <w:rsid w:val="0036505E"/>
    <w:rsid w:val="00365447"/>
    <w:rsid w:val="00365637"/>
    <w:rsid w:val="0036729D"/>
    <w:rsid w:val="00367570"/>
    <w:rsid w:val="0036794E"/>
    <w:rsid w:val="00370A73"/>
    <w:rsid w:val="00370B7D"/>
    <w:rsid w:val="0037184B"/>
    <w:rsid w:val="00372A32"/>
    <w:rsid w:val="00373A23"/>
    <w:rsid w:val="00373C86"/>
    <w:rsid w:val="00373D6A"/>
    <w:rsid w:val="00375E17"/>
    <w:rsid w:val="00375E2E"/>
    <w:rsid w:val="0037684F"/>
    <w:rsid w:val="00377732"/>
    <w:rsid w:val="00377B92"/>
    <w:rsid w:val="00377C9B"/>
    <w:rsid w:val="00377E52"/>
    <w:rsid w:val="00377EB0"/>
    <w:rsid w:val="003807C8"/>
    <w:rsid w:val="00380931"/>
    <w:rsid w:val="00380C3B"/>
    <w:rsid w:val="003811FD"/>
    <w:rsid w:val="0038146C"/>
    <w:rsid w:val="00382609"/>
    <w:rsid w:val="003831B1"/>
    <w:rsid w:val="0038392F"/>
    <w:rsid w:val="00383C5D"/>
    <w:rsid w:val="0038435B"/>
    <w:rsid w:val="00384807"/>
    <w:rsid w:val="00384B93"/>
    <w:rsid w:val="00385C7A"/>
    <w:rsid w:val="00385DF4"/>
    <w:rsid w:val="00386124"/>
    <w:rsid w:val="003864D5"/>
    <w:rsid w:val="003869D5"/>
    <w:rsid w:val="00386AE5"/>
    <w:rsid w:val="00386CDA"/>
    <w:rsid w:val="00390567"/>
    <w:rsid w:val="00391329"/>
    <w:rsid w:val="00392B0E"/>
    <w:rsid w:val="00392C07"/>
    <w:rsid w:val="00392F38"/>
    <w:rsid w:val="00393715"/>
    <w:rsid w:val="00393B4D"/>
    <w:rsid w:val="0039464A"/>
    <w:rsid w:val="00394701"/>
    <w:rsid w:val="003952F4"/>
    <w:rsid w:val="003954E9"/>
    <w:rsid w:val="00395F3E"/>
    <w:rsid w:val="003966F6"/>
    <w:rsid w:val="0039677D"/>
    <w:rsid w:val="00397018"/>
    <w:rsid w:val="003970E0"/>
    <w:rsid w:val="003A0389"/>
    <w:rsid w:val="003A03BA"/>
    <w:rsid w:val="003A0546"/>
    <w:rsid w:val="003A0660"/>
    <w:rsid w:val="003A0B9B"/>
    <w:rsid w:val="003A0D52"/>
    <w:rsid w:val="003A0D53"/>
    <w:rsid w:val="003A0E2D"/>
    <w:rsid w:val="003A1B2A"/>
    <w:rsid w:val="003A20B5"/>
    <w:rsid w:val="003A2D20"/>
    <w:rsid w:val="003A2DDA"/>
    <w:rsid w:val="003A2ED1"/>
    <w:rsid w:val="003A3518"/>
    <w:rsid w:val="003A353E"/>
    <w:rsid w:val="003A3661"/>
    <w:rsid w:val="003A3740"/>
    <w:rsid w:val="003A3D14"/>
    <w:rsid w:val="003A4106"/>
    <w:rsid w:val="003A467A"/>
    <w:rsid w:val="003A4689"/>
    <w:rsid w:val="003A4C47"/>
    <w:rsid w:val="003A4DDE"/>
    <w:rsid w:val="003A5B25"/>
    <w:rsid w:val="003A6724"/>
    <w:rsid w:val="003A67AD"/>
    <w:rsid w:val="003A68AC"/>
    <w:rsid w:val="003A6E1A"/>
    <w:rsid w:val="003A73A3"/>
    <w:rsid w:val="003A7BAF"/>
    <w:rsid w:val="003A7DA1"/>
    <w:rsid w:val="003B0AD7"/>
    <w:rsid w:val="003B0BA1"/>
    <w:rsid w:val="003B0F45"/>
    <w:rsid w:val="003B15D6"/>
    <w:rsid w:val="003B17B9"/>
    <w:rsid w:val="003B1E45"/>
    <w:rsid w:val="003B26D9"/>
    <w:rsid w:val="003B39DB"/>
    <w:rsid w:val="003B3AB3"/>
    <w:rsid w:val="003B3BF3"/>
    <w:rsid w:val="003B3F46"/>
    <w:rsid w:val="003B40D1"/>
    <w:rsid w:val="003B4599"/>
    <w:rsid w:val="003B4D96"/>
    <w:rsid w:val="003B532B"/>
    <w:rsid w:val="003B61B7"/>
    <w:rsid w:val="003C05C3"/>
    <w:rsid w:val="003C05DA"/>
    <w:rsid w:val="003C124B"/>
    <w:rsid w:val="003C127E"/>
    <w:rsid w:val="003C1AE2"/>
    <w:rsid w:val="003C21BB"/>
    <w:rsid w:val="003C2D59"/>
    <w:rsid w:val="003C30F5"/>
    <w:rsid w:val="003C3682"/>
    <w:rsid w:val="003C4046"/>
    <w:rsid w:val="003C44EC"/>
    <w:rsid w:val="003C4B38"/>
    <w:rsid w:val="003C4C91"/>
    <w:rsid w:val="003C4F8F"/>
    <w:rsid w:val="003C5058"/>
    <w:rsid w:val="003C5FBA"/>
    <w:rsid w:val="003C6826"/>
    <w:rsid w:val="003C6B59"/>
    <w:rsid w:val="003C6F14"/>
    <w:rsid w:val="003C7093"/>
    <w:rsid w:val="003C7104"/>
    <w:rsid w:val="003C72FD"/>
    <w:rsid w:val="003D0A37"/>
    <w:rsid w:val="003D0FD9"/>
    <w:rsid w:val="003D1E13"/>
    <w:rsid w:val="003D299E"/>
    <w:rsid w:val="003D348E"/>
    <w:rsid w:val="003D358B"/>
    <w:rsid w:val="003D3751"/>
    <w:rsid w:val="003D4295"/>
    <w:rsid w:val="003D5233"/>
    <w:rsid w:val="003D55E1"/>
    <w:rsid w:val="003D626D"/>
    <w:rsid w:val="003D641A"/>
    <w:rsid w:val="003D6646"/>
    <w:rsid w:val="003D71EB"/>
    <w:rsid w:val="003D7625"/>
    <w:rsid w:val="003D77F4"/>
    <w:rsid w:val="003E05EB"/>
    <w:rsid w:val="003E1A35"/>
    <w:rsid w:val="003E1E63"/>
    <w:rsid w:val="003E22CB"/>
    <w:rsid w:val="003E2343"/>
    <w:rsid w:val="003E2417"/>
    <w:rsid w:val="003E2864"/>
    <w:rsid w:val="003E2BEC"/>
    <w:rsid w:val="003E2E1B"/>
    <w:rsid w:val="003E308B"/>
    <w:rsid w:val="003E3F05"/>
    <w:rsid w:val="003E3FC9"/>
    <w:rsid w:val="003E4056"/>
    <w:rsid w:val="003E406B"/>
    <w:rsid w:val="003E4228"/>
    <w:rsid w:val="003E4AFA"/>
    <w:rsid w:val="003E4B1A"/>
    <w:rsid w:val="003E4E52"/>
    <w:rsid w:val="003E4F96"/>
    <w:rsid w:val="003E518E"/>
    <w:rsid w:val="003E5BB5"/>
    <w:rsid w:val="003E5CCA"/>
    <w:rsid w:val="003E689A"/>
    <w:rsid w:val="003E6B10"/>
    <w:rsid w:val="003E6BE9"/>
    <w:rsid w:val="003E7773"/>
    <w:rsid w:val="003E7E30"/>
    <w:rsid w:val="003F005D"/>
    <w:rsid w:val="003F095D"/>
    <w:rsid w:val="003F0C0C"/>
    <w:rsid w:val="003F115E"/>
    <w:rsid w:val="003F14C2"/>
    <w:rsid w:val="003F1B33"/>
    <w:rsid w:val="003F1F34"/>
    <w:rsid w:val="003F2210"/>
    <w:rsid w:val="003F2EF8"/>
    <w:rsid w:val="003F3928"/>
    <w:rsid w:val="003F3AE5"/>
    <w:rsid w:val="003F43E0"/>
    <w:rsid w:val="003F4FD2"/>
    <w:rsid w:val="003F535C"/>
    <w:rsid w:val="003F5434"/>
    <w:rsid w:val="003F5EC9"/>
    <w:rsid w:val="003F60F4"/>
    <w:rsid w:val="003F6FA1"/>
    <w:rsid w:val="003F7196"/>
    <w:rsid w:val="004008AF"/>
    <w:rsid w:val="00400AFF"/>
    <w:rsid w:val="00400B5F"/>
    <w:rsid w:val="00401DBF"/>
    <w:rsid w:val="00401DCC"/>
    <w:rsid w:val="00402457"/>
    <w:rsid w:val="004033D9"/>
    <w:rsid w:val="00403CC0"/>
    <w:rsid w:val="00404A03"/>
    <w:rsid w:val="00404A94"/>
    <w:rsid w:val="00405130"/>
    <w:rsid w:val="0040551F"/>
    <w:rsid w:val="004059EF"/>
    <w:rsid w:val="00405DE0"/>
    <w:rsid w:val="00406594"/>
    <w:rsid w:val="00406DF9"/>
    <w:rsid w:val="0040771F"/>
    <w:rsid w:val="00407DEE"/>
    <w:rsid w:val="0041019E"/>
    <w:rsid w:val="00410649"/>
    <w:rsid w:val="00410D61"/>
    <w:rsid w:val="004111F7"/>
    <w:rsid w:val="00411659"/>
    <w:rsid w:val="00411D63"/>
    <w:rsid w:val="0041217D"/>
    <w:rsid w:val="004125C6"/>
    <w:rsid w:val="0041275F"/>
    <w:rsid w:val="00413470"/>
    <w:rsid w:val="00414743"/>
    <w:rsid w:val="00414E13"/>
    <w:rsid w:val="004153E8"/>
    <w:rsid w:val="0041635D"/>
    <w:rsid w:val="0041651F"/>
    <w:rsid w:val="004167F2"/>
    <w:rsid w:val="0041769B"/>
    <w:rsid w:val="004203CB"/>
    <w:rsid w:val="0042107B"/>
    <w:rsid w:val="00421A89"/>
    <w:rsid w:val="00421C93"/>
    <w:rsid w:val="00421D27"/>
    <w:rsid w:val="00421EBC"/>
    <w:rsid w:val="00421F09"/>
    <w:rsid w:val="004229CB"/>
    <w:rsid w:val="00422A12"/>
    <w:rsid w:val="00422FFA"/>
    <w:rsid w:val="0042304B"/>
    <w:rsid w:val="004237BE"/>
    <w:rsid w:val="00424032"/>
    <w:rsid w:val="00424084"/>
    <w:rsid w:val="00424249"/>
    <w:rsid w:val="0042425D"/>
    <w:rsid w:val="00424334"/>
    <w:rsid w:val="00424352"/>
    <w:rsid w:val="004248EF"/>
    <w:rsid w:val="004262B5"/>
    <w:rsid w:val="00426387"/>
    <w:rsid w:val="004266E7"/>
    <w:rsid w:val="00426C11"/>
    <w:rsid w:val="0042712B"/>
    <w:rsid w:val="004273AD"/>
    <w:rsid w:val="004273F8"/>
    <w:rsid w:val="00430236"/>
    <w:rsid w:val="004305AE"/>
    <w:rsid w:val="00430B2A"/>
    <w:rsid w:val="0043162F"/>
    <w:rsid w:val="00431800"/>
    <w:rsid w:val="0043197A"/>
    <w:rsid w:val="004319C1"/>
    <w:rsid w:val="00431A6D"/>
    <w:rsid w:val="004321A0"/>
    <w:rsid w:val="00432F3A"/>
    <w:rsid w:val="004331CD"/>
    <w:rsid w:val="0043339B"/>
    <w:rsid w:val="00433541"/>
    <w:rsid w:val="00433695"/>
    <w:rsid w:val="00434751"/>
    <w:rsid w:val="00434830"/>
    <w:rsid w:val="004355BE"/>
    <w:rsid w:val="00436514"/>
    <w:rsid w:val="004365A1"/>
    <w:rsid w:val="00436E5C"/>
    <w:rsid w:val="00436EF0"/>
    <w:rsid w:val="004376B1"/>
    <w:rsid w:val="00437FB8"/>
    <w:rsid w:val="0044044F"/>
    <w:rsid w:val="00440815"/>
    <w:rsid w:val="00440C15"/>
    <w:rsid w:val="0044113A"/>
    <w:rsid w:val="0044213A"/>
    <w:rsid w:val="004422B8"/>
    <w:rsid w:val="004423F7"/>
    <w:rsid w:val="00442A49"/>
    <w:rsid w:val="0044463E"/>
    <w:rsid w:val="0044690B"/>
    <w:rsid w:val="00446BBE"/>
    <w:rsid w:val="00447158"/>
    <w:rsid w:val="00447685"/>
    <w:rsid w:val="0044782C"/>
    <w:rsid w:val="00447986"/>
    <w:rsid w:val="00450500"/>
    <w:rsid w:val="0045093D"/>
    <w:rsid w:val="004510A2"/>
    <w:rsid w:val="004511FF"/>
    <w:rsid w:val="004512D6"/>
    <w:rsid w:val="0045160A"/>
    <w:rsid w:val="00451645"/>
    <w:rsid w:val="00451AF0"/>
    <w:rsid w:val="00451B4F"/>
    <w:rsid w:val="0045235F"/>
    <w:rsid w:val="00452705"/>
    <w:rsid w:val="0045278E"/>
    <w:rsid w:val="00452F31"/>
    <w:rsid w:val="004539AA"/>
    <w:rsid w:val="00453FA1"/>
    <w:rsid w:val="004546BF"/>
    <w:rsid w:val="00454878"/>
    <w:rsid w:val="00454B0D"/>
    <w:rsid w:val="00454C9E"/>
    <w:rsid w:val="00454CD5"/>
    <w:rsid w:val="00454F8E"/>
    <w:rsid w:val="004557D9"/>
    <w:rsid w:val="00456A01"/>
    <w:rsid w:val="00456BF1"/>
    <w:rsid w:val="0045705C"/>
    <w:rsid w:val="00457159"/>
    <w:rsid w:val="00457368"/>
    <w:rsid w:val="004573E6"/>
    <w:rsid w:val="00457552"/>
    <w:rsid w:val="004579B6"/>
    <w:rsid w:val="00460793"/>
    <w:rsid w:val="00460EC0"/>
    <w:rsid w:val="004613F2"/>
    <w:rsid w:val="004616CB"/>
    <w:rsid w:val="00461F60"/>
    <w:rsid w:val="00461FD6"/>
    <w:rsid w:val="00462778"/>
    <w:rsid w:val="00462C40"/>
    <w:rsid w:val="0046370C"/>
    <w:rsid w:val="00463D06"/>
    <w:rsid w:val="0046435E"/>
    <w:rsid w:val="00464507"/>
    <w:rsid w:val="00464F6C"/>
    <w:rsid w:val="00465886"/>
    <w:rsid w:val="00465FD6"/>
    <w:rsid w:val="00466599"/>
    <w:rsid w:val="00466722"/>
    <w:rsid w:val="00466E85"/>
    <w:rsid w:val="00470979"/>
    <w:rsid w:val="00471686"/>
    <w:rsid w:val="00471A1E"/>
    <w:rsid w:val="00471D0D"/>
    <w:rsid w:val="0047340F"/>
    <w:rsid w:val="00473B37"/>
    <w:rsid w:val="0047465B"/>
    <w:rsid w:val="004747E6"/>
    <w:rsid w:val="0047498F"/>
    <w:rsid w:val="00474A88"/>
    <w:rsid w:val="00474E01"/>
    <w:rsid w:val="004752D8"/>
    <w:rsid w:val="00476567"/>
    <w:rsid w:val="004768F4"/>
    <w:rsid w:val="00476914"/>
    <w:rsid w:val="00477EA2"/>
    <w:rsid w:val="004810FB"/>
    <w:rsid w:val="00481B17"/>
    <w:rsid w:val="00482067"/>
    <w:rsid w:val="0048249D"/>
    <w:rsid w:val="00482804"/>
    <w:rsid w:val="00482B47"/>
    <w:rsid w:val="0048323E"/>
    <w:rsid w:val="004832BF"/>
    <w:rsid w:val="004835DA"/>
    <w:rsid w:val="00483BAD"/>
    <w:rsid w:val="00483FBF"/>
    <w:rsid w:val="00484960"/>
    <w:rsid w:val="00484DC5"/>
    <w:rsid w:val="004853B1"/>
    <w:rsid w:val="00485675"/>
    <w:rsid w:val="00485BA7"/>
    <w:rsid w:val="00485F31"/>
    <w:rsid w:val="0048683D"/>
    <w:rsid w:val="004870E2"/>
    <w:rsid w:val="004872B3"/>
    <w:rsid w:val="0048775F"/>
    <w:rsid w:val="00487C85"/>
    <w:rsid w:val="00487FC0"/>
    <w:rsid w:val="00490D60"/>
    <w:rsid w:val="00490DC4"/>
    <w:rsid w:val="00491860"/>
    <w:rsid w:val="00491C43"/>
    <w:rsid w:val="00491F12"/>
    <w:rsid w:val="00492193"/>
    <w:rsid w:val="0049247F"/>
    <w:rsid w:val="004926F9"/>
    <w:rsid w:val="00492D0B"/>
    <w:rsid w:val="00492E93"/>
    <w:rsid w:val="0049350C"/>
    <w:rsid w:val="00493AB8"/>
    <w:rsid w:val="0049441D"/>
    <w:rsid w:val="00494BCB"/>
    <w:rsid w:val="00494F64"/>
    <w:rsid w:val="004962BF"/>
    <w:rsid w:val="0049683A"/>
    <w:rsid w:val="004968D4"/>
    <w:rsid w:val="00497423"/>
    <w:rsid w:val="004979CD"/>
    <w:rsid w:val="00497B9F"/>
    <w:rsid w:val="004A0610"/>
    <w:rsid w:val="004A0669"/>
    <w:rsid w:val="004A0C0E"/>
    <w:rsid w:val="004A2084"/>
    <w:rsid w:val="004A27AD"/>
    <w:rsid w:val="004A37CB"/>
    <w:rsid w:val="004A37FD"/>
    <w:rsid w:val="004A3E9D"/>
    <w:rsid w:val="004A4430"/>
    <w:rsid w:val="004A4653"/>
    <w:rsid w:val="004A4899"/>
    <w:rsid w:val="004A4B10"/>
    <w:rsid w:val="004A4FDF"/>
    <w:rsid w:val="004A5014"/>
    <w:rsid w:val="004A5489"/>
    <w:rsid w:val="004A569C"/>
    <w:rsid w:val="004A5AF5"/>
    <w:rsid w:val="004A5E73"/>
    <w:rsid w:val="004A5F45"/>
    <w:rsid w:val="004A5FCB"/>
    <w:rsid w:val="004A6087"/>
    <w:rsid w:val="004A64E5"/>
    <w:rsid w:val="004A65B2"/>
    <w:rsid w:val="004A68D1"/>
    <w:rsid w:val="004A6B5A"/>
    <w:rsid w:val="004A7156"/>
    <w:rsid w:val="004A73EF"/>
    <w:rsid w:val="004A757F"/>
    <w:rsid w:val="004A7718"/>
    <w:rsid w:val="004A7A52"/>
    <w:rsid w:val="004A7FA1"/>
    <w:rsid w:val="004B06C4"/>
    <w:rsid w:val="004B19FE"/>
    <w:rsid w:val="004B217B"/>
    <w:rsid w:val="004B245B"/>
    <w:rsid w:val="004B27E4"/>
    <w:rsid w:val="004B2A4D"/>
    <w:rsid w:val="004B2E8B"/>
    <w:rsid w:val="004B2F45"/>
    <w:rsid w:val="004B33C2"/>
    <w:rsid w:val="004B3BE3"/>
    <w:rsid w:val="004B4214"/>
    <w:rsid w:val="004B4342"/>
    <w:rsid w:val="004B4B89"/>
    <w:rsid w:val="004B4E43"/>
    <w:rsid w:val="004B581C"/>
    <w:rsid w:val="004B5BB4"/>
    <w:rsid w:val="004B6026"/>
    <w:rsid w:val="004B66D1"/>
    <w:rsid w:val="004B689D"/>
    <w:rsid w:val="004B68F3"/>
    <w:rsid w:val="004B7103"/>
    <w:rsid w:val="004B760B"/>
    <w:rsid w:val="004B7E70"/>
    <w:rsid w:val="004C0A08"/>
    <w:rsid w:val="004C0D94"/>
    <w:rsid w:val="004C0E97"/>
    <w:rsid w:val="004C1EEF"/>
    <w:rsid w:val="004C2BA2"/>
    <w:rsid w:val="004C2C7A"/>
    <w:rsid w:val="004C2D8E"/>
    <w:rsid w:val="004C37A5"/>
    <w:rsid w:val="004C3D52"/>
    <w:rsid w:val="004C4510"/>
    <w:rsid w:val="004C48C8"/>
    <w:rsid w:val="004C4F56"/>
    <w:rsid w:val="004C544F"/>
    <w:rsid w:val="004C594B"/>
    <w:rsid w:val="004C598D"/>
    <w:rsid w:val="004C59AC"/>
    <w:rsid w:val="004C5A7B"/>
    <w:rsid w:val="004C5F5F"/>
    <w:rsid w:val="004C77F2"/>
    <w:rsid w:val="004C7E1F"/>
    <w:rsid w:val="004D08FB"/>
    <w:rsid w:val="004D0E1B"/>
    <w:rsid w:val="004D1146"/>
    <w:rsid w:val="004D1BED"/>
    <w:rsid w:val="004D2DB1"/>
    <w:rsid w:val="004D3308"/>
    <w:rsid w:val="004D362D"/>
    <w:rsid w:val="004D3841"/>
    <w:rsid w:val="004D3897"/>
    <w:rsid w:val="004D39F9"/>
    <w:rsid w:val="004D3D61"/>
    <w:rsid w:val="004D3F96"/>
    <w:rsid w:val="004D4425"/>
    <w:rsid w:val="004D49E9"/>
    <w:rsid w:val="004D5F63"/>
    <w:rsid w:val="004D5F93"/>
    <w:rsid w:val="004D5FCF"/>
    <w:rsid w:val="004D62C6"/>
    <w:rsid w:val="004D62DD"/>
    <w:rsid w:val="004D6387"/>
    <w:rsid w:val="004D6817"/>
    <w:rsid w:val="004D71F5"/>
    <w:rsid w:val="004D7EF1"/>
    <w:rsid w:val="004E02BE"/>
    <w:rsid w:val="004E23BF"/>
    <w:rsid w:val="004E2A9D"/>
    <w:rsid w:val="004E2BD6"/>
    <w:rsid w:val="004E3094"/>
    <w:rsid w:val="004E59BD"/>
    <w:rsid w:val="004E6152"/>
    <w:rsid w:val="004E73D5"/>
    <w:rsid w:val="004E7A86"/>
    <w:rsid w:val="004E7C67"/>
    <w:rsid w:val="004F039E"/>
    <w:rsid w:val="004F064A"/>
    <w:rsid w:val="004F0C82"/>
    <w:rsid w:val="004F1C62"/>
    <w:rsid w:val="004F2D91"/>
    <w:rsid w:val="004F3013"/>
    <w:rsid w:val="004F31D8"/>
    <w:rsid w:val="004F3683"/>
    <w:rsid w:val="004F3F6E"/>
    <w:rsid w:val="004F407F"/>
    <w:rsid w:val="004F5912"/>
    <w:rsid w:val="004F5C4E"/>
    <w:rsid w:val="004F6AD3"/>
    <w:rsid w:val="004F6F00"/>
    <w:rsid w:val="0050035E"/>
    <w:rsid w:val="005011D9"/>
    <w:rsid w:val="00501386"/>
    <w:rsid w:val="00501653"/>
    <w:rsid w:val="00501B66"/>
    <w:rsid w:val="00501BD9"/>
    <w:rsid w:val="00501C25"/>
    <w:rsid w:val="0050209D"/>
    <w:rsid w:val="005027A6"/>
    <w:rsid w:val="00502DAE"/>
    <w:rsid w:val="00502FFB"/>
    <w:rsid w:val="005038A0"/>
    <w:rsid w:val="00503E5A"/>
    <w:rsid w:val="005041E8"/>
    <w:rsid w:val="00504A82"/>
    <w:rsid w:val="0050517F"/>
    <w:rsid w:val="00505E19"/>
    <w:rsid w:val="00506F38"/>
    <w:rsid w:val="0050771C"/>
    <w:rsid w:val="00507889"/>
    <w:rsid w:val="0050791B"/>
    <w:rsid w:val="00507EA4"/>
    <w:rsid w:val="00507FC4"/>
    <w:rsid w:val="005103C5"/>
    <w:rsid w:val="00511877"/>
    <w:rsid w:val="00512339"/>
    <w:rsid w:val="0051236B"/>
    <w:rsid w:val="00512A6E"/>
    <w:rsid w:val="00512B8B"/>
    <w:rsid w:val="005131CE"/>
    <w:rsid w:val="005131D3"/>
    <w:rsid w:val="0051352C"/>
    <w:rsid w:val="00513EB6"/>
    <w:rsid w:val="00514FC2"/>
    <w:rsid w:val="00515B1C"/>
    <w:rsid w:val="00515BFA"/>
    <w:rsid w:val="00515CFA"/>
    <w:rsid w:val="00515EAB"/>
    <w:rsid w:val="005162DA"/>
    <w:rsid w:val="005166B7"/>
    <w:rsid w:val="00516891"/>
    <w:rsid w:val="00516A23"/>
    <w:rsid w:val="00516AD4"/>
    <w:rsid w:val="00516BBB"/>
    <w:rsid w:val="00516BD8"/>
    <w:rsid w:val="00516E54"/>
    <w:rsid w:val="00517A86"/>
    <w:rsid w:val="005201E3"/>
    <w:rsid w:val="0052029F"/>
    <w:rsid w:val="00520462"/>
    <w:rsid w:val="0052066B"/>
    <w:rsid w:val="00521335"/>
    <w:rsid w:val="00521476"/>
    <w:rsid w:val="005214E9"/>
    <w:rsid w:val="00521E6A"/>
    <w:rsid w:val="0052349D"/>
    <w:rsid w:val="0052349F"/>
    <w:rsid w:val="00523A90"/>
    <w:rsid w:val="00523E92"/>
    <w:rsid w:val="00524954"/>
    <w:rsid w:val="00524B70"/>
    <w:rsid w:val="00524BE8"/>
    <w:rsid w:val="0052575D"/>
    <w:rsid w:val="00525A98"/>
    <w:rsid w:val="00525D71"/>
    <w:rsid w:val="005261C2"/>
    <w:rsid w:val="005261DB"/>
    <w:rsid w:val="00526300"/>
    <w:rsid w:val="005264B4"/>
    <w:rsid w:val="00526C2C"/>
    <w:rsid w:val="00526C92"/>
    <w:rsid w:val="005271FA"/>
    <w:rsid w:val="005275FC"/>
    <w:rsid w:val="0052768C"/>
    <w:rsid w:val="005279F0"/>
    <w:rsid w:val="00527EA9"/>
    <w:rsid w:val="00530896"/>
    <w:rsid w:val="00530F88"/>
    <w:rsid w:val="005310AF"/>
    <w:rsid w:val="005313C8"/>
    <w:rsid w:val="00531BB6"/>
    <w:rsid w:val="00533D96"/>
    <w:rsid w:val="005342C3"/>
    <w:rsid w:val="00534521"/>
    <w:rsid w:val="00534B4D"/>
    <w:rsid w:val="0053551F"/>
    <w:rsid w:val="005362F5"/>
    <w:rsid w:val="0053725B"/>
    <w:rsid w:val="005376F6"/>
    <w:rsid w:val="005377D1"/>
    <w:rsid w:val="00540734"/>
    <w:rsid w:val="00540C57"/>
    <w:rsid w:val="00541170"/>
    <w:rsid w:val="00541789"/>
    <w:rsid w:val="00541E1A"/>
    <w:rsid w:val="005429EE"/>
    <w:rsid w:val="00543009"/>
    <w:rsid w:val="00543C3D"/>
    <w:rsid w:val="00543DE5"/>
    <w:rsid w:val="00544312"/>
    <w:rsid w:val="00544753"/>
    <w:rsid w:val="00544F1F"/>
    <w:rsid w:val="00545085"/>
    <w:rsid w:val="005453E1"/>
    <w:rsid w:val="005462BA"/>
    <w:rsid w:val="00546EE0"/>
    <w:rsid w:val="0054722D"/>
    <w:rsid w:val="0054778E"/>
    <w:rsid w:val="00547DB3"/>
    <w:rsid w:val="00550943"/>
    <w:rsid w:val="00550D24"/>
    <w:rsid w:val="00550DCA"/>
    <w:rsid w:val="00550EF7"/>
    <w:rsid w:val="005512DE"/>
    <w:rsid w:val="00551D8E"/>
    <w:rsid w:val="00552564"/>
    <w:rsid w:val="005529BC"/>
    <w:rsid w:val="005531BD"/>
    <w:rsid w:val="005533FD"/>
    <w:rsid w:val="005534B9"/>
    <w:rsid w:val="005534EE"/>
    <w:rsid w:val="00553787"/>
    <w:rsid w:val="00554495"/>
    <w:rsid w:val="00554591"/>
    <w:rsid w:val="00556609"/>
    <w:rsid w:val="005566FC"/>
    <w:rsid w:val="005567B2"/>
    <w:rsid w:val="00557583"/>
    <w:rsid w:val="00557680"/>
    <w:rsid w:val="00557870"/>
    <w:rsid w:val="00557888"/>
    <w:rsid w:val="00560097"/>
    <w:rsid w:val="00560277"/>
    <w:rsid w:val="00560454"/>
    <w:rsid w:val="0056090C"/>
    <w:rsid w:val="00560938"/>
    <w:rsid w:val="00560AF1"/>
    <w:rsid w:val="00561218"/>
    <w:rsid w:val="00561562"/>
    <w:rsid w:val="0056201F"/>
    <w:rsid w:val="00562131"/>
    <w:rsid w:val="00563DE6"/>
    <w:rsid w:val="005642C1"/>
    <w:rsid w:val="0056452D"/>
    <w:rsid w:val="0056479B"/>
    <w:rsid w:val="0056528D"/>
    <w:rsid w:val="005652E8"/>
    <w:rsid w:val="005653AB"/>
    <w:rsid w:val="0056601B"/>
    <w:rsid w:val="0056628B"/>
    <w:rsid w:val="00566298"/>
    <w:rsid w:val="005669B4"/>
    <w:rsid w:val="00567066"/>
    <w:rsid w:val="005672E7"/>
    <w:rsid w:val="00567B3E"/>
    <w:rsid w:val="0057032B"/>
    <w:rsid w:val="005705C9"/>
    <w:rsid w:val="0057091E"/>
    <w:rsid w:val="00570BAE"/>
    <w:rsid w:val="005710DE"/>
    <w:rsid w:val="00571A7F"/>
    <w:rsid w:val="005723D6"/>
    <w:rsid w:val="00573C3C"/>
    <w:rsid w:val="00573F62"/>
    <w:rsid w:val="00574571"/>
    <w:rsid w:val="005745FB"/>
    <w:rsid w:val="00574A6E"/>
    <w:rsid w:val="005759FD"/>
    <w:rsid w:val="00575F83"/>
    <w:rsid w:val="00576805"/>
    <w:rsid w:val="00577145"/>
    <w:rsid w:val="005773BE"/>
    <w:rsid w:val="0057751F"/>
    <w:rsid w:val="005775CA"/>
    <w:rsid w:val="005775D5"/>
    <w:rsid w:val="00577679"/>
    <w:rsid w:val="00577B29"/>
    <w:rsid w:val="00577DD7"/>
    <w:rsid w:val="00577DDB"/>
    <w:rsid w:val="00580915"/>
    <w:rsid w:val="00580A3E"/>
    <w:rsid w:val="00580A96"/>
    <w:rsid w:val="00580EC6"/>
    <w:rsid w:val="00582184"/>
    <w:rsid w:val="00582365"/>
    <w:rsid w:val="00582449"/>
    <w:rsid w:val="00582C63"/>
    <w:rsid w:val="00582EC7"/>
    <w:rsid w:val="00583396"/>
    <w:rsid w:val="00583500"/>
    <w:rsid w:val="005850B8"/>
    <w:rsid w:val="0058511C"/>
    <w:rsid w:val="00585C1B"/>
    <w:rsid w:val="00585E6D"/>
    <w:rsid w:val="0058667E"/>
    <w:rsid w:val="0058683F"/>
    <w:rsid w:val="0058718D"/>
    <w:rsid w:val="00587639"/>
    <w:rsid w:val="0058792D"/>
    <w:rsid w:val="00590881"/>
    <w:rsid w:val="00590A4E"/>
    <w:rsid w:val="00590EC9"/>
    <w:rsid w:val="00590FF0"/>
    <w:rsid w:val="005914B5"/>
    <w:rsid w:val="00592392"/>
    <w:rsid w:val="0059253D"/>
    <w:rsid w:val="00592638"/>
    <w:rsid w:val="005928D4"/>
    <w:rsid w:val="00593138"/>
    <w:rsid w:val="00593A33"/>
    <w:rsid w:val="005947B5"/>
    <w:rsid w:val="00595444"/>
    <w:rsid w:val="00595B6D"/>
    <w:rsid w:val="005960BB"/>
    <w:rsid w:val="00596C22"/>
    <w:rsid w:val="00597407"/>
    <w:rsid w:val="005A0496"/>
    <w:rsid w:val="005A0A13"/>
    <w:rsid w:val="005A1501"/>
    <w:rsid w:val="005A2063"/>
    <w:rsid w:val="005A2616"/>
    <w:rsid w:val="005A28E9"/>
    <w:rsid w:val="005A290E"/>
    <w:rsid w:val="005A2F83"/>
    <w:rsid w:val="005A3AA7"/>
    <w:rsid w:val="005A3F8E"/>
    <w:rsid w:val="005A4047"/>
    <w:rsid w:val="005A4384"/>
    <w:rsid w:val="005A476D"/>
    <w:rsid w:val="005A5114"/>
    <w:rsid w:val="005A51ED"/>
    <w:rsid w:val="005A5CA7"/>
    <w:rsid w:val="005A6046"/>
    <w:rsid w:val="005A6742"/>
    <w:rsid w:val="005A6F89"/>
    <w:rsid w:val="005A7012"/>
    <w:rsid w:val="005A76B1"/>
    <w:rsid w:val="005A7A5E"/>
    <w:rsid w:val="005A7BE0"/>
    <w:rsid w:val="005A7D5E"/>
    <w:rsid w:val="005B0321"/>
    <w:rsid w:val="005B1749"/>
    <w:rsid w:val="005B1C07"/>
    <w:rsid w:val="005B1C2B"/>
    <w:rsid w:val="005B20D2"/>
    <w:rsid w:val="005B2180"/>
    <w:rsid w:val="005B2978"/>
    <w:rsid w:val="005B3284"/>
    <w:rsid w:val="005B335A"/>
    <w:rsid w:val="005B3432"/>
    <w:rsid w:val="005B3618"/>
    <w:rsid w:val="005B37BD"/>
    <w:rsid w:val="005B3BD6"/>
    <w:rsid w:val="005B4831"/>
    <w:rsid w:val="005B4971"/>
    <w:rsid w:val="005B4E2D"/>
    <w:rsid w:val="005B5EA6"/>
    <w:rsid w:val="005B608B"/>
    <w:rsid w:val="005B668F"/>
    <w:rsid w:val="005B7326"/>
    <w:rsid w:val="005B7AB7"/>
    <w:rsid w:val="005B7D6C"/>
    <w:rsid w:val="005C0323"/>
    <w:rsid w:val="005C07B3"/>
    <w:rsid w:val="005C1D26"/>
    <w:rsid w:val="005C385F"/>
    <w:rsid w:val="005C3877"/>
    <w:rsid w:val="005C3EBF"/>
    <w:rsid w:val="005C4256"/>
    <w:rsid w:val="005C49B6"/>
    <w:rsid w:val="005C5657"/>
    <w:rsid w:val="005C596D"/>
    <w:rsid w:val="005C665C"/>
    <w:rsid w:val="005C6714"/>
    <w:rsid w:val="005C6C64"/>
    <w:rsid w:val="005C7161"/>
    <w:rsid w:val="005C7215"/>
    <w:rsid w:val="005C73C4"/>
    <w:rsid w:val="005D00EA"/>
    <w:rsid w:val="005D023B"/>
    <w:rsid w:val="005D06B5"/>
    <w:rsid w:val="005D1833"/>
    <w:rsid w:val="005D20F6"/>
    <w:rsid w:val="005D2283"/>
    <w:rsid w:val="005D2304"/>
    <w:rsid w:val="005D231B"/>
    <w:rsid w:val="005D2FFB"/>
    <w:rsid w:val="005D3A04"/>
    <w:rsid w:val="005D3A4E"/>
    <w:rsid w:val="005D3E67"/>
    <w:rsid w:val="005D3E9F"/>
    <w:rsid w:val="005D48FE"/>
    <w:rsid w:val="005D4F7E"/>
    <w:rsid w:val="005D5E91"/>
    <w:rsid w:val="005D7002"/>
    <w:rsid w:val="005D7471"/>
    <w:rsid w:val="005D749D"/>
    <w:rsid w:val="005E1F4B"/>
    <w:rsid w:val="005E2702"/>
    <w:rsid w:val="005E288E"/>
    <w:rsid w:val="005E34F5"/>
    <w:rsid w:val="005E5874"/>
    <w:rsid w:val="005E58B2"/>
    <w:rsid w:val="005E5BE0"/>
    <w:rsid w:val="005E604D"/>
    <w:rsid w:val="005E6F1C"/>
    <w:rsid w:val="005E7315"/>
    <w:rsid w:val="005E75D5"/>
    <w:rsid w:val="005E77D9"/>
    <w:rsid w:val="005F061A"/>
    <w:rsid w:val="005F0645"/>
    <w:rsid w:val="005F0A1C"/>
    <w:rsid w:val="005F0A76"/>
    <w:rsid w:val="005F1555"/>
    <w:rsid w:val="005F1C6C"/>
    <w:rsid w:val="005F2978"/>
    <w:rsid w:val="005F2D60"/>
    <w:rsid w:val="005F3040"/>
    <w:rsid w:val="005F317E"/>
    <w:rsid w:val="005F3347"/>
    <w:rsid w:val="005F41E5"/>
    <w:rsid w:val="005F4721"/>
    <w:rsid w:val="005F4BA8"/>
    <w:rsid w:val="005F4C0E"/>
    <w:rsid w:val="005F5908"/>
    <w:rsid w:val="005F720A"/>
    <w:rsid w:val="005F7C90"/>
    <w:rsid w:val="005F7C9F"/>
    <w:rsid w:val="00600061"/>
    <w:rsid w:val="0060059B"/>
    <w:rsid w:val="006011DC"/>
    <w:rsid w:val="00602862"/>
    <w:rsid w:val="00602D87"/>
    <w:rsid w:val="00602F43"/>
    <w:rsid w:val="006035CB"/>
    <w:rsid w:val="00603B08"/>
    <w:rsid w:val="00604EAE"/>
    <w:rsid w:val="00604FF9"/>
    <w:rsid w:val="0060525C"/>
    <w:rsid w:val="0060553E"/>
    <w:rsid w:val="00605776"/>
    <w:rsid w:val="006061A6"/>
    <w:rsid w:val="0060671E"/>
    <w:rsid w:val="00607E0B"/>
    <w:rsid w:val="00610162"/>
    <w:rsid w:val="00610240"/>
    <w:rsid w:val="00610ABA"/>
    <w:rsid w:val="00610CC3"/>
    <w:rsid w:val="00610D87"/>
    <w:rsid w:val="00611188"/>
    <w:rsid w:val="00611677"/>
    <w:rsid w:val="00611A93"/>
    <w:rsid w:val="00613037"/>
    <w:rsid w:val="0061314B"/>
    <w:rsid w:val="006135AB"/>
    <w:rsid w:val="006138E4"/>
    <w:rsid w:val="006144F6"/>
    <w:rsid w:val="00614C8A"/>
    <w:rsid w:val="00615040"/>
    <w:rsid w:val="006154F4"/>
    <w:rsid w:val="00615D76"/>
    <w:rsid w:val="006160EC"/>
    <w:rsid w:val="0061631A"/>
    <w:rsid w:val="00616407"/>
    <w:rsid w:val="0061720B"/>
    <w:rsid w:val="006209C3"/>
    <w:rsid w:val="00620CD1"/>
    <w:rsid w:val="00620E5A"/>
    <w:rsid w:val="0062185B"/>
    <w:rsid w:val="00621AF6"/>
    <w:rsid w:val="00621B3F"/>
    <w:rsid w:val="006222DD"/>
    <w:rsid w:val="006228B8"/>
    <w:rsid w:val="006228CA"/>
    <w:rsid w:val="006233B6"/>
    <w:rsid w:val="00623940"/>
    <w:rsid w:val="00624068"/>
    <w:rsid w:val="00624A97"/>
    <w:rsid w:val="006250E9"/>
    <w:rsid w:val="006256A3"/>
    <w:rsid w:val="0062597B"/>
    <w:rsid w:val="00626629"/>
    <w:rsid w:val="00626DEC"/>
    <w:rsid w:val="00627B74"/>
    <w:rsid w:val="00627CAC"/>
    <w:rsid w:val="00630054"/>
    <w:rsid w:val="00630E22"/>
    <w:rsid w:val="0063208A"/>
    <w:rsid w:val="0063346F"/>
    <w:rsid w:val="00633B2F"/>
    <w:rsid w:val="006345AC"/>
    <w:rsid w:val="006361BE"/>
    <w:rsid w:val="00636918"/>
    <w:rsid w:val="00636A52"/>
    <w:rsid w:val="00637470"/>
    <w:rsid w:val="006401C8"/>
    <w:rsid w:val="00640C31"/>
    <w:rsid w:val="00641A99"/>
    <w:rsid w:val="00641B08"/>
    <w:rsid w:val="00642ABA"/>
    <w:rsid w:val="00643226"/>
    <w:rsid w:val="00643B68"/>
    <w:rsid w:val="0064463E"/>
    <w:rsid w:val="00644874"/>
    <w:rsid w:val="0064492E"/>
    <w:rsid w:val="006459EF"/>
    <w:rsid w:val="006460D9"/>
    <w:rsid w:val="006460FB"/>
    <w:rsid w:val="006465F3"/>
    <w:rsid w:val="00646ABA"/>
    <w:rsid w:val="00646AE4"/>
    <w:rsid w:val="00646D95"/>
    <w:rsid w:val="00646DAC"/>
    <w:rsid w:val="0064726D"/>
    <w:rsid w:val="0064793B"/>
    <w:rsid w:val="00647D31"/>
    <w:rsid w:val="006507A8"/>
    <w:rsid w:val="00650F5C"/>
    <w:rsid w:val="00650F85"/>
    <w:rsid w:val="0065175E"/>
    <w:rsid w:val="00651B3A"/>
    <w:rsid w:val="00651F9C"/>
    <w:rsid w:val="00652CB1"/>
    <w:rsid w:val="0065345B"/>
    <w:rsid w:val="006534BF"/>
    <w:rsid w:val="006537D7"/>
    <w:rsid w:val="0065444A"/>
    <w:rsid w:val="00654682"/>
    <w:rsid w:val="00654C8F"/>
    <w:rsid w:val="00654EA9"/>
    <w:rsid w:val="00654F68"/>
    <w:rsid w:val="00655907"/>
    <w:rsid w:val="00655CF9"/>
    <w:rsid w:val="00655D45"/>
    <w:rsid w:val="0065637A"/>
    <w:rsid w:val="00656956"/>
    <w:rsid w:val="00656DE2"/>
    <w:rsid w:val="0065714C"/>
    <w:rsid w:val="0065718C"/>
    <w:rsid w:val="006578F9"/>
    <w:rsid w:val="0066004F"/>
    <w:rsid w:val="0066015C"/>
    <w:rsid w:val="00660A74"/>
    <w:rsid w:val="00660AD0"/>
    <w:rsid w:val="00661071"/>
    <w:rsid w:val="00661DFE"/>
    <w:rsid w:val="006624FD"/>
    <w:rsid w:val="00662665"/>
    <w:rsid w:val="00662B68"/>
    <w:rsid w:val="00662E5F"/>
    <w:rsid w:val="006637A3"/>
    <w:rsid w:val="00663D80"/>
    <w:rsid w:val="00664434"/>
    <w:rsid w:val="00664CD3"/>
    <w:rsid w:val="006652EB"/>
    <w:rsid w:val="0066561F"/>
    <w:rsid w:val="0066630B"/>
    <w:rsid w:val="0066680D"/>
    <w:rsid w:val="00666A58"/>
    <w:rsid w:val="006678E6"/>
    <w:rsid w:val="00667E65"/>
    <w:rsid w:val="006701F2"/>
    <w:rsid w:val="00670650"/>
    <w:rsid w:val="00670AEC"/>
    <w:rsid w:val="00670F72"/>
    <w:rsid w:val="006711AF"/>
    <w:rsid w:val="006712C0"/>
    <w:rsid w:val="0067160B"/>
    <w:rsid w:val="00671900"/>
    <w:rsid w:val="006721FB"/>
    <w:rsid w:val="00672D4F"/>
    <w:rsid w:val="00674243"/>
    <w:rsid w:val="006744AC"/>
    <w:rsid w:val="00674C7D"/>
    <w:rsid w:val="00675638"/>
    <w:rsid w:val="00675C72"/>
    <w:rsid w:val="00675D27"/>
    <w:rsid w:val="0067681C"/>
    <w:rsid w:val="0068027F"/>
    <w:rsid w:val="006809A4"/>
    <w:rsid w:val="00680B40"/>
    <w:rsid w:val="0068194C"/>
    <w:rsid w:val="00681EC9"/>
    <w:rsid w:val="006822FA"/>
    <w:rsid w:val="0068288C"/>
    <w:rsid w:val="00682A75"/>
    <w:rsid w:val="0068308E"/>
    <w:rsid w:val="00683096"/>
    <w:rsid w:val="00683F36"/>
    <w:rsid w:val="006844E7"/>
    <w:rsid w:val="00684B94"/>
    <w:rsid w:val="00685433"/>
    <w:rsid w:val="00685589"/>
    <w:rsid w:val="00685D17"/>
    <w:rsid w:val="0068682C"/>
    <w:rsid w:val="006870BC"/>
    <w:rsid w:val="00687720"/>
    <w:rsid w:val="0069051A"/>
    <w:rsid w:val="006914D2"/>
    <w:rsid w:val="00691B67"/>
    <w:rsid w:val="00691F90"/>
    <w:rsid w:val="00692FAA"/>
    <w:rsid w:val="006938AA"/>
    <w:rsid w:val="00693E60"/>
    <w:rsid w:val="00693F4F"/>
    <w:rsid w:val="006943D6"/>
    <w:rsid w:val="006944CC"/>
    <w:rsid w:val="00694594"/>
    <w:rsid w:val="0069474B"/>
    <w:rsid w:val="0069475D"/>
    <w:rsid w:val="0069668C"/>
    <w:rsid w:val="006966C5"/>
    <w:rsid w:val="006968F1"/>
    <w:rsid w:val="00696AE8"/>
    <w:rsid w:val="00696C7E"/>
    <w:rsid w:val="00697966"/>
    <w:rsid w:val="00697F97"/>
    <w:rsid w:val="006A08CC"/>
    <w:rsid w:val="006A120A"/>
    <w:rsid w:val="006A1612"/>
    <w:rsid w:val="006A304A"/>
    <w:rsid w:val="006A33F3"/>
    <w:rsid w:val="006A3649"/>
    <w:rsid w:val="006A3A2B"/>
    <w:rsid w:val="006A3FF8"/>
    <w:rsid w:val="006A4CBF"/>
    <w:rsid w:val="006A4EB7"/>
    <w:rsid w:val="006A4EBD"/>
    <w:rsid w:val="006A51A3"/>
    <w:rsid w:val="006A5809"/>
    <w:rsid w:val="006A5D30"/>
    <w:rsid w:val="006A6BD4"/>
    <w:rsid w:val="006A6BF1"/>
    <w:rsid w:val="006A733D"/>
    <w:rsid w:val="006B0AF7"/>
    <w:rsid w:val="006B19B3"/>
    <w:rsid w:val="006B1A36"/>
    <w:rsid w:val="006B1CC8"/>
    <w:rsid w:val="006B2E2A"/>
    <w:rsid w:val="006B3032"/>
    <w:rsid w:val="006B37F6"/>
    <w:rsid w:val="006B42C9"/>
    <w:rsid w:val="006B4B4A"/>
    <w:rsid w:val="006B4EF1"/>
    <w:rsid w:val="006B5563"/>
    <w:rsid w:val="006B5C6E"/>
    <w:rsid w:val="006B61E0"/>
    <w:rsid w:val="006B6985"/>
    <w:rsid w:val="006B6DBE"/>
    <w:rsid w:val="006B6E36"/>
    <w:rsid w:val="006B75C6"/>
    <w:rsid w:val="006B789A"/>
    <w:rsid w:val="006C049A"/>
    <w:rsid w:val="006C13D4"/>
    <w:rsid w:val="006C18C0"/>
    <w:rsid w:val="006C2475"/>
    <w:rsid w:val="006C282F"/>
    <w:rsid w:val="006C2C3F"/>
    <w:rsid w:val="006C2D28"/>
    <w:rsid w:val="006C354C"/>
    <w:rsid w:val="006C3B42"/>
    <w:rsid w:val="006C3B76"/>
    <w:rsid w:val="006C4572"/>
    <w:rsid w:val="006C45BA"/>
    <w:rsid w:val="006C4E20"/>
    <w:rsid w:val="006C5B86"/>
    <w:rsid w:val="006C5EC7"/>
    <w:rsid w:val="006C5FB4"/>
    <w:rsid w:val="006C7264"/>
    <w:rsid w:val="006C7570"/>
    <w:rsid w:val="006C77E9"/>
    <w:rsid w:val="006C7B03"/>
    <w:rsid w:val="006C7E02"/>
    <w:rsid w:val="006D0613"/>
    <w:rsid w:val="006D0EC2"/>
    <w:rsid w:val="006D112E"/>
    <w:rsid w:val="006D148A"/>
    <w:rsid w:val="006D26BE"/>
    <w:rsid w:val="006D2F3B"/>
    <w:rsid w:val="006D4C04"/>
    <w:rsid w:val="006D4C72"/>
    <w:rsid w:val="006D4E4C"/>
    <w:rsid w:val="006D511E"/>
    <w:rsid w:val="006D5585"/>
    <w:rsid w:val="006D5E14"/>
    <w:rsid w:val="006D5F76"/>
    <w:rsid w:val="006D6000"/>
    <w:rsid w:val="006D639B"/>
    <w:rsid w:val="006D65DF"/>
    <w:rsid w:val="006D6D96"/>
    <w:rsid w:val="006D6E64"/>
    <w:rsid w:val="006D7031"/>
    <w:rsid w:val="006D7211"/>
    <w:rsid w:val="006D7598"/>
    <w:rsid w:val="006D75C8"/>
    <w:rsid w:val="006E06E6"/>
    <w:rsid w:val="006E0F63"/>
    <w:rsid w:val="006E15D4"/>
    <w:rsid w:val="006E1816"/>
    <w:rsid w:val="006E1CF9"/>
    <w:rsid w:val="006E22B0"/>
    <w:rsid w:val="006E260D"/>
    <w:rsid w:val="006E2D7F"/>
    <w:rsid w:val="006E2E3C"/>
    <w:rsid w:val="006E301A"/>
    <w:rsid w:val="006E320C"/>
    <w:rsid w:val="006E3E62"/>
    <w:rsid w:val="006E3FF2"/>
    <w:rsid w:val="006E486A"/>
    <w:rsid w:val="006E528C"/>
    <w:rsid w:val="006E60BF"/>
    <w:rsid w:val="006E6481"/>
    <w:rsid w:val="006E6936"/>
    <w:rsid w:val="006E6DC9"/>
    <w:rsid w:val="006E6FE4"/>
    <w:rsid w:val="006E7822"/>
    <w:rsid w:val="006F0257"/>
    <w:rsid w:val="006F0C5B"/>
    <w:rsid w:val="006F0D46"/>
    <w:rsid w:val="006F12B7"/>
    <w:rsid w:val="006F1357"/>
    <w:rsid w:val="006F16AA"/>
    <w:rsid w:val="006F1D32"/>
    <w:rsid w:val="006F23DD"/>
    <w:rsid w:val="006F2F5B"/>
    <w:rsid w:val="006F3359"/>
    <w:rsid w:val="006F3362"/>
    <w:rsid w:val="006F3CFF"/>
    <w:rsid w:val="006F5158"/>
    <w:rsid w:val="006F5842"/>
    <w:rsid w:val="006F6396"/>
    <w:rsid w:val="006F7062"/>
    <w:rsid w:val="00700950"/>
    <w:rsid w:val="00701136"/>
    <w:rsid w:val="00701154"/>
    <w:rsid w:val="0070191C"/>
    <w:rsid w:val="00702FCD"/>
    <w:rsid w:val="0070319A"/>
    <w:rsid w:val="007034AD"/>
    <w:rsid w:val="00703605"/>
    <w:rsid w:val="00703CB4"/>
    <w:rsid w:val="00704A14"/>
    <w:rsid w:val="00705335"/>
    <w:rsid w:val="00705470"/>
    <w:rsid w:val="0070581F"/>
    <w:rsid w:val="0070599C"/>
    <w:rsid w:val="00707032"/>
    <w:rsid w:val="0070755D"/>
    <w:rsid w:val="00707C18"/>
    <w:rsid w:val="007103A9"/>
    <w:rsid w:val="007111F7"/>
    <w:rsid w:val="0071189F"/>
    <w:rsid w:val="00711F0B"/>
    <w:rsid w:val="0071202E"/>
    <w:rsid w:val="00712334"/>
    <w:rsid w:val="00712E72"/>
    <w:rsid w:val="00712FD4"/>
    <w:rsid w:val="0071327B"/>
    <w:rsid w:val="00713C33"/>
    <w:rsid w:val="0071560E"/>
    <w:rsid w:val="00715D8F"/>
    <w:rsid w:val="007165AD"/>
    <w:rsid w:val="00716687"/>
    <w:rsid w:val="007166AF"/>
    <w:rsid w:val="00716AD2"/>
    <w:rsid w:val="00720232"/>
    <w:rsid w:val="007203CA"/>
    <w:rsid w:val="00720718"/>
    <w:rsid w:val="00720BFA"/>
    <w:rsid w:val="00721016"/>
    <w:rsid w:val="0072244B"/>
    <w:rsid w:val="007226F5"/>
    <w:rsid w:val="007227A5"/>
    <w:rsid w:val="00722862"/>
    <w:rsid w:val="0072316B"/>
    <w:rsid w:val="00723A0A"/>
    <w:rsid w:val="00723B2C"/>
    <w:rsid w:val="00723F1A"/>
    <w:rsid w:val="007242ED"/>
    <w:rsid w:val="0072430B"/>
    <w:rsid w:val="00724552"/>
    <w:rsid w:val="00724ED0"/>
    <w:rsid w:val="00724F92"/>
    <w:rsid w:val="00725176"/>
    <w:rsid w:val="007253D6"/>
    <w:rsid w:val="0072578A"/>
    <w:rsid w:val="0072597A"/>
    <w:rsid w:val="00726055"/>
    <w:rsid w:val="007260D6"/>
    <w:rsid w:val="007260EF"/>
    <w:rsid w:val="00726209"/>
    <w:rsid w:val="007266FA"/>
    <w:rsid w:val="007269B7"/>
    <w:rsid w:val="00726DC9"/>
    <w:rsid w:val="00726E54"/>
    <w:rsid w:val="007302CE"/>
    <w:rsid w:val="00731BC6"/>
    <w:rsid w:val="007328FA"/>
    <w:rsid w:val="00733132"/>
    <w:rsid w:val="007339F7"/>
    <w:rsid w:val="00734216"/>
    <w:rsid w:val="00734279"/>
    <w:rsid w:val="007344E1"/>
    <w:rsid w:val="00735975"/>
    <w:rsid w:val="00735F43"/>
    <w:rsid w:val="0073651C"/>
    <w:rsid w:val="0073792C"/>
    <w:rsid w:val="00737B04"/>
    <w:rsid w:val="00740332"/>
    <w:rsid w:val="00741385"/>
    <w:rsid w:val="00741EE2"/>
    <w:rsid w:val="0074257A"/>
    <w:rsid w:val="0074300E"/>
    <w:rsid w:val="0074342E"/>
    <w:rsid w:val="007447AF"/>
    <w:rsid w:val="00744AE1"/>
    <w:rsid w:val="007456D5"/>
    <w:rsid w:val="007469B2"/>
    <w:rsid w:val="00747434"/>
    <w:rsid w:val="00747712"/>
    <w:rsid w:val="0074788B"/>
    <w:rsid w:val="00747D2F"/>
    <w:rsid w:val="00747FFB"/>
    <w:rsid w:val="007500C5"/>
    <w:rsid w:val="00751047"/>
    <w:rsid w:val="0075137C"/>
    <w:rsid w:val="00751A2F"/>
    <w:rsid w:val="00751B36"/>
    <w:rsid w:val="00751D36"/>
    <w:rsid w:val="007521FB"/>
    <w:rsid w:val="00752E46"/>
    <w:rsid w:val="0075336C"/>
    <w:rsid w:val="0075364D"/>
    <w:rsid w:val="0075418A"/>
    <w:rsid w:val="00754A8F"/>
    <w:rsid w:val="00754AF8"/>
    <w:rsid w:val="00755405"/>
    <w:rsid w:val="007556E4"/>
    <w:rsid w:val="007557C0"/>
    <w:rsid w:val="00757702"/>
    <w:rsid w:val="00760B14"/>
    <w:rsid w:val="00760C02"/>
    <w:rsid w:val="00760F32"/>
    <w:rsid w:val="0076159D"/>
    <w:rsid w:val="00761B44"/>
    <w:rsid w:val="00761B89"/>
    <w:rsid w:val="00761FED"/>
    <w:rsid w:val="00762423"/>
    <w:rsid w:val="0076260D"/>
    <w:rsid w:val="00762C4E"/>
    <w:rsid w:val="00763B77"/>
    <w:rsid w:val="00764688"/>
    <w:rsid w:val="007648DB"/>
    <w:rsid w:val="00765DCE"/>
    <w:rsid w:val="00765FE5"/>
    <w:rsid w:val="00766053"/>
    <w:rsid w:val="00766242"/>
    <w:rsid w:val="00766487"/>
    <w:rsid w:val="0076674E"/>
    <w:rsid w:val="0076684F"/>
    <w:rsid w:val="00766C14"/>
    <w:rsid w:val="0076702C"/>
    <w:rsid w:val="00767CA7"/>
    <w:rsid w:val="00767F6C"/>
    <w:rsid w:val="00770C44"/>
    <w:rsid w:val="007715D3"/>
    <w:rsid w:val="00771CBB"/>
    <w:rsid w:val="0077235F"/>
    <w:rsid w:val="007723A2"/>
    <w:rsid w:val="00772500"/>
    <w:rsid w:val="007727BB"/>
    <w:rsid w:val="00772829"/>
    <w:rsid w:val="007730C2"/>
    <w:rsid w:val="007730E9"/>
    <w:rsid w:val="00775562"/>
    <w:rsid w:val="00775696"/>
    <w:rsid w:val="007757B7"/>
    <w:rsid w:val="00776780"/>
    <w:rsid w:val="00776D37"/>
    <w:rsid w:val="00777522"/>
    <w:rsid w:val="00777848"/>
    <w:rsid w:val="00777893"/>
    <w:rsid w:val="00777DAF"/>
    <w:rsid w:val="00780332"/>
    <w:rsid w:val="007809C3"/>
    <w:rsid w:val="00780AA8"/>
    <w:rsid w:val="00781574"/>
    <w:rsid w:val="00782120"/>
    <w:rsid w:val="007829CB"/>
    <w:rsid w:val="00783DD9"/>
    <w:rsid w:val="007852E9"/>
    <w:rsid w:val="0078595A"/>
    <w:rsid w:val="00785B27"/>
    <w:rsid w:val="007871EF"/>
    <w:rsid w:val="00790B15"/>
    <w:rsid w:val="00790F49"/>
    <w:rsid w:val="007913F6"/>
    <w:rsid w:val="007914AC"/>
    <w:rsid w:val="0079202A"/>
    <w:rsid w:val="00792A42"/>
    <w:rsid w:val="007931CB"/>
    <w:rsid w:val="007946A7"/>
    <w:rsid w:val="007947E2"/>
    <w:rsid w:val="00794844"/>
    <w:rsid w:val="007949E0"/>
    <w:rsid w:val="00794C70"/>
    <w:rsid w:val="007951D4"/>
    <w:rsid w:val="00795782"/>
    <w:rsid w:val="00796BD0"/>
    <w:rsid w:val="007970CC"/>
    <w:rsid w:val="007972E4"/>
    <w:rsid w:val="0079757A"/>
    <w:rsid w:val="007976D7"/>
    <w:rsid w:val="00797798"/>
    <w:rsid w:val="0079795D"/>
    <w:rsid w:val="00797B23"/>
    <w:rsid w:val="00797C46"/>
    <w:rsid w:val="007A0AB7"/>
    <w:rsid w:val="007A169B"/>
    <w:rsid w:val="007A192B"/>
    <w:rsid w:val="007A19F6"/>
    <w:rsid w:val="007A1B62"/>
    <w:rsid w:val="007A2368"/>
    <w:rsid w:val="007A2B65"/>
    <w:rsid w:val="007A3130"/>
    <w:rsid w:val="007A4E17"/>
    <w:rsid w:val="007A5617"/>
    <w:rsid w:val="007A570F"/>
    <w:rsid w:val="007A61BD"/>
    <w:rsid w:val="007A6324"/>
    <w:rsid w:val="007A698B"/>
    <w:rsid w:val="007A6A23"/>
    <w:rsid w:val="007A6B1B"/>
    <w:rsid w:val="007A6CD1"/>
    <w:rsid w:val="007A7DDB"/>
    <w:rsid w:val="007A7E8A"/>
    <w:rsid w:val="007B0245"/>
    <w:rsid w:val="007B0325"/>
    <w:rsid w:val="007B06DC"/>
    <w:rsid w:val="007B083F"/>
    <w:rsid w:val="007B0880"/>
    <w:rsid w:val="007B0CF2"/>
    <w:rsid w:val="007B0D01"/>
    <w:rsid w:val="007B0FDE"/>
    <w:rsid w:val="007B1007"/>
    <w:rsid w:val="007B1C4B"/>
    <w:rsid w:val="007B1CD5"/>
    <w:rsid w:val="007B2085"/>
    <w:rsid w:val="007B276D"/>
    <w:rsid w:val="007B27FF"/>
    <w:rsid w:val="007B2904"/>
    <w:rsid w:val="007B29F7"/>
    <w:rsid w:val="007B2C79"/>
    <w:rsid w:val="007B2EEA"/>
    <w:rsid w:val="007B2FDC"/>
    <w:rsid w:val="007B3272"/>
    <w:rsid w:val="007B38A0"/>
    <w:rsid w:val="007B38B7"/>
    <w:rsid w:val="007B4510"/>
    <w:rsid w:val="007B4F7B"/>
    <w:rsid w:val="007B5373"/>
    <w:rsid w:val="007B57CA"/>
    <w:rsid w:val="007B583D"/>
    <w:rsid w:val="007B5F56"/>
    <w:rsid w:val="007B6684"/>
    <w:rsid w:val="007B673D"/>
    <w:rsid w:val="007B6B21"/>
    <w:rsid w:val="007B7024"/>
    <w:rsid w:val="007B77D8"/>
    <w:rsid w:val="007B7AE2"/>
    <w:rsid w:val="007C0390"/>
    <w:rsid w:val="007C07DD"/>
    <w:rsid w:val="007C0A22"/>
    <w:rsid w:val="007C0E24"/>
    <w:rsid w:val="007C1020"/>
    <w:rsid w:val="007C14A2"/>
    <w:rsid w:val="007C189D"/>
    <w:rsid w:val="007C1CEE"/>
    <w:rsid w:val="007C1E9A"/>
    <w:rsid w:val="007C2089"/>
    <w:rsid w:val="007C300E"/>
    <w:rsid w:val="007C328D"/>
    <w:rsid w:val="007C336F"/>
    <w:rsid w:val="007C41B1"/>
    <w:rsid w:val="007C4712"/>
    <w:rsid w:val="007C4997"/>
    <w:rsid w:val="007C5651"/>
    <w:rsid w:val="007C57B6"/>
    <w:rsid w:val="007C6494"/>
    <w:rsid w:val="007C693A"/>
    <w:rsid w:val="007C70AB"/>
    <w:rsid w:val="007D052F"/>
    <w:rsid w:val="007D0CD5"/>
    <w:rsid w:val="007D0E9A"/>
    <w:rsid w:val="007D16F1"/>
    <w:rsid w:val="007D17BD"/>
    <w:rsid w:val="007D1A6D"/>
    <w:rsid w:val="007D1B14"/>
    <w:rsid w:val="007D2A39"/>
    <w:rsid w:val="007D30B7"/>
    <w:rsid w:val="007D3827"/>
    <w:rsid w:val="007D3947"/>
    <w:rsid w:val="007D4164"/>
    <w:rsid w:val="007D4B68"/>
    <w:rsid w:val="007D4BAB"/>
    <w:rsid w:val="007D531C"/>
    <w:rsid w:val="007D5498"/>
    <w:rsid w:val="007D57B9"/>
    <w:rsid w:val="007D60E1"/>
    <w:rsid w:val="007D66EB"/>
    <w:rsid w:val="007D74A9"/>
    <w:rsid w:val="007D74DA"/>
    <w:rsid w:val="007D750B"/>
    <w:rsid w:val="007D7B34"/>
    <w:rsid w:val="007E07B2"/>
    <w:rsid w:val="007E12AB"/>
    <w:rsid w:val="007E15AD"/>
    <w:rsid w:val="007E25ED"/>
    <w:rsid w:val="007E2BC0"/>
    <w:rsid w:val="007E3118"/>
    <w:rsid w:val="007E3151"/>
    <w:rsid w:val="007E35F6"/>
    <w:rsid w:val="007E3CE2"/>
    <w:rsid w:val="007E4A7A"/>
    <w:rsid w:val="007E4B19"/>
    <w:rsid w:val="007E4E58"/>
    <w:rsid w:val="007F0844"/>
    <w:rsid w:val="007F0A15"/>
    <w:rsid w:val="007F0C91"/>
    <w:rsid w:val="007F13C1"/>
    <w:rsid w:val="007F220D"/>
    <w:rsid w:val="007F26DB"/>
    <w:rsid w:val="007F2848"/>
    <w:rsid w:val="007F2F72"/>
    <w:rsid w:val="007F3607"/>
    <w:rsid w:val="007F4375"/>
    <w:rsid w:val="007F437B"/>
    <w:rsid w:val="007F60A8"/>
    <w:rsid w:val="007F67E9"/>
    <w:rsid w:val="007F735D"/>
    <w:rsid w:val="007F7521"/>
    <w:rsid w:val="007F77B9"/>
    <w:rsid w:val="007F7C7B"/>
    <w:rsid w:val="007F7EAD"/>
    <w:rsid w:val="008003A2"/>
    <w:rsid w:val="0080051A"/>
    <w:rsid w:val="00800F7B"/>
    <w:rsid w:val="008019A6"/>
    <w:rsid w:val="00801CD5"/>
    <w:rsid w:val="00801F38"/>
    <w:rsid w:val="008024C1"/>
    <w:rsid w:val="00802A34"/>
    <w:rsid w:val="0080306F"/>
    <w:rsid w:val="008040A2"/>
    <w:rsid w:val="00804632"/>
    <w:rsid w:val="00804BDA"/>
    <w:rsid w:val="00804D9C"/>
    <w:rsid w:val="00805229"/>
    <w:rsid w:val="00805366"/>
    <w:rsid w:val="008054D9"/>
    <w:rsid w:val="008060D9"/>
    <w:rsid w:val="0080667A"/>
    <w:rsid w:val="00806688"/>
    <w:rsid w:val="00806C59"/>
    <w:rsid w:val="008077EF"/>
    <w:rsid w:val="008078D4"/>
    <w:rsid w:val="00807A3E"/>
    <w:rsid w:val="00810338"/>
    <w:rsid w:val="00810A1D"/>
    <w:rsid w:val="00810CC8"/>
    <w:rsid w:val="00812106"/>
    <w:rsid w:val="00812282"/>
    <w:rsid w:val="008126D2"/>
    <w:rsid w:val="008126DF"/>
    <w:rsid w:val="00813F58"/>
    <w:rsid w:val="008143FB"/>
    <w:rsid w:val="008148E4"/>
    <w:rsid w:val="008152AC"/>
    <w:rsid w:val="008157F1"/>
    <w:rsid w:val="008159CE"/>
    <w:rsid w:val="0081672F"/>
    <w:rsid w:val="00816C50"/>
    <w:rsid w:val="00816D77"/>
    <w:rsid w:val="00816EC2"/>
    <w:rsid w:val="008173EC"/>
    <w:rsid w:val="00820EE5"/>
    <w:rsid w:val="0082165F"/>
    <w:rsid w:val="0082198A"/>
    <w:rsid w:val="0082233F"/>
    <w:rsid w:val="0082255B"/>
    <w:rsid w:val="008226FD"/>
    <w:rsid w:val="0082318F"/>
    <w:rsid w:val="008236E1"/>
    <w:rsid w:val="008243CA"/>
    <w:rsid w:val="00824458"/>
    <w:rsid w:val="0082461B"/>
    <w:rsid w:val="008249F7"/>
    <w:rsid w:val="00824B74"/>
    <w:rsid w:val="00825223"/>
    <w:rsid w:val="00825800"/>
    <w:rsid w:val="00826594"/>
    <w:rsid w:val="0082664C"/>
    <w:rsid w:val="00827027"/>
    <w:rsid w:val="0082732A"/>
    <w:rsid w:val="00827762"/>
    <w:rsid w:val="00827E4D"/>
    <w:rsid w:val="00830536"/>
    <w:rsid w:val="00830B88"/>
    <w:rsid w:val="00830F4F"/>
    <w:rsid w:val="008316E5"/>
    <w:rsid w:val="00832601"/>
    <w:rsid w:val="00832649"/>
    <w:rsid w:val="008333C5"/>
    <w:rsid w:val="008336A3"/>
    <w:rsid w:val="00833E4F"/>
    <w:rsid w:val="008355A9"/>
    <w:rsid w:val="0083574F"/>
    <w:rsid w:val="00835EC9"/>
    <w:rsid w:val="008364CE"/>
    <w:rsid w:val="008379C3"/>
    <w:rsid w:val="00840157"/>
    <w:rsid w:val="008411FB"/>
    <w:rsid w:val="00841388"/>
    <w:rsid w:val="00841DA2"/>
    <w:rsid w:val="00841EFB"/>
    <w:rsid w:val="00841F44"/>
    <w:rsid w:val="008420AA"/>
    <w:rsid w:val="00842C82"/>
    <w:rsid w:val="008431FF"/>
    <w:rsid w:val="00843222"/>
    <w:rsid w:val="00843644"/>
    <w:rsid w:val="008436D7"/>
    <w:rsid w:val="00843A35"/>
    <w:rsid w:val="00843B9C"/>
    <w:rsid w:val="008440FE"/>
    <w:rsid w:val="00844A36"/>
    <w:rsid w:val="00845077"/>
    <w:rsid w:val="008454E5"/>
    <w:rsid w:val="00845CCF"/>
    <w:rsid w:val="00846119"/>
    <w:rsid w:val="00846594"/>
    <w:rsid w:val="00846C2D"/>
    <w:rsid w:val="00847174"/>
    <w:rsid w:val="008474E3"/>
    <w:rsid w:val="00847B86"/>
    <w:rsid w:val="00847BB2"/>
    <w:rsid w:val="00850446"/>
    <w:rsid w:val="00850C0D"/>
    <w:rsid w:val="008523F9"/>
    <w:rsid w:val="008526C2"/>
    <w:rsid w:val="008527ED"/>
    <w:rsid w:val="0085280F"/>
    <w:rsid w:val="008533B3"/>
    <w:rsid w:val="008537F7"/>
    <w:rsid w:val="00854521"/>
    <w:rsid w:val="008546BE"/>
    <w:rsid w:val="00856032"/>
    <w:rsid w:val="00856074"/>
    <w:rsid w:val="00856C15"/>
    <w:rsid w:val="00856DB6"/>
    <w:rsid w:val="00856F44"/>
    <w:rsid w:val="00857949"/>
    <w:rsid w:val="00857C38"/>
    <w:rsid w:val="0086145D"/>
    <w:rsid w:val="008617EF"/>
    <w:rsid w:val="00863603"/>
    <w:rsid w:val="00863651"/>
    <w:rsid w:val="008636CF"/>
    <w:rsid w:val="0086382A"/>
    <w:rsid w:val="00863BBF"/>
    <w:rsid w:val="00863F8B"/>
    <w:rsid w:val="00864735"/>
    <w:rsid w:val="00866050"/>
    <w:rsid w:val="00866580"/>
    <w:rsid w:val="00866A41"/>
    <w:rsid w:val="00867A31"/>
    <w:rsid w:val="00867E07"/>
    <w:rsid w:val="0087005E"/>
    <w:rsid w:val="008703AA"/>
    <w:rsid w:val="00871891"/>
    <w:rsid w:val="00871DC2"/>
    <w:rsid w:val="00871E10"/>
    <w:rsid w:val="00871E2D"/>
    <w:rsid w:val="00872640"/>
    <w:rsid w:val="0087277A"/>
    <w:rsid w:val="00872916"/>
    <w:rsid w:val="00872A47"/>
    <w:rsid w:val="00872C67"/>
    <w:rsid w:val="0087350F"/>
    <w:rsid w:val="0087366F"/>
    <w:rsid w:val="00873694"/>
    <w:rsid w:val="008736E2"/>
    <w:rsid w:val="00873F0E"/>
    <w:rsid w:val="008741FF"/>
    <w:rsid w:val="00874565"/>
    <w:rsid w:val="00874719"/>
    <w:rsid w:val="00874E6F"/>
    <w:rsid w:val="00875166"/>
    <w:rsid w:val="00875285"/>
    <w:rsid w:val="0087664A"/>
    <w:rsid w:val="008769C0"/>
    <w:rsid w:val="00877247"/>
    <w:rsid w:val="008801AE"/>
    <w:rsid w:val="00880AA3"/>
    <w:rsid w:val="00882A81"/>
    <w:rsid w:val="00883214"/>
    <w:rsid w:val="0088357F"/>
    <w:rsid w:val="00883966"/>
    <w:rsid w:val="00883D74"/>
    <w:rsid w:val="00883E64"/>
    <w:rsid w:val="0088421C"/>
    <w:rsid w:val="0088437D"/>
    <w:rsid w:val="0088445B"/>
    <w:rsid w:val="00884529"/>
    <w:rsid w:val="008849BD"/>
    <w:rsid w:val="00885119"/>
    <w:rsid w:val="00885920"/>
    <w:rsid w:val="00885AEA"/>
    <w:rsid w:val="0088618E"/>
    <w:rsid w:val="0088646F"/>
    <w:rsid w:val="0088775D"/>
    <w:rsid w:val="00887D22"/>
    <w:rsid w:val="00891AF6"/>
    <w:rsid w:val="00891BC3"/>
    <w:rsid w:val="00891BD4"/>
    <w:rsid w:val="00892F2D"/>
    <w:rsid w:val="00892F68"/>
    <w:rsid w:val="00892FCD"/>
    <w:rsid w:val="008937C8"/>
    <w:rsid w:val="00893A75"/>
    <w:rsid w:val="0089411A"/>
    <w:rsid w:val="00894976"/>
    <w:rsid w:val="008950DE"/>
    <w:rsid w:val="0089516C"/>
    <w:rsid w:val="008952F8"/>
    <w:rsid w:val="008967C4"/>
    <w:rsid w:val="00896820"/>
    <w:rsid w:val="00896D62"/>
    <w:rsid w:val="00897A01"/>
    <w:rsid w:val="008A07D1"/>
    <w:rsid w:val="008A0D2A"/>
    <w:rsid w:val="008A151E"/>
    <w:rsid w:val="008A152A"/>
    <w:rsid w:val="008A1693"/>
    <w:rsid w:val="008A1EC4"/>
    <w:rsid w:val="008A254F"/>
    <w:rsid w:val="008A2630"/>
    <w:rsid w:val="008A2CC6"/>
    <w:rsid w:val="008A46FC"/>
    <w:rsid w:val="008A4A27"/>
    <w:rsid w:val="008A5833"/>
    <w:rsid w:val="008A5A79"/>
    <w:rsid w:val="008A65D5"/>
    <w:rsid w:val="008A723E"/>
    <w:rsid w:val="008A7A27"/>
    <w:rsid w:val="008B0679"/>
    <w:rsid w:val="008B1391"/>
    <w:rsid w:val="008B232F"/>
    <w:rsid w:val="008B2781"/>
    <w:rsid w:val="008B2834"/>
    <w:rsid w:val="008B2D21"/>
    <w:rsid w:val="008B2EA5"/>
    <w:rsid w:val="008B320F"/>
    <w:rsid w:val="008B34B6"/>
    <w:rsid w:val="008B3A88"/>
    <w:rsid w:val="008B3B83"/>
    <w:rsid w:val="008B4665"/>
    <w:rsid w:val="008B4AD9"/>
    <w:rsid w:val="008B4BFC"/>
    <w:rsid w:val="008B4E22"/>
    <w:rsid w:val="008B4EB6"/>
    <w:rsid w:val="008B51B4"/>
    <w:rsid w:val="008B5B67"/>
    <w:rsid w:val="008B5D7A"/>
    <w:rsid w:val="008B65F0"/>
    <w:rsid w:val="008B66E3"/>
    <w:rsid w:val="008B6D3D"/>
    <w:rsid w:val="008B7353"/>
    <w:rsid w:val="008B74A7"/>
    <w:rsid w:val="008B7848"/>
    <w:rsid w:val="008B79F7"/>
    <w:rsid w:val="008B7BF0"/>
    <w:rsid w:val="008C10F6"/>
    <w:rsid w:val="008C188A"/>
    <w:rsid w:val="008C1A06"/>
    <w:rsid w:val="008C1E05"/>
    <w:rsid w:val="008C216E"/>
    <w:rsid w:val="008C34BB"/>
    <w:rsid w:val="008C45E2"/>
    <w:rsid w:val="008C5126"/>
    <w:rsid w:val="008C5205"/>
    <w:rsid w:val="008C5A1C"/>
    <w:rsid w:val="008C5E61"/>
    <w:rsid w:val="008C6339"/>
    <w:rsid w:val="008C7D97"/>
    <w:rsid w:val="008D00C6"/>
    <w:rsid w:val="008D08EF"/>
    <w:rsid w:val="008D0A5A"/>
    <w:rsid w:val="008D1007"/>
    <w:rsid w:val="008D19A7"/>
    <w:rsid w:val="008D1D4A"/>
    <w:rsid w:val="008D1E1F"/>
    <w:rsid w:val="008D1F84"/>
    <w:rsid w:val="008D3726"/>
    <w:rsid w:val="008D3E41"/>
    <w:rsid w:val="008D3EFB"/>
    <w:rsid w:val="008D441C"/>
    <w:rsid w:val="008D4A00"/>
    <w:rsid w:val="008D4CB0"/>
    <w:rsid w:val="008D5134"/>
    <w:rsid w:val="008D52E7"/>
    <w:rsid w:val="008D5B12"/>
    <w:rsid w:val="008D6119"/>
    <w:rsid w:val="008D6397"/>
    <w:rsid w:val="008D6ABC"/>
    <w:rsid w:val="008D73C9"/>
    <w:rsid w:val="008D7ECA"/>
    <w:rsid w:val="008E0CF4"/>
    <w:rsid w:val="008E16BF"/>
    <w:rsid w:val="008E1C7E"/>
    <w:rsid w:val="008E2EDC"/>
    <w:rsid w:val="008E3049"/>
    <w:rsid w:val="008E3461"/>
    <w:rsid w:val="008E34A7"/>
    <w:rsid w:val="008E35A3"/>
    <w:rsid w:val="008E3FAA"/>
    <w:rsid w:val="008E42B0"/>
    <w:rsid w:val="008E4E6C"/>
    <w:rsid w:val="008E5100"/>
    <w:rsid w:val="008E5184"/>
    <w:rsid w:val="008E53D7"/>
    <w:rsid w:val="008E6DD4"/>
    <w:rsid w:val="008E6FEB"/>
    <w:rsid w:val="008E7274"/>
    <w:rsid w:val="008F0562"/>
    <w:rsid w:val="008F07EC"/>
    <w:rsid w:val="008F087F"/>
    <w:rsid w:val="008F173C"/>
    <w:rsid w:val="008F1B9E"/>
    <w:rsid w:val="008F260B"/>
    <w:rsid w:val="008F2BA9"/>
    <w:rsid w:val="008F30BB"/>
    <w:rsid w:val="008F32F6"/>
    <w:rsid w:val="008F394F"/>
    <w:rsid w:val="008F47D1"/>
    <w:rsid w:val="008F6884"/>
    <w:rsid w:val="008F6DE1"/>
    <w:rsid w:val="008F6EBF"/>
    <w:rsid w:val="00900D5B"/>
    <w:rsid w:val="00900DFF"/>
    <w:rsid w:val="00901670"/>
    <w:rsid w:val="00901C67"/>
    <w:rsid w:val="00901ECE"/>
    <w:rsid w:val="0090434B"/>
    <w:rsid w:val="00905B1F"/>
    <w:rsid w:val="00906E65"/>
    <w:rsid w:val="009107CD"/>
    <w:rsid w:val="00910CF6"/>
    <w:rsid w:val="00911189"/>
    <w:rsid w:val="00911C3B"/>
    <w:rsid w:val="00911C44"/>
    <w:rsid w:val="009127D5"/>
    <w:rsid w:val="00912B1B"/>
    <w:rsid w:val="009144D5"/>
    <w:rsid w:val="00914949"/>
    <w:rsid w:val="0091496B"/>
    <w:rsid w:val="00914B60"/>
    <w:rsid w:val="00915039"/>
    <w:rsid w:val="00915488"/>
    <w:rsid w:val="00915A4A"/>
    <w:rsid w:val="00915ECE"/>
    <w:rsid w:val="00915F98"/>
    <w:rsid w:val="00915FA3"/>
    <w:rsid w:val="009161C7"/>
    <w:rsid w:val="009163B7"/>
    <w:rsid w:val="00917C3F"/>
    <w:rsid w:val="00920123"/>
    <w:rsid w:val="00920AC5"/>
    <w:rsid w:val="009217F8"/>
    <w:rsid w:val="009222FE"/>
    <w:rsid w:val="00922EF3"/>
    <w:rsid w:val="0092366F"/>
    <w:rsid w:val="009236FA"/>
    <w:rsid w:val="00923CF0"/>
    <w:rsid w:val="009245D7"/>
    <w:rsid w:val="0092470E"/>
    <w:rsid w:val="00925187"/>
    <w:rsid w:val="00925972"/>
    <w:rsid w:val="00925A93"/>
    <w:rsid w:val="00925D88"/>
    <w:rsid w:val="00926231"/>
    <w:rsid w:val="0092709C"/>
    <w:rsid w:val="0092717F"/>
    <w:rsid w:val="00927744"/>
    <w:rsid w:val="00927B05"/>
    <w:rsid w:val="00927EC6"/>
    <w:rsid w:val="00930F4E"/>
    <w:rsid w:val="009312FD"/>
    <w:rsid w:val="00931434"/>
    <w:rsid w:val="00931B6D"/>
    <w:rsid w:val="00931E3E"/>
    <w:rsid w:val="009323A3"/>
    <w:rsid w:val="00932890"/>
    <w:rsid w:val="00932D53"/>
    <w:rsid w:val="00933BC8"/>
    <w:rsid w:val="00933C3C"/>
    <w:rsid w:val="00933DC1"/>
    <w:rsid w:val="00934747"/>
    <w:rsid w:val="009359EF"/>
    <w:rsid w:val="00935F1E"/>
    <w:rsid w:val="00936062"/>
    <w:rsid w:val="00936094"/>
    <w:rsid w:val="00936E8A"/>
    <w:rsid w:val="00936EF3"/>
    <w:rsid w:val="00937CBE"/>
    <w:rsid w:val="00937DA9"/>
    <w:rsid w:val="00937F41"/>
    <w:rsid w:val="009400D1"/>
    <w:rsid w:val="0094069F"/>
    <w:rsid w:val="00941839"/>
    <w:rsid w:val="00942D6D"/>
    <w:rsid w:val="009432FC"/>
    <w:rsid w:val="00943BE1"/>
    <w:rsid w:val="00943C2A"/>
    <w:rsid w:val="00944087"/>
    <w:rsid w:val="009444D2"/>
    <w:rsid w:val="009444FD"/>
    <w:rsid w:val="0094451F"/>
    <w:rsid w:val="009446EA"/>
    <w:rsid w:val="00944A90"/>
    <w:rsid w:val="00944E74"/>
    <w:rsid w:val="0094553B"/>
    <w:rsid w:val="009459E4"/>
    <w:rsid w:val="00945C10"/>
    <w:rsid w:val="00946AAA"/>
    <w:rsid w:val="0094769E"/>
    <w:rsid w:val="00947E0B"/>
    <w:rsid w:val="0095012E"/>
    <w:rsid w:val="009502A0"/>
    <w:rsid w:val="0095051D"/>
    <w:rsid w:val="0095067D"/>
    <w:rsid w:val="00950F2D"/>
    <w:rsid w:val="00951934"/>
    <w:rsid w:val="00951DDC"/>
    <w:rsid w:val="00951EBA"/>
    <w:rsid w:val="0095207B"/>
    <w:rsid w:val="00952683"/>
    <w:rsid w:val="00952D8C"/>
    <w:rsid w:val="009532C7"/>
    <w:rsid w:val="00953607"/>
    <w:rsid w:val="00953817"/>
    <w:rsid w:val="00953A03"/>
    <w:rsid w:val="009548FE"/>
    <w:rsid w:val="00954A35"/>
    <w:rsid w:val="00954C8C"/>
    <w:rsid w:val="00955723"/>
    <w:rsid w:val="00955851"/>
    <w:rsid w:val="00955DE1"/>
    <w:rsid w:val="00955FB8"/>
    <w:rsid w:val="009561DD"/>
    <w:rsid w:val="00956ACE"/>
    <w:rsid w:val="0095708B"/>
    <w:rsid w:val="009570E6"/>
    <w:rsid w:val="009572A0"/>
    <w:rsid w:val="00957D24"/>
    <w:rsid w:val="00960284"/>
    <w:rsid w:val="00960AFE"/>
    <w:rsid w:val="00960CBC"/>
    <w:rsid w:val="00960DCF"/>
    <w:rsid w:val="00960E09"/>
    <w:rsid w:val="009615CB"/>
    <w:rsid w:val="00961683"/>
    <w:rsid w:val="00961896"/>
    <w:rsid w:val="00961941"/>
    <w:rsid w:val="00961B53"/>
    <w:rsid w:val="009624D4"/>
    <w:rsid w:val="00962A6D"/>
    <w:rsid w:val="009631EA"/>
    <w:rsid w:val="00963264"/>
    <w:rsid w:val="0096358C"/>
    <w:rsid w:val="00963783"/>
    <w:rsid w:val="0096389D"/>
    <w:rsid w:val="00964BD3"/>
    <w:rsid w:val="0096544E"/>
    <w:rsid w:val="0096549F"/>
    <w:rsid w:val="00965716"/>
    <w:rsid w:val="00965862"/>
    <w:rsid w:val="009659AE"/>
    <w:rsid w:val="0096631D"/>
    <w:rsid w:val="00966426"/>
    <w:rsid w:val="009672AD"/>
    <w:rsid w:val="00967549"/>
    <w:rsid w:val="009676C0"/>
    <w:rsid w:val="00967F66"/>
    <w:rsid w:val="00970372"/>
    <w:rsid w:val="009707D8"/>
    <w:rsid w:val="009707E2"/>
    <w:rsid w:val="00970D05"/>
    <w:rsid w:val="00970E7E"/>
    <w:rsid w:val="009710EB"/>
    <w:rsid w:val="0097144D"/>
    <w:rsid w:val="00971C27"/>
    <w:rsid w:val="009732D0"/>
    <w:rsid w:val="00973330"/>
    <w:rsid w:val="00973494"/>
    <w:rsid w:val="00973A6F"/>
    <w:rsid w:val="00973E81"/>
    <w:rsid w:val="00974C37"/>
    <w:rsid w:val="009750F3"/>
    <w:rsid w:val="00975E03"/>
    <w:rsid w:val="00975E13"/>
    <w:rsid w:val="00976641"/>
    <w:rsid w:val="00976759"/>
    <w:rsid w:val="009803A9"/>
    <w:rsid w:val="009803CB"/>
    <w:rsid w:val="009803D4"/>
    <w:rsid w:val="009807A2"/>
    <w:rsid w:val="00980C76"/>
    <w:rsid w:val="00980EE6"/>
    <w:rsid w:val="00981544"/>
    <w:rsid w:val="0098199C"/>
    <w:rsid w:val="0098241E"/>
    <w:rsid w:val="0098268D"/>
    <w:rsid w:val="00982E6C"/>
    <w:rsid w:val="00983BDD"/>
    <w:rsid w:val="00983CE0"/>
    <w:rsid w:val="00983E90"/>
    <w:rsid w:val="009843CC"/>
    <w:rsid w:val="00985CEE"/>
    <w:rsid w:val="00986F7E"/>
    <w:rsid w:val="009873F3"/>
    <w:rsid w:val="00990A34"/>
    <w:rsid w:val="00990D35"/>
    <w:rsid w:val="00990EBE"/>
    <w:rsid w:val="009917CA"/>
    <w:rsid w:val="0099295E"/>
    <w:rsid w:val="00992FC1"/>
    <w:rsid w:val="009933EF"/>
    <w:rsid w:val="00993512"/>
    <w:rsid w:val="00993CD4"/>
    <w:rsid w:val="00995C09"/>
    <w:rsid w:val="00995CDB"/>
    <w:rsid w:val="00995E98"/>
    <w:rsid w:val="009964DD"/>
    <w:rsid w:val="00996F15"/>
    <w:rsid w:val="009971AA"/>
    <w:rsid w:val="009977D7"/>
    <w:rsid w:val="00997862"/>
    <w:rsid w:val="00997A8E"/>
    <w:rsid w:val="00997BA8"/>
    <w:rsid w:val="00997E1F"/>
    <w:rsid w:val="009A06F4"/>
    <w:rsid w:val="009A0817"/>
    <w:rsid w:val="009A1464"/>
    <w:rsid w:val="009A251A"/>
    <w:rsid w:val="009A2AD3"/>
    <w:rsid w:val="009A2AF8"/>
    <w:rsid w:val="009A2DDC"/>
    <w:rsid w:val="009A3778"/>
    <w:rsid w:val="009A38E0"/>
    <w:rsid w:val="009A3E2E"/>
    <w:rsid w:val="009A4054"/>
    <w:rsid w:val="009A432C"/>
    <w:rsid w:val="009A4355"/>
    <w:rsid w:val="009A485E"/>
    <w:rsid w:val="009A5168"/>
    <w:rsid w:val="009A5220"/>
    <w:rsid w:val="009A5761"/>
    <w:rsid w:val="009A59B0"/>
    <w:rsid w:val="009A5B3F"/>
    <w:rsid w:val="009A5FA7"/>
    <w:rsid w:val="009A74AF"/>
    <w:rsid w:val="009A7E1E"/>
    <w:rsid w:val="009A7E2B"/>
    <w:rsid w:val="009A7F34"/>
    <w:rsid w:val="009B0523"/>
    <w:rsid w:val="009B1A80"/>
    <w:rsid w:val="009B1F8B"/>
    <w:rsid w:val="009B21AC"/>
    <w:rsid w:val="009B2245"/>
    <w:rsid w:val="009B229A"/>
    <w:rsid w:val="009B258E"/>
    <w:rsid w:val="009B365C"/>
    <w:rsid w:val="009B38A7"/>
    <w:rsid w:val="009B4292"/>
    <w:rsid w:val="009B4542"/>
    <w:rsid w:val="009B48AE"/>
    <w:rsid w:val="009B4CEF"/>
    <w:rsid w:val="009B54E9"/>
    <w:rsid w:val="009B5997"/>
    <w:rsid w:val="009B5B70"/>
    <w:rsid w:val="009B6060"/>
    <w:rsid w:val="009B6B23"/>
    <w:rsid w:val="009B7179"/>
    <w:rsid w:val="009B79F3"/>
    <w:rsid w:val="009B7A07"/>
    <w:rsid w:val="009B7ABD"/>
    <w:rsid w:val="009B7BEC"/>
    <w:rsid w:val="009C1BA9"/>
    <w:rsid w:val="009C1D27"/>
    <w:rsid w:val="009C1D74"/>
    <w:rsid w:val="009C236B"/>
    <w:rsid w:val="009C2733"/>
    <w:rsid w:val="009C2896"/>
    <w:rsid w:val="009C3310"/>
    <w:rsid w:val="009C3644"/>
    <w:rsid w:val="009C37E6"/>
    <w:rsid w:val="009C3841"/>
    <w:rsid w:val="009C38DD"/>
    <w:rsid w:val="009C3BD9"/>
    <w:rsid w:val="009C4C0D"/>
    <w:rsid w:val="009C5B82"/>
    <w:rsid w:val="009C6CD6"/>
    <w:rsid w:val="009C705F"/>
    <w:rsid w:val="009C756E"/>
    <w:rsid w:val="009C7730"/>
    <w:rsid w:val="009C7A4A"/>
    <w:rsid w:val="009C7F4F"/>
    <w:rsid w:val="009D01AA"/>
    <w:rsid w:val="009D21BE"/>
    <w:rsid w:val="009D3C3D"/>
    <w:rsid w:val="009D415F"/>
    <w:rsid w:val="009D46D5"/>
    <w:rsid w:val="009D4759"/>
    <w:rsid w:val="009D5288"/>
    <w:rsid w:val="009D6A6D"/>
    <w:rsid w:val="009D6B2C"/>
    <w:rsid w:val="009E0243"/>
    <w:rsid w:val="009E1C5F"/>
    <w:rsid w:val="009E1ECB"/>
    <w:rsid w:val="009E2050"/>
    <w:rsid w:val="009E2883"/>
    <w:rsid w:val="009E2AD3"/>
    <w:rsid w:val="009E2D2B"/>
    <w:rsid w:val="009E3074"/>
    <w:rsid w:val="009E3CA8"/>
    <w:rsid w:val="009E47E5"/>
    <w:rsid w:val="009E5BFD"/>
    <w:rsid w:val="009E6440"/>
    <w:rsid w:val="009E7715"/>
    <w:rsid w:val="009E7D42"/>
    <w:rsid w:val="009F0324"/>
    <w:rsid w:val="009F0A02"/>
    <w:rsid w:val="009F106E"/>
    <w:rsid w:val="009F146F"/>
    <w:rsid w:val="009F1E57"/>
    <w:rsid w:val="009F1E97"/>
    <w:rsid w:val="009F30C1"/>
    <w:rsid w:val="009F368B"/>
    <w:rsid w:val="009F3C75"/>
    <w:rsid w:val="009F3D6A"/>
    <w:rsid w:val="009F471F"/>
    <w:rsid w:val="009F47BD"/>
    <w:rsid w:val="009F4C82"/>
    <w:rsid w:val="009F52C9"/>
    <w:rsid w:val="009F5DED"/>
    <w:rsid w:val="009F6414"/>
    <w:rsid w:val="009F64C0"/>
    <w:rsid w:val="00A002E0"/>
    <w:rsid w:val="00A0037E"/>
    <w:rsid w:val="00A00F98"/>
    <w:rsid w:val="00A01303"/>
    <w:rsid w:val="00A0175C"/>
    <w:rsid w:val="00A0191C"/>
    <w:rsid w:val="00A0264D"/>
    <w:rsid w:val="00A02C4F"/>
    <w:rsid w:val="00A02C96"/>
    <w:rsid w:val="00A0355F"/>
    <w:rsid w:val="00A0409F"/>
    <w:rsid w:val="00A046FB"/>
    <w:rsid w:val="00A04A09"/>
    <w:rsid w:val="00A04C7D"/>
    <w:rsid w:val="00A05821"/>
    <w:rsid w:val="00A058F2"/>
    <w:rsid w:val="00A05D1D"/>
    <w:rsid w:val="00A05EA2"/>
    <w:rsid w:val="00A0647A"/>
    <w:rsid w:val="00A0658A"/>
    <w:rsid w:val="00A06620"/>
    <w:rsid w:val="00A07346"/>
    <w:rsid w:val="00A07376"/>
    <w:rsid w:val="00A075CC"/>
    <w:rsid w:val="00A076CC"/>
    <w:rsid w:val="00A102E9"/>
    <w:rsid w:val="00A10A86"/>
    <w:rsid w:val="00A111CB"/>
    <w:rsid w:val="00A113FD"/>
    <w:rsid w:val="00A11626"/>
    <w:rsid w:val="00A1165C"/>
    <w:rsid w:val="00A116EE"/>
    <w:rsid w:val="00A1178E"/>
    <w:rsid w:val="00A117E9"/>
    <w:rsid w:val="00A11E7E"/>
    <w:rsid w:val="00A12026"/>
    <w:rsid w:val="00A125D6"/>
    <w:rsid w:val="00A12C49"/>
    <w:rsid w:val="00A14E53"/>
    <w:rsid w:val="00A15580"/>
    <w:rsid w:val="00A1572C"/>
    <w:rsid w:val="00A15853"/>
    <w:rsid w:val="00A16449"/>
    <w:rsid w:val="00A16798"/>
    <w:rsid w:val="00A16C19"/>
    <w:rsid w:val="00A17652"/>
    <w:rsid w:val="00A2016C"/>
    <w:rsid w:val="00A21227"/>
    <w:rsid w:val="00A213AD"/>
    <w:rsid w:val="00A21525"/>
    <w:rsid w:val="00A215A6"/>
    <w:rsid w:val="00A21B6B"/>
    <w:rsid w:val="00A21C48"/>
    <w:rsid w:val="00A21D1E"/>
    <w:rsid w:val="00A22EFC"/>
    <w:rsid w:val="00A22F12"/>
    <w:rsid w:val="00A23148"/>
    <w:rsid w:val="00A2372D"/>
    <w:rsid w:val="00A23A29"/>
    <w:rsid w:val="00A24CE8"/>
    <w:rsid w:val="00A24D43"/>
    <w:rsid w:val="00A25D65"/>
    <w:rsid w:val="00A25D66"/>
    <w:rsid w:val="00A26389"/>
    <w:rsid w:val="00A26FD3"/>
    <w:rsid w:val="00A2766D"/>
    <w:rsid w:val="00A27C22"/>
    <w:rsid w:val="00A3029F"/>
    <w:rsid w:val="00A303B8"/>
    <w:rsid w:val="00A304E3"/>
    <w:rsid w:val="00A3117E"/>
    <w:rsid w:val="00A31183"/>
    <w:rsid w:val="00A31B2A"/>
    <w:rsid w:val="00A33628"/>
    <w:rsid w:val="00A34235"/>
    <w:rsid w:val="00A34401"/>
    <w:rsid w:val="00A3449E"/>
    <w:rsid w:val="00A34E58"/>
    <w:rsid w:val="00A350BE"/>
    <w:rsid w:val="00A35394"/>
    <w:rsid w:val="00A35409"/>
    <w:rsid w:val="00A35681"/>
    <w:rsid w:val="00A35F10"/>
    <w:rsid w:val="00A361C3"/>
    <w:rsid w:val="00A36802"/>
    <w:rsid w:val="00A37433"/>
    <w:rsid w:val="00A3790D"/>
    <w:rsid w:val="00A37D9C"/>
    <w:rsid w:val="00A37F2B"/>
    <w:rsid w:val="00A41082"/>
    <w:rsid w:val="00A411FA"/>
    <w:rsid w:val="00A41AEF"/>
    <w:rsid w:val="00A41D10"/>
    <w:rsid w:val="00A41D65"/>
    <w:rsid w:val="00A42B74"/>
    <w:rsid w:val="00A433B8"/>
    <w:rsid w:val="00A43EC5"/>
    <w:rsid w:val="00A44A79"/>
    <w:rsid w:val="00A44D0D"/>
    <w:rsid w:val="00A44EC1"/>
    <w:rsid w:val="00A44F75"/>
    <w:rsid w:val="00A454B3"/>
    <w:rsid w:val="00A45E52"/>
    <w:rsid w:val="00A46652"/>
    <w:rsid w:val="00A469DC"/>
    <w:rsid w:val="00A46D15"/>
    <w:rsid w:val="00A4713D"/>
    <w:rsid w:val="00A47781"/>
    <w:rsid w:val="00A50928"/>
    <w:rsid w:val="00A50E42"/>
    <w:rsid w:val="00A51415"/>
    <w:rsid w:val="00A51618"/>
    <w:rsid w:val="00A523E0"/>
    <w:rsid w:val="00A52880"/>
    <w:rsid w:val="00A5323B"/>
    <w:rsid w:val="00A535BB"/>
    <w:rsid w:val="00A543A6"/>
    <w:rsid w:val="00A543CB"/>
    <w:rsid w:val="00A5451F"/>
    <w:rsid w:val="00A54A59"/>
    <w:rsid w:val="00A54FB4"/>
    <w:rsid w:val="00A55089"/>
    <w:rsid w:val="00A55816"/>
    <w:rsid w:val="00A55939"/>
    <w:rsid w:val="00A55F41"/>
    <w:rsid w:val="00A5620E"/>
    <w:rsid w:val="00A56D07"/>
    <w:rsid w:val="00A56DE0"/>
    <w:rsid w:val="00A577D5"/>
    <w:rsid w:val="00A57DDA"/>
    <w:rsid w:val="00A610F4"/>
    <w:rsid w:val="00A6130E"/>
    <w:rsid w:val="00A61D5E"/>
    <w:rsid w:val="00A63391"/>
    <w:rsid w:val="00A6375B"/>
    <w:rsid w:val="00A63C18"/>
    <w:rsid w:val="00A646FC"/>
    <w:rsid w:val="00A64913"/>
    <w:rsid w:val="00A64A78"/>
    <w:rsid w:val="00A64B04"/>
    <w:rsid w:val="00A64B20"/>
    <w:rsid w:val="00A65015"/>
    <w:rsid w:val="00A65309"/>
    <w:rsid w:val="00A662DC"/>
    <w:rsid w:val="00A66707"/>
    <w:rsid w:val="00A6741B"/>
    <w:rsid w:val="00A67EE3"/>
    <w:rsid w:val="00A70BCC"/>
    <w:rsid w:val="00A714FC"/>
    <w:rsid w:val="00A71BC6"/>
    <w:rsid w:val="00A71C5A"/>
    <w:rsid w:val="00A73902"/>
    <w:rsid w:val="00A73E83"/>
    <w:rsid w:val="00A73FC7"/>
    <w:rsid w:val="00A74124"/>
    <w:rsid w:val="00A74226"/>
    <w:rsid w:val="00A742E9"/>
    <w:rsid w:val="00A746B7"/>
    <w:rsid w:val="00A75358"/>
    <w:rsid w:val="00A7573D"/>
    <w:rsid w:val="00A757B0"/>
    <w:rsid w:val="00A75E0F"/>
    <w:rsid w:val="00A75E7F"/>
    <w:rsid w:val="00A75F96"/>
    <w:rsid w:val="00A76A36"/>
    <w:rsid w:val="00A776A4"/>
    <w:rsid w:val="00A77703"/>
    <w:rsid w:val="00A77FA7"/>
    <w:rsid w:val="00A77FCA"/>
    <w:rsid w:val="00A80236"/>
    <w:rsid w:val="00A8049D"/>
    <w:rsid w:val="00A8092F"/>
    <w:rsid w:val="00A80E5D"/>
    <w:rsid w:val="00A81289"/>
    <w:rsid w:val="00A818F5"/>
    <w:rsid w:val="00A81D23"/>
    <w:rsid w:val="00A822C2"/>
    <w:rsid w:val="00A82990"/>
    <w:rsid w:val="00A838E8"/>
    <w:rsid w:val="00A83D7D"/>
    <w:rsid w:val="00A84A2A"/>
    <w:rsid w:val="00A84E4C"/>
    <w:rsid w:val="00A85BAB"/>
    <w:rsid w:val="00A86DDA"/>
    <w:rsid w:val="00A87045"/>
    <w:rsid w:val="00A90281"/>
    <w:rsid w:val="00A90401"/>
    <w:rsid w:val="00A91104"/>
    <w:rsid w:val="00A91983"/>
    <w:rsid w:val="00A921E3"/>
    <w:rsid w:val="00A921F2"/>
    <w:rsid w:val="00A9288B"/>
    <w:rsid w:val="00A92BBC"/>
    <w:rsid w:val="00A92DBE"/>
    <w:rsid w:val="00A92E4F"/>
    <w:rsid w:val="00A93974"/>
    <w:rsid w:val="00A93BE5"/>
    <w:rsid w:val="00A93C7F"/>
    <w:rsid w:val="00A9453F"/>
    <w:rsid w:val="00A94581"/>
    <w:rsid w:val="00A9490C"/>
    <w:rsid w:val="00A94A89"/>
    <w:rsid w:val="00A94D20"/>
    <w:rsid w:val="00A9503F"/>
    <w:rsid w:val="00A95503"/>
    <w:rsid w:val="00A95B03"/>
    <w:rsid w:val="00A9699A"/>
    <w:rsid w:val="00A969FB"/>
    <w:rsid w:val="00A96B7A"/>
    <w:rsid w:val="00A96E43"/>
    <w:rsid w:val="00A9752B"/>
    <w:rsid w:val="00A97FEF"/>
    <w:rsid w:val="00AA01AA"/>
    <w:rsid w:val="00AA0DF5"/>
    <w:rsid w:val="00AA108A"/>
    <w:rsid w:val="00AA1B9D"/>
    <w:rsid w:val="00AA211B"/>
    <w:rsid w:val="00AA2418"/>
    <w:rsid w:val="00AA2461"/>
    <w:rsid w:val="00AA2657"/>
    <w:rsid w:val="00AA26DA"/>
    <w:rsid w:val="00AA2865"/>
    <w:rsid w:val="00AA34AD"/>
    <w:rsid w:val="00AA3A36"/>
    <w:rsid w:val="00AA3A9B"/>
    <w:rsid w:val="00AA3BF1"/>
    <w:rsid w:val="00AA43A9"/>
    <w:rsid w:val="00AA4C79"/>
    <w:rsid w:val="00AA5235"/>
    <w:rsid w:val="00AA5410"/>
    <w:rsid w:val="00AA60E5"/>
    <w:rsid w:val="00AA72F4"/>
    <w:rsid w:val="00AA76D0"/>
    <w:rsid w:val="00AB0484"/>
    <w:rsid w:val="00AB0F46"/>
    <w:rsid w:val="00AB1469"/>
    <w:rsid w:val="00AB1BE3"/>
    <w:rsid w:val="00AB1D3A"/>
    <w:rsid w:val="00AB217D"/>
    <w:rsid w:val="00AB21C6"/>
    <w:rsid w:val="00AB278A"/>
    <w:rsid w:val="00AB2841"/>
    <w:rsid w:val="00AB2993"/>
    <w:rsid w:val="00AB2D1F"/>
    <w:rsid w:val="00AB2D21"/>
    <w:rsid w:val="00AB383E"/>
    <w:rsid w:val="00AB4C5B"/>
    <w:rsid w:val="00AB502D"/>
    <w:rsid w:val="00AB565B"/>
    <w:rsid w:val="00AB5A34"/>
    <w:rsid w:val="00AB5E43"/>
    <w:rsid w:val="00AB5F8E"/>
    <w:rsid w:val="00AB64EB"/>
    <w:rsid w:val="00AB7E3D"/>
    <w:rsid w:val="00AC0594"/>
    <w:rsid w:val="00AC0FDD"/>
    <w:rsid w:val="00AC1891"/>
    <w:rsid w:val="00AC1F15"/>
    <w:rsid w:val="00AC26B2"/>
    <w:rsid w:val="00AC27AB"/>
    <w:rsid w:val="00AC3929"/>
    <w:rsid w:val="00AC3AF0"/>
    <w:rsid w:val="00AC3E79"/>
    <w:rsid w:val="00AC4265"/>
    <w:rsid w:val="00AC4654"/>
    <w:rsid w:val="00AC473C"/>
    <w:rsid w:val="00AC49C6"/>
    <w:rsid w:val="00AC59A4"/>
    <w:rsid w:val="00AC5C40"/>
    <w:rsid w:val="00AC5CDC"/>
    <w:rsid w:val="00AC5F12"/>
    <w:rsid w:val="00AC6A28"/>
    <w:rsid w:val="00AC6DC4"/>
    <w:rsid w:val="00AC6F7D"/>
    <w:rsid w:val="00AC720A"/>
    <w:rsid w:val="00AC79B1"/>
    <w:rsid w:val="00AC7B6B"/>
    <w:rsid w:val="00AD05BC"/>
    <w:rsid w:val="00AD0A50"/>
    <w:rsid w:val="00AD0C69"/>
    <w:rsid w:val="00AD0F18"/>
    <w:rsid w:val="00AD15FF"/>
    <w:rsid w:val="00AD16DE"/>
    <w:rsid w:val="00AD1763"/>
    <w:rsid w:val="00AD1862"/>
    <w:rsid w:val="00AD202F"/>
    <w:rsid w:val="00AD2701"/>
    <w:rsid w:val="00AD295A"/>
    <w:rsid w:val="00AD3193"/>
    <w:rsid w:val="00AD3BED"/>
    <w:rsid w:val="00AD444A"/>
    <w:rsid w:val="00AD4509"/>
    <w:rsid w:val="00AD5087"/>
    <w:rsid w:val="00AD50B3"/>
    <w:rsid w:val="00AD5741"/>
    <w:rsid w:val="00AD5FE6"/>
    <w:rsid w:val="00AD60EA"/>
    <w:rsid w:val="00AD6503"/>
    <w:rsid w:val="00AD67D4"/>
    <w:rsid w:val="00AD6BE5"/>
    <w:rsid w:val="00AD7AC0"/>
    <w:rsid w:val="00AD7AE1"/>
    <w:rsid w:val="00AE0523"/>
    <w:rsid w:val="00AE0E00"/>
    <w:rsid w:val="00AE1927"/>
    <w:rsid w:val="00AE21EB"/>
    <w:rsid w:val="00AE4331"/>
    <w:rsid w:val="00AE57B0"/>
    <w:rsid w:val="00AE614D"/>
    <w:rsid w:val="00AE6CD7"/>
    <w:rsid w:val="00AE7849"/>
    <w:rsid w:val="00AE7977"/>
    <w:rsid w:val="00AF0345"/>
    <w:rsid w:val="00AF04D8"/>
    <w:rsid w:val="00AF1F10"/>
    <w:rsid w:val="00AF2157"/>
    <w:rsid w:val="00AF23CC"/>
    <w:rsid w:val="00AF24A4"/>
    <w:rsid w:val="00AF3D39"/>
    <w:rsid w:val="00AF4090"/>
    <w:rsid w:val="00AF4348"/>
    <w:rsid w:val="00AF497B"/>
    <w:rsid w:val="00AF4DFB"/>
    <w:rsid w:val="00AF5714"/>
    <w:rsid w:val="00AF6031"/>
    <w:rsid w:val="00AF60E2"/>
    <w:rsid w:val="00AF6905"/>
    <w:rsid w:val="00AF6A4C"/>
    <w:rsid w:val="00AF735D"/>
    <w:rsid w:val="00AF7510"/>
    <w:rsid w:val="00B005D4"/>
    <w:rsid w:val="00B00AF7"/>
    <w:rsid w:val="00B00DC8"/>
    <w:rsid w:val="00B00E1C"/>
    <w:rsid w:val="00B01034"/>
    <w:rsid w:val="00B02183"/>
    <w:rsid w:val="00B03071"/>
    <w:rsid w:val="00B041A7"/>
    <w:rsid w:val="00B047C2"/>
    <w:rsid w:val="00B049F3"/>
    <w:rsid w:val="00B04CB1"/>
    <w:rsid w:val="00B051CE"/>
    <w:rsid w:val="00B05290"/>
    <w:rsid w:val="00B05635"/>
    <w:rsid w:val="00B0592C"/>
    <w:rsid w:val="00B059F2"/>
    <w:rsid w:val="00B06725"/>
    <w:rsid w:val="00B0719C"/>
    <w:rsid w:val="00B07620"/>
    <w:rsid w:val="00B07A11"/>
    <w:rsid w:val="00B07B3C"/>
    <w:rsid w:val="00B1126B"/>
    <w:rsid w:val="00B12614"/>
    <w:rsid w:val="00B1287D"/>
    <w:rsid w:val="00B12D67"/>
    <w:rsid w:val="00B1314F"/>
    <w:rsid w:val="00B137E1"/>
    <w:rsid w:val="00B138CA"/>
    <w:rsid w:val="00B14385"/>
    <w:rsid w:val="00B14567"/>
    <w:rsid w:val="00B14D9E"/>
    <w:rsid w:val="00B151CF"/>
    <w:rsid w:val="00B16003"/>
    <w:rsid w:val="00B162F1"/>
    <w:rsid w:val="00B16E91"/>
    <w:rsid w:val="00B206DB"/>
    <w:rsid w:val="00B2160E"/>
    <w:rsid w:val="00B2189D"/>
    <w:rsid w:val="00B2292E"/>
    <w:rsid w:val="00B229FD"/>
    <w:rsid w:val="00B22AB8"/>
    <w:rsid w:val="00B22EC0"/>
    <w:rsid w:val="00B236B0"/>
    <w:rsid w:val="00B236CA"/>
    <w:rsid w:val="00B240F3"/>
    <w:rsid w:val="00B247AD"/>
    <w:rsid w:val="00B251A4"/>
    <w:rsid w:val="00B25834"/>
    <w:rsid w:val="00B25D05"/>
    <w:rsid w:val="00B25DA8"/>
    <w:rsid w:val="00B2624F"/>
    <w:rsid w:val="00B26622"/>
    <w:rsid w:val="00B26669"/>
    <w:rsid w:val="00B266D6"/>
    <w:rsid w:val="00B26707"/>
    <w:rsid w:val="00B26C06"/>
    <w:rsid w:val="00B26D20"/>
    <w:rsid w:val="00B27029"/>
    <w:rsid w:val="00B276B4"/>
    <w:rsid w:val="00B279ED"/>
    <w:rsid w:val="00B303F6"/>
    <w:rsid w:val="00B304D2"/>
    <w:rsid w:val="00B307B7"/>
    <w:rsid w:val="00B3089D"/>
    <w:rsid w:val="00B32471"/>
    <w:rsid w:val="00B33459"/>
    <w:rsid w:val="00B33702"/>
    <w:rsid w:val="00B341C8"/>
    <w:rsid w:val="00B34466"/>
    <w:rsid w:val="00B34BF6"/>
    <w:rsid w:val="00B351EA"/>
    <w:rsid w:val="00B357D5"/>
    <w:rsid w:val="00B35DD1"/>
    <w:rsid w:val="00B36028"/>
    <w:rsid w:val="00B36E2B"/>
    <w:rsid w:val="00B36E4E"/>
    <w:rsid w:val="00B37593"/>
    <w:rsid w:val="00B3775C"/>
    <w:rsid w:val="00B37A33"/>
    <w:rsid w:val="00B37CC5"/>
    <w:rsid w:val="00B40064"/>
    <w:rsid w:val="00B40328"/>
    <w:rsid w:val="00B40370"/>
    <w:rsid w:val="00B41D64"/>
    <w:rsid w:val="00B41E2C"/>
    <w:rsid w:val="00B42934"/>
    <w:rsid w:val="00B437B4"/>
    <w:rsid w:val="00B43944"/>
    <w:rsid w:val="00B44A10"/>
    <w:rsid w:val="00B44ACC"/>
    <w:rsid w:val="00B4708C"/>
    <w:rsid w:val="00B474B0"/>
    <w:rsid w:val="00B4777B"/>
    <w:rsid w:val="00B47EC5"/>
    <w:rsid w:val="00B504D5"/>
    <w:rsid w:val="00B50A44"/>
    <w:rsid w:val="00B517A6"/>
    <w:rsid w:val="00B51963"/>
    <w:rsid w:val="00B51A43"/>
    <w:rsid w:val="00B51B89"/>
    <w:rsid w:val="00B538A1"/>
    <w:rsid w:val="00B53B91"/>
    <w:rsid w:val="00B5472E"/>
    <w:rsid w:val="00B55022"/>
    <w:rsid w:val="00B55466"/>
    <w:rsid w:val="00B55524"/>
    <w:rsid w:val="00B55930"/>
    <w:rsid w:val="00B55DD8"/>
    <w:rsid w:val="00B56769"/>
    <w:rsid w:val="00B56A9D"/>
    <w:rsid w:val="00B56CAD"/>
    <w:rsid w:val="00B56D21"/>
    <w:rsid w:val="00B56E5C"/>
    <w:rsid w:val="00B56EA8"/>
    <w:rsid w:val="00B57083"/>
    <w:rsid w:val="00B575BF"/>
    <w:rsid w:val="00B60F01"/>
    <w:rsid w:val="00B61294"/>
    <w:rsid w:val="00B612EA"/>
    <w:rsid w:val="00B61C66"/>
    <w:rsid w:val="00B62604"/>
    <w:rsid w:val="00B62D62"/>
    <w:rsid w:val="00B62DF2"/>
    <w:rsid w:val="00B640A8"/>
    <w:rsid w:val="00B64146"/>
    <w:rsid w:val="00B6488A"/>
    <w:rsid w:val="00B6531C"/>
    <w:rsid w:val="00B65B53"/>
    <w:rsid w:val="00B65F3B"/>
    <w:rsid w:val="00B6607E"/>
    <w:rsid w:val="00B66A87"/>
    <w:rsid w:val="00B673C9"/>
    <w:rsid w:val="00B67CD9"/>
    <w:rsid w:val="00B711C5"/>
    <w:rsid w:val="00B712D0"/>
    <w:rsid w:val="00B72027"/>
    <w:rsid w:val="00B72051"/>
    <w:rsid w:val="00B72171"/>
    <w:rsid w:val="00B72510"/>
    <w:rsid w:val="00B72B4C"/>
    <w:rsid w:val="00B72CBE"/>
    <w:rsid w:val="00B73207"/>
    <w:rsid w:val="00B74101"/>
    <w:rsid w:val="00B757E5"/>
    <w:rsid w:val="00B7594C"/>
    <w:rsid w:val="00B814C7"/>
    <w:rsid w:val="00B81F38"/>
    <w:rsid w:val="00B824AE"/>
    <w:rsid w:val="00B82CAF"/>
    <w:rsid w:val="00B831B9"/>
    <w:rsid w:val="00B83B62"/>
    <w:rsid w:val="00B8437A"/>
    <w:rsid w:val="00B84EFB"/>
    <w:rsid w:val="00B8535F"/>
    <w:rsid w:val="00B85F4C"/>
    <w:rsid w:val="00B860A6"/>
    <w:rsid w:val="00B878CD"/>
    <w:rsid w:val="00B91C51"/>
    <w:rsid w:val="00B91CB1"/>
    <w:rsid w:val="00B91D21"/>
    <w:rsid w:val="00B921B0"/>
    <w:rsid w:val="00B9249B"/>
    <w:rsid w:val="00B928F0"/>
    <w:rsid w:val="00B92A7A"/>
    <w:rsid w:val="00B9303A"/>
    <w:rsid w:val="00B93D8E"/>
    <w:rsid w:val="00B94791"/>
    <w:rsid w:val="00B9536C"/>
    <w:rsid w:val="00B957EE"/>
    <w:rsid w:val="00B9637F"/>
    <w:rsid w:val="00B965A8"/>
    <w:rsid w:val="00B968E0"/>
    <w:rsid w:val="00B977F7"/>
    <w:rsid w:val="00BA06E9"/>
    <w:rsid w:val="00BA080B"/>
    <w:rsid w:val="00BA0D3A"/>
    <w:rsid w:val="00BA0FA5"/>
    <w:rsid w:val="00BA14FF"/>
    <w:rsid w:val="00BA1728"/>
    <w:rsid w:val="00BA1C7E"/>
    <w:rsid w:val="00BA1D0B"/>
    <w:rsid w:val="00BA1FFB"/>
    <w:rsid w:val="00BA2022"/>
    <w:rsid w:val="00BA20E0"/>
    <w:rsid w:val="00BA2384"/>
    <w:rsid w:val="00BA265C"/>
    <w:rsid w:val="00BA26E6"/>
    <w:rsid w:val="00BA2B3F"/>
    <w:rsid w:val="00BA37DC"/>
    <w:rsid w:val="00BA3841"/>
    <w:rsid w:val="00BA47BA"/>
    <w:rsid w:val="00BA4E45"/>
    <w:rsid w:val="00BA5242"/>
    <w:rsid w:val="00BA57A1"/>
    <w:rsid w:val="00BA5992"/>
    <w:rsid w:val="00BA59FB"/>
    <w:rsid w:val="00BA6030"/>
    <w:rsid w:val="00BA61AA"/>
    <w:rsid w:val="00BA64CB"/>
    <w:rsid w:val="00BA7040"/>
    <w:rsid w:val="00BA7447"/>
    <w:rsid w:val="00BB14A3"/>
    <w:rsid w:val="00BB211A"/>
    <w:rsid w:val="00BB2F2B"/>
    <w:rsid w:val="00BB3E50"/>
    <w:rsid w:val="00BB46E2"/>
    <w:rsid w:val="00BB4BD7"/>
    <w:rsid w:val="00BB543F"/>
    <w:rsid w:val="00BB5BE5"/>
    <w:rsid w:val="00BB5EE3"/>
    <w:rsid w:val="00BB6437"/>
    <w:rsid w:val="00BB6A29"/>
    <w:rsid w:val="00BB78FA"/>
    <w:rsid w:val="00BB7E32"/>
    <w:rsid w:val="00BC0B4A"/>
    <w:rsid w:val="00BC0D5E"/>
    <w:rsid w:val="00BC15DE"/>
    <w:rsid w:val="00BC17C8"/>
    <w:rsid w:val="00BC29BE"/>
    <w:rsid w:val="00BC369C"/>
    <w:rsid w:val="00BC3792"/>
    <w:rsid w:val="00BC3CEA"/>
    <w:rsid w:val="00BC3FB6"/>
    <w:rsid w:val="00BC430A"/>
    <w:rsid w:val="00BC4972"/>
    <w:rsid w:val="00BC49B7"/>
    <w:rsid w:val="00BC53C3"/>
    <w:rsid w:val="00BC5554"/>
    <w:rsid w:val="00BC5CC2"/>
    <w:rsid w:val="00BC6897"/>
    <w:rsid w:val="00BC7068"/>
    <w:rsid w:val="00BC758B"/>
    <w:rsid w:val="00BD053A"/>
    <w:rsid w:val="00BD105D"/>
    <w:rsid w:val="00BD1656"/>
    <w:rsid w:val="00BD1928"/>
    <w:rsid w:val="00BD1987"/>
    <w:rsid w:val="00BD2BE8"/>
    <w:rsid w:val="00BD31EC"/>
    <w:rsid w:val="00BD33D4"/>
    <w:rsid w:val="00BD40B1"/>
    <w:rsid w:val="00BD481E"/>
    <w:rsid w:val="00BD545A"/>
    <w:rsid w:val="00BD5A9A"/>
    <w:rsid w:val="00BD6B80"/>
    <w:rsid w:val="00BD7736"/>
    <w:rsid w:val="00BD7935"/>
    <w:rsid w:val="00BD79AD"/>
    <w:rsid w:val="00BD7FF1"/>
    <w:rsid w:val="00BE05D4"/>
    <w:rsid w:val="00BE0888"/>
    <w:rsid w:val="00BE0D0D"/>
    <w:rsid w:val="00BE29DA"/>
    <w:rsid w:val="00BE30E4"/>
    <w:rsid w:val="00BE40AF"/>
    <w:rsid w:val="00BE4795"/>
    <w:rsid w:val="00BE47BF"/>
    <w:rsid w:val="00BE4C8D"/>
    <w:rsid w:val="00BE4EED"/>
    <w:rsid w:val="00BE5374"/>
    <w:rsid w:val="00BE5F6A"/>
    <w:rsid w:val="00BE5FDC"/>
    <w:rsid w:val="00BE627A"/>
    <w:rsid w:val="00BE6A01"/>
    <w:rsid w:val="00BE6C83"/>
    <w:rsid w:val="00BE6CE8"/>
    <w:rsid w:val="00BE70D0"/>
    <w:rsid w:val="00BE7853"/>
    <w:rsid w:val="00BE7B5F"/>
    <w:rsid w:val="00BE7C2D"/>
    <w:rsid w:val="00BE7EFA"/>
    <w:rsid w:val="00BF00D4"/>
    <w:rsid w:val="00BF0481"/>
    <w:rsid w:val="00BF11F5"/>
    <w:rsid w:val="00BF1A88"/>
    <w:rsid w:val="00BF1C85"/>
    <w:rsid w:val="00BF32F7"/>
    <w:rsid w:val="00BF3A10"/>
    <w:rsid w:val="00BF3D9D"/>
    <w:rsid w:val="00BF3E0B"/>
    <w:rsid w:val="00BF45D5"/>
    <w:rsid w:val="00BF5CF5"/>
    <w:rsid w:val="00BF5E4F"/>
    <w:rsid w:val="00BF5F74"/>
    <w:rsid w:val="00BF6063"/>
    <w:rsid w:val="00BF60B1"/>
    <w:rsid w:val="00BF6391"/>
    <w:rsid w:val="00BF6816"/>
    <w:rsid w:val="00BF7C54"/>
    <w:rsid w:val="00C001A4"/>
    <w:rsid w:val="00C0066C"/>
    <w:rsid w:val="00C0117D"/>
    <w:rsid w:val="00C0166E"/>
    <w:rsid w:val="00C01D5F"/>
    <w:rsid w:val="00C01E65"/>
    <w:rsid w:val="00C02592"/>
    <w:rsid w:val="00C0299C"/>
    <w:rsid w:val="00C02E2C"/>
    <w:rsid w:val="00C033B8"/>
    <w:rsid w:val="00C0345A"/>
    <w:rsid w:val="00C03511"/>
    <w:rsid w:val="00C039B1"/>
    <w:rsid w:val="00C03D1C"/>
    <w:rsid w:val="00C04362"/>
    <w:rsid w:val="00C04C3A"/>
    <w:rsid w:val="00C04C7D"/>
    <w:rsid w:val="00C05700"/>
    <w:rsid w:val="00C05911"/>
    <w:rsid w:val="00C05F65"/>
    <w:rsid w:val="00C065CC"/>
    <w:rsid w:val="00C069D8"/>
    <w:rsid w:val="00C06CC0"/>
    <w:rsid w:val="00C06EAC"/>
    <w:rsid w:val="00C074CD"/>
    <w:rsid w:val="00C07E79"/>
    <w:rsid w:val="00C1024E"/>
    <w:rsid w:val="00C107C3"/>
    <w:rsid w:val="00C109B5"/>
    <w:rsid w:val="00C1116D"/>
    <w:rsid w:val="00C11216"/>
    <w:rsid w:val="00C115AC"/>
    <w:rsid w:val="00C11A77"/>
    <w:rsid w:val="00C11BD1"/>
    <w:rsid w:val="00C12B66"/>
    <w:rsid w:val="00C12FE1"/>
    <w:rsid w:val="00C130DA"/>
    <w:rsid w:val="00C13520"/>
    <w:rsid w:val="00C13B58"/>
    <w:rsid w:val="00C14B2B"/>
    <w:rsid w:val="00C14E55"/>
    <w:rsid w:val="00C14F9B"/>
    <w:rsid w:val="00C14FAB"/>
    <w:rsid w:val="00C15619"/>
    <w:rsid w:val="00C15F42"/>
    <w:rsid w:val="00C1610B"/>
    <w:rsid w:val="00C1611D"/>
    <w:rsid w:val="00C16BA6"/>
    <w:rsid w:val="00C16C9A"/>
    <w:rsid w:val="00C17332"/>
    <w:rsid w:val="00C175E4"/>
    <w:rsid w:val="00C17A6F"/>
    <w:rsid w:val="00C2017E"/>
    <w:rsid w:val="00C2025D"/>
    <w:rsid w:val="00C20EE7"/>
    <w:rsid w:val="00C20F6C"/>
    <w:rsid w:val="00C21524"/>
    <w:rsid w:val="00C21B34"/>
    <w:rsid w:val="00C21B55"/>
    <w:rsid w:val="00C21EC2"/>
    <w:rsid w:val="00C232E0"/>
    <w:rsid w:val="00C23AB6"/>
    <w:rsid w:val="00C242D2"/>
    <w:rsid w:val="00C24B5E"/>
    <w:rsid w:val="00C24BF5"/>
    <w:rsid w:val="00C2534F"/>
    <w:rsid w:val="00C26E0A"/>
    <w:rsid w:val="00C27759"/>
    <w:rsid w:val="00C30058"/>
    <w:rsid w:val="00C30460"/>
    <w:rsid w:val="00C30BD9"/>
    <w:rsid w:val="00C30CA2"/>
    <w:rsid w:val="00C30D9F"/>
    <w:rsid w:val="00C312AB"/>
    <w:rsid w:val="00C31680"/>
    <w:rsid w:val="00C317A2"/>
    <w:rsid w:val="00C31845"/>
    <w:rsid w:val="00C321EA"/>
    <w:rsid w:val="00C32AD6"/>
    <w:rsid w:val="00C32D52"/>
    <w:rsid w:val="00C32DC0"/>
    <w:rsid w:val="00C33044"/>
    <w:rsid w:val="00C3306B"/>
    <w:rsid w:val="00C33AFD"/>
    <w:rsid w:val="00C33B72"/>
    <w:rsid w:val="00C34312"/>
    <w:rsid w:val="00C343FC"/>
    <w:rsid w:val="00C34ADB"/>
    <w:rsid w:val="00C3532D"/>
    <w:rsid w:val="00C3651F"/>
    <w:rsid w:val="00C36633"/>
    <w:rsid w:val="00C36BE2"/>
    <w:rsid w:val="00C36E9D"/>
    <w:rsid w:val="00C36F65"/>
    <w:rsid w:val="00C3701D"/>
    <w:rsid w:val="00C37388"/>
    <w:rsid w:val="00C3780A"/>
    <w:rsid w:val="00C37C6C"/>
    <w:rsid w:val="00C37C86"/>
    <w:rsid w:val="00C37C8C"/>
    <w:rsid w:val="00C40188"/>
    <w:rsid w:val="00C40593"/>
    <w:rsid w:val="00C405AC"/>
    <w:rsid w:val="00C40757"/>
    <w:rsid w:val="00C412B1"/>
    <w:rsid w:val="00C41440"/>
    <w:rsid w:val="00C41751"/>
    <w:rsid w:val="00C417B2"/>
    <w:rsid w:val="00C42A65"/>
    <w:rsid w:val="00C434C2"/>
    <w:rsid w:val="00C43E27"/>
    <w:rsid w:val="00C4436C"/>
    <w:rsid w:val="00C44BD6"/>
    <w:rsid w:val="00C458D2"/>
    <w:rsid w:val="00C45A27"/>
    <w:rsid w:val="00C46051"/>
    <w:rsid w:val="00C461B2"/>
    <w:rsid w:val="00C46461"/>
    <w:rsid w:val="00C465C4"/>
    <w:rsid w:val="00C47644"/>
    <w:rsid w:val="00C47C8E"/>
    <w:rsid w:val="00C510BD"/>
    <w:rsid w:val="00C51D4A"/>
    <w:rsid w:val="00C51F0D"/>
    <w:rsid w:val="00C525C3"/>
    <w:rsid w:val="00C52667"/>
    <w:rsid w:val="00C52733"/>
    <w:rsid w:val="00C5275D"/>
    <w:rsid w:val="00C52FD1"/>
    <w:rsid w:val="00C5335D"/>
    <w:rsid w:val="00C53556"/>
    <w:rsid w:val="00C5359B"/>
    <w:rsid w:val="00C53AF7"/>
    <w:rsid w:val="00C54287"/>
    <w:rsid w:val="00C5442A"/>
    <w:rsid w:val="00C54E79"/>
    <w:rsid w:val="00C554B5"/>
    <w:rsid w:val="00C559A5"/>
    <w:rsid w:val="00C55F32"/>
    <w:rsid w:val="00C56EF2"/>
    <w:rsid w:val="00C570A6"/>
    <w:rsid w:val="00C579F3"/>
    <w:rsid w:val="00C57F3F"/>
    <w:rsid w:val="00C600B3"/>
    <w:rsid w:val="00C6094F"/>
    <w:rsid w:val="00C60E62"/>
    <w:rsid w:val="00C61312"/>
    <w:rsid w:val="00C61464"/>
    <w:rsid w:val="00C62402"/>
    <w:rsid w:val="00C6271D"/>
    <w:rsid w:val="00C62EA8"/>
    <w:rsid w:val="00C62F9D"/>
    <w:rsid w:val="00C631E0"/>
    <w:rsid w:val="00C63CC8"/>
    <w:rsid w:val="00C63DC8"/>
    <w:rsid w:val="00C643F8"/>
    <w:rsid w:val="00C64B6F"/>
    <w:rsid w:val="00C659A4"/>
    <w:rsid w:val="00C660A7"/>
    <w:rsid w:val="00C660C3"/>
    <w:rsid w:val="00C6734A"/>
    <w:rsid w:val="00C677D0"/>
    <w:rsid w:val="00C6799A"/>
    <w:rsid w:val="00C67E1F"/>
    <w:rsid w:val="00C67E8E"/>
    <w:rsid w:val="00C70B42"/>
    <w:rsid w:val="00C70F7C"/>
    <w:rsid w:val="00C7179C"/>
    <w:rsid w:val="00C72177"/>
    <w:rsid w:val="00C72289"/>
    <w:rsid w:val="00C727FB"/>
    <w:rsid w:val="00C74B8C"/>
    <w:rsid w:val="00C75E4A"/>
    <w:rsid w:val="00C76D0B"/>
    <w:rsid w:val="00C77DEB"/>
    <w:rsid w:val="00C77E9D"/>
    <w:rsid w:val="00C80F7F"/>
    <w:rsid w:val="00C815C4"/>
    <w:rsid w:val="00C81767"/>
    <w:rsid w:val="00C818BD"/>
    <w:rsid w:val="00C818CE"/>
    <w:rsid w:val="00C81A9F"/>
    <w:rsid w:val="00C8268F"/>
    <w:rsid w:val="00C83535"/>
    <w:rsid w:val="00C836AA"/>
    <w:rsid w:val="00C8370B"/>
    <w:rsid w:val="00C8379B"/>
    <w:rsid w:val="00C83A25"/>
    <w:rsid w:val="00C83B2A"/>
    <w:rsid w:val="00C83D84"/>
    <w:rsid w:val="00C84085"/>
    <w:rsid w:val="00C842FB"/>
    <w:rsid w:val="00C85D24"/>
    <w:rsid w:val="00C862D3"/>
    <w:rsid w:val="00C866C2"/>
    <w:rsid w:val="00C86BFA"/>
    <w:rsid w:val="00C86D33"/>
    <w:rsid w:val="00C86D92"/>
    <w:rsid w:val="00C87436"/>
    <w:rsid w:val="00C87B9B"/>
    <w:rsid w:val="00C9088F"/>
    <w:rsid w:val="00C910C5"/>
    <w:rsid w:val="00C91651"/>
    <w:rsid w:val="00C917A4"/>
    <w:rsid w:val="00C922A2"/>
    <w:rsid w:val="00C92EAD"/>
    <w:rsid w:val="00C93578"/>
    <w:rsid w:val="00C95DCE"/>
    <w:rsid w:val="00C97CEE"/>
    <w:rsid w:val="00C97D4E"/>
    <w:rsid w:val="00C97F0F"/>
    <w:rsid w:val="00CA0206"/>
    <w:rsid w:val="00CA06F3"/>
    <w:rsid w:val="00CA080F"/>
    <w:rsid w:val="00CA0E2D"/>
    <w:rsid w:val="00CA149D"/>
    <w:rsid w:val="00CA1A26"/>
    <w:rsid w:val="00CA26EA"/>
    <w:rsid w:val="00CA2824"/>
    <w:rsid w:val="00CA2EEE"/>
    <w:rsid w:val="00CA2EFE"/>
    <w:rsid w:val="00CA2FB2"/>
    <w:rsid w:val="00CA35F8"/>
    <w:rsid w:val="00CA398B"/>
    <w:rsid w:val="00CA3D3A"/>
    <w:rsid w:val="00CA42D6"/>
    <w:rsid w:val="00CA44D8"/>
    <w:rsid w:val="00CA528A"/>
    <w:rsid w:val="00CA5852"/>
    <w:rsid w:val="00CA5D8E"/>
    <w:rsid w:val="00CA6638"/>
    <w:rsid w:val="00CA6F55"/>
    <w:rsid w:val="00CA73E9"/>
    <w:rsid w:val="00CB05F1"/>
    <w:rsid w:val="00CB102F"/>
    <w:rsid w:val="00CB15E9"/>
    <w:rsid w:val="00CB28E3"/>
    <w:rsid w:val="00CB2BD5"/>
    <w:rsid w:val="00CB2EB6"/>
    <w:rsid w:val="00CB3240"/>
    <w:rsid w:val="00CB33AD"/>
    <w:rsid w:val="00CB3A2A"/>
    <w:rsid w:val="00CB3D2D"/>
    <w:rsid w:val="00CB5651"/>
    <w:rsid w:val="00CB58B2"/>
    <w:rsid w:val="00CB5C55"/>
    <w:rsid w:val="00CB5DB2"/>
    <w:rsid w:val="00CB5E40"/>
    <w:rsid w:val="00CB6162"/>
    <w:rsid w:val="00CB6469"/>
    <w:rsid w:val="00CB64C9"/>
    <w:rsid w:val="00CB687F"/>
    <w:rsid w:val="00CB7241"/>
    <w:rsid w:val="00CC00DE"/>
    <w:rsid w:val="00CC028F"/>
    <w:rsid w:val="00CC0527"/>
    <w:rsid w:val="00CC0FF1"/>
    <w:rsid w:val="00CC10CE"/>
    <w:rsid w:val="00CC164A"/>
    <w:rsid w:val="00CC1C92"/>
    <w:rsid w:val="00CC1D1A"/>
    <w:rsid w:val="00CC24F6"/>
    <w:rsid w:val="00CC32AD"/>
    <w:rsid w:val="00CC3EE2"/>
    <w:rsid w:val="00CC40CE"/>
    <w:rsid w:val="00CC415E"/>
    <w:rsid w:val="00CC5EC9"/>
    <w:rsid w:val="00CC6260"/>
    <w:rsid w:val="00CC6899"/>
    <w:rsid w:val="00CC6DA2"/>
    <w:rsid w:val="00CC6ECC"/>
    <w:rsid w:val="00CC6FB8"/>
    <w:rsid w:val="00CC70C3"/>
    <w:rsid w:val="00CC71B0"/>
    <w:rsid w:val="00CD0408"/>
    <w:rsid w:val="00CD06DD"/>
    <w:rsid w:val="00CD0F61"/>
    <w:rsid w:val="00CD1404"/>
    <w:rsid w:val="00CD16BB"/>
    <w:rsid w:val="00CD2050"/>
    <w:rsid w:val="00CD295C"/>
    <w:rsid w:val="00CD2A26"/>
    <w:rsid w:val="00CD3026"/>
    <w:rsid w:val="00CD3119"/>
    <w:rsid w:val="00CD460E"/>
    <w:rsid w:val="00CD4C6C"/>
    <w:rsid w:val="00CD58A0"/>
    <w:rsid w:val="00CD5A33"/>
    <w:rsid w:val="00CD5CF8"/>
    <w:rsid w:val="00CD770D"/>
    <w:rsid w:val="00CD79C0"/>
    <w:rsid w:val="00CE088E"/>
    <w:rsid w:val="00CE0FAA"/>
    <w:rsid w:val="00CE20F4"/>
    <w:rsid w:val="00CE28E3"/>
    <w:rsid w:val="00CE3A35"/>
    <w:rsid w:val="00CE434E"/>
    <w:rsid w:val="00CE4E53"/>
    <w:rsid w:val="00CE4F25"/>
    <w:rsid w:val="00CE61C1"/>
    <w:rsid w:val="00CE6A05"/>
    <w:rsid w:val="00CE6AD0"/>
    <w:rsid w:val="00CE6AD2"/>
    <w:rsid w:val="00CE72BB"/>
    <w:rsid w:val="00CE7AC1"/>
    <w:rsid w:val="00CF018F"/>
    <w:rsid w:val="00CF0323"/>
    <w:rsid w:val="00CF0646"/>
    <w:rsid w:val="00CF072D"/>
    <w:rsid w:val="00CF0EB4"/>
    <w:rsid w:val="00CF1A2D"/>
    <w:rsid w:val="00CF1C3E"/>
    <w:rsid w:val="00CF2412"/>
    <w:rsid w:val="00CF2547"/>
    <w:rsid w:val="00CF25DD"/>
    <w:rsid w:val="00CF2913"/>
    <w:rsid w:val="00CF3C59"/>
    <w:rsid w:val="00CF40FE"/>
    <w:rsid w:val="00CF439F"/>
    <w:rsid w:val="00CF4686"/>
    <w:rsid w:val="00CF4E6C"/>
    <w:rsid w:val="00CF59BD"/>
    <w:rsid w:val="00CF5DE2"/>
    <w:rsid w:val="00CF7120"/>
    <w:rsid w:val="00CF724C"/>
    <w:rsid w:val="00D001B4"/>
    <w:rsid w:val="00D003B7"/>
    <w:rsid w:val="00D00E36"/>
    <w:rsid w:val="00D0166D"/>
    <w:rsid w:val="00D01D48"/>
    <w:rsid w:val="00D02524"/>
    <w:rsid w:val="00D02F4F"/>
    <w:rsid w:val="00D0318A"/>
    <w:rsid w:val="00D04538"/>
    <w:rsid w:val="00D04CB3"/>
    <w:rsid w:val="00D05378"/>
    <w:rsid w:val="00D0543F"/>
    <w:rsid w:val="00D056BF"/>
    <w:rsid w:val="00D0679E"/>
    <w:rsid w:val="00D10289"/>
    <w:rsid w:val="00D104DE"/>
    <w:rsid w:val="00D107A9"/>
    <w:rsid w:val="00D10951"/>
    <w:rsid w:val="00D11044"/>
    <w:rsid w:val="00D11A46"/>
    <w:rsid w:val="00D12C4B"/>
    <w:rsid w:val="00D13824"/>
    <w:rsid w:val="00D13865"/>
    <w:rsid w:val="00D14301"/>
    <w:rsid w:val="00D14E59"/>
    <w:rsid w:val="00D1542D"/>
    <w:rsid w:val="00D15DFD"/>
    <w:rsid w:val="00D16256"/>
    <w:rsid w:val="00D162C7"/>
    <w:rsid w:val="00D16411"/>
    <w:rsid w:val="00D16D96"/>
    <w:rsid w:val="00D17523"/>
    <w:rsid w:val="00D17A7A"/>
    <w:rsid w:val="00D20031"/>
    <w:rsid w:val="00D20F0E"/>
    <w:rsid w:val="00D21075"/>
    <w:rsid w:val="00D231BB"/>
    <w:rsid w:val="00D236D3"/>
    <w:rsid w:val="00D23CF7"/>
    <w:rsid w:val="00D24E64"/>
    <w:rsid w:val="00D24F12"/>
    <w:rsid w:val="00D2522F"/>
    <w:rsid w:val="00D252E6"/>
    <w:rsid w:val="00D2538D"/>
    <w:rsid w:val="00D25413"/>
    <w:rsid w:val="00D2560A"/>
    <w:rsid w:val="00D25822"/>
    <w:rsid w:val="00D258D7"/>
    <w:rsid w:val="00D2669D"/>
    <w:rsid w:val="00D26DAF"/>
    <w:rsid w:val="00D26DF9"/>
    <w:rsid w:val="00D271E1"/>
    <w:rsid w:val="00D2787C"/>
    <w:rsid w:val="00D30F72"/>
    <w:rsid w:val="00D313B3"/>
    <w:rsid w:val="00D314E2"/>
    <w:rsid w:val="00D317F1"/>
    <w:rsid w:val="00D32394"/>
    <w:rsid w:val="00D327EB"/>
    <w:rsid w:val="00D3292B"/>
    <w:rsid w:val="00D32931"/>
    <w:rsid w:val="00D32C5D"/>
    <w:rsid w:val="00D32C7B"/>
    <w:rsid w:val="00D33161"/>
    <w:rsid w:val="00D3376B"/>
    <w:rsid w:val="00D339C2"/>
    <w:rsid w:val="00D33DFA"/>
    <w:rsid w:val="00D33F02"/>
    <w:rsid w:val="00D34039"/>
    <w:rsid w:val="00D34568"/>
    <w:rsid w:val="00D3511B"/>
    <w:rsid w:val="00D351BE"/>
    <w:rsid w:val="00D357AC"/>
    <w:rsid w:val="00D358F7"/>
    <w:rsid w:val="00D35FAE"/>
    <w:rsid w:val="00D360A8"/>
    <w:rsid w:val="00D36376"/>
    <w:rsid w:val="00D36E67"/>
    <w:rsid w:val="00D37815"/>
    <w:rsid w:val="00D37BE6"/>
    <w:rsid w:val="00D37EF5"/>
    <w:rsid w:val="00D403C5"/>
    <w:rsid w:val="00D40D17"/>
    <w:rsid w:val="00D40DAA"/>
    <w:rsid w:val="00D411CB"/>
    <w:rsid w:val="00D41316"/>
    <w:rsid w:val="00D41764"/>
    <w:rsid w:val="00D419C9"/>
    <w:rsid w:val="00D428B9"/>
    <w:rsid w:val="00D42AF6"/>
    <w:rsid w:val="00D43246"/>
    <w:rsid w:val="00D43292"/>
    <w:rsid w:val="00D43845"/>
    <w:rsid w:val="00D43A17"/>
    <w:rsid w:val="00D43DF1"/>
    <w:rsid w:val="00D44C79"/>
    <w:rsid w:val="00D44D39"/>
    <w:rsid w:val="00D45750"/>
    <w:rsid w:val="00D457EA"/>
    <w:rsid w:val="00D45C42"/>
    <w:rsid w:val="00D45F8E"/>
    <w:rsid w:val="00D45FD9"/>
    <w:rsid w:val="00D4645A"/>
    <w:rsid w:val="00D4712E"/>
    <w:rsid w:val="00D50143"/>
    <w:rsid w:val="00D50563"/>
    <w:rsid w:val="00D51947"/>
    <w:rsid w:val="00D51C71"/>
    <w:rsid w:val="00D52429"/>
    <w:rsid w:val="00D52B06"/>
    <w:rsid w:val="00D52E54"/>
    <w:rsid w:val="00D52FF5"/>
    <w:rsid w:val="00D54954"/>
    <w:rsid w:val="00D54A93"/>
    <w:rsid w:val="00D54EC1"/>
    <w:rsid w:val="00D55F6E"/>
    <w:rsid w:val="00D56063"/>
    <w:rsid w:val="00D56156"/>
    <w:rsid w:val="00D5646D"/>
    <w:rsid w:val="00D56D28"/>
    <w:rsid w:val="00D56DFA"/>
    <w:rsid w:val="00D57647"/>
    <w:rsid w:val="00D579CA"/>
    <w:rsid w:val="00D60220"/>
    <w:rsid w:val="00D60748"/>
    <w:rsid w:val="00D60E22"/>
    <w:rsid w:val="00D61302"/>
    <w:rsid w:val="00D6167E"/>
    <w:rsid w:val="00D61A73"/>
    <w:rsid w:val="00D61BD3"/>
    <w:rsid w:val="00D62736"/>
    <w:rsid w:val="00D62D00"/>
    <w:rsid w:val="00D62D3C"/>
    <w:rsid w:val="00D62F4D"/>
    <w:rsid w:val="00D63BA6"/>
    <w:rsid w:val="00D63D20"/>
    <w:rsid w:val="00D64751"/>
    <w:rsid w:val="00D6511C"/>
    <w:rsid w:val="00D652D9"/>
    <w:rsid w:val="00D65785"/>
    <w:rsid w:val="00D65CEF"/>
    <w:rsid w:val="00D65E89"/>
    <w:rsid w:val="00D66C81"/>
    <w:rsid w:val="00D70110"/>
    <w:rsid w:val="00D7028B"/>
    <w:rsid w:val="00D707B3"/>
    <w:rsid w:val="00D70C8F"/>
    <w:rsid w:val="00D70CDF"/>
    <w:rsid w:val="00D70DDA"/>
    <w:rsid w:val="00D71795"/>
    <w:rsid w:val="00D71949"/>
    <w:rsid w:val="00D71EE7"/>
    <w:rsid w:val="00D71F0E"/>
    <w:rsid w:val="00D720A4"/>
    <w:rsid w:val="00D727B1"/>
    <w:rsid w:val="00D72D26"/>
    <w:rsid w:val="00D73AD9"/>
    <w:rsid w:val="00D740C9"/>
    <w:rsid w:val="00D7450A"/>
    <w:rsid w:val="00D745A2"/>
    <w:rsid w:val="00D748C6"/>
    <w:rsid w:val="00D74EC9"/>
    <w:rsid w:val="00D7580B"/>
    <w:rsid w:val="00D76C2C"/>
    <w:rsid w:val="00D7714F"/>
    <w:rsid w:val="00D774C9"/>
    <w:rsid w:val="00D8033C"/>
    <w:rsid w:val="00D80C29"/>
    <w:rsid w:val="00D80E50"/>
    <w:rsid w:val="00D81EF1"/>
    <w:rsid w:val="00D8251F"/>
    <w:rsid w:val="00D826AE"/>
    <w:rsid w:val="00D8272B"/>
    <w:rsid w:val="00D829E6"/>
    <w:rsid w:val="00D83167"/>
    <w:rsid w:val="00D8316D"/>
    <w:rsid w:val="00D83B51"/>
    <w:rsid w:val="00D84BE3"/>
    <w:rsid w:val="00D84ECA"/>
    <w:rsid w:val="00D8525E"/>
    <w:rsid w:val="00D85DF5"/>
    <w:rsid w:val="00D8624F"/>
    <w:rsid w:val="00D8690C"/>
    <w:rsid w:val="00D86FDB"/>
    <w:rsid w:val="00D873DD"/>
    <w:rsid w:val="00D878DE"/>
    <w:rsid w:val="00D9041B"/>
    <w:rsid w:val="00D90721"/>
    <w:rsid w:val="00D90DBB"/>
    <w:rsid w:val="00D90E3B"/>
    <w:rsid w:val="00D91345"/>
    <w:rsid w:val="00D91353"/>
    <w:rsid w:val="00D9141D"/>
    <w:rsid w:val="00D9186D"/>
    <w:rsid w:val="00D92EB9"/>
    <w:rsid w:val="00D932BD"/>
    <w:rsid w:val="00D946C9"/>
    <w:rsid w:val="00D94CF3"/>
    <w:rsid w:val="00D94DF0"/>
    <w:rsid w:val="00D95BF4"/>
    <w:rsid w:val="00D95EAC"/>
    <w:rsid w:val="00D95F1D"/>
    <w:rsid w:val="00D965EA"/>
    <w:rsid w:val="00D967A8"/>
    <w:rsid w:val="00D96FAD"/>
    <w:rsid w:val="00D97E59"/>
    <w:rsid w:val="00DA058E"/>
    <w:rsid w:val="00DA1177"/>
    <w:rsid w:val="00DA1922"/>
    <w:rsid w:val="00DA1A7A"/>
    <w:rsid w:val="00DA29CD"/>
    <w:rsid w:val="00DA3C51"/>
    <w:rsid w:val="00DA40E9"/>
    <w:rsid w:val="00DA4D4E"/>
    <w:rsid w:val="00DA512C"/>
    <w:rsid w:val="00DA6765"/>
    <w:rsid w:val="00DA68FE"/>
    <w:rsid w:val="00DA7AE8"/>
    <w:rsid w:val="00DA7B32"/>
    <w:rsid w:val="00DA7EB1"/>
    <w:rsid w:val="00DA7F0D"/>
    <w:rsid w:val="00DB003C"/>
    <w:rsid w:val="00DB0293"/>
    <w:rsid w:val="00DB0569"/>
    <w:rsid w:val="00DB0A06"/>
    <w:rsid w:val="00DB112C"/>
    <w:rsid w:val="00DB11D1"/>
    <w:rsid w:val="00DB1312"/>
    <w:rsid w:val="00DB1321"/>
    <w:rsid w:val="00DB15A5"/>
    <w:rsid w:val="00DB1603"/>
    <w:rsid w:val="00DB19BA"/>
    <w:rsid w:val="00DB1E91"/>
    <w:rsid w:val="00DB2C7C"/>
    <w:rsid w:val="00DB2F0F"/>
    <w:rsid w:val="00DB43E7"/>
    <w:rsid w:val="00DB4410"/>
    <w:rsid w:val="00DB5117"/>
    <w:rsid w:val="00DB5489"/>
    <w:rsid w:val="00DB6031"/>
    <w:rsid w:val="00DB664A"/>
    <w:rsid w:val="00DB671A"/>
    <w:rsid w:val="00DB701A"/>
    <w:rsid w:val="00DB7463"/>
    <w:rsid w:val="00DB749C"/>
    <w:rsid w:val="00DB7689"/>
    <w:rsid w:val="00DB786A"/>
    <w:rsid w:val="00DB7C72"/>
    <w:rsid w:val="00DC0E0F"/>
    <w:rsid w:val="00DC14AF"/>
    <w:rsid w:val="00DC15BB"/>
    <w:rsid w:val="00DC1720"/>
    <w:rsid w:val="00DC17A8"/>
    <w:rsid w:val="00DC1893"/>
    <w:rsid w:val="00DC1E9A"/>
    <w:rsid w:val="00DC1F8D"/>
    <w:rsid w:val="00DC2392"/>
    <w:rsid w:val="00DC25B5"/>
    <w:rsid w:val="00DC32A8"/>
    <w:rsid w:val="00DC3633"/>
    <w:rsid w:val="00DC3976"/>
    <w:rsid w:val="00DC4108"/>
    <w:rsid w:val="00DC4263"/>
    <w:rsid w:val="00DC4A11"/>
    <w:rsid w:val="00DC4EC7"/>
    <w:rsid w:val="00DC4F64"/>
    <w:rsid w:val="00DC50C5"/>
    <w:rsid w:val="00DC5521"/>
    <w:rsid w:val="00DC57BD"/>
    <w:rsid w:val="00DC5E53"/>
    <w:rsid w:val="00DC64A7"/>
    <w:rsid w:val="00DC6690"/>
    <w:rsid w:val="00DC6765"/>
    <w:rsid w:val="00DC6BC2"/>
    <w:rsid w:val="00DD0953"/>
    <w:rsid w:val="00DD0A4F"/>
    <w:rsid w:val="00DD1A95"/>
    <w:rsid w:val="00DD1C13"/>
    <w:rsid w:val="00DD256B"/>
    <w:rsid w:val="00DD2C81"/>
    <w:rsid w:val="00DD2CA7"/>
    <w:rsid w:val="00DD41AF"/>
    <w:rsid w:val="00DD4673"/>
    <w:rsid w:val="00DD4A78"/>
    <w:rsid w:val="00DD509A"/>
    <w:rsid w:val="00DD5220"/>
    <w:rsid w:val="00DD59BF"/>
    <w:rsid w:val="00DD5AE1"/>
    <w:rsid w:val="00DD5C8A"/>
    <w:rsid w:val="00DD5EFD"/>
    <w:rsid w:val="00DD690A"/>
    <w:rsid w:val="00DD6989"/>
    <w:rsid w:val="00DD6DCC"/>
    <w:rsid w:val="00DD7275"/>
    <w:rsid w:val="00DD7715"/>
    <w:rsid w:val="00DD7B57"/>
    <w:rsid w:val="00DE14AB"/>
    <w:rsid w:val="00DE14EB"/>
    <w:rsid w:val="00DE1775"/>
    <w:rsid w:val="00DE1BA0"/>
    <w:rsid w:val="00DE2496"/>
    <w:rsid w:val="00DE26B1"/>
    <w:rsid w:val="00DE2876"/>
    <w:rsid w:val="00DE28F7"/>
    <w:rsid w:val="00DE3720"/>
    <w:rsid w:val="00DE3A0B"/>
    <w:rsid w:val="00DE52F7"/>
    <w:rsid w:val="00DE54C0"/>
    <w:rsid w:val="00DE5A26"/>
    <w:rsid w:val="00DE5AF1"/>
    <w:rsid w:val="00DE5B80"/>
    <w:rsid w:val="00DE602F"/>
    <w:rsid w:val="00DE6518"/>
    <w:rsid w:val="00DE6ADA"/>
    <w:rsid w:val="00DE7099"/>
    <w:rsid w:val="00DE7641"/>
    <w:rsid w:val="00DE77F5"/>
    <w:rsid w:val="00DE7D3F"/>
    <w:rsid w:val="00DF0181"/>
    <w:rsid w:val="00DF034C"/>
    <w:rsid w:val="00DF0C8C"/>
    <w:rsid w:val="00DF0FAA"/>
    <w:rsid w:val="00DF1A5E"/>
    <w:rsid w:val="00DF1FA9"/>
    <w:rsid w:val="00DF208D"/>
    <w:rsid w:val="00DF2E2B"/>
    <w:rsid w:val="00DF341B"/>
    <w:rsid w:val="00DF39E9"/>
    <w:rsid w:val="00DF431B"/>
    <w:rsid w:val="00DF5D21"/>
    <w:rsid w:val="00DF62EE"/>
    <w:rsid w:val="00DF65CB"/>
    <w:rsid w:val="00DF74D9"/>
    <w:rsid w:val="00DF7E8A"/>
    <w:rsid w:val="00E00539"/>
    <w:rsid w:val="00E01271"/>
    <w:rsid w:val="00E014FB"/>
    <w:rsid w:val="00E022B6"/>
    <w:rsid w:val="00E026A8"/>
    <w:rsid w:val="00E02B38"/>
    <w:rsid w:val="00E0360B"/>
    <w:rsid w:val="00E03637"/>
    <w:rsid w:val="00E036FD"/>
    <w:rsid w:val="00E0380F"/>
    <w:rsid w:val="00E039E4"/>
    <w:rsid w:val="00E03A96"/>
    <w:rsid w:val="00E042D3"/>
    <w:rsid w:val="00E0466B"/>
    <w:rsid w:val="00E04A35"/>
    <w:rsid w:val="00E053CC"/>
    <w:rsid w:val="00E0579C"/>
    <w:rsid w:val="00E05D56"/>
    <w:rsid w:val="00E066E1"/>
    <w:rsid w:val="00E068DC"/>
    <w:rsid w:val="00E06A22"/>
    <w:rsid w:val="00E06D16"/>
    <w:rsid w:val="00E079B8"/>
    <w:rsid w:val="00E1032D"/>
    <w:rsid w:val="00E10348"/>
    <w:rsid w:val="00E105A9"/>
    <w:rsid w:val="00E10AF6"/>
    <w:rsid w:val="00E11695"/>
    <w:rsid w:val="00E1194E"/>
    <w:rsid w:val="00E11F34"/>
    <w:rsid w:val="00E1264F"/>
    <w:rsid w:val="00E1279A"/>
    <w:rsid w:val="00E15056"/>
    <w:rsid w:val="00E15151"/>
    <w:rsid w:val="00E15DB1"/>
    <w:rsid w:val="00E16433"/>
    <w:rsid w:val="00E166C0"/>
    <w:rsid w:val="00E16C86"/>
    <w:rsid w:val="00E17552"/>
    <w:rsid w:val="00E17AD5"/>
    <w:rsid w:val="00E207F9"/>
    <w:rsid w:val="00E20B3D"/>
    <w:rsid w:val="00E219C1"/>
    <w:rsid w:val="00E21B03"/>
    <w:rsid w:val="00E22445"/>
    <w:rsid w:val="00E22569"/>
    <w:rsid w:val="00E22A2A"/>
    <w:rsid w:val="00E22BB2"/>
    <w:rsid w:val="00E22C5E"/>
    <w:rsid w:val="00E22DE3"/>
    <w:rsid w:val="00E24716"/>
    <w:rsid w:val="00E247D2"/>
    <w:rsid w:val="00E24DE4"/>
    <w:rsid w:val="00E25141"/>
    <w:rsid w:val="00E25563"/>
    <w:rsid w:val="00E260A3"/>
    <w:rsid w:val="00E26D15"/>
    <w:rsid w:val="00E270D7"/>
    <w:rsid w:val="00E27DDB"/>
    <w:rsid w:val="00E27F6E"/>
    <w:rsid w:val="00E307A4"/>
    <w:rsid w:val="00E3122A"/>
    <w:rsid w:val="00E31702"/>
    <w:rsid w:val="00E31B75"/>
    <w:rsid w:val="00E31D3E"/>
    <w:rsid w:val="00E3242E"/>
    <w:rsid w:val="00E32819"/>
    <w:rsid w:val="00E32DB5"/>
    <w:rsid w:val="00E330C9"/>
    <w:rsid w:val="00E33165"/>
    <w:rsid w:val="00E3330E"/>
    <w:rsid w:val="00E3351F"/>
    <w:rsid w:val="00E33992"/>
    <w:rsid w:val="00E34826"/>
    <w:rsid w:val="00E349B3"/>
    <w:rsid w:val="00E349C6"/>
    <w:rsid w:val="00E34CB1"/>
    <w:rsid w:val="00E3550C"/>
    <w:rsid w:val="00E35DD0"/>
    <w:rsid w:val="00E35EA1"/>
    <w:rsid w:val="00E35F4B"/>
    <w:rsid w:val="00E37781"/>
    <w:rsid w:val="00E37849"/>
    <w:rsid w:val="00E378D4"/>
    <w:rsid w:val="00E40290"/>
    <w:rsid w:val="00E406B7"/>
    <w:rsid w:val="00E40DAE"/>
    <w:rsid w:val="00E40E1C"/>
    <w:rsid w:val="00E40F62"/>
    <w:rsid w:val="00E40FC9"/>
    <w:rsid w:val="00E41050"/>
    <w:rsid w:val="00E41458"/>
    <w:rsid w:val="00E41826"/>
    <w:rsid w:val="00E41DEB"/>
    <w:rsid w:val="00E42317"/>
    <w:rsid w:val="00E426E2"/>
    <w:rsid w:val="00E43182"/>
    <w:rsid w:val="00E43249"/>
    <w:rsid w:val="00E4367D"/>
    <w:rsid w:val="00E4367E"/>
    <w:rsid w:val="00E436A2"/>
    <w:rsid w:val="00E43A6B"/>
    <w:rsid w:val="00E43B82"/>
    <w:rsid w:val="00E44DEF"/>
    <w:rsid w:val="00E44E21"/>
    <w:rsid w:val="00E4530E"/>
    <w:rsid w:val="00E458D8"/>
    <w:rsid w:val="00E463ED"/>
    <w:rsid w:val="00E46B1A"/>
    <w:rsid w:val="00E46C92"/>
    <w:rsid w:val="00E473AE"/>
    <w:rsid w:val="00E475B8"/>
    <w:rsid w:val="00E47AD5"/>
    <w:rsid w:val="00E50349"/>
    <w:rsid w:val="00E506C4"/>
    <w:rsid w:val="00E50DE4"/>
    <w:rsid w:val="00E50E3B"/>
    <w:rsid w:val="00E50F6D"/>
    <w:rsid w:val="00E51006"/>
    <w:rsid w:val="00E51467"/>
    <w:rsid w:val="00E518A7"/>
    <w:rsid w:val="00E5203F"/>
    <w:rsid w:val="00E524E9"/>
    <w:rsid w:val="00E529F5"/>
    <w:rsid w:val="00E52D28"/>
    <w:rsid w:val="00E532E4"/>
    <w:rsid w:val="00E533D0"/>
    <w:rsid w:val="00E5356B"/>
    <w:rsid w:val="00E538F9"/>
    <w:rsid w:val="00E53E00"/>
    <w:rsid w:val="00E54221"/>
    <w:rsid w:val="00E54F5C"/>
    <w:rsid w:val="00E550E9"/>
    <w:rsid w:val="00E553A0"/>
    <w:rsid w:val="00E5604D"/>
    <w:rsid w:val="00E56132"/>
    <w:rsid w:val="00E5650A"/>
    <w:rsid w:val="00E566A7"/>
    <w:rsid w:val="00E5739C"/>
    <w:rsid w:val="00E574A4"/>
    <w:rsid w:val="00E574EC"/>
    <w:rsid w:val="00E57EAC"/>
    <w:rsid w:val="00E57F5C"/>
    <w:rsid w:val="00E57F9C"/>
    <w:rsid w:val="00E603B9"/>
    <w:rsid w:val="00E607B8"/>
    <w:rsid w:val="00E60B65"/>
    <w:rsid w:val="00E615F9"/>
    <w:rsid w:val="00E6168B"/>
    <w:rsid w:val="00E6193C"/>
    <w:rsid w:val="00E61DC3"/>
    <w:rsid w:val="00E62412"/>
    <w:rsid w:val="00E629D9"/>
    <w:rsid w:val="00E62BC2"/>
    <w:rsid w:val="00E62E86"/>
    <w:rsid w:val="00E636D5"/>
    <w:rsid w:val="00E6377E"/>
    <w:rsid w:val="00E63DAA"/>
    <w:rsid w:val="00E63F7A"/>
    <w:rsid w:val="00E640A1"/>
    <w:rsid w:val="00E6439A"/>
    <w:rsid w:val="00E645B4"/>
    <w:rsid w:val="00E64BE5"/>
    <w:rsid w:val="00E6606D"/>
    <w:rsid w:val="00E666A6"/>
    <w:rsid w:val="00E668CC"/>
    <w:rsid w:val="00E66EF6"/>
    <w:rsid w:val="00E671C3"/>
    <w:rsid w:val="00E67404"/>
    <w:rsid w:val="00E702DE"/>
    <w:rsid w:val="00E705F5"/>
    <w:rsid w:val="00E7092C"/>
    <w:rsid w:val="00E71473"/>
    <w:rsid w:val="00E71D8A"/>
    <w:rsid w:val="00E71E6C"/>
    <w:rsid w:val="00E7221D"/>
    <w:rsid w:val="00E72F27"/>
    <w:rsid w:val="00E7325A"/>
    <w:rsid w:val="00E736D8"/>
    <w:rsid w:val="00E73EBE"/>
    <w:rsid w:val="00E74B29"/>
    <w:rsid w:val="00E74F48"/>
    <w:rsid w:val="00E757B2"/>
    <w:rsid w:val="00E75916"/>
    <w:rsid w:val="00E75F3D"/>
    <w:rsid w:val="00E76101"/>
    <w:rsid w:val="00E7615F"/>
    <w:rsid w:val="00E769E4"/>
    <w:rsid w:val="00E76AE0"/>
    <w:rsid w:val="00E76DCC"/>
    <w:rsid w:val="00E77561"/>
    <w:rsid w:val="00E7788D"/>
    <w:rsid w:val="00E8048C"/>
    <w:rsid w:val="00E81413"/>
    <w:rsid w:val="00E81A87"/>
    <w:rsid w:val="00E82D02"/>
    <w:rsid w:val="00E83948"/>
    <w:rsid w:val="00E83CF9"/>
    <w:rsid w:val="00E85D68"/>
    <w:rsid w:val="00E86065"/>
    <w:rsid w:val="00E86318"/>
    <w:rsid w:val="00E87296"/>
    <w:rsid w:val="00E90292"/>
    <w:rsid w:val="00E9103A"/>
    <w:rsid w:val="00E91144"/>
    <w:rsid w:val="00E927C7"/>
    <w:rsid w:val="00E92854"/>
    <w:rsid w:val="00E92974"/>
    <w:rsid w:val="00E92F21"/>
    <w:rsid w:val="00E92F98"/>
    <w:rsid w:val="00E9331D"/>
    <w:rsid w:val="00E934FD"/>
    <w:rsid w:val="00E93DA7"/>
    <w:rsid w:val="00E93F5D"/>
    <w:rsid w:val="00E95322"/>
    <w:rsid w:val="00E95490"/>
    <w:rsid w:val="00E95D71"/>
    <w:rsid w:val="00E968C1"/>
    <w:rsid w:val="00E96B0A"/>
    <w:rsid w:val="00E96E47"/>
    <w:rsid w:val="00E96E9C"/>
    <w:rsid w:val="00E971F6"/>
    <w:rsid w:val="00E97AE2"/>
    <w:rsid w:val="00E97FBA"/>
    <w:rsid w:val="00EA0E54"/>
    <w:rsid w:val="00EA11EE"/>
    <w:rsid w:val="00EA1769"/>
    <w:rsid w:val="00EA19C7"/>
    <w:rsid w:val="00EA2450"/>
    <w:rsid w:val="00EA3671"/>
    <w:rsid w:val="00EA3949"/>
    <w:rsid w:val="00EA3964"/>
    <w:rsid w:val="00EA3BC1"/>
    <w:rsid w:val="00EA4196"/>
    <w:rsid w:val="00EA454D"/>
    <w:rsid w:val="00EA6672"/>
    <w:rsid w:val="00EA7D8F"/>
    <w:rsid w:val="00EA7E47"/>
    <w:rsid w:val="00EB03B7"/>
    <w:rsid w:val="00EB0436"/>
    <w:rsid w:val="00EB0CB6"/>
    <w:rsid w:val="00EB0DEA"/>
    <w:rsid w:val="00EB0ED1"/>
    <w:rsid w:val="00EB0F7F"/>
    <w:rsid w:val="00EB1AF3"/>
    <w:rsid w:val="00EB1F63"/>
    <w:rsid w:val="00EB2558"/>
    <w:rsid w:val="00EB27BC"/>
    <w:rsid w:val="00EB2CCE"/>
    <w:rsid w:val="00EB3135"/>
    <w:rsid w:val="00EB445A"/>
    <w:rsid w:val="00EB5669"/>
    <w:rsid w:val="00EB666A"/>
    <w:rsid w:val="00EB68CE"/>
    <w:rsid w:val="00EB68F6"/>
    <w:rsid w:val="00EB6A32"/>
    <w:rsid w:val="00EB75B2"/>
    <w:rsid w:val="00EB7C9B"/>
    <w:rsid w:val="00EC084F"/>
    <w:rsid w:val="00EC1350"/>
    <w:rsid w:val="00EC1914"/>
    <w:rsid w:val="00EC1F77"/>
    <w:rsid w:val="00EC22C6"/>
    <w:rsid w:val="00EC245E"/>
    <w:rsid w:val="00EC33A0"/>
    <w:rsid w:val="00EC3F7F"/>
    <w:rsid w:val="00EC443C"/>
    <w:rsid w:val="00EC4742"/>
    <w:rsid w:val="00EC4836"/>
    <w:rsid w:val="00EC4F31"/>
    <w:rsid w:val="00EC5088"/>
    <w:rsid w:val="00EC5187"/>
    <w:rsid w:val="00EC633C"/>
    <w:rsid w:val="00EC6718"/>
    <w:rsid w:val="00EC67DB"/>
    <w:rsid w:val="00EC680C"/>
    <w:rsid w:val="00EC7EBB"/>
    <w:rsid w:val="00ED1DA8"/>
    <w:rsid w:val="00ED2427"/>
    <w:rsid w:val="00ED2CA1"/>
    <w:rsid w:val="00ED30FB"/>
    <w:rsid w:val="00ED3542"/>
    <w:rsid w:val="00ED46A0"/>
    <w:rsid w:val="00ED523B"/>
    <w:rsid w:val="00ED53E3"/>
    <w:rsid w:val="00ED5480"/>
    <w:rsid w:val="00ED5E38"/>
    <w:rsid w:val="00ED7351"/>
    <w:rsid w:val="00ED76F4"/>
    <w:rsid w:val="00ED7DE4"/>
    <w:rsid w:val="00ED7F7B"/>
    <w:rsid w:val="00EE0BEF"/>
    <w:rsid w:val="00EE1091"/>
    <w:rsid w:val="00EE1800"/>
    <w:rsid w:val="00EE205C"/>
    <w:rsid w:val="00EE2B48"/>
    <w:rsid w:val="00EE30E3"/>
    <w:rsid w:val="00EE351C"/>
    <w:rsid w:val="00EE4490"/>
    <w:rsid w:val="00EE4EEF"/>
    <w:rsid w:val="00EE50A6"/>
    <w:rsid w:val="00EE513F"/>
    <w:rsid w:val="00EE58DE"/>
    <w:rsid w:val="00EE5B5F"/>
    <w:rsid w:val="00EE6832"/>
    <w:rsid w:val="00EE7462"/>
    <w:rsid w:val="00EF0275"/>
    <w:rsid w:val="00EF169F"/>
    <w:rsid w:val="00EF1755"/>
    <w:rsid w:val="00EF2358"/>
    <w:rsid w:val="00EF29E8"/>
    <w:rsid w:val="00EF310F"/>
    <w:rsid w:val="00EF3507"/>
    <w:rsid w:val="00EF3646"/>
    <w:rsid w:val="00EF3907"/>
    <w:rsid w:val="00EF3D58"/>
    <w:rsid w:val="00EF3E63"/>
    <w:rsid w:val="00EF475B"/>
    <w:rsid w:val="00EF4A61"/>
    <w:rsid w:val="00EF5BE3"/>
    <w:rsid w:val="00EF679D"/>
    <w:rsid w:val="00EF6D11"/>
    <w:rsid w:val="00EF6D6C"/>
    <w:rsid w:val="00EF6D80"/>
    <w:rsid w:val="00EF7063"/>
    <w:rsid w:val="00EF7084"/>
    <w:rsid w:val="00EF788B"/>
    <w:rsid w:val="00F0010C"/>
    <w:rsid w:val="00F00802"/>
    <w:rsid w:val="00F00A7A"/>
    <w:rsid w:val="00F01389"/>
    <w:rsid w:val="00F015AE"/>
    <w:rsid w:val="00F018F9"/>
    <w:rsid w:val="00F01D64"/>
    <w:rsid w:val="00F02402"/>
    <w:rsid w:val="00F02BF3"/>
    <w:rsid w:val="00F037B4"/>
    <w:rsid w:val="00F038B3"/>
    <w:rsid w:val="00F03B2B"/>
    <w:rsid w:val="00F03B39"/>
    <w:rsid w:val="00F04052"/>
    <w:rsid w:val="00F04FED"/>
    <w:rsid w:val="00F057D9"/>
    <w:rsid w:val="00F05940"/>
    <w:rsid w:val="00F05D58"/>
    <w:rsid w:val="00F06673"/>
    <w:rsid w:val="00F066EB"/>
    <w:rsid w:val="00F06961"/>
    <w:rsid w:val="00F07B29"/>
    <w:rsid w:val="00F07D94"/>
    <w:rsid w:val="00F1066F"/>
    <w:rsid w:val="00F10FED"/>
    <w:rsid w:val="00F12973"/>
    <w:rsid w:val="00F13314"/>
    <w:rsid w:val="00F137CB"/>
    <w:rsid w:val="00F1415F"/>
    <w:rsid w:val="00F14201"/>
    <w:rsid w:val="00F1491D"/>
    <w:rsid w:val="00F1508C"/>
    <w:rsid w:val="00F15509"/>
    <w:rsid w:val="00F1578E"/>
    <w:rsid w:val="00F16615"/>
    <w:rsid w:val="00F16728"/>
    <w:rsid w:val="00F16A35"/>
    <w:rsid w:val="00F16D25"/>
    <w:rsid w:val="00F173D1"/>
    <w:rsid w:val="00F17DF0"/>
    <w:rsid w:val="00F20763"/>
    <w:rsid w:val="00F2088B"/>
    <w:rsid w:val="00F2094B"/>
    <w:rsid w:val="00F2158C"/>
    <w:rsid w:val="00F21B2A"/>
    <w:rsid w:val="00F22286"/>
    <w:rsid w:val="00F227C8"/>
    <w:rsid w:val="00F22BC2"/>
    <w:rsid w:val="00F23996"/>
    <w:rsid w:val="00F23CB7"/>
    <w:rsid w:val="00F2430F"/>
    <w:rsid w:val="00F2469A"/>
    <w:rsid w:val="00F24B9A"/>
    <w:rsid w:val="00F256AD"/>
    <w:rsid w:val="00F257B5"/>
    <w:rsid w:val="00F25B4F"/>
    <w:rsid w:val="00F25E96"/>
    <w:rsid w:val="00F25EEC"/>
    <w:rsid w:val="00F26107"/>
    <w:rsid w:val="00F266DE"/>
    <w:rsid w:val="00F26AD4"/>
    <w:rsid w:val="00F26E39"/>
    <w:rsid w:val="00F2720E"/>
    <w:rsid w:val="00F2776D"/>
    <w:rsid w:val="00F30990"/>
    <w:rsid w:val="00F309FA"/>
    <w:rsid w:val="00F32C4E"/>
    <w:rsid w:val="00F330EC"/>
    <w:rsid w:val="00F333F1"/>
    <w:rsid w:val="00F33DE5"/>
    <w:rsid w:val="00F346E6"/>
    <w:rsid w:val="00F3663D"/>
    <w:rsid w:val="00F36D44"/>
    <w:rsid w:val="00F37272"/>
    <w:rsid w:val="00F376B9"/>
    <w:rsid w:val="00F37A37"/>
    <w:rsid w:val="00F37C2F"/>
    <w:rsid w:val="00F40172"/>
    <w:rsid w:val="00F406F7"/>
    <w:rsid w:val="00F40715"/>
    <w:rsid w:val="00F40864"/>
    <w:rsid w:val="00F40EF5"/>
    <w:rsid w:val="00F41AD8"/>
    <w:rsid w:val="00F41E7D"/>
    <w:rsid w:val="00F422F5"/>
    <w:rsid w:val="00F42619"/>
    <w:rsid w:val="00F42799"/>
    <w:rsid w:val="00F43586"/>
    <w:rsid w:val="00F44895"/>
    <w:rsid w:val="00F44CDC"/>
    <w:rsid w:val="00F4567D"/>
    <w:rsid w:val="00F4649C"/>
    <w:rsid w:val="00F47338"/>
    <w:rsid w:val="00F50585"/>
    <w:rsid w:val="00F5094C"/>
    <w:rsid w:val="00F50D46"/>
    <w:rsid w:val="00F516E3"/>
    <w:rsid w:val="00F51EFB"/>
    <w:rsid w:val="00F5235F"/>
    <w:rsid w:val="00F5258D"/>
    <w:rsid w:val="00F54832"/>
    <w:rsid w:val="00F549DB"/>
    <w:rsid w:val="00F54FB4"/>
    <w:rsid w:val="00F5522F"/>
    <w:rsid w:val="00F553E4"/>
    <w:rsid w:val="00F55699"/>
    <w:rsid w:val="00F558F7"/>
    <w:rsid w:val="00F559F1"/>
    <w:rsid w:val="00F55ECA"/>
    <w:rsid w:val="00F55EF4"/>
    <w:rsid w:val="00F56D3C"/>
    <w:rsid w:val="00F56E3B"/>
    <w:rsid w:val="00F56EAE"/>
    <w:rsid w:val="00F57885"/>
    <w:rsid w:val="00F57DB4"/>
    <w:rsid w:val="00F61346"/>
    <w:rsid w:val="00F61F2D"/>
    <w:rsid w:val="00F625B3"/>
    <w:rsid w:val="00F64B80"/>
    <w:rsid w:val="00F64F33"/>
    <w:rsid w:val="00F65050"/>
    <w:rsid w:val="00F66144"/>
    <w:rsid w:val="00F6668F"/>
    <w:rsid w:val="00F668A3"/>
    <w:rsid w:val="00F66F58"/>
    <w:rsid w:val="00F6713F"/>
    <w:rsid w:val="00F6716D"/>
    <w:rsid w:val="00F672C0"/>
    <w:rsid w:val="00F70F25"/>
    <w:rsid w:val="00F70F58"/>
    <w:rsid w:val="00F71F6C"/>
    <w:rsid w:val="00F72B10"/>
    <w:rsid w:val="00F72CB9"/>
    <w:rsid w:val="00F7399B"/>
    <w:rsid w:val="00F73CFC"/>
    <w:rsid w:val="00F73EAC"/>
    <w:rsid w:val="00F74B51"/>
    <w:rsid w:val="00F755BC"/>
    <w:rsid w:val="00F75B4B"/>
    <w:rsid w:val="00F761A4"/>
    <w:rsid w:val="00F763EF"/>
    <w:rsid w:val="00F7769D"/>
    <w:rsid w:val="00F80443"/>
    <w:rsid w:val="00F80635"/>
    <w:rsid w:val="00F80C19"/>
    <w:rsid w:val="00F811BC"/>
    <w:rsid w:val="00F81362"/>
    <w:rsid w:val="00F8188A"/>
    <w:rsid w:val="00F8350F"/>
    <w:rsid w:val="00F838DD"/>
    <w:rsid w:val="00F842CA"/>
    <w:rsid w:val="00F854EE"/>
    <w:rsid w:val="00F85906"/>
    <w:rsid w:val="00F867A6"/>
    <w:rsid w:val="00F8688B"/>
    <w:rsid w:val="00F8714F"/>
    <w:rsid w:val="00F90197"/>
    <w:rsid w:val="00F9078B"/>
    <w:rsid w:val="00F90E77"/>
    <w:rsid w:val="00F9110E"/>
    <w:rsid w:val="00F91353"/>
    <w:rsid w:val="00F91BD2"/>
    <w:rsid w:val="00F9240A"/>
    <w:rsid w:val="00F932F1"/>
    <w:rsid w:val="00F9333A"/>
    <w:rsid w:val="00F93E0C"/>
    <w:rsid w:val="00F95120"/>
    <w:rsid w:val="00F9594E"/>
    <w:rsid w:val="00F96119"/>
    <w:rsid w:val="00F9684A"/>
    <w:rsid w:val="00F9685E"/>
    <w:rsid w:val="00F971F9"/>
    <w:rsid w:val="00F97405"/>
    <w:rsid w:val="00F97C7F"/>
    <w:rsid w:val="00FA0825"/>
    <w:rsid w:val="00FA08AD"/>
    <w:rsid w:val="00FA14E0"/>
    <w:rsid w:val="00FA14E4"/>
    <w:rsid w:val="00FA1A06"/>
    <w:rsid w:val="00FA1CC0"/>
    <w:rsid w:val="00FA21EE"/>
    <w:rsid w:val="00FA2952"/>
    <w:rsid w:val="00FA2B71"/>
    <w:rsid w:val="00FA2F27"/>
    <w:rsid w:val="00FA4150"/>
    <w:rsid w:val="00FA5766"/>
    <w:rsid w:val="00FA5FCE"/>
    <w:rsid w:val="00FA6140"/>
    <w:rsid w:val="00FA7248"/>
    <w:rsid w:val="00FA751B"/>
    <w:rsid w:val="00FA7635"/>
    <w:rsid w:val="00FA7C9D"/>
    <w:rsid w:val="00FA7D7D"/>
    <w:rsid w:val="00FB0801"/>
    <w:rsid w:val="00FB1C75"/>
    <w:rsid w:val="00FB266E"/>
    <w:rsid w:val="00FB48C4"/>
    <w:rsid w:val="00FB4AAF"/>
    <w:rsid w:val="00FB50F6"/>
    <w:rsid w:val="00FB52C9"/>
    <w:rsid w:val="00FB620D"/>
    <w:rsid w:val="00FB6F67"/>
    <w:rsid w:val="00FB7EAF"/>
    <w:rsid w:val="00FC0120"/>
    <w:rsid w:val="00FC0AD7"/>
    <w:rsid w:val="00FC0EFE"/>
    <w:rsid w:val="00FC10DE"/>
    <w:rsid w:val="00FC1F80"/>
    <w:rsid w:val="00FC2D5F"/>
    <w:rsid w:val="00FC3632"/>
    <w:rsid w:val="00FC3A98"/>
    <w:rsid w:val="00FC4D54"/>
    <w:rsid w:val="00FC5603"/>
    <w:rsid w:val="00FC6176"/>
    <w:rsid w:val="00FC64E3"/>
    <w:rsid w:val="00FC6A0B"/>
    <w:rsid w:val="00FC708E"/>
    <w:rsid w:val="00FC7199"/>
    <w:rsid w:val="00FC7880"/>
    <w:rsid w:val="00FD0813"/>
    <w:rsid w:val="00FD0B28"/>
    <w:rsid w:val="00FD0EE6"/>
    <w:rsid w:val="00FD17BA"/>
    <w:rsid w:val="00FD19DE"/>
    <w:rsid w:val="00FD2A21"/>
    <w:rsid w:val="00FD2C9D"/>
    <w:rsid w:val="00FD2E91"/>
    <w:rsid w:val="00FD2ECE"/>
    <w:rsid w:val="00FD2F74"/>
    <w:rsid w:val="00FD3970"/>
    <w:rsid w:val="00FD3B94"/>
    <w:rsid w:val="00FD40DD"/>
    <w:rsid w:val="00FD43B3"/>
    <w:rsid w:val="00FD5C77"/>
    <w:rsid w:val="00FD6295"/>
    <w:rsid w:val="00FD639F"/>
    <w:rsid w:val="00FD6E48"/>
    <w:rsid w:val="00FD74C7"/>
    <w:rsid w:val="00FD79B7"/>
    <w:rsid w:val="00FD7FCB"/>
    <w:rsid w:val="00FE1023"/>
    <w:rsid w:val="00FE1118"/>
    <w:rsid w:val="00FE1F54"/>
    <w:rsid w:val="00FE24E1"/>
    <w:rsid w:val="00FE2839"/>
    <w:rsid w:val="00FE28E1"/>
    <w:rsid w:val="00FE34E9"/>
    <w:rsid w:val="00FE4062"/>
    <w:rsid w:val="00FE40E5"/>
    <w:rsid w:val="00FE4739"/>
    <w:rsid w:val="00FE478E"/>
    <w:rsid w:val="00FE48CE"/>
    <w:rsid w:val="00FE4DB2"/>
    <w:rsid w:val="00FE51E2"/>
    <w:rsid w:val="00FE5257"/>
    <w:rsid w:val="00FE5586"/>
    <w:rsid w:val="00FE5729"/>
    <w:rsid w:val="00FE5769"/>
    <w:rsid w:val="00FE59C8"/>
    <w:rsid w:val="00FE5B21"/>
    <w:rsid w:val="00FE657F"/>
    <w:rsid w:val="00FE681D"/>
    <w:rsid w:val="00FE6BB2"/>
    <w:rsid w:val="00FE6ECD"/>
    <w:rsid w:val="00FE70C2"/>
    <w:rsid w:val="00FE739D"/>
    <w:rsid w:val="00FE74DF"/>
    <w:rsid w:val="00FE7FB3"/>
    <w:rsid w:val="00FF0353"/>
    <w:rsid w:val="00FF09AB"/>
    <w:rsid w:val="00FF0DB7"/>
    <w:rsid w:val="00FF0DBD"/>
    <w:rsid w:val="00FF10C2"/>
    <w:rsid w:val="00FF11C0"/>
    <w:rsid w:val="00FF1C0A"/>
    <w:rsid w:val="00FF2100"/>
    <w:rsid w:val="00FF2698"/>
    <w:rsid w:val="00FF2C51"/>
    <w:rsid w:val="00FF3A07"/>
    <w:rsid w:val="00FF3FEA"/>
    <w:rsid w:val="00FF4978"/>
    <w:rsid w:val="00FF4AB6"/>
    <w:rsid w:val="00FF4C68"/>
    <w:rsid w:val="00FF50E8"/>
    <w:rsid w:val="00FF5B2A"/>
    <w:rsid w:val="00FF6583"/>
    <w:rsid w:val="00FF6620"/>
    <w:rsid w:val="00FF6945"/>
    <w:rsid w:val="00FF719C"/>
    <w:rsid w:val="00FF7938"/>
    <w:rsid w:val="00FF7D57"/>
    <w:rsid w:val="01BDB6B8"/>
    <w:rsid w:val="02B7BD82"/>
    <w:rsid w:val="0451AC25"/>
    <w:rsid w:val="050B8A7F"/>
    <w:rsid w:val="072155FA"/>
    <w:rsid w:val="07D95B73"/>
    <w:rsid w:val="098D431B"/>
    <w:rsid w:val="09948203"/>
    <w:rsid w:val="0AFA2ECF"/>
    <w:rsid w:val="0B3DF3A3"/>
    <w:rsid w:val="0BA4FEC4"/>
    <w:rsid w:val="0C805C2D"/>
    <w:rsid w:val="0D8B29A3"/>
    <w:rsid w:val="0F42036C"/>
    <w:rsid w:val="0F5CEC3A"/>
    <w:rsid w:val="12AA99DC"/>
    <w:rsid w:val="12DA4622"/>
    <w:rsid w:val="130B4BC6"/>
    <w:rsid w:val="14D55D2F"/>
    <w:rsid w:val="1528439D"/>
    <w:rsid w:val="158BA004"/>
    <w:rsid w:val="1620A816"/>
    <w:rsid w:val="17353F21"/>
    <w:rsid w:val="177F6014"/>
    <w:rsid w:val="18156E59"/>
    <w:rsid w:val="19D383C9"/>
    <w:rsid w:val="1B65DC6E"/>
    <w:rsid w:val="1C7E7C91"/>
    <w:rsid w:val="1D89D2CC"/>
    <w:rsid w:val="1D909BDE"/>
    <w:rsid w:val="1D9964C0"/>
    <w:rsid w:val="1E756D44"/>
    <w:rsid w:val="20369508"/>
    <w:rsid w:val="2037B9FA"/>
    <w:rsid w:val="213E6D9D"/>
    <w:rsid w:val="22F582C3"/>
    <w:rsid w:val="2304704D"/>
    <w:rsid w:val="236CCAAD"/>
    <w:rsid w:val="2553C8F2"/>
    <w:rsid w:val="261D7C45"/>
    <w:rsid w:val="26A1810D"/>
    <w:rsid w:val="2830EEF8"/>
    <w:rsid w:val="2913F6CC"/>
    <w:rsid w:val="2B22CE82"/>
    <w:rsid w:val="2B5053E8"/>
    <w:rsid w:val="2B86D287"/>
    <w:rsid w:val="2B9817F7"/>
    <w:rsid w:val="2BD6164D"/>
    <w:rsid w:val="2F8F41AD"/>
    <w:rsid w:val="300ABD73"/>
    <w:rsid w:val="300EB8CA"/>
    <w:rsid w:val="301E1CC5"/>
    <w:rsid w:val="31DAC09F"/>
    <w:rsid w:val="328DDFF6"/>
    <w:rsid w:val="33D4921F"/>
    <w:rsid w:val="3422375E"/>
    <w:rsid w:val="36BB6959"/>
    <w:rsid w:val="36E3038B"/>
    <w:rsid w:val="37CE9EFC"/>
    <w:rsid w:val="3858416C"/>
    <w:rsid w:val="406F1269"/>
    <w:rsid w:val="407945A8"/>
    <w:rsid w:val="40E0A511"/>
    <w:rsid w:val="4117CEB9"/>
    <w:rsid w:val="42791AD9"/>
    <w:rsid w:val="44727530"/>
    <w:rsid w:val="44D6EBE8"/>
    <w:rsid w:val="462AF33F"/>
    <w:rsid w:val="4938689A"/>
    <w:rsid w:val="49390012"/>
    <w:rsid w:val="4B58F6DE"/>
    <w:rsid w:val="4C4B35CE"/>
    <w:rsid w:val="4F1DA724"/>
    <w:rsid w:val="4FFAF08A"/>
    <w:rsid w:val="50385F95"/>
    <w:rsid w:val="52DBDA1C"/>
    <w:rsid w:val="54817DD7"/>
    <w:rsid w:val="549AE2FE"/>
    <w:rsid w:val="550DECCD"/>
    <w:rsid w:val="551BAAC9"/>
    <w:rsid w:val="5758B3D7"/>
    <w:rsid w:val="57A008A6"/>
    <w:rsid w:val="5C9BF993"/>
    <w:rsid w:val="5D4D1F71"/>
    <w:rsid w:val="5FA40C33"/>
    <w:rsid w:val="6198BBEB"/>
    <w:rsid w:val="62891004"/>
    <w:rsid w:val="628A85B6"/>
    <w:rsid w:val="62F7C603"/>
    <w:rsid w:val="63027ABF"/>
    <w:rsid w:val="636D5768"/>
    <w:rsid w:val="6483FC94"/>
    <w:rsid w:val="65649F9F"/>
    <w:rsid w:val="67DDA4E4"/>
    <w:rsid w:val="6AA32873"/>
    <w:rsid w:val="6B528F08"/>
    <w:rsid w:val="6BDF07A0"/>
    <w:rsid w:val="6C96695A"/>
    <w:rsid w:val="6CE750C2"/>
    <w:rsid w:val="6E7F0D3D"/>
    <w:rsid w:val="6EF8ED79"/>
    <w:rsid w:val="6FEF7444"/>
    <w:rsid w:val="705CBB38"/>
    <w:rsid w:val="707FEB9B"/>
    <w:rsid w:val="7216C735"/>
    <w:rsid w:val="72A2CB46"/>
    <w:rsid w:val="73855CAB"/>
    <w:rsid w:val="752C90CB"/>
    <w:rsid w:val="75ED8128"/>
    <w:rsid w:val="76388DC6"/>
    <w:rsid w:val="791E317E"/>
    <w:rsid w:val="7A0A0070"/>
    <w:rsid w:val="7AAAF217"/>
    <w:rsid w:val="7B1F07C1"/>
    <w:rsid w:val="7DE86E2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0A"/>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nhideWhenUsed/>
    <w:qFormat/>
    <w:rsid w:val="009F30C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F30C1"/>
    <w:pPr>
      <w:keepNext/>
      <w:spacing w:before="0" w:after="240" w:line="312" w:lineRule="auto"/>
      <w:outlineLvl w:val="5"/>
    </w:pPr>
    <w:rPr>
      <w:rFonts w:ascii="Calibri" w:eastAsia="Times New Roman" w:hAnsi="Calibri" w:cs="Tahoma"/>
      <w:u w:val="single"/>
      <w:lang w:eastAsia="en-AU"/>
    </w:rPr>
  </w:style>
  <w:style w:type="paragraph" w:styleId="Heading7">
    <w:name w:val="heading 7"/>
    <w:basedOn w:val="Normal"/>
    <w:next w:val="Normal"/>
    <w:link w:val="Heading7Char"/>
    <w:rsid w:val="009F30C1"/>
    <w:pPr>
      <w:keepNext/>
      <w:spacing w:before="0" w:after="240" w:line="312" w:lineRule="auto"/>
      <w:outlineLvl w:val="6"/>
    </w:pPr>
    <w:rPr>
      <w:rFonts w:ascii="Calibri" w:eastAsia="Times New Roman" w:hAnsi="Calibri" w:cs="Tahoma"/>
      <w:i/>
      <w:lang w:eastAsia="en-AU"/>
    </w:rPr>
  </w:style>
  <w:style w:type="paragraph" w:styleId="Heading8">
    <w:name w:val="heading 8"/>
    <w:basedOn w:val="Normal"/>
    <w:next w:val="Normal"/>
    <w:link w:val="Heading8Char"/>
    <w:rsid w:val="009F30C1"/>
    <w:pPr>
      <w:keepNext/>
      <w:spacing w:before="0" w:after="240" w:line="312" w:lineRule="auto"/>
      <w:outlineLvl w:val="7"/>
    </w:pPr>
    <w:rPr>
      <w:rFonts w:ascii="Calibri" w:eastAsia="Times New Roman" w:hAnsi="Calibri" w:cs="Tahoma"/>
      <w:u w:val="single"/>
      <w:lang w:eastAsia="en-AU"/>
    </w:rPr>
  </w:style>
  <w:style w:type="paragraph" w:styleId="Heading9">
    <w:name w:val="heading 9"/>
    <w:basedOn w:val="Normal"/>
    <w:next w:val="Normal"/>
    <w:link w:val="Heading9Char"/>
    <w:rsid w:val="009F30C1"/>
    <w:pPr>
      <w:keepNext/>
      <w:spacing w:before="0" w:after="240" w:line="312" w:lineRule="auto"/>
      <w:outlineLvl w:val="8"/>
    </w:pPr>
    <w:rPr>
      <w:rFonts w:ascii="Calibri" w:eastAsia="Times New Roman" w:hAnsi="Calibri" w:cs="Tahom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99"/>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uiPriority w:val="99"/>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lgerian" w:hAnsi="Algerian"/>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ES Paragraph,PBAC ES Paragraph,BulletPoints,Numbered para,List Paragraph1,Body Text Bullet Points,Bullet point,List Paragraph11,Recommendation,Section heading,Footnote,Figure_name,Numbered Indented Text,Bullet- First level,List NUmber,lp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link w:val="TableNameChar"/>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uiPriority w:val="99"/>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qFormat/>
    <w:rsid w:val="00E1194E"/>
    <w:pPr>
      <w:tabs>
        <w:tab w:val="left" w:pos="992"/>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qFormat/>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qFormat/>
    <w:rsid w:val="00324435"/>
    <w:pPr>
      <w:tabs>
        <w:tab w:val="left" w:pos="1540"/>
        <w:tab w:val="right" w:leader="dot" w:pos="9016"/>
      </w:tabs>
      <w:spacing w:after="100" w:line="240" w:lineRule="auto"/>
      <w:ind w:left="720"/>
    </w:pPr>
    <w:rPr>
      <w:rFonts w:asciiTheme="minorHAnsi" w:hAnsiTheme="minorHAnsi"/>
    </w:rPr>
  </w:style>
  <w:style w:type="character" w:styleId="FollowedHyperlink">
    <w:name w:val="FollowedHyperlink"/>
    <w:basedOn w:val="DefaultParagraphFont"/>
    <w:uiPriority w:val="99"/>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ES Paragraph Char,PBAC ES Paragraph Char,BulletPoints Char,Numbered para Char,List Paragraph1 Char,Body Text Bullet Points Char,Bullet point Char,List Paragraph11 Char,Recommendation Char,Section heading Char,Footnote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Yu Gothic UI Semilight" w:hAnsi="@Yu Gothic UI Semiligh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Yu Gothic UI Semilight" w:hAnsi="@Yu Gothic UI Semiligh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Yu Gothic UI Semilight" w:hAnsi="@Yu Gothic UI Semiligh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9"/>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0"/>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4"/>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0">
    <w:name w:val="Unresolved Mention30"/>
    <w:basedOn w:val="DefaultParagraphFont"/>
    <w:uiPriority w:val="99"/>
    <w:semiHidden/>
    <w:unhideWhenUsed/>
    <w:rsid w:val="00AB5F8E"/>
    <w:rPr>
      <w:color w:val="605E5C"/>
      <w:shd w:val="clear" w:color="auto" w:fill="E1DFDD"/>
    </w:rPr>
  </w:style>
  <w:style w:type="paragraph" w:customStyle="1" w:styleId="EndNoteBibliographyTitle">
    <w:name w:val="EndNote Bibliography Title"/>
    <w:basedOn w:val="Normal"/>
    <w:link w:val="EndNoteBibliographyTitleChar"/>
    <w:rsid w:val="00EA3949"/>
    <w:pPr>
      <w:spacing w:after="0"/>
      <w:jc w:val="center"/>
    </w:pPr>
    <w:rPr>
      <w:noProof/>
      <w:lang w:val="en-US"/>
    </w:rPr>
  </w:style>
  <w:style w:type="character" w:customStyle="1" w:styleId="EndNoteBibliographyTitleChar">
    <w:name w:val="EndNote Bibliography Title Char"/>
    <w:basedOn w:val="TableTextChar"/>
    <w:link w:val="EndNoteBibliographyTitle"/>
    <w:rsid w:val="00EA3949"/>
    <w:rPr>
      <w:rFonts w:ascii="Franklin Gothic Book" w:hAnsi="Franklin Gothic Book"/>
      <w:noProof/>
      <w:sz w:val="20"/>
      <w:lang w:val="en-US"/>
    </w:rPr>
  </w:style>
  <w:style w:type="paragraph" w:customStyle="1" w:styleId="EndNoteBibliography">
    <w:name w:val="EndNote Bibliography"/>
    <w:basedOn w:val="Normal"/>
    <w:link w:val="EndNoteBibliographyChar"/>
    <w:rsid w:val="00EA3949"/>
    <w:pPr>
      <w:spacing w:line="240" w:lineRule="auto"/>
    </w:pPr>
    <w:rPr>
      <w:noProof/>
      <w:lang w:val="en-US"/>
    </w:rPr>
  </w:style>
  <w:style w:type="character" w:customStyle="1" w:styleId="EndNoteBibliographyChar">
    <w:name w:val="EndNote Bibliography Char"/>
    <w:basedOn w:val="TableTextChar"/>
    <w:link w:val="EndNoteBibliography"/>
    <w:rsid w:val="00EA3949"/>
    <w:rPr>
      <w:rFonts w:ascii="Franklin Gothic Book" w:hAnsi="Franklin Gothic Book"/>
      <w:noProof/>
      <w:sz w:val="20"/>
      <w:lang w:val="en-US"/>
    </w:rPr>
  </w:style>
  <w:style w:type="character" w:customStyle="1" w:styleId="Heading5Char">
    <w:name w:val="Heading 5 Char"/>
    <w:basedOn w:val="DefaultParagraphFont"/>
    <w:link w:val="Heading5"/>
    <w:rsid w:val="009F30C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9F30C1"/>
    <w:rPr>
      <w:rFonts w:ascii="Calibri" w:eastAsia="Times New Roman" w:hAnsi="Calibri" w:cs="Tahoma"/>
      <w:u w:val="single"/>
      <w:lang w:eastAsia="en-AU"/>
    </w:rPr>
  </w:style>
  <w:style w:type="character" w:customStyle="1" w:styleId="Heading7Char">
    <w:name w:val="Heading 7 Char"/>
    <w:basedOn w:val="DefaultParagraphFont"/>
    <w:link w:val="Heading7"/>
    <w:rsid w:val="009F30C1"/>
    <w:rPr>
      <w:rFonts w:ascii="Calibri" w:eastAsia="Times New Roman" w:hAnsi="Calibri" w:cs="Tahoma"/>
      <w:i/>
      <w:lang w:eastAsia="en-AU"/>
    </w:rPr>
  </w:style>
  <w:style w:type="character" w:customStyle="1" w:styleId="Heading8Char">
    <w:name w:val="Heading 8 Char"/>
    <w:basedOn w:val="DefaultParagraphFont"/>
    <w:link w:val="Heading8"/>
    <w:rsid w:val="009F30C1"/>
    <w:rPr>
      <w:rFonts w:ascii="Calibri" w:eastAsia="Times New Roman" w:hAnsi="Calibri" w:cs="Tahoma"/>
      <w:u w:val="single"/>
      <w:lang w:eastAsia="en-AU"/>
    </w:rPr>
  </w:style>
  <w:style w:type="character" w:customStyle="1" w:styleId="Heading9Char">
    <w:name w:val="Heading 9 Char"/>
    <w:basedOn w:val="DefaultParagraphFont"/>
    <w:link w:val="Heading9"/>
    <w:rsid w:val="009F30C1"/>
    <w:rPr>
      <w:rFonts w:ascii="Calibri" w:eastAsia="Times New Roman" w:hAnsi="Calibri" w:cs="Tahoma"/>
      <w:lang w:eastAsia="en-AU"/>
    </w:rPr>
  </w:style>
  <w:style w:type="paragraph" w:customStyle="1" w:styleId="Summaryboxtext">
    <w:name w:val="Summary box text"/>
    <w:basedOn w:val="Normal"/>
    <w:rsid w:val="009F30C1"/>
    <w:pPr>
      <w:spacing w:before="0" w:after="100" w:afterAutospacing="1" w:line="312" w:lineRule="auto"/>
    </w:pPr>
    <w:rPr>
      <w:rFonts w:ascii="Arial Narrow" w:eastAsia="Times New Roman" w:hAnsi="Arial Narrow" w:cs="Tahoma"/>
      <w:lang w:eastAsia="en-AU"/>
    </w:rPr>
  </w:style>
  <w:style w:type="paragraph" w:customStyle="1" w:styleId="Heading2a">
    <w:name w:val="Heading 2a"/>
    <w:basedOn w:val="Heading2"/>
    <w:rsid w:val="009F30C1"/>
    <w:pPr>
      <w:keepLines w:val="0"/>
      <w:numPr>
        <w:ilvl w:val="0"/>
        <w:numId w:val="0"/>
      </w:numPr>
      <w:spacing w:before="240" w:line="312" w:lineRule="auto"/>
      <w:outlineLvl w:val="9"/>
    </w:pPr>
    <w:rPr>
      <w:rFonts w:ascii="Calibri" w:eastAsia="Times New Roman" w:hAnsi="Calibri" w:cs="Tahoma"/>
      <w:b/>
      <w:smallCaps/>
      <w:color w:val="auto"/>
      <w:sz w:val="22"/>
      <w:szCs w:val="22"/>
      <w:lang w:eastAsia="en-AU"/>
    </w:rPr>
  </w:style>
  <w:style w:type="character" w:styleId="PageNumber">
    <w:name w:val="page number"/>
    <w:rsid w:val="009F30C1"/>
    <w:rPr>
      <w:rFonts w:ascii="Tahoma" w:hAnsi="Tahoma"/>
      <w:b/>
      <w:sz w:val="18"/>
    </w:rPr>
  </w:style>
  <w:style w:type="paragraph" w:styleId="TableofFigures">
    <w:name w:val="table of figures"/>
    <w:basedOn w:val="Normal"/>
    <w:next w:val="Normal"/>
    <w:uiPriority w:val="99"/>
    <w:rsid w:val="009F30C1"/>
    <w:pPr>
      <w:tabs>
        <w:tab w:val="left" w:pos="1800"/>
        <w:tab w:val="right" w:leader="dot" w:pos="9017"/>
      </w:tabs>
      <w:spacing w:before="0" w:after="120" w:line="312" w:lineRule="auto"/>
      <w:ind w:left="1800" w:right="720" w:hanging="1080"/>
    </w:pPr>
    <w:rPr>
      <w:rFonts w:ascii="Calibri" w:eastAsia="Times New Roman" w:hAnsi="Calibri" w:cs="Tahoma"/>
      <w:noProof/>
      <w:lang w:eastAsia="en-AU"/>
    </w:rPr>
  </w:style>
  <w:style w:type="character" w:customStyle="1" w:styleId="TableNameChar">
    <w:name w:val="TableName Char"/>
    <w:link w:val="TableName"/>
    <w:rsid w:val="009F30C1"/>
    <w:rPr>
      <w:rFonts w:ascii="Franklin Gothic Medium" w:hAnsi="Franklin Gothic Medium"/>
    </w:rPr>
  </w:style>
  <w:style w:type="paragraph" w:customStyle="1" w:styleId="TableNotes1">
    <w:name w:val="TableNotes"/>
    <w:basedOn w:val="TableText1"/>
    <w:link w:val="TableNotesChar1"/>
    <w:rsid w:val="009F30C1"/>
    <w:pPr>
      <w:keepNext w:val="0"/>
      <w:keepLines/>
      <w:spacing w:before="0" w:after="360" w:line="312" w:lineRule="auto"/>
      <w:ind w:left="720"/>
      <w:contextualSpacing/>
      <w:jc w:val="left"/>
    </w:pPr>
    <w:rPr>
      <w:sz w:val="16"/>
    </w:rPr>
  </w:style>
  <w:style w:type="character" w:customStyle="1" w:styleId="TableNotesChar1">
    <w:name w:val="TableNotes Char"/>
    <w:link w:val="TableNotes1"/>
    <w:rsid w:val="009F30C1"/>
    <w:rPr>
      <w:rFonts w:ascii="Arial Narrow" w:eastAsia="Times New Roman" w:hAnsi="Arial Narrow" w:cs="Tahoma"/>
      <w:sz w:val="16"/>
      <w:lang w:eastAsia="en-AU"/>
    </w:rPr>
  </w:style>
  <w:style w:type="paragraph" w:styleId="Quote">
    <w:name w:val="Quote"/>
    <w:basedOn w:val="Normal"/>
    <w:link w:val="QuoteChar"/>
    <w:rsid w:val="009F30C1"/>
    <w:pPr>
      <w:keepLines/>
      <w:spacing w:before="0" w:after="240" w:line="312" w:lineRule="auto"/>
      <w:ind w:left="1440" w:right="720"/>
    </w:pPr>
    <w:rPr>
      <w:rFonts w:ascii="Calibri" w:eastAsia="Times New Roman" w:hAnsi="Calibri" w:cs="Tahoma"/>
      <w:lang w:eastAsia="en-AU"/>
    </w:rPr>
  </w:style>
  <w:style w:type="character" w:customStyle="1" w:styleId="QuoteChar">
    <w:name w:val="Quote Char"/>
    <w:basedOn w:val="DefaultParagraphFont"/>
    <w:link w:val="Quote"/>
    <w:rsid w:val="009F30C1"/>
    <w:rPr>
      <w:rFonts w:ascii="Calibri" w:eastAsia="Times New Roman" w:hAnsi="Calibri" w:cs="Tahoma"/>
      <w:lang w:eastAsia="en-AU"/>
    </w:rPr>
  </w:style>
  <w:style w:type="paragraph" w:styleId="BodyText">
    <w:name w:val="Body Text"/>
    <w:basedOn w:val="Normal"/>
    <w:link w:val="BodyTextChar"/>
    <w:rsid w:val="009F30C1"/>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9F30C1"/>
    <w:rPr>
      <w:rFonts w:ascii="Helv" w:eastAsia="Times New Roman" w:hAnsi="Helv" w:cs="Tahoma"/>
      <w:b/>
      <w:i/>
      <w:snapToGrid w:val="0"/>
      <w:color w:val="000000"/>
      <w:sz w:val="28"/>
    </w:rPr>
  </w:style>
  <w:style w:type="paragraph" w:customStyle="1" w:styleId="Boxname0">
    <w:name w:val="Box name"/>
    <w:basedOn w:val="TableName"/>
    <w:link w:val="BoxnameChar"/>
    <w:rsid w:val="009F30C1"/>
    <w:pPr>
      <w:spacing w:before="40" w:after="40" w:line="312" w:lineRule="auto"/>
      <w:ind w:left="1440" w:hanging="720"/>
    </w:pPr>
    <w:rPr>
      <w:rFonts w:ascii="Arial Narrow" w:eastAsia="Times New Roman" w:hAnsi="Arial Narrow" w:cs="Tahoma"/>
      <w:b/>
      <w:sz w:val="20"/>
      <w:lang w:eastAsia="en-AU"/>
    </w:rPr>
  </w:style>
  <w:style w:type="character" w:customStyle="1" w:styleId="BoxnameChar">
    <w:name w:val="Box name Char"/>
    <w:basedOn w:val="TableNameChar"/>
    <w:link w:val="Boxname0"/>
    <w:rsid w:val="009F30C1"/>
    <w:rPr>
      <w:rFonts w:ascii="Arial Narrow" w:eastAsia="Times New Roman" w:hAnsi="Arial Narrow" w:cs="Tahoma"/>
      <w:b/>
      <w:sz w:val="20"/>
      <w:lang w:eastAsia="en-AU"/>
    </w:rPr>
  </w:style>
  <w:style w:type="paragraph" w:customStyle="1" w:styleId="StyleTableTextArialNarrowFirstline045cm">
    <w:name w:val="Style Table Text + Arial Narrow First line:  0.45 cm"/>
    <w:basedOn w:val="TableText"/>
    <w:rsid w:val="009F30C1"/>
    <w:pPr>
      <w:keepNext/>
      <w:spacing w:after="360"/>
      <w:ind w:firstLine="720"/>
    </w:pPr>
    <w:rPr>
      <w:rFonts w:eastAsia="Times New Roman" w:cs="Tahoma"/>
    </w:rPr>
  </w:style>
  <w:style w:type="paragraph" w:customStyle="1" w:styleId="TableNamea">
    <w:name w:val="Table Name(a)"/>
    <w:basedOn w:val="Normal"/>
    <w:rsid w:val="009F30C1"/>
    <w:pPr>
      <w:keepNext/>
      <w:spacing w:after="120" w:line="312" w:lineRule="auto"/>
      <w:ind w:left="1077" w:hanging="1077"/>
    </w:pPr>
    <w:rPr>
      <w:rFonts w:ascii="Arial" w:eastAsia="Times New Roman" w:hAnsi="Arial" w:cs="Tahoma"/>
      <w:b/>
      <w:sz w:val="20"/>
    </w:rPr>
  </w:style>
  <w:style w:type="paragraph" w:styleId="DocumentMap">
    <w:name w:val="Document Map"/>
    <w:basedOn w:val="Normal"/>
    <w:link w:val="DocumentMapChar"/>
    <w:rsid w:val="009F30C1"/>
    <w:pPr>
      <w:spacing w:before="0" w:after="240" w:line="312" w:lineRule="auto"/>
    </w:pPr>
    <w:rPr>
      <w:rFonts w:ascii="Calibri" w:eastAsia="Times New Roman" w:hAnsi="Calibri" w:cs="Tahoma"/>
      <w:sz w:val="16"/>
      <w:szCs w:val="16"/>
      <w:lang w:eastAsia="en-AU"/>
    </w:rPr>
  </w:style>
  <w:style w:type="character" w:customStyle="1" w:styleId="DocumentMapChar">
    <w:name w:val="Document Map Char"/>
    <w:basedOn w:val="DefaultParagraphFont"/>
    <w:link w:val="DocumentMap"/>
    <w:rsid w:val="009F30C1"/>
    <w:rPr>
      <w:rFonts w:ascii="Calibri" w:eastAsia="Times New Roman" w:hAnsi="Calibri" w:cs="Tahoma"/>
      <w:sz w:val="16"/>
      <w:szCs w:val="16"/>
      <w:lang w:eastAsia="en-AU"/>
    </w:rPr>
  </w:style>
  <w:style w:type="paragraph" w:customStyle="1" w:styleId="figureheading">
    <w:name w:val="figure heading"/>
    <w:basedOn w:val="Normal"/>
    <w:rsid w:val="009F30C1"/>
    <w:pPr>
      <w:keepNext/>
      <w:spacing w:after="120" w:line="312" w:lineRule="auto"/>
      <w:ind w:left="1077" w:hanging="1077"/>
    </w:pPr>
    <w:rPr>
      <w:rFonts w:ascii="Arial" w:eastAsia="Times New Roman" w:hAnsi="Arial" w:cs="Tahoma"/>
      <w:b/>
      <w:sz w:val="20"/>
    </w:rPr>
  </w:style>
  <w:style w:type="paragraph" w:customStyle="1" w:styleId="Figure">
    <w:name w:val="Figure"/>
    <w:basedOn w:val="TableName"/>
    <w:rsid w:val="009F30C1"/>
    <w:pPr>
      <w:spacing w:after="120" w:line="312" w:lineRule="auto"/>
      <w:ind w:left="1800" w:hanging="1080"/>
    </w:pPr>
    <w:rPr>
      <w:rFonts w:ascii="Arial Narrow" w:eastAsia="Times New Roman" w:hAnsi="Arial Narrow" w:cs="Tahoma"/>
      <w:b/>
      <w:sz w:val="20"/>
      <w:lang w:eastAsia="en-AU"/>
    </w:rPr>
  </w:style>
  <w:style w:type="paragraph" w:styleId="NormalWeb">
    <w:name w:val="Normal (Web)"/>
    <w:basedOn w:val="Normal"/>
    <w:uiPriority w:val="99"/>
    <w:rsid w:val="009F30C1"/>
    <w:pPr>
      <w:spacing w:before="100" w:beforeAutospacing="1" w:after="100" w:afterAutospacing="1" w:line="312" w:lineRule="auto"/>
    </w:pPr>
    <w:rPr>
      <w:rFonts w:ascii="Times New Roman" w:eastAsia="Times New Roman" w:hAnsi="Times New Roman" w:cs="Tahoma"/>
      <w:color w:val="000000"/>
      <w:szCs w:val="24"/>
      <w:lang w:val="en-US"/>
    </w:rPr>
  </w:style>
  <w:style w:type="paragraph" w:customStyle="1" w:styleId="Equation">
    <w:name w:val="Equation"/>
    <w:basedOn w:val="Header"/>
    <w:rsid w:val="009F30C1"/>
    <w:pPr>
      <w:tabs>
        <w:tab w:val="clear" w:pos="4513"/>
        <w:tab w:val="clear" w:pos="9026"/>
      </w:tabs>
      <w:spacing w:before="0" w:after="240" w:line="312" w:lineRule="auto"/>
    </w:pPr>
    <w:rPr>
      <w:rFonts w:ascii="Arial Narrow" w:eastAsia="Times New Roman" w:hAnsi="Arial Narrow" w:cs="Tahoma"/>
      <w:sz w:val="20"/>
      <w:lang w:eastAsia="en-AU"/>
    </w:rPr>
  </w:style>
  <w:style w:type="paragraph" w:customStyle="1" w:styleId="AHTAaddresslines">
    <w:name w:val="AHTA address lines"/>
    <w:basedOn w:val="PlainText"/>
    <w:rsid w:val="009F30C1"/>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9F30C1"/>
    <w:pPr>
      <w:spacing w:before="0" w:after="0" w:line="312"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9F30C1"/>
    <w:rPr>
      <w:rFonts w:ascii="Courier New" w:eastAsia="Times New Roman" w:hAnsi="Courier New" w:cs="Courier New"/>
      <w:sz w:val="20"/>
    </w:rPr>
  </w:style>
  <w:style w:type="character" w:customStyle="1" w:styleId="regulartext">
    <w:name w:val="regulartext"/>
    <w:basedOn w:val="DefaultParagraphFont"/>
    <w:rsid w:val="009F30C1"/>
  </w:style>
  <w:style w:type="paragraph" w:customStyle="1" w:styleId="bodytext0">
    <w:name w:val="bodytext"/>
    <w:basedOn w:val="Normal"/>
    <w:rsid w:val="009F30C1"/>
    <w:pPr>
      <w:spacing w:before="100" w:beforeAutospacing="1" w:after="100" w:afterAutospacing="1" w:line="312" w:lineRule="auto"/>
    </w:pPr>
    <w:rPr>
      <w:rFonts w:ascii="Times New Roman" w:eastAsia="Times New Roman" w:hAnsi="Times New Roman" w:cs="Tahoma"/>
      <w:szCs w:val="24"/>
      <w:lang w:eastAsia="en-AU"/>
    </w:rPr>
  </w:style>
  <w:style w:type="character" w:customStyle="1" w:styleId="mainsubheader1">
    <w:name w:val="mainsubheader1"/>
    <w:rsid w:val="009F30C1"/>
    <w:rPr>
      <w:b/>
      <w:bCs/>
    </w:rPr>
  </w:style>
  <w:style w:type="paragraph" w:customStyle="1" w:styleId="Bullet12">
    <w:name w:val="Bullet+12"/>
    <w:basedOn w:val="Normal"/>
    <w:rsid w:val="009F30C1"/>
    <w:pPr>
      <w:tabs>
        <w:tab w:val="num" w:pos="357"/>
      </w:tabs>
      <w:spacing w:before="0" w:after="240" w:line="312" w:lineRule="auto"/>
      <w:ind w:left="357" w:hanging="357"/>
    </w:pPr>
    <w:rPr>
      <w:rFonts w:ascii="Times New Roman" w:eastAsia="Times New Roman" w:hAnsi="Times New Roman" w:cs="Tahoma"/>
    </w:rPr>
  </w:style>
  <w:style w:type="paragraph" w:customStyle="1" w:styleId="Bullet6">
    <w:name w:val="Bullet+6"/>
    <w:basedOn w:val="Normal"/>
    <w:rsid w:val="009F30C1"/>
    <w:pPr>
      <w:tabs>
        <w:tab w:val="num" w:pos="578"/>
      </w:tabs>
      <w:spacing w:before="0" w:after="0" w:line="312" w:lineRule="auto"/>
      <w:ind w:left="578" w:hanging="360"/>
    </w:pPr>
    <w:rPr>
      <w:rFonts w:ascii="Times New Roman" w:eastAsia="Times New Roman" w:hAnsi="Times New Roman" w:cs="Tahoma"/>
      <w:szCs w:val="24"/>
      <w:lang w:eastAsia="en-AU"/>
    </w:rPr>
  </w:style>
  <w:style w:type="paragraph" w:customStyle="1" w:styleId="Default">
    <w:name w:val="Default"/>
    <w:rsid w:val="009F30C1"/>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Classic1">
    <w:name w:val="Table Classic 1"/>
    <w:basedOn w:val="TableNormal"/>
    <w:rsid w:val="009F30C1"/>
    <w:pPr>
      <w:spacing w:after="240" w:line="312"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9F30C1"/>
    <w:pPr>
      <w:spacing w:before="0"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F30C1"/>
    <w:rPr>
      <w:rFonts w:ascii="Times New Roman" w:eastAsia="Times New Roman" w:hAnsi="Times New Roman" w:cs="Times New Roman"/>
      <w:sz w:val="20"/>
      <w:szCs w:val="20"/>
    </w:rPr>
  </w:style>
  <w:style w:type="paragraph" w:customStyle="1" w:styleId="Style1">
    <w:name w:val="Style1"/>
    <w:basedOn w:val="Normal"/>
    <w:rsid w:val="009F30C1"/>
    <w:pPr>
      <w:tabs>
        <w:tab w:val="left" w:pos="720"/>
      </w:tabs>
      <w:spacing w:before="0" w:after="0" w:line="240" w:lineRule="auto"/>
    </w:pPr>
    <w:rPr>
      <w:rFonts w:ascii="Bookman Old Style" w:eastAsia="Times New Roman" w:hAnsi="Bookman Old Style" w:cs="Times New Roman"/>
      <w:sz w:val="20"/>
      <w:szCs w:val="20"/>
      <w:lang w:val="en-US"/>
    </w:rPr>
  </w:style>
  <w:style w:type="character" w:customStyle="1" w:styleId="st1">
    <w:name w:val="st1"/>
    <w:basedOn w:val="DefaultParagraphFont"/>
    <w:rsid w:val="009F30C1"/>
  </w:style>
  <w:style w:type="paragraph" w:customStyle="1" w:styleId="desc">
    <w:name w:val="desc"/>
    <w:basedOn w:val="Normal"/>
    <w:rsid w:val="009F30C1"/>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tails">
    <w:name w:val="details"/>
    <w:basedOn w:val="Normal"/>
    <w:rsid w:val="009F30C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jrnl">
    <w:name w:val="jrnl"/>
    <w:basedOn w:val="DefaultParagraphFont"/>
    <w:rsid w:val="009F30C1"/>
  </w:style>
  <w:style w:type="character" w:customStyle="1" w:styleId="A5">
    <w:name w:val="A5"/>
    <w:uiPriority w:val="99"/>
    <w:rsid w:val="009F30C1"/>
    <w:rPr>
      <w:rFonts w:cs="Humanist 77 7 BT"/>
      <w:color w:val="000000"/>
      <w:sz w:val="11"/>
      <w:szCs w:val="11"/>
    </w:rPr>
  </w:style>
  <w:style w:type="character" w:customStyle="1" w:styleId="highlight">
    <w:name w:val="highlight"/>
    <w:basedOn w:val="DefaultParagraphFont"/>
    <w:rsid w:val="009F30C1"/>
  </w:style>
  <w:style w:type="paragraph" w:customStyle="1" w:styleId="ESSectionHeading-numbered0">
    <w:name w:val="ES. Section Heading - numbered"/>
    <w:basedOn w:val="Heading3"/>
    <w:link w:val="ESSectionHeading-numberedChar"/>
    <w:rsid w:val="009F30C1"/>
    <w:pPr>
      <w:keepLines w:val="0"/>
      <w:numPr>
        <w:numId w:val="23"/>
      </w:numPr>
      <w:tabs>
        <w:tab w:val="clear" w:pos="851"/>
      </w:tabs>
      <w:spacing w:before="240" w:after="120" w:line="312" w:lineRule="auto"/>
    </w:pPr>
    <w:rPr>
      <w:rFonts w:ascii="Calibri" w:eastAsia="Times New Roman" w:hAnsi="Calibri" w:cs="Tahoma"/>
      <w:b/>
      <w:smallCaps/>
      <w:lang w:eastAsia="en-AU"/>
    </w:rPr>
  </w:style>
  <w:style w:type="paragraph" w:customStyle="1" w:styleId="MainBodySectionHeading-numbered">
    <w:name w:val="Main Body Section Heading - numbered"/>
    <w:basedOn w:val="Heading2"/>
    <w:link w:val="MainBodySectionHeading-numberedChar"/>
    <w:rsid w:val="009F30C1"/>
    <w:pPr>
      <w:keepLines w:val="0"/>
      <w:numPr>
        <w:ilvl w:val="0"/>
        <w:numId w:val="22"/>
      </w:numPr>
      <w:spacing w:before="240" w:line="312" w:lineRule="auto"/>
    </w:pPr>
    <w:rPr>
      <w:rFonts w:ascii="Calibri" w:eastAsia="Times New Roman" w:hAnsi="Calibri" w:cs="Tahoma"/>
      <w:b/>
      <w:smallCaps/>
      <w:sz w:val="28"/>
      <w:lang w:eastAsia="en-AU"/>
    </w:rPr>
  </w:style>
  <w:style w:type="character" w:customStyle="1" w:styleId="ESSectionHeading-numberedChar">
    <w:name w:val="ES. Section Heading - numbered Char"/>
    <w:basedOn w:val="Heading3Char"/>
    <w:link w:val="ESSectionHeading-numbered0"/>
    <w:rsid w:val="009F30C1"/>
    <w:rPr>
      <w:rFonts w:ascii="Calibri" w:eastAsia="Times New Roman" w:hAnsi="Calibri" w:cs="Tahoma"/>
      <w:b/>
      <w:smallCaps/>
      <w:sz w:val="24"/>
      <w:szCs w:val="24"/>
      <w:lang w:eastAsia="en-AU"/>
    </w:rPr>
  </w:style>
  <w:style w:type="character" w:customStyle="1" w:styleId="MainBodySectionHeading-numberedChar">
    <w:name w:val="Main Body Section Heading - numbered Char"/>
    <w:basedOn w:val="Heading2Char"/>
    <w:link w:val="MainBodySectionHeading-numbered"/>
    <w:rsid w:val="009F30C1"/>
    <w:rPr>
      <w:rFonts w:ascii="Calibri" w:eastAsia="Times New Roman" w:hAnsi="Calibri" w:cs="Tahoma"/>
      <w:b/>
      <w:smallCaps/>
      <w:color w:val="000000" w:themeColor="text1"/>
      <w:sz w:val="28"/>
      <w:szCs w:val="26"/>
      <w:lang w:eastAsia="en-AU"/>
    </w:rPr>
  </w:style>
  <w:style w:type="paragraph" w:customStyle="1" w:styleId="ESNumberedSectionHeading">
    <w:name w:val="ES Numbered Section Heading"/>
    <w:basedOn w:val="ESSectionHeading-numbered0"/>
    <w:link w:val="ESNumberedSectionHeadingChar"/>
    <w:qFormat/>
    <w:rsid w:val="009F30C1"/>
    <w:pPr>
      <w:numPr>
        <w:numId w:val="24"/>
      </w:numPr>
    </w:pPr>
  </w:style>
  <w:style w:type="character" w:customStyle="1" w:styleId="ESNumberedSectionHeadingChar">
    <w:name w:val="ES Numbered Section Heading Char"/>
    <w:basedOn w:val="ESSectionHeading-numberedChar"/>
    <w:link w:val="ESNumberedSectionHeading"/>
    <w:rsid w:val="009F30C1"/>
    <w:rPr>
      <w:rFonts w:ascii="Calibri" w:eastAsia="Times New Roman" w:hAnsi="Calibri" w:cs="Tahoma"/>
      <w:b/>
      <w:smallCaps/>
      <w:sz w:val="24"/>
      <w:szCs w:val="24"/>
      <w:lang w:eastAsia="en-AU"/>
    </w:rPr>
  </w:style>
  <w:style w:type="paragraph" w:customStyle="1" w:styleId="TableNotes18">
    <w:name w:val="TableNotes+18"/>
    <w:basedOn w:val="TableText1"/>
    <w:uiPriority w:val="99"/>
    <w:rsid w:val="009F30C1"/>
    <w:pPr>
      <w:keepNext w:val="0"/>
      <w:keepLines/>
      <w:spacing w:before="0" w:after="360" w:line="240" w:lineRule="auto"/>
      <w:ind w:left="720"/>
      <w:jc w:val="left"/>
    </w:pPr>
    <w:rPr>
      <w:rFonts w:cs="Times New Roman"/>
      <w:color w:val="000000"/>
      <w:szCs w:val="21"/>
    </w:rPr>
  </w:style>
  <w:style w:type="paragraph" w:customStyle="1" w:styleId="TableNotes00">
    <w:name w:val="TableNotes+0"/>
    <w:basedOn w:val="TableNotes18"/>
    <w:uiPriority w:val="99"/>
    <w:rsid w:val="009F30C1"/>
    <w:pPr>
      <w:keepNext/>
      <w:spacing w:after="0"/>
    </w:pPr>
  </w:style>
  <w:style w:type="paragraph" w:customStyle="1" w:styleId="TFAbbrevs0">
    <w:name w:val="TFAbbrevs+0"/>
    <w:basedOn w:val="Normal"/>
    <w:qFormat/>
    <w:rsid w:val="009F30C1"/>
    <w:pPr>
      <w:keepNext/>
      <w:keepLines/>
      <w:spacing w:before="0" w:after="0" w:line="240" w:lineRule="auto"/>
    </w:pPr>
    <w:rPr>
      <w:rFonts w:ascii="Arial Narrow" w:eastAsia="Times New Roman" w:hAnsi="Arial Narrow" w:cs="Times New Roman"/>
      <w:color w:val="000000"/>
      <w:sz w:val="18"/>
      <w:szCs w:val="18"/>
      <w:lang w:eastAsia="en-AU"/>
    </w:rPr>
  </w:style>
  <w:style w:type="paragraph" w:customStyle="1" w:styleId="TFAbbrevs18">
    <w:name w:val="TFAbbrevs+18"/>
    <w:basedOn w:val="TFAbbrevs0"/>
    <w:next w:val="Normal"/>
    <w:qFormat/>
    <w:rsid w:val="009F30C1"/>
    <w:pPr>
      <w:spacing w:after="360"/>
    </w:pPr>
  </w:style>
  <w:style w:type="character" w:customStyle="1" w:styleId="TabletextChar10">
    <w:name w:val="Table text Char1"/>
    <w:basedOn w:val="DefaultParagraphFont"/>
    <w:rsid w:val="009F30C1"/>
    <w:rPr>
      <w:rFonts w:ascii="Arial" w:eastAsia="Times New Roman" w:hAnsi="Arial" w:cs="Times New Roman"/>
      <w:sz w:val="20"/>
      <w:szCs w:val="20"/>
      <w:lang w:eastAsia="en-US"/>
    </w:rPr>
  </w:style>
  <w:style w:type="paragraph" w:customStyle="1" w:styleId="BoxName1">
    <w:name w:val="BoxName"/>
    <w:basedOn w:val="Normal"/>
    <w:rsid w:val="009F30C1"/>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eastAsia="Times New Roman" w:hAnsi="Arial Narrow" w:cs="Times New Roman"/>
      <w:b/>
      <w:bCs/>
      <w:color w:val="000000"/>
      <w:szCs w:val="20"/>
      <w:lang w:eastAsia="en-AU"/>
    </w:rPr>
  </w:style>
  <w:style w:type="character" w:styleId="IntenseReference">
    <w:name w:val="Intense Reference"/>
    <w:uiPriority w:val="32"/>
    <w:qFormat/>
    <w:rsid w:val="009F30C1"/>
    <w:rPr>
      <w:b/>
      <w:bCs/>
      <w:smallCaps/>
    </w:rPr>
  </w:style>
  <w:style w:type="table" w:customStyle="1" w:styleId="TableGrid3">
    <w:name w:val="Table Grid3"/>
    <w:basedOn w:val="TableNormal"/>
    <w:next w:val="TableGrid"/>
    <w:uiPriority w:val="59"/>
    <w:rsid w:val="009F30C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30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it-disclaimer">
    <w:name w:val="exit-disclaimer"/>
    <w:basedOn w:val="DefaultParagraphFont"/>
    <w:rsid w:val="009F30C1"/>
  </w:style>
  <w:style w:type="character" w:customStyle="1" w:styleId="UnresolvedMention3">
    <w:name w:val="Unresolved Mention3"/>
    <w:basedOn w:val="DefaultParagraphFont"/>
    <w:uiPriority w:val="99"/>
    <w:semiHidden/>
    <w:unhideWhenUsed/>
    <w:rsid w:val="009F30C1"/>
    <w:rPr>
      <w:color w:val="605E5C"/>
      <w:shd w:val="clear" w:color="auto" w:fill="E1DFDD"/>
    </w:rPr>
  </w:style>
  <w:style w:type="character" w:styleId="PlaceholderText">
    <w:name w:val="Placeholder Text"/>
    <w:basedOn w:val="DefaultParagraphFont"/>
    <w:uiPriority w:val="99"/>
    <w:semiHidden/>
    <w:rsid w:val="009F30C1"/>
    <w:rPr>
      <w:color w:val="808080"/>
    </w:rPr>
  </w:style>
  <w:style w:type="character" w:customStyle="1" w:styleId="UnresolvedMention4">
    <w:name w:val="Unresolved Mention4"/>
    <w:basedOn w:val="DefaultParagraphFont"/>
    <w:uiPriority w:val="99"/>
    <w:semiHidden/>
    <w:unhideWhenUsed/>
    <w:rsid w:val="009F30C1"/>
    <w:rPr>
      <w:color w:val="605E5C"/>
      <w:shd w:val="clear" w:color="auto" w:fill="E1DFDD"/>
    </w:rPr>
  </w:style>
  <w:style w:type="character" w:styleId="EndnoteReference">
    <w:name w:val="endnote reference"/>
    <w:basedOn w:val="DefaultParagraphFont"/>
    <w:semiHidden/>
    <w:unhideWhenUsed/>
    <w:rsid w:val="009F30C1"/>
    <w:rPr>
      <w:vertAlign w:val="superscript"/>
    </w:rPr>
  </w:style>
  <w:style w:type="table" w:customStyle="1" w:styleId="TableGrid5">
    <w:name w:val="Table Grid5"/>
    <w:basedOn w:val="TableNormal"/>
    <w:next w:val="TableGrid"/>
    <w:uiPriority w:val="39"/>
    <w:rsid w:val="009F30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Heading1"/>
    <w:qFormat/>
    <w:rsid w:val="009F30C1"/>
    <w:pPr>
      <w:keepLines w:val="0"/>
      <w:pageBreakBefore/>
      <w:numPr>
        <w:numId w:val="25"/>
      </w:numPr>
      <w:spacing w:before="0" w:after="360" w:line="312" w:lineRule="auto"/>
      <w:jc w:val="both"/>
    </w:pPr>
    <w:rPr>
      <w:rFonts w:ascii="Calibri" w:eastAsia="Times New Roman" w:hAnsi="Calibri" w:cs="Tahoma"/>
      <w:b/>
      <w:smallCaps/>
      <w:szCs w:val="22"/>
      <w:lang w:eastAsia="en-AU"/>
    </w:rPr>
  </w:style>
  <w:style w:type="paragraph" w:customStyle="1" w:styleId="pf0">
    <w:name w:val="pf0"/>
    <w:basedOn w:val="Normal"/>
    <w:rsid w:val="009F30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9F30C1"/>
    <w:rPr>
      <w:rFonts w:ascii="Segoe UI" w:hAnsi="Segoe UI" w:cs="Segoe UI" w:hint="default"/>
      <w:sz w:val="18"/>
      <w:szCs w:val="18"/>
    </w:rPr>
  </w:style>
  <w:style w:type="paragraph" w:customStyle="1" w:styleId="msonormal0">
    <w:name w:val="msonormal"/>
    <w:basedOn w:val="Normal"/>
    <w:rsid w:val="00D253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D2538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AU"/>
    </w:rPr>
  </w:style>
  <w:style w:type="paragraph" w:customStyle="1" w:styleId="xl73">
    <w:name w:val="xl73"/>
    <w:basedOn w:val="Normal"/>
    <w:rsid w:val="00D253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4">
    <w:name w:val="xl74"/>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5">
    <w:name w:val="xl75"/>
    <w:basedOn w:val="Normal"/>
    <w:rsid w:val="00D2538D"/>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76">
    <w:name w:val="xl76"/>
    <w:basedOn w:val="Normal"/>
    <w:rsid w:val="00D2538D"/>
    <w:pPr>
      <w:pBdr>
        <w:lef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77">
    <w:name w:val="xl77"/>
    <w:basedOn w:val="Normal"/>
    <w:rsid w:val="00D2538D"/>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8">
    <w:name w:val="xl78"/>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79">
    <w:name w:val="xl79"/>
    <w:basedOn w:val="Normal"/>
    <w:rsid w:val="00D2538D"/>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0">
    <w:name w:val="xl80"/>
    <w:basedOn w:val="Normal"/>
    <w:rsid w:val="00D2538D"/>
    <w:pPr>
      <w:pBdr>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1">
    <w:name w:val="xl81"/>
    <w:basedOn w:val="Normal"/>
    <w:rsid w:val="00D2538D"/>
    <w:pPr>
      <w:pBdr>
        <w:lef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2">
    <w:name w:val="xl82"/>
    <w:basedOn w:val="Normal"/>
    <w:rsid w:val="00D2538D"/>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83">
    <w:name w:val="xl83"/>
    <w:basedOn w:val="Normal"/>
    <w:rsid w:val="00D2538D"/>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4">
    <w:name w:val="xl84"/>
    <w:basedOn w:val="Normal"/>
    <w:rsid w:val="00D253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85">
    <w:name w:val="xl85"/>
    <w:basedOn w:val="Normal"/>
    <w:rsid w:val="00D253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86">
    <w:name w:val="xl86"/>
    <w:basedOn w:val="Normal"/>
    <w:rsid w:val="00D2538D"/>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7">
    <w:name w:val="xl87"/>
    <w:basedOn w:val="Normal"/>
    <w:rsid w:val="00D253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8">
    <w:name w:val="xl88"/>
    <w:basedOn w:val="Normal"/>
    <w:rsid w:val="00D2538D"/>
    <w:pPr>
      <w:pBdr>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89">
    <w:name w:val="xl89"/>
    <w:basedOn w:val="Normal"/>
    <w:rsid w:val="00D253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90">
    <w:name w:val="xl90"/>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1">
    <w:name w:val="xl91"/>
    <w:basedOn w:val="Normal"/>
    <w:rsid w:val="00D2538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2">
    <w:name w:val="xl92"/>
    <w:basedOn w:val="Normal"/>
    <w:rsid w:val="00D2538D"/>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3">
    <w:name w:val="xl93"/>
    <w:basedOn w:val="Normal"/>
    <w:rsid w:val="00D2538D"/>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4">
    <w:name w:val="xl94"/>
    <w:basedOn w:val="Normal"/>
    <w:rsid w:val="00D2538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n-AU"/>
    </w:rPr>
  </w:style>
  <w:style w:type="paragraph" w:customStyle="1" w:styleId="xl95">
    <w:name w:val="xl95"/>
    <w:basedOn w:val="Normal"/>
    <w:rsid w:val="00D253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6">
    <w:name w:val="xl96"/>
    <w:basedOn w:val="Normal"/>
    <w:rsid w:val="00D253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97">
    <w:name w:val="xl97"/>
    <w:basedOn w:val="Normal"/>
    <w:rsid w:val="00D2538D"/>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8">
    <w:name w:val="xl98"/>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99">
    <w:name w:val="xl99"/>
    <w:basedOn w:val="Normal"/>
    <w:rsid w:val="00D253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00">
    <w:name w:val="xl100"/>
    <w:basedOn w:val="Normal"/>
    <w:rsid w:val="00D253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01">
    <w:name w:val="xl101"/>
    <w:basedOn w:val="Normal"/>
    <w:rsid w:val="00D2538D"/>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2">
    <w:name w:val="xl102"/>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3">
    <w:name w:val="xl103"/>
    <w:basedOn w:val="Normal"/>
    <w:rsid w:val="00D2538D"/>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4">
    <w:name w:val="xl104"/>
    <w:basedOn w:val="Normal"/>
    <w:rsid w:val="00D2538D"/>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5">
    <w:name w:val="xl105"/>
    <w:basedOn w:val="Normal"/>
    <w:rsid w:val="00D2538D"/>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6">
    <w:name w:val="xl106"/>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7">
    <w:name w:val="xl107"/>
    <w:basedOn w:val="Normal"/>
    <w:rsid w:val="00D2538D"/>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08">
    <w:name w:val="xl108"/>
    <w:basedOn w:val="Normal"/>
    <w:rsid w:val="00D2538D"/>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109">
    <w:name w:val="xl109"/>
    <w:basedOn w:val="Normal"/>
    <w:rsid w:val="00D2538D"/>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AU"/>
    </w:rPr>
  </w:style>
  <w:style w:type="paragraph" w:customStyle="1" w:styleId="xl110">
    <w:name w:val="xl110"/>
    <w:basedOn w:val="Normal"/>
    <w:rsid w:val="00D253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11">
    <w:name w:val="xl111"/>
    <w:basedOn w:val="Normal"/>
    <w:rsid w:val="00D253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AU"/>
    </w:rPr>
  </w:style>
  <w:style w:type="paragraph" w:customStyle="1" w:styleId="xl112">
    <w:name w:val="xl112"/>
    <w:basedOn w:val="Normal"/>
    <w:rsid w:val="00D2538D"/>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xl113">
    <w:name w:val="xl113"/>
    <w:basedOn w:val="Normal"/>
    <w:rsid w:val="00D2538D"/>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AU"/>
    </w:rPr>
  </w:style>
  <w:style w:type="paragraph" w:customStyle="1" w:styleId="TableHEADER">
    <w:name w:val="Table HEADER"/>
    <w:basedOn w:val="Normal"/>
    <w:qFormat/>
    <w:rsid w:val="00CE0FAA"/>
    <w:pPr>
      <w:spacing w:after="120" w:line="240" w:lineRule="auto"/>
      <w:ind w:right="82"/>
    </w:pPr>
    <w:rPr>
      <w:rFonts w:ascii="Calibri" w:hAnsi="Calibri" w:cs="Tahoma"/>
      <w:b/>
      <w:sz w:val="20"/>
      <w:szCs w:val="20"/>
      <w:lang w:eastAsia="en-AU"/>
    </w:rPr>
  </w:style>
  <w:style w:type="paragraph" w:customStyle="1" w:styleId="AppendixHeader1">
    <w:name w:val="Appendix Header 1"/>
    <w:basedOn w:val="Heading1"/>
    <w:link w:val="AppendixHeader1Char"/>
    <w:qFormat/>
    <w:rsid w:val="00CE0FAA"/>
    <w:pPr>
      <w:numPr>
        <w:numId w:val="43"/>
      </w:numPr>
      <w:tabs>
        <w:tab w:val="left" w:pos="2835"/>
      </w:tabs>
    </w:pPr>
  </w:style>
  <w:style w:type="character" w:customStyle="1" w:styleId="AppendixHeader1Char">
    <w:name w:val="Appendix Header 1 Char"/>
    <w:basedOn w:val="Heading1Char"/>
    <w:link w:val="AppendixHeader1"/>
    <w:rsid w:val="00CE0FAA"/>
    <w:rPr>
      <w:rFonts w:ascii="Franklin Gothic Medium" w:eastAsiaTheme="majorEastAsia" w:hAnsi="Franklin Gothic Medium" w:cstheme="majorBidi"/>
      <w:sz w:val="44"/>
      <w:szCs w:val="32"/>
    </w:rPr>
  </w:style>
  <w:style w:type="character" w:customStyle="1" w:styleId="Mention1">
    <w:name w:val="Mention1"/>
    <w:basedOn w:val="DefaultParagraphFont"/>
    <w:uiPriority w:val="99"/>
    <w:unhideWhenUsed/>
    <w:rsid w:val="00F9333A"/>
    <w:rPr>
      <w:color w:val="2B579A"/>
      <w:shd w:val="clear" w:color="auto" w:fill="E1DFDD"/>
    </w:rPr>
  </w:style>
  <w:style w:type="character" w:customStyle="1" w:styleId="UnresolvedMention5">
    <w:name w:val="Unresolved Mention5"/>
    <w:basedOn w:val="DefaultParagraphFont"/>
    <w:uiPriority w:val="99"/>
    <w:semiHidden/>
    <w:unhideWhenUsed/>
    <w:rsid w:val="004579B6"/>
    <w:rPr>
      <w:color w:val="605E5C"/>
      <w:shd w:val="clear" w:color="auto" w:fill="E1DFDD"/>
    </w:rPr>
  </w:style>
  <w:style w:type="paragraph" w:customStyle="1" w:styleId="TableBullet">
    <w:name w:val="TableBullet"/>
    <w:basedOn w:val="TableText1"/>
    <w:rsid w:val="003D1E13"/>
    <w:pPr>
      <w:numPr>
        <w:numId w:val="44"/>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3D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1D54"/>
    <w:rPr>
      <w:color w:val="605E5C"/>
      <w:shd w:val="clear" w:color="auto" w:fill="E1DFDD"/>
    </w:rPr>
  </w:style>
  <w:style w:type="character" w:customStyle="1" w:styleId="apple-converted-space">
    <w:name w:val="apple-converted-space"/>
    <w:basedOn w:val="DefaultParagraphFont"/>
    <w:rsid w:val="000C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8654009">
      <w:bodyDiv w:val="1"/>
      <w:marLeft w:val="0"/>
      <w:marRight w:val="0"/>
      <w:marTop w:val="0"/>
      <w:marBottom w:val="0"/>
      <w:divBdr>
        <w:top w:val="none" w:sz="0" w:space="0" w:color="auto"/>
        <w:left w:val="none" w:sz="0" w:space="0" w:color="auto"/>
        <w:bottom w:val="none" w:sz="0" w:space="0" w:color="auto"/>
        <w:right w:val="none" w:sz="0" w:space="0" w:color="auto"/>
      </w:divBdr>
    </w:div>
    <w:div w:id="51001800">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99305527">
      <w:bodyDiv w:val="1"/>
      <w:marLeft w:val="0"/>
      <w:marRight w:val="0"/>
      <w:marTop w:val="0"/>
      <w:marBottom w:val="0"/>
      <w:divBdr>
        <w:top w:val="none" w:sz="0" w:space="0" w:color="auto"/>
        <w:left w:val="none" w:sz="0" w:space="0" w:color="auto"/>
        <w:bottom w:val="none" w:sz="0" w:space="0" w:color="auto"/>
        <w:right w:val="none" w:sz="0" w:space="0" w:color="auto"/>
      </w:divBdr>
    </w:div>
    <w:div w:id="101927150">
      <w:bodyDiv w:val="1"/>
      <w:marLeft w:val="0"/>
      <w:marRight w:val="0"/>
      <w:marTop w:val="0"/>
      <w:marBottom w:val="0"/>
      <w:divBdr>
        <w:top w:val="none" w:sz="0" w:space="0" w:color="auto"/>
        <w:left w:val="none" w:sz="0" w:space="0" w:color="auto"/>
        <w:bottom w:val="none" w:sz="0" w:space="0" w:color="auto"/>
        <w:right w:val="none" w:sz="0" w:space="0" w:color="auto"/>
      </w:divBdr>
    </w:div>
    <w:div w:id="153229903">
      <w:bodyDiv w:val="1"/>
      <w:marLeft w:val="0"/>
      <w:marRight w:val="0"/>
      <w:marTop w:val="0"/>
      <w:marBottom w:val="0"/>
      <w:divBdr>
        <w:top w:val="none" w:sz="0" w:space="0" w:color="auto"/>
        <w:left w:val="none" w:sz="0" w:space="0" w:color="auto"/>
        <w:bottom w:val="none" w:sz="0" w:space="0" w:color="auto"/>
        <w:right w:val="none" w:sz="0" w:space="0" w:color="auto"/>
      </w:divBdr>
    </w:div>
    <w:div w:id="170145221">
      <w:bodyDiv w:val="1"/>
      <w:marLeft w:val="0"/>
      <w:marRight w:val="0"/>
      <w:marTop w:val="0"/>
      <w:marBottom w:val="0"/>
      <w:divBdr>
        <w:top w:val="none" w:sz="0" w:space="0" w:color="auto"/>
        <w:left w:val="none" w:sz="0" w:space="0" w:color="auto"/>
        <w:bottom w:val="none" w:sz="0" w:space="0" w:color="auto"/>
        <w:right w:val="none" w:sz="0" w:space="0" w:color="auto"/>
      </w:divBdr>
    </w:div>
    <w:div w:id="172886740">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09726076">
      <w:bodyDiv w:val="1"/>
      <w:marLeft w:val="0"/>
      <w:marRight w:val="0"/>
      <w:marTop w:val="0"/>
      <w:marBottom w:val="0"/>
      <w:divBdr>
        <w:top w:val="none" w:sz="0" w:space="0" w:color="auto"/>
        <w:left w:val="none" w:sz="0" w:space="0" w:color="auto"/>
        <w:bottom w:val="none" w:sz="0" w:space="0" w:color="auto"/>
        <w:right w:val="none" w:sz="0" w:space="0" w:color="auto"/>
      </w:divBdr>
    </w:div>
    <w:div w:id="224723694">
      <w:bodyDiv w:val="1"/>
      <w:marLeft w:val="0"/>
      <w:marRight w:val="0"/>
      <w:marTop w:val="0"/>
      <w:marBottom w:val="0"/>
      <w:divBdr>
        <w:top w:val="none" w:sz="0" w:space="0" w:color="auto"/>
        <w:left w:val="none" w:sz="0" w:space="0" w:color="auto"/>
        <w:bottom w:val="none" w:sz="0" w:space="0" w:color="auto"/>
        <w:right w:val="none" w:sz="0" w:space="0" w:color="auto"/>
      </w:divBdr>
    </w:div>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6601105">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5135282">
      <w:bodyDiv w:val="1"/>
      <w:marLeft w:val="0"/>
      <w:marRight w:val="0"/>
      <w:marTop w:val="0"/>
      <w:marBottom w:val="0"/>
      <w:divBdr>
        <w:top w:val="none" w:sz="0" w:space="0" w:color="auto"/>
        <w:left w:val="none" w:sz="0" w:space="0" w:color="auto"/>
        <w:bottom w:val="none" w:sz="0" w:space="0" w:color="auto"/>
        <w:right w:val="none" w:sz="0" w:space="0" w:color="auto"/>
      </w:divBdr>
    </w:div>
    <w:div w:id="256980617">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76106842">
      <w:bodyDiv w:val="1"/>
      <w:marLeft w:val="0"/>
      <w:marRight w:val="0"/>
      <w:marTop w:val="0"/>
      <w:marBottom w:val="0"/>
      <w:divBdr>
        <w:top w:val="none" w:sz="0" w:space="0" w:color="auto"/>
        <w:left w:val="none" w:sz="0" w:space="0" w:color="auto"/>
        <w:bottom w:val="none" w:sz="0" w:space="0" w:color="auto"/>
        <w:right w:val="none" w:sz="0" w:space="0" w:color="auto"/>
      </w:divBdr>
    </w:div>
    <w:div w:id="279848206">
      <w:bodyDiv w:val="1"/>
      <w:marLeft w:val="0"/>
      <w:marRight w:val="0"/>
      <w:marTop w:val="0"/>
      <w:marBottom w:val="0"/>
      <w:divBdr>
        <w:top w:val="none" w:sz="0" w:space="0" w:color="auto"/>
        <w:left w:val="none" w:sz="0" w:space="0" w:color="auto"/>
        <w:bottom w:val="none" w:sz="0" w:space="0" w:color="auto"/>
        <w:right w:val="none" w:sz="0" w:space="0" w:color="auto"/>
      </w:divBdr>
    </w:div>
    <w:div w:id="303705070">
      <w:bodyDiv w:val="1"/>
      <w:marLeft w:val="0"/>
      <w:marRight w:val="0"/>
      <w:marTop w:val="0"/>
      <w:marBottom w:val="0"/>
      <w:divBdr>
        <w:top w:val="none" w:sz="0" w:space="0" w:color="auto"/>
        <w:left w:val="none" w:sz="0" w:space="0" w:color="auto"/>
        <w:bottom w:val="none" w:sz="0" w:space="0" w:color="auto"/>
        <w:right w:val="none" w:sz="0" w:space="0" w:color="auto"/>
      </w:divBdr>
    </w:div>
    <w:div w:id="354498271">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6828852">
      <w:bodyDiv w:val="1"/>
      <w:marLeft w:val="0"/>
      <w:marRight w:val="0"/>
      <w:marTop w:val="0"/>
      <w:marBottom w:val="0"/>
      <w:divBdr>
        <w:top w:val="none" w:sz="0" w:space="0" w:color="auto"/>
        <w:left w:val="none" w:sz="0" w:space="0" w:color="auto"/>
        <w:bottom w:val="none" w:sz="0" w:space="0" w:color="auto"/>
        <w:right w:val="none" w:sz="0" w:space="0" w:color="auto"/>
      </w:divBdr>
    </w:div>
    <w:div w:id="40687840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29929236">
      <w:bodyDiv w:val="1"/>
      <w:marLeft w:val="0"/>
      <w:marRight w:val="0"/>
      <w:marTop w:val="0"/>
      <w:marBottom w:val="0"/>
      <w:divBdr>
        <w:top w:val="none" w:sz="0" w:space="0" w:color="auto"/>
        <w:left w:val="none" w:sz="0" w:space="0" w:color="auto"/>
        <w:bottom w:val="none" w:sz="0" w:space="0" w:color="auto"/>
        <w:right w:val="none" w:sz="0" w:space="0" w:color="auto"/>
      </w:divBdr>
    </w:div>
    <w:div w:id="44180710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6892740">
      <w:bodyDiv w:val="1"/>
      <w:marLeft w:val="0"/>
      <w:marRight w:val="0"/>
      <w:marTop w:val="0"/>
      <w:marBottom w:val="0"/>
      <w:divBdr>
        <w:top w:val="none" w:sz="0" w:space="0" w:color="auto"/>
        <w:left w:val="none" w:sz="0" w:space="0" w:color="auto"/>
        <w:bottom w:val="none" w:sz="0" w:space="0" w:color="auto"/>
        <w:right w:val="none" w:sz="0" w:space="0" w:color="auto"/>
      </w:divBdr>
    </w:div>
    <w:div w:id="484081588">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05750233">
      <w:bodyDiv w:val="1"/>
      <w:marLeft w:val="0"/>
      <w:marRight w:val="0"/>
      <w:marTop w:val="0"/>
      <w:marBottom w:val="0"/>
      <w:divBdr>
        <w:top w:val="none" w:sz="0" w:space="0" w:color="auto"/>
        <w:left w:val="none" w:sz="0" w:space="0" w:color="auto"/>
        <w:bottom w:val="none" w:sz="0" w:space="0" w:color="auto"/>
        <w:right w:val="none" w:sz="0" w:space="0" w:color="auto"/>
      </w:divBdr>
    </w:div>
    <w:div w:id="507135291">
      <w:bodyDiv w:val="1"/>
      <w:marLeft w:val="0"/>
      <w:marRight w:val="0"/>
      <w:marTop w:val="0"/>
      <w:marBottom w:val="0"/>
      <w:divBdr>
        <w:top w:val="none" w:sz="0" w:space="0" w:color="auto"/>
        <w:left w:val="none" w:sz="0" w:space="0" w:color="auto"/>
        <w:bottom w:val="none" w:sz="0" w:space="0" w:color="auto"/>
        <w:right w:val="none" w:sz="0" w:space="0" w:color="auto"/>
      </w:divBdr>
    </w:div>
    <w:div w:id="512233428">
      <w:bodyDiv w:val="1"/>
      <w:marLeft w:val="0"/>
      <w:marRight w:val="0"/>
      <w:marTop w:val="0"/>
      <w:marBottom w:val="0"/>
      <w:divBdr>
        <w:top w:val="none" w:sz="0" w:space="0" w:color="auto"/>
        <w:left w:val="none" w:sz="0" w:space="0" w:color="auto"/>
        <w:bottom w:val="none" w:sz="0" w:space="0" w:color="auto"/>
        <w:right w:val="none" w:sz="0" w:space="0" w:color="auto"/>
      </w:divBdr>
    </w:div>
    <w:div w:id="546071396">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77715005">
      <w:bodyDiv w:val="1"/>
      <w:marLeft w:val="0"/>
      <w:marRight w:val="0"/>
      <w:marTop w:val="0"/>
      <w:marBottom w:val="0"/>
      <w:divBdr>
        <w:top w:val="none" w:sz="0" w:space="0" w:color="auto"/>
        <w:left w:val="none" w:sz="0" w:space="0" w:color="auto"/>
        <w:bottom w:val="none" w:sz="0" w:space="0" w:color="auto"/>
        <w:right w:val="none" w:sz="0" w:space="0" w:color="auto"/>
      </w:divBdr>
    </w:div>
    <w:div w:id="581989302">
      <w:bodyDiv w:val="1"/>
      <w:marLeft w:val="0"/>
      <w:marRight w:val="0"/>
      <w:marTop w:val="0"/>
      <w:marBottom w:val="0"/>
      <w:divBdr>
        <w:top w:val="none" w:sz="0" w:space="0" w:color="auto"/>
        <w:left w:val="none" w:sz="0" w:space="0" w:color="auto"/>
        <w:bottom w:val="none" w:sz="0" w:space="0" w:color="auto"/>
        <w:right w:val="none" w:sz="0" w:space="0" w:color="auto"/>
      </w:divBdr>
    </w:div>
    <w:div w:id="587811296">
      <w:bodyDiv w:val="1"/>
      <w:marLeft w:val="0"/>
      <w:marRight w:val="0"/>
      <w:marTop w:val="0"/>
      <w:marBottom w:val="0"/>
      <w:divBdr>
        <w:top w:val="none" w:sz="0" w:space="0" w:color="auto"/>
        <w:left w:val="none" w:sz="0" w:space="0" w:color="auto"/>
        <w:bottom w:val="none" w:sz="0" w:space="0" w:color="auto"/>
        <w:right w:val="none" w:sz="0" w:space="0" w:color="auto"/>
      </w:divBdr>
    </w:div>
    <w:div w:id="603539200">
      <w:bodyDiv w:val="1"/>
      <w:marLeft w:val="0"/>
      <w:marRight w:val="0"/>
      <w:marTop w:val="0"/>
      <w:marBottom w:val="0"/>
      <w:divBdr>
        <w:top w:val="none" w:sz="0" w:space="0" w:color="auto"/>
        <w:left w:val="none" w:sz="0" w:space="0" w:color="auto"/>
        <w:bottom w:val="none" w:sz="0" w:space="0" w:color="auto"/>
        <w:right w:val="none" w:sz="0" w:space="0" w:color="auto"/>
      </w:divBdr>
    </w:div>
    <w:div w:id="627316658">
      <w:bodyDiv w:val="1"/>
      <w:marLeft w:val="0"/>
      <w:marRight w:val="0"/>
      <w:marTop w:val="0"/>
      <w:marBottom w:val="0"/>
      <w:divBdr>
        <w:top w:val="none" w:sz="0" w:space="0" w:color="auto"/>
        <w:left w:val="none" w:sz="0" w:space="0" w:color="auto"/>
        <w:bottom w:val="none" w:sz="0" w:space="0" w:color="auto"/>
        <w:right w:val="none" w:sz="0" w:space="0" w:color="auto"/>
      </w:divBdr>
    </w:div>
    <w:div w:id="633682285">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41350910">
      <w:bodyDiv w:val="1"/>
      <w:marLeft w:val="0"/>
      <w:marRight w:val="0"/>
      <w:marTop w:val="0"/>
      <w:marBottom w:val="0"/>
      <w:divBdr>
        <w:top w:val="none" w:sz="0" w:space="0" w:color="auto"/>
        <w:left w:val="none" w:sz="0" w:space="0" w:color="auto"/>
        <w:bottom w:val="none" w:sz="0" w:space="0" w:color="auto"/>
        <w:right w:val="none" w:sz="0" w:space="0" w:color="auto"/>
      </w:divBdr>
    </w:div>
    <w:div w:id="644698764">
      <w:bodyDiv w:val="1"/>
      <w:marLeft w:val="0"/>
      <w:marRight w:val="0"/>
      <w:marTop w:val="0"/>
      <w:marBottom w:val="0"/>
      <w:divBdr>
        <w:top w:val="none" w:sz="0" w:space="0" w:color="auto"/>
        <w:left w:val="none" w:sz="0" w:space="0" w:color="auto"/>
        <w:bottom w:val="none" w:sz="0" w:space="0" w:color="auto"/>
        <w:right w:val="none" w:sz="0" w:space="0" w:color="auto"/>
      </w:divBdr>
    </w:div>
    <w:div w:id="646323829">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0600706">
      <w:bodyDiv w:val="1"/>
      <w:marLeft w:val="0"/>
      <w:marRight w:val="0"/>
      <w:marTop w:val="0"/>
      <w:marBottom w:val="0"/>
      <w:divBdr>
        <w:top w:val="none" w:sz="0" w:space="0" w:color="auto"/>
        <w:left w:val="none" w:sz="0" w:space="0" w:color="auto"/>
        <w:bottom w:val="none" w:sz="0" w:space="0" w:color="auto"/>
        <w:right w:val="none" w:sz="0" w:space="0" w:color="auto"/>
      </w:divBdr>
    </w:div>
    <w:div w:id="665590373">
      <w:bodyDiv w:val="1"/>
      <w:marLeft w:val="0"/>
      <w:marRight w:val="0"/>
      <w:marTop w:val="0"/>
      <w:marBottom w:val="0"/>
      <w:divBdr>
        <w:top w:val="none" w:sz="0" w:space="0" w:color="auto"/>
        <w:left w:val="none" w:sz="0" w:space="0" w:color="auto"/>
        <w:bottom w:val="none" w:sz="0" w:space="0" w:color="auto"/>
        <w:right w:val="none" w:sz="0" w:space="0" w:color="auto"/>
      </w:divBdr>
    </w:div>
    <w:div w:id="672032810">
      <w:bodyDiv w:val="1"/>
      <w:marLeft w:val="0"/>
      <w:marRight w:val="0"/>
      <w:marTop w:val="0"/>
      <w:marBottom w:val="0"/>
      <w:divBdr>
        <w:top w:val="none" w:sz="0" w:space="0" w:color="auto"/>
        <w:left w:val="none" w:sz="0" w:space="0" w:color="auto"/>
        <w:bottom w:val="none" w:sz="0" w:space="0" w:color="auto"/>
        <w:right w:val="none" w:sz="0" w:space="0" w:color="auto"/>
      </w:divBdr>
    </w:div>
    <w:div w:id="673608335">
      <w:bodyDiv w:val="1"/>
      <w:marLeft w:val="0"/>
      <w:marRight w:val="0"/>
      <w:marTop w:val="0"/>
      <w:marBottom w:val="0"/>
      <w:divBdr>
        <w:top w:val="none" w:sz="0" w:space="0" w:color="auto"/>
        <w:left w:val="none" w:sz="0" w:space="0" w:color="auto"/>
        <w:bottom w:val="none" w:sz="0" w:space="0" w:color="auto"/>
        <w:right w:val="none" w:sz="0" w:space="0" w:color="auto"/>
      </w:divBdr>
    </w:div>
    <w:div w:id="681904167">
      <w:bodyDiv w:val="1"/>
      <w:marLeft w:val="0"/>
      <w:marRight w:val="0"/>
      <w:marTop w:val="0"/>
      <w:marBottom w:val="0"/>
      <w:divBdr>
        <w:top w:val="none" w:sz="0" w:space="0" w:color="auto"/>
        <w:left w:val="none" w:sz="0" w:space="0" w:color="auto"/>
        <w:bottom w:val="none" w:sz="0" w:space="0" w:color="auto"/>
        <w:right w:val="none" w:sz="0" w:space="0" w:color="auto"/>
      </w:divBdr>
    </w:div>
    <w:div w:id="707072613">
      <w:bodyDiv w:val="1"/>
      <w:marLeft w:val="0"/>
      <w:marRight w:val="0"/>
      <w:marTop w:val="0"/>
      <w:marBottom w:val="0"/>
      <w:divBdr>
        <w:top w:val="none" w:sz="0" w:space="0" w:color="auto"/>
        <w:left w:val="none" w:sz="0" w:space="0" w:color="auto"/>
        <w:bottom w:val="none" w:sz="0" w:space="0" w:color="auto"/>
        <w:right w:val="none" w:sz="0" w:space="0" w:color="auto"/>
      </w:divBdr>
    </w:div>
    <w:div w:id="715350856">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0537895">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42488433">
      <w:bodyDiv w:val="1"/>
      <w:marLeft w:val="0"/>
      <w:marRight w:val="0"/>
      <w:marTop w:val="0"/>
      <w:marBottom w:val="0"/>
      <w:divBdr>
        <w:top w:val="none" w:sz="0" w:space="0" w:color="auto"/>
        <w:left w:val="none" w:sz="0" w:space="0" w:color="auto"/>
        <w:bottom w:val="none" w:sz="0" w:space="0" w:color="auto"/>
        <w:right w:val="none" w:sz="0" w:space="0" w:color="auto"/>
      </w:divBdr>
    </w:div>
    <w:div w:id="784039540">
      <w:bodyDiv w:val="1"/>
      <w:marLeft w:val="0"/>
      <w:marRight w:val="0"/>
      <w:marTop w:val="0"/>
      <w:marBottom w:val="0"/>
      <w:divBdr>
        <w:top w:val="none" w:sz="0" w:space="0" w:color="auto"/>
        <w:left w:val="none" w:sz="0" w:space="0" w:color="auto"/>
        <w:bottom w:val="none" w:sz="0" w:space="0" w:color="auto"/>
        <w:right w:val="none" w:sz="0" w:space="0" w:color="auto"/>
      </w:divBdr>
    </w:div>
    <w:div w:id="792478696">
      <w:bodyDiv w:val="1"/>
      <w:marLeft w:val="0"/>
      <w:marRight w:val="0"/>
      <w:marTop w:val="0"/>
      <w:marBottom w:val="0"/>
      <w:divBdr>
        <w:top w:val="none" w:sz="0" w:space="0" w:color="auto"/>
        <w:left w:val="none" w:sz="0" w:space="0" w:color="auto"/>
        <w:bottom w:val="none" w:sz="0" w:space="0" w:color="auto"/>
        <w:right w:val="none" w:sz="0" w:space="0" w:color="auto"/>
      </w:divBdr>
    </w:div>
    <w:div w:id="804391699">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36964843">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65754359">
      <w:bodyDiv w:val="1"/>
      <w:marLeft w:val="0"/>
      <w:marRight w:val="0"/>
      <w:marTop w:val="0"/>
      <w:marBottom w:val="0"/>
      <w:divBdr>
        <w:top w:val="none" w:sz="0" w:space="0" w:color="auto"/>
        <w:left w:val="none" w:sz="0" w:space="0" w:color="auto"/>
        <w:bottom w:val="none" w:sz="0" w:space="0" w:color="auto"/>
        <w:right w:val="none" w:sz="0" w:space="0" w:color="auto"/>
      </w:divBdr>
    </w:div>
    <w:div w:id="874922775">
      <w:bodyDiv w:val="1"/>
      <w:marLeft w:val="0"/>
      <w:marRight w:val="0"/>
      <w:marTop w:val="0"/>
      <w:marBottom w:val="0"/>
      <w:divBdr>
        <w:top w:val="none" w:sz="0" w:space="0" w:color="auto"/>
        <w:left w:val="none" w:sz="0" w:space="0" w:color="auto"/>
        <w:bottom w:val="none" w:sz="0" w:space="0" w:color="auto"/>
        <w:right w:val="none" w:sz="0" w:space="0" w:color="auto"/>
      </w:divBdr>
    </w:div>
    <w:div w:id="876314002">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8030413">
      <w:bodyDiv w:val="1"/>
      <w:marLeft w:val="0"/>
      <w:marRight w:val="0"/>
      <w:marTop w:val="0"/>
      <w:marBottom w:val="0"/>
      <w:divBdr>
        <w:top w:val="none" w:sz="0" w:space="0" w:color="auto"/>
        <w:left w:val="none" w:sz="0" w:space="0" w:color="auto"/>
        <w:bottom w:val="none" w:sz="0" w:space="0" w:color="auto"/>
        <w:right w:val="none" w:sz="0" w:space="0" w:color="auto"/>
      </w:divBdr>
    </w:div>
    <w:div w:id="909116804">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5866195">
      <w:bodyDiv w:val="1"/>
      <w:marLeft w:val="0"/>
      <w:marRight w:val="0"/>
      <w:marTop w:val="0"/>
      <w:marBottom w:val="0"/>
      <w:divBdr>
        <w:top w:val="none" w:sz="0" w:space="0" w:color="auto"/>
        <w:left w:val="none" w:sz="0" w:space="0" w:color="auto"/>
        <w:bottom w:val="none" w:sz="0" w:space="0" w:color="auto"/>
        <w:right w:val="none" w:sz="0" w:space="0" w:color="auto"/>
      </w:divBdr>
    </w:div>
    <w:div w:id="919020781">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4650814">
      <w:bodyDiv w:val="1"/>
      <w:marLeft w:val="0"/>
      <w:marRight w:val="0"/>
      <w:marTop w:val="0"/>
      <w:marBottom w:val="0"/>
      <w:divBdr>
        <w:top w:val="none" w:sz="0" w:space="0" w:color="auto"/>
        <w:left w:val="none" w:sz="0" w:space="0" w:color="auto"/>
        <w:bottom w:val="none" w:sz="0" w:space="0" w:color="auto"/>
        <w:right w:val="none" w:sz="0" w:space="0" w:color="auto"/>
      </w:divBdr>
      <w:divsChild>
        <w:div w:id="980379076">
          <w:marLeft w:val="0"/>
          <w:marRight w:val="0"/>
          <w:marTop w:val="0"/>
          <w:marBottom w:val="0"/>
          <w:divBdr>
            <w:top w:val="none" w:sz="0" w:space="0" w:color="auto"/>
            <w:left w:val="none" w:sz="0" w:space="0" w:color="auto"/>
            <w:bottom w:val="none" w:sz="0" w:space="0" w:color="auto"/>
            <w:right w:val="none" w:sz="0" w:space="0" w:color="auto"/>
          </w:divBdr>
        </w:div>
      </w:divsChild>
    </w:div>
    <w:div w:id="938878788">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19742984">
      <w:bodyDiv w:val="1"/>
      <w:marLeft w:val="0"/>
      <w:marRight w:val="0"/>
      <w:marTop w:val="0"/>
      <w:marBottom w:val="0"/>
      <w:divBdr>
        <w:top w:val="none" w:sz="0" w:space="0" w:color="auto"/>
        <w:left w:val="none" w:sz="0" w:space="0" w:color="auto"/>
        <w:bottom w:val="none" w:sz="0" w:space="0" w:color="auto"/>
        <w:right w:val="none" w:sz="0" w:space="0" w:color="auto"/>
      </w:divBdr>
    </w:div>
    <w:div w:id="1020207845">
      <w:bodyDiv w:val="1"/>
      <w:marLeft w:val="0"/>
      <w:marRight w:val="0"/>
      <w:marTop w:val="0"/>
      <w:marBottom w:val="0"/>
      <w:divBdr>
        <w:top w:val="none" w:sz="0" w:space="0" w:color="auto"/>
        <w:left w:val="none" w:sz="0" w:space="0" w:color="auto"/>
        <w:bottom w:val="none" w:sz="0" w:space="0" w:color="auto"/>
        <w:right w:val="none" w:sz="0" w:space="0" w:color="auto"/>
      </w:divBdr>
    </w:div>
    <w:div w:id="1056515104">
      <w:bodyDiv w:val="1"/>
      <w:marLeft w:val="0"/>
      <w:marRight w:val="0"/>
      <w:marTop w:val="0"/>
      <w:marBottom w:val="0"/>
      <w:divBdr>
        <w:top w:val="none" w:sz="0" w:space="0" w:color="auto"/>
        <w:left w:val="none" w:sz="0" w:space="0" w:color="auto"/>
        <w:bottom w:val="none" w:sz="0" w:space="0" w:color="auto"/>
        <w:right w:val="none" w:sz="0" w:space="0" w:color="auto"/>
      </w:divBdr>
    </w:div>
    <w:div w:id="1107119395">
      <w:bodyDiv w:val="1"/>
      <w:marLeft w:val="0"/>
      <w:marRight w:val="0"/>
      <w:marTop w:val="0"/>
      <w:marBottom w:val="0"/>
      <w:divBdr>
        <w:top w:val="none" w:sz="0" w:space="0" w:color="auto"/>
        <w:left w:val="none" w:sz="0" w:space="0" w:color="auto"/>
        <w:bottom w:val="none" w:sz="0" w:space="0" w:color="auto"/>
        <w:right w:val="none" w:sz="0" w:space="0" w:color="auto"/>
      </w:divBdr>
    </w:div>
    <w:div w:id="1107434029">
      <w:bodyDiv w:val="1"/>
      <w:marLeft w:val="0"/>
      <w:marRight w:val="0"/>
      <w:marTop w:val="0"/>
      <w:marBottom w:val="0"/>
      <w:divBdr>
        <w:top w:val="none" w:sz="0" w:space="0" w:color="auto"/>
        <w:left w:val="none" w:sz="0" w:space="0" w:color="auto"/>
        <w:bottom w:val="none" w:sz="0" w:space="0" w:color="auto"/>
        <w:right w:val="none" w:sz="0" w:space="0" w:color="auto"/>
      </w:divBdr>
    </w:div>
    <w:div w:id="1108963950">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3694071">
      <w:bodyDiv w:val="1"/>
      <w:marLeft w:val="0"/>
      <w:marRight w:val="0"/>
      <w:marTop w:val="0"/>
      <w:marBottom w:val="0"/>
      <w:divBdr>
        <w:top w:val="none" w:sz="0" w:space="0" w:color="auto"/>
        <w:left w:val="none" w:sz="0" w:space="0" w:color="auto"/>
        <w:bottom w:val="none" w:sz="0" w:space="0" w:color="auto"/>
        <w:right w:val="none" w:sz="0" w:space="0" w:color="auto"/>
      </w:divBdr>
    </w:div>
    <w:div w:id="1136601064">
      <w:bodyDiv w:val="1"/>
      <w:marLeft w:val="0"/>
      <w:marRight w:val="0"/>
      <w:marTop w:val="0"/>
      <w:marBottom w:val="0"/>
      <w:divBdr>
        <w:top w:val="none" w:sz="0" w:space="0" w:color="auto"/>
        <w:left w:val="none" w:sz="0" w:space="0" w:color="auto"/>
        <w:bottom w:val="none" w:sz="0" w:space="0" w:color="auto"/>
        <w:right w:val="none" w:sz="0" w:space="0" w:color="auto"/>
      </w:divBdr>
    </w:div>
    <w:div w:id="113864830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44814578">
      <w:bodyDiv w:val="1"/>
      <w:marLeft w:val="0"/>
      <w:marRight w:val="0"/>
      <w:marTop w:val="0"/>
      <w:marBottom w:val="0"/>
      <w:divBdr>
        <w:top w:val="none" w:sz="0" w:space="0" w:color="auto"/>
        <w:left w:val="none" w:sz="0" w:space="0" w:color="auto"/>
        <w:bottom w:val="none" w:sz="0" w:space="0" w:color="auto"/>
        <w:right w:val="none" w:sz="0" w:space="0" w:color="auto"/>
      </w:divBdr>
    </w:div>
    <w:div w:id="1159730441">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2014588">
      <w:bodyDiv w:val="1"/>
      <w:marLeft w:val="0"/>
      <w:marRight w:val="0"/>
      <w:marTop w:val="0"/>
      <w:marBottom w:val="0"/>
      <w:divBdr>
        <w:top w:val="none" w:sz="0" w:space="0" w:color="auto"/>
        <w:left w:val="none" w:sz="0" w:space="0" w:color="auto"/>
        <w:bottom w:val="none" w:sz="0" w:space="0" w:color="auto"/>
        <w:right w:val="none" w:sz="0" w:space="0" w:color="auto"/>
      </w:divBdr>
    </w:div>
    <w:div w:id="1191800435">
      <w:bodyDiv w:val="1"/>
      <w:marLeft w:val="0"/>
      <w:marRight w:val="0"/>
      <w:marTop w:val="0"/>
      <w:marBottom w:val="0"/>
      <w:divBdr>
        <w:top w:val="none" w:sz="0" w:space="0" w:color="auto"/>
        <w:left w:val="none" w:sz="0" w:space="0" w:color="auto"/>
        <w:bottom w:val="none" w:sz="0" w:space="0" w:color="auto"/>
        <w:right w:val="none" w:sz="0" w:space="0" w:color="auto"/>
      </w:divBdr>
    </w:div>
    <w:div w:id="1208296869">
      <w:bodyDiv w:val="1"/>
      <w:marLeft w:val="0"/>
      <w:marRight w:val="0"/>
      <w:marTop w:val="0"/>
      <w:marBottom w:val="0"/>
      <w:divBdr>
        <w:top w:val="none" w:sz="0" w:space="0" w:color="auto"/>
        <w:left w:val="none" w:sz="0" w:space="0" w:color="auto"/>
        <w:bottom w:val="none" w:sz="0" w:space="0" w:color="auto"/>
        <w:right w:val="none" w:sz="0" w:space="0" w:color="auto"/>
      </w:divBdr>
    </w:div>
    <w:div w:id="1209562321">
      <w:bodyDiv w:val="1"/>
      <w:marLeft w:val="0"/>
      <w:marRight w:val="0"/>
      <w:marTop w:val="0"/>
      <w:marBottom w:val="0"/>
      <w:divBdr>
        <w:top w:val="none" w:sz="0" w:space="0" w:color="auto"/>
        <w:left w:val="none" w:sz="0" w:space="0" w:color="auto"/>
        <w:bottom w:val="none" w:sz="0" w:space="0" w:color="auto"/>
        <w:right w:val="none" w:sz="0" w:space="0" w:color="auto"/>
      </w:divBdr>
    </w:div>
    <w:div w:id="1221670500">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4968397">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2173813">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82023745">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21214123">
      <w:bodyDiv w:val="1"/>
      <w:marLeft w:val="0"/>
      <w:marRight w:val="0"/>
      <w:marTop w:val="0"/>
      <w:marBottom w:val="0"/>
      <w:divBdr>
        <w:top w:val="none" w:sz="0" w:space="0" w:color="auto"/>
        <w:left w:val="none" w:sz="0" w:space="0" w:color="auto"/>
        <w:bottom w:val="none" w:sz="0" w:space="0" w:color="auto"/>
        <w:right w:val="none" w:sz="0" w:space="0" w:color="auto"/>
      </w:divBdr>
    </w:div>
    <w:div w:id="1431243104">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6118302">
      <w:bodyDiv w:val="1"/>
      <w:marLeft w:val="0"/>
      <w:marRight w:val="0"/>
      <w:marTop w:val="0"/>
      <w:marBottom w:val="0"/>
      <w:divBdr>
        <w:top w:val="none" w:sz="0" w:space="0" w:color="auto"/>
        <w:left w:val="none" w:sz="0" w:space="0" w:color="auto"/>
        <w:bottom w:val="none" w:sz="0" w:space="0" w:color="auto"/>
        <w:right w:val="none" w:sz="0" w:space="0" w:color="auto"/>
      </w:divBdr>
    </w:div>
    <w:div w:id="1543201854">
      <w:bodyDiv w:val="1"/>
      <w:marLeft w:val="0"/>
      <w:marRight w:val="0"/>
      <w:marTop w:val="0"/>
      <w:marBottom w:val="0"/>
      <w:divBdr>
        <w:top w:val="none" w:sz="0" w:space="0" w:color="auto"/>
        <w:left w:val="none" w:sz="0" w:space="0" w:color="auto"/>
        <w:bottom w:val="none" w:sz="0" w:space="0" w:color="auto"/>
        <w:right w:val="none" w:sz="0" w:space="0" w:color="auto"/>
      </w:divBdr>
    </w:div>
    <w:div w:id="1554265876">
      <w:bodyDiv w:val="1"/>
      <w:marLeft w:val="0"/>
      <w:marRight w:val="0"/>
      <w:marTop w:val="0"/>
      <w:marBottom w:val="0"/>
      <w:divBdr>
        <w:top w:val="none" w:sz="0" w:space="0" w:color="auto"/>
        <w:left w:val="none" w:sz="0" w:space="0" w:color="auto"/>
        <w:bottom w:val="none" w:sz="0" w:space="0" w:color="auto"/>
        <w:right w:val="none" w:sz="0" w:space="0" w:color="auto"/>
      </w:divBdr>
    </w:div>
    <w:div w:id="1571232455">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30235618">
      <w:bodyDiv w:val="1"/>
      <w:marLeft w:val="0"/>
      <w:marRight w:val="0"/>
      <w:marTop w:val="0"/>
      <w:marBottom w:val="0"/>
      <w:divBdr>
        <w:top w:val="none" w:sz="0" w:space="0" w:color="auto"/>
        <w:left w:val="none" w:sz="0" w:space="0" w:color="auto"/>
        <w:bottom w:val="none" w:sz="0" w:space="0" w:color="auto"/>
        <w:right w:val="none" w:sz="0" w:space="0" w:color="auto"/>
      </w:divBdr>
    </w:div>
    <w:div w:id="1647660860">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70255376">
      <w:bodyDiv w:val="1"/>
      <w:marLeft w:val="0"/>
      <w:marRight w:val="0"/>
      <w:marTop w:val="0"/>
      <w:marBottom w:val="0"/>
      <w:divBdr>
        <w:top w:val="none" w:sz="0" w:space="0" w:color="auto"/>
        <w:left w:val="none" w:sz="0" w:space="0" w:color="auto"/>
        <w:bottom w:val="none" w:sz="0" w:space="0" w:color="auto"/>
        <w:right w:val="none" w:sz="0" w:space="0" w:color="auto"/>
      </w:divBdr>
    </w:div>
    <w:div w:id="1676960433">
      <w:bodyDiv w:val="1"/>
      <w:marLeft w:val="0"/>
      <w:marRight w:val="0"/>
      <w:marTop w:val="0"/>
      <w:marBottom w:val="0"/>
      <w:divBdr>
        <w:top w:val="none" w:sz="0" w:space="0" w:color="auto"/>
        <w:left w:val="none" w:sz="0" w:space="0" w:color="auto"/>
        <w:bottom w:val="none" w:sz="0" w:space="0" w:color="auto"/>
        <w:right w:val="none" w:sz="0" w:space="0" w:color="auto"/>
      </w:divBdr>
    </w:div>
    <w:div w:id="1716076088">
      <w:bodyDiv w:val="1"/>
      <w:marLeft w:val="0"/>
      <w:marRight w:val="0"/>
      <w:marTop w:val="0"/>
      <w:marBottom w:val="0"/>
      <w:divBdr>
        <w:top w:val="none" w:sz="0" w:space="0" w:color="auto"/>
        <w:left w:val="none" w:sz="0" w:space="0" w:color="auto"/>
        <w:bottom w:val="none" w:sz="0" w:space="0" w:color="auto"/>
        <w:right w:val="none" w:sz="0" w:space="0" w:color="auto"/>
      </w:divBdr>
    </w:div>
    <w:div w:id="1725059512">
      <w:bodyDiv w:val="1"/>
      <w:marLeft w:val="0"/>
      <w:marRight w:val="0"/>
      <w:marTop w:val="0"/>
      <w:marBottom w:val="0"/>
      <w:divBdr>
        <w:top w:val="none" w:sz="0" w:space="0" w:color="auto"/>
        <w:left w:val="none" w:sz="0" w:space="0" w:color="auto"/>
        <w:bottom w:val="none" w:sz="0" w:space="0" w:color="auto"/>
        <w:right w:val="none" w:sz="0" w:space="0" w:color="auto"/>
      </w:divBdr>
    </w:div>
    <w:div w:id="1741057256">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236064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56114570">
      <w:bodyDiv w:val="1"/>
      <w:marLeft w:val="0"/>
      <w:marRight w:val="0"/>
      <w:marTop w:val="0"/>
      <w:marBottom w:val="0"/>
      <w:divBdr>
        <w:top w:val="none" w:sz="0" w:space="0" w:color="auto"/>
        <w:left w:val="none" w:sz="0" w:space="0" w:color="auto"/>
        <w:bottom w:val="none" w:sz="0" w:space="0" w:color="auto"/>
        <w:right w:val="none" w:sz="0" w:space="0" w:color="auto"/>
      </w:divBdr>
    </w:div>
    <w:div w:id="1862276309">
      <w:bodyDiv w:val="1"/>
      <w:marLeft w:val="0"/>
      <w:marRight w:val="0"/>
      <w:marTop w:val="0"/>
      <w:marBottom w:val="0"/>
      <w:divBdr>
        <w:top w:val="none" w:sz="0" w:space="0" w:color="auto"/>
        <w:left w:val="none" w:sz="0" w:space="0" w:color="auto"/>
        <w:bottom w:val="none" w:sz="0" w:space="0" w:color="auto"/>
        <w:right w:val="none" w:sz="0" w:space="0" w:color="auto"/>
      </w:divBdr>
    </w:div>
    <w:div w:id="1867331629">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8109111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112570">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22663233">
      <w:bodyDiv w:val="1"/>
      <w:marLeft w:val="0"/>
      <w:marRight w:val="0"/>
      <w:marTop w:val="0"/>
      <w:marBottom w:val="0"/>
      <w:divBdr>
        <w:top w:val="none" w:sz="0" w:space="0" w:color="auto"/>
        <w:left w:val="none" w:sz="0" w:space="0" w:color="auto"/>
        <w:bottom w:val="none" w:sz="0" w:space="0" w:color="auto"/>
        <w:right w:val="none" w:sz="0" w:space="0" w:color="auto"/>
      </w:divBdr>
    </w:div>
    <w:div w:id="2031103448">
      <w:bodyDiv w:val="1"/>
      <w:marLeft w:val="0"/>
      <w:marRight w:val="0"/>
      <w:marTop w:val="0"/>
      <w:marBottom w:val="0"/>
      <w:divBdr>
        <w:top w:val="none" w:sz="0" w:space="0" w:color="auto"/>
        <w:left w:val="none" w:sz="0" w:space="0" w:color="auto"/>
        <w:bottom w:val="none" w:sz="0" w:space="0" w:color="auto"/>
        <w:right w:val="none" w:sz="0" w:space="0" w:color="auto"/>
      </w:divBdr>
    </w:div>
    <w:div w:id="2062318457">
      <w:bodyDiv w:val="1"/>
      <w:marLeft w:val="0"/>
      <w:marRight w:val="0"/>
      <w:marTop w:val="0"/>
      <w:marBottom w:val="0"/>
      <w:divBdr>
        <w:top w:val="none" w:sz="0" w:space="0" w:color="auto"/>
        <w:left w:val="none" w:sz="0" w:space="0" w:color="auto"/>
        <w:bottom w:val="none" w:sz="0" w:space="0" w:color="auto"/>
        <w:right w:val="none" w:sz="0" w:space="0" w:color="auto"/>
      </w:divBdr>
    </w:div>
    <w:div w:id="2064136740">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99012912">
      <w:bodyDiv w:val="1"/>
      <w:marLeft w:val="0"/>
      <w:marRight w:val="0"/>
      <w:marTop w:val="0"/>
      <w:marBottom w:val="0"/>
      <w:divBdr>
        <w:top w:val="none" w:sz="0" w:space="0" w:color="auto"/>
        <w:left w:val="none" w:sz="0" w:space="0" w:color="auto"/>
        <w:bottom w:val="none" w:sz="0" w:space="0" w:color="auto"/>
        <w:right w:val="none" w:sz="0" w:space="0" w:color="auto"/>
      </w:divBdr>
    </w:div>
    <w:div w:id="2104715503">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04759775">
      <w:bodyDiv w:val="1"/>
      <w:marLeft w:val="0"/>
      <w:marRight w:val="0"/>
      <w:marTop w:val="0"/>
      <w:marBottom w:val="0"/>
      <w:divBdr>
        <w:top w:val="none" w:sz="0" w:space="0" w:color="auto"/>
        <w:left w:val="none" w:sz="0" w:space="0" w:color="auto"/>
        <w:bottom w:val="none" w:sz="0" w:space="0" w:color="auto"/>
        <w:right w:val="none" w:sz="0" w:space="0" w:color="auto"/>
      </w:divBdr>
    </w:div>
    <w:div w:id="2121993551">
      <w:bodyDiv w:val="1"/>
      <w:marLeft w:val="0"/>
      <w:marRight w:val="0"/>
      <w:marTop w:val="0"/>
      <w:marBottom w:val="0"/>
      <w:divBdr>
        <w:top w:val="none" w:sz="0" w:space="0" w:color="auto"/>
        <w:left w:val="none" w:sz="0" w:space="0" w:color="auto"/>
        <w:bottom w:val="none" w:sz="0" w:space="0" w:color="auto"/>
        <w:right w:val="none" w:sz="0" w:space="0" w:color="auto"/>
      </w:divBdr>
    </w:div>
    <w:div w:id="2125922327">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ca.org.au/wp-content/uploads/2022/05/Graham-Narunsky-2019-Australia-2016-Census-Report.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9027-755F-4F62-AD7B-7B955B81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17605</Words>
  <Characters>100354</Characters>
  <Application>Microsoft Office Word</Application>
  <DocSecurity>0</DocSecurity>
  <Lines>836</Lines>
  <Paragraphs>235</Paragraphs>
  <ScaleCrop>false</ScaleCrop>
  <Company/>
  <LinksUpToDate>false</LinksUpToDate>
  <CharactersWithSpaces>117724</CharactersWithSpaces>
  <SharedDoc>false</SharedDoc>
  <HLinks>
    <vt:vector size="1032" baseType="variant">
      <vt:variant>
        <vt:i4>917532</vt:i4>
      </vt:variant>
      <vt:variant>
        <vt:i4>2472</vt:i4>
      </vt:variant>
      <vt:variant>
        <vt:i4>0</vt:i4>
      </vt:variant>
      <vt:variant>
        <vt:i4>5</vt:i4>
      </vt:variant>
      <vt:variant>
        <vt:lpwstr>https://dx.doi.org/10.1038/s41436-019-0457-6</vt:lpwstr>
      </vt:variant>
      <vt:variant>
        <vt:lpwstr/>
      </vt:variant>
      <vt:variant>
        <vt:i4>8192126</vt:i4>
      </vt:variant>
      <vt:variant>
        <vt:i4>2469</vt:i4>
      </vt:variant>
      <vt:variant>
        <vt:i4>0</vt:i4>
      </vt:variant>
      <vt:variant>
        <vt:i4>5</vt:i4>
      </vt:variant>
      <vt:variant>
        <vt:lpwstr>http://ovidsp.ovid.com/ovidweb.cgi?T=JS&amp;PAGE=reference&amp;D=med4&amp;NEWS=N&amp;AN=9799881</vt:lpwstr>
      </vt:variant>
      <vt:variant>
        <vt:lpwstr/>
      </vt:variant>
      <vt:variant>
        <vt:i4>3014760</vt:i4>
      </vt:variant>
      <vt:variant>
        <vt:i4>2466</vt:i4>
      </vt:variant>
      <vt:variant>
        <vt:i4>0</vt:i4>
      </vt:variant>
      <vt:variant>
        <vt:i4>5</vt:i4>
      </vt:variant>
      <vt:variant>
        <vt:lpwstr>https://www.ncbi.nlm.nih.gov/books/NBK1370/</vt:lpwstr>
      </vt:variant>
      <vt:variant>
        <vt:lpwstr/>
      </vt:variant>
      <vt:variant>
        <vt:i4>327692</vt:i4>
      </vt:variant>
      <vt:variant>
        <vt:i4>2463</vt:i4>
      </vt:variant>
      <vt:variant>
        <vt:i4>0</vt:i4>
      </vt:variant>
      <vt:variant>
        <vt:i4>5</vt:i4>
      </vt:variant>
      <vt:variant>
        <vt:lpwstr>http://dx.doi.org/10.1097/01.gim.0000178496.91670.3b</vt:lpwstr>
      </vt:variant>
      <vt:variant>
        <vt:lpwstr/>
      </vt:variant>
      <vt:variant>
        <vt:i4>8192114</vt:i4>
      </vt:variant>
      <vt:variant>
        <vt:i4>2460</vt:i4>
      </vt:variant>
      <vt:variant>
        <vt:i4>0</vt:i4>
      </vt:variant>
      <vt:variant>
        <vt:i4>5</vt:i4>
      </vt:variant>
      <vt:variant>
        <vt:lpwstr>http://ovidsp.ovid.com/ovidweb.cgi?T=JS&amp;PAGE=reference&amp;D=med4&amp;NEWS=N&amp;AN=9540935</vt:lpwstr>
      </vt:variant>
      <vt:variant>
        <vt:lpwstr/>
      </vt:variant>
      <vt:variant>
        <vt:i4>7995516</vt:i4>
      </vt:variant>
      <vt:variant>
        <vt:i4>2457</vt:i4>
      </vt:variant>
      <vt:variant>
        <vt:i4>0</vt:i4>
      </vt:variant>
      <vt:variant>
        <vt:i4>5</vt:i4>
      </vt:variant>
      <vt:variant>
        <vt:lpwstr>http://ovidsp.ovid.com/ovidweb.cgi?T=JS&amp;PAGE=reference&amp;D=med4&amp;NEWS=N&amp;AN=9623144</vt:lpwstr>
      </vt:variant>
      <vt:variant>
        <vt:lpwstr/>
      </vt:variant>
      <vt:variant>
        <vt:i4>6684773</vt:i4>
      </vt:variant>
      <vt:variant>
        <vt:i4>2454</vt:i4>
      </vt:variant>
      <vt:variant>
        <vt:i4>0</vt:i4>
      </vt:variant>
      <vt:variant>
        <vt:i4>5</vt:i4>
      </vt:variant>
      <vt:variant>
        <vt:lpwstr>https://jmg.bmj.com/content/jmedgenet/34/9/741.full.pdf</vt:lpwstr>
      </vt:variant>
      <vt:variant>
        <vt:lpwstr/>
      </vt:variant>
      <vt:variant>
        <vt:i4>8323194</vt:i4>
      </vt:variant>
      <vt:variant>
        <vt:i4>2451</vt:i4>
      </vt:variant>
      <vt:variant>
        <vt:i4>0</vt:i4>
      </vt:variant>
      <vt:variant>
        <vt:i4>5</vt:i4>
      </vt:variant>
      <vt:variant>
        <vt:lpwstr>http://ovidsp.ovid.com/ovidweb.cgi?T=JS&amp;PAGE=reference&amp;D=med4&amp;NEWS=N&amp;AN=9321760</vt:lpwstr>
      </vt:variant>
      <vt:variant>
        <vt:lpwstr/>
      </vt:variant>
      <vt:variant>
        <vt:i4>4456521</vt:i4>
      </vt:variant>
      <vt:variant>
        <vt:i4>2448</vt:i4>
      </vt:variant>
      <vt:variant>
        <vt:i4>0</vt:i4>
      </vt:variant>
      <vt:variant>
        <vt:i4>5</vt:i4>
      </vt:variant>
      <vt:variant>
        <vt:lpwstr>https://datayze.com/miscarriage-chart</vt:lpwstr>
      </vt:variant>
      <vt:variant>
        <vt:lpwstr/>
      </vt:variant>
      <vt:variant>
        <vt:i4>3604517</vt:i4>
      </vt:variant>
      <vt:variant>
        <vt:i4>2445</vt:i4>
      </vt:variant>
      <vt:variant>
        <vt:i4>0</vt:i4>
      </vt:variant>
      <vt:variant>
        <vt:i4>5</vt:i4>
      </vt:variant>
      <vt:variant>
        <vt:lpwstr>https://ranzcog.edu.au/RANZCOG_SITE/media/RANZCOG-MEDIA/Women%27s Health/Statement and guidelines/Clinical-Obstetrics/Prenatal-screening_1.pdf?ext=.pdf</vt:lpwstr>
      </vt:variant>
      <vt:variant>
        <vt:lpwstr/>
      </vt:variant>
      <vt:variant>
        <vt:i4>6881336</vt:i4>
      </vt:variant>
      <vt:variant>
        <vt:i4>2442</vt:i4>
      </vt:variant>
      <vt:variant>
        <vt:i4>0</vt:i4>
      </vt:variant>
      <vt:variant>
        <vt:i4>5</vt:i4>
      </vt:variant>
      <vt:variant>
        <vt:lpwstr>https://njl-admin.nihr.ac.uk/document/download/2004676</vt:lpwstr>
      </vt:variant>
      <vt:variant>
        <vt:lpwstr/>
      </vt:variant>
      <vt:variant>
        <vt:i4>4718658</vt:i4>
      </vt:variant>
      <vt:variant>
        <vt:i4>2439</vt:i4>
      </vt:variant>
      <vt:variant>
        <vt:i4>0</vt:i4>
      </vt:variant>
      <vt:variant>
        <vt:i4>5</vt:i4>
      </vt:variant>
      <vt:variant>
        <vt:lpwstr>http://ovidsp.ovid.com/ovidweb.cgi?T=JS&amp;PAGE=reference&amp;D=med5&amp;NEWS=N&amp;AN=12969542</vt:lpwstr>
      </vt:variant>
      <vt:variant>
        <vt:lpwstr/>
      </vt:variant>
      <vt:variant>
        <vt:i4>5177413</vt:i4>
      </vt:variant>
      <vt:variant>
        <vt:i4>2436</vt:i4>
      </vt:variant>
      <vt:variant>
        <vt:i4>0</vt:i4>
      </vt:variant>
      <vt:variant>
        <vt:i4>5</vt:i4>
      </vt:variant>
      <vt:variant>
        <vt:lpwstr>http://dx.doi.org/10.1111/aogs.13858</vt:lpwstr>
      </vt:variant>
      <vt:variant>
        <vt:lpwstr/>
      </vt:variant>
      <vt:variant>
        <vt:i4>2883687</vt:i4>
      </vt:variant>
      <vt:variant>
        <vt:i4>2433</vt:i4>
      </vt:variant>
      <vt:variant>
        <vt:i4>0</vt:i4>
      </vt:variant>
      <vt:variant>
        <vt:i4>5</vt:i4>
      </vt:variant>
      <vt:variant>
        <vt:lpwstr>https://www.ncbi.nlm.nih.gov/books/NBK1180/</vt:lpwstr>
      </vt:variant>
      <vt:variant>
        <vt:lpwstr/>
      </vt:variant>
      <vt:variant>
        <vt:i4>7995438</vt:i4>
      </vt:variant>
      <vt:variant>
        <vt:i4>2430</vt:i4>
      </vt:variant>
      <vt:variant>
        <vt:i4>0</vt:i4>
      </vt:variant>
      <vt:variant>
        <vt:i4>5</vt:i4>
      </vt:variant>
      <vt:variant>
        <vt:lpwstr>http://dx.doi.org/10.1007/s12687-014-0208-y</vt:lpwstr>
      </vt:variant>
      <vt:variant>
        <vt:lpwstr/>
      </vt:variant>
      <vt:variant>
        <vt:i4>5570625</vt:i4>
      </vt:variant>
      <vt:variant>
        <vt:i4>2427</vt:i4>
      </vt:variant>
      <vt:variant>
        <vt:i4>0</vt:i4>
      </vt:variant>
      <vt:variant>
        <vt:i4>5</vt:i4>
      </vt:variant>
      <vt:variant>
        <vt:lpwstr>http://dx.doi.org/10.1002/humu.21327</vt:lpwstr>
      </vt:variant>
      <vt:variant>
        <vt:lpwstr/>
      </vt:variant>
      <vt:variant>
        <vt:i4>2818158</vt:i4>
      </vt:variant>
      <vt:variant>
        <vt:i4>2424</vt:i4>
      </vt:variant>
      <vt:variant>
        <vt:i4>0</vt:i4>
      </vt:variant>
      <vt:variant>
        <vt:i4>5</vt:i4>
      </vt:variant>
      <vt:variant>
        <vt:lpwstr>https://www.ncbi.nlm.nih.gov/books/NBK1214/</vt:lpwstr>
      </vt:variant>
      <vt:variant>
        <vt:lpwstr/>
      </vt:variant>
      <vt:variant>
        <vt:i4>7602300</vt:i4>
      </vt:variant>
      <vt:variant>
        <vt:i4>2421</vt:i4>
      </vt:variant>
      <vt:variant>
        <vt:i4>0</vt:i4>
      </vt:variant>
      <vt:variant>
        <vt:i4>5</vt:i4>
      </vt:variant>
      <vt:variant>
        <vt:lpwstr>http://ovidsp.ovid.com/ovidweb.cgi?T=JS&amp;PAGE=reference&amp;D=med4&amp;NEWS=N&amp;AN=9758600</vt:lpwstr>
      </vt:variant>
      <vt:variant>
        <vt:lpwstr/>
      </vt:variant>
      <vt:variant>
        <vt:i4>5308424</vt:i4>
      </vt:variant>
      <vt:variant>
        <vt:i4>2418</vt:i4>
      </vt:variant>
      <vt:variant>
        <vt:i4>0</vt:i4>
      </vt:variant>
      <vt:variant>
        <vt:i4>5</vt:i4>
      </vt:variant>
      <vt:variant>
        <vt:lpwstr>https://ranzcog.edu.au/RANZCOG_SITE/media/RANZCOG-MEDIA/Women%27s Health/Statement and guidelines/Clinical-Obstetrics/Genetic-carrier-screening(C-Obs-63)New-March-2019_1.pdf?ext=.pdf</vt:lpwstr>
      </vt:variant>
      <vt:variant>
        <vt:lpwstr/>
      </vt:variant>
      <vt:variant>
        <vt:i4>786523</vt:i4>
      </vt:variant>
      <vt:variant>
        <vt:i4>2415</vt:i4>
      </vt:variant>
      <vt:variant>
        <vt:i4>0</vt:i4>
      </vt:variant>
      <vt:variant>
        <vt:i4>5</vt:i4>
      </vt:variant>
      <vt:variant>
        <vt:lpwstr>http://www.msac.gov.au/internet/msac/publishing.nsf/Content/1A04D787DCAB9DB2CA2586D1001C3CDB/$File/1671 Ratified PICO.pdf</vt:lpwstr>
      </vt:variant>
      <vt:variant>
        <vt:lpwstr/>
      </vt:variant>
      <vt:variant>
        <vt:i4>2490473</vt:i4>
      </vt:variant>
      <vt:variant>
        <vt:i4>2412</vt:i4>
      </vt:variant>
      <vt:variant>
        <vt:i4>0</vt:i4>
      </vt:variant>
      <vt:variant>
        <vt:i4>5</vt:i4>
      </vt:variant>
      <vt:variant>
        <vt:lpwstr>https://www.ncbi.nlm.nih.gov/books/NBK1269/</vt:lpwstr>
      </vt:variant>
      <vt:variant>
        <vt:lpwstr/>
      </vt:variant>
      <vt:variant>
        <vt:i4>2293802</vt:i4>
      </vt:variant>
      <vt:variant>
        <vt:i4>2409</vt:i4>
      </vt:variant>
      <vt:variant>
        <vt:i4>0</vt:i4>
      </vt:variant>
      <vt:variant>
        <vt:i4>5</vt:i4>
      </vt:variant>
      <vt:variant>
        <vt:lpwstr>https://www.nhlbi.nih.gov/health-topics/study-quality-assessment-tools</vt:lpwstr>
      </vt:variant>
      <vt:variant>
        <vt:lpwstr/>
      </vt:variant>
      <vt:variant>
        <vt:i4>2293802</vt:i4>
      </vt:variant>
      <vt:variant>
        <vt:i4>2406</vt:i4>
      </vt:variant>
      <vt:variant>
        <vt:i4>0</vt:i4>
      </vt:variant>
      <vt:variant>
        <vt:i4>5</vt:i4>
      </vt:variant>
      <vt:variant>
        <vt:lpwstr>https://www.nhlbi.nih.gov/health-topics/study-quality-assessment-tools</vt:lpwstr>
      </vt:variant>
      <vt:variant>
        <vt:lpwstr/>
      </vt:variant>
      <vt:variant>
        <vt:i4>8061031</vt:i4>
      </vt:variant>
      <vt:variant>
        <vt:i4>2403</vt:i4>
      </vt:variant>
      <vt:variant>
        <vt:i4>0</vt:i4>
      </vt:variant>
      <vt:variant>
        <vt:i4>5</vt:i4>
      </vt:variant>
      <vt:variant>
        <vt:lpwstr>https://ghr.nlm.nih.gov/condition/niemann-pick-disease</vt:lpwstr>
      </vt:variant>
      <vt:variant>
        <vt:lpwstr/>
      </vt:variant>
      <vt:variant>
        <vt:i4>589849</vt:i4>
      </vt:variant>
      <vt:variant>
        <vt:i4>2400</vt:i4>
      </vt:variant>
      <vt:variant>
        <vt:i4>0</vt:i4>
      </vt:variant>
      <vt:variant>
        <vt:i4>5</vt:i4>
      </vt:variant>
      <vt:variant>
        <vt:lpwstr>https://ghr.nlm.nih.gov/condition/glycogen-storage-disease-type-i</vt:lpwstr>
      </vt:variant>
      <vt:variant>
        <vt:lpwstr/>
      </vt:variant>
      <vt:variant>
        <vt:i4>1966145</vt:i4>
      </vt:variant>
      <vt:variant>
        <vt:i4>2397</vt:i4>
      </vt:variant>
      <vt:variant>
        <vt:i4>0</vt:i4>
      </vt:variant>
      <vt:variant>
        <vt:i4>5</vt:i4>
      </vt:variant>
      <vt:variant>
        <vt:lpwstr>https://ghr.nlm.nih.gov/condition/canavan-disease</vt:lpwstr>
      </vt:variant>
      <vt:variant>
        <vt:lpwstr/>
      </vt:variant>
      <vt:variant>
        <vt:i4>1310784</vt:i4>
      </vt:variant>
      <vt:variant>
        <vt:i4>2394</vt:i4>
      </vt:variant>
      <vt:variant>
        <vt:i4>0</vt:i4>
      </vt:variant>
      <vt:variant>
        <vt:i4>5</vt:i4>
      </vt:variant>
      <vt:variant>
        <vt:lpwstr>https://ghr.nlm.nih.gov/condition/bloom-syndrome</vt:lpwstr>
      </vt:variant>
      <vt:variant>
        <vt:lpwstr/>
      </vt:variant>
      <vt:variant>
        <vt:i4>6881405</vt:i4>
      </vt:variant>
      <vt:variant>
        <vt:i4>2391</vt:i4>
      </vt:variant>
      <vt:variant>
        <vt:i4>0</vt:i4>
      </vt:variant>
      <vt:variant>
        <vt:i4>5</vt:i4>
      </vt:variant>
      <vt:variant>
        <vt:lpwstr>https://ghr.nlm.nih.gov/condition/mucolipidosis-type-iv</vt:lpwstr>
      </vt:variant>
      <vt:variant>
        <vt:lpwstr/>
      </vt:variant>
      <vt:variant>
        <vt:i4>2818150</vt:i4>
      </vt:variant>
      <vt:variant>
        <vt:i4>2388</vt:i4>
      </vt:variant>
      <vt:variant>
        <vt:i4>0</vt:i4>
      </vt:variant>
      <vt:variant>
        <vt:i4>5</vt:i4>
      </vt:variant>
      <vt:variant>
        <vt:lpwstr>https://ghr.nlm.nih.gov/condition/familial-dysautonomia</vt:lpwstr>
      </vt:variant>
      <vt:variant>
        <vt:lpwstr/>
      </vt:variant>
      <vt:variant>
        <vt:i4>3801146</vt:i4>
      </vt:variant>
      <vt:variant>
        <vt:i4>2385</vt:i4>
      </vt:variant>
      <vt:variant>
        <vt:i4>0</vt:i4>
      </vt:variant>
      <vt:variant>
        <vt:i4>5</vt:i4>
      </vt:variant>
      <vt:variant>
        <vt:lpwstr>https://ghr.nlm.nih.gov/condition/tay-sachs-disease</vt:lpwstr>
      </vt:variant>
      <vt:variant>
        <vt:lpwstr/>
      </vt:variant>
      <vt:variant>
        <vt:i4>917569</vt:i4>
      </vt:variant>
      <vt:variant>
        <vt:i4>2382</vt:i4>
      </vt:variant>
      <vt:variant>
        <vt:i4>0</vt:i4>
      </vt:variant>
      <vt:variant>
        <vt:i4>5</vt:i4>
      </vt:variant>
      <vt:variant>
        <vt:lpwstr>https://ghr.nlm.nih.gov/condition/fanconi-anemia</vt:lpwstr>
      </vt:variant>
      <vt:variant>
        <vt:lpwstr/>
      </vt:variant>
      <vt:variant>
        <vt:i4>720918</vt:i4>
      </vt:variant>
      <vt:variant>
        <vt:i4>2379</vt:i4>
      </vt:variant>
      <vt:variant>
        <vt:i4>0</vt:i4>
      </vt:variant>
      <vt:variant>
        <vt:i4>5</vt:i4>
      </vt:variant>
      <vt:variant>
        <vt:lpwstr>https://ghr.nlm.nih.gov/gene/HEXA</vt:lpwstr>
      </vt:variant>
      <vt:variant>
        <vt:lpwstr>location</vt:lpwstr>
      </vt:variant>
      <vt:variant>
        <vt:i4>8126590</vt:i4>
      </vt:variant>
      <vt:variant>
        <vt:i4>2376</vt:i4>
      </vt:variant>
      <vt:variant>
        <vt:i4>0</vt:i4>
      </vt:variant>
      <vt:variant>
        <vt:i4>5</vt:i4>
      </vt:variant>
      <vt:variant>
        <vt:lpwstr>http://ovidsp.ovid.com/ovidweb.cgi?T=JS&amp;PAGE=reference&amp;D=med3&amp;NEWS=N&amp;AN=7497140</vt:lpwstr>
      </vt:variant>
      <vt:variant>
        <vt:lpwstr/>
      </vt:variant>
      <vt:variant>
        <vt:i4>2621551</vt:i4>
      </vt:variant>
      <vt:variant>
        <vt:i4>2373</vt:i4>
      </vt:variant>
      <vt:variant>
        <vt:i4>0</vt:i4>
      </vt:variant>
      <vt:variant>
        <vt:i4>5</vt:i4>
      </vt:variant>
      <vt:variant>
        <vt:lpwstr>https://www.ncbi.nlm.nih.gov/books/NBK1401/</vt:lpwstr>
      </vt:variant>
      <vt:variant>
        <vt:lpwstr/>
      </vt:variant>
      <vt:variant>
        <vt:i4>1245308</vt:i4>
      </vt:variant>
      <vt:variant>
        <vt:i4>2370</vt:i4>
      </vt:variant>
      <vt:variant>
        <vt:i4>0</vt:i4>
      </vt:variant>
      <vt:variant>
        <vt:i4>5</vt:i4>
      </vt:variant>
      <vt:variant>
        <vt:lpwstr>http://www.msac.gov.au/internet/msac/publishing.nsf/Content/4EF0E3C5A7CC9D05CA2584240009557E/$File/1573 - Final PSD_Jul2020.pdf</vt:lpwstr>
      </vt:variant>
      <vt:variant>
        <vt:lpwstr/>
      </vt:variant>
      <vt:variant>
        <vt:i4>3014754</vt:i4>
      </vt:variant>
      <vt:variant>
        <vt:i4>2367</vt:i4>
      </vt:variant>
      <vt:variant>
        <vt:i4>0</vt:i4>
      </vt:variant>
      <vt:variant>
        <vt:i4>5</vt:i4>
      </vt:variant>
      <vt:variant>
        <vt:lpwstr>http://dx.doi.org/10.1111/j.1479-828X.2009.01111.x</vt:lpwstr>
      </vt:variant>
      <vt:variant>
        <vt:lpwstr/>
      </vt:variant>
      <vt:variant>
        <vt:i4>2818156</vt:i4>
      </vt:variant>
      <vt:variant>
        <vt:i4>2364</vt:i4>
      </vt:variant>
      <vt:variant>
        <vt:i4>0</vt:i4>
      </vt:variant>
      <vt:variant>
        <vt:i4>5</vt:i4>
      </vt:variant>
      <vt:variant>
        <vt:lpwstr>https://www.ncbi.nlm.nih.gov/books/NBK1234/</vt:lpwstr>
      </vt:variant>
      <vt:variant>
        <vt:lpwstr/>
      </vt:variant>
      <vt:variant>
        <vt:i4>2162739</vt:i4>
      </vt:variant>
      <vt:variant>
        <vt:i4>2361</vt:i4>
      </vt:variant>
      <vt:variant>
        <vt:i4>0</vt:i4>
      </vt:variant>
      <vt:variant>
        <vt:i4>5</vt:i4>
      </vt:variant>
      <vt:variant>
        <vt:lpwstr>https://www.mariestopes.org.au/wp-content/uploads/Real-Choices-Key-Findings.pdf</vt:lpwstr>
      </vt:variant>
      <vt:variant>
        <vt:lpwstr/>
      </vt:variant>
      <vt:variant>
        <vt:i4>1179654</vt:i4>
      </vt:variant>
      <vt:variant>
        <vt:i4>2358</vt:i4>
      </vt:variant>
      <vt:variant>
        <vt:i4>0</vt:i4>
      </vt:variant>
      <vt:variant>
        <vt:i4>5</vt:i4>
      </vt:variant>
      <vt:variant>
        <vt:lpwstr>https://dx.doi.org/10.1016/j.ajog.2010.01.032</vt:lpwstr>
      </vt:variant>
      <vt:variant>
        <vt:lpwstr/>
      </vt:variant>
      <vt:variant>
        <vt:i4>8192028</vt:i4>
      </vt:variant>
      <vt:variant>
        <vt:i4>2355</vt:i4>
      </vt:variant>
      <vt:variant>
        <vt:i4>0</vt:i4>
      </vt:variant>
      <vt:variant>
        <vt:i4>5</vt:i4>
      </vt:variant>
      <vt:variant>
        <vt:lpwstr>https://legacyscreening.phe.org.uk/policydb_download.php?doc=213</vt:lpwstr>
      </vt:variant>
      <vt:variant>
        <vt:lpwstr/>
      </vt:variant>
      <vt:variant>
        <vt:i4>1769558</vt:i4>
      </vt:variant>
      <vt:variant>
        <vt:i4>2352</vt:i4>
      </vt:variant>
      <vt:variant>
        <vt:i4>0</vt:i4>
      </vt:variant>
      <vt:variant>
        <vt:i4>5</vt:i4>
      </vt:variant>
      <vt:variant>
        <vt:lpwstr>http://dx.doi.org/10.5694/mja12.11010</vt:lpwstr>
      </vt:variant>
      <vt:variant>
        <vt:lpwstr/>
      </vt:variant>
      <vt:variant>
        <vt:i4>5570685</vt:i4>
      </vt:variant>
      <vt:variant>
        <vt:i4>2349</vt:i4>
      </vt:variant>
      <vt:variant>
        <vt:i4>0</vt:i4>
      </vt:variant>
      <vt:variant>
        <vt:i4>5</vt:i4>
      </vt:variant>
      <vt:variant>
        <vt:lpwstr>https://www.ncbi.nlm.nih.gov/books/NBK1218/pdf/Bookshelf_NBK1218.pdf</vt:lpwstr>
      </vt:variant>
      <vt:variant>
        <vt:lpwstr/>
      </vt:variant>
      <vt:variant>
        <vt:i4>3932216</vt:i4>
      </vt:variant>
      <vt:variant>
        <vt:i4>2346</vt:i4>
      </vt:variant>
      <vt:variant>
        <vt:i4>0</vt:i4>
      </vt:variant>
      <vt:variant>
        <vt:i4>5</vt:i4>
      </vt:variant>
      <vt:variant>
        <vt:lpwstr>https://www.ihe.ca/publications/ihe-quality-appraisal-checklist-for-case-series-studies</vt:lpwstr>
      </vt:variant>
      <vt:variant>
        <vt:lpwstr/>
      </vt:variant>
      <vt:variant>
        <vt:i4>3801144</vt:i4>
      </vt:variant>
      <vt:variant>
        <vt:i4>2343</vt:i4>
      </vt:variant>
      <vt:variant>
        <vt:i4>0</vt:i4>
      </vt:variant>
      <vt:variant>
        <vt:i4>5</vt:i4>
      </vt:variant>
      <vt:variant>
        <vt:lpwstr>https://www.hgsa.org.au/documents/item/6092</vt:lpwstr>
      </vt:variant>
      <vt:variant>
        <vt:lpwstr/>
      </vt:variant>
      <vt:variant>
        <vt:i4>6094866</vt:i4>
      </vt:variant>
      <vt:variant>
        <vt:i4>2340</vt:i4>
      </vt:variant>
      <vt:variant>
        <vt:i4>0</vt:i4>
      </vt:variant>
      <vt:variant>
        <vt:i4>5</vt:i4>
      </vt:variant>
      <vt:variant>
        <vt:lpwstr>https://onlinelibrary.wiley.com/doi/abs/10.1023/B%3ABOLI.0000028837.63607.f0?sid=nlm%3Apubmed</vt:lpwstr>
      </vt:variant>
      <vt:variant>
        <vt:lpwstr/>
      </vt:variant>
      <vt:variant>
        <vt:i4>4456527</vt:i4>
      </vt:variant>
      <vt:variant>
        <vt:i4>2337</vt:i4>
      </vt:variant>
      <vt:variant>
        <vt:i4>0</vt:i4>
      </vt:variant>
      <vt:variant>
        <vt:i4>5</vt:i4>
      </vt:variant>
      <vt:variant>
        <vt:lpwstr>http://ovidsp.ovid.com/ovidweb.cgi?T=JS&amp;PAGE=reference&amp;D=med5&amp;NEWS=N&amp;AN=15243987</vt:lpwstr>
      </vt:variant>
      <vt:variant>
        <vt:lpwstr/>
      </vt:variant>
      <vt:variant>
        <vt:i4>3801144</vt:i4>
      </vt:variant>
      <vt:variant>
        <vt:i4>2334</vt:i4>
      </vt:variant>
      <vt:variant>
        <vt:i4>0</vt:i4>
      </vt:variant>
      <vt:variant>
        <vt:i4>5</vt:i4>
      </vt:variant>
      <vt:variant>
        <vt:lpwstr>https://www.hgsa.org.au/documents/item/6092</vt:lpwstr>
      </vt:variant>
      <vt:variant>
        <vt:lpwstr/>
      </vt:variant>
      <vt:variant>
        <vt:i4>4849669</vt:i4>
      </vt:variant>
      <vt:variant>
        <vt:i4>2331</vt:i4>
      </vt:variant>
      <vt:variant>
        <vt:i4>0</vt:i4>
      </vt:variant>
      <vt:variant>
        <vt:i4>5</vt:i4>
      </vt:variant>
      <vt:variant>
        <vt:lpwstr>https://www.ncbi.nlm.nih.gov/pmc/articles/PMC1867596/pdf/JMD008000282.pdf</vt:lpwstr>
      </vt:variant>
      <vt:variant>
        <vt:lpwstr/>
      </vt:variant>
      <vt:variant>
        <vt:i4>4980807</vt:i4>
      </vt:variant>
      <vt:variant>
        <vt:i4>2328</vt:i4>
      </vt:variant>
      <vt:variant>
        <vt:i4>0</vt:i4>
      </vt:variant>
      <vt:variant>
        <vt:i4>5</vt:i4>
      </vt:variant>
      <vt:variant>
        <vt:lpwstr>http://ovidsp.ovid.com/ovidweb.cgi?T=JS&amp;PAGE=reference&amp;D=med6&amp;NEWS=N&amp;AN=16645217</vt:lpwstr>
      </vt:variant>
      <vt:variant>
        <vt:lpwstr/>
      </vt:variant>
      <vt:variant>
        <vt:i4>5898245</vt:i4>
      </vt:variant>
      <vt:variant>
        <vt:i4>2325</vt:i4>
      </vt:variant>
      <vt:variant>
        <vt:i4>0</vt:i4>
      </vt:variant>
      <vt:variant>
        <vt:i4>5</vt:i4>
      </vt:variant>
      <vt:variant>
        <vt:lpwstr>http://dx.doi.org/10.1016/j.ajog.2009.10.740</vt:lpwstr>
      </vt:variant>
      <vt:variant>
        <vt:lpwstr/>
      </vt:variant>
      <vt:variant>
        <vt:i4>1048657</vt:i4>
      </vt:variant>
      <vt:variant>
        <vt:i4>2322</vt:i4>
      </vt:variant>
      <vt:variant>
        <vt:i4>0</vt:i4>
      </vt:variant>
      <vt:variant>
        <vt:i4>5</vt:i4>
      </vt:variant>
      <vt:variant>
        <vt:lpwstr>https://www.ncbi.nlm.nih.gov/books/NBK448138/</vt:lpwstr>
      </vt:variant>
      <vt:variant>
        <vt:lpwstr/>
      </vt:variant>
      <vt:variant>
        <vt:i4>1441810</vt:i4>
      </vt:variant>
      <vt:variant>
        <vt:i4>2319</vt:i4>
      </vt:variant>
      <vt:variant>
        <vt:i4>0</vt:i4>
      </vt:variant>
      <vt:variant>
        <vt:i4>5</vt:i4>
      </vt:variant>
      <vt:variant>
        <vt:lpwstr>https://jca.org.au/wp-content/uploads/2020/06/Census-Report-2016-1.1.pdf</vt:lpwstr>
      </vt:variant>
      <vt:variant>
        <vt:lpwstr/>
      </vt:variant>
      <vt:variant>
        <vt:i4>2490470</vt:i4>
      </vt:variant>
      <vt:variant>
        <vt:i4>2316</vt:i4>
      </vt:variant>
      <vt:variant>
        <vt:i4>0</vt:i4>
      </vt:variant>
      <vt:variant>
        <vt:i4>5</vt:i4>
      </vt:variant>
      <vt:variant>
        <vt:lpwstr>https://www.ncbi.nlm.nih.gov/books/NBK1398/</vt:lpwstr>
      </vt:variant>
      <vt:variant>
        <vt:lpwstr/>
      </vt:variant>
      <vt:variant>
        <vt:i4>131086</vt:i4>
      </vt:variant>
      <vt:variant>
        <vt:i4>2313</vt:i4>
      </vt:variant>
      <vt:variant>
        <vt:i4>0</vt:i4>
      </vt:variant>
      <vt:variant>
        <vt:i4>5</vt:i4>
      </vt:variant>
      <vt:variant>
        <vt:lpwstr>http://dx.doi.org/10.1002/pd.1943</vt:lpwstr>
      </vt:variant>
      <vt:variant>
        <vt:lpwstr/>
      </vt:variant>
      <vt:variant>
        <vt:i4>5373952</vt:i4>
      </vt:variant>
      <vt:variant>
        <vt:i4>2310</vt:i4>
      </vt:variant>
      <vt:variant>
        <vt:i4>0</vt:i4>
      </vt:variant>
      <vt:variant>
        <vt:i4>5</vt:i4>
      </vt:variant>
      <vt:variant>
        <vt:lpwstr>http://dx.doi.org/10.1016/j.ajog.2019.11.817</vt:lpwstr>
      </vt:variant>
      <vt:variant>
        <vt:lpwstr/>
      </vt:variant>
      <vt:variant>
        <vt:i4>131100</vt:i4>
      </vt:variant>
      <vt:variant>
        <vt:i4>2307</vt:i4>
      </vt:variant>
      <vt:variant>
        <vt:i4>0</vt:i4>
      </vt:variant>
      <vt:variant>
        <vt:i4>5</vt:i4>
      </vt:variant>
      <vt:variant>
        <vt:lpwstr>http://www.msac.gov.au/internet/msac/publishing.nsf/Content/E0D4E4EDDE91EAC8CA2586E0007AFC75/$File/MSAC Guidelines-complete-16-FINAL(18May21).pdf</vt:lpwstr>
      </vt:variant>
      <vt:variant>
        <vt:lpwstr/>
      </vt:variant>
      <vt:variant>
        <vt:i4>5832733</vt:i4>
      </vt:variant>
      <vt:variant>
        <vt:i4>2304</vt:i4>
      </vt:variant>
      <vt:variant>
        <vt:i4>0</vt:i4>
      </vt:variant>
      <vt:variant>
        <vt:i4>5</vt:i4>
      </vt:variant>
      <vt:variant>
        <vt:lpwstr>https://www.health.gov.au/resources/publications/lsdp-gaucher-guidelines</vt:lpwstr>
      </vt:variant>
      <vt:variant>
        <vt:lpwstr/>
      </vt:variant>
      <vt:variant>
        <vt:i4>3342387</vt:i4>
      </vt:variant>
      <vt:variant>
        <vt:i4>2301</vt:i4>
      </vt:variant>
      <vt:variant>
        <vt:i4>0</vt:i4>
      </vt:variant>
      <vt:variant>
        <vt:i4>5</vt:i4>
      </vt:variant>
      <vt:variant>
        <vt:lpwstr>https://www.ncbi.nlm.nih.gov/pmc/articles/PMC2543729/pdf/bmj00621-0018.pdf</vt:lpwstr>
      </vt:variant>
      <vt:variant>
        <vt:lpwstr/>
      </vt:variant>
      <vt:variant>
        <vt:i4>8192120</vt:i4>
      </vt:variant>
      <vt:variant>
        <vt:i4>2298</vt:i4>
      </vt:variant>
      <vt:variant>
        <vt:i4>0</vt:i4>
      </vt:variant>
      <vt:variant>
        <vt:i4>5</vt:i4>
      </vt:variant>
      <vt:variant>
        <vt:lpwstr>http://ovidsp.ovid.com/ovidweb.cgi?T=JS&amp;PAGE=reference&amp;D=med3&amp;NEWS=N&amp;AN=8520332</vt:lpwstr>
      </vt:variant>
      <vt:variant>
        <vt:lpwstr/>
      </vt:variant>
      <vt:variant>
        <vt:i4>5505052</vt:i4>
      </vt:variant>
      <vt:variant>
        <vt:i4>2295</vt:i4>
      </vt:variant>
      <vt:variant>
        <vt:i4>0</vt:i4>
      </vt:variant>
      <vt:variant>
        <vt:i4>5</vt:i4>
      </vt:variant>
      <vt:variant>
        <vt:lpwstr>https://casp-uk.b-cdn.net/wp-content/uploads/2018/01/CASP-Qualitative-Checklist-2018.pdf</vt:lpwstr>
      </vt:variant>
      <vt:variant>
        <vt:lpwstr/>
      </vt:variant>
      <vt:variant>
        <vt:i4>6684772</vt:i4>
      </vt:variant>
      <vt:variant>
        <vt:i4>2292</vt:i4>
      </vt:variant>
      <vt:variant>
        <vt:i4>0</vt:i4>
      </vt:variant>
      <vt:variant>
        <vt:i4>5</vt:i4>
      </vt:variant>
      <vt:variant>
        <vt:lpwstr>https://dx.doi.org/10.1002/mgg3.836</vt:lpwstr>
      </vt:variant>
      <vt:variant>
        <vt:lpwstr/>
      </vt:variant>
      <vt:variant>
        <vt:i4>2883694</vt:i4>
      </vt:variant>
      <vt:variant>
        <vt:i4>2289</vt:i4>
      </vt:variant>
      <vt:variant>
        <vt:i4>0</vt:i4>
      </vt:variant>
      <vt:variant>
        <vt:i4>5</vt:i4>
      </vt:variant>
      <vt:variant>
        <vt:lpwstr>https://www.ncbi.nlm.nih.gov/books/NBK1312/</vt:lpwstr>
      </vt:variant>
      <vt:variant>
        <vt:lpwstr/>
      </vt:variant>
      <vt:variant>
        <vt:i4>1441883</vt:i4>
      </vt:variant>
      <vt:variant>
        <vt:i4>2286</vt:i4>
      </vt:variant>
      <vt:variant>
        <vt:i4>0</vt:i4>
      </vt:variant>
      <vt:variant>
        <vt:i4>5</vt:i4>
      </vt:variant>
      <vt:variant>
        <vt:lpwstr>http://dx.doi.org/10.1177/0272989X9801800209</vt:lpwstr>
      </vt:variant>
      <vt:variant>
        <vt:lpwstr/>
      </vt:variant>
      <vt:variant>
        <vt:i4>1179716</vt:i4>
      </vt:variant>
      <vt:variant>
        <vt:i4>2283</vt:i4>
      </vt:variant>
      <vt:variant>
        <vt:i4>0</vt:i4>
      </vt:variant>
      <vt:variant>
        <vt:i4>5</vt:i4>
      </vt:variant>
      <vt:variant>
        <vt:lpwstr>http://dx.doi.org/10.1038/gim.2016.30</vt:lpwstr>
      </vt:variant>
      <vt:variant>
        <vt:lpwstr/>
      </vt:variant>
      <vt:variant>
        <vt:i4>1310747</vt:i4>
      </vt:variant>
      <vt:variant>
        <vt:i4>2280</vt:i4>
      </vt:variant>
      <vt:variant>
        <vt:i4>0</vt:i4>
      </vt:variant>
      <vt:variant>
        <vt:i4>5</vt:i4>
      </vt:variant>
      <vt:variant>
        <vt:lpwstr>https://dx.doi.org/10.7705/biomedica.4816</vt:lpwstr>
      </vt:variant>
      <vt:variant>
        <vt:lpwstr/>
      </vt:variant>
      <vt:variant>
        <vt:i4>1638459</vt:i4>
      </vt:variant>
      <vt:variant>
        <vt:i4>596</vt:i4>
      </vt:variant>
      <vt:variant>
        <vt:i4>0</vt:i4>
      </vt:variant>
      <vt:variant>
        <vt:i4>5</vt:i4>
      </vt:variant>
      <vt:variant>
        <vt:lpwstr/>
      </vt:variant>
      <vt:variant>
        <vt:lpwstr>_Toc98374455</vt:lpwstr>
      </vt:variant>
      <vt:variant>
        <vt:i4>1572923</vt:i4>
      </vt:variant>
      <vt:variant>
        <vt:i4>590</vt:i4>
      </vt:variant>
      <vt:variant>
        <vt:i4>0</vt:i4>
      </vt:variant>
      <vt:variant>
        <vt:i4>5</vt:i4>
      </vt:variant>
      <vt:variant>
        <vt:lpwstr/>
      </vt:variant>
      <vt:variant>
        <vt:lpwstr>_Toc98374454</vt:lpwstr>
      </vt:variant>
      <vt:variant>
        <vt:i4>2031675</vt:i4>
      </vt:variant>
      <vt:variant>
        <vt:i4>584</vt:i4>
      </vt:variant>
      <vt:variant>
        <vt:i4>0</vt:i4>
      </vt:variant>
      <vt:variant>
        <vt:i4>5</vt:i4>
      </vt:variant>
      <vt:variant>
        <vt:lpwstr/>
      </vt:variant>
      <vt:variant>
        <vt:lpwstr>_Toc98374453</vt:lpwstr>
      </vt:variant>
      <vt:variant>
        <vt:i4>1966139</vt:i4>
      </vt:variant>
      <vt:variant>
        <vt:i4>578</vt:i4>
      </vt:variant>
      <vt:variant>
        <vt:i4>0</vt:i4>
      </vt:variant>
      <vt:variant>
        <vt:i4>5</vt:i4>
      </vt:variant>
      <vt:variant>
        <vt:lpwstr/>
      </vt:variant>
      <vt:variant>
        <vt:lpwstr>_Toc98374452</vt:lpwstr>
      </vt:variant>
      <vt:variant>
        <vt:i4>1900603</vt:i4>
      </vt:variant>
      <vt:variant>
        <vt:i4>572</vt:i4>
      </vt:variant>
      <vt:variant>
        <vt:i4>0</vt:i4>
      </vt:variant>
      <vt:variant>
        <vt:i4>5</vt:i4>
      </vt:variant>
      <vt:variant>
        <vt:lpwstr/>
      </vt:variant>
      <vt:variant>
        <vt:lpwstr>_Toc98374451</vt:lpwstr>
      </vt:variant>
      <vt:variant>
        <vt:i4>1835067</vt:i4>
      </vt:variant>
      <vt:variant>
        <vt:i4>566</vt:i4>
      </vt:variant>
      <vt:variant>
        <vt:i4>0</vt:i4>
      </vt:variant>
      <vt:variant>
        <vt:i4>5</vt:i4>
      </vt:variant>
      <vt:variant>
        <vt:lpwstr/>
      </vt:variant>
      <vt:variant>
        <vt:lpwstr>_Toc98374450</vt:lpwstr>
      </vt:variant>
      <vt:variant>
        <vt:i4>1376314</vt:i4>
      </vt:variant>
      <vt:variant>
        <vt:i4>560</vt:i4>
      </vt:variant>
      <vt:variant>
        <vt:i4>0</vt:i4>
      </vt:variant>
      <vt:variant>
        <vt:i4>5</vt:i4>
      </vt:variant>
      <vt:variant>
        <vt:lpwstr/>
      </vt:variant>
      <vt:variant>
        <vt:lpwstr>_Toc98374449</vt:lpwstr>
      </vt:variant>
      <vt:variant>
        <vt:i4>1310778</vt:i4>
      </vt:variant>
      <vt:variant>
        <vt:i4>554</vt:i4>
      </vt:variant>
      <vt:variant>
        <vt:i4>0</vt:i4>
      </vt:variant>
      <vt:variant>
        <vt:i4>5</vt:i4>
      </vt:variant>
      <vt:variant>
        <vt:lpwstr/>
      </vt:variant>
      <vt:variant>
        <vt:lpwstr>_Toc98374448</vt:lpwstr>
      </vt:variant>
      <vt:variant>
        <vt:i4>1769530</vt:i4>
      </vt:variant>
      <vt:variant>
        <vt:i4>548</vt:i4>
      </vt:variant>
      <vt:variant>
        <vt:i4>0</vt:i4>
      </vt:variant>
      <vt:variant>
        <vt:i4>5</vt:i4>
      </vt:variant>
      <vt:variant>
        <vt:lpwstr/>
      </vt:variant>
      <vt:variant>
        <vt:lpwstr>_Toc98374447</vt:lpwstr>
      </vt:variant>
      <vt:variant>
        <vt:i4>1703994</vt:i4>
      </vt:variant>
      <vt:variant>
        <vt:i4>542</vt:i4>
      </vt:variant>
      <vt:variant>
        <vt:i4>0</vt:i4>
      </vt:variant>
      <vt:variant>
        <vt:i4>5</vt:i4>
      </vt:variant>
      <vt:variant>
        <vt:lpwstr/>
      </vt:variant>
      <vt:variant>
        <vt:lpwstr>_Toc98374446</vt:lpwstr>
      </vt:variant>
      <vt:variant>
        <vt:i4>1638458</vt:i4>
      </vt:variant>
      <vt:variant>
        <vt:i4>536</vt:i4>
      </vt:variant>
      <vt:variant>
        <vt:i4>0</vt:i4>
      </vt:variant>
      <vt:variant>
        <vt:i4>5</vt:i4>
      </vt:variant>
      <vt:variant>
        <vt:lpwstr/>
      </vt:variant>
      <vt:variant>
        <vt:lpwstr>_Toc98374445</vt:lpwstr>
      </vt:variant>
      <vt:variant>
        <vt:i4>1572922</vt:i4>
      </vt:variant>
      <vt:variant>
        <vt:i4>530</vt:i4>
      </vt:variant>
      <vt:variant>
        <vt:i4>0</vt:i4>
      </vt:variant>
      <vt:variant>
        <vt:i4>5</vt:i4>
      </vt:variant>
      <vt:variant>
        <vt:lpwstr/>
      </vt:variant>
      <vt:variant>
        <vt:lpwstr>_Toc98374444</vt:lpwstr>
      </vt:variant>
      <vt:variant>
        <vt:i4>2031674</vt:i4>
      </vt:variant>
      <vt:variant>
        <vt:i4>524</vt:i4>
      </vt:variant>
      <vt:variant>
        <vt:i4>0</vt:i4>
      </vt:variant>
      <vt:variant>
        <vt:i4>5</vt:i4>
      </vt:variant>
      <vt:variant>
        <vt:lpwstr/>
      </vt:variant>
      <vt:variant>
        <vt:lpwstr>_Toc98374443</vt:lpwstr>
      </vt:variant>
      <vt:variant>
        <vt:i4>1966138</vt:i4>
      </vt:variant>
      <vt:variant>
        <vt:i4>518</vt:i4>
      </vt:variant>
      <vt:variant>
        <vt:i4>0</vt:i4>
      </vt:variant>
      <vt:variant>
        <vt:i4>5</vt:i4>
      </vt:variant>
      <vt:variant>
        <vt:lpwstr/>
      </vt:variant>
      <vt:variant>
        <vt:lpwstr>_Toc98374442</vt:lpwstr>
      </vt:variant>
      <vt:variant>
        <vt:i4>1900602</vt:i4>
      </vt:variant>
      <vt:variant>
        <vt:i4>512</vt:i4>
      </vt:variant>
      <vt:variant>
        <vt:i4>0</vt:i4>
      </vt:variant>
      <vt:variant>
        <vt:i4>5</vt:i4>
      </vt:variant>
      <vt:variant>
        <vt:lpwstr/>
      </vt:variant>
      <vt:variant>
        <vt:lpwstr>_Toc98374441</vt:lpwstr>
      </vt:variant>
      <vt:variant>
        <vt:i4>1835066</vt:i4>
      </vt:variant>
      <vt:variant>
        <vt:i4>506</vt:i4>
      </vt:variant>
      <vt:variant>
        <vt:i4>0</vt:i4>
      </vt:variant>
      <vt:variant>
        <vt:i4>5</vt:i4>
      </vt:variant>
      <vt:variant>
        <vt:lpwstr/>
      </vt:variant>
      <vt:variant>
        <vt:lpwstr>_Toc98374440</vt:lpwstr>
      </vt:variant>
      <vt:variant>
        <vt:i4>1376317</vt:i4>
      </vt:variant>
      <vt:variant>
        <vt:i4>500</vt:i4>
      </vt:variant>
      <vt:variant>
        <vt:i4>0</vt:i4>
      </vt:variant>
      <vt:variant>
        <vt:i4>5</vt:i4>
      </vt:variant>
      <vt:variant>
        <vt:lpwstr/>
      </vt:variant>
      <vt:variant>
        <vt:lpwstr>_Toc98374439</vt:lpwstr>
      </vt:variant>
      <vt:variant>
        <vt:i4>1310781</vt:i4>
      </vt:variant>
      <vt:variant>
        <vt:i4>494</vt:i4>
      </vt:variant>
      <vt:variant>
        <vt:i4>0</vt:i4>
      </vt:variant>
      <vt:variant>
        <vt:i4>5</vt:i4>
      </vt:variant>
      <vt:variant>
        <vt:lpwstr/>
      </vt:variant>
      <vt:variant>
        <vt:lpwstr>_Toc98374438</vt:lpwstr>
      </vt:variant>
      <vt:variant>
        <vt:i4>1769533</vt:i4>
      </vt:variant>
      <vt:variant>
        <vt:i4>488</vt:i4>
      </vt:variant>
      <vt:variant>
        <vt:i4>0</vt:i4>
      </vt:variant>
      <vt:variant>
        <vt:i4>5</vt:i4>
      </vt:variant>
      <vt:variant>
        <vt:lpwstr/>
      </vt:variant>
      <vt:variant>
        <vt:lpwstr>_Toc98374437</vt:lpwstr>
      </vt:variant>
      <vt:variant>
        <vt:i4>1703997</vt:i4>
      </vt:variant>
      <vt:variant>
        <vt:i4>482</vt:i4>
      </vt:variant>
      <vt:variant>
        <vt:i4>0</vt:i4>
      </vt:variant>
      <vt:variant>
        <vt:i4>5</vt:i4>
      </vt:variant>
      <vt:variant>
        <vt:lpwstr/>
      </vt:variant>
      <vt:variant>
        <vt:lpwstr>_Toc98374436</vt:lpwstr>
      </vt:variant>
      <vt:variant>
        <vt:i4>1638461</vt:i4>
      </vt:variant>
      <vt:variant>
        <vt:i4>476</vt:i4>
      </vt:variant>
      <vt:variant>
        <vt:i4>0</vt:i4>
      </vt:variant>
      <vt:variant>
        <vt:i4>5</vt:i4>
      </vt:variant>
      <vt:variant>
        <vt:lpwstr/>
      </vt:variant>
      <vt:variant>
        <vt:lpwstr>_Toc98374435</vt:lpwstr>
      </vt:variant>
      <vt:variant>
        <vt:i4>1572925</vt:i4>
      </vt:variant>
      <vt:variant>
        <vt:i4>470</vt:i4>
      </vt:variant>
      <vt:variant>
        <vt:i4>0</vt:i4>
      </vt:variant>
      <vt:variant>
        <vt:i4>5</vt:i4>
      </vt:variant>
      <vt:variant>
        <vt:lpwstr/>
      </vt:variant>
      <vt:variant>
        <vt:lpwstr>_Toc98374434</vt:lpwstr>
      </vt:variant>
      <vt:variant>
        <vt:i4>2031677</vt:i4>
      </vt:variant>
      <vt:variant>
        <vt:i4>464</vt:i4>
      </vt:variant>
      <vt:variant>
        <vt:i4>0</vt:i4>
      </vt:variant>
      <vt:variant>
        <vt:i4>5</vt:i4>
      </vt:variant>
      <vt:variant>
        <vt:lpwstr/>
      </vt:variant>
      <vt:variant>
        <vt:lpwstr>_Toc98374433</vt:lpwstr>
      </vt:variant>
      <vt:variant>
        <vt:i4>1966141</vt:i4>
      </vt:variant>
      <vt:variant>
        <vt:i4>458</vt:i4>
      </vt:variant>
      <vt:variant>
        <vt:i4>0</vt:i4>
      </vt:variant>
      <vt:variant>
        <vt:i4>5</vt:i4>
      </vt:variant>
      <vt:variant>
        <vt:lpwstr/>
      </vt:variant>
      <vt:variant>
        <vt:lpwstr>_Toc98374432</vt:lpwstr>
      </vt:variant>
      <vt:variant>
        <vt:i4>1900605</vt:i4>
      </vt:variant>
      <vt:variant>
        <vt:i4>452</vt:i4>
      </vt:variant>
      <vt:variant>
        <vt:i4>0</vt:i4>
      </vt:variant>
      <vt:variant>
        <vt:i4>5</vt:i4>
      </vt:variant>
      <vt:variant>
        <vt:lpwstr/>
      </vt:variant>
      <vt:variant>
        <vt:lpwstr>_Toc98374431</vt:lpwstr>
      </vt:variant>
      <vt:variant>
        <vt:i4>1835069</vt:i4>
      </vt:variant>
      <vt:variant>
        <vt:i4>446</vt:i4>
      </vt:variant>
      <vt:variant>
        <vt:i4>0</vt:i4>
      </vt:variant>
      <vt:variant>
        <vt:i4>5</vt:i4>
      </vt:variant>
      <vt:variant>
        <vt:lpwstr/>
      </vt:variant>
      <vt:variant>
        <vt:lpwstr>_Toc98374430</vt:lpwstr>
      </vt:variant>
      <vt:variant>
        <vt:i4>1376316</vt:i4>
      </vt:variant>
      <vt:variant>
        <vt:i4>440</vt:i4>
      </vt:variant>
      <vt:variant>
        <vt:i4>0</vt:i4>
      </vt:variant>
      <vt:variant>
        <vt:i4>5</vt:i4>
      </vt:variant>
      <vt:variant>
        <vt:lpwstr/>
      </vt:variant>
      <vt:variant>
        <vt:lpwstr>_Toc98374429</vt:lpwstr>
      </vt:variant>
      <vt:variant>
        <vt:i4>1310780</vt:i4>
      </vt:variant>
      <vt:variant>
        <vt:i4>434</vt:i4>
      </vt:variant>
      <vt:variant>
        <vt:i4>0</vt:i4>
      </vt:variant>
      <vt:variant>
        <vt:i4>5</vt:i4>
      </vt:variant>
      <vt:variant>
        <vt:lpwstr/>
      </vt:variant>
      <vt:variant>
        <vt:lpwstr>_Toc98374428</vt:lpwstr>
      </vt:variant>
      <vt:variant>
        <vt:i4>1769532</vt:i4>
      </vt:variant>
      <vt:variant>
        <vt:i4>428</vt:i4>
      </vt:variant>
      <vt:variant>
        <vt:i4>0</vt:i4>
      </vt:variant>
      <vt:variant>
        <vt:i4>5</vt:i4>
      </vt:variant>
      <vt:variant>
        <vt:lpwstr/>
      </vt:variant>
      <vt:variant>
        <vt:lpwstr>_Toc98374427</vt:lpwstr>
      </vt:variant>
      <vt:variant>
        <vt:i4>1703996</vt:i4>
      </vt:variant>
      <vt:variant>
        <vt:i4>422</vt:i4>
      </vt:variant>
      <vt:variant>
        <vt:i4>0</vt:i4>
      </vt:variant>
      <vt:variant>
        <vt:i4>5</vt:i4>
      </vt:variant>
      <vt:variant>
        <vt:lpwstr/>
      </vt:variant>
      <vt:variant>
        <vt:lpwstr>_Toc98374426</vt:lpwstr>
      </vt:variant>
      <vt:variant>
        <vt:i4>1638460</vt:i4>
      </vt:variant>
      <vt:variant>
        <vt:i4>416</vt:i4>
      </vt:variant>
      <vt:variant>
        <vt:i4>0</vt:i4>
      </vt:variant>
      <vt:variant>
        <vt:i4>5</vt:i4>
      </vt:variant>
      <vt:variant>
        <vt:lpwstr/>
      </vt:variant>
      <vt:variant>
        <vt:lpwstr>_Toc98374425</vt:lpwstr>
      </vt:variant>
      <vt:variant>
        <vt:i4>1572924</vt:i4>
      </vt:variant>
      <vt:variant>
        <vt:i4>410</vt:i4>
      </vt:variant>
      <vt:variant>
        <vt:i4>0</vt:i4>
      </vt:variant>
      <vt:variant>
        <vt:i4>5</vt:i4>
      </vt:variant>
      <vt:variant>
        <vt:lpwstr/>
      </vt:variant>
      <vt:variant>
        <vt:lpwstr>_Toc98374424</vt:lpwstr>
      </vt:variant>
      <vt:variant>
        <vt:i4>2031676</vt:i4>
      </vt:variant>
      <vt:variant>
        <vt:i4>404</vt:i4>
      </vt:variant>
      <vt:variant>
        <vt:i4>0</vt:i4>
      </vt:variant>
      <vt:variant>
        <vt:i4>5</vt:i4>
      </vt:variant>
      <vt:variant>
        <vt:lpwstr/>
      </vt:variant>
      <vt:variant>
        <vt:lpwstr>_Toc98374423</vt:lpwstr>
      </vt:variant>
      <vt:variant>
        <vt:i4>1966140</vt:i4>
      </vt:variant>
      <vt:variant>
        <vt:i4>398</vt:i4>
      </vt:variant>
      <vt:variant>
        <vt:i4>0</vt:i4>
      </vt:variant>
      <vt:variant>
        <vt:i4>5</vt:i4>
      </vt:variant>
      <vt:variant>
        <vt:lpwstr/>
      </vt:variant>
      <vt:variant>
        <vt:lpwstr>_Toc98374422</vt:lpwstr>
      </vt:variant>
      <vt:variant>
        <vt:i4>1900604</vt:i4>
      </vt:variant>
      <vt:variant>
        <vt:i4>392</vt:i4>
      </vt:variant>
      <vt:variant>
        <vt:i4>0</vt:i4>
      </vt:variant>
      <vt:variant>
        <vt:i4>5</vt:i4>
      </vt:variant>
      <vt:variant>
        <vt:lpwstr/>
      </vt:variant>
      <vt:variant>
        <vt:lpwstr>_Toc98374421</vt:lpwstr>
      </vt:variant>
      <vt:variant>
        <vt:i4>1835068</vt:i4>
      </vt:variant>
      <vt:variant>
        <vt:i4>386</vt:i4>
      </vt:variant>
      <vt:variant>
        <vt:i4>0</vt:i4>
      </vt:variant>
      <vt:variant>
        <vt:i4>5</vt:i4>
      </vt:variant>
      <vt:variant>
        <vt:lpwstr/>
      </vt:variant>
      <vt:variant>
        <vt:lpwstr>_Toc98374420</vt:lpwstr>
      </vt:variant>
      <vt:variant>
        <vt:i4>1376319</vt:i4>
      </vt:variant>
      <vt:variant>
        <vt:i4>380</vt:i4>
      </vt:variant>
      <vt:variant>
        <vt:i4>0</vt:i4>
      </vt:variant>
      <vt:variant>
        <vt:i4>5</vt:i4>
      </vt:variant>
      <vt:variant>
        <vt:lpwstr/>
      </vt:variant>
      <vt:variant>
        <vt:lpwstr>_Toc98374419</vt:lpwstr>
      </vt:variant>
      <vt:variant>
        <vt:i4>1310783</vt:i4>
      </vt:variant>
      <vt:variant>
        <vt:i4>374</vt:i4>
      </vt:variant>
      <vt:variant>
        <vt:i4>0</vt:i4>
      </vt:variant>
      <vt:variant>
        <vt:i4>5</vt:i4>
      </vt:variant>
      <vt:variant>
        <vt:lpwstr/>
      </vt:variant>
      <vt:variant>
        <vt:lpwstr>_Toc98374418</vt:lpwstr>
      </vt:variant>
      <vt:variant>
        <vt:i4>1769535</vt:i4>
      </vt:variant>
      <vt:variant>
        <vt:i4>368</vt:i4>
      </vt:variant>
      <vt:variant>
        <vt:i4>0</vt:i4>
      </vt:variant>
      <vt:variant>
        <vt:i4>5</vt:i4>
      </vt:variant>
      <vt:variant>
        <vt:lpwstr/>
      </vt:variant>
      <vt:variant>
        <vt:lpwstr>_Toc98374417</vt:lpwstr>
      </vt:variant>
      <vt:variant>
        <vt:i4>1703999</vt:i4>
      </vt:variant>
      <vt:variant>
        <vt:i4>362</vt:i4>
      </vt:variant>
      <vt:variant>
        <vt:i4>0</vt:i4>
      </vt:variant>
      <vt:variant>
        <vt:i4>5</vt:i4>
      </vt:variant>
      <vt:variant>
        <vt:lpwstr/>
      </vt:variant>
      <vt:variant>
        <vt:lpwstr>_Toc98374416</vt:lpwstr>
      </vt:variant>
      <vt:variant>
        <vt:i4>1638463</vt:i4>
      </vt:variant>
      <vt:variant>
        <vt:i4>356</vt:i4>
      </vt:variant>
      <vt:variant>
        <vt:i4>0</vt:i4>
      </vt:variant>
      <vt:variant>
        <vt:i4>5</vt:i4>
      </vt:variant>
      <vt:variant>
        <vt:lpwstr/>
      </vt:variant>
      <vt:variant>
        <vt:lpwstr>_Toc98374415</vt:lpwstr>
      </vt:variant>
      <vt:variant>
        <vt:i4>1572927</vt:i4>
      </vt:variant>
      <vt:variant>
        <vt:i4>350</vt:i4>
      </vt:variant>
      <vt:variant>
        <vt:i4>0</vt:i4>
      </vt:variant>
      <vt:variant>
        <vt:i4>5</vt:i4>
      </vt:variant>
      <vt:variant>
        <vt:lpwstr/>
      </vt:variant>
      <vt:variant>
        <vt:lpwstr>_Toc98374414</vt:lpwstr>
      </vt:variant>
      <vt:variant>
        <vt:i4>2031679</vt:i4>
      </vt:variant>
      <vt:variant>
        <vt:i4>344</vt:i4>
      </vt:variant>
      <vt:variant>
        <vt:i4>0</vt:i4>
      </vt:variant>
      <vt:variant>
        <vt:i4>5</vt:i4>
      </vt:variant>
      <vt:variant>
        <vt:lpwstr/>
      </vt:variant>
      <vt:variant>
        <vt:lpwstr>_Toc98374413</vt:lpwstr>
      </vt:variant>
      <vt:variant>
        <vt:i4>1966143</vt:i4>
      </vt:variant>
      <vt:variant>
        <vt:i4>338</vt:i4>
      </vt:variant>
      <vt:variant>
        <vt:i4>0</vt:i4>
      </vt:variant>
      <vt:variant>
        <vt:i4>5</vt:i4>
      </vt:variant>
      <vt:variant>
        <vt:lpwstr/>
      </vt:variant>
      <vt:variant>
        <vt:lpwstr>_Toc98374412</vt:lpwstr>
      </vt:variant>
      <vt:variant>
        <vt:i4>1900607</vt:i4>
      </vt:variant>
      <vt:variant>
        <vt:i4>332</vt:i4>
      </vt:variant>
      <vt:variant>
        <vt:i4>0</vt:i4>
      </vt:variant>
      <vt:variant>
        <vt:i4>5</vt:i4>
      </vt:variant>
      <vt:variant>
        <vt:lpwstr/>
      </vt:variant>
      <vt:variant>
        <vt:lpwstr>_Toc98374411</vt:lpwstr>
      </vt:variant>
      <vt:variant>
        <vt:i4>1835071</vt:i4>
      </vt:variant>
      <vt:variant>
        <vt:i4>326</vt:i4>
      </vt:variant>
      <vt:variant>
        <vt:i4>0</vt:i4>
      </vt:variant>
      <vt:variant>
        <vt:i4>5</vt:i4>
      </vt:variant>
      <vt:variant>
        <vt:lpwstr/>
      </vt:variant>
      <vt:variant>
        <vt:lpwstr>_Toc98374410</vt:lpwstr>
      </vt:variant>
      <vt:variant>
        <vt:i4>1376318</vt:i4>
      </vt:variant>
      <vt:variant>
        <vt:i4>320</vt:i4>
      </vt:variant>
      <vt:variant>
        <vt:i4>0</vt:i4>
      </vt:variant>
      <vt:variant>
        <vt:i4>5</vt:i4>
      </vt:variant>
      <vt:variant>
        <vt:lpwstr/>
      </vt:variant>
      <vt:variant>
        <vt:lpwstr>_Toc98374409</vt:lpwstr>
      </vt:variant>
      <vt:variant>
        <vt:i4>1310782</vt:i4>
      </vt:variant>
      <vt:variant>
        <vt:i4>314</vt:i4>
      </vt:variant>
      <vt:variant>
        <vt:i4>0</vt:i4>
      </vt:variant>
      <vt:variant>
        <vt:i4>5</vt:i4>
      </vt:variant>
      <vt:variant>
        <vt:lpwstr/>
      </vt:variant>
      <vt:variant>
        <vt:lpwstr>_Toc98374408</vt:lpwstr>
      </vt:variant>
      <vt:variant>
        <vt:i4>1769534</vt:i4>
      </vt:variant>
      <vt:variant>
        <vt:i4>308</vt:i4>
      </vt:variant>
      <vt:variant>
        <vt:i4>0</vt:i4>
      </vt:variant>
      <vt:variant>
        <vt:i4>5</vt:i4>
      </vt:variant>
      <vt:variant>
        <vt:lpwstr/>
      </vt:variant>
      <vt:variant>
        <vt:lpwstr>_Toc98374407</vt:lpwstr>
      </vt:variant>
      <vt:variant>
        <vt:i4>1703998</vt:i4>
      </vt:variant>
      <vt:variant>
        <vt:i4>302</vt:i4>
      </vt:variant>
      <vt:variant>
        <vt:i4>0</vt:i4>
      </vt:variant>
      <vt:variant>
        <vt:i4>5</vt:i4>
      </vt:variant>
      <vt:variant>
        <vt:lpwstr/>
      </vt:variant>
      <vt:variant>
        <vt:lpwstr>_Toc98374406</vt:lpwstr>
      </vt:variant>
      <vt:variant>
        <vt:i4>1638462</vt:i4>
      </vt:variant>
      <vt:variant>
        <vt:i4>296</vt:i4>
      </vt:variant>
      <vt:variant>
        <vt:i4>0</vt:i4>
      </vt:variant>
      <vt:variant>
        <vt:i4>5</vt:i4>
      </vt:variant>
      <vt:variant>
        <vt:lpwstr/>
      </vt:variant>
      <vt:variant>
        <vt:lpwstr>_Toc98374405</vt:lpwstr>
      </vt:variant>
      <vt:variant>
        <vt:i4>1572926</vt:i4>
      </vt:variant>
      <vt:variant>
        <vt:i4>290</vt:i4>
      </vt:variant>
      <vt:variant>
        <vt:i4>0</vt:i4>
      </vt:variant>
      <vt:variant>
        <vt:i4>5</vt:i4>
      </vt:variant>
      <vt:variant>
        <vt:lpwstr/>
      </vt:variant>
      <vt:variant>
        <vt:lpwstr>_Toc98374404</vt:lpwstr>
      </vt:variant>
      <vt:variant>
        <vt:i4>2031678</vt:i4>
      </vt:variant>
      <vt:variant>
        <vt:i4>284</vt:i4>
      </vt:variant>
      <vt:variant>
        <vt:i4>0</vt:i4>
      </vt:variant>
      <vt:variant>
        <vt:i4>5</vt:i4>
      </vt:variant>
      <vt:variant>
        <vt:lpwstr/>
      </vt:variant>
      <vt:variant>
        <vt:lpwstr>_Toc98374403</vt:lpwstr>
      </vt:variant>
      <vt:variant>
        <vt:i4>1966142</vt:i4>
      </vt:variant>
      <vt:variant>
        <vt:i4>278</vt:i4>
      </vt:variant>
      <vt:variant>
        <vt:i4>0</vt:i4>
      </vt:variant>
      <vt:variant>
        <vt:i4>5</vt:i4>
      </vt:variant>
      <vt:variant>
        <vt:lpwstr/>
      </vt:variant>
      <vt:variant>
        <vt:lpwstr>_Toc98374402</vt:lpwstr>
      </vt:variant>
      <vt:variant>
        <vt:i4>1900606</vt:i4>
      </vt:variant>
      <vt:variant>
        <vt:i4>272</vt:i4>
      </vt:variant>
      <vt:variant>
        <vt:i4>0</vt:i4>
      </vt:variant>
      <vt:variant>
        <vt:i4>5</vt:i4>
      </vt:variant>
      <vt:variant>
        <vt:lpwstr/>
      </vt:variant>
      <vt:variant>
        <vt:lpwstr>_Toc98374401</vt:lpwstr>
      </vt:variant>
      <vt:variant>
        <vt:i4>1835070</vt:i4>
      </vt:variant>
      <vt:variant>
        <vt:i4>266</vt:i4>
      </vt:variant>
      <vt:variant>
        <vt:i4>0</vt:i4>
      </vt:variant>
      <vt:variant>
        <vt:i4>5</vt:i4>
      </vt:variant>
      <vt:variant>
        <vt:lpwstr/>
      </vt:variant>
      <vt:variant>
        <vt:lpwstr>_Toc98374400</vt:lpwstr>
      </vt:variant>
      <vt:variant>
        <vt:i4>1179703</vt:i4>
      </vt:variant>
      <vt:variant>
        <vt:i4>260</vt:i4>
      </vt:variant>
      <vt:variant>
        <vt:i4>0</vt:i4>
      </vt:variant>
      <vt:variant>
        <vt:i4>5</vt:i4>
      </vt:variant>
      <vt:variant>
        <vt:lpwstr/>
      </vt:variant>
      <vt:variant>
        <vt:lpwstr>_Toc98374399</vt:lpwstr>
      </vt:variant>
      <vt:variant>
        <vt:i4>1245239</vt:i4>
      </vt:variant>
      <vt:variant>
        <vt:i4>254</vt:i4>
      </vt:variant>
      <vt:variant>
        <vt:i4>0</vt:i4>
      </vt:variant>
      <vt:variant>
        <vt:i4>5</vt:i4>
      </vt:variant>
      <vt:variant>
        <vt:lpwstr/>
      </vt:variant>
      <vt:variant>
        <vt:lpwstr>_Toc98374398</vt:lpwstr>
      </vt:variant>
      <vt:variant>
        <vt:i4>1835063</vt:i4>
      </vt:variant>
      <vt:variant>
        <vt:i4>248</vt:i4>
      </vt:variant>
      <vt:variant>
        <vt:i4>0</vt:i4>
      </vt:variant>
      <vt:variant>
        <vt:i4>5</vt:i4>
      </vt:variant>
      <vt:variant>
        <vt:lpwstr/>
      </vt:variant>
      <vt:variant>
        <vt:lpwstr>_Toc98374397</vt:lpwstr>
      </vt:variant>
      <vt:variant>
        <vt:i4>1900599</vt:i4>
      </vt:variant>
      <vt:variant>
        <vt:i4>242</vt:i4>
      </vt:variant>
      <vt:variant>
        <vt:i4>0</vt:i4>
      </vt:variant>
      <vt:variant>
        <vt:i4>5</vt:i4>
      </vt:variant>
      <vt:variant>
        <vt:lpwstr/>
      </vt:variant>
      <vt:variant>
        <vt:lpwstr>_Toc98374396</vt:lpwstr>
      </vt:variant>
      <vt:variant>
        <vt:i4>1966135</vt:i4>
      </vt:variant>
      <vt:variant>
        <vt:i4>236</vt:i4>
      </vt:variant>
      <vt:variant>
        <vt:i4>0</vt:i4>
      </vt:variant>
      <vt:variant>
        <vt:i4>5</vt:i4>
      </vt:variant>
      <vt:variant>
        <vt:lpwstr/>
      </vt:variant>
      <vt:variant>
        <vt:lpwstr>_Toc98374395</vt:lpwstr>
      </vt:variant>
      <vt:variant>
        <vt:i4>2031671</vt:i4>
      </vt:variant>
      <vt:variant>
        <vt:i4>230</vt:i4>
      </vt:variant>
      <vt:variant>
        <vt:i4>0</vt:i4>
      </vt:variant>
      <vt:variant>
        <vt:i4>5</vt:i4>
      </vt:variant>
      <vt:variant>
        <vt:lpwstr/>
      </vt:variant>
      <vt:variant>
        <vt:lpwstr>_Toc98374394</vt:lpwstr>
      </vt:variant>
      <vt:variant>
        <vt:i4>1572919</vt:i4>
      </vt:variant>
      <vt:variant>
        <vt:i4>224</vt:i4>
      </vt:variant>
      <vt:variant>
        <vt:i4>0</vt:i4>
      </vt:variant>
      <vt:variant>
        <vt:i4>5</vt:i4>
      </vt:variant>
      <vt:variant>
        <vt:lpwstr/>
      </vt:variant>
      <vt:variant>
        <vt:lpwstr>_Toc98374393</vt:lpwstr>
      </vt:variant>
      <vt:variant>
        <vt:i4>1638455</vt:i4>
      </vt:variant>
      <vt:variant>
        <vt:i4>218</vt:i4>
      </vt:variant>
      <vt:variant>
        <vt:i4>0</vt:i4>
      </vt:variant>
      <vt:variant>
        <vt:i4>5</vt:i4>
      </vt:variant>
      <vt:variant>
        <vt:lpwstr/>
      </vt:variant>
      <vt:variant>
        <vt:lpwstr>_Toc98374392</vt:lpwstr>
      </vt:variant>
      <vt:variant>
        <vt:i4>1703991</vt:i4>
      </vt:variant>
      <vt:variant>
        <vt:i4>212</vt:i4>
      </vt:variant>
      <vt:variant>
        <vt:i4>0</vt:i4>
      </vt:variant>
      <vt:variant>
        <vt:i4>5</vt:i4>
      </vt:variant>
      <vt:variant>
        <vt:lpwstr/>
      </vt:variant>
      <vt:variant>
        <vt:lpwstr>_Toc98374391</vt:lpwstr>
      </vt:variant>
      <vt:variant>
        <vt:i4>1769527</vt:i4>
      </vt:variant>
      <vt:variant>
        <vt:i4>206</vt:i4>
      </vt:variant>
      <vt:variant>
        <vt:i4>0</vt:i4>
      </vt:variant>
      <vt:variant>
        <vt:i4>5</vt:i4>
      </vt:variant>
      <vt:variant>
        <vt:lpwstr/>
      </vt:variant>
      <vt:variant>
        <vt:lpwstr>_Toc98374390</vt:lpwstr>
      </vt:variant>
      <vt:variant>
        <vt:i4>1179702</vt:i4>
      </vt:variant>
      <vt:variant>
        <vt:i4>200</vt:i4>
      </vt:variant>
      <vt:variant>
        <vt:i4>0</vt:i4>
      </vt:variant>
      <vt:variant>
        <vt:i4>5</vt:i4>
      </vt:variant>
      <vt:variant>
        <vt:lpwstr/>
      </vt:variant>
      <vt:variant>
        <vt:lpwstr>_Toc98374389</vt:lpwstr>
      </vt:variant>
      <vt:variant>
        <vt:i4>1245238</vt:i4>
      </vt:variant>
      <vt:variant>
        <vt:i4>194</vt:i4>
      </vt:variant>
      <vt:variant>
        <vt:i4>0</vt:i4>
      </vt:variant>
      <vt:variant>
        <vt:i4>5</vt:i4>
      </vt:variant>
      <vt:variant>
        <vt:lpwstr/>
      </vt:variant>
      <vt:variant>
        <vt:lpwstr>_Toc98374388</vt:lpwstr>
      </vt:variant>
      <vt:variant>
        <vt:i4>1835062</vt:i4>
      </vt:variant>
      <vt:variant>
        <vt:i4>188</vt:i4>
      </vt:variant>
      <vt:variant>
        <vt:i4>0</vt:i4>
      </vt:variant>
      <vt:variant>
        <vt:i4>5</vt:i4>
      </vt:variant>
      <vt:variant>
        <vt:lpwstr/>
      </vt:variant>
      <vt:variant>
        <vt:lpwstr>_Toc98374387</vt:lpwstr>
      </vt:variant>
      <vt:variant>
        <vt:i4>1900598</vt:i4>
      </vt:variant>
      <vt:variant>
        <vt:i4>182</vt:i4>
      </vt:variant>
      <vt:variant>
        <vt:i4>0</vt:i4>
      </vt:variant>
      <vt:variant>
        <vt:i4>5</vt:i4>
      </vt:variant>
      <vt:variant>
        <vt:lpwstr/>
      </vt:variant>
      <vt:variant>
        <vt:lpwstr>_Toc98374386</vt:lpwstr>
      </vt:variant>
      <vt:variant>
        <vt:i4>1966134</vt:i4>
      </vt:variant>
      <vt:variant>
        <vt:i4>176</vt:i4>
      </vt:variant>
      <vt:variant>
        <vt:i4>0</vt:i4>
      </vt:variant>
      <vt:variant>
        <vt:i4>5</vt:i4>
      </vt:variant>
      <vt:variant>
        <vt:lpwstr/>
      </vt:variant>
      <vt:variant>
        <vt:lpwstr>_Toc98374385</vt:lpwstr>
      </vt:variant>
      <vt:variant>
        <vt:i4>2031670</vt:i4>
      </vt:variant>
      <vt:variant>
        <vt:i4>170</vt:i4>
      </vt:variant>
      <vt:variant>
        <vt:i4>0</vt:i4>
      </vt:variant>
      <vt:variant>
        <vt:i4>5</vt:i4>
      </vt:variant>
      <vt:variant>
        <vt:lpwstr/>
      </vt:variant>
      <vt:variant>
        <vt:lpwstr>_Toc98374384</vt:lpwstr>
      </vt:variant>
      <vt:variant>
        <vt:i4>1572918</vt:i4>
      </vt:variant>
      <vt:variant>
        <vt:i4>164</vt:i4>
      </vt:variant>
      <vt:variant>
        <vt:i4>0</vt:i4>
      </vt:variant>
      <vt:variant>
        <vt:i4>5</vt:i4>
      </vt:variant>
      <vt:variant>
        <vt:lpwstr/>
      </vt:variant>
      <vt:variant>
        <vt:lpwstr>_Toc98374383</vt:lpwstr>
      </vt:variant>
      <vt:variant>
        <vt:i4>1638454</vt:i4>
      </vt:variant>
      <vt:variant>
        <vt:i4>158</vt:i4>
      </vt:variant>
      <vt:variant>
        <vt:i4>0</vt:i4>
      </vt:variant>
      <vt:variant>
        <vt:i4>5</vt:i4>
      </vt:variant>
      <vt:variant>
        <vt:lpwstr/>
      </vt:variant>
      <vt:variant>
        <vt:lpwstr>_Toc98374382</vt:lpwstr>
      </vt:variant>
      <vt:variant>
        <vt:i4>1703990</vt:i4>
      </vt:variant>
      <vt:variant>
        <vt:i4>152</vt:i4>
      </vt:variant>
      <vt:variant>
        <vt:i4>0</vt:i4>
      </vt:variant>
      <vt:variant>
        <vt:i4>5</vt:i4>
      </vt:variant>
      <vt:variant>
        <vt:lpwstr/>
      </vt:variant>
      <vt:variant>
        <vt:lpwstr>_Toc98374381</vt:lpwstr>
      </vt:variant>
      <vt:variant>
        <vt:i4>1769526</vt:i4>
      </vt:variant>
      <vt:variant>
        <vt:i4>146</vt:i4>
      </vt:variant>
      <vt:variant>
        <vt:i4>0</vt:i4>
      </vt:variant>
      <vt:variant>
        <vt:i4>5</vt:i4>
      </vt:variant>
      <vt:variant>
        <vt:lpwstr/>
      </vt:variant>
      <vt:variant>
        <vt:lpwstr>_Toc98374380</vt:lpwstr>
      </vt:variant>
      <vt:variant>
        <vt:i4>1179705</vt:i4>
      </vt:variant>
      <vt:variant>
        <vt:i4>140</vt:i4>
      </vt:variant>
      <vt:variant>
        <vt:i4>0</vt:i4>
      </vt:variant>
      <vt:variant>
        <vt:i4>5</vt:i4>
      </vt:variant>
      <vt:variant>
        <vt:lpwstr/>
      </vt:variant>
      <vt:variant>
        <vt:lpwstr>_Toc98374379</vt:lpwstr>
      </vt:variant>
      <vt:variant>
        <vt:i4>1245241</vt:i4>
      </vt:variant>
      <vt:variant>
        <vt:i4>134</vt:i4>
      </vt:variant>
      <vt:variant>
        <vt:i4>0</vt:i4>
      </vt:variant>
      <vt:variant>
        <vt:i4>5</vt:i4>
      </vt:variant>
      <vt:variant>
        <vt:lpwstr/>
      </vt:variant>
      <vt:variant>
        <vt:lpwstr>_Toc98374378</vt:lpwstr>
      </vt:variant>
      <vt:variant>
        <vt:i4>1835065</vt:i4>
      </vt:variant>
      <vt:variant>
        <vt:i4>128</vt:i4>
      </vt:variant>
      <vt:variant>
        <vt:i4>0</vt:i4>
      </vt:variant>
      <vt:variant>
        <vt:i4>5</vt:i4>
      </vt:variant>
      <vt:variant>
        <vt:lpwstr/>
      </vt:variant>
      <vt:variant>
        <vt:lpwstr>_Toc98374377</vt:lpwstr>
      </vt:variant>
      <vt:variant>
        <vt:i4>1900601</vt:i4>
      </vt:variant>
      <vt:variant>
        <vt:i4>122</vt:i4>
      </vt:variant>
      <vt:variant>
        <vt:i4>0</vt:i4>
      </vt:variant>
      <vt:variant>
        <vt:i4>5</vt:i4>
      </vt:variant>
      <vt:variant>
        <vt:lpwstr/>
      </vt:variant>
      <vt:variant>
        <vt:lpwstr>_Toc98374376</vt:lpwstr>
      </vt:variant>
      <vt:variant>
        <vt:i4>1966137</vt:i4>
      </vt:variant>
      <vt:variant>
        <vt:i4>116</vt:i4>
      </vt:variant>
      <vt:variant>
        <vt:i4>0</vt:i4>
      </vt:variant>
      <vt:variant>
        <vt:i4>5</vt:i4>
      </vt:variant>
      <vt:variant>
        <vt:lpwstr/>
      </vt:variant>
      <vt:variant>
        <vt:lpwstr>_Toc98374375</vt:lpwstr>
      </vt:variant>
      <vt:variant>
        <vt:i4>2031673</vt:i4>
      </vt:variant>
      <vt:variant>
        <vt:i4>110</vt:i4>
      </vt:variant>
      <vt:variant>
        <vt:i4>0</vt:i4>
      </vt:variant>
      <vt:variant>
        <vt:i4>5</vt:i4>
      </vt:variant>
      <vt:variant>
        <vt:lpwstr/>
      </vt:variant>
      <vt:variant>
        <vt:lpwstr>_Toc98374374</vt:lpwstr>
      </vt:variant>
      <vt:variant>
        <vt:i4>1572921</vt:i4>
      </vt:variant>
      <vt:variant>
        <vt:i4>104</vt:i4>
      </vt:variant>
      <vt:variant>
        <vt:i4>0</vt:i4>
      </vt:variant>
      <vt:variant>
        <vt:i4>5</vt:i4>
      </vt:variant>
      <vt:variant>
        <vt:lpwstr/>
      </vt:variant>
      <vt:variant>
        <vt:lpwstr>_Toc98374373</vt:lpwstr>
      </vt:variant>
      <vt:variant>
        <vt:i4>1638457</vt:i4>
      </vt:variant>
      <vt:variant>
        <vt:i4>98</vt:i4>
      </vt:variant>
      <vt:variant>
        <vt:i4>0</vt:i4>
      </vt:variant>
      <vt:variant>
        <vt:i4>5</vt:i4>
      </vt:variant>
      <vt:variant>
        <vt:lpwstr/>
      </vt:variant>
      <vt:variant>
        <vt:lpwstr>_Toc98374372</vt:lpwstr>
      </vt:variant>
      <vt:variant>
        <vt:i4>1703993</vt:i4>
      </vt:variant>
      <vt:variant>
        <vt:i4>92</vt:i4>
      </vt:variant>
      <vt:variant>
        <vt:i4>0</vt:i4>
      </vt:variant>
      <vt:variant>
        <vt:i4>5</vt:i4>
      </vt:variant>
      <vt:variant>
        <vt:lpwstr/>
      </vt:variant>
      <vt:variant>
        <vt:lpwstr>_Toc98374371</vt:lpwstr>
      </vt:variant>
      <vt:variant>
        <vt:i4>1769529</vt:i4>
      </vt:variant>
      <vt:variant>
        <vt:i4>86</vt:i4>
      </vt:variant>
      <vt:variant>
        <vt:i4>0</vt:i4>
      </vt:variant>
      <vt:variant>
        <vt:i4>5</vt:i4>
      </vt:variant>
      <vt:variant>
        <vt:lpwstr/>
      </vt:variant>
      <vt:variant>
        <vt:lpwstr>_Toc98374370</vt:lpwstr>
      </vt:variant>
      <vt:variant>
        <vt:i4>1179704</vt:i4>
      </vt:variant>
      <vt:variant>
        <vt:i4>80</vt:i4>
      </vt:variant>
      <vt:variant>
        <vt:i4>0</vt:i4>
      </vt:variant>
      <vt:variant>
        <vt:i4>5</vt:i4>
      </vt:variant>
      <vt:variant>
        <vt:lpwstr/>
      </vt:variant>
      <vt:variant>
        <vt:lpwstr>_Toc98374369</vt:lpwstr>
      </vt:variant>
      <vt:variant>
        <vt:i4>1245240</vt:i4>
      </vt:variant>
      <vt:variant>
        <vt:i4>74</vt:i4>
      </vt:variant>
      <vt:variant>
        <vt:i4>0</vt:i4>
      </vt:variant>
      <vt:variant>
        <vt:i4>5</vt:i4>
      </vt:variant>
      <vt:variant>
        <vt:lpwstr/>
      </vt:variant>
      <vt:variant>
        <vt:lpwstr>_Toc98374368</vt:lpwstr>
      </vt:variant>
      <vt:variant>
        <vt:i4>1835064</vt:i4>
      </vt:variant>
      <vt:variant>
        <vt:i4>68</vt:i4>
      </vt:variant>
      <vt:variant>
        <vt:i4>0</vt:i4>
      </vt:variant>
      <vt:variant>
        <vt:i4>5</vt:i4>
      </vt:variant>
      <vt:variant>
        <vt:lpwstr/>
      </vt:variant>
      <vt:variant>
        <vt:lpwstr>_Toc98374367</vt:lpwstr>
      </vt:variant>
      <vt:variant>
        <vt:i4>1900600</vt:i4>
      </vt:variant>
      <vt:variant>
        <vt:i4>62</vt:i4>
      </vt:variant>
      <vt:variant>
        <vt:i4>0</vt:i4>
      </vt:variant>
      <vt:variant>
        <vt:i4>5</vt:i4>
      </vt:variant>
      <vt:variant>
        <vt:lpwstr/>
      </vt:variant>
      <vt:variant>
        <vt:lpwstr>_Toc98374366</vt:lpwstr>
      </vt:variant>
      <vt:variant>
        <vt:i4>1966136</vt:i4>
      </vt:variant>
      <vt:variant>
        <vt:i4>56</vt:i4>
      </vt:variant>
      <vt:variant>
        <vt:i4>0</vt:i4>
      </vt:variant>
      <vt:variant>
        <vt:i4>5</vt:i4>
      </vt:variant>
      <vt:variant>
        <vt:lpwstr/>
      </vt:variant>
      <vt:variant>
        <vt:lpwstr>_Toc98374365</vt:lpwstr>
      </vt:variant>
      <vt:variant>
        <vt:i4>2031672</vt:i4>
      </vt:variant>
      <vt:variant>
        <vt:i4>50</vt:i4>
      </vt:variant>
      <vt:variant>
        <vt:i4>0</vt:i4>
      </vt:variant>
      <vt:variant>
        <vt:i4>5</vt:i4>
      </vt:variant>
      <vt:variant>
        <vt:lpwstr/>
      </vt:variant>
      <vt:variant>
        <vt:lpwstr>_Toc98374364</vt:lpwstr>
      </vt:variant>
      <vt:variant>
        <vt:i4>1572920</vt:i4>
      </vt:variant>
      <vt:variant>
        <vt:i4>44</vt:i4>
      </vt:variant>
      <vt:variant>
        <vt:i4>0</vt:i4>
      </vt:variant>
      <vt:variant>
        <vt:i4>5</vt:i4>
      </vt:variant>
      <vt:variant>
        <vt:lpwstr/>
      </vt:variant>
      <vt:variant>
        <vt:lpwstr>_Toc98374363</vt:lpwstr>
      </vt:variant>
      <vt:variant>
        <vt:i4>1638456</vt:i4>
      </vt:variant>
      <vt:variant>
        <vt:i4>38</vt:i4>
      </vt:variant>
      <vt:variant>
        <vt:i4>0</vt:i4>
      </vt:variant>
      <vt:variant>
        <vt:i4>5</vt:i4>
      </vt:variant>
      <vt:variant>
        <vt:lpwstr/>
      </vt:variant>
      <vt:variant>
        <vt:lpwstr>_Toc98374362</vt:lpwstr>
      </vt:variant>
      <vt:variant>
        <vt:i4>1703992</vt:i4>
      </vt:variant>
      <vt:variant>
        <vt:i4>32</vt:i4>
      </vt:variant>
      <vt:variant>
        <vt:i4>0</vt:i4>
      </vt:variant>
      <vt:variant>
        <vt:i4>5</vt:i4>
      </vt:variant>
      <vt:variant>
        <vt:lpwstr/>
      </vt:variant>
      <vt:variant>
        <vt:lpwstr>_Toc98374361</vt:lpwstr>
      </vt:variant>
      <vt:variant>
        <vt:i4>1769528</vt:i4>
      </vt:variant>
      <vt:variant>
        <vt:i4>26</vt:i4>
      </vt:variant>
      <vt:variant>
        <vt:i4>0</vt:i4>
      </vt:variant>
      <vt:variant>
        <vt:i4>5</vt:i4>
      </vt:variant>
      <vt:variant>
        <vt:lpwstr/>
      </vt:variant>
      <vt:variant>
        <vt:lpwstr>_Toc98374360</vt:lpwstr>
      </vt:variant>
      <vt:variant>
        <vt:i4>1179707</vt:i4>
      </vt:variant>
      <vt:variant>
        <vt:i4>20</vt:i4>
      </vt:variant>
      <vt:variant>
        <vt:i4>0</vt:i4>
      </vt:variant>
      <vt:variant>
        <vt:i4>5</vt:i4>
      </vt:variant>
      <vt:variant>
        <vt:lpwstr/>
      </vt:variant>
      <vt:variant>
        <vt:lpwstr>_Toc98374359</vt:lpwstr>
      </vt:variant>
      <vt:variant>
        <vt:i4>1245243</vt:i4>
      </vt:variant>
      <vt:variant>
        <vt:i4>14</vt:i4>
      </vt:variant>
      <vt:variant>
        <vt:i4>0</vt:i4>
      </vt:variant>
      <vt:variant>
        <vt:i4>5</vt:i4>
      </vt:variant>
      <vt:variant>
        <vt:lpwstr/>
      </vt:variant>
      <vt:variant>
        <vt:lpwstr>_Toc98374358</vt:lpwstr>
      </vt:variant>
      <vt:variant>
        <vt:i4>786543</vt:i4>
      </vt:variant>
      <vt:variant>
        <vt:i4>9</vt:i4>
      </vt:variant>
      <vt:variant>
        <vt:i4>0</vt:i4>
      </vt:variant>
      <vt:variant>
        <vt:i4>5</vt:i4>
      </vt:variant>
      <vt:variant>
        <vt:lpwstr>mailto:hta@health.gov.au</vt:lpwstr>
      </vt:variant>
      <vt:variant>
        <vt:lpwstr/>
      </vt:variant>
      <vt:variant>
        <vt:i4>3997744</vt:i4>
      </vt:variant>
      <vt:variant>
        <vt:i4>6</vt:i4>
      </vt:variant>
      <vt:variant>
        <vt:i4>0</vt:i4>
      </vt:variant>
      <vt:variant>
        <vt:i4>5</vt:i4>
      </vt:variant>
      <vt:variant>
        <vt:lpwstr>http://www.msac.gov.au/</vt:lpwstr>
      </vt:variant>
      <vt:variant>
        <vt:lpwstr/>
      </vt:variant>
      <vt:variant>
        <vt:i4>5242951</vt:i4>
      </vt:variant>
      <vt:variant>
        <vt:i4>3</vt:i4>
      </vt:variant>
      <vt:variant>
        <vt:i4>0</vt:i4>
      </vt:variant>
      <vt:variant>
        <vt:i4>5</vt:i4>
      </vt:variant>
      <vt:variant>
        <vt:lpwstr>http://www.ag.gov.au/</vt:lpwstr>
      </vt:variant>
      <vt:variant>
        <vt:lpwstr/>
      </vt:variant>
      <vt:variant>
        <vt:i4>3997744</vt:i4>
      </vt:variant>
      <vt:variant>
        <vt:i4>0</vt:i4>
      </vt:variant>
      <vt:variant>
        <vt:i4>0</vt:i4>
      </vt:variant>
      <vt:variant>
        <vt:i4>5</vt:i4>
      </vt:variant>
      <vt:variant>
        <vt:lpwstr>http://www.msac.gov.au/</vt:lpwstr>
      </vt:variant>
      <vt:variant>
        <vt:lpwstr/>
      </vt:variant>
      <vt:variant>
        <vt:i4>6160474</vt:i4>
      </vt:variant>
      <vt:variant>
        <vt:i4>14</vt:i4>
      </vt:variant>
      <vt:variant>
        <vt:i4>0</vt:i4>
      </vt:variant>
      <vt:variant>
        <vt:i4>5</vt:i4>
      </vt:variant>
      <vt:variant>
        <vt:lpwstr>https://www.pbs.gov.au/info/industry/useful-resources/manual-pages/5-medical-services</vt:lpwstr>
      </vt:variant>
      <vt:variant>
        <vt:lpwstr/>
      </vt:variant>
      <vt:variant>
        <vt:i4>7864375</vt:i4>
      </vt:variant>
      <vt:variant>
        <vt:i4>9</vt:i4>
      </vt:variant>
      <vt:variant>
        <vt:i4>0</vt:i4>
      </vt:variant>
      <vt:variant>
        <vt:i4>5</vt:i4>
      </vt:variant>
      <vt:variant>
        <vt:lpwstr>http://www.mbsonline.gov.au/internet/mbsonline/publishing.nsf/Content/Factsheet-Pre-imp-Gentest</vt:lpwstr>
      </vt:variant>
      <vt:variant>
        <vt:lpwstr/>
      </vt:variant>
      <vt:variant>
        <vt:i4>1376317</vt:i4>
      </vt:variant>
      <vt:variant>
        <vt:i4>6</vt:i4>
      </vt:variant>
      <vt:variant>
        <vt:i4>0</vt:i4>
      </vt:variant>
      <vt:variant>
        <vt:i4>5</vt:i4>
      </vt:variant>
      <vt:variant>
        <vt:lpwstr>mailto:blaise.agresta@sydney.edu.au</vt:lpwstr>
      </vt:variant>
      <vt:variant>
        <vt:lpwstr/>
      </vt:variant>
      <vt:variant>
        <vt:i4>720897</vt:i4>
      </vt:variant>
      <vt:variant>
        <vt:i4>3</vt:i4>
      </vt:variant>
      <vt:variant>
        <vt:i4>0</vt:i4>
      </vt:variant>
      <vt:variant>
        <vt:i4>5</vt:i4>
      </vt:variant>
      <vt:variant>
        <vt:lpwstr>https://pubmed.ncbi.nlm.nih.gov/10464671/</vt:lpwstr>
      </vt:variant>
      <vt:variant>
        <vt:lpwstr/>
      </vt:variant>
      <vt:variant>
        <vt:i4>2949217</vt:i4>
      </vt:variant>
      <vt:variant>
        <vt:i4>0</vt:i4>
      </vt:variant>
      <vt:variant>
        <vt:i4>0</vt:i4>
      </vt:variant>
      <vt:variant>
        <vt:i4>5</vt:i4>
      </vt:variant>
      <vt:variant>
        <vt:lpwstr>https://www.sciencedirect.com/science/article/abs/pii/S1096719298927330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2022-10-23T23:11:00Z</dcterms:created>
  <dcterms:modified xsi:type="dcterms:W3CDTF">2022-10-23T23:11:00Z</dcterms:modified>
</cp:coreProperties>
</file>