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D844E5">
        <w:rPr>
          <w:rFonts w:ascii="Arial" w:hAnsi="Arial" w:cs="Arial"/>
          <w:b/>
          <w:sz w:val="52"/>
          <w:szCs w:val="52"/>
        </w:rPr>
        <w:t xml:space="preserve"> 1524 – </w:t>
      </w:r>
      <w:r w:rsidR="00D844E5" w:rsidRPr="00D844E5">
        <w:rPr>
          <w:rFonts w:ascii="Arial" w:hAnsi="Arial" w:cs="Arial"/>
          <w:b/>
          <w:sz w:val="52"/>
          <w:szCs w:val="52"/>
        </w:rPr>
        <w:t>Expanding the BRAF testing MBS item to include patients with resectable Stage III melanoma (co-dependent)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4F229D" w:rsidRPr="006A0C56" w:rsidRDefault="004F229D" w:rsidP="00D844E5">
      <w:pPr>
        <w:pStyle w:val="Heading1"/>
        <w:ind w:left="0" w:firstLine="0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844E5">
        <w:rPr>
          <w:b w:val="0"/>
        </w:rPr>
      </w:r>
      <w:r w:rsidR="00D844E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844E5" w:rsidRPr="00D844E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844E5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2018-05-04T00:25:00Z</dcterms:created>
  <dcterms:modified xsi:type="dcterms:W3CDTF">2018-05-04T00:25:00Z</dcterms:modified>
</cp:coreProperties>
</file>