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F295" w14:textId="6CBAF5FA" w:rsidR="00F61746" w:rsidRPr="00295AD6" w:rsidRDefault="00295AD6" w:rsidP="00295AD6">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p w14:paraId="7A128FDE" w14:textId="72013E4A" w:rsidR="00772829" w:rsidRPr="00CE28E3" w:rsidRDefault="00772829" w:rsidP="00772829">
      <w:pPr>
        <w:pStyle w:val="Subtitle"/>
      </w:pPr>
      <w:r w:rsidRPr="00CE28E3">
        <w:t xml:space="preserve">Application No. </w:t>
      </w:r>
      <w:r w:rsidR="009D0A45" w:rsidRPr="009D0A45">
        <w:t>1686</w:t>
      </w:r>
      <w:r w:rsidR="00766195">
        <w:t>.1</w:t>
      </w:r>
      <w:r w:rsidRPr="009D0A45">
        <w:t xml:space="preserve"> – </w:t>
      </w:r>
      <w:r w:rsidR="009D0A45" w:rsidRPr="009D0A45">
        <w:rPr>
          <w:vertAlign w:val="superscript"/>
        </w:rPr>
        <w:t>177</w:t>
      </w:r>
      <w:r w:rsidR="009D0A45" w:rsidRPr="009D0A45">
        <w:t>Lutetium PSMA i&amp;t for metastatic castrate resistant prostate cancer</w:t>
      </w:r>
    </w:p>
    <w:p w14:paraId="35263561" w14:textId="7AAA64EB" w:rsidR="00772829" w:rsidRPr="00CE28E3" w:rsidRDefault="00772829" w:rsidP="00344E1F">
      <w:pPr>
        <w:spacing w:after="240"/>
        <w:ind w:left="3402" w:hanging="3402"/>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E12F9A">
        <w:rPr>
          <w:rFonts w:ascii="Arial" w:hAnsi="Arial" w:cs="Arial"/>
          <w:b/>
          <w:szCs w:val="24"/>
        </w:rPr>
        <w:t>A group of academic specialists, co-sponsored by the Australasian Association of Nuclear Medicine Specialists (AANMS)</w:t>
      </w:r>
    </w:p>
    <w:p w14:paraId="678D2554" w14:textId="2B6C95F4" w:rsidR="00D80944" w:rsidRDefault="00D80944" w:rsidP="00295AD6">
      <w:pPr>
        <w:tabs>
          <w:tab w:val="left" w:pos="3402"/>
        </w:tabs>
        <w:spacing w:before="320"/>
        <w:rPr>
          <w:rFonts w:ascii="Arial" w:hAnsi="Arial" w:cs="Arial"/>
          <w:b/>
          <w:bCs/>
        </w:rPr>
      </w:pPr>
      <w:r w:rsidRPr="000345F7">
        <w:rPr>
          <w:rFonts w:ascii="Arial" w:hAnsi="Arial" w:cs="Arial"/>
          <w:b/>
          <w:bCs/>
        </w:rPr>
        <w:t xml:space="preserve">Date of </w:t>
      </w:r>
      <w:r w:rsidR="00295AD6">
        <w:rPr>
          <w:rFonts w:ascii="Arial" w:hAnsi="Arial" w:cs="Arial"/>
          <w:b/>
          <w:bCs/>
        </w:rPr>
        <w:t>MSAC</w:t>
      </w:r>
      <w:r w:rsidRPr="000345F7">
        <w:rPr>
          <w:rFonts w:ascii="Arial" w:hAnsi="Arial" w:cs="Arial"/>
          <w:b/>
          <w:bCs/>
        </w:rPr>
        <w:t xml:space="preserve"> consideration:</w:t>
      </w:r>
      <w:r w:rsidR="00295AD6">
        <w:rPr>
          <w:rFonts w:ascii="Arial" w:hAnsi="Arial" w:cs="Arial"/>
          <w:b/>
          <w:bCs/>
        </w:rPr>
        <w:tab/>
        <w:t>4-5 April</w:t>
      </w:r>
      <w:r w:rsidRPr="000345F7">
        <w:rPr>
          <w:rFonts w:ascii="Arial" w:hAnsi="Arial" w:cs="Arial"/>
          <w:b/>
          <w:bCs/>
        </w:rPr>
        <w:t xml:space="preserve"> 2024</w:t>
      </w:r>
    </w:p>
    <w:p w14:paraId="212DD8CA" w14:textId="77777777" w:rsidR="00295AD6" w:rsidRPr="00415A9B" w:rsidRDefault="00295AD6" w:rsidP="00295AD6">
      <w:pPr>
        <w:spacing w:after="240"/>
        <w:rPr>
          <w:color w:val="0000FF"/>
          <w:szCs w:val="24"/>
          <w:u w:val="single"/>
        </w:rPr>
      </w:pPr>
      <w:r w:rsidRPr="00F715D1">
        <w:rPr>
          <w:szCs w:val="24"/>
        </w:rPr>
        <w:t>Context for decision: MSAC makes its advice in accordance wit</w:t>
      </w:r>
      <w:r>
        <w:rPr>
          <w:szCs w:val="24"/>
        </w:rPr>
        <w:t>h its Terms of Reference,</w:t>
      </w:r>
      <w:r w:rsidRPr="00F715D1">
        <w:rPr>
          <w:szCs w:val="24"/>
        </w:rPr>
        <w:t xml:space="preserve"> </w:t>
      </w:r>
      <w:hyperlink r:id="rId8" w:tooltip="Link to Medical Services Advisory Committee website" w:history="1">
        <w:r w:rsidRPr="00F715D1">
          <w:rPr>
            <w:rStyle w:val="Hyperlink"/>
            <w:szCs w:val="24"/>
          </w:rPr>
          <w:t>visit the MSAC website</w:t>
        </w:r>
      </w:hyperlink>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2AEB9B64" w14:textId="55F51F34" w:rsidR="00727EC5" w:rsidRPr="0001342B" w:rsidRDefault="00727EC5" w:rsidP="00727EC5">
      <w:bookmarkStart w:id="1" w:name="_Toc69491416"/>
      <w:r w:rsidRPr="0001342B">
        <w:t xml:space="preserve">This </w:t>
      </w:r>
      <w:r w:rsidR="009B6877">
        <w:t>fit-for-purpose Department contracted assessment report (FFP DCAR) presents an updated economic evaluation and financial analyses</w:t>
      </w:r>
      <w:r w:rsidRPr="0001342B">
        <w:t xml:space="preserve"> to the Medical Services Advisory Committee (MSAC) </w:t>
      </w:r>
      <w:r w:rsidR="009B6877">
        <w:t>for</w:t>
      </w:r>
      <w:r w:rsidRPr="0001342B">
        <w:t xml:space="preserve"> Medicare Benefits Schedule (MBS) funding for two technologies – one therapeutic (1) and one investigative (2).</w:t>
      </w:r>
    </w:p>
    <w:p w14:paraId="2BB5112A" w14:textId="77777777" w:rsidR="00727EC5" w:rsidRPr="00AF7248" w:rsidRDefault="00727EC5" w:rsidP="00727EC5">
      <w:r w:rsidRPr="0001342B">
        <w:t>The proposed therapeutic intervention for MBS listing is:</w:t>
      </w:r>
    </w:p>
    <w:p w14:paraId="5C6036D2" w14:textId="10794CFC" w:rsidR="00727EC5" w:rsidRPr="00AF7248" w:rsidRDefault="00727EC5" w:rsidP="001359E7">
      <w:pPr>
        <w:numPr>
          <w:ilvl w:val="0"/>
          <w:numId w:val="12"/>
        </w:numPr>
      </w:pPr>
      <w:r w:rsidRPr="00AF7248">
        <w:rPr>
          <w:vertAlign w:val="superscript"/>
        </w:rPr>
        <w:t>177</w:t>
      </w:r>
      <w:r w:rsidRPr="00AF7248">
        <w:t>Lutetium (</w:t>
      </w:r>
      <w:r w:rsidRPr="0001342B">
        <w:t>Lu) PSMA</w:t>
      </w:r>
      <w:r w:rsidR="00CC11AF">
        <w:t>:</w:t>
      </w:r>
      <w:r w:rsidR="00690A7C">
        <w:t xml:space="preserve"> </w:t>
      </w:r>
      <w:r w:rsidR="00AF7248" w:rsidRPr="009B6877">
        <w:t>According to the proposed item descriptors, this should also specify 24-hour post-therapy single-photon emission/computed tomography/computerised tomography (SPECT/CT)</w:t>
      </w:r>
    </w:p>
    <w:p w14:paraId="722409D3" w14:textId="77777777" w:rsidR="00727EC5" w:rsidRPr="00AF7248" w:rsidRDefault="00727EC5" w:rsidP="00727EC5">
      <w:r w:rsidRPr="00AF7248">
        <w:t>for which treatment eligibility is determined by:</w:t>
      </w:r>
    </w:p>
    <w:p w14:paraId="6B99E74D" w14:textId="77777777" w:rsidR="00727EC5" w:rsidRPr="0001342B" w:rsidRDefault="00727EC5" w:rsidP="001359E7">
      <w:pPr>
        <w:numPr>
          <w:ilvl w:val="0"/>
          <w:numId w:val="12"/>
        </w:numPr>
      </w:pPr>
      <w:r w:rsidRPr="0001342B">
        <w:t xml:space="preserve">Diagnostic test: whole body prostate specific membrane antigen [PSMA] positron emission tomography [PET]/computerised tomography [CT]; </w:t>
      </w:r>
    </w:p>
    <w:p w14:paraId="0A4B545C" w14:textId="188B083C" w:rsidR="00727EC5" w:rsidRPr="0001342B" w:rsidRDefault="00727EC5" w:rsidP="00727EC5">
      <w:r w:rsidRPr="0001342B">
        <w:t xml:space="preserve">for the treatment of progressive or symptomatic metastatic castrate resistant prostate cancer (mCRPC) </w:t>
      </w:r>
      <w:r w:rsidR="00CC11AF">
        <w:t xml:space="preserve">in patients </w:t>
      </w:r>
      <w:r w:rsidRPr="0001342B">
        <w:t>who have received at least one androgen receptor signalling inhibitor as well as at least one line of chemotherapy (docetaxel +/- cabazitaxel)</w:t>
      </w:r>
      <w:r w:rsidR="00CC11AF">
        <w:t xml:space="preserve">, </w:t>
      </w:r>
      <w:r w:rsidR="00973586">
        <w:t>both of which are subsidised via the PBS and RPBS</w:t>
      </w:r>
      <w:r w:rsidRPr="0001342B">
        <w:t>.</w:t>
      </w:r>
    </w:p>
    <w:p w14:paraId="6C8E1B58" w14:textId="28C7B17A" w:rsidR="00AF7248" w:rsidRDefault="00AF7248" w:rsidP="00727EC5">
      <w:r w:rsidRPr="009B6877">
        <w:t>Th</w:t>
      </w:r>
      <w:r w:rsidR="009B6877">
        <w:t>e request is</w:t>
      </w:r>
      <w:r w:rsidRPr="009B6877">
        <w:t xml:space="preserve"> consistent with the ratified PICO Confirmation. However, as for the </w:t>
      </w:r>
      <w:r w:rsidR="009B6877">
        <w:t>original and resubmission</w:t>
      </w:r>
      <w:r w:rsidRPr="009B6877">
        <w:t xml:space="preserve"> ADAR</w:t>
      </w:r>
      <w:r w:rsidR="009B6877">
        <w:t>s</w:t>
      </w:r>
      <w:r w:rsidRPr="009B6877">
        <w:t xml:space="preserve">, the request no longer requires “Diagnostic test 2: Whole body </w:t>
      </w:r>
      <w:r w:rsidRPr="009B6877">
        <w:rPr>
          <w:vertAlign w:val="superscript"/>
        </w:rPr>
        <w:t>18</w:t>
      </w:r>
      <w:r w:rsidRPr="009B6877">
        <w:t xml:space="preserve">F-fluorodeoxyglucose (FDG) PET/CT – FDG PET/CT” following whole body PSMA PET/CT to be eligible for </w:t>
      </w:r>
      <w:r w:rsidRPr="009B6877">
        <w:rPr>
          <w:vertAlign w:val="superscript"/>
        </w:rPr>
        <w:t>177</w:t>
      </w:r>
      <w:r w:rsidRPr="009B6877">
        <w:t>Lu</w:t>
      </w:r>
      <w:r w:rsidR="009B6877">
        <w:t> </w:t>
      </w:r>
      <w:r w:rsidRPr="009B6877">
        <w:t>PSMA</w:t>
      </w:r>
      <w:r w:rsidR="009B6877">
        <w:t> i&amp;t</w:t>
      </w:r>
      <w:r w:rsidRPr="009B6877">
        <w:t xml:space="preserve">. The applicant advised this was the intention </w:t>
      </w:r>
      <w:r w:rsidR="00973586">
        <w:t>of</w:t>
      </w:r>
      <w:r w:rsidRPr="009B6877">
        <w:t xml:space="preserve"> its comments on the ratified PICO Confirmation.</w:t>
      </w:r>
    </w:p>
    <w:p w14:paraId="4A198D5B" w14:textId="0FF05A55" w:rsidR="006F213C" w:rsidRPr="00977CD6" w:rsidRDefault="00AC0D42" w:rsidP="00D71CB6">
      <w:pPr>
        <w:spacing w:after="240"/>
        <w:rPr>
          <w:iCs/>
        </w:rPr>
      </w:pPr>
      <w:r>
        <w:rPr>
          <w:iCs/>
        </w:rPr>
        <w:t>Consistent with the previous public summary documents for application 1686/1686.1,</w:t>
      </w:r>
      <w:r w:rsidR="006F213C">
        <w:rPr>
          <w:iCs/>
        </w:rPr>
        <w:t xml:space="preserve"> MSAC has referred to specific </w:t>
      </w:r>
      <w:r w:rsidR="006F213C">
        <w:rPr>
          <w:iCs/>
          <w:vertAlign w:val="superscript"/>
        </w:rPr>
        <w:t>177</w:t>
      </w:r>
      <w:r w:rsidR="006F213C">
        <w:t>LuPSMA</w:t>
      </w:r>
      <w:r w:rsidR="006F213C">
        <w:rPr>
          <w:iCs/>
        </w:rPr>
        <w:t xml:space="preserve"> products, either as </w:t>
      </w:r>
      <w:r w:rsidR="006F213C">
        <w:rPr>
          <w:iCs/>
          <w:vertAlign w:val="superscript"/>
        </w:rPr>
        <w:t>177</w:t>
      </w:r>
      <w:r w:rsidR="006F213C">
        <w:rPr>
          <w:iCs/>
        </w:rPr>
        <w:t>Lu PSMA imaging scan and therapy (</w:t>
      </w:r>
      <w:r w:rsidR="006F213C">
        <w:rPr>
          <w:iCs/>
          <w:vertAlign w:val="superscript"/>
        </w:rPr>
        <w:t>177</w:t>
      </w:r>
      <w:r w:rsidR="006F213C">
        <w:rPr>
          <w:iCs/>
        </w:rPr>
        <w:t xml:space="preserve">Lu PSMA i&amp;t) or </w:t>
      </w:r>
      <w:r w:rsidR="006F213C">
        <w:rPr>
          <w:iCs/>
          <w:vertAlign w:val="superscript"/>
        </w:rPr>
        <w:t>177</w:t>
      </w:r>
      <w:r w:rsidR="006F213C">
        <w:rPr>
          <w:iCs/>
        </w:rPr>
        <w:t>Lu PSMA-617.</w:t>
      </w:r>
    </w:p>
    <w:p w14:paraId="6431ED0C" w14:textId="77777777" w:rsidR="00295AD6" w:rsidRDefault="00295AD6" w:rsidP="00295AD6">
      <w:pPr>
        <w:pStyle w:val="Heading2"/>
        <w:numPr>
          <w:ilvl w:val="0"/>
          <w:numId w:val="0"/>
        </w:numPr>
      </w:pPr>
      <w:r>
        <w:t>2.</w:t>
      </w:r>
      <w:r>
        <w:tab/>
        <w:t>MSAC’s advice to the Minister</w:t>
      </w:r>
    </w:p>
    <w:p w14:paraId="356D7193" w14:textId="2125F5B7" w:rsidR="0039644E" w:rsidRPr="00A053B9" w:rsidRDefault="00237883" w:rsidP="0039644E">
      <w:pPr>
        <w:rPr>
          <w:iCs/>
        </w:rPr>
      </w:pPr>
      <w:r w:rsidRPr="00A053B9">
        <w:rPr>
          <w:iCs/>
        </w:rPr>
        <w:t>MSAC considered</w:t>
      </w:r>
      <w:r w:rsidR="00295AD6" w:rsidRPr="00A053B9">
        <w:rPr>
          <w:iCs/>
        </w:rPr>
        <w:t xml:space="preserve"> the strength of the available evidence in relation to comparative safety, clinical effectiveness, cost-effectiveness and total cost</w:t>
      </w:r>
      <w:r w:rsidRPr="00A053B9">
        <w:rPr>
          <w:iCs/>
        </w:rPr>
        <w:t xml:space="preserve"> of 177 lutetium prostate-specific membrane </w:t>
      </w:r>
      <w:r w:rsidRPr="00A053B9">
        <w:rPr>
          <w:iCs/>
        </w:rPr>
        <w:lastRenderedPageBreak/>
        <w:t>antigen imaging scan and therapy (</w:t>
      </w:r>
      <w:r w:rsidRPr="00A053B9">
        <w:rPr>
          <w:iCs/>
          <w:vertAlign w:val="superscript"/>
        </w:rPr>
        <w:t>177</w:t>
      </w:r>
      <w:r w:rsidRPr="00A053B9">
        <w:rPr>
          <w:iCs/>
        </w:rPr>
        <w:t>LuPSMA i&amp;t).</w:t>
      </w:r>
      <w:r w:rsidR="00295AD6" w:rsidRPr="00A053B9">
        <w:rPr>
          <w:iCs/>
        </w:rPr>
        <w:t xml:space="preserve"> </w:t>
      </w:r>
      <w:r w:rsidRPr="00A053B9">
        <w:rPr>
          <w:iCs/>
        </w:rPr>
        <w:t>O</w:t>
      </w:r>
      <w:r w:rsidR="0039644E" w:rsidRPr="00A053B9">
        <w:rPr>
          <w:iCs/>
        </w:rPr>
        <w:t>n the basis of the current evidence and</w:t>
      </w:r>
      <w:r w:rsidR="003A4F9A">
        <w:rPr>
          <w:iCs/>
        </w:rPr>
        <w:t xml:space="preserve"> on the premise that providers will</w:t>
      </w:r>
      <w:r w:rsidR="0039644E" w:rsidRPr="00A053B9">
        <w:rPr>
          <w:iCs/>
        </w:rPr>
        <w:t xml:space="preserve"> have a legal right to use </w:t>
      </w:r>
      <w:r w:rsidR="0039644E" w:rsidRPr="00A053B9">
        <w:rPr>
          <w:vertAlign w:val="superscript"/>
        </w:rPr>
        <w:t>177</w:t>
      </w:r>
      <w:r w:rsidR="0039644E" w:rsidRPr="00A053B9">
        <w:t>LuPSMA</w:t>
      </w:r>
      <w:r w:rsidR="009E23E2" w:rsidRPr="00A053B9">
        <w:t> </w:t>
      </w:r>
      <w:r w:rsidR="0039644E" w:rsidRPr="00A053B9">
        <w:t>i</w:t>
      </w:r>
      <w:r w:rsidR="0039644E" w:rsidRPr="00A053B9">
        <w:rPr>
          <w:iCs/>
        </w:rPr>
        <w:t>&amp;t in Australia</w:t>
      </w:r>
      <w:r w:rsidR="004C0994">
        <w:rPr>
          <w:iCs/>
        </w:rPr>
        <w:t xml:space="preserve"> if the application is approved</w:t>
      </w:r>
      <w:r w:rsidR="0039644E" w:rsidRPr="00A053B9">
        <w:rPr>
          <w:iCs/>
        </w:rPr>
        <w:t>, MSAC supported the creation of new Medicare Benefits Schedule (MBS) items for</w:t>
      </w:r>
      <w:r w:rsidRPr="00A053B9">
        <w:rPr>
          <w:iCs/>
        </w:rPr>
        <w:t>:</w:t>
      </w:r>
      <w:r w:rsidR="0039644E" w:rsidRPr="00A053B9">
        <w:rPr>
          <w:iCs/>
        </w:rPr>
        <w:t xml:space="preserve"> 1) </w:t>
      </w:r>
      <w:r w:rsidR="0039644E" w:rsidRPr="00A053B9">
        <w:rPr>
          <w:iCs/>
          <w:vertAlign w:val="superscript"/>
        </w:rPr>
        <w:t>177</w:t>
      </w:r>
      <w:r w:rsidR="0039644E" w:rsidRPr="00A053B9">
        <w:rPr>
          <w:iCs/>
        </w:rPr>
        <w:t>Lu</w:t>
      </w:r>
      <w:r w:rsidR="009E23E2" w:rsidRPr="00A053B9">
        <w:rPr>
          <w:iCs/>
        </w:rPr>
        <w:t> </w:t>
      </w:r>
      <w:r w:rsidR="0039644E" w:rsidRPr="00A053B9">
        <w:rPr>
          <w:iCs/>
        </w:rPr>
        <w:t>PSMA</w:t>
      </w:r>
      <w:r w:rsidR="009E23E2" w:rsidRPr="00A053B9">
        <w:rPr>
          <w:iCs/>
        </w:rPr>
        <w:t> </w:t>
      </w:r>
      <w:r w:rsidR="0039644E" w:rsidRPr="00A053B9">
        <w:rPr>
          <w:iCs/>
        </w:rPr>
        <w:t>i&amp;t for treatment of progressive metastatic castrate resistant prostate cancer (mCRPC)</w:t>
      </w:r>
      <w:r w:rsidRPr="00A053B9">
        <w:rPr>
          <w:iCs/>
        </w:rPr>
        <w:t>;</w:t>
      </w:r>
      <w:r w:rsidR="0039644E" w:rsidRPr="00A053B9">
        <w:rPr>
          <w:iCs/>
        </w:rPr>
        <w:t xml:space="preserve"> and 2) whole body PSMA positron emission tomography/computed tomography (PSMA PET/CT) to identify those eligible for </w:t>
      </w:r>
      <w:r w:rsidR="0039644E" w:rsidRPr="00A053B9">
        <w:rPr>
          <w:iCs/>
          <w:vertAlign w:val="superscript"/>
        </w:rPr>
        <w:t>177</w:t>
      </w:r>
      <w:r w:rsidR="0039644E" w:rsidRPr="00A053B9">
        <w:rPr>
          <w:iCs/>
        </w:rPr>
        <w:t>Lu</w:t>
      </w:r>
      <w:r w:rsidR="009E23E2" w:rsidRPr="00A053B9">
        <w:rPr>
          <w:iCs/>
        </w:rPr>
        <w:t> </w:t>
      </w:r>
      <w:r w:rsidR="0039644E" w:rsidRPr="00A053B9">
        <w:rPr>
          <w:iCs/>
        </w:rPr>
        <w:t>PSMA</w:t>
      </w:r>
      <w:r w:rsidR="009E23E2" w:rsidRPr="00A053B9">
        <w:rPr>
          <w:iCs/>
        </w:rPr>
        <w:t> </w:t>
      </w:r>
      <w:r w:rsidR="0039644E" w:rsidRPr="00A053B9">
        <w:rPr>
          <w:iCs/>
        </w:rPr>
        <w:t>i&amp;t.</w:t>
      </w:r>
    </w:p>
    <w:p w14:paraId="31044366" w14:textId="0A6A7897" w:rsidR="0039644E" w:rsidRPr="00A053B9" w:rsidRDefault="0039644E" w:rsidP="0039644E">
      <w:pPr>
        <w:rPr>
          <w:iCs/>
        </w:rPr>
      </w:pPr>
      <w:r w:rsidRPr="00A053B9">
        <w:rPr>
          <w:iCs/>
        </w:rPr>
        <w:t xml:space="preserve">MSAC </w:t>
      </w:r>
      <w:r w:rsidR="00237883" w:rsidRPr="00A053B9">
        <w:rPr>
          <w:iCs/>
        </w:rPr>
        <w:t xml:space="preserve">considered afresh </w:t>
      </w:r>
      <w:r w:rsidRPr="00A053B9">
        <w:rPr>
          <w:iCs/>
        </w:rPr>
        <w:t xml:space="preserve">the evidence comparing </w:t>
      </w:r>
      <w:r w:rsidRPr="00A053B9">
        <w:rPr>
          <w:iCs/>
          <w:vertAlign w:val="superscript"/>
        </w:rPr>
        <w:t>177</w:t>
      </w:r>
      <w:r w:rsidRPr="00A053B9">
        <w:rPr>
          <w:iCs/>
        </w:rPr>
        <w:t>Lu</w:t>
      </w:r>
      <w:r w:rsidR="00944296" w:rsidRPr="00A053B9">
        <w:rPr>
          <w:iCs/>
        </w:rPr>
        <w:t> </w:t>
      </w:r>
      <w:r w:rsidRPr="00A053B9">
        <w:rPr>
          <w:iCs/>
        </w:rPr>
        <w:t>PSMA</w:t>
      </w:r>
      <w:r w:rsidR="00944296" w:rsidRPr="00A053B9">
        <w:rPr>
          <w:iCs/>
        </w:rPr>
        <w:t> </w:t>
      </w:r>
      <w:r w:rsidRPr="00A053B9">
        <w:rPr>
          <w:iCs/>
        </w:rPr>
        <w:t xml:space="preserve">i&amp;t and </w:t>
      </w:r>
      <w:r w:rsidRPr="00A053B9">
        <w:rPr>
          <w:iCs/>
          <w:vertAlign w:val="superscript"/>
        </w:rPr>
        <w:t>177</w:t>
      </w:r>
      <w:r w:rsidRPr="00A053B9">
        <w:rPr>
          <w:iCs/>
        </w:rPr>
        <w:t>Lu</w:t>
      </w:r>
      <w:r w:rsidR="00944296" w:rsidRPr="00A053B9">
        <w:rPr>
          <w:iCs/>
        </w:rPr>
        <w:t> </w:t>
      </w:r>
      <w:r w:rsidRPr="00A053B9">
        <w:rPr>
          <w:iCs/>
        </w:rPr>
        <w:t>PSMA-617 products</w:t>
      </w:r>
      <w:r w:rsidR="00237883" w:rsidRPr="00A053B9">
        <w:rPr>
          <w:iCs/>
        </w:rPr>
        <w:t>, and additional input provided about this issue</w:t>
      </w:r>
      <w:r w:rsidRPr="00A053B9">
        <w:rPr>
          <w:iCs/>
        </w:rPr>
        <w:t xml:space="preserve">. MSAC </w:t>
      </w:r>
      <w:r w:rsidR="007F6FCE" w:rsidRPr="00A053B9">
        <w:rPr>
          <w:iCs/>
        </w:rPr>
        <w:t>determined that</w:t>
      </w:r>
      <w:r w:rsidRPr="00A053B9">
        <w:rPr>
          <w:iCs/>
        </w:rPr>
        <w:t xml:space="preserve"> the two products are </w:t>
      </w:r>
      <w:r w:rsidR="00514CBA" w:rsidRPr="00A053B9">
        <w:rPr>
          <w:iCs/>
        </w:rPr>
        <w:t xml:space="preserve">mutually </w:t>
      </w:r>
      <w:r w:rsidRPr="00A053B9">
        <w:rPr>
          <w:iCs/>
        </w:rPr>
        <w:t xml:space="preserve">noninferior and thus considered the evidence for </w:t>
      </w:r>
      <w:r w:rsidR="00944296" w:rsidRPr="00A053B9">
        <w:rPr>
          <w:iCs/>
          <w:vertAlign w:val="superscript"/>
        </w:rPr>
        <w:t>177</w:t>
      </w:r>
      <w:r w:rsidR="00944296" w:rsidRPr="00A053B9">
        <w:rPr>
          <w:iCs/>
        </w:rPr>
        <w:t xml:space="preserve">Lu PSMA-617 </w:t>
      </w:r>
      <w:r w:rsidRPr="00A053B9">
        <w:rPr>
          <w:iCs/>
        </w:rPr>
        <w:t xml:space="preserve">to be relevant for </w:t>
      </w:r>
      <w:r w:rsidR="00944296" w:rsidRPr="00A053B9">
        <w:rPr>
          <w:iCs/>
          <w:vertAlign w:val="superscript"/>
        </w:rPr>
        <w:t>177</w:t>
      </w:r>
      <w:r w:rsidR="00944296" w:rsidRPr="00A053B9">
        <w:rPr>
          <w:iCs/>
        </w:rPr>
        <w:t>Lu PSMA i&amp;t</w:t>
      </w:r>
      <w:r w:rsidRPr="00A053B9">
        <w:rPr>
          <w:iCs/>
        </w:rPr>
        <w:t xml:space="preserve">. Thus, MSAC accepted the high certainty from the evidence that </w:t>
      </w:r>
      <w:r w:rsidRPr="00A053B9">
        <w:rPr>
          <w:iCs/>
          <w:vertAlign w:val="superscript"/>
        </w:rPr>
        <w:t>177</w:t>
      </w:r>
      <w:r w:rsidRPr="00A053B9">
        <w:rPr>
          <w:iCs/>
        </w:rPr>
        <w:t>Lu</w:t>
      </w:r>
      <w:r w:rsidR="00944296" w:rsidRPr="00A053B9">
        <w:rPr>
          <w:iCs/>
        </w:rPr>
        <w:t> </w:t>
      </w:r>
      <w:r w:rsidRPr="00A053B9">
        <w:rPr>
          <w:iCs/>
        </w:rPr>
        <w:t>PSMA</w:t>
      </w:r>
      <w:r w:rsidR="00944296" w:rsidRPr="00A053B9">
        <w:rPr>
          <w:iCs/>
        </w:rPr>
        <w:t> </w:t>
      </w:r>
      <w:r w:rsidRPr="00A053B9">
        <w:rPr>
          <w:iCs/>
        </w:rPr>
        <w:t>i&amp;t therapy is acceptably safe and effective.</w:t>
      </w:r>
    </w:p>
    <w:p w14:paraId="3C18A7D8" w14:textId="0610051F" w:rsidR="0039644E" w:rsidRPr="00A053B9" w:rsidRDefault="0039644E" w:rsidP="0039644E">
      <w:pPr>
        <w:rPr>
          <w:iCs/>
        </w:rPr>
      </w:pPr>
      <w:r w:rsidRPr="00A053B9">
        <w:rPr>
          <w:iCs/>
        </w:rPr>
        <w:t xml:space="preserve">MSAC considered that its previous uncertainties regarding the economic and financial analyses had been </w:t>
      </w:r>
      <w:r w:rsidR="007F6FCE" w:rsidRPr="00A053B9">
        <w:rPr>
          <w:iCs/>
        </w:rPr>
        <w:t>sufficiently addressed</w:t>
      </w:r>
      <w:r w:rsidRPr="00A053B9">
        <w:rPr>
          <w:iCs/>
        </w:rPr>
        <w:t xml:space="preserve">. Despite limitations in the revised economic evaluation, MSAC was satisfied the incremental cost-effectiveness ratio (ICER) range provided reliable estimates for the upper limit of cost-effectiveness of </w:t>
      </w:r>
      <w:r w:rsidR="00944296" w:rsidRPr="00A053B9">
        <w:rPr>
          <w:iCs/>
          <w:vertAlign w:val="superscript"/>
        </w:rPr>
        <w:t>177</w:t>
      </w:r>
      <w:r w:rsidR="00944296" w:rsidRPr="00A053B9">
        <w:rPr>
          <w:iCs/>
        </w:rPr>
        <w:t xml:space="preserve">Lu PSMA i&amp;t </w:t>
      </w:r>
      <w:r w:rsidRPr="00A053B9">
        <w:rPr>
          <w:iCs/>
        </w:rPr>
        <w:t>over its comparators of best supportive care</w:t>
      </w:r>
      <w:r w:rsidR="00783EDC" w:rsidRPr="00A053B9">
        <w:rPr>
          <w:iCs/>
        </w:rPr>
        <w:t>,</w:t>
      </w:r>
      <w:r w:rsidRPr="00A053B9">
        <w:rPr>
          <w:iCs/>
        </w:rPr>
        <w:t xml:space="preserve"> and cabazitaxel. Although the ICER was high, MSAC accepted that </w:t>
      </w:r>
      <w:r w:rsidR="00944296" w:rsidRPr="00A053B9">
        <w:rPr>
          <w:iCs/>
          <w:vertAlign w:val="superscript"/>
        </w:rPr>
        <w:t>177</w:t>
      </w:r>
      <w:r w:rsidR="00944296" w:rsidRPr="00A053B9">
        <w:rPr>
          <w:iCs/>
        </w:rPr>
        <w:t xml:space="preserve">Lu PSMA i&amp;t </w:t>
      </w:r>
      <w:r w:rsidRPr="00A053B9">
        <w:rPr>
          <w:iCs/>
        </w:rPr>
        <w:t xml:space="preserve">was cost effective in the context of a population with high clinical need, consumer preference for </w:t>
      </w:r>
      <w:r w:rsidRPr="00A053B9">
        <w:rPr>
          <w:iCs/>
          <w:vertAlign w:val="superscript"/>
        </w:rPr>
        <w:t>177</w:t>
      </w:r>
      <w:r w:rsidRPr="00A053B9">
        <w:rPr>
          <w:iCs/>
        </w:rPr>
        <w:t>Lu</w:t>
      </w:r>
      <w:r w:rsidR="00944296" w:rsidRPr="00A053B9">
        <w:rPr>
          <w:iCs/>
        </w:rPr>
        <w:t> </w:t>
      </w:r>
      <w:r w:rsidRPr="00A053B9">
        <w:rPr>
          <w:iCs/>
        </w:rPr>
        <w:t xml:space="preserve">PSMA therapy over its comparators and an equity of access issue as some patients are currently paying for the treatment privately or </w:t>
      </w:r>
      <w:r w:rsidR="00752C06" w:rsidRPr="00A053B9">
        <w:rPr>
          <w:iCs/>
        </w:rPr>
        <w:t xml:space="preserve">are receiving </w:t>
      </w:r>
      <w:r w:rsidRPr="00A053B9">
        <w:rPr>
          <w:iCs/>
        </w:rPr>
        <w:t>treatment funded through the Department of Veterans' Affairs. MSAC also considered that the financial impact was acceptable for this well-defined population.</w:t>
      </w:r>
    </w:p>
    <w:p w14:paraId="2973A7CA" w14:textId="5F71D18A" w:rsidR="00E76EF2" w:rsidRPr="00A053B9" w:rsidRDefault="0039644E" w:rsidP="0039644E">
      <w:pPr>
        <w:rPr>
          <w:iCs/>
        </w:rPr>
      </w:pPr>
      <w:r w:rsidRPr="00A053B9">
        <w:rPr>
          <w:iCs/>
        </w:rPr>
        <w:t xml:space="preserve">MSAC noted the </w:t>
      </w:r>
      <w:r w:rsidR="004F0CDD" w:rsidRPr="00A053B9">
        <w:rPr>
          <w:iCs/>
        </w:rPr>
        <w:t xml:space="preserve">previous and current </w:t>
      </w:r>
      <w:r w:rsidR="00604B3D" w:rsidRPr="00A053B9">
        <w:rPr>
          <w:iCs/>
        </w:rPr>
        <w:t>information</w:t>
      </w:r>
      <w:r w:rsidR="004F0CDD" w:rsidRPr="00A053B9">
        <w:rPr>
          <w:iCs/>
        </w:rPr>
        <w:t xml:space="preserve"> concerning</w:t>
      </w:r>
      <w:r w:rsidR="00FB64D5" w:rsidRPr="00A053B9">
        <w:rPr>
          <w:iCs/>
        </w:rPr>
        <w:t xml:space="preserve"> a</w:t>
      </w:r>
      <w:r w:rsidR="004F0CDD" w:rsidRPr="00A053B9">
        <w:rPr>
          <w:iCs/>
        </w:rPr>
        <w:t xml:space="preserve"> </w:t>
      </w:r>
      <w:r w:rsidRPr="00A053B9">
        <w:rPr>
          <w:iCs/>
        </w:rPr>
        <w:t xml:space="preserve">patent related </w:t>
      </w:r>
      <w:r w:rsidR="004F0CDD" w:rsidRPr="00A053B9">
        <w:rPr>
          <w:iCs/>
        </w:rPr>
        <w:t xml:space="preserve">dispute between the applicants and a commercial organisation. </w:t>
      </w:r>
      <w:r w:rsidR="000C06C8" w:rsidRPr="00A053B9">
        <w:rPr>
          <w:iCs/>
        </w:rPr>
        <w:t xml:space="preserve">MSAC </w:t>
      </w:r>
      <w:r w:rsidR="003D4837" w:rsidRPr="00A053B9">
        <w:rPr>
          <w:iCs/>
        </w:rPr>
        <w:t>consider</w:t>
      </w:r>
      <w:r w:rsidR="000C06C8" w:rsidRPr="00A053B9">
        <w:rPr>
          <w:iCs/>
        </w:rPr>
        <w:t>ed</w:t>
      </w:r>
      <w:r w:rsidR="003D4837" w:rsidRPr="00A053B9">
        <w:rPr>
          <w:iCs/>
        </w:rPr>
        <w:t xml:space="preserve"> that determining the </w:t>
      </w:r>
      <w:r w:rsidR="000C06C8" w:rsidRPr="00A053B9">
        <w:rPr>
          <w:iCs/>
        </w:rPr>
        <w:t xml:space="preserve">patent </w:t>
      </w:r>
      <w:r w:rsidR="003D4837" w:rsidRPr="00A053B9">
        <w:rPr>
          <w:iCs/>
        </w:rPr>
        <w:t xml:space="preserve">issue is outside </w:t>
      </w:r>
      <w:r w:rsidR="004F0CDD" w:rsidRPr="00A053B9">
        <w:rPr>
          <w:iCs/>
        </w:rPr>
        <w:t>t</w:t>
      </w:r>
      <w:r w:rsidR="003D4837" w:rsidRPr="00A053B9">
        <w:rPr>
          <w:iCs/>
        </w:rPr>
        <w:t xml:space="preserve">he </w:t>
      </w:r>
      <w:r w:rsidRPr="00A053B9">
        <w:rPr>
          <w:iCs/>
        </w:rPr>
        <w:t>MSAC Terms of Reference</w:t>
      </w:r>
      <w:r w:rsidR="004F0CDD" w:rsidRPr="00A053B9">
        <w:rPr>
          <w:iCs/>
        </w:rPr>
        <w:t xml:space="preserve">, but noted that </w:t>
      </w:r>
      <w:r w:rsidR="003D4837" w:rsidRPr="00A053B9">
        <w:rPr>
          <w:iCs/>
        </w:rPr>
        <w:t xml:space="preserve">the </w:t>
      </w:r>
      <w:r w:rsidRPr="00A053B9">
        <w:rPr>
          <w:iCs/>
        </w:rPr>
        <w:t>patent related matters would require consideration by government</w:t>
      </w:r>
      <w:r w:rsidR="00FB64D5" w:rsidRPr="00A053B9">
        <w:rPr>
          <w:iCs/>
        </w:rPr>
        <w:t xml:space="preserve"> and the Minister</w:t>
      </w:r>
      <w:r w:rsidRPr="00A053B9">
        <w:rPr>
          <w:iCs/>
        </w:rPr>
        <w:t xml:space="preserve"> prior to any decision</w:t>
      </w:r>
      <w:r w:rsidR="00FB64D5" w:rsidRPr="00A053B9">
        <w:rPr>
          <w:iCs/>
        </w:rPr>
        <w:t xml:space="preserve"> in relation to whether</w:t>
      </w:r>
      <w:r w:rsidRPr="00A053B9">
        <w:rPr>
          <w:iCs/>
        </w:rPr>
        <w:t xml:space="preserve"> to list </w:t>
      </w:r>
      <w:r w:rsidR="00FB64D5" w:rsidRPr="00A053B9">
        <w:rPr>
          <w:iCs/>
        </w:rPr>
        <w:t>new</w:t>
      </w:r>
      <w:r w:rsidRPr="00A053B9">
        <w:rPr>
          <w:iCs/>
        </w:rPr>
        <w:t xml:space="preserve"> MBS items as a result of this application.</w:t>
      </w:r>
    </w:p>
    <w:p w14:paraId="54F8C739" w14:textId="140FEC84" w:rsidR="00E76EF2" w:rsidRDefault="00510998" w:rsidP="00E76EF2">
      <w:r w:rsidRPr="00A053B9">
        <w:t xml:space="preserve">MSAC supported </w:t>
      </w:r>
      <w:r w:rsidR="00523D17">
        <w:t>MBS item</w:t>
      </w:r>
      <w:r w:rsidR="001459E2">
        <w:t xml:space="preserve"> descriptors</w:t>
      </w:r>
      <w:r w:rsidR="00523D17">
        <w:t xml:space="preserve"> </w:t>
      </w:r>
      <w:r w:rsidR="00523D17" w:rsidRPr="00A053B9">
        <w:t xml:space="preserve">agnostic to the type of </w:t>
      </w:r>
      <w:r w:rsidR="00523D17" w:rsidRPr="00A053B9">
        <w:rPr>
          <w:vertAlign w:val="superscript"/>
        </w:rPr>
        <w:t>177</w:t>
      </w:r>
      <w:r w:rsidR="00523D17" w:rsidRPr="00A053B9">
        <w:t>Lu PSMA therapy</w:t>
      </w:r>
      <w:r w:rsidR="00C547FC" w:rsidRPr="00A053B9">
        <w:t>:</w:t>
      </w:r>
    </w:p>
    <w:tbl>
      <w:tblPr>
        <w:tblStyle w:val="LashStyleTable1"/>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AA0197" w:rsidRPr="00BC06E1" w14:paraId="61AC41D4" w14:textId="77777777">
        <w:trPr>
          <w:trHeight w:val="89"/>
        </w:trPr>
        <w:tc>
          <w:tcPr>
            <w:tcW w:w="5000" w:type="pct"/>
          </w:tcPr>
          <w:p w14:paraId="6138F8C3" w14:textId="77777777" w:rsidR="00AA0197" w:rsidRPr="00BC06E1" w:rsidRDefault="00AA0197">
            <w:pPr>
              <w:keepNext/>
              <w:keepLines/>
              <w:spacing w:before="20" w:after="20"/>
              <w:rPr>
                <w:rFonts w:ascii="Arial Narrow" w:hAnsi="Arial Narrow" w:cs="Calibri"/>
                <w:b/>
                <w:bCs/>
                <w:sz w:val="20"/>
                <w:szCs w:val="20"/>
                <w:lang w:val="en-AU"/>
              </w:rPr>
            </w:pPr>
            <w:r w:rsidRPr="00BC06E1">
              <w:rPr>
                <w:rFonts w:ascii="Arial Narrow" w:hAnsi="Arial Narrow" w:cs="Calibri"/>
                <w:b/>
                <w:bCs/>
                <w:sz w:val="20"/>
                <w:szCs w:val="20"/>
                <w:lang w:val="en-AU"/>
              </w:rPr>
              <w:lastRenderedPageBreak/>
              <w:t>Category 5 - Diagnostic Imaging Services</w:t>
            </w:r>
          </w:p>
        </w:tc>
      </w:tr>
      <w:tr w:rsidR="00AA0197" w:rsidRPr="00BC06E1" w14:paraId="6B08ECDA" w14:textId="77777777">
        <w:tc>
          <w:tcPr>
            <w:tcW w:w="5000" w:type="pct"/>
          </w:tcPr>
          <w:p w14:paraId="28665EEC" w14:textId="77777777" w:rsidR="00AA0197" w:rsidRDefault="00AA0197">
            <w:pPr>
              <w:keepNext/>
              <w:keepLines/>
              <w:spacing w:before="20" w:after="20"/>
              <w:rPr>
                <w:rFonts w:ascii="Arial Narrow" w:hAnsi="Arial Narrow" w:cs="Calibri"/>
                <w:sz w:val="20"/>
                <w:szCs w:val="20"/>
                <w:lang w:val="en-AU"/>
              </w:rPr>
            </w:pPr>
            <w:r w:rsidRPr="00BC06E1">
              <w:rPr>
                <w:rFonts w:ascii="Arial Narrow" w:hAnsi="Arial Narrow" w:cs="Calibri"/>
                <w:sz w:val="20"/>
                <w:szCs w:val="20"/>
                <w:lang w:val="en-AU"/>
              </w:rPr>
              <w:t>MBS item XXXX</w:t>
            </w:r>
          </w:p>
          <w:p w14:paraId="7A5455B4" w14:textId="77777777" w:rsidR="00AA0197" w:rsidRPr="00BC06E1" w:rsidRDefault="00AA0197">
            <w:pPr>
              <w:keepNext/>
              <w:keepLines/>
              <w:spacing w:before="20" w:after="20"/>
              <w:rPr>
                <w:rFonts w:ascii="Arial Narrow" w:hAnsi="Arial Narrow" w:cs="Calibri"/>
                <w:sz w:val="20"/>
                <w:szCs w:val="20"/>
                <w:lang w:val="en-AU"/>
              </w:rPr>
            </w:pPr>
          </w:p>
          <w:p w14:paraId="1068CFA8" w14:textId="13203BF2" w:rsidR="00AA0197" w:rsidRPr="00BC06E1" w:rsidRDefault="00AA0197">
            <w:pPr>
              <w:keepNext/>
              <w:keepLines/>
              <w:spacing w:before="20" w:after="20"/>
              <w:rPr>
                <w:rFonts w:ascii="Arial Narrow" w:hAnsi="Arial Narrow" w:cs="Calibri"/>
                <w:sz w:val="20"/>
                <w:szCs w:val="20"/>
                <w:lang w:val="en-AU"/>
              </w:rPr>
            </w:pPr>
            <w:r w:rsidRPr="00BC06E1">
              <w:rPr>
                <w:rFonts w:ascii="Arial Narrow" w:hAnsi="Arial Narrow" w:cs="Calibri"/>
                <w:sz w:val="20"/>
                <w:szCs w:val="20"/>
                <w:lang w:val="en-AU"/>
              </w:rPr>
              <w:t xml:space="preserve">Whole body prostate specific membrane antigen (PSMA) positron emission tomography (PET) study, performed for the assessment of suitability for Lutetium 177 PSMA </w:t>
            </w:r>
            <w:r w:rsidRPr="00565302">
              <w:rPr>
                <w:rFonts w:ascii="Arial Narrow" w:hAnsi="Arial Narrow" w:cs="Calibri"/>
                <w:sz w:val="20"/>
                <w:szCs w:val="20"/>
              </w:rPr>
              <w:t>therapy</w:t>
            </w:r>
            <w:r w:rsidRPr="00BC06E1">
              <w:rPr>
                <w:rFonts w:ascii="Arial Narrow" w:hAnsi="Arial Narrow" w:cs="Calibri"/>
                <w:sz w:val="20"/>
                <w:szCs w:val="20"/>
                <w:lang w:val="en-AU"/>
              </w:rPr>
              <w:t xml:space="preserve"> in a patient with metastatic castrate resistant prostate cancer after progressive disease has developed while on at least one taxane chemotherapy and at least one androgen receptor signalling inhibitor.</w:t>
            </w:r>
          </w:p>
          <w:p w14:paraId="1FF31DD9" w14:textId="77777777" w:rsidR="00AA0197" w:rsidRPr="00BC06E1" w:rsidRDefault="00AA0197">
            <w:pPr>
              <w:keepNext/>
              <w:keepLines/>
              <w:spacing w:before="20" w:after="20"/>
              <w:rPr>
                <w:rFonts w:ascii="Arial Narrow" w:hAnsi="Arial Narrow" w:cs="Calibri"/>
                <w:sz w:val="20"/>
                <w:szCs w:val="20"/>
                <w:lang w:val="en-AU"/>
              </w:rPr>
            </w:pPr>
          </w:p>
          <w:p w14:paraId="4CCCE20D" w14:textId="77777777" w:rsidR="00AA0197" w:rsidRPr="008F6DFB" w:rsidRDefault="00AA0197">
            <w:pPr>
              <w:keepNext/>
              <w:keepLines/>
              <w:spacing w:before="20" w:after="20"/>
              <w:rPr>
                <w:rFonts w:ascii="Arial Narrow" w:hAnsi="Arial Narrow" w:cs="Calibri"/>
                <w:sz w:val="20"/>
                <w:szCs w:val="20"/>
                <w:lang w:val="en-AU"/>
              </w:rPr>
            </w:pPr>
            <w:r w:rsidRPr="008F6DFB">
              <w:rPr>
                <w:rFonts w:ascii="Arial Narrow" w:hAnsi="Arial Narrow" w:cs="Calibri"/>
                <w:sz w:val="20"/>
                <w:szCs w:val="20"/>
                <w:lang w:val="en-AU"/>
              </w:rPr>
              <w:t>(R) (Anaes)</w:t>
            </w:r>
          </w:p>
        </w:tc>
      </w:tr>
      <w:tr w:rsidR="00AA0197" w:rsidRPr="00BC06E1" w14:paraId="7694A2E6" w14:textId="77777777">
        <w:trPr>
          <w:trHeight w:val="223"/>
        </w:trPr>
        <w:tc>
          <w:tcPr>
            <w:tcW w:w="5000" w:type="pct"/>
          </w:tcPr>
          <w:p w14:paraId="5073691F" w14:textId="77777777" w:rsidR="00AA0197" w:rsidRPr="00BC06E1" w:rsidRDefault="00AA0197">
            <w:pPr>
              <w:keepNext/>
              <w:keepLines/>
              <w:spacing w:before="20" w:after="20"/>
              <w:rPr>
                <w:rFonts w:ascii="Arial Narrow" w:hAnsi="Arial Narrow" w:cs="Calibri"/>
                <w:sz w:val="20"/>
                <w:szCs w:val="20"/>
                <w:lang w:val="en-AU"/>
              </w:rPr>
            </w:pPr>
            <w:r w:rsidRPr="00BC06E1">
              <w:rPr>
                <w:rFonts w:ascii="Arial Narrow" w:hAnsi="Arial Narrow" w:cs="Calibri"/>
                <w:sz w:val="20"/>
                <w:szCs w:val="20"/>
                <w:lang w:val="en-AU"/>
              </w:rPr>
              <w:t>Fee: $1,300 Benefit: 85% = $1,201.30*</w:t>
            </w:r>
          </w:p>
        </w:tc>
      </w:tr>
    </w:tbl>
    <w:tbl>
      <w:tblPr>
        <w:tblStyle w:val="LashStyleTable2"/>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AA0197" w:rsidRPr="00697969" w14:paraId="3AAFF930" w14:textId="77777777">
        <w:trPr>
          <w:trHeight w:val="89"/>
        </w:trPr>
        <w:tc>
          <w:tcPr>
            <w:tcW w:w="5000" w:type="pct"/>
          </w:tcPr>
          <w:p w14:paraId="3F3A4D30" w14:textId="77777777" w:rsidR="00AA0197" w:rsidRPr="00697969" w:rsidRDefault="00AA0197">
            <w:pPr>
              <w:keepNext/>
              <w:keepLines/>
              <w:spacing w:before="20" w:after="20"/>
              <w:rPr>
                <w:rFonts w:ascii="Arial Narrow" w:hAnsi="Arial Narrow" w:cs="Calibri"/>
                <w:b/>
                <w:bCs/>
                <w:sz w:val="20"/>
                <w:szCs w:val="20"/>
                <w:lang w:val="en-AU"/>
              </w:rPr>
            </w:pPr>
            <w:r w:rsidRPr="00697969">
              <w:rPr>
                <w:rFonts w:ascii="Arial Narrow" w:hAnsi="Arial Narrow" w:cs="Calibri"/>
                <w:b/>
                <w:bCs/>
                <w:sz w:val="20"/>
                <w:szCs w:val="20"/>
                <w:lang w:val="en-AU"/>
              </w:rPr>
              <w:t>Category 3 - Therapeutic Procedures T3. Therapeutic Nuclear Medicine</w:t>
            </w:r>
          </w:p>
        </w:tc>
      </w:tr>
      <w:tr w:rsidR="00AA0197" w:rsidRPr="00697969" w14:paraId="5D9FD333" w14:textId="77777777">
        <w:tc>
          <w:tcPr>
            <w:tcW w:w="5000" w:type="pct"/>
          </w:tcPr>
          <w:p w14:paraId="0BF77C9C"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MBS item ZZZZ</w:t>
            </w:r>
          </w:p>
          <w:p w14:paraId="30741BCE" w14:textId="77777777" w:rsidR="00AA0197" w:rsidRPr="00697969" w:rsidRDefault="00AA0197">
            <w:pPr>
              <w:keepNext/>
              <w:keepLines/>
              <w:spacing w:before="20" w:after="20"/>
              <w:rPr>
                <w:rFonts w:ascii="Arial Narrow" w:hAnsi="Arial Narrow" w:cs="Calibri"/>
                <w:sz w:val="20"/>
                <w:szCs w:val="20"/>
                <w:lang w:val="en-AU"/>
              </w:rPr>
            </w:pPr>
          </w:p>
          <w:p w14:paraId="715B6AFA"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Treatment phase: initial treatment</w:t>
            </w:r>
          </w:p>
          <w:p w14:paraId="5B23DB0D" w14:textId="77777777" w:rsidR="00AA0197" w:rsidRPr="00697969" w:rsidRDefault="00AA0197">
            <w:pPr>
              <w:keepNext/>
              <w:keepLines/>
              <w:spacing w:before="20" w:after="20"/>
              <w:rPr>
                <w:rFonts w:ascii="Arial Narrow" w:hAnsi="Arial Narrow" w:cs="Calibri"/>
                <w:sz w:val="20"/>
                <w:szCs w:val="20"/>
                <w:lang w:val="en-AU"/>
              </w:rPr>
            </w:pPr>
          </w:p>
          <w:p w14:paraId="099760A9" w14:textId="592C8B1B" w:rsidR="00AA0197"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Administration of Lutetium 177 PSMA followed 24 hours later by whole body Lu-PSMA single-photon emission computed tomography (SPECT) for treatment of a patient with metastatic castrate resistant prostate cancer, who is PSMA-positive as determined by PSMA PET defined as SUVmax &gt;15 at a single site of disease and SUVmax &gt;10 at all sites of measurable disease, after progressive disease has developed while on at least one taxane chemotherapy and at least one androgen receptor signalling inhibitor</w:t>
            </w:r>
          </w:p>
          <w:p w14:paraId="0F63EC32" w14:textId="77777777" w:rsidR="00AA0197" w:rsidRPr="00697969" w:rsidRDefault="00AA0197">
            <w:pPr>
              <w:keepNext/>
              <w:keepLines/>
              <w:spacing w:before="20" w:after="20"/>
              <w:rPr>
                <w:rFonts w:ascii="Arial Narrow" w:hAnsi="Arial Narrow" w:cs="Calibri"/>
                <w:sz w:val="20"/>
                <w:szCs w:val="20"/>
                <w:lang w:val="en-AU"/>
              </w:rPr>
            </w:pPr>
          </w:p>
          <w:p w14:paraId="0768E181" w14:textId="77777777" w:rsidR="00AA0197" w:rsidRPr="00697969" w:rsidRDefault="00AA0197">
            <w:pPr>
              <w:keepNext/>
              <w:keepLines/>
              <w:spacing w:before="20" w:after="20"/>
              <w:rPr>
                <w:rFonts w:ascii="Arial Narrow" w:hAnsi="Arial Narrow" w:cs="Calibri"/>
                <w:i/>
                <w:iCs/>
                <w:sz w:val="20"/>
                <w:szCs w:val="20"/>
                <w:lang w:val="en-AU"/>
              </w:rPr>
            </w:pPr>
            <w:r w:rsidRPr="00697969">
              <w:rPr>
                <w:rFonts w:ascii="Arial Narrow" w:hAnsi="Arial Narrow" w:cs="Calibri"/>
                <w:sz w:val="20"/>
                <w:szCs w:val="20"/>
                <w:lang w:val="en-AU"/>
              </w:rPr>
              <w:t>A patient is eligible to claim once per cycle up to a maximum of 2 cycles in the initial treatment phase</w:t>
            </w:r>
            <w:r w:rsidRPr="00697969">
              <w:rPr>
                <w:rFonts w:ascii="Arial Narrow" w:hAnsi="Arial Narrow" w:cs="Calibri"/>
                <w:i/>
                <w:iCs/>
                <w:sz w:val="20"/>
                <w:szCs w:val="20"/>
                <w:lang w:val="en-AU"/>
              </w:rPr>
              <w:t>.</w:t>
            </w:r>
          </w:p>
        </w:tc>
      </w:tr>
      <w:tr w:rsidR="00AA0197" w:rsidRPr="00697969" w14:paraId="6CC33EF4" w14:textId="77777777">
        <w:trPr>
          <w:trHeight w:val="223"/>
        </w:trPr>
        <w:tc>
          <w:tcPr>
            <w:tcW w:w="5000" w:type="pct"/>
          </w:tcPr>
          <w:p w14:paraId="5776345A"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Fee: $8,000 Benefit: 85% = $7,901.30*</w:t>
            </w:r>
          </w:p>
        </w:tc>
      </w:tr>
      <w:tr w:rsidR="00AA0197" w:rsidRPr="00697969" w14:paraId="20C60F11" w14:textId="77777777">
        <w:trPr>
          <w:trHeight w:val="89"/>
        </w:trPr>
        <w:tc>
          <w:tcPr>
            <w:tcW w:w="5000" w:type="pct"/>
          </w:tcPr>
          <w:p w14:paraId="195303D0" w14:textId="77777777" w:rsidR="00AA0197" w:rsidRPr="00697969" w:rsidRDefault="00AA0197">
            <w:pPr>
              <w:keepNext/>
              <w:keepLines/>
              <w:spacing w:before="20" w:after="20"/>
              <w:rPr>
                <w:rFonts w:ascii="Arial Narrow" w:hAnsi="Arial Narrow" w:cs="Calibri"/>
                <w:b/>
                <w:bCs/>
                <w:sz w:val="20"/>
                <w:szCs w:val="20"/>
                <w:lang w:val="en-AU"/>
              </w:rPr>
            </w:pPr>
            <w:r w:rsidRPr="00697969">
              <w:rPr>
                <w:rFonts w:ascii="Arial Narrow" w:hAnsi="Arial Narrow" w:cs="Calibri"/>
                <w:b/>
                <w:bCs/>
                <w:sz w:val="20"/>
                <w:szCs w:val="20"/>
                <w:lang w:val="en-AU"/>
              </w:rPr>
              <w:t>Category 3 - Therapeutic Procedures T3. Therapeutic Nuclear Medicine</w:t>
            </w:r>
          </w:p>
        </w:tc>
      </w:tr>
      <w:tr w:rsidR="00AA0197" w:rsidRPr="00697969" w14:paraId="331FDD69" w14:textId="77777777">
        <w:tc>
          <w:tcPr>
            <w:tcW w:w="5000" w:type="pct"/>
          </w:tcPr>
          <w:p w14:paraId="693CC41C"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MBS item YYYY</w:t>
            </w:r>
          </w:p>
          <w:p w14:paraId="5B3C4435" w14:textId="77777777" w:rsidR="00AA0197" w:rsidRPr="00697969" w:rsidRDefault="00AA0197">
            <w:pPr>
              <w:keepNext/>
              <w:keepLines/>
              <w:spacing w:before="20" w:after="20"/>
              <w:rPr>
                <w:rFonts w:ascii="Arial Narrow" w:hAnsi="Arial Narrow" w:cs="Calibri"/>
                <w:sz w:val="20"/>
                <w:szCs w:val="20"/>
                <w:lang w:val="en-AU"/>
              </w:rPr>
            </w:pPr>
          </w:p>
          <w:p w14:paraId="32117D85"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Treatment phase: continuing treatment</w:t>
            </w:r>
          </w:p>
          <w:p w14:paraId="6409301B" w14:textId="77777777" w:rsidR="00AA0197" w:rsidRPr="00697969" w:rsidRDefault="00AA0197">
            <w:pPr>
              <w:keepNext/>
              <w:keepLines/>
              <w:spacing w:before="20" w:after="20"/>
              <w:rPr>
                <w:rFonts w:ascii="Arial Narrow" w:hAnsi="Arial Narrow" w:cs="Calibri"/>
                <w:sz w:val="20"/>
                <w:szCs w:val="20"/>
                <w:lang w:val="en-AU"/>
              </w:rPr>
            </w:pPr>
          </w:p>
          <w:p w14:paraId="4F875F03" w14:textId="0E9F9D51"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Administration of Lutetium 177 PSMA followed 24 hours later by whole body Lu-PSMA single-photon emission computed tomography (SPECT) for treatment of a patient with metastatic castrate resistant prostate cancer, if:</w:t>
            </w:r>
          </w:p>
          <w:p w14:paraId="1754E2D0" w14:textId="77777777" w:rsidR="00AA0197" w:rsidRPr="00697969" w:rsidRDefault="00AA0197" w:rsidP="00AA0197">
            <w:pPr>
              <w:keepNext/>
              <w:keepLines/>
              <w:numPr>
                <w:ilvl w:val="0"/>
                <w:numId w:val="13"/>
              </w:numPr>
              <w:spacing w:before="20" w:after="20"/>
              <w:rPr>
                <w:rFonts w:ascii="Arial Narrow" w:hAnsi="Arial Narrow" w:cs="Calibri"/>
                <w:sz w:val="20"/>
                <w:szCs w:val="20"/>
                <w:lang w:val="en-AU"/>
              </w:rPr>
            </w:pPr>
            <w:r w:rsidRPr="00697969">
              <w:rPr>
                <w:rFonts w:ascii="Arial Narrow" w:hAnsi="Arial Narrow" w:cs="Calibri"/>
                <w:sz w:val="20"/>
                <w:szCs w:val="20"/>
                <w:lang w:val="en-AU"/>
              </w:rPr>
              <w:t>a service to which item ZZZZ has been provided; and</w:t>
            </w:r>
          </w:p>
          <w:p w14:paraId="2E8E0E8B" w14:textId="77777777" w:rsidR="00AA0197" w:rsidRPr="00697969" w:rsidRDefault="00AA0197" w:rsidP="00AA0197">
            <w:pPr>
              <w:keepNext/>
              <w:keepLines/>
              <w:numPr>
                <w:ilvl w:val="0"/>
                <w:numId w:val="13"/>
              </w:numPr>
              <w:spacing w:before="20" w:after="20"/>
              <w:rPr>
                <w:rFonts w:ascii="Arial Narrow" w:hAnsi="Arial Narrow" w:cs="Calibri"/>
                <w:sz w:val="20"/>
                <w:szCs w:val="20"/>
                <w:lang w:val="en-AU"/>
              </w:rPr>
            </w:pPr>
            <w:r w:rsidRPr="00697969">
              <w:rPr>
                <w:rFonts w:ascii="Arial Narrow" w:hAnsi="Arial Narrow" w:cs="Calibri"/>
                <w:sz w:val="20"/>
                <w:szCs w:val="20"/>
                <w:lang w:val="en-AU"/>
              </w:rPr>
              <w:t>the patient must not have developed disease progression while receiving Lutetium 177 PSMA for this condition</w:t>
            </w:r>
          </w:p>
          <w:p w14:paraId="1AD0C131" w14:textId="77777777" w:rsidR="00AA0197" w:rsidRPr="00697969" w:rsidRDefault="00AA0197">
            <w:pPr>
              <w:keepNext/>
              <w:keepLines/>
              <w:spacing w:before="20" w:after="20"/>
              <w:rPr>
                <w:rFonts w:ascii="Arial Narrow" w:hAnsi="Arial Narrow" w:cs="Calibri"/>
                <w:sz w:val="20"/>
                <w:szCs w:val="20"/>
                <w:lang w:val="en-AU"/>
              </w:rPr>
            </w:pPr>
          </w:p>
          <w:p w14:paraId="55902E58"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Disease progression for the purposes of administering MBS item YYYY is defined as a rise in PSA of &gt; 2 ng/mL confirmed by 2 tests a minimum 2 weeks apart and/or evidence of new soft tissue metastases on diagnostic CT as per RECIST criteria.</w:t>
            </w:r>
          </w:p>
          <w:p w14:paraId="174ED2FE" w14:textId="77777777" w:rsidR="00AA0197" w:rsidRPr="00697969" w:rsidRDefault="00AA0197">
            <w:pPr>
              <w:keepNext/>
              <w:keepLines/>
              <w:spacing w:before="20" w:after="20"/>
              <w:rPr>
                <w:rFonts w:ascii="Arial Narrow" w:hAnsi="Arial Narrow" w:cs="Calibri"/>
                <w:sz w:val="20"/>
                <w:szCs w:val="20"/>
                <w:lang w:val="en-AU"/>
              </w:rPr>
            </w:pPr>
          </w:p>
          <w:p w14:paraId="460118C3" w14:textId="77777777" w:rsidR="00AA0197" w:rsidRPr="00697969" w:rsidRDefault="00AA0197">
            <w:pPr>
              <w:keepNext/>
              <w:keepLines/>
              <w:spacing w:before="20" w:after="20"/>
              <w:rPr>
                <w:rFonts w:ascii="Arial Narrow" w:hAnsi="Arial Narrow" w:cs="Calibri"/>
                <w:i/>
                <w:iCs/>
                <w:sz w:val="20"/>
                <w:szCs w:val="20"/>
                <w:lang w:val="en-AU"/>
              </w:rPr>
            </w:pPr>
            <w:r w:rsidRPr="00697969">
              <w:rPr>
                <w:rFonts w:ascii="Arial Narrow" w:hAnsi="Arial Narrow" w:cs="Calibri"/>
                <w:sz w:val="20"/>
                <w:szCs w:val="20"/>
                <w:lang w:val="en-AU"/>
              </w:rPr>
              <w:t>A patient is eligible to claim once per cycle up to a maximum of 4 cycles in the continuing treatment phase.</w:t>
            </w:r>
          </w:p>
        </w:tc>
      </w:tr>
      <w:tr w:rsidR="00AA0197" w:rsidRPr="00697969" w14:paraId="41028E28" w14:textId="77777777">
        <w:trPr>
          <w:trHeight w:val="223"/>
        </w:trPr>
        <w:tc>
          <w:tcPr>
            <w:tcW w:w="5000" w:type="pct"/>
          </w:tcPr>
          <w:p w14:paraId="687DE68D" w14:textId="77777777" w:rsidR="00AA0197" w:rsidRPr="00697969" w:rsidRDefault="00AA0197">
            <w:pPr>
              <w:keepNext/>
              <w:keepLines/>
              <w:spacing w:before="20" w:after="20"/>
              <w:rPr>
                <w:rFonts w:ascii="Arial Narrow" w:hAnsi="Arial Narrow" w:cs="Calibri"/>
                <w:sz w:val="20"/>
                <w:szCs w:val="20"/>
                <w:lang w:val="en-AU"/>
              </w:rPr>
            </w:pPr>
            <w:r w:rsidRPr="00697969">
              <w:rPr>
                <w:rFonts w:ascii="Arial Narrow" w:hAnsi="Arial Narrow" w:cs="Calibri"/>
                <w:sz w:val="20"/>
                <w:szCs w:val="20"/>
                <w:lang w:val="en-AU"/>
              </w:rPr>
              <w:t xml:space="preserve">Fee: $8,000 Benefit: 85% = $7,901.30* </w:t>
            </w:r>
          </w:p>
        </w:tc>
      </w:tr>
    </w:tbl>
    <w:p w14:paraId="59BF7F1A" w14:textId="7372AB61" w:rsidR="009C45B8" w:rsidRPr="00932DE9" w:rsidRDefault="009E19E1" w:rsidP="00295AD6">
      <w:pPr>
        <w:spacing w:after="240"/>
        <w:rPr>
          <w:iCs/>
        </w:rPr>
      </w:pPr>
      <w:r>
        <w:rPr>
          <w:rFonts w:ascii="Arial Narrow" w:hAnsi="Arial Narrow"/>
          <w:sz w:val="18"/>
          <w:szCs w:val="18"/>
        </w:rPr>
        <w:t>*</w:t>
      </w:r>
      <w:r w:rsidR="00973BB9" w:rsidRPr="00711A97">
        <w:rPr>
          <w:rFonts w:ascii="Arial Narrow" w:hAnsi="Arial Narrow"/>
          <w:sz w:val="18"/>
          <w:szCs w:val="18"/>
        </w:rPr>
        <w:t>85% benefit reflects the 1 November 2023 Greatest Permissible Gap (GPG) of $98.70. All out-of-hospital Medicare services that have an MBS fee of $658.35 or more will attract a benefit that is greater than 85% of the MBS fee – being the schedule fee less the GPG amount. The GPG amount is indexed annually on 1 November in line with the Consumer Price Index (CPI) (June quarter).</w:t>
      </w:r>
    </w:p>
    <w:tbl>
      <w:tblPr>
        <w:tblStyle w:val="TableGrid"/>
        <w:tblW w:w="0" w:type="auto"/>
        <w:tblLook w:val="04A0" w:firstRow="1" w:lastRow="0" w:firstColumn="1" w:lastColumn="0" w:noHBand="0" w:noVBand="1"/>
        <w:tblDescription w:val="Consumer summary of MSAC consideration"/>
      </w:tblPr>
      <w:tblGrid>
        <w:gridCol w:w="9016"/>
      </w:tblGrid>
      <w:tr w:rsidR="00295AD6" w:rsidRPr="00AF46D8" w14:paraId="38758BDA" w14:textId="77777777">
        <w:trPr>
          <w:tblHeader/>
        </w:trPr>
        <w:tc>
          <w:tcPr>
            <w:tcW w:w="9016" w:type="dxa"/>
          </w:tcPr>
          <w:p w14:paraId="7A054D5B" w14:textId="794D5E9C" w:rsidR="00295AD6" w:rsidRPr="00AF46D8" w:rsidRDefault="00295AD6">
            <w:pPr>
              <w:pStyle w:val="Heading3"/>
              <w:spacing w:before="120"/>
              <w:ind w:left="720" w:hanging="720"/>
              <w:rPr>
                <w:iCs/>
              </w:rPr>
            </w:pPr>
            <w:r w:rsidRPr="00AF46D8">
              <w:t>Consumer summary</w:t>
            </w:r>
          </w:p>
        </w:tc>
      </w:tr>
      <w:tr w:rsidR="00295AD6" w:rsidRPr="00AF46D8" w14:paraId="507F9896" w14:textId="77777777">
        <w:tc>
          <w:tcPr>
            <w:tcW w:w="9016" w:type="dxa"/>
          </w:tcPr>
          <w:p w14:paraId="0B185C77" w14:textId="77777777" w:rsidR="006D1CE0" w:rsidRDefault="006D1CE0" w:rsidP="006D1CE0">
            <w:r w:rsidRPr="00AF46D8">
              <w:t xml:space="preserve">This is a </w:t>
            </w:r>
            <w:r>
              <w:t>re</w:t>
            </w:r>
            <w:r w:rsidRPr="00AF46D8">
              <w:t xml:space="preserve">application from </w:t>
            </w:r>
            <w:r>
              <w:t>a group of academic specialists, co-sponsored by the Australasian Association of Nuclear Medicine Specialists,</w:t>
            </w:r>
            <w:r w:rsidRPr="00AF46D8">
              <w:t xml:space="preserve"> requesting Medicare Benefits Schedule (MBS) listing o</w:t>
            </w:r>
            <w:r>
              <w:t xml:space="preserve">f </w:t>
            </w:r>
            <w:r>
              <w:rPr>
                <w:vertAlign w:val="superscript"/>
              </w:rPr>
              <w:t>177</w:t>
            </w:r>
            <w:r>
              <w:t>Lutetium prostate-specific membrane antigen (</w:t>
            </w:r>
            <w:r w:rsidRPr="005A79CA">
              <w:rPr>
                <w:vertAlign w:val="superscript"/>
              </w:rPr>
              <w:t>177</w:t>
            </w:r>
            <w:r>
              <w:t xml:space="preserve">Lu-PSMA) therapy to treat patients with metastatic castrate-resistant prostate cancer. Also requested is MBS listing of whole-body PSMA positron emission tomography (PET)/computerised tomography (CT), which will be used to determine treatment eligibility. MSAC previously considered this application in July 2022 and July 2023. </w:t>
            </w:r>
          </w:p>
          <w:p w14:paraId="409FEBDD" w14:textId="77777777" w:rsidR="006D1CE0" w:rsidRDefault="006D1CE0" w:rsidP="006D1CE0">
            <w:r>
              <w:lastRenderedPageBreak/>
              <w:t>Metastatic castrate-resistant prostate cancer is a type of advanced prostate cancer that has spread to other parts of the body and is not responding to hormone therapy. In Australia, 3,000 men die each year from this cancer.</w:t>
            </w:r>
          </w:p>
          <w:p w14:paraId="522864AF" w14:textId="7875CBAC" w:rsidR="006D1CE0" w:rsidRDefault="006D1CE0" w:rsidP="006D1CE0">
            <w:r>
              <w:t xml:space="preserve">Some prostate cancer cells contain a protein called prostate-specific membrane antigen (PSMA), which can be detected by a special type of scan called a PET/CT scan. The scan is of the whole body. If patient’s prostate cancer cells are found to have high levels of PSMA, they may be eligible for a new therapy that targets the cells that contain PSMA. The new therapy is called PSMA-targeted radionuclide therapy. It is for patients with metastatic castrate-resistant prostate cancer. This new therapy uses a radioactive chemical (also known as a radionuclide) called Lutetium. The Lutetium is connected to a molecule that fits into the PSMA receptor on prostate cancer cells. When the molecule attaches to the PSMA receptor, the radioactive chemical can enter the prostate cancer cell and kill it. </w:t>
            </w:r>
            <w:r w:rsidRPr="00D932C7">
              <w:rPr>
                <w:vertAlign w:val="superscript"/>
              </w:rPr>
              <w:t>177</w:t>
            </w:r>
            <w:r>
              <w:t>Lu</w:t>
            </w:r>
            <w:r w:rsidR="00A5186D">
              <w:t> </w:t>
            </w:r>
            <w:r>
              <w:t>PSMA i&amp;t is a type of PSMA targeted radionuclide therapy.</w:t>
            </w:r>
          </w:p>
          <w:p w14:paraId="72AB80E3" w14:textId="0CE743D2" w:rsidR="006D1CE0" w:rsidRDefault="006D1CE0" w:rsidP="006D1CE0">
            <w:r>
              <w:t xml:space="preserve">The resubmission proposes a two-step approach to </w:t>
            </w:r>
            <w:r w:rsidRPr="00D932C7">
              <w:rPr>
                <w:vertAlign w:val="superscript"/>
              </w:rPr>
              <w:t>177</w:t>
            </w:r>
            <w:r>
              <w:t>Lu</w:t>
            </w:r>
            <w:r w:rsidR="00A5186D">
              <w:t> </w:t>
            </w:r>
            <w:r>
              <w:t>PSMA</w:t>
            </w:r>
            <w:r w:rsidR="00A5186D">
              <w:t> </w:t>
            </w:r>
            <w:r>
              <w:t xml:space="preserve">i&amp;t therapy (referred to as Lutetium 177 PSMA in the proposed MBS items). In this approach, all patients who are eligible will receive an initial two cycles (doses) of </w:t>
            </w:r>
            <w:r w:rsidRPr="00D70EAA">
              <w:rPr>
                <w:vertAlign w:val="superscript"/>
              </w:rPr>
              <w:t>177</w:t>
            </w:r>
            <w:r>
              <w:t>Lu</w:t>
            </w:r>
            <w:r w:rsidR="007C3E38">
              <w:t> </w:t>
            </w:r>
            <w:r>
              <w:t xml:space="preserve">PSMA i&amp;t therapy. All patients will then have blood tests and scans to see how well they have responded to the treatment. If they have responded well, they will be eligible to continue treatment for another four cycles. If the tests show no improvement despite </w:t>
            </w:r>
            <w:r w:rsidRPr="00E00D9A">
              <w:rPr>
                <w:vertAlign w:val="superscript"/>
              </w:rPr>
              <w:t>177</w:t>
            </w:r>
            <w:r>
              <w:t xml:space="preserve">Lu-PSMA i&amp;t treatment, it will be recommended that the patient stops </w:t>
            </w:r>
            <w:r w:rsidRPr="00E00D9A">
              <w:rPr>
                <w:vertAlign w:val="superscript"/>
              </w:rPr>
              <w:t>177</w:t>
            </w:r>
            <w:r>
              <w:t>Lu</w:t>
            </w:r>
            <w:r w:rsidR="007C3E38">
              <w:t> </w:t>
            </w:r>
            <w:r>
              <w:t>PSMA i&amp;t and tries a different treatment instead.</w:t>
            </w:r>
          </w:p>
          <w:p w14:paraId="387C7336" w14:textId="63F5C71F" w:rsidR="006D1CE0" w:rsidRDefault="006D1CE0" w:rsidP="006D1CE0">
            <w:r>
              <w:t>MSAC acknowledged the high clinical need for this therapy, and that both patients and consumers prefer it over other last-line options because of its tolerability (in that it only produces mild side effects). MSAC also noted the current issues with equity of access, as the treatment is only performed at specialty centres and has high out-of-pocket costs.</w:t>
            </w:r>
          </w:p>
          <w:p w14:paraId="11921455" w14:textId="098D4C46" w:rsidR="0049210E" w:rsidRPr="00C057FC" w:rsidRDefault="004A7DE6" w:rsidP="006D1CE0">
            <w:r w:rsidRPr="00876A66">
              <w:t xml:space="preserve">MSAC considered that its previous uncertainties </w:t>
            </w:r>
            <w:r w:rsidR="000A54BE">
              <w:t xml:space="preserve">about </w:t>
            </w:r>
            <w:r w:rsidRPr="00876A66">
              <w:t xml:space="preserve">the economic and financial </w:t>
            </w:r>
            <w:r w:rsidR="00EB7B6A">
              <w:t>aspects of the</w:t>
            </w:r>
            <w:r w:rsidR="0016217E">
              <w:t xml:space="preserve"> proposed</w:t>
            </w:r>
            <w:r w:rsidR="00EB7B6A">
              <w:t xml:space="preserve"> </w:t>
            </w:r>
            <w:r w:rsidR="0016217E">
              <w:t>scan and treatments</w:t>
            </w:r>
            <w:r w:rsidR="00C413A9">
              <w:t xml:space="preserve"> </w:t>
            </w:r>
            <w:r w:rsidRPr="00876A66">
              <w:t>ha</w:t>
            </w:r>
            <w:r>
              <w:t>d</w:t>
            </w:r>
            <w:r w:rsidRPr="00876A66">
              <w:t xml:space="preserve"> been resolved</w:t>
            </w:r>
            <w:r w:rsidR="00C26B2D">
              <w:t>.</w:t>
            </w:r>
            <w:r>
              <w:rPr>
                <w:rFonts w:cs="Calibri"/>
              </w:rPr>
              <w:t xml:space="preserve"> </w:t>
            </w:r>
            <w:r w:rsidR="006D1CE0">
              <w:t xml:space="preserve">MSAC considered that the treatment </w:t>
            </w:r>
            <w:r w:rsidR="00813495">
              <w:t xml:space="preserve">represented good value for money for a </w:t>
            </w:r>
            <w:r w:rsidR="00CC7B7F">
              <w:t xml:space="preserve">patient population with high clinical need. In </w:t>
            </w:r>
            <w:r w:rsidR="00860ECE">
              <w:t>addition</w:t>
            </w:r>
            <w:r w:rsidR="00B124B1">
              <w:t xml:space="preserve">, MSAC </w:t>
            </w:r>
            <w:r w:rsidR="00B50E48">
              <w:t>considered that</w:t>
            </w:r>
            <w:r w:rsidR="00E002D2">
              <w:t xml:space="preserve"> the proposed price</w:t>
            </w:r>
            <w:r w:rsidR="00082D98">
              <w:t xml:space="preserve"> </w:t>
            </w:r>
            <w:r w:rsidR="00E002D2">
              <w:t xml:space="preserve">for </w:t>
            </w:r>
            <w:r w:rsidR="00E002D2" w:rsidRPr="00D932C7">
              <w:rPr>
                <w:vertAlign w:val="superscript"/>
              </w:rPr>
              <w:t>177</w:t>
            </w:r>
            <w:r w:rsidR="00E002D2">
              <w:t>Lu PSMA i&amp;t</w:t>
            </w:r>
            <w:r w:rsidR="009F2A56">
              <w:t xml:space="preserve"> compared favourably to</w:t>
            </w:r>
            <w:r w:rsidR="006D1CE0">
              <w:t xml:space="preserve"> how much the treatment costs to perform overseas. Additionally, MSAC considered it unlikely that the eligible patient population would grow </w:t>
            </w:r>
            <w:r w:rsidR="00C82592">
              <w:t>in size</w:t>
            </w:r>
            <w:r w:rsidR="006D1CE0">
              <w:t xml:space="preserve"> significantly, so the overall budget impact would remain moderate</w:t>
            </w:r>
            <w:r w:rsidR="0049210E">
              <w:t>.</w:t>
            </w:r>
          </w:p>
          <w:p w14:paraId="714A3F79" w14:textId="1DB4AE84" w:rsidR="006D1CE0" w:rsidRPr="00872571" w:rsidRDefault="006D1CE0" w:rsidP="00D71CB6">
            <w:pPr>
              <w:spacing w:after="120"/>
            </w:pPr>
            <w:r w:rsidRPr="00D71CB6">
              <w:rPr>
                <w:b/>
              </w:rPr>
              <w:t>MSAC’s advice to the Commonwealth Minister for Health</w:t>
            </w:r>
            <w:r w:rsidR="0049210E" w:rsidRPr="00D71CB6">
              <w:rPr>
                <w:b/>
              </w:rPr>
              <w:t xml:space="preserve"> and Aged Care</w:t>
            </w:r>
          </w:p>
          <w:p w14:paraId="6F7E0480" w14:textId="470F2946" w:rsidR="00295AD6" w:rsidRPr="00AF46D8" w:rsidRDefault="006D1CE0" w:rsidP="006D1CE0">
            <w:pPr>
              <w:spacing w:after="120"/>
            </w:pPr>
            <w:r w:rsidRPr="00AF46D8">
              <w:t>MSAC supported</w:t>
            </w:r>
            <w:r>
              <w:t xml:space="preserve"> MBS funding of </w:t>
            </w:r>
            <w:r w:rsidRPr="0051122D">
              <w:t xml:space="preserve">1) </w:t>
            </w:r>
            <w:r w:rsidRPr="0051122D">
              <w:rPr>
                <w:vertAlign w:val="superscript"/>
              </w:rPr>
              <w:t>177</w:t>
            </w:r>
            <w:r w:rsidRPr="0051122D">
              <w:t>Lu</w:t>
            </w:r>
            <w:r w:rsidR="00410484">
              <w:t> </w:t>
            </w:r>
            <w:r w:rsidRPr="0051122D">
              <w:t>PSMA</w:t>
            </w:r>
            <w:r>
              <w:t> </w:t>
            </w:r>
            <w:r w:rsidRPr="0051122D">
              <w:t xml:space="preserve">i&amp;t therapy for the treatment of patients with metastatic castrate-resistant prostate cancer, and 2) whole-body PSMA PET/CT to identify those eligible for </w:t>
            </w:r>
            <w:r w:rsidRPr="00C00FDB">
              <w:rPr>
                <w:vertAlign w:val="superscript"/>
              </w:rPr>
              <w:t>177</w:t>
            </w:r>
            <w:r w:rsidRPr="0051122D">
              <w:t>Lu</w:t>
            </w:r>
            <w:r w:rsidR="00410484">
              <w:t> </w:t>
            </w:r>
            <w:r w:rsidRPr="0051122D">
              <w:t>PSMA</w:t>
            </w:r>
            <w:r>
              <w:t> </w:t>
            </w:r>
            <w:r w:rsidRPr="0051122D">
              <w:t>i&amp;t therapy.</w:t>
            </w:r>
            <w:r>
              <w:t xml:space="preserve"> MSAC considered </w:t>
            </w:r>
            <w:r w:rsidRPr="00C00FDB">
              <w:rPr>
                <w:vertAlign w:val="superscript"/>
              </w:rPr>
              <w:t>177</w:t>
            </w:r>
            <w:r w:rsidRPr="0051122D">
              <w:t>Lu</w:t>
            </w:r>
            <w:r w:rsidR="00410484">
              <w:t> </w:t>
            </w:r>
            <w:r w:rsidRPr="0051122D">
              <w:t>PSMA</w:t>
            </w:r>
            <w:r>
              <w:t> </w:t>
            </w:r>
            <w:r w:rsidRPr="0051122D">
              <w:t>i&amp;t therapy</w:t>
            </w:r>
            <w:r>
              <w:t xml:space="preserve"> to be safe, effective and good value for money for a </w:t>
            </w:r>
            <w:r w:rsidR="002B0755">
              <w:t xml:space="preserve">well defined </w:t>
            </w:r>
            <w:r>
              <w:t>group of eligible patients with advanced disease. MSAC recommended that utilisation and budget impact be reviewed after two years, to ensure the service is being used appropriately.</w:t>
            </w:r>
          </w:p>
        </w:tc>
      </w:tr>
    </w:tbl>
    <w:p w14:paraId="4A0D9685" w14:textId="77777777" w:rsidR="00295AD6" w:rsidRDefault="00295AD6" w:rsidP="00295AD6">
      <w:pPr>
        <w:pStyle w:val="Heading2"/>
        <w:numPr>
          <w:ilvl w:val="1"/>
          <w:numId w:val="0"/>
        </w:numPr>
      </w:pPr>
      <w:r>
        <w:lastRenderedPageBreak/>
        <w:t>3.</w:t>
      </w:r>
      <w:r>
        <w:tab/>
        <w:t>Summary of consideration and rationale for MSAC’s advice</w:t>
      </w:r>
    </w:p>
    <w:p w14:paraId="0A336707" w14:textId="77777777" w:rsidR="00256DD3" w:rsidRDefault="00256DD3" w:rsidP="00256DD3">
      <w:r w:rsidRPr="00516D4E">
        <w:t>MSAC</w:t>
      </w:r>
      <w:r>
        <w:t xml:space="preserve"> noted that this reapplication from a group of academic specialists, co-sponsored by the Australasian Association of Nuclear Medicine Specialists, was requesting Medicare Benefits Schedule (MBS) listing of </w:t>
      </w:r>
      <w:r>
        <w:rPr>
          <w:vertAlign w:val="superscript"/>
        </w:rPr>
        <w:t>177</w:t>
      </w:r>
      <w:r>
        <w:t>Lutetium prostate-specific membrane antigen (</w:t>
      </w:r>
      <w:r w:rsidRPr="005A79CA">
        <w:rPr>
          <w:vertAlign w:val="superscript"/>
        </w:rPr>
        <w:t>177</w:t>
      </w:r>
      <w:r>
        <w:t>Lu-PSMA) therapy for the treatment of progressive or symptomatic metastatic castrate-resistant prostate cancer (mCRPC). Eligibility for this treatment is determined by whole-body PSMA positron emission tomography (PET) and computerised tomography (CT).</w:t>
      </w:r>
    </w:p>
    <w:p w14:paraId="71043D39" w14:textId="7276E3EA" w:rsidR="00256DD3" w:rsidRDefault="00256DD3" w:rsidP="00256DD3">
      <w:r>
        <w:lastRenderedPageBreak/>
        <w:t xml:space="preserve">MSAC noted that the proposed therapeutic intervention includes </w:t>
      </w:r>
      <w:r w:rsidRPr="00F525B6">
        <w:rPr>
          <w:vertAlign w:val="superscript"/>
        </w:rPr>
        <w:t>177</w:t>
      </w:r>
      <w:r>
        <w:t xml:space="preserve">Lu-PSMA single-photon emission CT (SPECT) at 24 hours after each treatment. Tumour sites are measured after each </w:t>
      </w:r>
      <w:r w:rsidR="00240556">
        <w:t xml:space="preserve">treatment </w:t>
      </w:r>
      <w:r>
        <w:t>by taking whole-body images at 24 hours using radiation from the treatment. Patients must have received at least one androgen receptor signalling inhibitor and at least one line of chemotherapy (docetaxel +/– cabazitaxel through the Pharmaceutical Benefits Scheme [PBS]/Repatriation PBS [RPBS]).</w:t>
      </w:r>
    </w:p>
    <w:p w14:paraId="4AADB110" w14:textId="382DAC9F" w:rsidR="00256DD3" w:rsidRDefault="00256DD3" w:rsidP="00256DD3">
      <w:r>
        <w:t xml:space="preserve">MSAC recalled that it had previously considered this application at its July 2022 and July 2023 meetings. At its most recent consideration, MSAC had accepted the previous evidence that </w:t>
      </w:r>
      <w:r w:rsidR="00283F95">
        <w:rPr>
          <w:rFonts w:cs="Calibri"/>
          <w:vertAlign w:val="superscript"/>
        </w:rPr>
        <w:t>177</w:t>
      </w:r>
      <w:r w:rsidR="00283F95">
        <w:rPr>
          <w:rFonts w:cs="Calibri"/>
        </w:rPr>
        <w:t xml:space="preserve">Lu PSMA i&amp;t therapy </w:t>
      </w:r>
      <w:r w:rsidR="00D24A71">
        <w:t>wa</w:t>
      </w:r>
      <w:r>
        <w:t xml:space="preserve">s </w:t>
      </w:r>
      <w:r w:rsidR="00987025">
        <w:t xml:space="preserve">acceptably </w:t>
      </w:r>
      <w:r>
        <w:t xml:space="preserve">safe and effective but continued to have concerns that the incremental cost-effectiveness ratio (ICER) was too high and uncertain. </w:t>
      </w:r>
      <w:r w:rsidR="00927682">
        <w:t>In July 2023</w:t>
      </w:r>
      <w:r w:rsidR="00DE64E5">
        <w:t>,</w:t>
      </w:r>
      <w:r w:rsidR="00927682">
        <w:t xml:space="preserve"> </w:t>
      </w:r>
      <w:r>
        <w:t>MSAC had noted that the resubmission</w:t>
      </w:r>
      <w:r w:rsidR="00D90907">
        <w:t xml:space="preserve"> </w:t>
      </w:r>
      <w:r>
        <w:t>included a substantially changed item descriptor to reflect a new</w:t>
      </w:r>
      <w:r w:rsidR="00111DEF">
        <w:t>ly</w:t>
      </w:r>
      <w:r>
        <w:t xml:space="preserve"> proposed two-step treatment algorithm, separated into two MBS items: one for initial treatment (up to a maximum of two cycles) and one for continuing treatment (up to a maximum of four additional cycles). However, this two-step approach was not captured by the structure of the economic model. MSAC had also noted other modelling issues, including the use of patient-level data from two different trials. MSAC therefore deferred its advice at the time and requested that a revised economic evaluation be conducted, with the model structure corrected to capture the two-step approach to treatment. MSAC had also requested a revision to the model to reduce the uncertainty created by the patient-level data from different trials in the same model for determination of progression-free survival (PFS) benefits and costs associated with the intervention. MSAC also requested better justification (or removal) of the selected treatment-specific utility weights. Finally, although MSAC had preferred a more conservative time horizon of 5 years, it had considered a 7.5-year time horizon would likely be acceptable (</w:t>
      </w:r>
      <w:hyperlink r:id="rId9" w:history="1">
        <w:r>
          <w:rPr>
            <w:rStyle w:val="Hyperlink"/>
          </w:rPr>
          <w:t>1686.1 public summary document</w:t>
        </w:r>
      </w:hyperlink>
      <w:r w:rsidRPr="00F3311D">
        <w:t xml:space="preserve"> [PSD]</w:t>
      </w:r>
      <w:r>
        <w:t>).</w:t>
      </w:r>
    </w:p>
    <w:p w14:paraId="046E884F" w14:textId="37638F04" w:rsidR="00256DD3" w:rsidRDefault="00256DD3" w:rsidP="00256DD3">
      <w:r>
        <w:t xml:space="preserve">MSAC noted that a fit-for-purpose (FFP) Department-contracted assessment report (DCAR) was commissioned to progress the MSAC deferral and </w:t>
      </w:r>
      <w:r w:rsidR="00067ACE">
        <w:t xml:space="preserve">the Committee’s </w:t>
      </w:r>
      <w:r>
        <w:t>requested revisions to the economic model.</w:t>
      </w:r>
    </w:p>
    <w:p w14:paraId="261D4957" w14:textId="2C64202B" w:rsidR="00256DD3" w:rsidRDefault="00256DD3" w:rsidP="00256DD3">
      <w:r>
        <w:t xml:space="preserve">MSAC acknowledged the high clinical need for this </w:t>
      </w:r>
      <w:r w:rsidR="00BD32DE">
        <w:t xml:space="preserve">comparatively </w:t>
      </w:r>
      <w:r>
        <w:t xml:space="preserve">safe and effective intervention. MSAC noted that the treatment has been successfully </w:t>
      </w:r>
      <w:r w:rsidR="0054097C">
        <w:t xml:space="preserve">delivered </w:t>
      </w:r>
      <w:r>
        <w:t xml:space="preserve">in several specialty centres in Australia for the past 10 years and is currently funded through the Department of Veterans’ Affairs on a case-by-case basis. MSAC also noted the pre-MSAC response emphasised the strong consumer and clinician preference for this treatment over alternatives because of its superior safety, effectiveness and tolerability (in that it has relatively mild side effects). However, MSAC noted equity issues, as some patients may be paying for the treatment privately at a cost of $12,000–$30,000. There were also barriers to </w:t>
      </w:r>
      <w:r w:rsidR="007B329F">
        <w:t>access</w:t>
      </w:r>
      <w:r>
        <w:t xml:space="preserve"> in remote and regional areas.</w:t>
      </w:r>
    </w:p>
    <w:p w14:paraId="1A837E7E" w14:textId="0172579C" w:rsidR="00B965F0" w:rsidRPr="00A053B9" w:rsidRDefault="008E13F1" w:rsidP="00256DD3">
      <w:r w:rsidRPr="00A053B9">
        <w:t xml:space="preserve">MSAC noted </w:t>
      </w:r>
      <w:r w:rsidR="00E5544F" w:rsidRPr="00A053B9">
        <w:t xml:space="preserve">the </w:t>
      </w:r>
      <w:r w:rsidR="00774B4C" w:rsidRPr="00A053B9">
        <w:t xml:space="preserve">support for this application from all </w:t>
      </w:r>
      <w:r w:rsidR="00484824" w:rsidRPr="00A053B9">
        <w:t xml:space="preserve">consumer </w:t>
      </w:r>
      <w:r w:rsidR="009D69E1" w:rsidRPr="00A053B9">
        <w:t xml:space="preserve">and patient advocacy </w:t>
      </w:r>
      <w:r w:rsidR="00484824" w:rsidRPr="00A053B9">
        <w:t>organisations</w:t>
      </w:r>
      <w:r w:rsidR="0054097C" w:rsidRPr="00A053B9">
        <w:t>,</w:t>
      </w:r>
      <w:r w:rsidR="00F31FDE" w:rsidRPr="00A053B9">
        <w:t xml:space="preserve"> and </w:t>
      </w:r>
      <w:r w:rsidR="0054097C" w:rsidRPr="00A053B9">
        <w:t xml:space="preserve">that </w:t>
      </w:r>
      <w:r w:rsidR="00F31FDE" w:rsidRPr="00A053B9">
        <w:t xml:space="preserve">most other organisations </w:t>
      </w:r>
      <w:r w:rsidR="00CF7057" w:rsidRPr="00A053B9">
        <w:t xml:space="preserve">who provided consultation input </w:t>
      </w:r>
      <w:r w:rsidR="0009498F" w:rsidRPr="00A053B9">
        <w:t>were supportive of the application.</w:t>
      </w:r>
      <w:r w:rsidR="00F6679E" w:rsidRPr="00A053B9">
        <w:t xml:space="preserve"> </w:t>
      </w:r>
      <w:r w:rsidR="00A20127" w:rsidRPr="00A053B9">
        <w:t xml:space="preserve">MSAC also noted and considered the consultation input from those who were not supportive of the application, including from a commercial organisation who </w:t>
      </w:r>
      <w:r w:rsidR="00D02FB4" w:rsidRPr="00A053B9">
        <w:t xml:space="preserve">reiterated a previous submission that </w:t>
      </w:r>
      <w:r w:rsidR="00A20127" w:rsidRPr="00A053B9">
        <w:t xml:space="preserve">there was insufficient evidence to support the therapeutic equivalence between </w:t>
      </w:r>
      <w:r w:rsidR="00A20127" w:rsidRPr="00A053B9">
        <w:rPr>
          <w:vertAlign w:val="superscript"/>
        </w:rPr>
        <w:t>177</w:t>
      </w:r>
      <w:r w:rsidR="00A20127" w:rsidRPr="00A053B9">
        <w:t>Lu PSMA</w:t>
      </w:r>
      <w:r w:rsidR="006A0CEA" w:rsidRPr="00A053B9">
        <w:t> </w:t>
      </w:r>
      <w:r w:rsidR="00A20127" w:rsidRPr="00A053B9">
        <w:t xml:space="preserve">i&amp;t and </w:t>
      </w:r>
      <w:r w:rsidR="00A20127" w:rsidRPr="00A053B9">
        <w:rPr>
          <w:vertAlign w:val="superscript"/>
        </w:rPr>
        <w:t>177</w:t>
      </w:r>
      <w:r w:rsidR="00A20127" w:rsidRPr="00A053B9">
        <w:t>Lu</w:t>
      </w:r>
      <w:r w:rsidR="00AD3BAA" w:rsidRPr="00A053B9">
        <w:t> </w:t>
      </w:r>
      <w:r w:rsidR="00A20127" w:rsidRPr="00A053B9">
        <w:t>PSMA-617, and that the limited body of available data does not allow for a reliable clinical comparison between the two structurally different products</w:t>
      </w:r>
      <w:r w:rsidR="00D02FB4" w:rsidRPr="00A053B9">
        <w:t xml:space="preserve"> (summarised at [9])</w:t>
      </w:r>
      <w:r w:rsidR="00A20127" w:rsidRPr="00A053B9">
        <w:t>.</w:t>
      </w:r>
    </w:p>
    <w:p w14:paraId="4D44F936" w14:textId="62F36E6F" w:rsidR="00D02FB4" w:rsidRPr="00A053B9" w:rsidRDefault="00B965F0" w:rsidP="00256DD3">
      <w:pPr>
        <w:rPr>
          <w:iCs/>
        </w:rPr>
      </w:pPr>
      <w:r w:rsidRPr="00A053B9">
        <w:t xml:space="preserve">MSAC </w:t>
      </w:r>
      <w:r w:rsidR="00853E35" w:rsidRPr="00A053B9">
        <w:t xml:space="preserve">further </w:t>
      </w:r>
      <w:r w:rsidRPr="00A053B9">
        <w:t xml:space="preserve">noted that patent-related issues arising from any manufacture, use or administration of </w:t>
      </w:r>
      <w:r w:rsidRPr="00A053B9">
        <w:rPr>
          <w:vertAlign w:val="superscript"/>
        </w:rPr>
        <w:t>177</w:t>
      </w:r>
      <w:r w:rsidRPr="00A053B9">
        <w:t xml:space="preserve">Lu PSMA i&amp;t in Australia were again raised in the public consultation. </w:t>
      </w:r>
      <w:r w:rsidR="00D02FB4" w:rsidRPr="00A053B9">
        <w:t xml:space="preserve">In particular, </w:t>
      </w:r>
      <w:r w:rsidR="00D02FB4" w:rsidRPr="00A053B9">
        <w:rPr>
          <w:iCs/>
        </w:rPr>
        <w:t xml:space="preserve">MSAC noted evidence and correspondence provided to it revealing an </w:t>
      </w:r>
      <w:r w:rsidR="003702BB">
        <w:rPr>
          <w:iCs/>
        </w:rPr>
        <w:t xml:space="preserve">unresolved disagreement </w:t>
      </w:r>
      <w:r w:rsidR="00D02FB4" w:rsidRPr="00A053B9">
        <w:rPr>
          <w:iCs/>
        </w:rPr>
        <w:t xml:space="preserve">between a commercial organisation and the applicants over patent issues associated with the </w:t>
      </w:r>
      <w:r w:rsidR="006D2CB6">
        <w:rPr>
          <w:iCs/>
        </w:rPr>
        <w:t>proposed use</w:t>
      </w:r>
      <w:r w:rsidR="00D02FB4" w:rsidRPr="00A053B9">
        <w:rPr>
          <w:iCs/>
        </w:rPr>
        <w:t xml:space="preserve"> of </w:t>
      </w:r>
      <w:r w:rsidR="00D02FB4" w:rsidRPr="00A053B9">
        <w:rPr>
          <w:iCs/>
          <w:vertAlign w:val="superscript"/>
        </w:rPr>
        <w:t>177</w:t>
      </w:r>
      <w:r w:rsidR="00D02FB4" w:rsidRPr="00A053B9">
        <w:rPr>
          <w:iCs/>
        </w:rPr>
        <w:t xml:space="preserve">LuPSMA i&amp;t in Australia. MSAC noted that there does not </w:t>
      </w:r>
      <w:r w:rsidR="00D02FB4" w:rsidRPr="00A053B9">
        <w:rPr>
          <w:iCs/>
        </w:rPr>
        <w:lastRenderedPageBreak/>
        <w:t>appear to have been any form of legal settlement in relation to the patent issues to date</w:t>
      </w:r>
      <w:r w:rsidR="00D62A04" w:rsidRPr="00A053B9">
        <w:rPr>
          <w:iCs/>
        </w:rPr>
        <w:t>. MSAC also noted th</w:t>
      </w:r>
      <w:r w:rsidR="007A32A8" w:rsidRPr="00A053B9">
        <w:rPr>
          <w:iCs/>
        </w:rPr>
        <w:t>at there was no indication</w:t>
      </w:r>
      <w:r w:rsidR="00D62A04" w:rsidRPr="00A053B9">
        <w:rPr>
          <w:iCs/>
        </w:rPr>
        <w:t xml:space="preserve"> that </w:t>
      </w:r>
      <w:r w:rsidR="007A32A8" w:rsidRPr="00A053B9">
        <w:rPr>
          <w:iCs/>
        </w:rPr>
        <w:t xml:space="preserve">there have been </w:t>
      </w:r>
      <w:r w:rsidR="00D62A04" w:rsidRPr="00A053B9">
        <w:rPr>
          <w:iCs/>
        </w:rPr>
        <w:t>any Court rulings</w:t>
      </w:r>
      <w:r w:rsidR="007A32A8" w:rsidRPr="00A053B9">
        <w:rPr>
          <w:iCs/>
        </w:rPr>
        <w:t xml:space="preserve"> </w:t>
      </w:r>
      <w:r w:rsidR="00D62A04" w:rsidRPr="00A053B9">
        <w:rPr>
          <w:iCs/>
        </w:rPr>
        <w:t xml:space="preserve">about the patent issues or that the patent </w:t>
      </w:r>
      <w:r w:rsidR="004E601D" w:rsidRPr="00A053B9">
        <w:rPr>
          <w:iCs/>
        </w:rPr>
        <w:t>dis</w:t>
      </w:r>
      <w:r w:rsidR="004E601D">
        <w:rPr>
          <w:iCs/>
        </w:rPr>
        <w:t>agreement</w:t>
      </w:r>
      <w:r w:rsidR="004E601D" w:rsidRPr="00A053B9">
        <w:rPr>
          <w:iCs/>
        </w:rPr>
        <w:t xml:space="preserve"> </w:t>
      </w:r>
      <w:r w:rsidR="00D62A04" w:rsidRPr="00A053B9">
        <w:rPr>
          <w:iCs/>
        </w:rPr>
        <w:t>is currently the subject of any legal proceeding</w:t>
      </w:r>
      <w:r w:rsidR="00D02FB4" w:rsidRPr="00A053B9">
        <w:rPr>
          <w:iCs/>
        </w:rPr>
        <w:t>.</w:t>
      </w:r>
    </w:p>
    <w:p w14:paraId="305CDA1A" w14:textId="1CDB4336" w:rsidR="007A32A8" w:rsidRPr="00A053B9" w:rsidRDefault="00B965F0" w:rsidP="00256DD3">
      <w:pPr>
        <w:rPr>
          <w:rFonts w:cs="Calibri"/>
        </w:rPr>
      </w:pPr>
      <w:r w:rsidRPr="00A053B9">
        <w:t xml:space="preserve">MSAC noted the pre-MSAC response also provided </w:t>
      </w:r>
      <w:r w:rsidR="00614A98" w:rsidRPr="00A053B9">
        <w:t xml:space="preserve">further </w:t>
      </w:r>
      <w:r w:rsidRPr="00A053B9">
        <w:t>advice upon these matters</w:t>
      </w:r>
      <w:r w:rsidR="007A78CD" w:rsidRPr="00A053B9">
        <w:t>.</w:t>
      </w:r>
      <w:r w:rsidRPr="00A053B9">
        <w:t xml:space="preserve"> MSAC noted that </w:t>
      </w:r>
      <w:r w:rsidR="007A32A8" w:rsidRPr="00A053B9">
        <w:t xml:space="preserve">determining and </w:t>
      </w:r>
      <w:r w:rsidRPr="00A053B9">
        <w:t>advising on patent</w:t>
      </w:r>
      <w:r w:rsidR="00A6434A" w:rsidRPr="00A053B9">
        <w:t xml:space="preserve"> </w:t>
      </w:r>
      <w:r w:rsidR="00BC47DB" w:rsidRPr="00A053B9">
        <w:t xml:space="preserve">related </w:t>
      </w:r>
      <w:r w:rsidRPr="00A053B9">
        <w:t>matters is not within its Terms of Reference and</w:t>
      </w:r>
      <w:r w:rsidR="00574DEE" w:rsidRPr="00A053B9">
        <w:rPr>
          <w:rFonts w:cs="Calibri"/>
        </w:rPr>
        <w:t xml:space="preserve"> concluded that </w:t>
      </w:r>
      <w:r w:rsidR="00BC47DB" w:rsidRPr="00A053B9">
        <w:rPr>
          <w:rFonts w:cs="Calibri"/>
        </w:rPr>
        <w:t>these</w:t>
      </w:r>
      <w:r w:rsidR="00574DEE" w:rsidRPr="00A053B9">
        <w:rPr>
          <w:rFonts w:cs="Calibri"/>
        </w:rPr>
        <w:t xml:space="preserve"> matters would require consideration by government</w:t>
      </w:r>
      <w:r w:rsidR="007A32A8" w:rsidRPr="00A053B9">
        <w:rPr>
          <w:rFonts w:cs="Calibri"/>
        </w:rPr>
        <w:t xml:space="preserve"> and</w:t>
      </w:r>
      <w:r w:rsidR="00604B3D" w:rsidRPr="00A053B9">
        <w:rPr>
          <w:rFonts w:cs="Calibri"/>
        </w:rPr>
        <w:t xml:space="preserve"> in particular</w:t>
      </w:r>
      <w:r w:rsidR="007A32A8" w:rsidRPr="00A053B9">
        <w:rPr>
          <w:rFonts w:cs="Calibri"/>
        </w:rPr>
        <w:t xml:space="preserve"> the Minister</w:t>
      </w:r>
      <w:r w:rsidR="00574DEE" w:rsidRPr="00A053B9">
        <w:rPr>
          <w:rFonts w:cs="Calibri"/>
        </w:rPr>
        <w:t xml:space="preserve"> prior </w:t>
      </w:r>
      <w:r w:rsidR="00FB64D5" w:rsidRPr="00A053B9">
        <w:rPr>
          <w:rFonts w:cs="Calibri"/>
        </w:rPr>
        <w:t xml:space="preserve">to </w:t>
      </w:r>
      <w:r w:rsidR="007A32A8" w:rsidRPr="00A053B9">
        <w:rPr>
          <w:rFonts w:cs="Calibri"/>
        </w:rPr>
        <w:t xml:space="preserve">and in the course of </w:t>
      </w:r>
      <w:r w:rsidR="00574DEE" w:rsidRPr="00A053B9">
        <w:rPr>
          <w:rFonts w:cs="Calibri"/>
        </w:rPr>
        <w:t xml:space="preserve">any decision </w:t>
      </w:r>
      <w:r w:rsidR="007A32A8" w:rsidRPr="00A053B9">
        <w:rPr>
          <w:rFonts w:cs="Calibri"/>
        </w:rPr>
        <w:t xml:space="preserve">in relation to whether </w:t>
      </w:r>
      <w:r w:rsidR="00574DEE" w:rsidRPr="00A053B9">
        <w:rPr>
          <w:rFonts w:cs="Calibri"/>
        </w:rPr>
        <w:t xml:space="preserve">to list </w:t>
      </w:r>
      <w:r w:rsidR="007A32A8" w:rsidRPr="00A053B9">
        <w:rPr>
          <w:rFonts w:cs="Calibri"/>
        </w:rPr>
        <w:t xml:space="preserve">new </w:t>
      </w:r>
      <w:r w:rsidR="00574DEE" w:rsidRPr="00A053B9">
        <w:rPr>
          <w:rFonts w:cs="Calibri"/>
        </w:rPr>
        <w:t>MBS items as a result of this application.</w:t>
      </w:r>
      <w:r w:rsidR="00BC47DB" w:rsidRPr="00A053B9">
        <w:rPr>
          <w:rFonts w:cs="Calibri"/>
        </w:rPr>
        <w:t xml:space="preserve"> </w:t>
      </w:r>
      <w:r w:rsidR="007A32A8" w:rsidRPr="00A053B9">
        <w:rPr>
          <w:rFonts w:cs="Calibri"/>
          <w:iCs/>
        </w:rPr>
        <w:t xml:space="preserve">Accordingly, MSAC conducted its analysis in relation to the comparative safety, clinical effectiveness, cost-effectiveness and total cost of </w:t>
      </w:r>
      <w:r w:rsidR="007A32A8" w:rsidRPr="00A053B9">
        <w:rPr>
          <w:rFonts w:cs="Calibri"/>
          <w:iCs/>
          <w:vertAlign w:val="superscript"/>
        </w:rPr>
        <w:t>177</w:t>
      </w:r>
      <w:r w:rsidR="007A32A8" w:rsidRPr="00A053B9">
        <w:rPr>
          <w:rFonts w:cs="Calibri"/>
          <w:iCs/>
        </w:rPr>
        <w:t xml:space="preserve">LuPSMA i&amp;t on the basis of the information and evidence before it, and on the premise that </w:t>
      </w:r>
      <w:r w:rsidR="00D438CD">
        <w:rPr>
          <w:rFonts w:cs="Calibri"/>
          <w:iCs/>
        </w:rPr>
        <w:t>providers will</w:t>
      </w:r>
      <w:r w:rsidR="007A32A8" w:rsidRPr="00A053B9">
        <w:rPr>
          <w:rFonts w:cs="Calibri"/>
          <w:iCs/>
        </w:rPr>
        <w:t xml:space="preserve"> have a legal right to use it in Australia</w:t>
      </w:r>
      <w:r w:rsidR="00AE0E0F">
        <w:rPr>
          <w:rFonts w:cs="Calibri"/>
          <w:iCs/>
        </w:rPr>
        <w:t xml:space="preserve"> if the application is approved</w:t>
      </w:r>
      <w:r w:rsidR="007A32A8" w:rsidRPr="00A053B9">
        <w:rPr>
          <w:rFonts w:cs="Calibri"/>
          <w:iCs/>
        </w:rPr>
        <w:t>.</w:t>
      </w:r>
    </w:p>
    <w:p w14:paraId="28DEA50D" w14:textId="42ED18C0" w:rsidR="00F700DA" w:rsidRPr="00A053B9" w:rsidRDefault="00F217C9" w:rsidP="00DA2A51">
      <w:pPr>
        <w:spacing w:before="0" w:after="0" w:line="240" w:lineRule="auto"/>
      </w:pPr>
      <w:r w:rsidRPr="00A053B9">
        <w:rPr>
          <w:rFonts w:cs="Calibri"/>
        </w:rPr>
        <w:t xml:space="preserve">MSAC reconsidered the available evidence base and new information and submissions comparing </w:t>
      </w:r>
      <w:r w:rsidRPr="00A053B9">
        <w:rPr>
          <w:rFonts w:cs="Calibri"/>
          <w:vertAlign w:val="superscript"/>
        </w:rPr>
        <w:t>177</w:t>
      </w:r>
      <w:r w:rsidRPr="00A053B9">
        <w:rPr>
          <w:rFonts w:cs="Calibri"/>
        </w:rPr>
        <w:t xml:space="preserve">Lu PSMA i&amp;t and </w:t>
      </w:r>
      <w:r w:rsidRPr="00A053B9">
        <w:rPr>
          <w:rFonts w:cs="Calibri"/>
          <w:vertAlign w:val="superscript"/>
        </w:rPr>
        <w:t>177</w:t>
      </w:r>
      <w:r w:rsidRPr="00A053B9">
        <w:rPr>
          <w:rFonts w:cs="Calibri"/>
        </w:rPr>
        <w:t xml:space="preserve">Lu PSMA-617 products. </w:t>
      </w:r>
      <w:r w:rsidR="00AE2319" w:rsidRPr="00A053B9">
        <w:rPr>
          <w:rFonts w:cs="Calibri"/>
        </w:rPr>
        <w:t xml:space="preserve">MSAC noted the </w:t>
      </w:r>
      <w:r w:rsidR="00256DD3" w:rsidRPr="00A053B9">
        <w:t xml:space="preserve">Phase III trials evaluating the </w:t>
      </w:r>
      <w:r w:rsidR="006912E4" w:rsidRPr="00A053B9">
        <w:t xml:space="preserve">comparative </w:t>
      </w:r>
      <w:r w:rsidR="00256DD3" w:rsidRPr="00A053B9">
        <w:t xml:space="preserve">efficacy and safety of </w:t>
      </w:r>
      <w:r w:rsidR="00256DD3" w:rsidRPr="00A053B9">
        <w:rPr>
          <w:vertAlign w:val="superscript"/>
        </w:rPr>
        <w:t>177</w:t>
      </w:r>
      <w:r w:rsidR="00256DD3" w:rsidRPr="00A053B9">
        <w:t>Lu</w:t>
      </w:r>
      <w:r w:rsidR="006912E4" w:rsidRPr="00A053B9">
        <w:t> </w:t>
      </w:r>
      <w:r w:rsidR="00256DD3" w:rsidRPr="00A053B9">
        <w:t xml:space="preserve">PSMA i&amp;t (SPLASH) and </w:t>
      </w:r>
      <w:r w:rsidR="00256DD3" w:rsidRPr="00A053B9">
        <w:rPr>
          <w:vertAlign w:val="superscript"/>
        </w:rPr>
        <w:t>177</w:t>
      </w:r>
      <w:r w:rsidR="00256DD3" w:rsidRPr="00A053B9">
        <w:t>Lu-PSMA 617 (PSMAfore)</w:t>
      </w:r>
      <w:r w:rsidR="00E46D3E" w:rsidRPr="00A053B9">
        <w:t xml:space="preserve"> </w:t>
      </w:r>
      <w:r w:rsidR="00256DD3" w:rsidRPr="00A053B9">
        <w:t>had</w:t>
      </w:r>
      <w:r w:rsidR="00750FEA" w:rsidRPr="00A053B9">
        <w:t xml:space="preserve"> not been </w:t>
      </w:r>
      <w:r w:rsidR="00F9676E" w:rsidRPr="00A053B9">
        <w:t xml:space="preserve">previously </w:t>
      </w:r>
      <w:r w:rsidR="00750FEA" w:rsidRPr="00A053B9">
        <w:t xml:space="preserve">considered as </w:t>
      </w:r>
      <w:r w:rsidR="00CB4288" w:rsidRPr="00A053B9">
        <w:t>the</w:t>
      </w:r>
      <w:r w:rsidR="00256DD3" w:rsidRPr="00A053B9">
        <w:t xml:space="preserve"> original </w:t>
      </w:r>
      <w:r w:rsidR="00CB4288" w:rsidRPr="00A053B9">
        <w:t>applicant developed assessment report (ADAR)</w:t>
      </w:r>
      <w:r w:rsidR="00A00C2A" w:rsidRPr="00A053B9">
        <w:t xml:space="preserve"> for application 1686</w:t>
      </w:r>
      <w:r w:rsidR="00CB4288" w:rsidRPr="00A053B9">
        <w:t xml:space="preserve"> </w:t>
      </w:r>
      <w:r w:rsidR="00256DD3" w:rsidRPr="00A053B9">
        <w:t>excluded</w:t>
      </w:r>
      <w:r w:rsidR="00A00C2A" w:rsidRPr="00A053B9">
        <w:t xml:space="preserve"> these trials from the literature review</w:t>
      </w:r>
      <w:r w:rsidR="00782926" w:rsidRPr="00A053B9">
        <w:t xml:space="preserve"> </w:t>
      </w:r>
      <w:r w:rsidR="00256DD3" w:rsidRPr="00A053B9">
        <w:t>as they used</w:t>
      </w:r>
      <w:r w:rsidR="00CF7057" w:rsidRPr="00A053B9">
        <w:t xml:space="preserve"> different</w:t>
      </w:r>
      <w:r w:rsidR="00256DD3" w:rsidRPr="00A053B9">
        <w:t xml:space="preserve"> comparator</w:t>
      </w:r>
      <w:r w:rsidR="004372DB" w:rsidRPr="00A053B9">
        <w:t>s</w:t>
      </w:r>
      <w:r w:rsidR="00256DD3" w:rsidRPr="00A053B9">
        <w:t xml:space="preserve"> (enzalutamide or abiraterone)</w:t>
      </w:r>
      <w:r w:rsidR="00917B92" w:rsidRPr="00A053B9">
        <w:t xml:space="preserve"> </w:t>
      </w:r>
      <w:r w:rsidR="004372DB" w:rsidRPr="00A053B9">
        <w:t>to those</w:t>
      </w:r>
      <w:r w:rsidR="00917B92" w:rsidRPr="00A053B9">
        <w:t xml:space="preserve"> proposed in th</w:t>
      </w:r>
      <w:r w:rsidR="004372DB" w:rsidRPr="00A053B9">
        <w:t>e</w:t>
      </w:r>
      <w:r w:rsidR="00917B92" w:rsidRPr="00A053B9">
        <w:t xml:space="preserve"> application</w:t>
      </w:r>
      <w:r w:rsidR="00782926" w:rsidRPr="00A053B9">
        <w:t xml:space="preserve">. </w:t>
      </w:r>
      <w:r w:rsidR="001F0597" w:rsidRPr="00A053B9">
        <w:t>MSAC also noted the pre-MSAC response</w:t>
      </w:r>
      <w:r w:rsidR="009D0B76" w:rsidRPr="00A053B9">
        <w:t xml:space="preserve"> which</w:t>
      </w:r>
      <w:r w:rsidR="005A7AE3" w:rsidRPr="00A053B9">
        <w:t>:</w:t>
      </w:r>
    </w:p>
    <w:p w14:paraId="21374661" w14:textId="0AB776D4" w:rsidR="00F700DA" w:rsidRPr="00A053B9" w:rsidRDefault="001F0597" w:rsidP="00F700DA">
      <w:pPr>
        <w:pStyle w:val="ListParagraph"/>
        <w:numPr>
          <w:ilvl w:val="0"/>
          <w:numId w:val="35"/>
        </w:numPr>
        <w:spacing w:before="0" w:after="0" w:line="240" w:lineRule="auto"/>
        <w:rPr>
          <w:rFonts w:ascii="Times New Roman" w:hAnsi="Times New Roman" w:cs="Times New Roman"/>
          <w:sz w:val="24"/>
          <w:szCs w:val="24"/>
          <w:lang w:eastAsia="en-AU"/>
        </w:rPr>
      </w:pPr>
      <w:r w:rsidRPr="00A053B9">
        <w:t>highlighted that these trials were not</w:t>
      </w:r>
      <w:r w:rsidR="00CC6543" w:rsidRPr="00A053B9">
        <w:t xml:space="preserve"> included </w:t>
      </w:r>
      <w:r w:rsidR="00A750F2" w:rsidRPr="00A053B9">
        <w:t xml:space="preserve">in the assessment </w:t>
      </w:r>
      <w:r w:rsidR="00CC6543" w:rsidRPr="00A053B9">
        <w:t>as they were not</w:t>
      </w:r>
      <w:r w:rsidRPr="00A053B9">
        <w:t xml:space="preserve"> comparable studies, with different dosing regimens</w:t>
      </w:r>
      <w:r w:rsidR="004E4A73" w:rsidRPr="00A053B9">
        <w:t>,</w:t>
      </w:r>
      <w:r w:rsidR="00620186" w:rsidRPr="00A053B9">
        <w:t xml:space="preserve"> therefore results </w:t>
      </w:r>
      <w:r w:rsidR="008A3E24" w:rsidRPr="00A053B9">
        <w:t>reporting</w:t>
      </w:r>
      <w:r w:rsidR="00CF66BC" w:rsidRPr="00A053B9">
        <w:t xml:space="preserve"> </w:t>
      </w:r>
      <w:r w:rsidR="00620186" w:rsidRPr="00A053B9">
        <w:t>differences i</w:t>
      </w:r>
      <w:r w:rsidR="007E5E65" w:rsidRPr="00A053B9">
        <w:t>n</w:t>
      </w:r>
      <w:r w:rsidR="00620186" w:rsidRPr="00A053B9">
        <w:t xml:space="preserve"> efficacy </w:t>
      </w:r>
      <w:r w:rsidR="00F830CF" w:rsidRPr="00A053B9">
        <w:t>are</w:t>
      </w:r>
      <w:r w:rsidR="00620186" w:rsidRPr="00A053B9">
        <w:t xml:space="preserve"> flawed. MSAC noted</w:t>
      </w:r>
      <w:r w:rsidR="008546BD" w:rsidRPr="00A053B9">
        <w:t xml:space="preserve"> these trial populations</w:t>
      </w:r>
      <w:r w:rsidRPr="00A053B9">
        <w:t xml:space="preserve"> </w:t>
      </w:r>
      <w:r w:rsidR="008546BD" w:rsidRPr="00A053B9">
        <w:t>w</w:t>
      </w:r>
      <w:r w:rsidR="007E5E65" w:rsidRPr="00A053B9">
        <w:t>ere conducted</w:t>
      </w:r>
      <w:r w:rsidR="008546BD" w:rsidRPr="00A053B9">
        <w:t xml:space="preserve"> in an earlier</w:t>
      </w:r>
      <w:r w:rsidRPr="00A053B9">
        <w:t xml:space="preserve"> treatment </w:t>
      </w:r>
      <w:r w:rsidR="008546BD" w:rsidRPr="00A053B9">
        <w:t xml:space="preserve">line </w:t>
      </w:r>
      <w:r w:rsidRPr="00A053B9">
        <w:t>(ie. mCRPC post progression on androgen receptor pathway inhibitor pathway and pre-taxane chemotherapy) than proposed in the current application (i.e. mCRPC post progression after ASI [</w:t>
      </w:r>
      <w:r w:rsidRPr="00A053B9">
        <w:rPr>
          <w:szCs w:val="20"/>
        </w:rPr>
        <w:t>(i.e. abiraterone, enzalutamide or darolutamide via PBS/RPBS)]</w:t>
      </w:r>
      <w:r w:rsidRPr="00A053B9">
        <w:t xml:space="preserve"> and taxane chemotherapy).</w:t>
      </w:r>
    </w:p>
    <w:p w14:paraId="491B88A3" w14:textId="507F9B14" w:rsidR="00256DD3" w:rsidRPr="00A053B9" w:rsidRDefault="00256DD3">
      <w:pPr>
        <w:pStyle w:val="ListParagraph"/>
        <w:numPr>
          <w:ilvl w:val="0"/>
          <w:numId w:val="35"/>
        </w:numPr>
        <w:spacing w:before="0" w:after="0" w:line="240" w:lineRule="auto"/>
        <w:rPr>
          <w:rFonts w:ascii="Times New Roman" w:hAnsi="Times New Roman" w:cs="Times New Roman"/>
          <w:sz w:val="24"/>
          <w:szCs w:val="24"/>
          <w:lang w:eastAsia="en-AU"/>
        </w:rPr>
      </w:pPr>
      <w:r w:rsidRPr="00A053B9">
        <w:t>stated that there were no meaningful clinical differences between Lu</w:t>
      </w:r>
      <w:r w:rsidR="007F359A" w:rsidRPr="00A053B9">
        <w:t> </w:t>
      </w:r>
      <w:r w:rsidRPr="00A053B9">
        <w:t>PSMA</w:t>
      </w:r>
      <w:r w:rsidR="007F359A" w:rsidRPr="00A053B9">
        <w:t>-</w:t>
      </w:r>
      <w:r w:rsidRPr="00A053B9">
        <w:t>617 and Lu</w:t>
      </w:r>
      <w:r w:rsidR="00141F9C" w:rsidRPr="00A053B9">
        <w:t> </w:t>
      </w:r>
      <w:r w:rsidRPr="00A053B9">
        <w:t>PSMA i&amp;t identified in daily clinical practice or in publications looking at overall survival and response rate using the two agents in Australia.</w:t>
      </w:r>
    </w:p>
    <w:p w14:paraId="08598690" w14:textId="17779030" w:rsidR="003608AF" w:rsidRPr="00A053B9" w:rsidRDefault="003608AF" w:rsidP="00D71CB6">
      <w:pPr>
        <w:spacing w:before="0" w:after="0" w:line="240" w:lineRule="auto"/>
        <w:rPr>
          <w:rFonts w:ascii="Times New Roman" w:hAnsi="Times New Roman" w:cs="Times New Roman"/>
          <w:sz w:val="24"/>
          <w:szCs w:val="24"/>
          <w:lang w:eastAsia="en-AU"/>
        </w:rPr>
      </w:pPr>
      <w:r w:rsidRPr="00A053B9">
        <w:t>MSAC noted that the results</w:t>
      </w:r>
      <w:r w:rsidR="00D01AAC" w:rsidRPr="00A053B9">
        <w:t xml:space="preserve"> from SPLASH and PSMAfore suggested</w:t>
      </w:r>
      <w:r w:rsidRPr="00A053B9">
        <w:t xml:space="preserve"> differences in the current PFS hazard ratios (HRs) for </w:t>
      </w:r>
      <w:r w:rsidR="00D01AAC" w:rsidRPr="00A053B9">
        <w:t>the two</w:t>
      </w:r>
      <w:r w:rsidRPr="00A053B9">
        <w:t xml:space="preserve"> products. However, MSAC considered that, due to the nature of the naïve comparison across the trials </w:t>
      </w:r>
      <w:r w:rsidR="0047363F" w:rsidRPr="00A053B9">
        <w:t>involving</w:t>
      </w:r>
      <w:r w:rsidRPr="00A053B9">
        <w:t xml:space="preserve"> different cohorts of patients, the results </w:t>
      </w:r>
      <w:r w:rsidR="005E0A2C" w:rsidRPr="00A053B9">
        <w:t xml:space="preserve">of the comparison </w:t>
      </w:r>
      <w:r w:rsidRPr="00A053B9">
        <w:t>were unreliable. In contrast</w:t>
      </w:r>
      <w:r w:rsidR="001261D5" w:rsidRPr="00A053B9">
        <w:t>,</w:t>
      </w:r>
      <w:r w:rsidRPr="00A053B9">
        <w:t xml:space="preserve"> MSAC noted the matched analysis</w:t>
      </w:r>
      <w:r w:rsidRPr="00A053B9">
        <w:rPr>
          <w:rStyle w:val="FootnoteReference"/>
        </w:rPr>
        <w:footnoteReference w:id="2"/>
      </w:r>
      <w:r w:rsidRPr="00A053B9">
        <w:t xml:space="preserve"> comparing </w:t>
      </w:r>
      <w:r w:rsidRPr="00A053B9">
        <w:rPr>
          <w:vertAlign w:val="superscript"/>
        </w:rPr>
        <w:t>177</w:t>
      </w:r>
      <w:r w:rsidRPr="00A053B9">
        <w:t xml:space="preserve">Lu PSMA-617 (n=55) and </w:t>
      </w:r>
      <w:r w:rsidRPr="00A053B9">
        <w:rPr>
          <w:vertAlign w:val="superscript"/>
        </w:rPr>
        <w:t>177</w:t>
      </w:r>
      <w:r w:rsidRPr="00A053B9">
        <w:t xml:space="preserve">Lu PSMA i&amp;t (n=55) which showed that no differences </w:t>
      </w:r>
      <w:r w:rsidR="005E0A2C" w:rsidRPr="00A053B9">
        <w:t xml:space="preserve">were found </w:t>
      </w:r>
      <w:r w:rsidR="00D90DF8" w:rsidRPr="00A053B9">
        <w:t>in</w:t>
      </w:r>
      <w:r w:rsidRPr="00A053B9">
        <w:t xml:space="preserve"> </w:t>
      </w:r>
      <w:r w:rsidR="00601A7F" w:rsidRPr="00A053B9">
        <w:t xml:space="preserve">overall survival </w:t>
      </w:r>
      <w:r w:rsidR="00AC6D93" w:rsidRPr="00A053B9">
        <w:t>(</w:t>
      </w:r>
      <w:r w:rsidRPr="00A053B9">
        <w:t>OS</w:t>
      </w:r>
      <w:r w:rsidR="00AC6D93" w:rsidRPr="00A053B9">
        <w:t>)</w:t>
      </w:r>
      <w:r w:rsidRPr="00A053B9">
        <w:t xml:space="preserve"> </w:t>
      </w:r>
      <w:r w:rsidR="00D90DF8" w:rsidRPr="00A053B9">
        <w:t>between treatment</w:t>
      </w:r>
      <w:r w:rsidR="00B00F50" w:rsidRPr="00A053B9">
        <w:t>s</w:t>
      </w:r>
      <w:r w:rsidRPr="00A053B9">
        <w:t xml:space="preserve"> and the rate of clinically relevant toxicities w</w:t>
      </w:r>
      <w:r w:rsidR="00B00F50" w:rsidRPr="00A053B9">
        <w:t>as</w:t>
      </w:r>
      <w:r w:rsidRPr="00A053B9">
        <w:t xml:space="preserve"> low for both </w:t>
      </w:r>
      <w:r w:rsidR="00B00F50" w:rsidRPr="00A053B9">
        <w:t>products</w:t>
      </w:r>
      <w:r w:rsidRPr="00A053B9">
        <w:t>.</w:t>
      </w:r>
    </w:p>
    <w:p w14:paraId="41D2BADB" w14:textId="3B5656B7" w:rsidR="00D71CB6" w:rsidRPr="00A053B9" w:rsidRDefault="001C5BB8" w:rsidP="00256DD3">
      <w:r w:rsidRPr="00A053B9">
        <w:t>MSAC considered that there was no new substantive clinical trial data that changed MSAC’s previous conclusion of mutual noninferiority</w:t>
      </w:r>
      <w:r w:rsidR="005742C2" w:rsidRPr="00A053B9">
        <w:t xml:space="preserve"> for patient outcomes</w:t>
      </w:r>
      <w:r w:rsidRPr="00A053B9">
        <w:t xml:space="preserve"> between the two products – </w:t>
      </w:r>
      <w:r w:rsidRPr="00A053B9">
        <w:rPr>
          <w:vertAlign w:val="superscript"/>
        </w:rPr>
        <w:t>177</w:t>
      </w:r>
      <w:r w:rsidRPr="00A053B9">
        <w:t xml:space="preserve">Lu PSMA i&amp;t and </w:t>
      </w:r>
      <w:r w:rsidRPr="00A053B9">
        <w:rPr>
          <w:vertAlign w:val="superscript"/>
        </w:rPr>
        <w:t>177</w:t>
      </w:r>
      <w:r w:rsidRPr="00A053B9">
        <w:t xml:space="preserve">Lu PSMA-617 have similar safety, efficacy, biodistribution and are radioequivalent, despite both products using different dosing schedules. </w:t>
      </w:r>
      <w:r w:rsidR="004C71C1" w:rsidRPr="00A053B9">
        <w:t xml:space="preserve">MSAC also acknowledged that direct evidence comparing </w:t>
      </w:r>
      <w:r w:rsidR="004C71C1" w:rsidRPr="00A053B9">
        <w:rPr>
          <w:vertAlign w:val="superscript"/>
        </w:rPr>
        <w:t>177</w:t>
      </w:r>
      <w:r w:rsidR="004C71C1" w:rsidRPr="00A053B9">
        <w:t xml:space="preserve">Lu PSMA i&amp;t and </w:t>
      </w:r>
      <w:r w:rsidR="004C71C1" w:rsidRPr="00A053B9">
        <w:rPr>
          <w:vertAlign w:val="superscript"/>
        </w:rPr>
        <w:t>177</w:t>
      </w:r>
      <w:r w:rsidR="004C71C1" w:rsidRPr="00A053B9">
        <w:t xml:space="preserve">Lu PSMA-617 was not available and would be unlikely to eventuate. </w:t>
      </w:r>
      <w:r w:rsidR="00577DC3" w:rsidRPr="00A053B9">
        <w:rPr>
          <w:szCs w:val="24"/>
        </w:rPr>
        <w:t>Therefore</w:t>
      </w:r>
      <w:r w:rsidR="001E213E" w:rsidRPr="00A053B9">
        <w:rPr>
          <w:szCs w:val="24"/>
        </w:rPr>
        <w:t xml:space="preserve">, </w:t>
      </w:r>
      <w:r w:rsidR="00617F01" w:rsidRPr="00A053B9">
        <w:rPr>
          <w:szCs w:val="24"/>
        </w:rPr>
        <w:t xml:space="preserve">based on the totality of the </w:t>
      </w:r>
      <w:r w:rsidR="00B00F50" w:rsidRPr="00A053B9">
        <w:rPr>
          <w:szCs w:val="24"/>
        </w:rPr>
        <w:t xml:space="preserve">available </w:t>
      </w:r>
      <w:r w:rsidR="00617F01" w:rsidRPr="00A053B9">
        <w:rPr>
          <w:szCs w:val="24"/>
        </w:rPr>
        <w:t xml:space="preserve">evidence </w:t>
      </w:r>
      <w:r w:rsidR="004648B0" w:rsidRPr="00A053B9">
        <w:rPr>
          <w:szCs w:val="24"/>
        </w:rPr>
        <w:t xml:space="preserve">and </w:t>
      </w:r>
      <w:r w:rsidR="00ED2304" w:rsidRPr="00A053B9">
        <w:rPr>
          <w:szCs w:val="24"/>
        </w:rPr>
        <w:t xml:space="preserve">additional perspectives </w:t>
      </w:r>
      <w:r w:rsidR="00D56A6D" w:rsidRPr="00A053B9">
        <w:rPr>
          <w:szCs w:val="24"/>
        </w:rPr>
        <w:t xml:space="preserve">comparing </w:t>
      </w:r>
      <w:r w:rsidR="00D56A6D" w:rsidRPr="00A053B9">
        <w:rPr>
          <w:szCs w:val="24"/>
          <w:vertAlign w:val="superscript"/>
        </w:rPr>
        <w:t>177</w:t>
      </w:r>
      <w:r w:rsidR="00D56A6D" w:rsidRPr="00A053B9">
        <w:rPr>
          <w:szCs w:val="24"/>
        </w:rPr>
        <w:t>Lu </w:t>
      </w:r>
      <w:r w:rsidR="00D56A6D" w:rsidRPr="00A053B9">
        <w:t>PSMAi</w:t>
      </w:r>
      <w:r w:rsidR="00D56A6D" w:rsidRPr="00A053B9">
        <w:rPr>
          <w:szCs w:val="24"/>
        </w:rPr>
        <w:t xml:space="preserve">&amp;t and </w:t>
      </w:r>
      <w:r w:rsidR="00D56A6D" w:rsidRPr="00A053B9">
        <w:rPr>
          <w:szCs w:val="24"/>
          <w:vertAlign w:val="superscript"/>
        </w:rPr>
        <w:t>177</w:t>
      </w:r>
      <w:r w:rsidR="00D56A6D" w:rsidRPr="00A053B9">
        <w:rPr>
          <w:szCs w:val="24"/>
        </w:rPr>
        <w:t xml:space="preserve">Lu PSMA-617 products, </w:t>
      </w:r>
      <w:r w:rsidR="00396A12" w:rsidRPr="00A053B9">
        <w:rPr>
          <w:szCs w:val="24"/>
        </w:rPr>
        <w:t>MSAC reaff</w:t>
      </w:r>
      <w:r w:rsidR="00120A83" w:rsidRPr="00A053B9">
        <w:rPr>
          <w:szCs w:val="24"/>
        </w:rPr>
        <w:t xml:space="preserve">irmed previous conclusions that the two products are </w:t>
      </w:r>
      <w:r w:rsidR="002A1F03" w:rsidRPr="00A053B9">
        <w:rPr>
          <w:szCs w:val="24"/>
        </w:rPr>
        <w:t xml:space="preserve">mutually </w:t>
      </w:r>
      <w:r w:rsidR="00120A83" w:rsidRPr="00A053B9">
        <w:rPr>
          <w:szCs w:val="24"/>
        </w:rPr>
        <w:t xml:space="preserve">noninferior </w:t>
      </w:r>
      <w:r w:rsidR="00D70BE7" w:rsidRPr="00A053B9">
        <w:rPr>
          <w:szCs w:val="24"/>
        </w:rPr>
        <w:t xml:space="preserve">for patient outcomes, </w:t>
      </w:r>
      <w:r w:rsidR="00EA285F" w:rsidRPr="00A053B9">
        <w:rPr>
          <w:szCs w:val="24"/>
        </w:rPr>
        <w:t xml:space="preserve">and thus </w:t>
      </w:r>
      <w:r w:rsidR="00577DC3" w:rsidRPr="00A053B9">
        <w:rPr>
          <w:szCs w:val="24"/>
        </w:rPr>
        <w:t xml:space="preserve">considered the evidence for </w:t>
      </w:r>
      <w:r w:rsidR="00577DC3" w:rsidRPr="00A053B9">
        <w:rPr>
          <w:szCs w:val="24"/>
          <w:vertAlign w:val="superscript"/>
        </w:rPr>
        <w:t>177</w:t>
      </w:r>
      <w:r w:rsidR="00577DC3" w:rsidRPr="00A053B9">
        <w:rPr>
          <w:szCs w:val="24"/>
        </w:rPr>
        <w:t xml:space="preserve">Lu PSMA-617 to be relevant for </w:t>
      </w:r>
      <w:bookmarkStart w:id="2" w:name="_Hlk113815563"/>
      <w:r w:rsidR="00577DC3" w:rsidRPr="00A053B9">
        <w:rPr>
          <w:szCs w:val="24"/>
          <w:vertAlign w:val="superscript"/>
        </w:rPr>
        <w:t>177</w:t>
      </w:r>
      <w:r w:rsidR="00577DC3" w:rsidRPr="00A053B9">
        <w:rPr>
          <w:szCs w:val="24"/>
        </w:rPr>
        <w:t>Lu PSMA i&amp;t</w:t>
      </w:r>
      <w:bookmarkEnd w:id="2"/>
      <w:r w:rsidR="00577DC3" w:rsidRPr="00A053B9">
        <w:rPr>
          <w:szCs w:val="24"/>
        </w:rPr>
        <w:t xml:space="preserve">, and therefore </w:t>
      </w:r>
      <w:r w:rsidR="00577DC3" w:rsidRPr="00A053B9">
        <w:rPr>
          <w:rFonts w:eastAsia="Calibri" w:cs="Times New Roman"/>
        </w:rPr>
        <w:t xml:space="preserve">accepted the results of the clinical evaluation and the clinical </w:t>
      </w:r>
      <w:r w:rsidR="00577DC3" w:rsidRPr="00A053B9">
        <w:rPr>
          <w:rFonts w:eastAsia="Calibri" w:cs="Times New Roman"/>
        </w:rPr>
        <w:lastRenderedPageBreak/>
        <w:t xml:space="preserve">aspects of the modelled economic evaluation across these two </w:t>
      </w:r>
      <w:r w:rsidR="00577DC3" w:rsidRPr="00A053B9">
        <w:rPr>
          <w:rFonts w:eastAsia="Calibri" w:cs="Times New Roman"/>
          <w:vertAlign w:val="superscript"/>
        </w:rPr>
        <w:t>177</w:t>
      </w:r>
      <w:r w:rsidR="00577DC3" w:rsidRPr="00A053B9">
        <w:rPr>
          <w:rFonts w:eastAsia="Calibri" w:cs="Times New Roman"/>
        </w:rPr>
        <w:t>Lu PSMA products</w:t>
      </w:r>
      <w:r w:rsidR="00577DC3" w:rsidRPr="00A053B9">
        <w:t>.</w:t>
      </w:r>
      <w:r w:rsidR="004A532E" w:rsidRPr="00A053B9">
        <w:t xml:space="preserve"> </w:t>
      </w:r>
      <w:r w:rsidR="00577DC3" w:rsidRPr="00A053B9">
        <w:t xml:space="preserve"> Thus, </w:t>
      </w:r>
      <w:r w:rsidR="00577DC3" w:rsidRPr="00A053B9">
        <w:rPr>
          <w:rFonts w:cs="Calibri"/>
        </w:rPr>
        <w:t>MSAC</w:t>
      </w:r>
      <w:r w:rsidR="00577DC3" w:rsidRPr="00A053B9">
        <w:t xml:space="preserve"> </w:t>
      </w:r>
      <w:r w:rsidR="00577DC3" w:rsidRPr="00A053B9">
        <w:rPr>
          <w:rFonts w:cs="Calibri"/>
        </w:rPr>
        <w:t xml:space="preserve">accepted the evidence that </w:t>
      </w:r>
      <w:r w:rsidR="00577DC3" w:rsidRPr="00A053B9">
        <w:rPr>
          <w:rFonts w:cs="Calibri"/>
          <w:vertAlign w:val="superscript"/>
        </w:rPr>
        <w:t>177</w:t>
      </w:r>
      <w:r w:rsidR="00577DC3" w:rsidRPr="00A053B9">
        <w:rPr>
          <w:rFonts w:cs="Calibri"/>
        </w:rPr>
        <w:t>Lu PSMA</w:t>
      </w:r>
      <w:r w:rsidR="00577DC3" w:rsidRPr="00A053B9">
        <w:t> </w:t>
      </w:r>
      <w:r w:rsidR="00577DC3" w:rsidRPr="00A053B9">
        <w:rPr>
          <w:rFonts w:cs="Calibri"/>
        </w:rPr>
        <w:t>i&amp;t therapy is acceptably safe and effective.</w:t>
      </w:r>
    </w:p>
    <w:p w14:paraId="1391B29C" w14:textId="7917BD8A" w:rsidR="00303D9B" w:rsidRPr="00A053B9" w:rsidRDefault="00303D9B" w:rsidP="00256DD3">
      <w:pPr>
        <w:rPr>
          <w:rFonts w:cs="Calibri"/>
        </w:rPr>
      </w:pPr>
      <w:r w:rsidRPr="00A053B9">
        <w:t xml:space="preserve">MSAC noted that </w:t>
      </w:r>
      <w:r w:rsidRPr="00A053B9">
        <w:rPr>
          <w:vertAlign w:val="superscript"/>
        </w:rPr>
        <w:t>177</w:t>
      </w:r>
      <w:r w:rsidRPr="00A053B9">
        <w:t xml:space="preserve">Lu-PSMA i&amp;t is currently available through the Therapeutic Good Administration (TGA) exemption for production of radiopharmaceuticals in public or private hospitals for local use and not for on-sale. The </w:t>
      </w:r>
      <w:r w:rsidRPr="00A053B9">
        <w:rPr>
          <w:vertAlign w:val="superscript"/>
        </w:rPr>
        <w:t>177</w:t>
      </w:r>
      <w:r w:rsidRPr="00A053B9">
        <w:t>Lu PSMA-617 product (product name pluvicto) is currently under evaluation by the TGA</w:t>
      </w:r>
      <w:r w:rsidRPr="00A053B9">
        <w:rPr>
          <w:rStyle w:val="FootnoteReference"/>
        </w:rPr>
        <w:footnoteReference w:id="3"/>
      </w:r>
      <w:r w:rsidRPr="00A053B9">
        <w:t>.</w:t>
      </w:r>
    </w:p>
    <w:p w14:paraId="30F5EB99" w14:textId="6759B7E5" w:rsidR="00256DD3" w:rsidRPr="00A053B9" w:rsidRDefault="00256DD3" w:rsidP="00256DD3">
      <w:r w:rsidRPr="00A053B9">
        <w:t>Regarding the item descriptor</w:t>
      </w:r>
      <w:r w:rsidR="009A12BA" w:rsidRPr="00A053B9">
        <w:t>s</w:t>
      </w:r>
      <w:r w:rsidRPr="00A053B9">
        <w:t>,</w:t>
      </w:r>
      <w:r w:rsidR="009A12BA" w:rsidRPr="00A053B9">
        <w:t xml:space="preserve"> </w:t>
      </w:r>
      <w:r w:rsidRPr="00A053B9">
        <w:t xml:space="preserve">MSAC considered it appropriate that </w:t>
      </w:r>
      <w:r w:rsidR="00B76F79" w:rsidRPr="00A053B9">
        <w:t>the items are</w:t>
      </w:r>
      <w:r w:rsidRPr="00A053B9">
        <w:t xml:space="preserve"> </w:t>
      </w:r>
      <w:r w:rsidR="00A178A6" w:rsidRPr="00A053B9">
        <w:t xml:space="preserve">radiotracer </w:t>
      </w:r>
      <w:r w:rsidRPr="00A053B9">
        <w:t>agnostic</w:t>
      </w:r>
      <w:r w:rsidR="00A178A6" w:rsidRPr="00A053B9">
        <w:t>,</w:t>
      </w:r>
      <w:r w:rsidRPr="00A053B9">
        <w:t xml:space="preserve"> </w:t>
      </w:r>
      <w:r w:rsidR="00F25CAD" w:rsidRPr="00A053B9">
        <w:t>as proposed in this application</w:t>
      </w:r>
      <w:r w:rsidRPr="00A053B9">
        <w:t>.</w:t>
      </w:r>
      <w:r w:rsidR="005279E5" w:rsidRPr="00A053B9">
        <w:t xml:space="preserve"> </w:t>
      </w:r>
      <w:r w:rsidR="007230B8" w:rsidRPr="00A053B9">
        <w:t>For the PSMA-PET item</w:t>
      </w:r>
      <w:r w:rsidR="00DA3F02" w:rsidRPr="00A053B9">
        <w:t>,</w:t>
      </w:r>
      <w:r w:rsidR="007230B8" w:rsidRPr="00A053B9">
        <w:t xml:space="preserve"> this would be consistent with other </w:t>
      </w:r>
      <w:r w:rsidR="00351035" w:rsidRPr="00A053B9">
        <w:t xml:space="preserve">similar </w:t>
      </w:r>
      <w:r w:rsidR="007230B8" w:rsidRPr="00A053B9">
        <w:t>items for PSMA</w:t>
      </w:r>
      <w:r w:rsidR="00351035" w:rsidRPr="00A053B9">
        <w:t xml:space="preserve"> PET on the MBS.</w:t>
      </w:r>
      <w:r w:rsidR="000D505B" w:rsidRPr="00A053B9">
        <w:t xml:space="preserve"> For the therapeutic item</w:t>
      </w:r>
      <w:r w:rsidR="001D7DE0" w:rsidRPr="00A053B9">
        <w:t>s</w:t>
      </w:r>
      <w:r w:rsidR="00C74EA3" w:rsidRPr="00A053B9">
        <w:t>,</w:t>
      </w:r>
      <w:r w:rsidR="002C4B81" w:rsidRPr="00A053B9">
        <w:t xml:space="preserve"> </w:t>
      </w:r>
      <w:r w:rsidR="00B31DD7" w:rsidRPr="00A053B9">
        <w:t>MSAC considered that</w:t>
      </w:r>
      <w:r w:rsidR="005B14C8" w:rsidRPr="00A053B9">
        <w:t xml:space="preserve"> </w:t>
      </w:r>
      <w:r w:rsidR="009C61D6" w:rsidRPr="00A053B9">
        <w:t xml:space="preserve">an item agnostic to the type of </w:t>
      </w:r>
      <w:r w:rsidR="009C61D6" w:rsidRPr="00A053B9">
        <w:rPr>
          <w:vertAlign w:val="superscript"/>
        </w:rPr>
        <w:t>177</w:t>
      </w:r>
      <w:r w:rsidR="009C61D6" w:rsidRPr="00A053B9">
        <w:t xml:space="preserve">Lu PSMA therapy </w:t>
      </w:r>
      <w:r w:rsidR="00C83A6F" w:rsidRPr="00A053B9">
        <w:t xml:space="preserve">would ensure </w:t>
      </w:r>
      <w:r w:rsidR="005F0D70" w:rsidRPr="00A053B9">
        <w:t>patient access</w:t>
      </w:r>
      <w:r w:rsidR="00627236" w:rsidRPr="00A053B9">
        <w:t xml:space="preserve"> noting the </w:t>
      </w:r>
      <w:r w:rsidR="00214591" w:rsidRPr="00A053B9">
        <w:t>likely</w:t>
      </w:r>
      <w:r w:rsidR="00627236" w:rsidRPr="00A053B9">
        <w:t xml:space="preserve"> emergence of other </w:t>
      </w:r>
      <w:r w:rsidR="00627236" w:rsidRPr="00A053B9">
        <w:rPr>
          <w:vertAlign w:val="superscript"/>
        </w:rPr>
        <w:t>177</w:t>
      </w:r>
      <w:r w:rsidR="00627236" w:rsidRPr="00A053B9">
        <w:t>Lu PSMA product</w:t>
      </w:r>
      <w:r w:rsidR="00AC0D42" w:rsidRPr="00A053B9">
        <w:t>s</w:t>
      </w:r>
      <w:r w:rsidR="00B01E7C" w:rsidRPr="00A053B9">
        <w:t xml:space="preserve"> which may either be</w:t>
      </w:r>
      <w:r w:rsidR="007C4E28" w:rsidRPr="00A053B9">
        <w:t>come</w:t>
      </w:r>
      <w:r w:rsidR="00B01E7C" w:rsidRPr="00A053B9">
        <w:t xml:space="preserve"> TGA ap</w:t>
      </w:r>
      <w:r w:rsidR="007778A9" w:rsidRPr="00A053B9">
        <w:t>proved or exempt</w:t>
      </w:r>
      <w:r w:rsidR="00BE5721" w:rsidRPr="00A053B9">
        <w:t xml:space="preserve"> from inclusion on the </w:t>
      </w:r>
      <w:r w:rsidR="009F5410" w:rsidRPr="00A053B9">
        <w:t>Australian Register of Therapeutic Goods (</w:t>
      </w:r>
      <w:r w:rsidR="00BE5721" w:rsidRPr="00A053B9">
        <w:t>ARTG</w:t>
      </w:r>
      <w:r w:rsidR="009F5410" w:rsidRPr="00A053B9">
        <w:t>)</w:t>
      </w:r>
      <w:r w:rsidR="00BE5721" w:rsidRPr="00A053B9">
        <w:t xml:space="preserve"> (like </w:t>
      </w:r>
      <w:r w:rsidR="00BE5721" w:rsidRPr="00A053B9">
        <w:rPr>
          <w:vertAlign w:val="superscript"/>
        </w:rPr>
        <w:t>177</w:t>
      </w:r>
      <w:r w:rsidR="00BE5721" w:rsidRPr="00A053B9">
        <w:t>Lu-PSMA i&amp;</w:t>
      </w:r>
      <w:r w:rsidR="00BF71FF" w:rsidRPr="00A053B9">
        <w:t>t</w:t>
      </w:r>
      <w:r w:rsidR="00BE5721" w:rsidRPr="00A053B9">
        <w:t xml:space="preserve"> product)</w:t>
      </w:r>
      <w:r w:rsidR="00514BB3" w:rsidRPr="00A053B9">
        <w:t>.</w:t>
      </w:r>
    </w:p>
    <w:p w14:paraId="32ED4C66" w14:textId="59AF5BDA" w:rsidR="005C5D0B" w:rsidRDefault="005C5D0B" w:rsidP="00256DD3">
      <w:r w:rsidRPr="00A053B9">
        <w:t>MSAC considered that</w:t>
      </w:r>
      <w:r w:rsidRPr="00A053B9" w:rsidDel="0044756E">
        <w:t xml:space="preserve"> </w:t>
      </w:r>
      <w:r w:rsidR="00037847" w:rsidRPr="00A053B9">
        <w:t xml:space="preserve">while </w:t>
      </w:r>
      <w:r w:rsidRPr="00A053B9">
        <w:t xml:space="preserve">the conclusion of mutual noninferiority between </w:t>
      </w:r>
      <w:r w:rsidRPr="00A053B9">
        <w:rPr>
          <w:vertAlign w:val="superscript"/>
        </w:rPr>
        <w:t>177</w:t>
      </w:r>
      <w:r w:rsidRPr="00A053B9">
        <w:t xml:space="preserve">Lu PSMA i&amp;t and </w:t>
      </w:r>
      <w:r w:rsidRPr="00A053B9">
        <w:rPr>
          <w:vertAlign w:val="superscript"/>
        </w:rPr>
        <w:t>177</w:t>
      </w:r>
      <w:r w:rsidRPr="00A053B9">
        <w:t xml:space="preserve">Lu PSMA-617 </w:t>
      </w:r>
      <w:r w:rsidR="00037847" w:rsidRPr="00A053B9">
        <w:t xml:space="preserve">remained </w:t>
      </w:r>
      <w:r w:rsidRPr="00A053B9">
        <w:t xml:space="preserve">sound, the possibility of a claim of </w:t>
      </w:r>
      <w:r w:rsidRPr="00A053B9">
        <w:rPr>
          <w:vertAlign w:val="superscript"/>
        </w:rPr>
        <w:t>177</w:t>
      </w:r>
      <w:r w:rsidRPr="00A053B9">
        <w:t xml:space="preserve">Lu PSMA-617 superiority over </w:t>
      </w:r>
      <w:r w:rsidRPr="00A053B9">
        <w:rPr>
          <w:vertAlign w:val="superscript"/>
        </w:rPr>
        <w:t>177</w:t>
      </w:r>
      <w:r w:rsidRPr="00A053B9">
        <w:t>Lu-PSMA i&amp;t is not precluded in the future if there was new comparative evidence to support this claim.</w:t>
      </w:r>
    </w:p>
    <w:p w14:paraId="655C1290" w14:textId="03D0FF7F" w:rsidR="00256DD3" w:rsidRDefault="00256DD3" w:rsidP="00256DD3">
      <w:r>
        <w:t xml:space="preserve">MSAC considered that the cost-effectiveness analysis (CEA) presented in the FFP DCAR partly addressed MSAC’s previous concerns. However, the model, which was based on a hybrid </w:t>
      </w:r>
      <w:r w:rsidR="004F4D32">
        <w:t>approach</w:t>
      </w:r>
      <w:r>
        <w:t>, generated new uncertainty. MSAC noted that the model demonstrated the limitations of the data and evidence, and that applying new methods using the existing data required assumptions and/or involved input transformations that are inherently uncertain.</w:t>
      </w:r>
    </w:p>
    <w:p w14:paraId="5FECFB81" w14:textId="03E66F07" w:rsidR="00D969B5" w:rsidRDefault="00256DD3" w:rsidP="00256DD3">
      <w:r>
        <w:t>MSAC noted that to address</w:t>
      </w:r>
      <w:r w:rsidR="000D72B4">
        <w:t xml:space="preserve"> </w:t>
      </w:r>
      <w:r w:rsidR="004E7FE2">
        <w:t xml:space="preserve">the ESC’s </w:t>
      </w:r>
      <w:r>
        <w:t xml:space="preserve">concerns </w:t>
      </w:r>
      <w:r w:rsidR="003B5A05">
        <w:t>regarding the</w:t>
      </w:r>
      <w:r w:rsidR="00AD1873">
        <w:t xml:space="preserve"> </w:t>
      </w:r>
      <w:r w:rsidR="00FA24DA">
        <w:t>un</w:t>
      </w:r>
      <w:r w:rsidR="00AD1873">
        <w:t xml:space="preserve">certainty in the </w:t>
      </w:r>
      <w:r w:rsidR="00620778">
        <w:t>ICER range</w:t>
      </w:r>
      <w:r w:rsidR="00D56638">
        <w:t>s</w:t>
      </w:r>
      <w:r w:rsidR="003F4B29">
        <w:t xml:space="preserve"> from alternative base case models (</w:t>
      </w:r>
      <w:r w:rsidR="000F5F99">
        <w:t>results in</w:t>
      </w:r>
      <w:r w:rsidR="003F4B29">
        <w:t xml:space="preserve"> Table 12)</w:t>
      </w:r>
      <w:r w:rsidR="006E3504">
        <w:t xml:space="preserve">, </w:t>
      </w:r>
      <w:r>
        <w:t xml:space="preserve">an </w:t>
      </w:r>
      <w:r w:rsidR="00F16A7A">
        <w:t>A</w:t>
      </w:r>
      <w:r>
        <w:t>ddendum to the FFP DCAR model</w:t>
      </w:r>
      <w:r w:rsidR="00473E2E">
        <w:t xml:space="preserve"> was </w:t>
      </w:r>
      <w:r w:rsidR="00C50221">
        <w:t>prepared</w:t>
      </w:r>
      <w:r w:rsidR="00C164A9">
        <w:t xml:space="preserve">. </w:t>
      </w:r>
      <w:r w:rsidR="00B5305E">
        <w:t xml:space="preserve">This included </w:t>
      </w:r>
      <w:r w:rsidR="005669E7">
        <w:t xml:space="preserve">further </w:t>
      </w:r>
      <w:r w:rsidR="00B5305E" w:rsidRPr="007C4966">
        <w:rPr>
          <w:lang w:val="en-US"/>
        </w:rPr>
        <w:t xml:space="preserve">scenario </w:t>
      </w:r>
      <w:r w:rsidR="005669E7">
        <w:rPr>
          <w:lang w:val="en-US"/>
        </w:rPr>
        <w:t>analyses</w:t>
      </w:r>
      <w:r w:rsidR="007B2D33">
        <w:rPr>
          <w:lang w:val="en-US"/>
        </w:rPr>
        <w:t xml:space="preserve"> (with relevant model updates </w:t>
      </w:r>
      <w:r w:rsidR="00DE483C">
        <w:rPr>
          <w:lang w:val="en-US"/>
        </w:rPr>
        <w:t>using the</w:t>
      </w:r>
      <w:r w:rsidR="007B2D33">
        <w:rPr>
          <w:lang w:val="en-US"/>
        </w:rPr>
        <w:t xml:space="preserve"> original </w:t>
      </w:r>
      <w:r w:rsidR="00DE483C">
        <w:rPr>
          <w:lang w:val="en-US"/>
        </w:rPr>
        <w:t>partitioned survival model (PSM)</w:t>
      </w:r>
      <w:r w:rsidR="007B2D33">
        <w:rPr>
          <w:lang w:val="en-US"/>
        </w:rPr>
        <w:t>)</w:t>
      </w:r>
      <w:r w:rsidR="00B5305E" w:rsidRPr="007C4966">
        <w:rPr>
          <w:lang w:val="en-US"/>
        </w:rPr>
        <w:t xml:space="preserve"> </w:t>
      </w:r>
      <w:r w:rsidR="00B5305E">
        <w:rPr>
          <w:lang w:val="en-US"/>
        </w:rPr>
        <w:t xml:space="preserve">using </w:t>
      </w:r>
      <w:r w:rsidR="00B5305E" w:rsidRPr="007C4966">
        <w:rPr>
          <w:lang w:val="en-US"/>
        </w:rPr>
        <w:t>differing clinical rules for progression</w:t>
      </w:r>
      <w:r w:rsidR="00B5305E">
        <w:rPr>
          <w:lang w:val="en-US"/>
        </w:rPr>
        <w:t xml:space="preserve"> to model minimum and maximum treatment discontinuation</w:t>
      </w:r>
      <w:r w:rsidR="005669E7">
        <w:t>s</w:t>
      </w:r>
      <w:r w:rsidR="004A3384">
        <w:t xml:space="preserve"> as requested by ESC</w:t>
      </w:r>
      <w:r>
        <w:t xml:space="preserve">. </w:t>
      </w:r>
      <w:r w:rsidR="000B61B2">
        <w:t xml:space="preserve">MSAC noted </w:t>
      </w:r>
      <w:r>
        <w:t xml:space="preserve">that the best case ICER ($113,033 per quality-adjusted life year [QALY]), which was based on all patients receiving one cycle and only those </w:t>
      </w:r>
      <w:r w:rsidR="0036661A">
        <w:t>wit</w:t>
      </w:r>
      <w:r w:rsidR="00582880">
        <w:t>h</w:t>
      </w:r>
      <w:r>
        <w:t xml:space="preserve"> PFS receiving subsequent treatment</w:t>
      </w:r>
      <w:r w:rsidR="000517C9">
        <w:t xml:space="preserve"> (absolute maximum discontinuations)</w:t>
      </w:r>
      <w:r>
        <w:t xml:space="preserve">, was similar to the </w:t>
      </w:r>
      <w:r w:rsidR="00C27AF6">
        <w:t xml:space="preserve">updated </w:t>
      </w:r>
      <w:r>
        <w:t>base case ICER ($113,346/QALY</w:t>
      </w:r>
      <w:r w:rsidR="00606918">
        <w:t>; see Table 13</w:t>
      </w:r>
      <w:r w:rsidR="00565DC2">
        <w:t>)</w:t>
      </w:r>
      <w:r>
        <w:t>, based on all patients receiving the first two cycles</w:t>
      </w:r>
      <w:r w:rsidR="00D666B8">
        <w:t xml:space="preserve"> according to the proposed item descriptor</w:t>
      </w:r>
      <w:r>
        <w:t>. While the worst case ICER (based on all surviving patients receiving six cycles) was $132,083/QALY, MSAC considered the most likely maximum ICER (based on all surviving patients receiving up to four cycles, from the VISION trial) was $121,535/QALY.</w:t>
      </w:r>
    </w:p>
    <w:p w14:paraId="1841112E" w14:textId="04273371" w:rsidR="00256DD3" w:rsidRDefault="00256DD3" w:rsidP="00256DD3">
      <w:r>
        <w:t xml:space="preserve">MSAC noted from sensitivity analyses on the </w:t>
      </w:r>
      <w:r w:rsidR="00667009">
        <w:t xml:space="preserve">updated </w:t>
      </w:r>
      <w:r>
        <w:t xml:space="preserve">base case that changing </w:t>
      </w:r>
      <w:r w:rsidR="00591F8A">
        <w:t xml:space="preserve">the </w:t>
      </w:r>
      <w:r w:rsidR="00386061">
        <w:t xml:space="preserve">effectiveness of </w:t>
      </w:r>
      <w:r>
        <w:t xml:space="preserve">the </w:t>
      </w:r>
      <w:r w:rsidR="00CE25B6" w:rsidRPr="00CE25B6">
        <w:t>incremental OS benefit</w:t>
      </w:r>
      <w:r w:rsidR="001C15CA">
        <w:t xml:space="preserve"> (relative to the </w:t>
      </w:r>
      <w:r w:rsidR="0047471E">
        <w:t>comparator of best supportive care)</w:t>
      </w:r>
      <w:r w:rsidR="00CE25B6" w:rsidRPr="00CE25B6">
        <w:t xml:space="preserve"> </w:t>
      </w:r>
      <w:r>
        <w:t>had the largest impact on the ICER</w:t>
      </w:r>
      <w:r w:rsidR="00AA3371">
        <w:t xml:space="preserve"> (see Table 14)</w:t>
      </w:r>
      <w:r>
        <w:t>. Using the:</w:t>
      </w:r>
    </w:p>
    <w:p w14:paraId="133CD6A6" w14:textId="190B6BC4" w:rsidR="00256DD3" w:rsidRDefault="00256DD3" w:rsidP="00256DD3">
      <w:pPr>
        <w:pStyle w:val="ListParagraph"/>
        <w:numPr>
          <w:ilvl w:val="0"/>
          <w:numId w:val="33"/>
        </w:numPr>
        <w:spacing w:before="0" w:after="0" w:line="240" w:lineRule="auto"/>
      </w:pPr>
      <w:r>
        <w:t>lower-bound 95% confidence interval (CI) for</w:t>
      </w:r>
      <w:r w:rsidR="00112089">
        <w:t xml:space="preserve"> OS HR</w:t>
      </w:r>
      <w:r w:rsidR="00084B81">
        <w:t xml:space="preserve"> (from 0.62 to 0.52)</w:t>
      </w:r>
      <w:r w:rsidR="00112089">
        <w:t xml:space="preserve"> in</w:t>
      </w:r>
      <w:r>
        <w:t xml:space="preserve"> </w:t>
      </w:r>
      <w:r w:rsidRPr="00B26EEC">
        <w:rPr>
          <w:vertAlign w:val="superscript"/>
        </w:rPr>
        <w:t>177</w:t>
      </w:r>
      <w:r>
        <w:t>Lu</w:t>
      </w:r>
      <w:r w:rsidR="007D3192">
        <w:t> </w:t>
      </w:r>
      <w:r>
        <w:t>PSMA i&amp;t vs</w:t>
      </w:r>
      <w:r w:rsidR="0089727D">
        <w:t>.</w:t>
      </w:r>
      <w:r>
        <w:t xml:space="preserve"> best supportive care reduced the ICER to $90,807/QALY</w:t>
      </w:r>
      <w:r w:rsidR="00E77090">
        <w:t xml:space="preserve">. </w:t>
      </w:r>
    </w:p>
    <w:p w14:paraId="200355FB" w14:textId="0B4B6388" w:rsidR="00256DD3" w:rsidRDefault="00256DD3" w:rsidP="00256DD3">
      <w:pPr>
        <w:pStyle w:val="ListParagraph"/>
        <w:numPr>
          <w:ilvl w:val="0"/>
          <w:numId w:val="33"/>
        </w:numPr>
        <w:spacing w:before="0" w:after="0" w:line="240" w:lineRule="auto"/>
      </w:pPr>
      <w:r>
        <w:t xml:space="preserve">upper-bound 95% CI for OS HR (from 0.62 to 0.74) </w:t>
      </w:r>
      <w:r w:rsidR="00814F69">
        <w:t xml:space="preserve">in </w:t>
      </w:r>
      <w:r w:rsidR="00814F69" w:rsidRPr="00343FD2">
        <w:rPr>
          <w:vertAlign w:val="superscript"/>
        </w:rPr>
        <w:t>177</w:t>
      </w:r>
      <w:r w:rsidR="00814F69">
        <w:t xml:space="preserve">Lu PSMA i&amp;t vs best supportive care </w:t>
      </w:r>
      <w:r>
        <w:t>increased the ICER to $156,727/QALY.</w:t>
      </w:r>
    </w:p>
    <w:p w14:paraId="3B063016" w14:textId="3A3E0263" w:rsidR="00256DD3" w:rsidRDefault="00180424" w:rsidP="00256DD3">
      <w:r>
        <w:rPr>
          <w:lang w:val="en-US"/>
        </w:rPr>
        <w:t xml:space="preserve">MSAC also noted that changing the assumed health state utility values had moderate impact to the </w:t>
      </w:r>
      <w:r w:rsidR="00385C18">
        <w:rPr>
          <w:lang w:val="en-US"/>
        </w:rPr>
        <w:t xml:space="preserve">updated base case model </w:t>
      </w:r>
      <w:r>
        <w:rPr>
          <w:lang w:val="en-US"/>
        </w:rPr>
        <w:t xml:space="preserve">ICER ranging from </w:t>
      </w:r>
      <w:r w:rsidRPr="0043188F">
        <w:rPr>
          <w:lang w:val="en-US"/>
        </w:rPr>
        <w:t>$98,832</w:t>
      </w:r>
      <w:r>
        <w:rPr>
          <w:lang w:val="en-US"/>
        </w:rPr>
        <w:t xml:space="preserve"> to </w:t>
      </w:r>
      <w:r w:rsidRPr="00E2437F">
        <w:rPr>
          <w:lang w:val="en-US"/>
        </w:rPr>
        <w:t>$108,711</w:t>
      </w:r>
      <w:r>
        <w:rPr>
          <w:lang w:val="en-US"/>
        </w:rPr>
        <w:t xml:space="preserve">/QALY over the values </w:t>
      </w:r>
      <w:r>
        <w:rPr>
          <w:lang w:val="en-US"/>
        </w:rPr>
        <w:lastRenderedPageBreak/>
        <w:t>tested. I</w:t>
      </w:r>
      <w:r w:rsidR="00022E8A">
        <w:rPr>
          <w:lang w:val="en-US"/>
        </w:rPr>
        <w:t>n</w:t>
      </w:r>
      <w:r w:rsidR="00385C18">
        <w:rPr>
          <w:lang w:val="en-US"/>
        </w:rPr>
        <w:t xml:space="preserve"> </w:t>
      </w:r>
      <w:r w:rsidR="00256DD3">
        <w:t xml:space="preserve">multivariate analyses (using </w:t>
      </w:r>
      <w:r w:rsidR="00BB173C">
        <w:t>a</w:t>
      </w:r>
      <w:r w:rsidR="00AC3A2F">
        <w:t>n</w:t>
      </w:r>
      <w:r w:rsidR="00BB173C">
        <w:t xml:space="preserve"> </w:t>
      </w:r>
      <w:r w:rsidR="00256DD3">
        <w:t>OS HR of 0.52</w:t>
      </w:r>
      <w:r w:rsidR="00BB173C">
        <w:t xml:space="preserve"> in </w:t>
      </w:r>
      <w:r w:rsidR="00BB173C" w:rsidRPr="00343FD2">
        <w:rPr>
          <w:vertAlign w:val="superscript"/>
        </w:rPr>
        <w:t>177</w:t>
      </w:r>
      <w:r w:rsidR="00BB173C">
        <w:t>Lu PSMA i&amp;t vs. best supportive care</w:t>
      </w:r>
      <w:r w:rsidR="00256DD3">
        <w:t>, PFS of 0.86 and progressed disease [PD] of 0.635, based on Magnus et al. 2019)</w:t>
      </w:r>
      <w:r w:rsidR="00BB173C">
        <w:t>, MSAC noted the</w:t>
      </w:r>
      <w:r w:rsidR="00256DD3">
        <w:t xml:space="preserve"> ICER</w:t>
      </w:r>
      <w:r w:rsidR="00220DB3">
        <w:t xml:space="preserve"> reduced</w:t>
      </w:r>
      <w:r w:rsidR="00256DD3">
        <w:t xml:space="preserve"> to $80,129, </w:t>
      </w:r>
      <w:r w:rsidR="00FB74CA">
        <w:t xml:space="preserve">however </w:t>
      </w:r>
      <w:r w:rsidR="00256DD3">
        <w:t>MSAC considered this to be uncertain.</w:t>
      </w:r>
      <w:r w:rsidR="00256DD3" w:rsidRPr="005335C0">
        <w:t xml:space="preserve"> </w:t>
      </w:r>
      <w:r w:rsidR="00256DD3">
        <w:t>MSAC considered that</w:t>
      </w:r>
      <w:r w:rsidR="0084614D">
        <w:t>,</w:t>
      </w:r>
      <w:r w:rsidR="007B79A3">
        <w:t xml:space="preserve"> on balance,</w:t>
      </w:r>
      <w:r w:rsidR="0016587A">
        <w:t xml:space="preserve"> </w:t>
      </w:r>
      <w:r w:rsidR="00256DD3">
        <w:t>the</w:t>
      </w:r>
      <w:r w:rsidR="00B67214">
        <w:t xml:space="preserve"> </w:t>
      </w:r>
      <w:r w:rsidR="00256DD3">
        <w:t xml:space="preserve">ICER would </w:t>
      </w:r>
      <w:r w:rsidR="00C31844">
        <w:t>be</w:t>
      </w:r>
      <w:r w:rsidR="00256DD3">
        <w:t xml:space="preserve"> unlikely </w:t>
      </w:r>
      <w:r w:rsidR="00C31844">
        <w:t xml:space="preserve">to </w:t>
      </w:r>
      <w:r w:rsidR="00256DD3">
        <w:t>be lower than $100,000/QALY</w:t>
      </w:r>
      <w:r w:rsidR="00E11361">
        <w:t xml:space="preserve"> as demonstrated in the additional modelling in the Addendum.</w:t>
      </w:r>
    </w:p>
    <w:p w14:paraId="776F94C7" w14:textId="0D475913" w:rsidR="00256DD3" w:rsidRDefault="00256DD3" w:rsidP="00256DD3">
      <w:r>
        <w:t xml:space="preserve">Overall, </w:t>
      </w:r>
      <w:r w:rsidR="00E61B5F" w:rsidRPr="0039644E">
        <w:rPr>
          <w:iCs/>
        </w:rPr>
        <w:t>MSAC considered that its previous uncertainties regarding the economic analyses had been resolved sufficient for decision making. Despite limitations in the revised economic evaluation</w:t>
      </w:r>
      <w:r w:rsidR="00600A3F">
        <w:rPr>
          <w:iCs/>
        </w:rPr>
        <w:t xml:space="preserve"> (as outlined above)</w:t>
      </w:r>
      <w:r w:rsidR="00E61B5F" w:rsidRPr="0039644E">
        <w:rPr>
          <w:iCs/>
        </w:rPr>
        <w:t>, MSAC was satisfied the ICER range provided</w:t>
      </w:r>
      <w:r w:rsidR="00B55812">
        <w:rPr>
          <w:iCs/>
        </w:rPr>
        <w:t xml:space="preserve"> in the </w:t>
      </w:r>
      <w:r w:rsidR="00F16A7A">
        <w:rPr>
          <w:iCs/>
        </w:rPr>
        <w:t>A</w:t>
      </w:r>
      <w:r w:rsidR="00B55812">
        <w:rPr>
          <w:iCs/>
        </w:rPr>
        <w:t>ddendum</w:t>
      </w:r>
      <w:r w:rsidR="00A00205">
        <w:rPr>
          <w:iCs/>
        </w:rPr>
        <w:t xml:space="preserve"> provided</w:t>
      </w:r>
      <w:r w:rsidR="00E61B5F" w:rsidRPr="0039644E">
        <w:rPr>
          <w:iCs/>
        </w:rPr>
        <w:t xml:space="preserve"> reliable estimates for the upper limit of cost-effectiveness of </w:t>
      </w:r>
      <w:r w:rsidR="00E61B5F" w:rsidRPr="001A0CA7">
        <w:rPr>
          <w:iCs/>
          <w:vertAlign w:val="superscript"/>
        </w:rPr>
        <w:t>177</w:t>
      </w:r>
      <w:r w:rsidR="00E61B5F" w:rsidRPr="0039644E">
        <w:rPr>
          <w:iCs/>
        </w:rPr>
        <w:t>Lu</w:t>
      </w:r>
      <w:r w:rsidR="00E61B5F">
        <w:rPr>
          <w:iCs/>
        </w:rPr>
        <w:t> </w:t>
      </w:r>
      <w:r w:rsidR="00E61B5F" w:rsidRPr="0039644E">
        <w:rPr>
          <w:iCs/>
        </w:rPr>
        <w:t>PSMA</w:t>
      </w:r>
      <w:r w:rsidR="00E61B5F">
        <w:rPr>
          <w:iCs/>
        </w:rPr>
        <w:t> </w:t>
      </w:r>
      <w:r w:rsidR="00E61B5F" w:rsidRPr="0039644E">
        <w:rPr>
          <w:iCs/>
        </w:rPr>
        <w:t>i&amp;t</w:t>
      </w:r>
      <w:r w:rsidR="00E61B5F">
        <w:rPr>
          <w:iCs/>
        </w:rPr>
        <w:t xml:space="preserve"> </w:t>
      </w:r>
      <w:r w:rsidR="00E61B5F" w:rsidRPr="0039644E">
        <w:rPr>
          <w:iCs/>
        </w:rPr>
        <w:t>over its comparators of best supportive care and cabazitaxel. Although the ICER</w:t>
      </w:r>
      <w:r w:rsidR="005B5A77">
        <w:rPr>
          <w:iCs/>
        </w:rPr>
        <w:t xml:space="preserve"> was high</w:t>
      </w:r>
      <w:r w:rsidR="00E61B5F" w:rsidRPr="0039644E">
        <w:rPr>
          <w:iCs/>
        </w:rPr>
        <w:t xml:space="preserve">, MSAC accepted that </w:t>
      </w:r>
      <w:r w:rsidR="00E61B5F" w:rsidRPr="001A0CA7">
        <w:rPr>
          <w:iCs/>
          <w:vertAlign w:val="superscript"/>
        </w:rPr>
        <w:t>177</w:t>
      </w:r>
      <w:r w:rsidR="00E61B5F" w:rsidRPr="0039644E">
        <w:rPr>
          <w:iCs/>
        </w:rPr>
        <w:t>Lu</w:t>
      </w:r>
      <w:r w:rsidR="00E61B5F">
        <w:rPr>
          <w:iCs/>
        </w:rPr>
        <w:t> </w:t>
      </w:r>
      <w:r w:rsidR="00E61B5F" w:rsidRPr="0039644E">
        <w:rPr>
          <w:iCs/>
        </w:rPr>
        <w:t>PSMA</w:t>
      </w:r>
      <w:r w:rsidR="00E61B5F">
        <w:rPr>
          <w:iCs/>
        </w:rPr>
        <w:t> </w:t>
      </w:r>
      <w:r w:rsidR="00E61B5F" w:rsidRPr="0039644E">
        <w:rPr>
          <w:iCs/>
        </w:rPr>
        <w:t>i&amp;t</w:t>
      </w:r>
      <w:r w:rsidR="00E61B5F">
        <w:rPr>
          <w:iCs/>
        </w:rPr>
        <w:t xml:space="preserve"> </w:t>
      </w:r>
      <w:r w:rsidR="00E61B5F" w:rsidRPr="0039644E">
        <w:rPr>
          <w:iCs/>
        </w:rPr>
        <w:t xml:space="preserve">was cost effective in the context of a population with high clinical need, consumer preference for </w:t>
      </w:r>
      <w:r w:rsidR="00E61B5F" w:rsidRPr="001A0CA7">
        <w:rPr>
          <w:iCs/>
          <w:vertAlign w:val="superscript"/>
        </w:rPr>
        <w:t>177</w:t>
      </w:r>
      <w:r w:rsidR="00E61B5F" w:rsidRPr="0039644E">
        <w:rPr>
          <w:iCs/>
        </w:rPr>
        <w:t>Lu</w:t>
      </w:r>
      <w:r w:rsidR="00E61B5F">
        <w:rPr>
          <w:iCs/>
        </w:rPr>
        <w:t> </w:t>
      </w:r>
      <w:r w:rsidR="00E61B5F" w:rsidRPr="0039644E">
        <w:rPr>
          <w:iCs/>
        </w:rPr>
        <w:t xml:space="preserve">PSMA therapy over its comparators and an equity of access issue as some patients are currently paying for the treatment privately or </w:t>
      </w:r>
      <w:r w:rsidR="00136465">
        <w:rPr>
          <w:iCs/>
        </w:rPr>
        <w:t>are receiving the</w:t>
      </w:r>
      <w:r w:rsidR="00136465" w:rsidRPr="0039644E">
        <w:rPr>
          <w:iCs/>
        </w:rPr>
        <w:t xml:space="preserve"> </w:t>
      </w:r>
      <w:r w:rsidR="00E61B5F" w:rsidRPr="0039644E">
        <w:rPr>
          <w:iCs/>
        </w:rPr>
        <w:t xml:space="preserve">treatment funded through the Department of Veterans' Affairs. </w:t>
      </w:r>
      <w:r w:rsidR="006C512E">
        <w:rPr>
          <w:iCs/>
        </w:rPr>
        <w:t xml:space="preserve">In addition, </w:t>
      </w:r>
      <w:r>
        <w:t xml:space="preserve">MSAC </w:t>
      </w:r>
      <w:r w:rsidR="00B50E48">
        <w:t xml:space="preserve">considered that </w:t>
      </w:r>
      <w:r>
        <w:t xml:space="preserve">the total cost per patient for </w:t>
      </w:r>
      <w:r w:rsidRPr="00343FD2">
        <w:rPr>
          <w:vertAlign w:val="superscript"/>
        </w:rPr>
        <w:t>177</w:t>
      </w:r>
      <w:r>
        <w:t>Lu-PSMA i&amp;t in Australia ($30,440)</w:t>
      </w:r>
      <w:r w:rsidR="00681575">
        <w:t xml:space="preserve"> under the proposed treatment regimen</w:t>
      </w:r>
      <w:r>
        <w:t xml:space="preserve"> compare</w:t>
      </w:r>
      <w:r w:rsidR="00765A6D">
        <w:t>d</w:t>
      </w:r>
      <w:r>
        <w:t xml:space="preserve"> favourably to the cost of the treatment overseas. The </w:t>
      </w:r>
      <w:r w:rsidR="00353AEC">
        <w:t xml:space="preserve">driver of the </w:t>
      </w:r>
      <w:r w:rsidR="00916B83">
        <w:t>incremental</w:t>
      </w:r>
      <w:r>
        <w:t xml:space="preserve"> cost is the </w:t>
      </w:r>
      <w:r w:rsidR="00C86251">
        <w:t>cost of the proposed</w:t>
      </w:r>
      <w:r w:rsidR="00353AEC">
        <w:t xml:space="preserve"> </w:t>
      </w:r>
      <w:r>
        <w:t xml:space="preserve">radiopharmaceutical, which MSAC considered </w:t>
      </w:r>
      <w:r w:rsidR="00AC3A2F">
        <w:t xml:space="preserve">is </w:t>
      </w:r>
      <w:r>
        <w:t>unlikely to reduce in the future.</w:t>
      </w:r>
    </w:p>
    <w:p w14:paraId="0EAB9FDD" w14:textId="73C1FE9A" w:rsidR="00256DD3" w:rsidRDefault="00256DD3" w:rsidP="00256DD3">
      <w:r>
        <w:t xml:space="preserve">Regarding the financial impact, MSAC considered that the current estimates appeared more plausible than in previous submissions, although there was </w:t>
      </w:r>
      <w:r w:rsidR="002D7F3E">
        <w:t>some</w:t>
      </w:r>
      <w:r>
        <w:t xml:space="preserve"> uncertainty around the growth in uptake and </w:t>
      </w:r>
      <w:r w:rsidR="00DF6912">
        <w:t xml:space="preserve">MSAC </w:t>
      </w:r>
      <w:r w:rsidR="00A02D5E">
        <w:t>noted</w:t>
      </w:r>
      <w:r w:rsidR="00DF6912">
        <w:t xml:space="preserve"> </w:t>
      </w:r>
      <w:r>
        <w:t xml:space="preserve">it </w:t>
      </w:r>
      <w:r w:rsidR="00A02D5E">
        <w:t xml:space="preserve">may </w:t>
      </w:r>
      <w:r>
        <w:t>be slower than what was modelled. The estimated financial impacts, based on the two-step treatment approach, were as follows:</w:t>
      </w:r>
    </w:p>
    <w:p w14:paraId="6920A7A4" w14:textId="6EA34511" w:rsidR="00256DD3" w:rsidRDefault="00256DD3" w:rsidP="00256DD3">
      <w:pPr>
        <w:pStyle w:val="ListParagraph"/>
        <w:numPr>
          <w:ilvl w:val="0"/>
          <w:numId w:val="34"/>
        </w:numPr>
        <w:spacing w:before="0" w:after="0" w:line="240" w:lineRule="auto"/>
      </w:pPr>
      <w:r>
        <w:t xml:space="preserve">If all eligible patients receive the initial two cycles: $11,990,598 in </w:t>
      </w:r>
      <w:r w:rsidR="00477D25">
        <w:t>Y</w:t>
      </w:r>
      <w:r>
        <w:t xml:space="preserve">ear 1 to $32,012,589 in </w:t>
      </w:r>
      <w:r w:rsidR="00477D25">
        <w:t>Y</w:t>
      </w:r>
      <w:r>
        <w:t>ear 6.</w:t>
      </w:r>
    </w:p>
    <w:p w14:paraId="24CC2DEC" w14:textId="22075FD9" w:rsidR="00256DD3" w:rsidRDefault="00256DD3" w:rsidP="00256DD3">
      <w:pPr>
        <w:pStyle w:val="ListParagraph"/>
        <w:numPr>
          <w:ilvl w:val="0"/>
          <w:numId w:val="34"/>
        </w:numPr>
        <w:spacing w:before="0" w:after="0" w:line="240" w:lineRule="auto"/>
      </w:pPr>
      <w:r>
        <w:t xml:space="preserve">If 69% of eligible patients who respond after two cycles receive a third cycle: $15,874,383 in </w:t>
      </w:r>
      <w:r w:rsidR="00477D25">
        <w:t>Y</w:t>
      </w:r>
      <w:r>
        <w:t xml:space="preserve">ear 1 to $42,381,545 in </w:t>
      </w:r>
      <w:r w:rsidR="00477D25">
        <w:t>Y</w:t>
      </w:r>
      <w:r>
        <w:t>ear 6.</w:t>
      </w:r>
    </w:p>
    <w:p w14:paraId="480A8D6D" w14:textId="3EF886E0" w:rsidR="00256DD3" w:rsidRDefault="00256DD3" w:rsidP="00256DD3">
      <w:pPr>
        <w:pStyle w:val="ListParagraph"/>
        <w:numPr>
          <w:ilvl w:val="0"/>
          <w:numId w:val="34"/>
        </w:numPr>
        <w:spacing w:before="0" w:after="0" w:line="240" w:lineRule="auto"/>
      </w:pPr>
      <w:r>
        <w:t xml:space="preserve">If 34% of eligible patients who respond after two cycles receive a fourth cycle: $17,788,131 in </w:t>
      </w:r>
      <w:r w:rsidR="00477D25">
        <w:t>Y</w:t>
      </w:r>
      <w:r>
        <w:t xml:space="preserve">ear 1 to $47,490,885 in </w:t>
      </w:r>
      <w:r w:rsidR="00477D25">
        <w:t>Y</w:t>
      </w:r>
      <w:r>
        <w:t>ear 6.</w:t>
      </w:r>
    </w:p>
    <w:p w14:paraId="6EC268E8" w14:textId="2493F264" w:rsidR="00F26821" w:rsidRDefault="00F26821" w:rsidP="00443961">
      <w:pPr>
        <w:spacing w:before="240" w:after="0" w:line="240" w:lineRule="auto"/>
      </w:pPr>
      <w:r>
        <w:t xml:space="preserve">Overall, </w:t>
      </w:r>
      <w:r w:rsidRPr="0039644E">
        <w:rPr>
          <w:iCs/>
        </w:rPr>
        <w:t>MSAC considered that its previous uncertainties regarding the financial analyses had been resolved sufficient for decision making</w:t>
      </w:r>
      <w:r>
        <w:t xml:space="preserve">. In </w:t>
      </w:r>
      <w:r w:rsidR="00533F2D">
        <w:t>addition</w:t>
      </w:r>
      <w:r>
        <w:t>, MSAC considered the estimated eligible patient population was relatively small and well defined, so the risk of utilisation beyond the intended population was low.</w:t>
      </w:r>
    </w:p>
    <w:p w14:paraId="14C5125C" w14:textId="7ED728A6" w:rsidR="00295AD6" w:rsidRPr="009B6877" w:rsidRDefault="00256DD3" w:rsidP="00727EC5">
      <w:r>
        <w:t>MSAC recommended that utilisation (including how many cycles patients undergo) and budget impact be reviewed after two years</w:t>
      </w:r>
      <w:r w:rsidR="0031163A">
        <w:t xml:space="preserve"> of commencement of public subsidy</w:t>
      </w:r>
      <w:r>
        <w:t>.</w:t>
      </w:r>
    </w:p>
    <w:p w14:paraId="6710B69D" w14:textId="1FBC7C15" w:rsidR="00772829" w:rsidRDefault="00295AD6" w:rsidP="002A18BE">
      <w:pPr>
        <w:pStyle w:val="Heading2"/>
        <w:numPr>
          <w:ilvl w:val="0"/>
          <w:numId w:val="0"/>
        </w:numPr>
      </w:pPr>
      <w:r>
        <w:t>4</w:t>
      </w:r>
      <w:r w:rsidR="00C36633">
        <w:t>.</w:t>
      </w:r>
      <w:r w:rsidR="00C36633">
        <w:tab/>
      </w:r>
      <w:r w:rsidR="00772829" w:rsidRPr="00CE28E3">
        <w:t>Background</w:t>
      </w:r>
      <w:bookmarkEnd w:id="1"/>
    </w:p>
    <w:p w14:paraId="75B52965" w14:textId="4874D8D8" w:rsidR="009B6877" w:rsidRPr="004D248B" w:rsidRDefault="009B6877" w:rsidP="009B6877">
      <w:pPr>
        <w:tabs>
          <w:tab w:val="left" w:pos="0"/>
        </w:tabs>
      </w:pPr>
      <w:bookmarkStart w:id="3" w:name="_Hlk69734494"/>
      <w:bookmarkStart w:id="4" w:name="_Toc69491417"/>
      <w:r>
        <w:t xml:space="preserve">In its consideration of the original ADAR (MSAC 1686) in July 2022, </w:t>
      </w:r>
      <w:r w:rsidRPr="004D248B">
        <w:t xml:space="preserve">MSAC acknowledged the high clinical need for this population with advanced disease, and the consumer preference for </w:t>
      </w:r>
      <w:r w:rsidRPr="004D248B">
        <w:rPr>
          <w:vertAlign w:val="superscript"/>
        </w:rPr>
        <w:t>177</w:t>
      </w:r>
      <w:r w:rsidRPr="004D248B">
        <w:t>Lu PSMA therapy over its comparators of best supportive care and cabazitaxel</w:t>
      </w:r>
      <w:r>
        <w:t xml:space="preserve"> (</w:t>
      </w:r>
      <w:hyperlink r:id="rId10" w:history="1">
        <w:r w:rsidRPr="006E0707">
          <w:rPr>
            <w:rStyle w:val="Hyperlink"/>
          </w:rPr>
          <w:t>MSAC 1686 PSD July 2022, p.1).</w:t>
        </w:r>
      </w:hyperlink>
      <w:r w:rsidRPr="004D248B">
        <w:t xml:space="preserve"> MSAC accepted the high certainty from the evidence that </w:t>
      </w:r>
      <w:r w:rsidRPr="00AF10ED">
        <w:rPr>
          <w:vertAlign w:val="superscript"/>
        </w:rPr>
        <w:t>177</w:t>
      </w:r>
      <w:r w:rsidRPr="00AF10ED">
        <w:t xml:space="preserve">Lu PSMA i&amp;t </w:t>
      </w:r>
      <w:r w:rsidRPr="004D248B">
        <w:t>therapy is acceptably safe and effective, but that the incremental cost-effectiveness ratio (ICER) was too high and uncertain</w:t>
      </w:r>
      <w:r>
        <w:t xml:space="preserve"> (MSAC 1686 PSD July 2022, p.2)</w:t>
      </w:r>
      <w:r w:rsidRPr="004D248B">
        <w:t xml:space="preserve">. </w:t>
      </w:r>
      <w:bookmarkStart w:id="5" w:name="_Hlk112403684"/>
      <w:r w:rsidRPr="004D248B">
        <w:t xml:space="preserve">Following an update of the modelled results to incorporate </w:t>
      </w:r>
      <w:r>
        <w:t xml:space="preserve">a </w:t>
      </w:r>
      <w:r w:rsidRPr="004D248B">
        <w:t xml:space="preserve">price reduction </w:t>
      </w:r>
      <w:r>
        <w:t>for</w:t>
      </w:r>
      <w:r w:rsidRPr="004D248B">
        <w:t xml:space="preserve"> cabazitaxel, the base case ICER was estimated at $81,653/quality-adjusted life year (QALY) </w:t>
      </w:r>
      <w:r>
        <w:t>over a</w:t>
      </w:r>
      <w:r w:rsidRPr="004D248B">
        <w:t xml:space="preserve"> 10-year time horizon</w:t>
      </w:r>
      <w:r w:rsidRPr="009F2D17">
        <w:t xml:space="preserve">. There have been two further price reductions for cabazitaxel since July 2022. </w:t>
      </w:r>
      <w:r w:rsidR="00936D41">
        <w:t>An essential structural assumption of the original model,</w:t>
      </w:r>
      <w:r w:rsidRPr="004D248B">
        <w:t xml:space="preserve"> stated as one of the key components of the economic evaluation (</w:t>
      </w:r>
      <w:r>
        <w:t xml:space="preserve">MSAC </w:t>
      </w:r>
      <w:r w:rsidRPr="004D248B">
        <w:t>1686 PSD</w:t>
      </w:r>
      <w:r>
        <w:t xml:space="preserve"> July 2022</w:t>
      </w:r>
      <w:r w:rsidRPr="004D248B">
        <w:t>, Table 9, p25</w:t>
      </w:r>
      <w:r>
        <w:t>)</w:t>
      </w:r>
      <w:r w:rsidRPr="004D248B">
        <w:t xml:space="preserve">, </w:t>
      </w:r>
      <w:r w:rsidR="00936D41">
        <w:t xml:space="preserve">is that </w:t>
      </w:r>
      <w:r>
        <w:t xml:space="preserve">only those who remained </w:t>
      </w:r>
      <w:r>
        <w:lastRenderedPageBreak/>
        <w:t xml:space="preserve">progression-free </w:t>
      </w:r>
      <w:r w:rsidRPr="00D27699">
        <w:t>continue</w:t>
      </w:r>
      <w:r>
        <w:t xml:space="preserve">d to </w:t>
      </w:r>
      <w:r w:rsidRPr="00D27699">
        <w:t>receiv</w:t>
      </w:r>
      <w:r>
        <w:t>e</w:t>
      </w:r>
      <w:r w:rsidRPr="00D27699">
        <w:t xml:space="preserve"> </w:t>
      </w:r>
      <w:r w:rsidRPr="00AF10ED">
        <w:rPr>
          <w:vertAlign w:val="superscript"/>
        </w:rPr>
        <w:t>177</w:t>
      </w:r>
      <w:r w:rsidRPr="00AF10ED">
        <w:t>Lu PSMA i&amp;t</w:t>
      </w:r>
      <w:r w:rsidRPr="00D27699">
        <w:t xml:space="preserve"> treatment at each cycle.</w:t>
      </w:r>
      <w:r w:rsidRPr="004D248B">
        <w:t xml:space="preserve"> After considering the strength of the available evidence in relation to comparative safety, clinical effectiveness, cost-effectiveness and total cost, MSAC </w:t>
      </w:r>
      <w:bookmarkEnd w:id="5"/>
      <w:r w:rsidRPr="004D248B">
        <w:t>did not support Application No 1686 (</w:t>
      </w:r>
      <w:r>
        <w:t xml:space="preserve">MSAC </w:t>
      </w:r>
      <w:r w:rsidRPr="004D248B">
        <w:t>1686 PSD</w:t>
      </w:r>
      <w:r>
        <w:t xml:space="preserve"> July 2022, </w:t>
      </w:r>
      <w:r w:rsidRPr="004D248B">
        <w:t>pp.1-2).</w:t>
      </w:r>
    </w:p>
    <w:p w14:paraId="42021113" w14:textId="049856A6" w:rsidR="009B6877" w:rsidRPr="00D27699" w:rsidRDefault="009B6877" w:rsidP="009B6877">
      <w:pPr>
        <w:tabs>
          <w:tab w:val="left" w:pos="0"/>
        </w:tabs>
      </w:pPr>
      <w:r w:rsidRPr="00D27699">
        <w:t xml:space="preserve">The resubmission ADAR (MSAC 1686.1) was considered by MSAC </w:t>
      </w:r>
      <w:r>
        <w:t>in</w:t>
      </w:r>
      <w:r w:rsidRPr="00D27699">
        <w:t xml:space="preserve"> July 2023. Some of the sources of uncertainty, identified by ESC at the time of consideration of the original ADAR, including the overall survival (OS) hazard ratio assumed for cabazitaxel and the time horizon, were at least partially addressed in the modelled economic evaluation in the MSAC 1686.1 ADAR </w:t>
      </w:r>
    </w:p>
    <w:p w14:paraId="7D4CA3F1" w14:textId="39F19EDE" w:rsidR="009B6877" w:rsidRDefault="009B6877" w:rsidP="009B6877">
      <w:r w:rsidRPr="00AF10ED">
        <w:t xml:space="preserve">The MSAC 1686.1 </w:t>
      </w:r>
      <w:r>
        <w:t xml:space="preserve">resubmission </w:t>
      </w:r>
      <w:r w:rsidRPr="00AF10ED">
        <w:t xml:space="preserve">ADAR substantially changed the item descriptor to reflect a new proposed two-step treatment algorithm. While </w:t>
      </w:r>
      <w:r>
        <w:t xml:space="preserve">the </w:t>
      </w:r>
      <w:r w:rsidRPr="00AF10ED">
        <w:t xml:space="preserve">PSMA PET/CT test to determine eligibility for </w:t>
      </w:r>
      <w:r w:rsidRPr="00AF10ED">
        <w:rPr>
          <w:vertAlign w:val="superscript"/>
        </w:rPr>
        <w:t>177</w:t>
      </w:r>
      <w:r w:rsidRPr="00AF10ED">
        <w:t>Lu PSMA i&amp;t treatment remained</w:t>
      </w:r>
      <w:r>
        <w:t xml:space="preserve"> (</w:t>
      </w:r>
      <w:r>
        <w:fldChar w:fldCharType="begin"/>
      </w:r>
      <w:r>
        <w:instrText xml:space="preserve"> REF _Ref124335971 \h  \* MERGEFORMAT </w:instrText>
      </w:r>
      <w:r>
        <w:fldChar w:fldCharType="separate"/>
      </w:r>
      <w:r w:rsidR="00BF6F93" w:rsidRPr="00417C1C">
        <w:t>Table 2</w:t>
      </w:r>
      <w:r>
        <w:fldChar w:fldCharType="end"/>
      </w:r>
      <w:r>
        <w:t>)</w:t>
      </w:r>
      <w:r w:rsidRPr="00AF10ED">
        <w:t xml:space="preserve">, treatment </w:t>
      </w:r>
      <w:r>
        <w:t xml:space="preserve">with </w:t>
      </w:r>
      <w:r w:rsidRPr="0018088A">
        <w:rPr>
          <w:vertAlign w:val="superscript"/>
        </w:rPr>
        <w:t>177</w:t>
      </w:r>
      <w:r w:rsidRPr="00D27699">
        <w:t>Lu</w:t>
      </w:r>
      <w:r>
        <w:t xml:space="preserve"> </w:t>
      </w:r>
      <w:r w:rsidRPr="00D27699">
        <w:t>PSMA i&amp;t</w:t>
      </w:r>
      <w:r w:rsidRPr="00AF10ED">
        <w:t xml:space="preserve"> was separated into two MBS items</w:t>
      </w:r>
      <w:r>
        <w:t xml:space="preserve"> – initial and continuing, see </w:t>
      </w:r>
      <w:r>
        <w:fldChar w:fldCharType="begin"/>
      </w:r>
      <w:r>
        <w:instrText xml:space="preserve"> REF _Ref131631546 \h  \* MERGEFORMAT </w:instrText>
      </w:r>
      <w:r>
        <w:fldChar w:fldCharType="separate"/>
      </w:r>
      <w:r w:rsidR="00BF6F93" w:rsidRPr="00417C1C">
        <w:t>Table 3</w:t>
      </w:r>
      <w:r>
        <w:fldChar w:fldCharType="end"/>
      </w:r>
      <w:r>
        <w:t xml:space="preserve"> and </w:t>
      </w:r>
      <w:r>
        <w:fldChar w:fldCharType="begin"/>
      </w:r>
      <w:r>
        <w:instrText xml:space="preserve"> REF _Ref124340101 \h  \* MERGEFORMAT </w:instrText>
      </w:r>
      <w:r>
        <w:fldChar w:fldCharType="separate"/>
      </w:r>
      <w:r w:rsidR="00BF6F93" w:rsidRPr="00417C1C">
        <w:t>Table 4</w:t>
      </w:r>
      <w:r>
        <w:fldChar w:fldCharType="end"/>
      </w:r>
      <w:r>
        <w:t>, respectively.</w:t>
      </w:r>
    </w:p>
    <w:p w14:paraId="46CFAA13" w14:textId="1EB95EC1" w:rsidR="009B6877" w:rsidRDefault="009B6877" w:rsidP="009B6877">
      <w:pPr>
        <w:tabs>
          <w:tab w:val="left" w:pos="0"/>
        </w:tabs>
      </w:pPr>
      <w:bookmarkStart w:id="6" w:name="_Ref124335970"/>
      <w:r>
        <w:t xml:space="preserve">The two-step approach to eligibility for initial </w:t>
      </w:r>
      <w:r w:rsidRPr="00AF10ED">
        <w:t>(up to a maximum of 2 cycles)</w:t>
      </w:r>
      <w:r>
        <w:t xml:space="preserve"> and continuing </w:t>
      </w:r>
      <w:r w:rsidRPr="00AF10ED">
        <w:t xml:space="preserve">(up to a maximum of 4 cycles) </w:t>
      </w:r>
      <w:r>
        <w:t xml:space="preserve">treatment </w:t>
      </w:r>
      <w:r w:rsidRPr="00AF10ED">
        <w:t>with single-photon emission SPECT/CT performed 24 hours post-infusion for each cycle</w:t>
      </w:r>
      <w:r>
        <w:t>, was b</w:t>
      </w:r>
      <w:r w:rsidRPr="00AF10ED">
        <w:t xml:space="preserve">ased on the results from the Re-SPECT study (a retrospective analysis of a clinical </w:t>
      </w:r>
      <w:r w:rsidRPr="00AF10ED">
        <w:rPr>
          <w:vertAlign w:val="superscript"/>
        </w:rPr>
        <w:t>177</w:t>
      </w:r>
      <w:r w:rsidRPr="00AF10ED">
        <w:t>Lu PSMA i&amp;t treatment program, n=116, Emmett, 2023</w:t>
      </w:r>
      <w:r w:rsidRPr="00A100B4">
        <w:rPr>
          <w:vertAlign w:val="superscript"/>
        </w:rPr>
        <w:footnoteReference w:id="4"/>
      </w:r>
      <w:r w:rsidRPr="00A100B4">
        <w:t>)</w:t>
      </w:r>
      <w:r>
        <w:t xml:space="preserve">. </w:t>
      </w:r>
      <w:r w:rsidRPr="00AF10ED">
        <w:t xml:space="preserve">The results from the Re-SPECT study informed the applicant’s approach to provide continuing </w:t>
      </w:r>
      <w:r w:rsidRPr="00CD5A4F">
        <w:rPr>
          <w:vertAlign w:val="superscript"/>
        </w:rPr>
        <w:t>177</w:t>
      </w:r>
      <w:r w:rsidRPr="00CD5A4F">
        <w:t>Lu</w:t>
      </w:r>
      <w:r>
        <w:t> </w:t>
      </w:r>
      <w:r w:rsidRPr="00CD5A4F">
        <w:t>PSMA</w:t>
      </w:r>
      <w:r>
        <w:t> i&amp;t</w:t>
      </w:r>
      <w:r w:rsidRPr="00AF10ED">
        <w:t xml:space="preserve"> treatment only to patients who did not demonstrate disease progression and ceasing </w:t>
      </w:r>
      <w:r w:rsidRPr="00CD5A4F">
        <w:rPr>
          <w:vertAlign w:val="superscript"/>
        </w:rPr>
        <w:t>177</w:t>
      </w:r>
      <w:r w:rsidRPr="00CD5A4F">
        <w:t>Lu</w:t>
      </w:r>
      <w:r>
        <w:t> </w:t>
      </w:r>
      <w:r w:rsidRPr="00CD5A4F">
        <w:t>PSMA</w:t>
      </w:r>
      <w:r>
        <w:t> i&amp;t</w:t>
      </w:r>
      <w:r w:rsidRPr="00AF10ED">
        <w:t xml:space="preserve"> treatment in patients with early disease progression. MSAC noted ceasing </w:t>
      </w:r>
      <w:r w:rsidRPr="00CD5A4F">
        <w:rPr>
          <w:vertAlign w:val="superscript"/>
        </w:rPr>
        <w:t>177</w:t>
      </w:r>
      <w:r w:rsidRPr="00CD5A4F">
        <w:t>Lu</w:t>
      </w:r>
      <w:r>
        <w:t> </w:t>
      </w:r>
      <w:r w:rsidRPr="00CD5A4F">
        <w:t>PSMA</w:t>
      </w:r>
      <w:r>
        <w:t> i&amp;t</w:t>
      </w:r>
      <w:r w:rsidRPr="00AF10ED">
        <w:t xml:space="preserve"> treatment in patients with disease progression after the second </w:t>
      </w:r>
      <w:r w:rsidRPr="00CD5A4F">
        <w:rPr>
          <w:vertAlign w:val="superscript"/>
        </w:rPr>
        <w:t>177</w:t>
      </w:r>
      <w:r w:rsidRPr="00CD5A4F">
        <w:t>Lu</w:t>
      </w:r>
      <w:r>
        <w:t> </w:t>
      </w:r>
      <w:r w:rsidRPr="00CD5A4F">
        <w:t>PSMA</w:t>
      </w:r>
      <w:r>
        <w:t> i&amp;t</w:t>
      </w:r>
      <w:r w:rsidRPr="00AF10ED">
        <w:t xml:space="preserve"> treatment may give them the opportunity to access alternative, potentially more effective treatment</w:t>
      </w:r>
      <w:r>
        <w:t xml:space="preserve"> </w:t>
      </w:r>
      <w:r w:rsidRPr="00AF10ED">
        <w:t>(MSAC 1686.1 PSD</w:t>
      </w:r>
      <w:r w:rsidR="009A2480">
        <w:rPr>
          <w:rStyle w:val="FootnoteReference"/>
        </w:rPr>
        <w:footnoteReference w:id="5"/>
      </w:r>
      <w:r>
        <w:t xml:space="preserve"> July 2023</w:t>
      </w:r>
      <w:r w:rsidRPr="00AF10ED">
        <w:t>, p.</w:t>
      </w:r>
      <w:r>
        <w:t>4</w:t>
      </w:r>
      <w:r w:rsidRPr="00AF10ED">
        <w:t>)</w:t>
      </w:r>
      <w:r w:rsidRPr="00BC66B1">
        <w:t>.</w:t>
      </w:r>
      <w:r w:rsidRPr="00AF10ED">
        <w:t xml:space="preserve"> The </w:t>
      </w:r>
      <w:r>
        <w:t xml:space="preserve">Re-SPECT </w:t>
      </w:r>
      <w:r w:rsidRPr="00AF10ED">
        <w:t>study found that both serum prostate specific antigen (PSA) response and changes in tumour volume on a SPECT/CT scan could predict how patients responded to treatment after the second dose.</w:t>
      </w:r>
    </w:p>
    <w:p w14:paraId="657ED4C3" w14:textId="66F2AC54" w:rsidR="00AC5C20" w:rsidRPr="00AF10ED" w:rsidRDefault="00AC5C20" w:rsidP="009B6877">
      <w:pPr>
        <w:tabs>
          <w:tab w:val="left" w:pos="0"/>
        </w:tabs>
      </w:pPr>
      <w:r>
        <w:t>ESC considered that the change of the intervention to a two-step approach to treatment based on the Re-SPECT study presumed comparative safety and effectiveness to that previously demonstrated based on the VISION and TheraP trials</w:t>
      </w:r>
      <w:r w:rsidR="00740021" w:rsidRPr="00427B25">
        <w:t>.</w:t>
      </w:r>
      <w:r w:rsidR="00740021" w:rsidRPr="00AF10ED">
        <w:t xml:space="preserve"> </w:t>
      </w:r>
      <w:r w:rsidR="00740021">
        <w:t>There is no clinical evidence to support this presumption.</w:t>
      </w:r>
    </w:p>
    <w:p w14:paraId="27BC7831" w14:textId="77777777" w:rsidR="009B6877" w:rsidRPr="00AF10ED" w:rsidRDefault="009B6877" w:rsidP="009B6877">
      <w:pPr>
        <w:tabs>
          <w:tab w:val="left" w:pos="0"/>
        </w:tabs>
      </w:pPr>
      <w:r w:rsidRPr="00AF10ED">
        <w:t>MSAC noted that this new two-step approach had implications for the economic model</w:t>
      </w:r>
      <w:r>
        <w:t xml:space="preserve"> </w:t>
      </w:r>
      <w:r w:rsidRPr="00AF10ED">
        <w:t>(MSAC 1686.1 PSD</w:t>
      </w:r>
      <w:r>
        <w:t xml:space="preserve"> July 2023</w:t>
      </w:r>
      <w:r w:rsidRPr="00AF10ED">
        <w:t>, p.</w:t>
      </w:r>
      <w:r>
        <w:t>4</w:t>
      </w:r>
      <w:r w:rsidRPr="00AF10ED">
        <w:t xml:space="preserve">). The MSAC 1686.1 resubmission ADAR made a few modifications to the original model </w:t>
      </w:r>
      <w:r>
        <w:t>in the</w:t>
      </w:r>
      <w:r w:rsidRPr="00AF10ED">
        <w:t xml:space="preserve"> MSAC 1686 ADAR, however, none of the changes reflected the proposed two-step treatment algorithm. MSAC noted that the proposed two-step approach to treatment was not captured by the structure of the model</w:t>
      </w:r>
      <w:r>
        <w:t xml:space="preserve"> </w:t>
      </w:r>
      <w:r w:rsidRPr="00AF10ED">
        <w:t>(MSAC 1686.1 PSD</w:t>
      </w:r>
      <w:r>
        <w:t xml:space="preserve"> July 2023</w:t>
      </w:r>
      <w:r w:rsidRPr="00AF10ED">
        <w:t>, p.</w:t>
      </w:r>
      <w:r>
        <w:t>1</w:t>
      </w:r>
      <w:r w:rsidRPr="00AF10ED">
        <w:t>)</w:t>
      </w:r>
      <w:r w:rsidRPr="00BC66B1">
        <w:t>.</w:t>
      </w:r>
      <w:r w:rsidRPr="00AF10ED">
        <w:t xml:space="preserve"> Nevertheless, as explained below, the Commentary to the MSAC 1686.1 resubmission ADAR made the necessary amendments that reflected the two-step approach.</w:t>
      </w:r>
    </w:p>
    <w:p w14:paraId="045BA8C0" w14:textId="6338B95A" w:rsidR="009B6877" w:rsidRPr="00AF10ED" w:rsidRDefault="009B6877" w:rsidP="009B6877">
      <w:pPr>
        <w:tabs>
          <w:tab w:val="left" w:pos="0"/>
        </w:tabs>
      </w:pPr>
      <w:r>
        <w:t>I</w:t>
      </w:r>
      <w:r w:rsidRPr="00AF10ED">
        <w:t xml:space="preserve">t was envisaged that since PSA and SPECT/CT assessment after the second </w:t>
      </w:r>
      <w:r w:rsidRPr="00AF10ED">
        <w:rPr>
          <w:vertAlign w:val="superscript"/>
        </w:rPr>
        <w:t>177</w:t>
      </w:r>
      <w:r w:rsidRPr="00AF10ED">
        <w:t>Lu PSMA i&amp;t dose is capable of identifying “responders” and “non-responders” among the mCRPC population, the size of the population eligible for the continu</w:t>
      </w:r>
      <w:r>
        <w:t>ing</w:t>
      </w:r>
      <w:r w:rsidRPr="00AF10ED">
        <w:t xml:space="preserve"> treatment (up to </w:t>
      </w:r>
      <w:r>
        <w:t xml:space="preserve">a total of </w:t>
      </w:r>
      <w:r w:rsidRPr="00AF10ED">
        <w:t>6 cycles) would be effectively reduced to “responders”, while the treatment of “non-responders” would be limited to the first 2 cycles</w:t>
      </w:r>
      <w:r>
        <w:t>,</w:t>
      </w:r>
      <w:r w:rsidRPr="00AF10ED">
        <w:t xml:space="preserve"> suggesting an associated reduction in the cost of treatment. However, this potential for cost reduction ha</w:t>
      </w:r>
      <w:r>
        <w:t>d</w:t>
      </w:r>
      <w:r w:rsidRPr="00AF10ED">
        <w:t xml:space="preserve"> </w:t>
      </w:r>
      <w:r>
        <w:t xml:space="preserve">already </w:t>
      </w:r>
      <w:r w:rsidRPr="00AF10ED">
        <w:t xml:space="preserve">been fully (albeit implicitly) realised in the original model. </w:t>
      </w:r>
      <w:r w:rsidRPr="00AF10ED">
        <w:lastRenderedPageBreak/>
        <w:t xml:space="preserve">In the partition state model (PSM) paradigm, responders are identified as </w:t>
      </w:r>
      <w:r>
        <w:t xml:space="preserve">being in </w:t>
      </w:r>
      <w:r w:rsidRPr="00AF10ED">
        <w:t>progression-free survi</w:t>
      </w:r>
      <w:r>
        <w:t>val</w:t>
      </w:r>
      <w:r w:rsidRPr="00AF10ED">
        <w:t xml:space="preserve"> (PFS), as opposed to the second of only two independent Kaplan-Meier (K-M) inputs –</w:t>
      </w:r>
      <w:r>
        <w:t xml:space="preserve"> in </w:t>
      </w:r>
      <w:r w:rsidRPr="00AF10ED">
        <w:t>overall surviv</w:t>
      </w:r>
      <w:r>
        <w:t>al</w:t>
      </w:r>
      <w:r w:rsidRPr="00AF10ED">
        <w:t xml:space="preserve"> (OS)</w:t>
      </w:r>
      <w:r w:rsidRPr="00AF10ED">
        <w:rPr>
          <w:rStyle w:val="FootnoteReference"/>
        </w:rPr>
        <w:footnoteReference w:id="6"/>
      </w:r>
      <w:r w:rsidRPr="00AF10ED">
        <w:t>. As emphasised above, in the original model</w:t>
      </w:r>
      <w:r>
        <w:t>,</w:t>
      </w:r>
      <w:r w:rsidRPr="00AF10ED">
        <w:t xml:space="preserve"> only patients in the PFS health state receive</w:t>
      </w:r>
      <w:r>
        <w:t>d</w:t>
      </w:r>
      <w:r w:rsidRPr="00AF10ED">
        <w:t xml:space="preserve"> </w:t>
      </w:r>
      <w:r w:rsidRPr="00AF10ED">
        <w:rPr>
          <w:vertAlign w:val="superscript"/>
        </w:rPr>
        <w:t>177</w:t>
      </w:r>
      <w:r w:rsidRPr="00AF10ED">
        <w:t xml:space="preserve">Lu PSMA i&amp;t treatment in each cycle, starting from the first. It also implies that the </w:t>
      </w:r>
      <w:r>
        <w:rPr>
          <w:vertAlign w:val="superscript"/>
        </w:rPr>
        <w:t>177</w:t>
      </w:r>
      <w:r w:rsidRPr="00AF10ED">
        <w:t>Lu</w:t>
      </w:r>
      <w:r>
        <w:t> </w:t>
      </w:r>
      <w:r w:rsidRPr="00AF10ED">
        <w:t>PSMA</w:t>
      </w:r>
      <w:r>
        <w:t> </w:t>
      </w:r>
      <w:r w:rsidRPr="00AF10ED">
        <w:t>SPECT administered 24 hours after each of the 6-week cycles is used as a disease progression monitoring procedure</w:t>
      </w:r>
      <w:r w:rsidR="00740021">
        <w:t xml:space="preserve"> as well as for clinical decision making, </w:t>
      </w:r>
      <w:r w:rsidR="00740021">
        <w:rPr>
          <w:szCs w:val="28"/>
        </w:rPr>
        <w:t>in particular, the decision to terminate treatment in non-responders</w:t>
      </w:r>
      <w:r w:rsidRPr="00AF10ED">
        <w:t xml:space="preserve">. Indeed, the original </w:t>
      </w:r>
      <w:r>
        <w:t xml:space="preserve">MSAC </w:t>
      </w:r>
      <w:r w:rsidRPr="00AF10ED">
        <w:t xml:space="preserve">1686 ADAR stated </w:t>
      </w:r>
      <w:r>
        <w:t>“[i]</w:t>
      </w:r>
      <w:r w:rsidRPr="00AF10ED">
        <w:t xml:space="preserve">t is expected that in Australian clinical practice, post-treatment SPECT/CT would inform early treatment cessation in those not deriving clinical benefit from </w:t>
      </w:r>
      <w:r w:rsidRPr="00AF10ED">
        <w:rPr>
          <w:vertAlign w:val="superscript"/>
        </w:rPr>
        <w:t>177</w:t>
      </w:r>
      <w:r w:rsidRPr="00AF10ED">
        <w:t>Lu</w:t>
      </w:r>
      <w:r>
        <w:t> </w:t>
      </w:r>
      <w:r w:rsidRPr="00AF10ED">
        <w:t>PSMA treatment thereby preventing unnecessary treatment</w:t>
      </w:r>
      <w:r>
        <w:t>”</w:t>
      </w:r>
      <w:r w:rsidRPr="00AF10ED">
        <w:t xml:space="preserve"> (</w:t>
      </w:r>
      <w:r w:rsidRPr="009F2D17">
        <w:t>MSAC 1686 ADAR, p.102</w:t>
      </w:r>
      <w:r w:rsidRPr="00AF10ED">
        <w:t>).</w:t>
      </w:r>
      <w:r w:rsidR="0079186A">
        <w:t xml:space="preserve"> Subsequently </w:t>
      </w:r>
      <w:r w:rsidR="0079186A" w:rsidRPr="00A75B24">
        <w:t xml:space="preserve">MSAC </w:t>
      </w:r>
      <w:r w:rsidR="0079186A">
        <w:t>confirmed</w:t>
      </w:r>
      <w:r w:rsidR="0079186A" w:rsidRPr="00A75B24">
        <w:t xml:space="preserve"> that SPECT/CT is currently being used in Australian clinical practice following </w:t>
      </w:r>
      <w:r w:rsidR="0079186A" w:rsidRPr="00A75B24">
        <w:rPr>
          <w:vertAlign w:val="superscript"/>
        </w:rPr>
        <w:t>177</w:t>
      </w:r>
      <w:r w:rsidR="0079186A" w:rsidRPr="00A75B24">
        <w:t>Lu PSMA i&amp;t therapy as a baseline for future comparisons, to implement treatment holidays in exceptional responders (which reduces futile radiation exposure and saves these doses, restricted to a maximum of six cycles, for later) and to consider therapy change if there has been significant disease progression</w:t>
      </w:r>
      <w:r w:rsidR="0079186A">
        <w:t xml:space="preserve">. </w:t>
      </w:r>
      <w:r w:rsidR="0079186A" w:rsidRPr="009E10D6">
        <w:t xml:space="preserve">Overall, MSAC considered it appropriate for an MBS item descriptor for the </w:t>
      </w:r>
      <w:r w:rsidR="0079186A" w:rsidRPr="009E10D6">
        <w:rPr>
          <w:vertAlign w:val="superscript"/>
        </w:rPr>
        <w:t>177</w:t>
      </w:r>
      <w:r w:rsidR="0079186A" w:rsidRPr="009E10D6">
        <w:t>Lu PSMA therapy to retain the proposed specification “followed 24 hours later by whole body Lu PSMA single-photon emission computed tomography (SPECT)”</w:t>
      </w:r>
      <w:r w:rsidR="0079186A">
        <w:t xml:space="preserve"> </w:t>
      </w:r>
      <w:r w:rsidR="0079186A" w:rsidRPr="00FD7FB8">
        <w:t xml:space="preserve">(MSAC 1686 PSD </w:t>
      </w:r>
      <w:r w:rsidR="0079186A">
        <w:t xml:space="preserve">July 2022, </w:t>
      </w:r>
      <w:r w:rsidR="0079186A" w:rsidRPr="00FD7FB8">
        <w:t>p.</w:t>
      </w:r>
      <w:r w:rsidR="0079186A">
        <w:t>5</w:t>
      </w:r>
      <w:r w:rsidR="0079186A" w:rsidRPr="00FD7FB8">
        <w:t>)</w:t>
      </w:r>
      <w:r w:rsidR="0079186A">
        <w:t>.</w:t>
      </w:r>
    </w:p>
    <w:p w14:paraId="4B658306" w14:textId="1497CDA8" w:rsidR="009B6877" w:rsidRPr="00791A9E" w:rsidRDefault="009B6877" w:rsidP="009B6877">
      <w:pPr>
        <w:tabs>
          <w:tab w:val="left" w:pos="0"/>
        </w:tabs>
      </w:pPr>
      <w:r w:rsidRPr="00791A9E">
        <w:t xml:space="preserve">The proposed two-step treatment algorithm implies that prior to the assessment for response to treatment, all surviving patients receive at least two </w:t>
      </w:r>
      <w:r w:rsidRPr="00AF10ED">
        <w:rPr>
          <w:vertAlign w:val="superscript"/>
        </w:rPr>
        <w:t>177</w:t>
      </w:r>
      <w:r w:rsidRPr="00AF10ED">
        <w:t xml:space="preserve">Lu PSMA i&amp;t </w:t>
      </w:r>
      <w:r w:rsidRPr="00791A9E">
        <w:t xml:space="preserve">doses. It means, that </w:t>
      </w:r>
      <w:r w:rsidR="00F9793D">
        <w:t>for the first 2 cycles</w:t>
      </w:r>
      <w:r w:rsidRPr="00791A9E">
        <w:t xml:space="preserve">, the cost per 6-week cycle ($8,000) should be assigned not to the proportion of patients in the PFS health state, but to the higher proportion of patients in the OS health state, thus increasing the overall cost of treatment. Since the </w:t>
      </w:r>
      <w:r>
        <w:t>MSAC</w:t>
      </w:r>
      <w:r w:rsidRPr="00791A9E">
        <w:t xml:space="preserve"> 1686.1 </w:t>
      </w:r>
      <w:r>
        <w:t xml:space="preserve">resubmission ADAR </w:t>
      </w:r>
      <w:r w:rsidRPr="00791A9E">
        <w:t xml:space="preserve">did not make this amendment to the model, it was performed by the evaluators and reflected in the Commentary to </w:t>
      </w:r>
      <w:r>
        <w:t xml:space="preserve">the MSAC </w:t>
      </w:r>
      <w:r w:rsidRPr="00791A9E">
        <w:t xml:space="preserve">1686.1 </w:t>
      </w:r>
      <w:r>
        <w:t xml:space="preserve">resubmission </w:t>
      </w:r>
      <w:r w:rsidRPr="00791A9E">
        <w:t xml:space="preserve">ADAR. The OS data for the first 12 weeks from the VISION trial was utilised in order to preserve the integrity of the model that was violated by using patient-level data from two different trials. In particular, the PFS data from the TheraP trial was used exclusively for calculating the cost of </w:t>
      </w:r>
      <w:r w:rsidRPr="00AF10ED">
        <w:rPr>
          <w:vertAlign w:val="superscript"/>
        </w:rPr>
        <w:t>177</w:t>
      </w:r>
      <w:r w:rsidRPr="00AF10ED">
        <w:t xml:space="preserve">Lu PSMA i&amp;t </w:t>
      </w:r>
      <w:r w:rsidRPr="00791A9E">
        <w:t>treatment, while the health benefits and other treatment-related costs were informed by the data from the VISION trial.</w:t>
      </w:r>
    </w:p>
    <w:p w14:paraId="10605CA4" w14:textId="15471D7C" w:rsidR="009B6877" w:rsidRPr="00791A9E" w:rsidRDefault="009B6877" w:rsidP="009B6877">
      <w:pPr>
        <w:tabs>
          <w:tab w:val="left" w:pos="0"/>
        </w:tabs>
      </w:pPr>
      <w:r w:rsidRPr="00791A9E">
        <w:t>To reiterate, to ensure consistency with the two-step approach to treatment</w:t>
      </w:r>
      <w:r>
        <w:t>,</w:t>
      </w:r>
      <w:r w:rsidRPr="00791A9E">
        <w:t xml:space="preserve"> the evaluators </w:t>
      </w:r>
      <w:r>
        <w:t xml:space="preserve">have </w:t>
      </w:r>
      <w:r w:rsidRPr="00791A9E">
        <w:t xml:space="preserve">corrected the model in two ways, albeit simultaneously. Firstly, the unit cost of </w:t>
      </w:r>
      <w:r w:rsidRPr="00AF10ED">
        <w:rPr>
          <w:vertAlign w:val="superscript"/>
        </w:rPr>
        <w:t>177</w:t>
      </w:r>
      <w:r w:rsidRPr="00AF10ED">
        <w:t xml:space="preserve">Lu PSMA i&amp;t </w:t>
      </w:r>
      <w:r w:rsidRPr="00791A9E">
        <w:t xml:space="preserve">treatment </w:t>
      </w:r>
      <w:r>
        <w:t xml:space="preserve">was </w:t>
      </w:r>
      <w:r w:rsidRPr="00791A9E">
        <w:t xml:space="preserve">applied to all surviving patients for the first </w:t>
      </w:r>
      <w:r>
        <w:t>2 cycles</w:t>
      </w:r>
      <w:r w:rsidRPr="00791A9E">
        <w:t xml:space="preserve">. Secondly, OS </w:t>
      </w:r>
      <w:r>
        <w:t xml:space="preserve">data </w:t>
      </w:r>
      <w:r w:rsidRPr="00791A9E">
        <w:t>from the VISION trial was used</w:t>
      </w:r>
      <w:r>
        <w:t xml:space="preserve"> </w:t>
      </w:r>
      <w:r w:rsidRPr="00791A9E">
        <w:t>to ensure, as stated above, that both costs and outcomes were sourced from a single trial. These corrections increased the ICER by 29%</w:t>
      </w:r>
      <w:r w:rsidR="00A410F5">
        <w:t xml:space="preserve"> ($94,936 from $73,622</w:t>
      </w:r>
      <w:r w:rsidR="00D14ED8">
        <w:t xml:space="preserve"> /QALY)</w:t>
      </w:r>
      <w:r w:rsidRPr="00791A9E">
        <w:t>, making it a primary driver of the ICER estimate. The second-largest driver was the choice of treatment-specific, rather than health state-specific, utility values. Note, it was not necessary to change the “structure of the PSM” (in a way it would be evident in the context of a state-transition model, such as Markov) in order to incorporate the two-step approach into the model.</w:t>
      </w:r>
    </w:p>
    <w:p w14:paraId="5BCEC2CA" w14:textId="77777777" w:rsidR="009B6877" w:rsidRPr="00791A9E" w:rsidRDefault="009B6877" w:rsidP="009B6877">
      <w:pPr>
        <w:tabs>
          <w:tab w:val="left" w:pos="0"/>
        </w:tabs>
      </w:pPr>
      <w:r w:rsidRPr="00791A9E">
        <w:t xml:space="preserve">In considering the MSAC 1686.1 resubmission ADAR, MSAC again accepted the evidence that </w:t>
      </w:r>
      <w:r w:rsidRPr="00AF10ED">
        <w:rPr>
          <w:vertAlign w:val="superscript"/>
        </w:rPr>
        <w:t>177</w:t>
      </w:r>
      <w:r w:rsidRPr="00AF10ED">
        <w:t xml:space="preserve">Lu PSMA i&amp;t </w:t>
      </w:r>
      <w:r w:rsidRPr="00791A9E">
        <w:t>therapy is acceptably safe and effective but continued to have concerns that the incremental cost-effectiveness ratio (ICER) was too high and uncertain</w:t>
      </w:r>
      <w:r>
        <w:t xml:space="preserve"> </w:t>
      </w:r>
      <w:r w:rsidRPr="00AF10ED">
        <w:t>(MSAC 1686.1 PSD</w:t>
      </w:r>
      <w:r>
        <w:t xml:space="preserve"> July 2023</w:t>
      </w:r>
      <w:r w:rsidRPr="00AF10ED">
        <w:t>, p.</w:t>
      </w:r>
      <w:r>
        <w:t>1</w:t>
      </w:r>
      <w:r w:rsidRPr="00AF10ED">
        <w:t>)</w:t>
      </w:r>
      <w:r w:rsidRPr="00791A9E">
        <w:t xml:space="preserve">. MSAC deferred its advice and requested that a revised economic evaluation be conducted (referred to as “terms of reference” for this </w:t>
      </w:r>
      <w:r>
        <w:t>fit-for-purpose Department Contracted Assessment Report (</w:t>
      </w:r>
      <w:r w:rsidRPr="00791A9E">
        <w:t>FFP DCAR</w:t>
      </w:r>
      <w:r>
        <w:t>)</w:t>
      </w:r>
      <w:r w:rsidRPr="00791A9E">
        <w:t>):</w:t>
      </w:r>
    </w:p>
    <w:p w14:paraId="2613969A" w14:textId="77777777" w:rsidR="009B6877" w:rsidRPr="00791A9E" w:rsidRDefault="009B6877" w:rsidP="001359E7">
      <w:pPr>
        <w:pStyle w:val="ListParagraph"/>
        <w:numPr>
          <w:ilvl w:val="0"/>
          <w:numId w:val="18"/>
        </w:numPr>
        <w:tabs>
          <w:tab w:val="left" w:pos="0"/>
        </w:tabs>
        <w:ind w:left="284" w:hanging="284"/>
      </w:pPr>
      <w:r w:rsidRPr="00791A9E">
        <w:lastRenderedPageBreak/>
        <w:t xml:space="preserve">with the model structure corrected to capture the two-step approach to treatment (based on the Re-SPECT study) proposed in the MBS items for </w:t>
      </w:r>
      <w:r w:rsidRPr="00791A9E">
        <w:rPr>
          <w:vertAlign w:val="superscript"/>
        </w:rPr>
        <w:t>177</w:t>
      </w:r>
      <w:r w:rsidRPr="00791A9E">
        <w:t>Lu</w:t>
      </w:r>
      <w:r>
        <w:t> </w:t>
      </w:r>
      <w:r w:rsidRPr="00791A9E">
        <w:t>PSMA therapy;</w:t>
      </w:r>
    </w:p>
    <w:p w14:paraId="588555E7" w14:textId="736F6C39" w:rsidR="009B6877" w:rsidRPr="00791A9E" w:rsidRDefault="009B6877" w:rsidP="001359E7">
      <w:pPr>
        <w:pStyle w:val="ListParagraph"/>
        <w:numPr>
          <w:ilvl w:val="0"/>
          <w:numId w:val="18"/>
        </w:numPr>
        <w:tabs>
          <w:tab w:val="left" w:pos="0"/>
        </w:tabs>
        <w:ind w:left="284" w:hanging="284"/>
      </w:pPr>
      <w:r w:rsidRPr="00791A9E">
        <w:t>reduce the uncertainty created in the model by the patient-level data from different trials in the same model for determination of PFS benefits and costs associated with the intervention.</w:t>
      </w:r>
    </w:p>
    <w:p w14:paraId="0E3D7575" w14:textId="27247D02" w:rsidR="009B6877" w:rsidRPr="00791A9E" w:rsidRDefault="009B6877" w:rsidP="009B6877">
      <w:pPr>
        <w:tabs>
          <w:tab w:val="left" w:pos="0"/>
        </w:tabs>
      </w:pPr>
      <w:r w:rsidRPr="00791A9E">
        <w:t>In addition, MSAC requested better justification (or removal) of the selected treatment specific utility weights</w:t>
      </w:r>
      <w:r>
        <w:t xml:space="preserve"> </w:t>
      </w:r>
      <w:r w:rsidRPr="00AF10ED">
        <w:t>(MSAC 1686.1 PSD</w:t>
      </w:r>
      <w:r>
        <w:t xml:space="preserve"> July 2023</w:t>
      </w:r>
      <w:r w:rsidRPr="00AF10ED">
        <w:t>, p.</w:t>
      </w:r>
      <w:r>
        <w:t>2</w:t>
      </w:r>
      <w:r w:rsidRPr="00AF10ED">
        <w:t>)</w:t>
      </w:r>
      <w:r w:rsidRPr="00791A9E">
        <w:t xml:space="preserve">. At the same time, although MSAC had a preference for a more conservative time horizon of 5 years, MSAC considered a </w:t>
      </w:r>
      <w:r w:rsidR="006F092A" w:rsidRPr="00791A9E">
        <w:t>7.5-year</w:t>
      </w:r>
      <w:r w:rsidRPr="00791A9E">
        <w:t xml:space="preserve"> time horizon would likely to be acceptable</w:t>
      </w:r>
      <w:r>
        <w:t xml:space="preserve"> </w:t>
      </w:r>
      <w:r w:rsidRPr="00AF10ED">
        <w:t>(MSAC 1686.1 PSD</w:t>
      </w:r>
      <w:r>
        <w:t xml:space="preserve"> July 2023</w:t>
      </w:r>
      <w:r w:rsidRPr="00AF10ED">
        <w:t>, p.</w:t>
      </w:r>
      <w:r>
        <w:t>6</w:t>
      </w:r>
      <w:r w:rsidRPr="00AF10ED">
        <w:t>)</w:t>
      </w:r>
      <w:r w:rsidRPr="00791A9E">
        <w:t>.</w:t>
      </w:r>
    </w:p>
    <w:p w14:paraId="66CFCA9D" w14:textId="6442CE13" w:rsidR="009B6877" w:rsidRDefault="009B6877" w:rsidP="009B6877">
      <w:pPr>
        <w:pStyle w:val="BodyText"/>
        <w:jc w:val="left"/>
        <w:rPr>
          <w:rFonts w:ascii="Franklin Gothic Book" w:hAnsi="Franklin Gothic Book"/>
        </w:rPr>
      </w:pPr>
      <w:r w:rsidRPr="00791A9E">
        <w:rPr>
          <w:rFonts w:ascii="Franklin Gothic Book" w:hAnsi="Franklin Gothic Book"/>
        </w:rPr>
        <w:t xml:space="preserve">MSAC </w:t>
      </w:r>
      <w:r>
        <w:rPr>
          <w:rFonts w:ascii="Franklin Gothic Book" w:hAnsi="Franklin Gothic Book"/>
        </w:rPr>
        <w:t xml:space="preserve">considered </w:t>
      </w:r>
      <w:r w:rsidRPr="00791A9E">
        <w:rPr>
          <w:rFonts w:ascii="Franklin Gothic Book" w:hAnsi="Franklin Gothic Book"/>
        </w:rPr>
        <w:t xml:space="preserve">that the proposed changes to the model would allow a more accurate estimate for the ICER including whether </w:t>
      </w:r>
      <w:r w:rsidRPr="00AF10ED">
        <w:rPr>
          <w:rFonts w:ascii="Franklin Gothic Book" w:hAnsi="Franklin Gothic Book"/>
          <w:vertAlign w:val="superscript"/>
        </w:rPr>
        <w:t>177</w:t>
      </w:r>
      <w:r w:rsidRPr="00AF10ED">
        <w:rPr>
          <w:rFonts w:ascii="Franklin Gothic Book" w:hAnsi="Franklin Gothic Book"/>
        </w:rPr>
        <w:t xml:space="preserve">Lu PSMA i&amp;t </w:t>
      </w:r>
      <w:r w:rsidRPr="00791A9E">
        <w:rPr>
          <w:rFonts w:ascii="Franklin Gothic Book" w:hAnsi="Franklin Gothic Book"/>
        </w:rPr>
        <w:t xml:space="preserve">therapy was acceptably cost-effective at </w:t>
      </w:r>
      <w:r>
        <w:rPr>
          <w:rFonts w:ascii="Franklin Gothic Book" w:hAnsi="Franklin Gothic Book"/>
        </w:rPr>
        <w:t xml:space="preserve">the </w:t>
      </w:r>
      <w:r w:rsidRPr="00791A9E">
        <w:rPr>
          <w:rFonts w:ascii="Franklin Gothic Book" w:hAnsi="Franklin Gothic Book"/>
        </w:rPr>
        <w:t>proposed price of the therapy</w:t>
      </w:r>
      <w:r>
        <w:rPr>
          <w:rFonts w:ascii="Franklin Gothic Book" w:hAnsi="Franklin Gothic Book"/>
        </w:rPr>
        <w:t xml:space="preserve"> </w:t>
      </w:r>
      <w:r w:rsidRPr="00AF10ED">
        <w:rPr>
          <w:rFonts w:ascii="Franklin Gothic Book" w:hAnsi="Franklin Gothic Book"/>
        </w:rPr>
        <w:t>(MSAC 1686.1 PSD</w:t>
      </w:r>
      <w:r>
        <w:rPr>
          <w:rFonts w:ascii="Franklin Gothic Book" w:hAnsi="Franklin Gothic Book"/>
        </w:rPr>
        <w:t xml:space="preserve"> July 2023</w:t>
      </w:r>
      <w:r w:rsidRPr="00AF10ED">
        <w:rPr>
          <w:rFonts w:ascii="Franklin Gothic Book" w:hAnsi="Franklin Gothic Book"/>
        </w:rPr>
        <w:t>, p.</w:t>
      </w:r>
      <w:r>
        <w:rPr>
          <w:rFonts w:ascii="Franklin Gothic Book" w:hAnsi="Franklin Gothic Book"/>
        </w:rPr>
        <w:t>7</w:t>
      </w:r>
      <w:r w:rsidRPr="00AF10ED">
        <w:rPr>
          <w:rFonts w:ascii="Franklin Gothic Book" w:hAnsi="Franklin Gothic Book"/>
        </w:rPr>
        <w:t>)</w:t>
      </w:r>
      <w:r w:rsidRPr="00791A9E">
        <w:rPr>
          <w:rFonts w:ascii="Franklin Gothic Book" w:hAnsi="Franklin Gothic Book"/>
        </w:rPr>
        <w:t xml:space="preserve">. It was also assumed that the FFP model would still rely on survival data </w:t>
      </w:r>
      <w:r>
        <w:rPr>
          <w:rFonts w:ascii="Franklin Gothic Book" w:hAnsi="Franklin Gothic Book"/>
        </w:rPr>
        <w:t xml:space="preserve">from </w:t>
      </w:r>
      <w:r w:rsidRPr="00791A9E">
        <w:rPr>
          <w:rFonts w:ascii="Franklin Gothic Book" w:hAnsi="Franklin Gothic Book"/>
        </w:rPr>
        <w:t>the VISION trial in tracing the progression of patients.</w:t>
      </w:r>
    </w:p>
    <w:p w14:paraId="0831216A" w14:textId="4AE09352" w:rsidR="00766CD7" w:rsidRDefault="00F9793D" w:rsidP="009B6877">
      <w:pPr>
        <w:pStyle w:val="BodyText"/>
        <w:jc w:val="left"/>
        <w:rPr>
          <w:rFonts w:ascii="Franklin Gothic Book" w:hAnsi="Franklin Gothic Book"/>
        </w:rPr>
        <w:sectPr w:rsidR="00766CD7" w:rsidSect="004B7200">
          <w:footerReference w:type="even" r:id="rId11"/>
          <w:footerReference w:type="default" r:id="rId12"/>
          <w:type w:val="oddPage"/>
          <w:pgSz w:w="11906" w:h="16838"/>
          <w:pgMar w:top="1440" w:right="1440" w:bottom="1440" w:left="1440" w:header="708" w:footer="708" w:gutter="0"/>
          <w:cols w:space="708"/>
          <w:docGrid w:linePitch="360"/>
        </w:sectPr>
      </w:pPr>
      <w:r>
        <w:rPr>
          <w:rFonts w:ascii="Franklin Gothic Book" w:hAnsi="Franklin Gothic Book"/>
        </w:rPr>
        <w:fldChar w:fldCharType="begin"/>
      </w:r>
      <w:r>
        <w:rPr>
          <w:rFonts w:ascii="Franklin Gothic Book" w:hAnsi="Franklin Gothic Book"/>
        </w:rPr>
        <w:instrText xml:space="preserve"> REF _Ref150946620 \h  \* MERGEFORMAT </w:instrText>
      </w:r>
      <w:r>
        <w:rPr>
          <w:rFonts w:ascii="Franklin Gothic Book" w:hAnsi="Franklin Gothic Book"/>
        </w:rPr>
      </w:r>
      <w:r>
        <w:rPr>
          <w:rFonts w:ascii="Franklin Gothic Book" w:hAnsi="Franklin Gothic Book"/>
        </w:rPr>
        <w:fldChar w:fldCharType="separate"/>
      </w:r>
      <w:r w:rsidR="00BF6F93" w:rsidRPr="00417C1C">
        <w:rPr>
          <w:rFonts w:ascii="Franklin Gothic Book" w:hAnsi="Franklin Gothic Book"/>
        </w:rPr>
        <w:t>Table 1</w:t>
      </w:r>
      <w:r>
        <w:rPr>
          <w:rFonts w:ascii="Franklin Gothic Book" w:hAnsi="Franklin Gothic Book"/>
        </w:rPr>
        <w:fldChar w:fldCharType="end"/>
      </w:r>
      <w:r>
        <w:rPr>
          <w:rFonts w:ascii="Franklin Gothic Book" w:hAnsi="Franklin Gothic Book"/>
        </w:rPr>
        <w:t xml:space="preserve"> summarises the key matters of concern.</w:t>
      </w:r>
      <w:r w:rsidR="00766CD7">
        <w:rPr>
          <w:rFonts w:ascii="Franklin Gothic Book" w:hAnsi="Franklin Gothic Book"/>
        </w:rPr>
        <w:t xml:space="preserve">  For </w:t>
      </w:r>
      <w:r w:rsidR="00C30601">
        <w:rPr>
          <w:rFonts w:ascii="Franklin Gothic Book" w:hAnsi="Franklin Gothic Book"/>
        </w:rPr>
        <w:t>completeness,</w:t>
      </w:r>
      <w:r w:rsidR="00766CD7">
        <w:rPr>
          <w:rFonts w:ascii="Franklin Gothic Book" w:hAnsi="Franklin Gothic Book"/>
        </w:rPr>
        <w:t xml:space="preserve"> the key features of the original model (MSAC 1686 ADAR) and the associated matters of concern were added to the </w:t>
      </w:r>
      <w:r w:rsidR="00607E37">
        <w:rPr>
          <w:rFonts w:ascii="Franklin Gothic Book" w:hAnsi="Franklin Gothic Book"/>
        </w:rPr>
        <w:t>t</w:t>
      </w:r>
      <w:r w:rsidR="00766CD7">
        <w:rPr>
          <w:rFonts w:ascii="Franklin Gothic Book" w:hAnsi="Franklin Gothic Book"/>
        </w:rPr>
        <w:t>able.</w:t>
      </w:r>
      <w:r w:rsidR="008F799E">
        <w:rPr>
          <w:rFonts w:ascii="Franklin Gothic Book" w:hAnsi="Franklin Gothic Book"/>
        </w:rPr>
        <w:t xml:space="preserve"> In the original model and in the </w:t>
      </w:r>
      <w:r w:rsidR="00607E37">
        <w:rPr>
          <w:rFonts w:ascii="Franklin Gothic Book" w:hAnsi="Franklin Gothic Book"/>
        </w:rPr>
        <w:t xml:space="preserve">model developed for this </w:t>
      </w:r>
      <w:r w:rsidR="008F799E">
        <w:rPr>
          <w:rFonts w:ascii="Franklin Gothic Book" w:hAnsi="Franklin Gothic Book"/>
        </w:rPr>
        <w:t>FFP DCAR</w:t>
      </w:r>
      <w:r w:rsidR="00607E37">
        <w:rPr>
          <w:rFonts w:ascii="Franklin Gothic Book" w:hAnsi="Franklin Gothic Book"/>
        </w:rPr>
        <w:t>,</w:t>
      </w:r>
      <w:r w:rsidR="008F799E">
        <w:rPr>
          <w:rFonts w:ascii="Franklin Gothic Book" w:hAnsi="Franklin Gothic Book"/>
        </w:rPr>
        <w:t xml:space="preserve"> h</w:t>
      </w:r>
      <w:r w:rsidR="008F799E" w:rsidRPr="008F799E">
        <w:rPr>
          <w:rFonts w:ascii="Franklin Gothic Book" w:hAnsi="Franklin Gothic Book"/>
        </w:rPr>
        <w:t>ealth state allocation over time</w:t>
      </w:r>
      <w:r w:rsidR="008F799E">
        <w:rPr>
          <w:rFonts w:ascii="Franklin Gothic Book" w:hAnsi="Franklin Gothic Book"/>
        </w:rPr>
        <w:t xml:space="preserve"> in </w:t>
      </w:r>
      <w:r w:rsidR="008F799E" w:rsidRPr="00AF10ED">
        <w:rPr>
          <w:rFonts w:ascii="Franklin Gothic Book" w:hAnsi="Franklin Gothic Book"/>
          <w:vertAlign w:val="superscript"/>
        </w:rPr>
        <w:t>177</w:t>
      </w:r>
      <w:r w:rsidR="008F799E" w:rsidRPr="00AF10ED">
        <w:rPr>
          <w:rFonts w:ascii="Franklin Gothic Book" w:hAnsi="Franklin Gothic Book"/>
        </w:rPr>
        <w:t>Lu PSMA i&amp;t</w:t>
      </w:r>
      <w:r w:rsidR="008F799E">
        <w:rPr>
          <w:rFonts w:ascii="Franklin Gothic Book" w:hAnsi="Franklin Gothic Book"/>
        </w:rPr>
        <w:t xml:space="preserve"> arm was</w:t>
      </w:r>
      <w:r w:rsidR="008F799E" w:rsidRPr="008F799E">
        <w:rPr>
          <w:rFonts w:ascii="Franklin Gothic Book" w:hAnsi="Franklin Gothic Book"/>
        </w:rPr>
        <w:t xml:space="preserve"> determined by PFS and OS data sourced from VISION (Sartor et al. 2021</w:t>
      </w:r>
      <w:r w:rsidR="008F799E">
        <w:rPr>
          <w:rStyle w:val="FootnoteReference"/>
          <w:rFonts w:ascii="Franklin Gothic Book" w:hAnsi="Franklin Gothic Book"/>
        </w:rPr>
        <w:footnoteReference w:id="7"/>
      </w:r>
      <w:r w:rsidR="008F799E" w:rsidRPr="008F799E">
        <w:rPr>
          <w:rFonts w:ascii="Franklin Gothic Book" w:hAnsi="Franklin Gothic Book"/>
        </w:rPr>
        <w:t>).</w:t>
      </w:r>
      <w:r w:rsidR="008F799E">
        <w:rPr>
          <w:rFonts w:ascii="Franklin Gothic Book" w:hAnsi="Franklin Gothic Book"/>
        </w:rPr>
        <w:t xml:space="preserve"> </w:t>
      </w:r>
      <w:r w:rsidR="006F1F14">
        <w:rPr>
          <w:rFonts w:ascii="Franklin Gothic Book" w:hAnsi="Franklin Gothic Book"/>
        </w:rPr>
        <w:t xml:space="preserve">The evaluators </w:t>
      </w:r>
      <w:r w:rsidR="008F799E">
        <w:rPr>
          <w:rFonts w:ascii="Franklin Gothic Book" w:hAnsi="Franklin Gothic Book"/>
        </w:rPr>
        <w:t xml:space="preserve">amended </w:t>
      </w:r>
      <w:r w:rsidR="006F1F14">
        <w:rPr>
          <w:rFonts w:ascii="Franklin Gothic Book" w:hAnsi="Franklin Gothic Book"/>
        </w:rPr>
        <w:t xml:space="preserve">the original model (MSAC 1686 ADAR) </w:t>
      </w:r>
      <w:r w:rsidR="008F799E">
        <w:rPr>
          <w:rFonts w:ascii="Franklin Gothic Book" w:hAnsi="Franklin Gothic Book"/>
        </w:rPr>
        <w:t xml:space="preserve">with the updated prices of pharmaceuticals and health services and </w:t>
      </w:r>
      <w:r w:rsidR="00A15B67">
        <w:rPr>
          <w:rFonts w:ascii="Franklin Gothic Book" w:hAnsi="Franklin Gothic Book"/>
        </w:rPr>
        <w:t xml:space="preserve">also </w:t>
      </w:r>
      <w:r w:rsidR="008F799E">
        <w:rPr>
          <w:rFonts w:ascii="Franklin Gothic Book" w:hAnsi="Franklin Gothic Book"/>
        </w:rPr>
        <w:t>include</w:t>
      </w:r>
      <w:r w:rsidR="006F1F14">
        <w:rPr>
          <w:rFonts w:ascii="Franklin Gothic Book" w:hAnsi="Franklin Gothic Book"/>
        </w:rPr>
        <w:t>d</w:t>
      </w:r>
      <w:r w:rsidR="008F799E">
        <w:rPr>
          <w:rFonts w:ascii="Franklin Gothic Book" w:hAnsi="Franklin Gothic Book"/>
        </w:rPr>
        <w:t xml:space="preserve"> the </w:t>
      </w:r>
      <w:r w:rsidR="006F1F14">
        <w:rPr>
          <w:rFonts w:ascii="Franklin Gothic Book" w:hAnsi="Franklin Gothic Book"/>
        </w:rPr>
        <w:t>subsequent MSAC recommendations about time horizon and utility values. However,</w:t>
      </w:r>
      <w:r w:rsidR="006F1F14" w:rsidRPr="006F1F14">
        <w:rPr>
          <w:rFonts w:ascii="Franklin Gothic Book" w:hAnsi="Franklin Gothic Book"/>
        </w:rPr>
        <w:t xml:space="preserve"> </w:t>
      </w:r>
      <w:r w:rsidR="00F75FD9">
        <w:rPr>
          <w:rFonts w:ascii="Franklin Gothic Book" w:hAnsi="Franklin Gothic Book"/>
        </w:rPr>
        <w:t xml:space="preserve">in </w:t>
      </w:r>
      <w:r w:rsidR="006F1F14">
        <w:rPr>
          <w:rFonts w:ascii="Franklin Gothic Book" w:hAnsi="Franklin Gothic Book"/>
        </w:rPr>
        <w:t>the original model</w:t>
      </w:r>
      <w:r w:rsidR="00F75FD9">
        <w:rPr>
          <w:rFonts w:ascii="Franklin Gothic Book" w:hAnsi="Franklin Gothic Book"/>
        </w:rPr>
        <w:t xml:space="preserve"> only those remaining in the PFS health state continue to receive </w:t>
      </w:r>
      <w:r w:rsidR="00F75FD9" w:rsidRPr="00AF10ED">
        <w:rPr>
          <w:rFonts w:ascii="Franklin Gothic Book" w:hAnsi="Franklin Gothic Book"/>
          <w:vertAlign w:val="superscript"/>
        </w:rPr>
        <w:t>177</w:t>
      </w:r>
      <w:r w:rsidR="00F75FD9" w:rsidRPr="00AF10ED">
        <w:rPr>
          <w:rFonts w:ascii="Franklin Gothic Book" w:hAnsi="Franklin Gothic Book"/>
        </w:rPr>
        <w:t>Lu PSMA i&amp;t</w:t>
      </w:r>
      <w:r w:rsidR="00F75FD9">
        <w:rPr>
          <w:rFonts w:ascii="Franklin Gothic Book" w:hAnsi="Franklin Gothic Book"/>
        </w:rPr>
        <w:t xml:space="preserve"> treatment, while progressed patients receive an alternative treatment starting from </w:t>
      </w:r>
      <w:r w:rsidR="00A15B67">
        <w:rPr>
          <w:rFonts w:ascii="Franklin Gothic Book" w:hAnsi="Franklin Gothic Book"/>
        </w:rPr>
        <w:t xml:space="preserve">the first cycle. This assumption </w:t>
      </w:r>
      <w:r w:rsidR="006F1F14">
        <w:rPr>
          <w:rFonts w:ascii="Franklin Gothic Book" w:hAnsi="Franklin Gothic Book"/>
        </w:rPr>
        <w:t xml:space="preserve">is </w:t>
      </w:r>
      <w:r w:rsidR="008F696C">
        <w:rPr>
          <w:rFonts w:ascii="Franklin Gothic Book" w:hAnsi="Franklin Gothic Book"/>
        </w:rPr>
        <w:t>in</w:t>
      </w:r>
      <w:r w:rsidR="006F1F14">
        <w:rPr>
          <w:rFonts w:ascii="Franklin Gothic Book" w:hAnsi="Franklin Gothic Book"/>
        </w:rPr>
        <w:t xml:space="preserve">consistent with the two-step treatment algorithm requested in the terms of reference for the </w:t>
      </w:r>
      <w:r w:rsidR="00607E37">
        <w:rPr>
          <w:rFonts w:ascii="Franklin Gothic Book" w:hAnsi="Franklin Gothic Book"/>
        </w:rPr>
        <w:t xml:space="preserve">MSAC </w:t>
      </w:r>
      <w:r w:rsidR="006F1F14">
        <w:rPr>
          <w:rFonts w:ascii="Franklin Gothic Book" w:hAnsi="Franklin Gothic Book"/>
        </w:rPr>
        <w:t xml:space="preserve">1686.1 FFP DCAR. </w:t>
      </w:r>
    </w:p>
    <w:p w14:paraId="1B1D3D87" w14:textId="785B8B76" w:rsidR="00813D6C" w:rsidRPr="00F465E6" w:rsidRDefault="00813D6C" w:rsidP="00813D6C">
      <w:pPr>
        <w:pStyle w:val="Caption"/>
      </w:pPr>
      <w:bookmarkStart w:id="7" w:name="_Ref150946620"/>
      <w:r w:rsidRPr="00F465E6">
        <w:lastRenderedPageBreak/>
        <w:t xml:space="preserve">Table </w:t>
      </w:r>
      <w:r w:rsidR="004D6242">
        <w:fldChar w:fldCharType="begin"/>
      </w:r>
      <w:r w:rsidR="004D6242">
        <w:instrText xml:space="preserve"> SEQ Table \* ARABIC </w:instrText>
      </w:r>
      <w:r w:rsidR="004D6242">
        <w:fldChar w:fldCharType="separate"/>
      </w:r>
      <w:r w:rsidR="00BF6F93">
        <w:rPr>
          <w:noProof/>
        </w:rPr>
        <w:t>1</w:t>
      </w:r>
      <w:r w:rsidR="004D6242">
        <w:rPr>
          <w:noProof/>
        </w:rPr>
        <w:fldChar w:fldCharType="end"/>
      </w:r>
      <w:bookmarkEnd w:id="6"/>
      <w:bookmarkEnd w:id="7"/>
      <w:r w:rsidRPr="00F465E6">
        <w:tab/>
        <w:t>Summary of key matters of concern</w:t>
      </w:r>
    </w:p>
    <w:tbl>
      <w:tblPr>
        <w:tblStyle w:val="TableGrid"/>
        <w:tblW w:w="5000" w:type="pct"/>
        <w:tblLook w:val="04A0" w:firstRow="1" w:lastRow="0" w:firstColumn="1" w:lastColumn="0" w:noHBand="0" w:noVBand="1"/>
      </w:tblPr>
      <w:tblGrid>
        <w:gridCol w:w="1175"/>
        <w:gridCol w:w="4742"/>
        <w:gridCol w:w="3152"/>
        <w:gridCol w:w="2692"/>
        <w:gridCol w:w="2187"/>
      </w:tblGrid>
      <w:tr w:rsidR="00B00B71" w:rsidRPr="007E1A8D" w14:paraId="7991C4BC" w14:textId="77777777" w:rsidTr="00B00B71">
        <w:tc>
          <w:tcPr>
            <w:tcW w:w="421" w:type="pct"/>
          </w:tcPr>
          <w:p w14:paraId="4BCE2A96" w14:textId="77777777" w:rsidR="002D5597" w:rsidRPr="007E1A8D" w:rsidRDefault="002D5597">
            <w:pPr>
              <w:pStyle w:val="TableH29pt"/>
              <w:rPr>
                <w:rFonts w:ascii="Arial Narrow" w:hAnsi="Arial Narrow"/>
                <w:sz w:val="20"/>
                <w:szCs w:val="22"/>
              </w:rPr>
            </w:pPr>
            <w:r w:rsidRPr="007E1A8D">
              <w:rPr>
                <w:rFonts w:ascii="Arial Narrow" w:hAnsi="Arial Narrow"/>
                <w:sz w:val="20"/>
                <w:szCs w:val="22"/>
              </w:rPr>
              <w:t>Component</w:t>
            </w:r>
          </w:p>
        </w:tc>
        <w:tc>
          <w:tcPr>
            <w:tcW w:w="1700" w:type="pct"/>
          </w:tcPr>
          <w:p w14:paraId="56290987" w14:textId="05CDFE3D" w:rsidR="002D5597" w:rsidRPr="007E1A8D" w:rsidRDefault="002D5597">
            <w:pPr>
              <w:pStyle w:val="TableH29pt"/>
              <w:rPr>
                <w:rFonts w:ascii="Arial Narrow" w:hAnsi="Arial Narrow"/>
                <w:sz w:val="20"/>
                <w:szCs w:val="22"/>
              </w:rPr>
            </w:pPr>
            <w:r w:rsidRPr="007E1A8D">
              <w:rPr>
                <w:rFonts w:ascii="Arial Narrow" w:hAnsi="Arial Narrow"/>
                <w:sz w:val="20"/>
                <w:szCs w:val="22"/>
              </w:rPr>
              <w:t>Matter of concern</w:t>
            </w:r>
            <w:r>
              <w:rPr>
                <w:rFonts w:ascii="Arial Narrow" w:hAnsi="Arial Narrow"/>
                <w:sz w:val="20"/>
                <w:szCs w:val="22"/>
              </w:rPr>
              <w:t xml:space="preserve"> raised by MSAC in July 2022</w:t>
            </w:r>
            <w:r w:rsidR="00211A27">
              <w:rPr>
                <w:rFonts w:ascii="Arial Narrow" w:hAnsi="Arial Narrow"/>
                <w:sz w:val="20"/>
                <w:szCs w:val="22"/>
              </w:rPr>
              <w:t xml:space="preserve"> in relation to </w:t>
            </w:r>
            <w:r w:rsidR="00C031B7">
              <w:rPr>
                <w:rFonts w:ascii="Arial Narrow" w:hAnsi="Arial Narrow"/>
                <w:sz w:val="20"/>
                <w:szCs w:val="22"/>
              </w:rPr>
              <w:t xml:space="preserve">1686 </w:t>
            </w:r>
            <w:r w:rsidR="00211A27">
              <w:rPr>
                <w:rFonts w:ascii="Arial Narrow" w:hAnsi="Arial Narrow"/>
                <w:sz w:val="20"/>
                <w:szCs w:val="22"/>
              </w:rPr>
              <w:t>ADAR (original submission)</w:t>
            </w:r>
          </w:p>
        </w:tc>
        <w:tc>
          <w:tcPr>
            <w:tcW w:w="1130" w:type="pct"/>
          </w:tcPr>
          <w:p w14:paraId="37A8FDE1" w14:textId="34E106DD" w:rsidR="002D5597" w:rsidRPr="007E1A8D" w:rsidRDefault="002D5597">
            <w:pPr>
              <w:pStyle w:val="TableH29pt"/>
              <w:rPr>
                <w:rFonts w:ascii="Arial Narrow" w:hAnsi="Arial Narrow"/>
                <w:sz w:val="20"/>
                <w:szCs w:val="22"/>
              </w:rPr>
            </w:pPr>
            <w:r>
              <w:rPr>
                <w:rFonts w:ascii="Arial Narrow" w:hAnsi="Arial Narrow"/>
                <w:sz w:val="20"/>
                <w:szCs w:val="22"/>
              </w:rPr>
              <w:t xml:space="preserve">Whether the FFP DCAR amendments addresses it </w:t>
            </w:r>
          </w:p>
        </w:tc>
        <w:tc>
          <w:tcPr>
            <w:tcW w:w="965" w:type="pct"/>
          </w:tcPr>
          <w:p w14:paraId="3F44AA13" w14:textId="1EC96656" w:rsidR="002D5597" w:rsidRPr="007E1A8D" w:rsidRDefault="002D5597">
            <w:pPr>
              <w:pStyle w:val="TableH29pt"/>
              <w:rPr>
                <w:rFonts w:ascii="Arial Narrow" w:hAnsi="Arial Narrow"/>
                <w:sz w:val="20"/>
                <w:szCs w:val="22"/>
              </w:rPr>
            </w:pPr>
            <w:r w:rsidRPr="007E1A8D">
              <w:rPr>
                <w:rFonts w:ascii="Arial Narrow" w:hAnsi="Arial Narrow"/>
                <w:sz w:val="20"/>
                <w:szCs w:val="22"/>
              </w:rPr>
              <w:t>Matter of concern</w:t>
            </w:r>
            <w:r>
              <w:rPr>
                <w:rFonts w:ascii="Arial Narrow" w:hAnsi="Arial Narrow"/>
                <w:sz w:val="20"/>
                <w:szCs w:val="22"/>
              </w:rPr>
              <w:t xml:space="preserve"> raised by MSAC in July 2023</w:t>
            </w:r>
            <w:r w:rsidR="00211A27">
              <w:rPr>
                <w:rFonts w:ascii="Arial Narrow" w:hAnsi="Arial Narrow"/>
                <w:sz w:val="20"/>
                <w:szCs w:val="22"/>
              </w:rPr>
              <w:t xml:space="preserve"> in relation to </w:t>
            </w:r>
            <w:r w:rsidR="00C031B7">
              <w:rPr>
                <w:rFonts w:ascii="Arial Narrow" w:hAnsi="Arial Narrow"/>
                <w:sz w:val="20"/>
                <w:szCs w:val="22"/>
              </w:rPr>
              <w:t xml:space="preserve">1686.1 </w:t>
            </w:r>
            <w:r w:rsidR="00211A27">
              <w:rPr>
                <w:rFonts w:ascii="Arial Narrow" w:hAnsi="Arial Narrow"/>
                <w:sz w:val="20"/>
                <w:szCs w:val="22"/>
              </w:rPr>
              <w:t>ADAR (resubmission)</w:t>
            </w:r>
          </w:p>
        </w:tc>
        <w:tc>
          <w:tcPr>
            <w:tcW w:w="784" w:type="pct"/>
          </w:tcPr>
          <w:p w14:paraId="483D7A83" w14:textId="717B855E" w:rsidR="002D5597" w:rsidRPr="007E1A8D" w:rsidRDefault="002D5597">
            <w:pPr>
              <w:pStyle w:val="TableH29pt"/>
              <w:rPr>
                <w:rFonts w:ascii="Arial Narrow" w:hAnsi="Arial Narrow"/>
                <w:sz w:val="20"/>
                <w:szCs w:val="22"/>
              </w:rPr>
            </w:pPr>
            <w:r w:rsidRPr="007E1A8D">
              <w:rPr>
                <w:rFonts w:ascii="Arial Narrow" w:hAnsi="Arial Narrow"/>
                <w:sz w:val="20"/>
                <w:szCs w:val="22"/>
              </w:rPr>
              <w:t xml:space="preserve">How the current </w:t>
            </w:r>
            <w:r>
              <w:rPr>
                <w:rFonts w:ascii="Arial Narrow" w:hAnsi="Arial Narrow"/>
                <w:sz w:val="20"/>
                <w:szCs w:val="22"/>
              </w:rPr>
              <w:t>FFP</w:t>
            </w:r>
            <w:r w:rsidRPr="007E1A8D" w:rsidDel="005F7165">
              <w:rPr>
                <w:rFonts w:ascii="Arial Narrow" w:hAnsi="Arial Narrow"/>
                <w:sz w:val="20"/>
                <w:szCs w:val="22"/>
              </w:rPr>
              <w:t xml:space="preserve"> </w:t>
            </w:r>
            <w:r>
              <w:rPr>
                <w:rFonts w:ascii="Arial Narrow" w:hAnsi="Arial Narrow"/>
                <w:sz w:val="20"/>
                <w:szCs w:val="22"/>
              </w:rPr>
              <w:t xml:space="preserve">DCAR </w:t>
            </w:r>
            <w:r w:rsidRPr="007E1A8D">
              <w:rPr>
                <w:rFonts w:ascii="Arial Narrow" w:hAnsi="Arial Narrow"/>
                <w:sz w:val="20"/>
                <w:szCs w:val="22"/>
              </w:rPr>
              <w:t>addresses it</w:t>
            </w:r>
            <w:r>
              <w:rPr>
                <w:rFonts w:ascii="Arial Narrow" w:hAnsi="Arial Narrow"/>
                <w:sz w:val="20"/>
                <w:szCs w:val="22"/>
              </w:rPr>
              <w:t xml:space="preserve"> </w:t>
            </w:r>
          </w:p>
        </w:tc>
      </w:tr>
      <w:tr w:rsidR="00B00B71" w:rsidRPr="007E1A8D" w14:paraId="7D3AA8DB" w14:textId="77777777" w:rsidTr="00B00B71">
        <w:tc>
          <w:tcPr>
            <w:tcW w:w="421" w:type="pct"/>
          </w:tcPr>
          <w:p w14:paraId="5709A616" w14:textId="48319693" w:rsidR="002D5597" w:rsidRPr="007E1A8D" w:rsidRDefault="002D5597">
            <w:pPr>
              <w:pStyle w:val="Tabletext9pt"/>
              <w:rPr>
                <w:rFonts w:ascii="Arial Narrow" w:hAnsi="Arial Narrow"/>
                <w:sz w:val="20"/>
                <w:szCs w:val="22"/>
              </w:rPr>
            </w:pPr>
            <w:r w:rsidRPr="007E1A8D">
              <w:rPr>
                <w:rFonts w:ascii="Arial Narrow" w:hAnsi="Arial Narrow"/>
                <w:sz w:val="20"/>
                <w:szCs w:val="22"/>
              </w:rPr>
              <w:t>Cost-effectiveness</w:t>
            </w:r>
            <w:r w:rsidR="00B00B71">
              <w:rPr>
                <w:rFonts w:ascii="Arial Narrow" w:hAnsi="Arial Narrow"/>
                <w:sz w:val="20"/>
                <w:szCs w:val="22"/>
              </w:rPr>
              <w:t xml:space="preserve"> analysis (CEA)</w:t>
            </w:r>
          </w:p>
        </w:tc>
        <w:tc>
          <w:tcPr>
            <w:tcW w:w="1700" w:type="pct"/>
          </w:tcPr>
          <w:p w14:paraId="10D69B2C" w14:textId="77777777" w:rsidR="002D5597" w:rsidRDefault="00211A27" w:rsidP="008076DA">
            <w:pPr>
              <w:pStyle w:val="Tabletext9pt"/>
              <w:rPr>
                <w:rFonts w:ascii="Arial Narrow" w:hAnsi="Arial Narrow"/>
                <w:sz w:val="20"/>
                <w:szCs w:val="22"/>
              </w:rPr>
            </w:pPr>
            <w:r w:rsidRPr="00211A27">
              <w:rPr>
                <w:rFonts w:ascii="Arial Narrow" w:hAnsi="Arial Narrow"/>
                <w:sz w:val="20"/>
                <w:szCs w:val="22"/>
              </w:rPr>
              <w:t xml:space="preserve">MSAC accepted the high certainty from the evidence that </w:t>
            </w:r>
            <w:r w:rsidRPr="00B00B71">
              <w:rPr>
                <w:rFonts w:ascii="Arial Narrow" w:hAnsi="Arial Narrow"/>
                <w:szCs w:val="18"/>
                <w:vertAlign w:val="superscript"/>
              </w:rPr>
              <w:t>177</w:t>
            </w:r>
            <w:r w:rsidRPr="00211A27">
              <w:rPr>
                <w:rFonts w:ascii="Arial Narrow" w:hAnsi="Arial Narrow"/>
                <w:sz w:val="20"/>
                <w:szCs w:val="22"/>
              </w:rPr>
              <w:t>Lu PSMA i&amp;t therapy is acceptably safe and effective, but that the ICER was too high and uncertain</w:t>
            </w:r>
            <w:r>
              <w:rPr>
                <w:rFonts w:ascii="Arial Narrow" w:hAnsi="Arial Narrow"/>
                <w:sz w:val="20"/>
                <w:szCs w:val="22"/>
              </w:rPr>
              <w:t xml:space="preserve">. </w:t>
            </w:r>
            <w:r w:rsidRPr="00211A27">
              <w:rPr>
                <w:rFonts w:ascii="Arial Narrow" w:hAnsi="Arial Narrow"/>
                <w:sz w:val="20"/>
                <w:szCs w:val="22"/>
              </w:rPr>
              <w:t xml:space="preserve">MSAC noted that in the TheraP trial, patient reported outcomes and quality of life were better with </w:t>
            </w:r>
            <w:r w:rsidRPr="00B00B71">
              <w:rPr>
                <w:rFonts w:ascii="Arial Narrow" w:hAnsi="Arial Narrow"/>
                <w:szCs w:val="18"/>
                <w:vertAlign w:val="superscript"/>
              </w:rPr>
              <w:t>177</w:t>
            </w:r>
            <w:r w:rsidRPr="00211A27">
              <w:rPr>
                <w:rFonts w:ascii="Arial Narrow" w:hAnsi="Arial Narrow"/>
                <w:sz w:val="20"/>
                <w:szCs w:val="22"/>
              </w:rPr>
              <w:t xml:space="preserve">Lu PSMA-617 than cabazitaxel, suggesting that the utility of PFS should be higher with </w:t>
            </w:r>
            <w:r w:rsidRPr="00B00B71">
              <w:rPr>
                <w:rFonts w:ascii="Arial Narrow" w:hAnsi="Arial Narrow"/>
                <w:szCs w:val="18"/>
                <w:vertAlign w:val="superscript"/>
              </w:rPr>
              <w:t>177</w:t>
            </w:r>
            <w:r w:rsidRPr="00211A27">
              <w:rPr>
                <w:rFonts w:ascii="Arial Narrow" w:hAnsi="Arial Narrow"/>
                <w:sz w:val="20"/>
                <w:szCs w:val="22"/>
              </w:rPr>
              <w:t>Lu PSMA i&amp;t than cabazitaxel.</w:t>
            </w:r>
          </w:p>
          <w:p w14:paraId="58753285" w14:textId="77777777" w:rsidR="0013658E" w:rsidRDefault="0013658E" w:rsidP="008076DA">
            <w:pPr>
              <w:pStyle w:val="Tabletext9pt"/>
              <w:rPr>
                <w:rFonts w:ascii="Arial Narrow" w:hAnsi="Arial Narrow"/>
                <w:sz w:val="20"/>
                <w:szCs w:val="22"/>
              </w:rPr>
            </w:pPr>
            <w:r w:rsidRPr="0013658E">
              <w:rPr>
                <w:rFonts w:ascii="Arial Narrow" w:hAnsi="Arial Narrow"/>
                <w:sz w:val="20"/>
                <w:szCs w:val="22"/>
              </w:rPr>
              <w:t>MSAC noted that</w:t>
            </w:r>
            <w:r w:rsidR="00C031B7">
              <w:rPr>
                <w:rFonts w:ascii="Arial Narrow" w:hAnsi="Arial Narrow"/>
                <w:sz w:val="20"/>
                <w:szCs w:val="22"/>
              </w:rPr>
              <w:t>…</w:t>
            </w:r>
            <w:r w:rsidRPr="0013658E">
              <w:rPr>
                <w:rFonts w:ascii="Arial Narrow" w:hAnsi="Arial Narrow"/>
                <w:sz w:val="20"/>
                <w:szCs w:val="22"/>
              </w:rPr>
              <w:t xml:space="preserve"> </w:t>
            </w:r>
            <w:r w:rsidR="00C031B7">
              <w:rPr>
                <w:rFonts w:ascii="Arial Narrow" w:hAnsi="Arial Narrow"/>
                <w:sz w:val="20"/>
                <w:szCs w:val="22"/>
              </w:rPr>
              <w:t>[t]</w:t>
            </w:r>
            <w:r w:rsidRPr="0013658E">
              <w:rPr>
                <w:rFonts w:ascii="Arial Narrow" w:hAnsi="Arial Narrow"/>
                <w:sz w:val="20"/>
                <w:szCs w:val="22"/>
              </w:rPr>
              <w:t xml:space="preserve">he first </w:t>
            </w:r>
            <w:r w:rsidR="00C031B7">
              <w:rPr>
                <w:rFonts w:ascii="Arial Narrow" w:hAnsi="Arial Narrow"/>
                <w:sz w:val="20"/>
                <w:szCs w:val="22"/>
              </w:rPr>
              <w:t xml:space="preserve">driver </w:t>
            </w:r>
            <w:r w:rsidRPr="0013658E">
              <w:rPr>
                <w:rFonts w:ascii="Arial Narrow" w:hAnsi="Arial Narrow"/>
                <w:sz w:val="20"/>
                <w:szCs w:val="22"/>
              </w:rPr>
              <w:t xml:space="preserve">was cabazitaxel OS, which the ADAR assumed to be the same as the OS hazard ratio (HR) of </w:t>
            </w:r>
            <w:r w:rsidRPr="00B00B71">
              <w:rPr>
                <w:rFonts w:ascii="Arial Narrow" w:hAnsi="Arial Narrow"/>
                <w:szCs w:val="18"/>
                <w:vertAlign w:val="superscript"/>
              </w:rPr>
              <w:t>177</w:t>
            </w:r>
            <w:r w:rsidRPr="0013658E">
              <w:rPr>
                <w:rFonts w:ascii="Arial Narrow" w:hAnsi="Arial Narrow"/>
                <w:sz w:val="20"/>
                <w:szCs w:val="22"/>
              </w:rPr>
              <w:t>Lu PSMA-617 versus best supportive care (HR=0.62). The second key driver was extrapolation, where the treatment effect continued beyond 20.9 months in the trial period for up to 10 years. The third key driver was the time horizon, which was 10 years in the base case.</w:t>
            </w:r>
          </w:p>
          <w:p w14:paraId="0B3E1FCA" w14:textId="379CA1D9" w:rsidR="00C031B7" w:rsidRPr="007E1A8D" w:rsidRDefault="00C031B7" w:rsidP="008076DA">
            <w:pPr>
              <w:pStyle w:val="Tabletext9pt"/>
              <w:rPr>
                <w:rFonts w:ascii="Arial Narrow" w:hAnsi="Arial Narrow"/>
                <w:sz w:val="20"/>
                <w:szCs w:val="22"/>
              </w:rPr>
            </w:pPr>
            <w:r w:rsidRPr="00C031B7">
              <w:rPr>
                <w:rFonts w:ascii="Arial Narrow" w:hAnsi="Arial Narrow"/>
                <w:sz w:val="20"/>
                <w:szCs w:val="22"/>
              </w:rPr>
              <w:t xml:space="preserve">Weighted comparator </w:t>
            </w:r>
            <w:r>
              <w:rPr>
                <w:rFonts w:ascii="Arial Narrow" w:hAnsi="Arial Narrow"/>
                <w:sz w:val="20"/>
                <w:szCs w:val="22"/>
              </w:rPr>
              <w:t>included</w:t>
            </w:r>
            <w:r w:rsidRPr="00C031B7">
              <w:rPr>
                <w:rFonts w:ascii="Arial Narrow" w:hAnsi="Arial Narrow"/>
                <w:sz w:val="20"/>
                <w:szCs w:val="22"/>
              </w:rPr>
              <w:t xml:space="preserve"> 75% cabazitaxel and 25% BS</w:t>
            </w:r>
            <w:r w:rsidR="00BE15C5">
              <w:rPr>
                <w:rFonts w:ascii="Arial Narrow" w:hAnsi="Arial Narrow"/>
                <w:sz w:val="20"/>
                <w:szCs w:val="22"/>
              </w:rPr>
              <w:t>c</w:t>
            </w:r>
            <w:r w:rsidR="008F696C">
              <w:rPr>
                <w:rFonts w:ascii="Arial Narrow" w:hAnsi="Arial Narrow"/>
                <w:sz w:val="20"/>
                <w:szCs w:val="22"/>
              </w:rPr>
              <w:t>.</w:t>
            </w:r>
          </w:p>
        </w:tc>
        <w:tc>
          <w:tcPr>
            <w:tcW w:w="1130" w:type="pct"/>
          </w:tcPr>
          <w:p w14:paraId="1A726DE1" w14:textId="4C540852" w:rsidR="002D5597" w:rsidRDefault="00B00B71" w:rsidP="008076DA">
            <w:pPr>
              <w:pStyle w:val="Tabletext9pt"/>
              <w:rPr>
                <w:rFonts w:ascii="Arial Narrow" w:hAnsi="Arial Narrow"/>
                <w:sz w:val="20"/>
                <w:szCs w:val="22"/>
              </w:rPr>
            </w:pPr>
            <w:r>
              <w:rPr>
                <w:rFonts w:ascii="Arial Narrow" w:hAnsi="Arial Narrow"/>
                <w:sz w:val="20"/>
                <w:szCs w:val="22"/>
              </w:rPr>
              <w:t>The 0.04 disutility reflecting cabazitaxel toxicity was used in the CEA. Other utilities remained health state</w:t>
            </w:r>
            <w:r w:rsidR="00C031B7">
              <w:rPr>
                <w:rFonts w:ascii="Arial Narrow" w:hAnsi="Arial Narrow"/>
                <w:sz w:val="20"/>
                <w:szCs w:val="22"/>
              </w:rPr>
              <w:t xml:space="preserve"> </w:t>
            </w:r>
            <w:r>
              <w:rPr>
                <w:rFonts w:ascii="Arial Narrow" w:hAnsi="Arial Narrow"/>
                <w:sz w:val="20"/>
                <w:szCs w:val="22"/>
              </w:rPr>
              <w:t xml:space="preserve">specific. The assumed HR for cabazitaxel OS (0.62) was replaced with the value </w:t>
            </w:r>
            <w:r w:rsidR="00C031B7">
              <w:rPr>
                <w:rFonts w:ascii="Arial Narrow" w:hAnsi="Arial Narrow"/>
                <w:sz w:val="20"/>
                <w:szCs w:val="22"/>
              </w:rPr>
              <w:t xml:space="preserve">(1.00) </w:t>
            </w:r>
            <w:r>
              <w:rPr>
                <w:rFonts w:ascii="Arial Narrow" w:hAnsi="Arial Narrow"/>
                <w:sz w:val="20"/>
                <w:szCs w:val="22"/>
              </w:rPr>
              <w:t>obtained from the</w:t>
            </w:r>
            <w:r w:rsidR="00C031B7">
              <w:rPr>
                <w:rFonts w:ascii="Arial Narrow" w:hAnsi="Arial Narrow"/>
                <w:sz w:val="20"/>
                <w:szCs w:val="22"/>
              </w:rPr>
              <w:t xml:space="preserve"> </w:t>
            </w:r>
            <w:r w:rsidR="00C031B7" w:rsidRPr="00C031B7">
              <w:rPr>
                <w:rFonts w:ascii="Arial Narrow" w:hAnsi="Arial Narrow"/>
                <w:sz w:val="20"/>
                <w:szCs w:val="22"/>
              </w:rPr>
              <w:t>latest data from TheraP provided during the pre-MSAC response.</w:t>
            </w:r>
            <w:r>
              <w:rPr>
                <w:rFonts w:ascii="Arial Narrow" w:hAnsi="Arial Narrow"/>
                <w:sz w:val="20"/>
                <w:szCs w:val="22"/>
              </w:rPr>
              <w:t xml:space="preserve"> </w:t>
            </w:r>
            <w:r w:rsidR="00C031B7">
              <w:rPr>
                <w:rFonts w:ascii="Arial Narrow" w:hAnsi="Arial Narrow"/>
                <w:sz w:val="20"/>
                <w:szCs w:val="22"/>
              </w:rPr>
              <w:t>The time horizon in the base-case was 7.5 years</w:t>
            </w:r>
            <w:r w:rsidR="001E3943">
              <w:rPr>
                <w:rFonts w:ascii="Arial Narrow" w:hAnsi="Arial Narrow"/>
                <w:sz w:val="20"/>
                <w:szCs w:val="22"/>
              </w:rPr>
              <w:t xml:space="preserve"> </w:t>
            </w:r>
            <w:r w:rsidR="002C474D">
              <w:rPr>
                <w:rFonts w:ascii="Arial Narrow" w:hAnsi="Arial Narrow"/>
                <w:sz w:val="20"/>
                <w:szCs w:val="22"/>
              </w:rPr>
              <w:t xml:space="preserve">consistent with </w:t>
            </w:r>
            <w:r w:rsidR="001E3943" w:rsidRPr="001E3943">
              <w:rPr>
                <w:rFonts w:ascii="Arial Narrow" w:hAnsi="Arial Narrow"/>
                <w:sz w:val="20"/>
                <w:szCs w:val="22"/>
              </w:rPr>
              <w:t>previously considered</w:t>
            </w:r>
            <w:r w:rsidR="002C474D">
              <w:rPr>
                <w:rFonts w:ascii="Arial Narrow" w:hAnsi="Arial Narrow"/>
                <w:sz w:val="20"/>
                <w:szCs w:val="22"/>
              </w:rPr>
              <w:t xml:space="preserve"> for</w:t>
            </w:r>
            <w:r w:rsidR="001E3943" w:rsidRPr="001E3943">
              <w:rPr>
                <w:rFonts w:ascii="Arial Narrow" w:hAnsi="Arial Narrow"/>
                <w:sz w:val="20"/>
                <w:szCs w:val="22"/>
              </w:rPr>
              <w:t xml:space="preserve"> </w:t>
            </w:r>
            <w:r w:rsidR="002C474D" w:rsidRPr="006D5080">
              <w:rPr>
                <w:rFonts w:ascii="Arial Narrow" w:hAnsi="Arial Narrow"/>
                <w:sz w:val="20"/>
                <w:szCs w:val="22"/>
              </w:rPr>
              <w:t>abiraterone</w:t>
            </w:r>
            <w:r w:rsidR="00F75FD9">
              <w:rPr>
                <w:rFonts w:ascii="Arial Narrow" w:hAnsi="Arial Narrow"/>
                <w:sz w:val="20"/>
                <w:szCs w:val="22"/>
              </w:rPr>
              <w:t>,</w:t>
            </w:r>
            <w:r w:rsidR="002C474D" w:rsidRPr="006D5080">
              <w:rPr>
                <w:rFonts w:ascii="Arial Narrow" w:hAnsi="Arial Narrow"/>
                <w:sz w:val="20"/>
                <w:szCs w:val="22"/>
              </w:rPr>
              <w:t xml:space="preserve"> </w:t>
            </w:r>
            <w:r w:rsidR="002C474D">
              <w:rPr>
                <w:rFonts w:ascii="Arial Narrow" w:hAnsi="Arial Narrow"/>
                <w:sz w:val="20"/>
                <w:szCs w:val="22"/>
              </w:rPr>
              <w:t xml:space="preserve">i.e. </w:t>
            </w:r>
            <w:r w:rsidR="002C474D" w:rsidRPr="006D5080">
              <w:rPr>
                <w:rFonts w:ascii="Arial Narrow" w:hAnsi="Arial Narrow"/>
                <w:sz w:val="20"/>
                <w:szCs w:val="22"/>
              </w:rPr>
              <w:t>7 years in duration (Abiraterone November 2012 PSD)</w:t>
            </w:r>
            <w:r w:rsidR="002C474D">
              <w:rPr>
                <w:rFonts w:ascii="Arial Narrow" w:hAnsi="Arial Narrow"/>
                <w:sz w:val="20"/>
                <w:szCs w:val="22"/>
              </w:rPr>
              <w:t>.</w:t>
            </w:r>
          </w:p>
          <w:p w14:paraId="1E926B5D" w14:textId="7F93BD8F" w:rsidR="00C031B7" w:rsidRPr="007E1A8D" w:rsidRDefault="00C031B7" w:rsidP="008076DA">
            <w:pPr>
              <w:pStyle w:val="Tabletext9pt"/>
              <w:rPr>
                <w:rFonts w:ascii="Arial Narrow" w:hAnsi="Arial Narrow"/>
                <w:sz w:val="20"/>
                <w:szCs w:val="22"/>
              </w:rPr>
            </w:pPr>
            <w:r>
              <w:rPr>
                <w:rFonts w:ascii="Arial Narrow" w:hAnsi="Arial Narrow"/>
                <w:sz w:val="20"/>
                <w:szCs w:val="22"/>
              </w:rPr>
              <w:t>U</w:t>
            </w:r>
            <w:r w:rsidRPr="00C031B7">
              <w:rPr>
                <w:rFonts w:ascii="Arial Narrow" w:hAnsi="Arial Narrow"/>
                <w:sz w:val="20"/>
                <w:szCs w:val="22"/>
              </w:rPr>
              <w:t>pdate</w:t>
            </w:r>
            <w:r w:rsidR="001E3943">
              <w:rPr>
                <w:rFonts w:ascii="Arial Narrow" w:hAnsi="Arial Narrow"/>
                <w:sz w:val="20"/>
                <w:szCs w:val="22"/>
              </w:rPr>
              <w:t>d</w:t>
            </w:r>
            <w:r w:rsidRPr="00C031B7">
              <w:rPr>
                <w:rFonts w:ascii="Arial Narrow" w:hAnsi="Arial Narrow"/>
                <w:sz w:val="20"/>
                <w:szCs w:val="22"/>
              </w:rPr>
              <w:t xml:space="preserve"> to weighted comparator of 75% BS</w:t>
            </w:r>
            <w:r w:rsidR="00BE15C5">
              <w:rPr>
                <w:rFonts w:ascii="Arial Narrow" w:hAnsi="Arial Narrow"/>
                <w:sz w:val="20"/>
                <w:szCs w:val="22"/>
              </w:rPr>
              <w:t>c</w:t>
            </w:r>
            <w:r w:rsidRPr="00C031B7">
              <w:rPr>
                <w:rFonts w:ascii="Arial Narrow" w:hAnsi="Arial Narrow"/>
                <w:sz w:val="20"/>
                <w:szCs w:val="22"/>
              </w:rPr>
              <w:t xml:space="preserve"> and 25% cabazitaxel consistent with that previously considered for olaparib in mCRPC (</w:t>
            </w:r>
            <w:r w:rsidR="00652C08">
              <w:rPr>
                <w:rFonts w:ascii="Arial Narrow" w:hAnsi="Arial Narrow"/>
                <w:sz w:val="20"/>
                <w:szCs w:val="22"/>
              </w:rPr>
              <w:t>O</w:t>
            </w:r>
            <w:r w:rsidRPr="00C031B7">
              <w:rPr>
                <w:rFonts w:ascii="Arial Narrow" w:hAnsi="Arial Narrow"/>
                <w:sz w:val="20"/>
                <w:szCs w:val="22"/>
              </w:rPr>
              <w:t>laparib PSD July 2021).</w:t>
            </w:r>
          </w:p>
        </w:tc>
        <w:tc>
          <w:tcPr>
            <w:tcW w:w="965" w:type="pct"/>
          </w:tcPr>
          <w:p w14:paraId="28356DD7" w14:textId="69207E19" w:rsidR="002D5597" w:rsidRPr="007E1A8D" w:rsidRDefault="002D5597" w:rsidP="008076DA">
            <w:pPr>
              <w:pStyle w:val="Tabletext9pt"/>
              <w:rPr>
                <w:rFonts w:ascii="Arial Narrow" w:hAnsi="Arial Narrow"/>
                <w:sz w:val="20"/>
                <w:szCs w:val="22"/>
              </w:rPr>
            </w:pPr>
            <w:r w:rsidRPr="007E1A8D">
              <w:rPr>
                <w:rFonts w:ascii="Arial Narrow" w:hAnsi="Arial Narrow"/>
                <w:sz w:val="20"/>
                <w:szCs w:val="22"/>
              </w:rPr>
              <w:t>MSAC considered the ICER was too high and uncertain (PSD p2) and advised the applicant to consider how the ICER may be reduced… (PSD p6).</w:t>
            </w:r>
            <w:r>
              <w:rPr>
                <w:rFonts w:ascii="Arial Narrow" w:hAnsi="Arial Narrow"/>
                <w:sz w:val="20"/>
                <w:szCs w:val="22"/>
              </w:rPr>
              <w:t xml:space="preserve"> </w:t>
            </w:r>
            <w:r w:rsidRPr="005F7165">
              <w:rPr>
                <w:rFonts w:ascii="Arial Narrow" w:hAnsi="Arial Narrow"/>
                <w:sz w:val="20"/>
                <w:szCs w:val="22"/>
              </w:rPr>
              <w:t>The model structure should be corrected to capture the two-step approach to treatment</w:t>
            </w:r>
            <w:r>
              <w:rPr>
                <w:rFonts w:ascii="Arial Narrow" w:hAnsi="Arial Narrow"/>
                <w:sz w:val="20"/>
                <w:szCs w:val="22"/>
              </w:rPr>
              <w:t xml:space="preserve"> </w:t>
            </w:r>
            <w:r w:rsidRPr="005F7165">
              <w:rPr>
                <w:rFonts w:ascii="Arial Narrow" w:hAnsi="Arial Narrow"/>
                <w:sz w:val="20"/>
                <w:szCs w:val="22"/>
              </w:rPr>
              <w:t>(based on the Re-SPECT study)</w:t>
            </w:r>
            <w:r>
              <w:rPr>
                <w:rFonts w:ascii="Arial Narrow" w:hAnsi="Arial Narrow"/>
                <w:sz w:val="20"/>
                <w:szCs w:val="22"/>
              </w:rPr>
              <w:t>. B</w:t>
            </w:r>
            <w:r w:rsidRPr="005F7165">
              <w:rPr>
                <w:rFonts w:ascii="Arial Narrow" w:hAnsi="Arial Narrow"/>
                <w:sz w:val="20"/>
                <w:szCs w:val="22"/>
              </w:rPr>
              <w:t>etter justification (or removal) of the selected treatment specific utility weights.</w:t>
            </w:r>
            <w:r>
              <w:rPr>
                <w:rFonts w:ascii="Arial Narrow" w:hAnsi="Arial Narrow"/>
                <w:sz w:val="20"/>
                <w:szCs w:val="22"/>
              </w:rPr>
              <w:t xml:space="preserve"> P</w:t>
            </w:r>
            <w:r w:rsidRPr="005F7165">
              <w:rPr>
                <w:rFonts w:ascii="Arial Narrow" w:hAnsi="Arial Narrow"/>
                <w:sz w:val="20"/>
                <w:szCs w:val="22"/>
              </w:rPr>
              <w:t xml:space="preserve">atient-level data from different trials </w:t>
            </w:r>
            <w:r>
              <w:rPr>
                <w:rFonts w:ascii="Arial Narrow" w:hAnsi="Arial Narrow"/>
                <w:sz w:val="20"/>
                <w:szCs w:val="22"/>
              </w:rPr>
              <w:t xml:space="preserve">should not be used </w:t>
            </w:r>
            <w:r w:rsidRPr="005F7165">
              <w:rPr>
                <w:rFonts w:ascii="Arial Narrow" w:hAnsi="Arial Narrow"/>
                <w:sz w:val="20"/>
                <w:szCs w:val="22"/>
              </w:rPr>
              <w:t>in the same model</w:t>
            </w:r>
            <w:r>
              <w:rPr>
                <w:rFonts w:ascii="Arial Narrow" w:hAnsi="Arial Narrow"/>
                <w:sz w:val="20"/>
                <w:szCs w:val="22"/>
              </w:rPr>
              <w:t xml:space="preserve">. </w:t>
            </w:r>
          </w:p>
        </w:tc>
        <w:tc>
          <w:tcPr>
            <w:tcW w:w="784" w:type="pct"/>
          </w:tcPr>
          <w:p w14:paraId="24C38E66" w14:textId="22A0F819" w:rsidR="002D5597" w:rsidRPr="007E1A8D" w:rsidRDefault="002D5597">
            <w:pPr>
              <w:pStyle w:val="Tabletext9pt"/>
              <w:rPr>
                <w:rFonts w:ascii="Arial Narrow" w:hAnsi="Arial Narrow"/>
                <w:sz w:val="20"/>
                <w:szCs w:val="22"/>
              </w:rPr>
            </w:pPr>
            <w:r w:rsidRPr="007E1A8D">
              <w:rPr>
                <w:rFonts w:ascii="Arial Narrow" w:hAnsi="Arial Narrow"/>
                <w:sz w:val="20"/>
                <w:szCs w:val="22"/>
              </w:rPr>
              <w:t xml:space="preserve">The CEA </w:t>
            </w:r>
            <w:r>
              <w:rPr>
                <w:rFonts w:ascii="Arial Narrow" w:hAnsi="Arial Narrow"/>
                <w:sz w:val="20"/>
                <w:szCs w:val="22"/>
              </w:rPr>
              <w:t xml:space="preserve">is based on a hybrid model that explicitly incorporates the probability of response reported in the Re-SPECT study. Use of </w:t>
            </w:r>
            <w:r w:rsidRPr="005F7165">
              <w:rPr>
                <w:rFonts w:ascii="Arial Narrow" w:hAnsi="Arial Narrow"/>
                <w:sz w:val="20"/>
                <w:szCs w:val="22"/>
              </w:rPr>
              <w:t>patient-level data from different trials</w:t>
            </w:r>
            <w:r>
              <w:rPr>
                <w:rFonts w:ascii="Arial Narrow" w:hAnsi="Arial Narrow"/>
                <w:sz w:val="20"/>
                <w:szCs w:val="22"/>
              </w:rPr>
              <w:t xml:space="preserve"> was already corrected in the Commentary to the MSAC 1686.1 resubmission ADAR. Similarly, </w:t>
            </w:r>
            <w:r w:rsidRPr="005F7165">
              <w:rPr>
                <w:rFonts w:ascii="Arial Narrow" w:hAnsi="Arial Narrow"/>
                <w:sz w:val="20"/>
                <w:szCs w:val="22"/>
              </w:rPr>
              <w:t xml:space="preserve">utility weights </w:t>
            </w:r>
            <w:r>
              <w:rPr>
                <w:rFonts w:ascii="Arial Narrow" w:hAnsi="Arial Narrow"/>
                <w:sz w:val="20"/>
                <w:szCs w:val="22"/>
              </w:rPr>
              <w:t xml:space="preserve">used in the model </w:t>
            </w:r>
            <w:r w:rsidRPr="005F7165">
              <w:rPr>
                <w:rFonts w:ascii="Arial Narrow" w:hAnsi="Arial Narrow"/>
                <w:sz w:val="20"/>
                <w:szCs w:val="22"/>
              </w:rPr>
              <w:t>are treatment agnostic and health state-related</w:t>
            </w:r>
            <w:r>
              <w:rPr>
                <w:rFonts w:ascii="Arial Narrow" w:hAnsi="Arial Narrow"/>
                <w:sz w:val="20"/>
                <w:szCs w:val="22"/>
              </w:rPr>
              <w:t>.</w:t>
            </w:r>
          </w:p>
        </w:tc>
      </w:tr>
      <w:tr w:rsidR="00B00B71" w:rsidRPr="007E1A8D" w14:paraId="7A555BB0" w14:textId="77777777" w:rsidTr="00B00B71">
        <w:tc>
          <w:tcPr>
            <w:tcW w:w="421" w:type="pct"/>
          </w:tcPr>
          <w:p w14:paraId="4E6CD68A" w14:textId="77777777" w:rsidR="002D5597" w:rsidRPr="007E1A8D" w:rsidRDefault="002D5597">
            <w:pPr>
              <w:pStyle w:val="Tabletext9pt"/>
              <w:rPr>
                <w:rFonts w:ascii="Arial Narrow" w:hAnsi="Arial Narrow"/>
                <w:sz w:val="20"/>
                <w:szCs w:val="22"/>
              </w:rPr>
            </w:pPr>
            <w:r w:rsidRPr="007E1A8D">
              <w:rPr>
                <w:rFonts w:ascii="Arial Narrow" w:hAnsi="Arial Narrow"/>
                <w:sz w:val="20"/>
                <w:szCs w:val="22"/>
              </w:rPr>
              <w:t>Financial impact</w:t>
            </w:r>
          </w:p>
        </w:tc>
        <w:tc>
          <w:tcPr>
            <w:tcW w:w="1700" w:type="pct"/>
          </w:tcPr>
          <w:p w14:paraId="2DCA2702" w14:textId="02DD4F0A" w:rsidR="002D5597" w:rsidRPr="007E1A8D" w:rsidRDefault="00967A8C">
            <w:pPr>
              <w:pStyle w:val="Tabletext9pt"/>
              <w:rPr>
                <w:rFonts w:ascii="Arial Narrow" w:hAnsi="Arial Narrow"/>
                <w:sz w:val="20"/>
                <w:szCs w:val="22"/>
              </w:rPr>
            </w:pPr>
            <w:r w:rsidRPr="00967A8C">
              <w:rPr>
                <w:rFonts w:ascii="Arial Narrow" w:hAnsi="Arial Narrow"/>
                <w:sz w:val="20"/>
                <w:szCs w:val="22"/>
              </w:rPr>
              <w:t>The financial implications may be underestimated if the uptake rate is higher than assumed by the ADAR.</w:t>
            </w:r>
          </w:p>
        </w:tc>
        <w:tc>
          <w:tcPr>
            <w:tcW w:w="1130" w:type="pct"/>
          </w:tcPr>
          <w:p w14:paraId="5691FA05" w14:textId="65A70A40" w:rsidR="002D5597" w:rsidRPr="007E1A8D" w:rsidRDefault="00967A8C">
            <w:pPr>
              <w:pStyle w:val="Tabletext9pt"/>
              <w:rPr>
                <w:rFonts w:ascii="Arial Narrow" w:hAnsi="Arial Narrow"/>
                <w:sz w:val="20"/>
                <w:szCs w:val="22"/>
              </w:rPr>
            </w:pPr>
            <w:r>
              <w:rPr>
                <w:rFonts w:ascii="Arial Narrow" w:hAnsi="Arial Narrow"/>
                <w:sz w:val="20"/>
                <w:szCs w:val="22"/>
              </w:rPr>
              <w:t xml:space="preserve">Additional </w:t>
            </w:r>
            <w:r w:rsidR="00652C08">
              <w:rPr>
                <w:rFonts w:ascii="Arial Narrow" w:hAnsi="Arial Narrow"/>
                <w:sz w:val="20"/>
                <w:szCs w:val="22"/>
              </w:rPr>
              <w:t>assumptions about</w:t>
            </w:r>
            <w:r>
              <w:rPr>
                <w:rFonts w:ascii="Arial Narrow" w:hAnsi="Arial Narrow"/>
                <w:sz w:val="20"/>
                <w:szCs w:val="22"/>
              </w:rPr>
              <w:t xml:space="preserve"> uptake rates were </w:t>
            </w:r>
            <w:r w:rsidR="00652C08">
              <w:rPr>
                <w:rFonts w:ascii="Arial Narrow" w:hAnsi="Arial Narrow"/>
                <w:sz w:val="20"/>
                <w:szCs w:val="22"/>
              </w:rPr>
              <w:t>tested</w:t>
            </w:r>
            <w:r>
              <w:rPr>
                <w:rFonts w:ascii="Arial Narrow" w:hAnsi="Arial Narrow"/>
                <w:sz w:val="20"/>
                <w:szCs w:val="22"/>
              </w:rPr>
              <w:t>.</w:t>
            </w:r>
          </w:p>
        </w:tc>
        <w:tc>
          <w:tcPr>
            <w:tcW w:w="965" w:type="pct"/>
          </w:tcPr>
          <w:p w14:paraId="406F4513" w14:textId="722D7FEF" w:rsidR="002D5597" w:rsidRPr="007E1A8D" w:rsidRDefault="002D5597">
            <w:pPr>
              <w:pStyle w:val="Tabletext9pt"/>
              <w:rPr>
                <w:rFonts w:ascii="Arial Narrow" w:hAnsi="Arial Narrow"/>
                <w:sz w:val="20"/>
                <w:szCs w:val="22"/>
              </w:rPr>
            </w:pPr>
            <w:r w:rsidRPr="007E1A8D">
              <w:rPr>
                <w:rFonts w:ascii="Arial Narrow" w:hAnsi="Arial Narrow"/>
                <w:sz w:val="20"/>
                <w:szCs w:val="22"/>
              </w:rPr>
              <w:t xml:space="preserve">Updates to the financial impact based on the </w:t>
            </w:r>
            <w:r>
              <w:rPr>
                <w:rFonts w:ascii="Arial Narrow" w:hAnsi="Arial Narrow"/>
                <w:sz w:val="20"/>
                <w:szCs w:val="22"/>
              </w:rPr>
              <w:t>two-step approach to treatment</w:t>
            </w:r>
            <w:r w:rsidRPr="007E1A8D">
              <w:rPr>
                <w:rFonts w:ascii="Arial Narrow" w:hAnsi="Arial Narrow"/>
                <w:sz w:val="20"/>
                <w:szCs w:val="22"/>
              </w:rPr>
              <w:t>.</w:t>
            </w:r>
          </w:p>
        </w:tc>
        <w:tc>
          <w:tcPr>
            <w:tcW w:w="784" w:type="pct"/>
          </w:tcPr>
          <w:p w14:paraId="07B9B4AF" w14:textId="167D2D7B" w:rsidR="002D5597" w:rsidRPr="007E1A8D" w:rsidRDefault="002D5597">
            <w:pPr>
              <w:pStyle w:val="Tabletext9pt"/>
              <w:rPr>
                <w:rFonts w:ascii="Arial Narrow" w:hAnsi="Arial Narrow"/>
                <w:i/>
                <w:iCs/>
                <w:sz w:val="20"/>
                <w:szCs w:val="22"/>
              </w:rPr>
            </w:pPr>
            <w:r w:rsidRPr="007E1A8D">
              <w:rPr>
                <w:rFonts w:ascii="Arial Narrow" w:hAnsi="Arial Narrow"/>
                <w:sz w:val="20"/>
                <w:szCs w:val="22"/>
              </w:rPr>
              <w:t xml:space="preserve">The financial impact has been updated </w:t>
            </w:r>
            <w:r>
              <w:rPr>
                <w:rFonts w:ascii="Arial Narrow" w:hAnsi="Arial Narrow"/>
                <w:sz w:val="20"/>
                <w:szCs w:val="22"/>
              </w:rPr>
              <w:t>to reflect the two-step approach to</w:t>
            </w:r>
            <w:r w:rsidRPr="007E1A8D">
              <w:rPr>
                <w:rFonts w:ascii="Arial Narrow" w:hAnsi="Arial Narrow"/>
                <w:sz w:val="20"/>
                <w:szCs w:val="22"/>
              </w:rPr>
              <w:t xml:space="preserve"> treatment.</w:t>
            </w:r>
            <w:r>
              <w:rPr>
                <w:rFonts w:ascii="Arial Narrow" w:hAnsi="Arial Narrow"/>
                <w:sz w:val="20"/>
                <w:szCs w:val="22"/>
              </w:rPr>
              <w:t xml:space="preserve"> </w:t>
            </w:r>
          </w:p>
        </w:tc>
      </w:tr>
    </w:tbl>
    <w:p w14:paraId="37AB5F08" w14:textId="71E8994C" w:rsidR="00813D6C" w:rsidRPr="00F9793D" w:rsidRDefault="00813D6C" w:rsidP="00813D6C">
      <w:pPr>
        <w:pStyle w:val="TableFigNotes18"/>
        <w:rPr>
          <w:rFonts w:ascii="Arial Narrow" w:hAnsi="Arial Narrow"/>
          <w:sz w:val="18"/>
          <w:szCs w:val="24"/>
        </w:rPr>
      </w:pPr>
      <w:r w:rsidRPr="00F9793D">
        <w:rPr>
          <w:rFonts w:ascii="Arial Narrow" w:hAnsi="Arial Narrow"/>
          <w:sz w:val="18"/>
          <w:szCs w:val="24"/>
        </w:rPr>
        <w:t xml:space="preserve">Abbreviations: </w:t>
      </w:r>
      <w:r w:rsidR="00BE15C5">
        <w:rPr>
          <w:rFonts w:ascii="Arial Narrow" w:hAnsi="Arial Narrow"/>
          <w:sz w:val="18"/>
          <w:szCs w:val="24"/>
        </w:rPr>
        <w:t>BSc = best supportive care;</w:t>
      </w:r>
      <w:r w:rsidRPr="00F9793D">
        <w:rPr>
          <w:rFonts w:ascii="Arial Narrow" w:hAnsi="Arial Narrow"/>
          <w:sz w:val="18"/>
          <w:szCs w:val="24"/>
        </w:rPr>
        <w:t xml:space="preserve"> CEA, cost-effectiveness analysis; ICER, incremental cost-effectiveness ratio; MBS, Medicare Benefits Schedule; MSAC, Medicare Benefits Advisory Committee; PSA, prostate specific antigen; PSD, public summary document</w:t>
      </w:r>
    </w:p>
    <w:p w14:paraId="11C342ED" w14:textId="6A88A0A0" w:rsidR="00766CD7" w:rsidRDefault="00813D6C" w:rsidP="00813D6C">
      <w:pPr>
        <w:pStyle w:val="TableFigNotes18"/>
        <w:rPr>
          <w:rFonts w:ascii="Arial Narrow" w:hAnsi="Arial Narrow"/>
          <w:sz w:val="18"/>
          <w:szCs w:val="24"/>
        </w:rPr>
        <w:sectPr w:rsidR="00766CD7" w:rsidSect="004B7200">
          <w:pgSz w:w="16838" w:h="11906" w:orient="landscape"/>
          <w:pgMar w:top="1440" w:right="1440" w:bottom="1440" w:left="1440" w:header="708" w:footer="708" w:gutter="0"/>
          <w:cols w:space="708"/>
          <w:docGrid w:linePitch="360"/>
        </w:sectPr>
      </w:pPr>
      <w:r w:rsidRPr="00F9793D">
        <w:rPr>
          <w:rFonts w:ascii="Arial Narrow" w:hAnsi="Arial Narrow"/>
          <w:sz w:val="18"/>
          <w:szCs w:val="24"/>
        </w:rPr>
        <w:t xml:space="preserve">Source: </w:t>
      </w:r>
      <w:r w:rsidR="008F799E">
        <w:rPr>
          <w:rFonts w:ascii="Arial Narrow" w:hAnsi="Arial Narrow"/>
          <w:sz w:val="18"/>
          <w:szCs w:val="24"/>
        </w:rPr>
        <w:t xml:space="preserve">MSAC </w:t>
      </w:r>
      <w:r w:rsidR="008F799E" w:rsidRPr="00F9793D">
        <w:rPr>
          <w:rFonts w:ascii="Arial Narrow" w:hAnsi="Arial Narrow"/>
          <w:sz w:val="18"/>
          <w:szCs w:val="24"/>
        </w:rPr>
        <w:t>1686 PSD</w:t>
      </w:r>
      <w:r w:rsidR="008F799E">
        <w:rPr>
          <w:rFonts w:ascii="Arial Narrow" w:hAnsi="Arial Narrow"/>
          <w:sz w:val="18"/>
          <w:szCs w:val="24"/>
        </w:rPr>
        <w:t xml:space="preserve">; </w:t>
      </w:r>
      <w:r w:rsidR="00F9793D">
        <w:rPr>
          <w:rFonts w:ascii="Arial Narrow" w:hAnsi="Arial Narrow"/>
          <w:sz w:val="18"/>
          <w:szCs w:val="24"/>
        </w:rPr>
        <w:t xml:space="preserve">MSAC </w:t>
      </w:r>
      <w:r w:rsidRPr="00F9793D">
        <w:rPr>
          <w:rFonts w:ascii="Arial Narrow" w:hAnsi="Arial Narrow"/>
          <w:sz w:val="18"/>
          <w:szCs w:val="24"/>
        </w:rPr>
        <w:t>1686</w:t>
      </w:r>
      <w:r w:rsidR="00F9793D">
        <w:rPr>
          <w:rFonts w:ascii="Arial Narrow" w:hAnsi="Arial Narrow"/>
          <w:sz w:val="18"/>
          <w:szCs w:val="24"/>
        </w:rPr>
        <w:t>.1</w:t>
      </w:r>
      <w:r w:rsidRPr="00F9793D">
        <w:rPr>
          <w:rFonts w:ascii="Arial Narrow" w:hAnsi="Arial Narrow"/>
          <w:sz w:val="18"/>
          <w:szCs w:val="24"/>
        </w:rPr>
        <w:t xml:space="preserve"> PSD</w:t>
      </w:r>
    </w:p>
    <w:bookmarkEnd w:id="3"/>
    <w:p w14:paraId="6F52500A" w14:textId="0149370D" w:rsidR="00772829" w:rsidRDefault="00295AD6" w:rsidP="002A18BE">
      <w:pPr>
        <w:pStyle w:val="Heading2"/>
        <w:numPr>
          <w:ilvl w:val="0"/>
          <w:numId w:val="0"/>
        </w:numPr>
      </w:pPr>
      <w:r>
        <w:lastRenderedPageBreak/>
        <w:t>5</w:t>
      </w:r>
      <w:r w:rsidR="00C36633">
        <w:t>.</w:t>
      </w:r>
      <w:r w:rsidR="00C36633">
        <w:tab/>
      </w:r>
      <w:r w:rsidR="00772829" w:rsidRPr="00CE28E3">
        <w:t>Prerequisites to implementation of any funding advice</w:t>
      </w:r>
      <w:bookmarkEnd w:id="4"/>
    </w:p>
    <w:p w14:paraId="0B2DC461" w14:textId="5E6400D1" w:rsidR="00D806CE" w:rsidRPr="0001342B" w:rsidRDefault="002F5797" w:rsidP="00D806CE">
      <w:r w:rsidRPr="0001342B">
        <w:t>Consistent with other radiopharmaceutical products for which the administration is funded through the MBS, t</w:t>
      </w:r>
      <w:r w:rsidR="00D806CE" w:rsidRPr="0001342B">
        <w:t>he proposed therapeutic intervention</w:t>
      </w:r>
      <w:r w:rsidR="00D806CE" w:rsidRPr="0001342B">
        <w:rPr>
          <w:vertAlign w:val="superscript"/>
        </w:rPr>
        <w:t xml:space="preserve"> 177</w:t>
      </w:r>
      <w:r w:rsidR="00D806CE" w:rsidRPr="0001342B">
        <w:t>Lu-PSMA-i&amp;t, is produced under G</w:t>
      </w:r>
      <w:r w:rsidR="00773F4C" w:rsidRPr="0001342B">
        <w:t>o</w:t>
      </w:r>
      <w:r w:rsidR="007932EA" w:rsidRPr="0001342B">
        <w:t xml:space="preserve">od </w:t>
      </w:r>
      <w:r w:rsidR="00D806CE" w:rsidRPr="0001342B">
        <w:t>L</w:t>
      </w:r>
      <w:r w:rsidR="007932EA" w:rsidRPr="0001342B">
        <w:t xml:space="preserve">aboratory </w:t>
      </w:r>
      <w:r w:rsidR="00D806CE" w:rsidRPr="0001342B">
        <w:t>P</w:t>
      </w:r>
      <w:r w:rsidR="007932EA" w:rsidRPr="0001342B">
        <w:t>ractice (GLP)</w:t>
      </w:r>
      <w:r w:rsidR="00D806CE" w:rsidRPr="0001342B">
        <w:t xml:space="preserve"> in Australia. GLP</w:t>
      </w:r>
      <w:r w:rsidRPr="0001342B">
        <w:t>-</w:t>
      </w:r>
      <w:r w:rsidR="00D806CE" w:rsidRPr="0001342B">
        <w:t xml:space="preserve">compliant production of </w:t>
      </w:r>
      <w:r w:rsidR="00D806CE" w:rsidRPr="0001342B">
        <w:rPr>
          <w:vertAlign w:val="superscript"/>
        </w:rPr>
        <w:t>177</w:t>
      </w:r>
      <w:r w:rsidR="00D806CE" w:rsidRPr="0001342B">
        <w:t xml:space="preserve">Lu-PSMA-i&amp;t is the current standard of care (SoC) for the provision of </w:t>
      </w:r>
      <w:r w:rsidRPr="0001342B">
        <w:t>radiopharmaceutical</w:t>
      </w:r>
      <w:r w:rsidR="00D806CE" w:rsidRPr="0001342B">
        <w:t xml:space="preserve"> treatments across Australia, within trials and clinically. It is routinely used in nuclear medicine departments for radio-pharmacy production across Australia. GLP production of </w:t>
      </w:r>
      <w:r w:rsidR="00D806CE" w:rsidRPr="0001342B">
        <w:rPr>
          <w:vertAlign w:val="superscript"/>
        </w:rPr>
        <w:t>177</w:t>
      </w:r>
      <w:r w:rsidR="00D806CE" w:rsidRPr="0001342B">
        <w:t>Lu-PSMA-i&amp;t is currently available through the TGA exemption for production of radiopharmaceuticals in public or private hospitals for local use and not for on-sale.</w:t>
      </w:r>
    </w:p>
    <w:p w14:paraId="44C3B242" w14:textId="333F08EE" w:rsidR="00772829" w:rsidRDefault="00295AD6" w:rsidP="002A18BE">
      <w:pPr>
        <w:pStyle w:val="Heading2"/>
        <w:numPr>
          <w:ilvl w:val="0"/>
          <w:numId w:val="0"/>
        </w:numPr>
      </w:pPr>
      <w:bookmarkStart w:id="8" w:name="_Toc69491418"/>
      <w:r>
        <w:t>6</w:t>
      </w:r>
      <w:r w:rsidR="00C36633">
        <w:t>.</w:t>
      </w:r>
      <w:r w:rsidR="00C36633">
        <w:tab/>
      </w:r>
      <w:r w:rsidR="00772829" w:rsidRPr="00CE28E3">
        <w:t>Proposal for public funding</w:t>
      </w:r>
      <w:bookmarkEnd w:id="8"/>
    </w:p>
    <w:p w14:paraId="54F6E125" w14:textId="595ABD37" w:rsidR="004D04A2" w:rsidRPr="00F829F8" w:rsidRDefault="004D04A2" w:rsidP="00F829F8">
      <w:pPr>
        <w:keepLines/>
        <w:spacing w:before="0" w:after="120"/>
        <w:rPr>
          <w:rFonts w:eastAsia="Calibri" w:cs="Calibri"/>
        </w:rPr>
      </w:pPr>
      <w:r w:rsidRPr="0001342B">
        <w:rPr>
          <w:rFonts w:eastAsia="Calibri" w:cs="Calibri"/>
        </w:rPr>
        <w:t xml:space="preserve">The proposed item descriptor for PSMA PET is presented in </w:t>
      </w:r>
      <w:r w:rsidRPr="0001342B">
        <w:rPr>
          <w:rFonts w:eastAsia="Calibri" w:cs="Calibri"/>
        </w:rPr>
        <w:fldChar w:fldCharType="begin"/>
      </w:r>
      <w:r w:rsidRPr="0001342B">
        <w:rPr>
          <w:rFonts w:eastAsia="Calibri" w:cs="Calibri"/>
        </w:rPr>
        <w:instrText xml:space="preserve"> REF _Ref124335971 \h </w:instrText>
      </w:r>
      <w:r w:rsidR="0001342B" w:rsidRPr="0001342B">
        <w:rPr>
          <w:rFonts w:eastAsia="Calibri" w:cs="Calibri"/>
        </w:rPr>
        <w:instrText xml:space="preserve"> \* MERGEFORMAT </w:instrText>
      </w:r>
      <w:r w:rsidRPr="0001342B">
        <w:rPr>
          <w:rFonts w:eastAsia="Calibri" w:cs="Calibri"/>
        </w:rPr>
      </w:r>
      <w:r w:rsidRPr="0001342B">
        <w:rPr>
          <w:rFonts w:eastAsia="Calibri" w:cs="Calibri"/>
        </w:rPr>
        <w:fldChar w:fldCharType="separate"/>
      </w:r>
      <w:r w:rsidR="00BF6F93" w:rsidRPr="00417C1C">
        <w:rPr>
          <w:rFonts w:eastAsia="Calibri" w:cs="Calibri"/>
        </w:rPr>
        <w:t xml:space="preserve">Table </w:t>
      </w:r>
      <w:r w:rsidR="00BF6F93" w:rsidRPr="00417C1C">
        <w:rPr>
          <w:rFonts w:eastAsia="Calibri" w:cs="Calibri"/>
          <w:noProof/>
        </w:rPr>
        <w:t>2</w:t>
      </w:r>
      <w:r w:rsidRPr="0001342B">
        <w:rPr>
          <w:rFonts w:eastAsia="Calibri" w:cs="Calibri"/>
        </w:rPr>
        <w:fldChar w:fldCharType="end"/>
      </w:r>
      <w:r w:rsidRPr="0001342B">
        <w:rPr>
          <w:rFonts w:eastAsia="Calibri" w:cs="Calibri"/>
        </w:rPr>
        <w:t xml:space="preserve">. The item descriptor remains unchanged from that presented in </w:t>
      </w:r>
      <w:r w:rsidR="00F829F8">
        <w:rPr>
          <w:rFonts w:eastAsia="Calibri" w:cs="Calibri"/>
        </w:rPr>
        <w:t xml:space="preserve">the MSAC </w:t>
      </w:r>
      <w:r w:rsidRPr="0001342B">
        <w:rPr>
          <w:rFonts w:eastAsia="Calibri" w:cs="Calibri"/>
        </w:rPr>
        <w:t xml:space="preserve">1686 </w:t>
      </w:r>
      <w:r w:rsidR="00F829F8">
        <w:rPr>
          <w:rFonts w:eastAsia="Calibri" w:cs="Calibri"/>
        </w:rPr>
        <w:t xml:space="preserve">and MSAC 1686.1 </w:t>
      </w:r>
      <w:r w:rsidRPr="0001342B">
        <w:rPr>
          <w:rFonts w:eastAsia="Calibri" w:cs="Calibri"/>
        </w:rPr>
        <w:t>PSD</w:t>
      </w:r>
      <w:r w:rsidR="00F829F8">
        <w:rPr>
          <w:rFonts w:eastAsia="Calibri" w:cs="Calibri"/>
        </w:rPr>
        <w:t>s</w:t>
      </w:r>
      <w:r w:rsidR="007E1A8D">
        <w:rPr>
          <w:rFonts w:eastAsia="Calibri" w:cs="Calibri"/>
        </w:rPr>
        <w:t xml:space="preserve">, </w:t>
      </w:r>
      <w:r w:rsidR="007E1A8D" w:rsidRPr="00F829F8">
        <w:t xml:space="preserve">as does the requested fee. As noted in the commentary to the </w:t>
      </w:r>
      <w:r w:rsidR="00F829F8">
        <w:t>original</w:t>
      </w:r>
      <w:r w:rsidR="007E1A8D" w:rsidRPr="00F829F8">
        <w:t xml:space="preserve"> ADAR</w:t>
      </w:r>
      <w:r w:rsidR="00F829F8">
        <w:t xml:space="preserve"> (MSAC 1686)</w:t>
      </w:r>
      <w:r w:rsidR="007E1A8D" w:rsidRPr="00F829F8">
        <w:t xml:space="preserve">, outpatient treatment is appropriate and currently in place with some providers, in these cases the greatest permissible gap (GPG; </w:t>
      </w:r>
      <w:r w:rsidR="00896A60">
        <w:t>$98.70</w:t>
      </w:r>
      <w:r w:rsidR="007E1A8D" w:rsidRPr="00F829F8">
        <w:t>) would apply.</w:t>
      </w:r>
    </w:p>
    <w:p w14:paraId="59386E8B" w14:textId="611042EB" w:rsidR="00CE453D" w:rsidRPr="00AF7248" w:rsidRDefault="00CE453D" w:rsidP="00CE453D">
      <w:pPr>
        <w:keepNext/>
        <w:keepLines/>
        <w:spacing w:before="240" w:after="120" w:line="288" w:lineRule="auto"/>
        <w:ind w:left="794" w:hanging="794"/>
        <w:rPr>
          <w:rFonts w:ascii="Arial Narrow" w:eastAsia="Calibri" w:hAnsi="Arial Narrow" w:cs="Calibri"/>
          <w:b/>
          <w:bCs/>
          <w:sz w:val="20"/>
          <w:szCs w:val="20"/>
        </w:rPr>
      </w:pPr>
      <w:bookmarkStart w:id="9" w:name="_Ref124335971"/>
      <w:bookmarkStart w:id="10" w:name="_Toc69491419"/>
      <w:r w:rsidRPr="00AF7248">
        <w:rPr>
          <w:rFonts w:ascii="Arial Narrow" w:eastAsia="Calibri" w:hAnsi="Arial Narrow" w:cs="Calibri"/>
          <w:b/>
          <w:bCs/>
          <w:sz w:val="20"/>
          <w:szCs w:val="20"/>
        </w:rPr>
        <w:t xml:space="preserve">Table </w:t>
      </w:r>
      <w:r w:rsidRPr="00AF7248">
        <w:rPr>
          <w:rFonts w:ascii="Arial Narrow" w:eastAsia="Calibri" w:hAnsi="Arial Narrow" w:cs="Calibri"/>
          <w:b/>
          <w:bCs/>
          <w:sz w:val="20"/>
          <w:szCs w:val="20"/>
        </w:rPr>
        <w:fldChar w:fldCharType="begin"/>
      </w:r>
      <w:r w:rsidRPr="00AF7248">
        <w:rPr>
          <w:rFonts w:ascii="Arial Narrow" w:eastAsia="Calibri" w:hAnsi="Arial Narrow" w:cs="Calibri"/>
          <w:b/>
          <w:bCs/>
          <w:sz w:val="20"/>
          <w:szCs w:val="20"/>
        </w:rPr>
        <w:instrText xml:space="preserve"> SEQ Table \* ARABIC </w:instrText>
      </w:r>
      <w:r w:rsidRPr="00AF7248">
        <w:rPr>
          <w:rFonts w:ascii="Arial Narrow" w:eastAsia="Calibri" w:hAnsi="Arial Narrow" w:cs="Calibri"/>
          <w:b/>
          <w:bCs/>
          <w:sz w:val="20"/>
          <w:szCs w:val="20"/>
        </w:rPr>
        <w:fldChar w:fldCharType="separate"/>
      </w:r>
      <w:r w:rsidR="00BF6F93">
        <w:rPr>
          <w:rFonts w:ascii="Arial Narrow" w:eastAsia="Calibri" w:hAnsi="Arial Narrow" w:cs="Calibri"/>
          <w:b/>
          <w:bCs/>
          <w:noProof/>
          <w:sz w:val="20"/>
          <w:szCs w:val="20"/>
        </w:rPr>
        <w:t>2</w:t>
      </w:r>
      <w:r w:rsidRPr="00AF7248">
        <w:rPr>
          <w:rFonts w:ascii="Arial Narrow" w:eastAsia="Calibri" w:hAnsi="Arial Narrow" w:cs="Calibri"/>
          <w:b/>
          <w:bCs/>
          <w:sz w:val="20"/>
          <w:szCs w:val="20"/>
        </w:rPr>
        <w:fldChar w:fldCharType="end"/>
      </w:r>
      <w:bookmarkEnd w:id="9"/>
      <w:r w:rsidRPr="00AF7248">
        <w:rPr>
          <w:rFonts w:ascii="Arial Narrow" w:eastAsia="Calibri" w:hAnsi="Arial Narrow" w:cs="Calibri"/>
          <w:b/>
          <w:bCs/>
          <w:sz w:val="20"/>
          <w:szCs w:val="20"/>
        </w:rPr>
        <w:tab/>
        <w:t>Proposed item descriptor for PSMA PET</w:t>
      </w:r>
    </w:p>
    <w:tbl>
      <w:tblPr>
        <w:tblStyle w:val="LashStyleTable1"/>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CE453D" w:rsidRPr="00AF7248" w14:paraId="430996BC" w14:textId="77777777" w:rsidTr="0064477C">
        <w:trPr>
          <w:trHeight w:val="89"/>
        </w:trPr>
        <w:tc>
          <w:tcPr>
            <w:tcW w:w="5000" w:type="pct"/>
          </w:tcPr>
          <w:p w14:paraId="64F5C168" w14:textId="77777777" w:rsidR="00CE453D" w:rsidRPr="00AF7248" w:rsidRDefault="00CE453D">
            <w:pPr>
              <w:keepNext/>
              <w:keepLines/>
              <w:spacing w:before="20" w:after="20"/>
              <w:rPr>
                <w:rFonts w:ascii="Arial Narrow" w:hAnsi="Arial Narrow" w:cs="Calibri"/>
                <w:b/>
                <w:bCs/>
                <w:sz w:val="20"/>
                <w:szCs w:val="20"/>
              </w:rPr>
            </w:pPr>
            <w:bookmarkStart w:id="11" w:name="_Hlk107406970"/>
            <w:r w:rsidRPr="00AF7248">
              <w:rPr>
                <w:rFonts w:ascii="Arial Narrow" w:hAnsi="Arial Narrow" w:cs="Calibri"/>
                <w:b/>
                <w:bCs/>
                <w:sz w:val="20"/>
                <w:szCs w:val="20"/>
              </w:rPr>
              <w:t>Category 5 - Diagnostic Imaging Services</w:t>
            </w:r>
          </w:p>
        </w:tc>
      </w:tr>
      <w:tr w:rsidR="00CE453D" w:rsidRPr="00AF7248" w14:paraId="11773094" w14:textId="77777777" w:rsidTr="0064477C">
        <w:tc>
          <w:tcPr>
            <w:tcW w:w="5000" w:type="pct"/>
          </w:tcPr>
          <w:p w14:paraId="61E88FF9" w14:textId="77777777"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MBS item XXXX</w:t>
            </w:r>
          </w:p>
          <w:p w14:paraId="31E82FF4" w14:textId="77777777"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Whole body prostate specific membrane antigen (PSMA) positron emission tomography (PET) study, performed for the assessment of suitability for Lu</w:t>
            </w:r>
            <w:r w:rsidRPr="00AF7248">
              <w:rPr>
                <w:rFonts w:ascii="Arial Narrow" w:hAnsi="Arial Narrow" w:cs="Calibri"/>
                <w:i/>
                <w:iCs/>
                <w:sz w:val="20"/>
                <w:szCs w:val="20"/>
              </w:rPr>
              <w:t>tetium 177</w:t>
            </w:r>
            <w:r w:rsidRPr="00AF7248">
              <w:rPr>
                <w:rFonts w:ascii="Arial Narrow" w:hAnsi="Arial Narrow" w:cs="Calibri"/>
                <w:sz w:val="20"/>
                <w:szCs w:val="20"/>
              </w:rPr>
              <w:t xml:space="preserve"> PSMA therapy in a patient with metastatic castrate resistant prostate cancer </w:t>
            </w:r>
            <w:r w:rsidRPr="00AF7248">
              <w:rPr>
                <w:rFonts w:ascii="Arial Narrow" w:hAnsi="Arial Narrow" w:cs="Calibri"/>
                <w:i/>
                <w:iCs/>
                <w:sz w:val="20"/>
                <w:szCs w:val="20"/>
              </w:rPr>
              <w:t>after progressive disease has developed while on at least one</w:t>
            </w:r>
            <w:r w:rsidRPr="00AF7248">
              <w:rPr>
                <w:rFonts w:ascii="Arial Narrow" w:hAnsi="Arial Narrow" w:cs="Calibri"/>
                <w:sz w:val="20"/>
                <w:szCs w:val="20"/>
              </w:rPr>
              <w:t xml:space="preserve"> taxane chemotherapy and </w:t>
            </w:r>
            <w:r w:rsidRPr="00AF7248">
              <w:rPr>
                <w:rFonts w:ascii="Arial Narrow" w:hAnsi="Arial Narrow" w:cs="Calibri"/>
                <w:i/>
                <w:iCs/>
                <w:sz w:val="20"/>
                <w:szCs w:val="20"/>
              </w:rPr>
              <w:t>at least one</w:t>
            </w:r>
            <w:r w:rsidRPr="00AF7248">
              <w:rPr>
                <w:rFonts w:ascii="Arial Narrow" w:hAnsi="Arial Narrow" w:cs="Calibri"/>
                <w:sz w:val="20"/>
                <w:szCs w:val="20"/>
              </w:rPr>
              <w:t xml:space="preserve"> androgen </w:t>
            </w:r>
            <w:r w:rsidRPr="00AF7248">
              <w:rPr>
                <w:rFonts w:ascii="Arial Narrow" w:hAnsi="Arial Narrow" w:cs="Calibri"/>
                <w:i/>
                <w:iCs/>
                <w:sz w:val="20"/>
                <w:szCs w:val="20"/>
              </w:rPr>
              <w:t>receptor</w:t>
            </w:r>
            <w:r w:rsidRPr="00AF7248">
              <w:rPr>
                <w:rFonts w:ascii="Arial Narrow" w:hAnsi="Arial Narrow" w:cs="Calibri"/>
                <w:sz w:val="20"/>
                <w:szCs w:val="20"/>
              </w:rPr>
              <w:t xml:space="preserve"> signalling inhibitor.</w:t>
            </w:r>
          </w:p>
          <w:p w14:paraId="33847E15" w14:textId="77777777" w:rsidR="00CE453D" w:rsidRPr="00AF7248" w:rsidRDefault="00CE453D">
            <w:pPr>
              <w:keepNext/>
              <w:keepLines/>
              <w:spacing w:before="20" w:after="20"/>
              <w:rPr>
                <w:rFonts w:ascii="Arial Narrow" w:hAnsi="Arial Narrow" w:cs="Calibri"/>
                <w:sz w:val="20"/>
                <w:szCs w:val="20"/>
              </w:rPr>
            </w:pPr>
          </w:p>
          <w:p w14:paraId="7CE5A851" w14:textId="77777777" w:rsidR="00CE453D" w:rsidRPr="00AF7248" w:rsidRDefault="00CE453D">
            <w:pPr>
              <w:keepNext/>
              <w:keepLines/>
              <w:spacing w:before="20" w:after="20"/>
              <w:rPr>
                <w:rFonts w:ascii="Arial Narrow" w:hAnsi="Arial Narrow" w:cs="Calibri"/>
                <w:i/>
                <w:iCs/>
                <w:sz w:val="20"/>
                <w:szCs w:val="20"/>
              </w:rPr>
            </w:pPr>
            <w:r w:rsidRPr="00AF7248">
              <w:rPr>
                <w:rFonts w:ascii="Arial Narrow" w:hAnsi="Arial Narrow" w:cs="Calibri"/>
                <w:i/>
                <w:iCs/>
                <w:sz w:val="20"/>
                <w:szCs w:val="20"/>
              </w:rPr>
              <w:t>(R) (Anaes)</w:t>
            </w:r>
          </w:p>
        </w:tc>
      </w:tr>
      <w:tr w:rsidR="00CE453D" w:rsidRPr="00AF7248" w14:paraId="27E4D7F1" w14:textId="77777777" w:rsidTr="0064477C">
        <w:trPr>
          <w:trHeight w:val="223"/>
        </w:trPr>
        <w:tc>
          <w:tcPr>
            <w:tcW w:w="5000" w:type="pct"/>
          </w:tcPr>
          <w:p w14:paraId="248F48B4" w14:textId="64B12430"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 xml:space="preserve">Fee: </w:t>
            </w:r>
            <w:r w:rsidRPr="006D5080">
              <w:rPr>
                <w:rFonts w:ascii="Arial Narrow" w:hAnsi="Arial Narrow" w:cs="Calibri"/>
                <w:sz w:val="20"/>
                <w:szCs w:val="20"/>
              </w:rPr>
              <w:t>$1,300</w:t>
            </w:r>
            <w:r w:rsidRPr="0064477C">
              <w:rPr>
                <w:rFonts w:ascii="Arial Narrow" w:hAnsi="Arial Narrow" w:cs="Calibri"/>
                <w:sz w:val="20"/>
                <w:szCs w:val="20"/>
              </w:rPr>
              <w:t xml:space="preserve"> </w:t>
            </w:r>
            <w:r w:rsidRPr="006D5080">
              <w:rPr>
                <w:rFonts w:ascii="Arial Narrow" w:hAnsi="Arial Narrow" w:cs="Calibri"/>
                <w:sz w:val="20"/>
                <w:szCs w:val="20"/>
              </w:rPr>
              <w:t>Benefit: 85% = $1,</w:t>
            </w:r>
            <w:r w:rsidR="0064477C" w:rsidRPr="006D5080">
              <w:rPr>
                <w:rFonts w:ascii="Arial Narrow" w:hAnsi="Arial Narrow" w:cs="Calibri"/>
                <w:sz w:val="20"/>
                <w:szCs w:val="20"/>
              </w:rPr>
              <w:t>201.30*</w:t>
            </w:r>
          </w:p>
        </w:tc>
      </w:tr>
    </w:tbl>
    <w:bookmarkEnd w:id="11"/>
    <w:p w14:paraId="5DDB86D7" w14:textId="2C1D6976" w:rsidR="0064477C" w:rsidRDefault="0064477C" w:rsidP="0064477C">
      <w:pPr>
        <w:tabs>
          <w:tab w:val="left" w:pos="284"/>
        </w:tabs>
        <w:spacing w:before="0" w:after="0" w:line="240" w:lineRule="auto"/>
        <w:ind w:left="284" w:hanging="284"/>
        <w:rPr>
          <w:rFonts w:ascii="Arial Narrow" w:hAnsi="Arial Narrow"/>
          <w:sz w:val="18"/>
          <w:szCs w:val="18"/>
        </w:rPr>
      </w:pPr>
      <w:r>
        <w:rPr>
          <w:rFonts w:ascii="Arial Narrow" w:hAnsi="Arial Narrow"/>
          <w:sz w:val="18"/>
          <w:szCs w:val="18"/>
        </w:rPr>
        <w:t>Source: Table 2, p9 of the MSAC 1686.1 PSD, July 2023</w:t>
      </w:r>
    </w:p>
    <w:p w14:paraId="113CF505" w14:textId="4C7AD481" w:rsidR="00CE453D" w:rsidRDefault="0064477C" w:rsidP="006D5080">
      <w:pPr>
        <w:keepLines/>
        <w:spacing w:before="0" w:after="120" w:line="288" w:lineRule="auto"/>
        <w:ind w:left="284" w:hanging="284"/>
        <w:rPr>
          <w:rFonts w:ascii="Montserrat" w:eastAsia="Calibri" w:hAnsi="Montserrat" w:cs="Calibri"/>
          <w:sz w:val="18"/>
          <w:szCs w:val="20"/>
        </w:rPr>
      </w:pPr>
      <w:r w:rsidRPr="3D76241C">
        <w:rPr>
          <w:rFonts w:ascii="Arial Narrow" w:hAnsi="Arial Narrow"/>
          <w:sz w:val="18"/>
          <w:szCs w:val="18"/>
        </w:rPr>
        <w:t>*</w:t>
      </w:r>
      <w:r>
        <w:tab/>
      </w:r>
      <w:r w:rsidRPr="00711A97">
        <w:rPr>
          <w:rFonts w:ascii="Arial Narrow" w:hAnsi="Arial Narrow"/>
          <w:sz w:val="18"/>
          <w:szCs w:val="18"/>
        </w:rPr>
        <w:t>85% benefit reflects the 1 November 2023 Greatest Permissible Gap (GPG) of $98.70. All out-of-hospital Medicare services that have an MBS fee of $658.35 or more will attract a benefit that is greater than 85% of the MBS fee – being the schedule fee less the GPG amount. The GPG amount is indexed annually on 1 November in line with the Consumer Price Index (CPI) (June quarter).</w:t>
      </w:r>
    </w:p>
    <w:p w14:paraId="077D24DA" w14:textId="406751CE" w:rsidR="00B86FF3" w:rsidRDefault="00B86FF3" w:rsidP="00B86FF3">
      <w:pPr>
        <w:rPr>
          <w:lang w:val="en-US"/>
        </w:rPr>
      </w:pPr>
      <w:r>
        <w:rPr>
          <w:lang w:val="en-US"/>
        </w:rPr>
        <w:t xml:space="preserve">The proposed item descriptors for initial and continuing therapy with </w:t>
      </w:r>
      <w:r w:rsidRPr="00323DEE">
        <w:rPr>
          <w:vertAlign w:val="superscript"/>
          <w:lang w:val="en-US"/>
        </w:rPr>
        <w:t>177</w:t>
      </w:r>
      <w:r w:rsidRPr="00323DEE">
        <w:rPr>
          <w:lang w:val="en-US"/>
        </w:rPr>
        <w:t>Lu</w:t>
      </w:r>
      <w:r>
        <w:rPr>
          <w:lang w:val="en-US"/>
        </w:rPr>
        <w:t> </w:t>
      </w:r>
      <w:r w:rsidRPr="00323DEE">
        <w:rPr>
          <w:lang w:val="en-US"/>
        </w:rPr>
        <w:t>PSMA</w:t>
      </w:r>
      <w:r>
        <w:rPr>
          <w:lang w:val="en-US"/>
        </w:rPr>
        <w:t> i</w:t>
      </w:r>
      <w:r w:rsidRPr="00323DEE">
        <w:rPr>
          <w:lang w:val="en-US"/>
        </w:rPr>
        <w:t>&amp;</w:t>
      </w:r>
      <w:r>
        <w:rPr>
          <w:lang w:val="en-US"/>
        </w:rPr>
        <w:t>t</w:t>
      </w:r>
      <w:r w:rsidRPr="00323DEE">
        <w:rPr>
          <w:lang w:val="en-US"/>
        </w:rPr>
        <w:t xml:space="preserve"> </w:t>
      </w:r>
      <w:r w:rsidRPr="00794164">
        <w:rPr>
          <w:lang w:val="en-US"/>
        </w:rPr>
        <w:t>in</w:t>
      </w:r>
      <w:r>
        <w:rPr>
          <w:lang w:val="en-US"/>
        </w:rPr>
        <w:t xml:space="preserve"> the MSAC 1686.1 </w:t>
      </w:r>
      <w:r w:rsidR="00F829F8">
        <w:rPr>
          <w:lang w:val="en-US"/>
        </w:rPr>
        <w:t xml:space="preserve">resubmission </w:t>
      </w:r>
      <w:r>
        <w:rPr>
          <w:lang w:val="en-US"/>
        </w:rPr>
        <w:t xml:space="preserve">ADAR (considered at the July 2023 MSAC  meeting) are presented in </w:t>
      </w:r>
      <w:r>
        <w:rPr>
          <w:lang w:val="en-US"/>
        </w:rPr>
        <w:fldChar w:fldCharType="begin"/>
      </w:r>
      <w:r>
        <w:rPr>
          <w:lang w:val="en-US"/>
        </w:rPr>
        <w:instrText xml:space="preserve"> REF _Ref131631546 \h  \* MERGEFORMAT </w:instrText>
      </w:r>
      <w:r>
        <w:rPr>
          <w:lang w:val="en-US"/>
        </w:rPr>
      </w:r>
      <w:r>
        <w:rPr>
          <w:lang w:val="en-US"/>
        </w:rPr>
        <w:fldChar w:fldCharType="separate"/>
      </w:r>
      <w:r w:rsidR="00BF6F93" w:rsidRPr="001D5D9E">
        <w:rPr>
          <w:lang w:val="en-US"/>
        </w:rPr>
        <w:t>Table 3</w:t>
      </w:r>
      <w:r>
        <w:rPr>
          <w:lang w:val="en-US"/>
        </w:rPr>
        <w:fldChar w:fldCharType="end"/>
      </w:r>
      <w:r>
        <w:rPr>
          <w:lang w:val="en-US"/>
        </w:rPr>
        <w:t xml:space="preserve"> and </w:t>
      </w:r>
      <w:r>
        <w:rPr>
          <w:lang w:val="en-US"/>
        </w:rPr>
        <w:fldChar w:fldCharType="begin"/>
      </w:r>
      <w:r>
        <w:rPr>
          <w:lang w:val="en-US"/>
        </w:rPr>
        <w:instrText xml:space="preserve"> REF _Ref124340101 \h  \* MERGEFORMAT </w:instrText>
      </w:r>
      <w:r>
        <w:rPr>
          <w:lang w:val="en-US"/>
        </w:rPr>
      </w:r>
      <w:r>
        <w:rPr>
          <w:lang w:val="en-US"/>
        </w:rPr>
        <w:fldChar w:fldCharType="separate"/>
      </w:r>
      <w:r w:rsidR="00BF6F93" w:rsidRPr="001D5D9E">
        <w:rPr>
          <w:lang w:val="en-US"/>
        </w:rPr>
        <w:t>Table 4</w:t>
      </w:r>
      <w:r>
        <w:rPr>
          <w:lang w:val="en-US"/>
        </w:rPr>
        <w:fldChar w:fldCharType="end"/>
      </w:r>
      <w:r>
        <w:rPr>
          <w:lang w:val="en-US"/>
        </w:rPr>
        <w:t>, respectively.</w:t>
      </w:r>
      <w:r w:rsidR="009B6877">
        <w:rPr>
          <w:lang w:val="en-US"/>
        </w:rPr>
        <w:t xml:space="preserve"> These are considered unchanged in this FFP DCAR.</w:t>
      </w:r>
    </w:p>
    <w:p w14:paraId="45344389" w14:textId="1E6B4FCD" w:rsidR="007E1A8D" w:rsidRPr="007E1A8D" w:rsidRDefault="007E1A8D" w:rsidP="00F9793D">
      <w:r w:rsidRPr="007E1A8D">
        <w:t xml:space="preserve">The proposed fee for </w:t>
      </w:r>
      <w:r w:rsidRPr="001C7560">
        <w:rPr>
          <w:vertAlign w:val="superscript"/>
        </w:rPr>
        <w:t>177</w:t>
      </w:r>
      <w:r w:rsidRPr="007E1A8D">
        <w:t>Lu</w:t>
      </w:r>
      <w:r w:rsidR="00F9793D">
        <w:t> </w:t>
      </w:r>
      <w:r w:rsidRPr="007E1A8D">
        <w:t>PSMA</w:t>
      </w:r>
      <w:r w:rsidR="00F9793D">
        <w:t> i&amp;t</w:t>
      </w:r>
      <w:r w:rsidRPr="007E1A8D">
        <w:t xml:space="preserve"> remains unchanged from the previous ADAR</w:t>
      </w:r>
      <w:r w:rsidR="00F9793D">
        <w:t>s</w:t>
      </w:r>
      <w:r w:rsidRPr="007E1A8D">
        <w:t xml:space="preserve"> at $8,000 per dose, which includes a whole body </w:t>
      </w:r>
      <w:r w:rsidR="00F9793D">
        <w:rPr>
          <w:vertAlign w:val="superscript"/>
        </w:rPr>
        <w:t>177</w:t>
      </w:r>
      <w:r w:rsidRPr="007E1A8D">
        <w:t>Lu-PSMA single-photon emission computed tomography (SPECT) 24 hours following each treatment. As noted in the commentary to the previous ADAR</w:t>
      </w:r>
      <w:r w:rsidR="00F9793D">
        <w:t>s</w:t>
      </w:r>
      <w:r w:rsidRPr="007E1A8D">
        <w:t>, the patient contribution ($1,200) may be prohibitive for some patients. Outpatient treatment is appropriate and currently in place with some providers, in these cases the greatest permissible gap (GPG;</w:t>
      </w:r>
      <w:r w:rsidR="00896A60">
        <w:t xml:space="preserve"> $98.70</w:t>
      </w:r>
      <w:r w:rsidRPr="007E1A8D">
        <w:t>) would apply.</w:t>
      </w:r>
    </w:p>
    <w:p w14:paraId="4625AC40" w14:textId="2D6E8957" w:rsidR="00CE453D" w:rsidRPr="00AF7248" w:rsidRDefault="00CE453D" w:rsidP="00CE453D">
      <w:pPr>
        <w:keepNext/>
        <w:keepLines/>
        <w:spacing w:before="240" w:after="120" w:line="288" w:lineRule="auto"/>
        <w:ind w:left="794" w:hanging="794"/>
        <w:rPr>
          <w:rFonts w:ascii="Arial Narrow" w:eastAsia="Calibri" w:hAnsi="Arial Narrow" w:cs="Calibri"/>
          <w:b/>
          <w:bCs/>
          <w:sz w:val="20"/>
          <w:szCs w:val="20"/>
        </w:rPr>
      </w:pPr>
      <w:bookmarkStart w:id="12" w:name="_Ref131631546"/>
      <w:r w:rsidRPr="00AF7248">
        <w:rPr>
          <w:rFonts w:ascii="Arial Narrow" w:eastAsia="Calibri" w:hAnsi="Arial Narrow" w:cs="Calibri"/>
          <w:b/>
          <w:bCs/>
          <w:sz w:val="20"/>
          <w:szCs w:val="20"/>
        </w:rPr>
        <w:lastRenderedPageBreak/>
        <w:t xml:space="preserve">Table </w:t>
      </w:r>
      <w:r w:rsidRPr="00AF7248">
        <w:rPr>
          <w:rFonts w:ascii="Arial Narrow" w:eastAsia="Calibri" w:hAnsi="Arial Narrow" w:cs="Calibri"/>
          <w:b/>
          <w:bCs/>
          <w:sz w:val="20"/>
          <w:szCs w:val="20"/>
        </w:rPr>
        <w:fldChar w:fldCharType="begin"/>
      </w:r>
      <w:r w:rsidRPr="00AF7248">
        <w:rPr>
          <w:rFonts w:ascii="Arial Narrow" w:eastAsia="Calibri" w:hAnsi="Arial Narrow" w:cs="Calibri"/>
          <w:b/>
          <w:bCs/>
          <w:sz w:val="20"/>
          <w:szCs w:val="20"/>
        </w:rPr>
        <w:instrText xml:space="preserve"> SEQ Table \* ARABIC </w:instrText>
      </w:r>
      <w:r w:rsidRPr="00AF7248">
        <w:rPr>
          <w:rFonts w:ascii="Arial Narrow" w:eastAsia="Calibri" w:hAnsi="Arial Narrow" w:cs="Calibri"/>
          <w:b/>
          <w:bCs/>
          <w:sz w:val="20"/>
          <w:szCs w:val="20"/>
        </w:rPr>
        <w:fldChar w:fldCharType="separate"/>
      </w:r>
      <w:r w:rsidR="00BF6F93">
        <w:rPr>
          <w:rFonts w:ascii="Arial Narrow" w:eastAsia="Calibri" w:hAnsi="Arial Narrow" w:cs="Calibri"/>
          <w:b/>
          <w:bCs/>
          <w:noProof/>
          <w:sz w:val="20"/>
          <w:szCs w:val="20"/>
        </w:rPr>
        <w:t>3</w:t>
      </w:r>
      <w:r w:rsidRPr="00AF7248">
        <w:rPr>
          <w:rFonts w:ascii="Arial Narrow" w:eastAsia="Calibri" w:hAnsi="Arial Narrow" w:cs="Calibri"/>
          <w:b/>
          <w:bCs/>
          <w:sz w:val="20"/>
          <w:szCs w:val="20"/>
        </w:rPr>
        <w:fldChar w:fldCharType="end"/>
      </w:r>
      <w:bookmarkEnd w:id="12"/>
      <w:r w:rsidRPr="00AF7248">
        <w:rPr>
          <w:rFonts w:ascii="Arial Narrow" w:eastAsia="Calibri" w:hAnsi="Arial Narrow" w:cs="Calibri"/>
          <w:b/>
          <w:bCs/>
          <w:sz w:val="20"/>
          <w:szCs w:val="20"/>
        </w:rPr>
        <w:tab/>
        <w:t>Proposed item descriptor for</w:t>
      </w:r>
      <w:r w:rsidR="00AF7248" w:rsidRPr="00AF7248">
        <w:rPr>
          <w:rFonts w:ascii="Arial Narrow" w:eastAsia="Calibri" w:hAnsi="Arial Narrow" w:cs="Calibri"/>
          <w:b/>
          <w:bCs/>
          <w:sz w:val="20"/>
          <w:szCs w:val="20"/>
        </w:rPr>
        <w:t xml:space="preserve"> </w:t>
      </w:r>
      <w:r w:rsidRPr="00AF7248">
        <w:rPr>
          <w:rFonts w:ascii="Arial Narrow" w:eastAsia="Calibri" w:hAnsi="Arial Narrow" w:cs="Calibri"/>
          <w:b/>
          <w:bCs/>
          <w:sz w:val="20"/>
          <w:szCs w:val="20"/>
        </w:rPr>
        <w:t>Lutetium 177 PSMA – initial phase</w:t>
      </w:r>
    </w:p>
    <w:tbl>
      <w:tblPr>
        <w:tblStyle w:val="LashStyleTable2"/>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CE453D" w:rsidRPr="00AF7248" w14:paraId="7DCCC5B0" w14:textId="77777777" w:rsidTr="00B86FF3">
        <w:trPr>
          <w:trHeight w:val="89"/>
        </w:trPr>
        <w:tc>
          <w:tcPr>
            <w:tcW w:w="5000" w:type="pct"/>
          </w:tcPr>
          <w:p w14:paraId="2E4DE812" w14:textId="77777777" w:rsidR="00CE453D" w:rsidRPr="00AF7248" w:rsidRDefault="00CE453D">
            <w:pPr>
              <w:keepNext/>
              <w:keepLines/>
              <w:spacing w:before="20" w:after="20"/>
              <w:rPr>
                <w:rFonts w:ascii="Arial Narrow" w:hAnsi="Arial Narrow" w:cs="Calibri"/>
                <w:b/>
                <w:bCs/>
                <w:sz w:val="20"/>
                <w:szCs w:val="20"/>
              </w:rPr>
            </w:pPr>
            <w:r w:rsidRPr="00AF7248">
              <w:rPr>
                <w:rFonts w:ascii="Arial Narrow" w:hAnsi="Arial Narrow" w:cs="Calibri"/>
                <w:b/>
                <w:bCs/>
                <w:sz w:val="20"/>
                <w:szCs w:val="20"/>
              </w:rPr>
              <w:t>Category 3 - Therapeutic Procedures T3. Therapeutic Nuclear Medicine</w:t>
            </w:r>
          </w:p>
        </w:tc>
      </w:tr>
      <w:tr w:rsidR="00CE453D" w:rsidRPr="00AF7248" w14:paraId="3393A940" w14:textId="77777777" w:rsidTr="00B86FF3">
        <w:tc>
          <w:tcPr>
            <w:tcW w:w="5000" w:type="pct"/>
          </w:tcPr>
          <w:p w14:paraId="33C8F842" w14:textId="77777777"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MBS item ZZZZ</w:t>
            </w:r>
          </w:p>
          <w:p w14:paraId="3FE8D79D" w14:textId="77777777" w:rsidR="00CE453D" w:rsidRPr="00AF7248" w:rsidRDefault="00CE453D">
            <w:pPr>
              <w:keepNext/>
              <w:keepLines/>
              <w:spacing w:before="20" w:after="20"/>
              <w:rPr>
                <w:rFonts w:ascii="Arial Narrow" w:hAnsi="Arial Narrow" w:cs="Calibri"/>
                <w:sz w:val="20"/>
                <w:szCs w:val="20"/>
              </w:rPr>
            </w:pPr>
          </w:p>
          <w:p w14:paraId="62A4817E" w14:textId="77777777"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Treatment phase: initial treatment</w:t>
            </w:r>
          </w:p>
          <w:p w14:paraId="5C08A859" w14:textId="77777777" w:rsidR="00CE453D" w:rsidRPr="00AF7248" w:rsidRDefault="00CE453D">
            <w:pPr>
              <w:keepNext/>
              <w:keepLines/>
              <w:spacing w:before="20" w:after="20"/>
              <w:rPr>
                <w:rFonts w:ascii="Arial Narrow" w:hAnsi="Arial Narrow" w:cs="Calibri"/>
                <w:sz w:val="20"/>
                <w:szCs w:val="20"/>
              </w:rPr>
            </w:pPr>
          </w:p>
          <w:p w14:paraId="532F358C" w14:textId="77777777"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 xml:space="preserve">Administration of </w:t>
            </w:r>
            <w:bookmarkStart w:id="13" w:name="_Hlk128398917"/>
            <w:r w:rsidRPr="00AF7248">
              <w:rPr>
                <w:rFonts w:ascii="Arial Narrow" w:hAnsi="Arial Narrow" w:cs="Calibri"/>
                <w:sz w:val="20"/>
                <w:szCs w:val="20"/>
              </w:rPr>
              <w:t xml:space="preserve">Lutetium 177 PSMA </w:t>
            </w:r>
            <w:bookmarkEnd w:id="13"/>
            <w:r w:rsidRPr="00AF7248">
              <w:rPr>
                <w:rFonts w:ascii="Arial Narrow" w:hAnsi="Arial Narrow" w:cs="Calibri"/>
                <w:sz w:val="20"/>
                <w:szCs w:val="20"/>
              </w:rPr>
              <w:t>followed 24 hours later by whole body Lu-PSMA single-photon emission computed tomography (SPECT) for treatment of a patient with metastatic castrate resistant prostate cancer, who is PSMA-positive as determined by PSMA PET defined as SUVmax &gt;15 at a single site of disease and SUVmax &gt;10 at all sites of measurable disease, after progressive disease has developed while on at least one taxane chemotherapy and at least one androgen receptor signalling inhibitor</w:t>
            </w:r>
          </w:p>
          <w:p w14:paraId="5526262F" w14:textId="40BFF8A8" w:rsidR="00CE453D" w:rsidRPr="00AF7248" w:rsidRDefault="00CE453D">
            <w:pPr>
              <w:keepNext/>
              <w:keepLines/>
              <w:spacing w:before="20" w:after="20"/>
              <w:rPr>
                <w:rFonts w:ascii="Arial Narrow" w:hAnsi="Arial Narrow" w:cs="Calibri"/>
                <w:i/>
                <w:iCs/>
                <w:sz w:val="20"/>
                <w:szCs w:val="20"/>
              </w:rPr>
            </w:pPr>
            <w:r w:rsidRPr="00AF7248">
              <w:rPr>
                <w:rFonts w:ascii="Arial Narrow" w:hAnsi="Arial Narrow" w:cs="Calibri"/>
                <w:sz w:val="20"/>
                <w:szCs w:val="20"/>
              </w:rPr>
              <w:t>A patient is eligible to claim once per cycle up to a maximum of 2 cycles in the initial treatment phase</w:t>
            </w:r>
            <w:r w:rsidRPr="00AF7248">
              <w:rPr>
                <w:rFonts w:ascii="Arial Narrow" w:hAnsi="Arial Narrow" w:cs="Calibri"/>
                <w:i/>
                <w:iCs/>
                <w:sz w:val="20"/>
                <w:szCs w:val="20"/>
              </w:rPr>
              <w:t>.</w:t>
            </w:r>
          </w:p>
        </w:tc>
      </w:tr>
      <w:tr w:rsidR="00CE453D" w:rsidRPr="00AF7248" w14:paraId="5CFD6CB4" w14:textId="77777777" w:rsidTr="00B86FF3">
        <w:trPr>
          <w:trHeight w:val="223"/>
        </w:trPr>
        <w:tc>
          <w:tcPr>
            <w:tcW w:w="5000" w:type="pct"/>
          </w:tcPr>
          <w:p w14:paraId="42D0BD5D" w14:textId="28FD1B14"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 xml:space="preserve">Fee: $8,000 Benefit: 85% = </w:t>
            </w:r>
            <w:r w:rsidR="00043FEF">
              <w:rPr>
                <w:rFonts w:ascii="Arial Narrow" w:hAnsi="Arial Narrow" w:cs="Calibri"/>
                <w:sz w:val="20"/>
                <w:szCs w:val="20"/>
              </w:rPr>
              <w:t>$7,90</w:t>
            </w:r>
            <w:r w:rsidR="0064477C">
              <w:rPr>
                <w:rFonts w:ascii="Arial Narrow" w:hAnsi="Arial Narrow" w:cs="Calibri"/>
                <w:sz w:val="20"/>
                <w:szCs w:val="20"/>
              </w:rPr>
              <w:t>1.30*</w:t>
            </w:r>
          </w:p>
        </w:tc>
      </w:tr>
    </w:tbl>
    <w:p w14:paraId="56CB13B0" w14:textId="77777777" w:rsidR="0064477C" w:rsidRDefault="0064477C" w:rsidP="006D5080">
      <w:pPr>
        <w:tabs>
          <w:tab w:val="left" w:pos="284"/>
        </w:tabs>
        <w:spacing w:before="0" w:after="0" w:line="240" w:lineRule="auto"/>
        <w:ind w:left="284" w:hanging="284"/>
        <w:rPr>
          <w:rFonts w:ascii="Arial Narrow" w:hAnsi="Arial Narrow"/>
          <w:sz w:val="18"/>
          <w:szCs w:val="18"/>
        </w:rPr>
      </w:pPr>
      <w:r>
        <w:rPr>
          <w:rFonts w:ascii="Arial Narrow" w:hAnsi="Arial Narrow"/>
          <w:sz w:val="18"/>
          <w:szCs w:val="18"/>
        </w:rPr>
        <w:t>Source: Table 3, p10 of the MSAC 1686.1 PSD, July 2023</w:t>
      </w:r>
    </w:p>
    <w:p w14:paraId="47BF365B" w14:textId="77777777" w:rsidR="0064477C" w:rsidRPr="00C7462B" w:rsidRDefault="0064477C" w:rsidP="006D5080">
      <w:pPr>
        <w:tabs>
          <w:tab w:val="left" w:pos="284"/>
        </w:tabs>
        <w:spacing w:before="0" w:after="0" w:line="240" w:lineRule="auto"/>
        <w:ind w:left="284" w:hanging="284"/>
        <w:rPr>
          <w:rFonts w:ascii="Calibri" w:hAnsi="Calibri"/>
        </w:rPr>
      </w:pPr>
      <w:r w:rsidRPr="3D76241C">
        <w:rPr>
          <w:rFonts w:ascii="Arial Narrow" w:hAnsi="Arial Narrow"/>
          <w:sz w:val="18"/>
          <w:szCs w:val="18"/>
        </w:rPr>
        <w:t>*</w:t>
      </w:r>
      <w:r>
        <w:tab/>
      </w:r>
      <w:r w:rsidRPr="00711A97">
        <w:rPr>
          <w:rFonts w:ascii="Arial Narrow" w:hAnsi="Arial Narrow"/>
          <w:sz w:val="18"/>
          <w:szCs w:val="18"/>
        </w:rPr>
        <w:t>85% benefit reflects the 1 November 2023 Greatest Permissible Gap (GPG) of $98.70. All out-of-hospital Medicare services that have an MBS fee of $658.35 or more will attract a benefit that is greater than 85% of the MBS fee – being the schedule fee less the GPG amount. The GPG amount is indexed annually on 1 November in line with the Consumer Price Index (CPI) (June quarter).</w:t>
      </w:r>
    </w:p>
    <w:p w14:paraId="6AFF5CDD" w14:textId="6EA3BDF8" w:rsidR="001C7560" w:rsidRDefault="001C7560" w:rsidP="006D5080">
      <w:pPr>
        <w:tabs>
          <w:tab w:val="left" w:pos="0"/>
        </w:tabs>
        <w:spacing w:after="360" w:line="240" w:lineRule="auto"/>
      </w:pPr>
      <w:r w:rsidRPr="001C7560">
        <w:t>The criteria for eligibility for initial treatment remains the same as that in the previous ADAR</w:t>
      </w:r>
      <w:r w:rsidR="00F9793D">
        <w:t>s</w:t>
      </w:r>
      <w:r w:rsidRPr="001C7560">
        <w:t>. Patients are required to be PSMA-positive as determined by PSMA PET defined as SUV</w:t>
      </w:r>
      <w:r w:rsidRPr="00F9793D">
        <w:rPr>
          <w:vertAlign w:val="subscript"/>
        </w:rPr>
        <w:t>max</w:t>
      </w:r>
      <w:r w:rsidRPr="001C7560">
        <w:t xml:space="preserve"> &gt;15 at a single site of disease and SUV</w:t>
      </w:r>
      <w:r w:rsidRPr="00F9793D">
        <w:rPr>
          <w:vertAlign w:val="subscript"/>
        </w:rPr>
        <w:t>max</w:t>
      </w:r>
      <w:r w:rsidRPr="001C7560">
        <w:t xml:space="preserve"> &gt;10 at all sites of measurable disease, after progressive disease has developed while on at least one taxane chemotherapy and at least one androgen receptor signalling inhibitor. The initial phase is limited to 2 cycles.</w:t>
      </w:r>
    </w:p>
    <w:p w14:paraId="15FA2F48" w14:textId="39F49AD3" w:rsidR="00FA71E1" w:rsidRPr="001C7560" w:rsidRDefault="00FA71E1" w:rsidP="00F9793D">
      <w:r w:rsidRPr="00CD5A4F">
        <w:t xml:space="preserve">The item descriptor for continuing treatment </w:t>
      </w:r>
      <w:r>
        <w:t>wa</w:t>
      </w:r>
      <w:r w:rsidRPr="00CD5A4F">
        <w:t xml:space="preserve">s limited to those who do not develop disease progression while on treatment with </w:t>
      </w:r>
      <w:r w:rsidRPr="00CD5A4F">
        <w:rPr>
          <w:vertAlign w:val="superscript"/>
        </w:rPr>
        <w:t>177</w:t>
      </w:r>
      <w:r w:rsidRPr="00CD5A4F">
        <w:t>Lu</w:t>
      </w:r>
      <w:r>
        <w:t> </w:t>
      </w:r>
      <w:r w:rsidRPr="00CD5A4F">
        <w:t>PSMA</w:t>
      </w:r>
      <w:r>
        <w:t> i&amp;t</w:t>
      </w:r>
      <w:r w:rsidRPr="001C7560">
        <w:rPr>
          <w:i/>
          <w:iCs/>
        </w:rPr>
        <w:t xml:space="preserve">. </w:t>
      </w:r>
      <w:r w:rsidRPr="001C7560">
        <w:t>Disease progression is defined as a rise in PSA of &gt; 2</w:t>
      </w:r>
      <w:r>
        <w:t xml:space="preserve"> </w:t>
      </w:r>
      <w:r w:rsidRPr="001C7560">
        <w:t xml:space="preserve">ng/mL confirmed by 2 tests a minimum 2 weeks apart or evidence of new soft tissue </w:t>
      </w:r>
      <w:r w:rsidRPr="00CD5A4F">
        <w:t>metastases on diagnostic CT as per RECIST criteria.</w:t>
      </w:r>
      <w:r>
        <w:t xml:space="preserve"> The a</w:t>
      </w:r>
      <w:r w:rsidRPr="00A100B4">
        <w:t xml:space="preserve">pplicant </w:t>
      </w:r>
      <w:r>
        <w:t>subsequently</w:t>
      </w:r>
      <w:r w:rsidRPr="00BC66B1">
        <w:t xml:space="preserve"> proposed an amendment that disease progression would be defined in the item descriptor as an ‘increase in serum PSA of at least 25% and at least 2 ng/mL after 12 weeks or evidence of new soft tissue metastases on diagnostic CT’</w:t>
      </w:r>
      <w:r>
        <w:t xml:space="preserve"> </w:t>
      </w:r>
      <w:r w:rsidRPr="00AF10ED">
        <w:t>(MSAC 1686.1 PSD</w:t>
      </w:r>
      <w:r>
        <w:t xml:space="preserve"> July 2023</w:t>
      </w:r>
      <w:r w:rsidRPr="00AF10ED">
        <w:t>, p.5)</w:t>
      </w:r>
      <w:r w:rsidRPr="00BC66B1">
        <w:t>.</w:t>
      </w:r>
    </w:p>
    <w:p w14:paraId="71267264" w14:textId="4652D984" w:rsidR="001C7560" w:rsidRPr="001C7560" w:rsidRDefault="00FA71E1" w:rsidP="00F9793D">
      <w:pPr>
        <w:rPr>
          <w:rFonts w:ascii="Montserrat" w:hAnsi="Montserrat"/>
          <w:sz w:val="18"/>
          <w:szCs w:val="20"/>
        </w:rPr>
      </w:pPr>
      <w:r>
        <w:t>As noted above, t</w:t>
      </w:r>
      <w:r w:rsidR="001C7560" w:rsidRPr="001C7560">
        <w:t xml:space="preserve">he </w:t>
      </w:r>
      <w:r>
        <w:t xml:space="preserve">resubmission </w:t>
      </w:r>
      <w:r w:rsidR="001C7560" w:rsidRPr="001C7560">
        <w:t>ADAR propose</w:t>
      </w:r>
      <w:r>
        <w:t>d</w:t>
      </w:r>
      <w:r w:rsidR="001C7560" w:rsidRPr="001C7560">
        <w:t xml:space="preserve"> the initial phase of treatment constitutes at least 2 cycles of treatment before the assessment of response based on the results from </w:t>
      </w:r>
      <w:r>
        <w:t xml:space="preserve">the Re-SPECT study reported by </w:t>
      </w:r>
      <w:r w:rsidR="001C7560" w:rsidRPr="001C7560">
        <w:t>Emmett et al (2023).</w:t>
      </w:r>
    </w:p>
    <w:p w14:paraId="71EFF029" w14:textId="3428DEAE" w:rsidR="00CE453D" w:rsidRPr="00AF7248" w:rsidRDefault="00CE453D" w:rsidP="00CE453D">
      <w:pPr>
        <w:keepNext/>
        <w:keepLines/>
        <w:spacing w:before="240" w:after="120" w:line="288" w:lineRule="auto"/>
        <w:ind w:left="794" w:hanging="794"/>
        <w:rPr>
          <w:rFonts w:ascii="Arial Narrow" w:eastAsia="Calibri" w:hAnsi="Arial Narrow" w:cs="Calibri"/>
          <w:b/>
          <w:bCs/>
          <w:sz w:val="20"/>
          <w:szCs w:val="20"/>
        </w:rPr>
      </w:pPr>
      <w:bookmarkStart w:id="14" w:name="_Ref124340101"/>
      <w:r w:rsidRPr="00AF7248">
        <w:rPr>
          <w:rFonts w:ascii="Arial Narrow" w:eastAsia="Calibri" w:hAnsi="Arial Narrow" w:cs="Calibri"/>
          <w:b/>
          <w:bCs/>
          <w:sz w:val="20"/>
          <w:szCs w:val="20"/>
        </w:rPr>
        <w:t xml:space="preserve">Table </w:t>
      </w:r>
      <w:r w:rsidRPr="00AF7248">
        <w:rPr>
          <w:rFonts w:ascii="Arial Narrow" w:eastAsia="Calibri" w:hAnsi="Arial Narrow" w:cs="Calibri"/>
          <w:b/>
          <w:bCs/>
          <w:sz w:val="20"/>
          <w:szCs w:val="20"/>
        </w:rPr>
        <w:fldChar w:fldCharType="begin"/>
      </w:r>
      <w:r w:rsidRPr="00AF7248">
        <w:rPr>
          <w:rFonts w:ascii="Arial Narrow" w:eastAsia="Calibri" w:hAnsi="Arial Narrow" w:cs="Calibri"/>
          <w:b/>
          <w:bCs/>
          <w:sz w:val="20"/>
          <w:szCs w:val="20"/>
        </w:rPr>
        <w:instrText xml:space="preserve"> SEQ Table \* ARABIC </w:instrText>
      </w:r>
      <w:r w:rsidRPr="00AF7248">
        <w:rPr>
          <w:rFonts w:ascii="Arial Narrow" w:eastAsia="Calibri" w:hAnsi="Arial Narrow" w:cs="Calibri"/>
          <w:b/>
          <w:bCs/>
          <w:sz w:val="20"/>
          <w:szCs w:val="20"/>
        </w:rPr>
        <w:fldChar w:fldCharType="separate"/>
      </w:r>
      <w:r w:rsidR="00BF6F93">
        <w:rPr>
          <w:rFonts w:ascii="Arial Narrow" w:eastAsia="Calibri" w:hAnsi="Arial Narrow" w:cs="Calibri"/>
          <w:b/>
          <w:bCs/>
          <w:noProof/>
          <w:sz w:val="20"/>
          <w:szCs w:val="20"/>
        </w:rPr>
        <w:t>4</w:t>
      </w:r>
      <w:r w:rsidRPr="00AF7248">
        <w:rPr>
          <w:rFonts w:ascii="Arial Narrow" w:eastAsia="Calibri" w:hAnsi="Arial Narrow" w:cs="Calibri"/>
          <w:b/>
          <w:bCs/>
          <w:sz w:val="20"/>
          <w:szCs w:val="20"/>
        </w:rPr>
        <w:fldChar w:fldCharType="end"/>
      </w:r>
      <w:bookmarkEnd w:id="14"/>
      <w:r w:rsidRPr="00AF7248">
        <w:rPr>
          <w:rFonts w:ascii="Arial Narrow" w:eastAsia="Calibri" w:hAnsi="Arial Narrow" w:cs="Calibri"/>
          <w:b/>
          <w:bCs/>
          <w:sz w:val="20"/>
          <w:szCs w:val="20"/>
        </w:rPr>
        <w:tab/>
        <w:t>Proposed item descriptor for Lutetium 177 PSMA – continuing phase</w:t>
      </w:r>
    </w:p>
    <w:tbl>
      <w:tblPr>
        <w:tblStyle w:val="LashStyleTable2"/>
        <w:tblW w:w="5000" w:type="pct"/>
        <w:tblLook w:val="04A0" w:firstRow="1" w:lastRow="0" w:firstColumn="1" w:lastColumn="0" w:noHBand="0" w:noVBand="1"/>
        <w:tblCaption w:val="Proposed item descriptor for PSMA PET/CT"/>
        <w:tblDescription w:val="Proposed item descriptor for diagnostic testing of PSMA PET/CT for eligibility of 177Lu PSMA therapy in mCRPC. "/>
      </w:tblPr>
      <w:tblGrid>
        <w:gridCol w:w="9016"/>
      </w:tblGrid>
      <w:tr w:rsidR="00CE453D" w:rsidRPr="00AF7248" w14:paraId="7307E6F6" w14:textId="77777777">
        <w:trPr>
          <w:trHeight w:val="89"/>
        </w:trPr>
        <w:tc>
          <w:tcPr>
            <w:tcW w:w="5000" w:type="pct"/>
          </w:tcPr>
          <w:p w14:paraId="1CDD5B65" w14:textId="77777777" w:rsidR="00CE453D" w:rsidRPr="00AF7248" w:rsidRDefault="00CE453D">
            <w:pPr>
              <w:keepNext/>
              <w:keepLines/>
              <w:spacing w:before="20" w:after="20"/>
              <w:rPr>
                <w:rFonts w:ascii="Arial Narrow" w:hAnsi="Arial Narrow" w:cs="Calibri"/>
                <w:b/>
                <w:bCs/>
                <w:sz w:val="20"/>
                <w:szCs w:val="20"/>
              </w:rPr>
            </w:pPr>
            <w:r w:rsidRPr="00AF7248">
              <w:rPr>
                <w:rFonts w:ascii="Arial Narrow" w:hAnsi="Arial Narrow" w:cs="Calibri"/>
                <w:b/>
                <w:bCs/>
                <w:sz w:val="20"/>
                <w:szCs w:val="20"/>
              </w:rPr>
              <w:t>Category 3 - Therapeutic Procedures T3. Therapeutic Nuclear Medicine</w:t>
            </w:r>
          </w:p>
        </w:tc>
      </w:tr>
      <w:tr w:rsidR="00CE453D" w:rsidRPr="00AF7248" w14:paraId="5C01938D" w14:textId="77777777">
        <w:tc>
          <w:tcPr>
            <w:tcW w:w="5000" w:type="pct"/>
          </w:tcPr>
          <w:p w14:paraId="23E7282A" w14:textId="2269DBD2"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MBS item YYYY</w:t>
            </w:r>
          </w:p>
          <w:p w14:paraId="757BB870" w14:textId="5222CD45" w:rsidR="00CE453D" w:rsidRPr="00AF7248" w:rsidRDefault="00CE453D" w:rsidP="00443961">
            <w:pPr>
              <w:keepNext/>
              <w:keepLines/>
              <w:spacing w:after="120"/>
              <w:rPr>
                <w:rFonts w:ascii="Arial Narrow" w:hAnsi="Arial Narrow" w:cs="Calibri"/>
                <w:sz w:val="20"/>
                <w:szCs w:val="20"/>
              </w:rPr>
            </w:pPr>
            <w:r w:rsidRPr="00AF7248">
              <w:rPr>
                <w:rFonts w:ascii="Arial Narrow" w:hAnsi="Arial Narrow" w:cs="Calibri"/>
                <w:sz w:val="20"/>
                <w:szCs w:val="20"/>
              </w:rPr>
              <w:t>Treatment phase: continuing treatment</w:t>
            </w:r>
          </w:p>
          <w:p w14:paraId="265F980D" w14:textId="77777777"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Administration of Lutetium 177 PSMA followed 24 hours later by whole body Lu-PSMA single-photon emission computed tomography (SPECT) for treatment of a patient with metastatic castrate resistant prostate cancer, if:</w:t>
            </w:r>
          </w:p>
          <w:p w14:paraId="3C58EBD6" w14:textId="77777777" w:rsidR="00CE453D" w:rsidRPr="00AF7248" w:rsidRDefault="00CE453D" w:rsidP="001359E7">
            <w:pPr>
              <w:keepNext/>
              <w:keepLines/>
              <w:numPr>
                <w:ilvl w:val="0"/>
                <w:numId w:val="13"/>
              </w:numPr>
              <w:spacing w:before="20" w:after="20"/>
              <w:rPr>
                <w:rFonts w:ascii="Arial Narrow" w:hAnsi="Arial Narrow" w:cs="Calibri"/>
                <w:sz w:val="20"/>
                <w:szCs w:val="20"/>
              </w:rPr>
            </w:pPr>
            <w:r w:rsidRPr="00AF7248">
              <w:rPr>
                <w:rFonts w:ascii="Arial Narrow" w:hAnsi="Arial Narrow" w:cs="Calibri"/>
                <w:sz w:val="20"/>
                <w:szCs w:val="20"/>
              </w:rPr>
              <w:t>a service to which item ZZZZ has been provided; and</w:t>
            </w:r>
          </w:p>
          <w:p w14:paraId="3A5C44AA" w14:textId="77777777" w:rsidR="00CE453D" w:rsidRPr="00AF7248" w:rsidRDefault="00CE453D" w:rsidP="001359E7">
            <w:pPr>
              <w:keepNext/>
              <w:keepLines/>
              <w:numPr>
                <w:ilvl w:val="0"/>
                <w:numId w:val="13"/>
              </w:numPr>
              <w:spacing w:before="20" w:after="20"/>
              <w:rPr>
                <w:rFonts w:ascii="Arial Narrow" w:hAnsi="Arial Narrow" w:cs="Calibri"/>
                <w:sz w:val="20"/>
                <w:szCs w:val="20"/>
              </w:rPr>
            </w:pPr>
            <w:r w:rsidRPr="00AF7248">
              <w:rPr>
                <w:rFonts w:ascii="Arial Narrow" w:hAnsi="Arial Narrow" w:cs="Calibri"/>
                <w:sz w:val="20"/>
                <w:szCs w:val="20"/>
              </w:rPr>
              <w:t>the patient must not have developed disease progression while receiving Lutetium 177 PSMA for this condition</w:t>
            </w:r>
          </w:p>
          <w:p w14:paraId="51CB6F80" w14:textId="77777777" w:rsidR="00CE453D" w:rsidRPr="00AF7248" w:rsidRDefault="00CE453D" w:rsidP="00443961">
            <w:pPr>
              <w:keepNext/>
              <w:keepLines/>
              <w:spacing w:after="20"/>
              <w:rPr>
                <w:rFonts w:ascii="Arial Narrow" w:hAnsi="Arial Narrow" w:cs="Calibri"/>
                <w:sz w:val="20"/>
                <w:szCs w:val="20"/>
              </w:rPr>
            </w:pPr>
            <w:r w:rsidRPr="00AF7248">
              <w:rPr>
                <w:rFonts w:ascii="Arial Narrow" w:hAnsi="Arial Narrow" w:cs="Calibri"/>
                <w:sz w:val="20"/>
                <w:szCs w:val="20"/>
              </w:rPr>
              <w:t xml:space="preserve">Disease progression for the purposes of administering MBS item YYYY is defined as a rise in PSA of &gt; 2 ng/mL confirmed by 2 tests a minimum 2 weeks </w:t>
            </w:r>
            <w:r w:rsidRPr="00FA71E1">
              <w:rPr>
                <w:rFonts w:ascii="Arial Narrow" w:hAnsi="Arial Narrow" w:cs="Calibri"/>
                <w:sz w:val="20"/>
                <w:szCs w:val="20"/>
              </w:rPr>
              <w:t xml:space="preserve">apart and/or </w:t>
            </w:r>
            <w:bookmarkStart w:id="15" w:name="_Hlk130548930"/>
            <w:r w:rsidRPr="00FA71E1">
              <w:rPr>
                <w:rFonts w:ascii="Arial Narrow" w:hAnsi="Arial Narrow" w:cs="Calibri"/>
                <w:sz w:val="20"/>
                <w:szCs w:val="20"/>
              </w:rPr>
              <w:t>evidence of new soft tissue metastases on diagnostic CT as per RECIST criteria.</w:t>
            </w:r>
            <w:bookmarkEnd w:id="15"/>
          </w:p>
          <w:p w14:paraId="712CBAA7" w14:textId="77777777" w:rsidR="00CE453D" w:rsidRPr="00AF7248" w:rsidRDefault="00CE453D" w:rsidP="00443961">
            <w:pPr>
              <w:keepNext/>
              <w:keepLines/>
              <w:spacing w:after="20"/>
              <w:rPr>
                <w:rFonts w:ascii="Arial Narrow" w:hAnsi="Arial Narrow" w:cs="Calibri"/>
                <w:i/>
                <w:iCs/>
                <w:sz w:val="20"/>
                <w:szCs w:val="20"/>
              </w:rPr>
            </w:pPr>
            <w:r w:rsidRPr="00AF7248">
              <w:rPr>
                <w:rFonts w:ascii="Arial Narrow" w:hAnsi="Arial Narrow" w:cs="Calibri"/>
                <w:sz w:val="20"/>
                <w:szCs w:val="20"/>
              </w:rPr>
              <w:t>A patient is eligible to claim once per cycle up to a maximum of 4 cycles in the continuing treatment phase.</w:t>
            </w:r>
          </w:p>
        </w:tc>
      </w:tr>
      <w:tr w:rsidR="00CE453D" w:rsidRPr="00AF7248" w14:paraId="14CBD8BB" w14:textId="77777777">
        <w:trPr>
          <w:trHeight w:val="223"/>
        </w:trPr>
        <w:tc>
          <w:tcPr>
            <w:tcW w:w="5000" w:type="pct"/>
          </w:tcPr>
          <w:p w14:paraId="43865DDE" w14:textId="64B8AE13" w:rsidR="00CE453D" w:rsidRPr="00AF7248" w:rsidRDefault="00CE453D">
            <w:pPr>
              <w:keepNext/>
              <w:keepLines/>
              <w:spacing w:before="20" w:after="20"/>
              <w:rPr>
                <w:rFonts w:ascii="Arial Narrow" w:hAnsi="Arial Narrow" w:cs="Calibri"/>
                <w:sz w:val="20"/>
                <w:szCs w:val="20"/>
              </w:rPr>
            </w:pPr>
            <w:r w:rsidRPr="00AF7248">
              <w:rPr>
                <w:rFonts w:ascii="Arial Narrow" w:hAnsi="Arial Narrow" w:cs="Calibri"/>
                <w:sz w:val="20"/>
                <w:szCs w:val="20"/>
              </w:rPr>
              <w:t xml:space="preserve">Fee: $8,000 Benefit: 85% = </w:t>
            </w:r>
            <w:r w:rsidR="0064477C">
              <w:rPr>
                <w:rFonts w:ascii="Arial Narrow" w:hAnsi="Arial Narrow" w:cs="Calibri"/>
                <w:sz w:val="20"/>
                <w:szCs w:val="20"/>
              </w:rPr>
              <w:t>$7,901.30*</w:t>
            </w:r>
            <w:r w:rsidR="00896A60">
              <w:rPr>
                <w:rFonts w:ascii="Arial Narrow" w:hAnsi="Arial Narrow" w:cs="Calibri"/>
                <w:sz w:val="20"/>
                <w:szCs w:val="20"/>
              </w:rPr>
              <w:t xml:space="preserve"> </w:t>
            </w:r>
          </w:p>
        </w:tc>
      </w:tr>
    </w:tbl>
    <w:p w14:paraId="16CAF9D7" w14:textId="539A5810" w:rsidR="0064477C" w:rsidRDefault="0064477C" w:rsidP="0064477C">
      <w:pPr>
        <w:tabs>
          <w:tab w:val="left" w:pos="284"/>
        </w:tabs>
        <w:spacing w:before="0" w:after="0" w:line="240" w:lineRule="auto"/>
        <w:ind w:left="284" w:hanging="284"/>
        <w:rPr>
          <w:rFonts w:ascii="Arial Narrow" w:hAnsi="Arial Narrow"/>
          <w:sz w:val="18"/>
          <w:szCs w:val="18"/>
        </w:rPr>
      </w:pPr>
      <w:r>
        <w:rPr>
          <w:rFonts w:ascii="Arial Narrow" w:hAnsi="Arial Narrow"/>
          <w:sz w:val="18"/>
          <w:szCs w:val="18"/>
        </w:rPr>
        <w:t>Source: Table 4, p11 of the MSAC 1686.1 PSD, July 2023</w:t>
      </w:r>
    </w:p>
    <w:p w14:paraId="03DF6861" w14:textId="77777777" w:rsidR="0064477C" w:rsidRPr="00C7462B" w:rsidRDefault="0064477C" w:rsidP="0064477C">
      <w:pPr>
        <w:tabs>
          <w:tab w:val="left" w:pos="284"/>
        </w:tabs>
        <w:spacing w:before="0" w:after="0" w:line="240" w:lineRule="auto"/>
        <w:ind w:left="284" w:hanging="284"/>
        <w:rPr>
          <w:rFonts w:ascii="Calibri" w:hAnsi="Calibri"/>
        </w:rPr>
      </w:pPr>
      <w:r w:rsidRPr="3D76241C">
        <w:rPr>
          <w:rFonts w:ascii="Arial Narrow" w:hAnsi="Arial Narrow"/>
          <w:sz w:val="18"/>
          <w:szCs w:val="18"/>
        </w:rPr>
        <w:t>*</w:t>
      </w:r>
      <w:r>
        <w:tab/>
      </w:r>
      <w:r w:rsidRPr="00711A97">
        <w:rPr>
          <w:rFonts w:ascii="Arial Narrow" w:hAnsi="Arial Narrow"/>
          <w:sz w:val="18"/>
          <w:szCs w:val="18"/>
        </w:rPr>
        <w:t>85% benefit reflects the 1 November 2023 Greatest Permissible Gap (GPG) of $98.70. All out-of-hospital Medicare services that have an MBS fee of $658.35 or more will attract a benefit that is greater than 85% of the MBS fee – being the schedule fee less the GPG amount. The GPG amount is indexed annually on 1 November in line with the Consumer Price Index (CPI) (June quarter).</w:t>
      </w:r>
    </w:p>
    <w:p w14:paraId="1565E170" w14:textId="60E799F7" w:rsidR="00CD3EAA" w:rsidRPr="00725A45" w:rsidRDefault="00CD3EAA" w:rsidP="006D5080">
      <w:pPr>
        <w:tabs>
          <w:tab w:val="left" w:pos="0"/>
        </w:tabs>
        <w:spacing w:line="240" w:lineRule="auto"/>
      </w:pPr>
      <w:r w:rsidRPr="00725A45">
        <w:lastRenderedPageBreak/>
        <w:t xml:space="preserve">Effectively, with </w:t>
      </w:r>
      <w:r w:rsidR="00FA71E1">
        <w:t xml:space="preserve">the </w:t>
      </w:r>
      <w:r w:rsidRPr="00725A45">
        <w:t>introduction of the 2-step treatment algorithm, the research question is altered into the comparative effectiveness and cost-effectiveness analysis of the three alternative treatment strategies (</w:t>
      </w:r>
      <w:r w:rsidR="00FA71E1">
        <w:t xml:space="preserve">(1) </w:t>
      </w:r>
      <w:r w:rsidR="00FA71E1" w:rsidRPr="001C7560">
        <w:rPr>
          <w:vertAlign w:val="superscript"/>
        </w:rPr>
        <w:t>177</w:t>
      </w:r>
      <w:r w:rsidR="00FA71E1" w:rsidRPr="007E1A8D">
        <w:t>Lu</w:t>
      </w:r>
      <w:r w:rsidR="00FA71E1">
        <w:t> </w:t>
      </w:r>
      <w:r w:rsidR="00FA71E1" w:rsidRPr="007E1A8D">
        <w:t>PSMA</w:t>
      </w:r>
      <w:r w:rsidR="00FA71E1">
        <w:t> i&amp;t</w:t>
      </w:r>
      <w:r w:rsidRPr="00725A45">
        <w:t xml:space="preserve"> for 6 cycles; </w:t>
      </w:r>
      <w:r w:rsidR="00FA71E1">
        <w:t xml:space="preserve">(2) </w:t>
      </w:r>
      <w:r w:rsidR="00FA71E1" w:rsidRPr="001C7560">
        <w:rPr>
          <w:vertAlign w:val="superscript"/>
        </w:rPr>
        <w:t>177</w:t>
      </w:r>
      <w:r w:rsidR="00FA71E1" w:rsidRPr="007E1A8D">
        <w:t>Lu</w:t>
      </w:r>
      <w:r w:rsidR="00FA71E1">
        <w:t> </w:t>
      </w:r>
      <w:r w:rsidR="00FA71E1" w:rsidRPr="007E1A8D">
        <w:t>PSMA</w:t>
      </w:r>
      <w:r w:rsidR="00FA71E1">
        <w:t> i&amp;t</w:t>
      </w:r>
      <w:r w:rsidR="00FA71E1" w:rsidRPr="007E1A8D">
        <w:t xml:space="preserve"> </w:t>
      </w:r>
      <w:r w:rsidRPr="00725A45">
        <w:t xml:space="preserve">for the first two cycles followed by an alternative treatment; and </w:t>
      </w:r>
      <w:r w:rsidR="00FA71E1">
        <w:t>(3)</w:t>
      </w:r>
      <w:r w:rsidRPr="00725A45">
        <w:t xml:space="preserve"> current treatment – </w:t>
      </w:r>
      <w:r w:rsidR="00412AB1">
        <w:t>best supportive care</w:t>
      </w:r>
      <w:r w:rsidRPr="00725A45">
        <w:t xml:space="preserve"> : cabazitaxel). While the VISION and TheraP trials provide evidence on the first and the third treatment strategies, enrolling, due to their randomised nature, the same mCRPC populations in both arms of the trials, the population suggested for the second strategy is distinctly different from the population eligible for the first </w:t>
      </w:r>
      <w:r w:rsidR="00FA71E1" w:rsidRPr="001C7560">
        <w:rPr>
          <w:vertAlign w:val="superscript"/>
        </w:rPr>
        <w:t>177</w:t>
      </w:r>
      <w:r w:rsidR="00FA71E1" w:rsidRPr="007E1A8D">
        <w:t>Lu</w:t>
      </w:r>
      <w:r w:rsidR="00FA71E1">
        <w:t> </w:t>
      </w:r>
      <w:r w:rsidR="00FA71E1" w:rsidRPr="007E1A8D">
        <w:t>PSMA</w:t>
      </w:r>
      <w:r w:rsidR="00FA71E1">
        <w:t> i&amp;t</w:t>
      </w:r>
      <w:r w:rsidRPr="00725A45">
        <w:t xml:space="preserve"> strategy (as demonstrated by analysis of their baseline difference and clinical outcomes in Re-SPECT study). Although the K-M data is available for the </w:t>
      </w:r>
      <w:r w:rsidR="00FA71E1" w:rsidRPr="001C7560">
        <w:rPr>
          <w:vertAlign w:val="superscript"/>
        </w:rPr>
        <w:t>177</w:t>
      </w:r>
      <w:r w:rsidR="00FA71E1" w:rsidRPr="007E1A8D">
        <w:t>Lu</w:t>
      </w:r>
      <w:r w:rsidR="00FA71E1">
        <w:t> </w:t>
      </w:r>
      <w:r w:rsidR="00FA71E1" w:rsidRPr="007E1A8D">
        <w:t>PSMA</w:t>
      </w:r>
      <w:r w:rsidR="00FA71E1">
        <w:t> i&amp;t</w:t>
      </w:r>
      <w:r w:rsidR="00FA71E1" w:rsidRPr="007E1A8D">
        <w:t xml:space="preserve"> </w:t>
      </w:r>
      <w:r w:rsidRPr="00725A45">
        <w:t>treatment strategies, there is no comparator evidence corresponding to the current treatment available to these subgroups of patients.</w:t>
      </w:r>
    </w:p>
    <w:p w14:paraId="34E0B08F" w14:textId="68E4439D" w:rsidR="00772829" w:rsidRDefault="00295AD6" w:rsidP="002A18BE">
      <w:pPr>
        <w:pStyle w:val="Heading2"/>
        <w:numPr>
          <w:ilvl w:val="0"/>
          <w:numId w:val="0"/>
        </w:numPr>
      </w:pPr>
      <w:r>
        <w:t>7</w:t>
      </w:r>
      <w:r w:rsidR="00C36633">
        <w:t>.</w:t>
      </w:r>
      <w:r w:rsidR="00C36633">
        <w:tab/>
      </w:r>
      <w:r w:rsidR="00772829" w:rsidRPr="00CE28E3">
        <w:t>Population</w:t>
      </w:r>
      <w:bookmarkEnd w:id="10"/>
    </w:p>
    <w:p w14:paraId="3D059539" w14:textId="77777777" w:rsidR="00CD5D29" w:rsidRPr="006245F0" w:rsidRDefault="00CD5D29" w:rsidP="00D95D70">
      <w:pPr>
        <w:keepNext/>
        <w:contextualSpacing/>
      </w:pPr>
      <w:r w:rsidRPr="006245F0">
        <w:t>Patients who have:</w:t>
      </w:r>
    </w:p>
    <w:p w14:paraId="1A3A7AFC" w14:textId="0136FF01" w:rsidR="00CD5D29" w:rsidRPr="006245F0" w:rsidRDefault="00CD5D29" w:rsidP="00D95D70">
      <w:pPr>
        <w:tabs>
          <w:tab w:val="left" w:pos="284"/>
        </w:tabs>
        <w:contextualSpacing/>
      </w:pPr>
      <w:r w:rsidRPr="006245F0">
        <w:t>•</w:t>
      </w:r>
      <w:r w:rsidRPr="006245F0">
        <w:tab/>
        <w:t>progressive or symptomatic metastatic castrate resistant prostate cancer (mCRPC), AND</w:t>
      </w:r>
    </w:p>
    <w:p w14:paraId="508CCFC4" w14:textId="6D1311F4" w:rsidR="00CD5D29" w:rsidRPr="006245F0" w:rsidRDefault="00CD5D29" w:rsidP="00D95D70">
      <w:pPr>
        <w:tabs>
          <w:tab w:val="left" w:pos="284"/>
        </w:tabs>
        <w:contextualSpacing/>
      </w:pPr>
      <w:r w:rsidRPr="006245F0">
        <w:t>•</w:t>
      </w:r>
      <w:r w:rsidRPr="006245F0">
        <w:tab/>
        <w:t>received:</w:t>
      </w:r>
    </w:p>
    <w:p w14:paraId="450B7136" w14:textId="7A1C0B0D" w:rsidR="00CD5D29" w:rsidRPr="006245F0" w:rsidRDefault="00CD5D29" w:rsidP="00D95D70">
      <w:pPr>
        <w:ind w:left="567" w:hanging="283"/>
        <w:contextualSpacing/>
      </w:pPr>
      <w:r w:rsidRPr="006245F0">
        <w:t>-</w:t>
      </w:r>
      <w:r w:rsidRPr="006245F0">
        <w:tab/>
        <w:t>at least one ASI (abiraterone / enzalutamide / darolutamide via PBS/RPBS), AND</w:t>
      </w:r>
    </w:p>
    <w:p w14:paraId="002AF82F" w14:textId="736147E8" w:rsidR="00CD5D29" w:rsidRPr="006245F0" w:rsidRDefault="00CD5D29" w:rsidP="00D95D70">
      <w:pPr>
        <w:ind w:left="567" w:hanging="283"/>
        <w:contextualSpacing/>
      </w:pPr>
      <w:r w:rsidRPr="006245F0">
        <w:t>-</w:t>
      </w:r>
      <w:r w:rsidRPr="006245F0">
        <w:tab/>
        <w:t>at least one line of chemotherapy (docetaxel +/- cabazitaxel via PBS/RPBS)</w:t>
      </w:r>
      <w:r w:rsidR="007302FA" w:rsidRPr="006245F0">
        <w:t>.</w:t>
      </w:r>
    </w:p>
    <w:p w14:paraId="4457F343" w14:textId="77777777" w:rsidR="00CD5D29" w:rsidRPr="006245F0" w:rsidRDefault="00CD5D29" w:rsidP="00741CB2">
      <w:pPr>
        <w:keepNext/>
        <w:spacing w:after="0" w:line="240" w:lineRule="auto"/>
      </w:pPr>
      <w:r w:rsidRPr="006245F0">
        <w:rPr>
          <w:u w:val="single"/>
        </w:rPr>
        <w:t>Diagnostic test 1</w:t>
      </w:r>
      <w:r w:rsidRPr="006245F0">
        <w:t>: PSMA PET/CT</w:t>
      </w:r>
    </w:p>
    <w:p w14:paraId="47A93FFA" w14:textId="241C82E8" w:rsidR="00CD5D29" w:rsidRPr="006245F0" w:rsidRDefault="00CD5D29" w:rsidP="00741CB2">
      <w:pPr>
        <w:spacing w:before="0"/>
      </w:pPr>
      <w:r w:rsidRPr="006245F0">
        <w:rPr>
          <w:i/>
          <w:iCs/>
        </w:rPr>
        <w:t>If positive</w:t>
      </w:r>
      <w:r w:rsidRPr="006245F0">
        <w:t xml:space="preserve"> </w:t>
      </w:r>
      <w:r w:rsidR="007159DB" w:rsidRPr="00F829F8">
        <w:rPr>
          <w:i/>
          <w:iCs/>
        </w:rPr>
        <w:t>maximum standardised uptake value</w:t>
      </w:r>
      <w:r w:rsidR="007159DB" w:rsidRPr="00F829F8">
        <w:rPr>
          <w:sz w:val="28"/>
          <w:szCs w:val="28"/>
        </w:rPr>
        <w:t xml:space="preserve"> </w:t>
      </w:r>
      <w:r w:rsidRPr="006245F0">
        <w:t>(SUV</w:t>
      </w:r>
      <w:r w:rsidRPr="006245F0">
        <w:rPr>
          <w:vertAlign w:val="subscript"/>
        </w:rPr>
        <w:t>max</w:t>
      </w:r>
      <w:r w:rsidRPr="006245F0">
        <w:t xml:space="preserve"> of &gt;15 at </w:t>
      </w:r>
      <w:r w:rsidRPr="006245F0">
        <w:rPr>
          <w:rFonts w:cs="Calibri"/>
        </w:rPr>
        <w:t>≥</w:t>
      </w:r>
      <w:r w:rsidRPr="006245F0">
        <w:t xml:space="preserve">1 disease site </w:t>
      </w:r>
      <w:r w:rsidRPr="006245F0">
        <w:rPr>
          <w:i/>
          <w:iCs/>
        </w:rPr>
        <w:t>AND</w:t>
      </w:r>
      <w:r w:rsidRPr="006245F0">
        <w:t xml:space="preserve"> SUV</w:t>
      </w:r>
      <w:r w:rsidRPr="006245F0">
        <w:rPr>
          <w:vertAlign w:val="subscript"/>
        </w:rPr>
        <w:t>max</w:t>
      </w:r>
      <w:r w:rsidRPr="006245F0">
        <w:t xml:space="preserve"> &gt;10 at all measurable sites)</w:t>
      </w:r>
      <w:r w:rsidR="00DF5994" w:rsidRPr="006245F0">
        <w:t xml:space="preserve"> and</w:t>
      </w:r>
      <w:r w:rsidRPr="006245F0">
        <w:t xml:space="preserve"> adequate marrow/liver/renal function</w:t>
      </w:r>
      <w:r w:rsidR="00DF5994" w:rsidRPr="006245F0">
        <w:t>, patients</w:t>
      </w:r>
      <w:r w:rsidRPr="006245F0">
        <w:t xml:space="preserve"> are </w:t>
      </w:r>
      <w:r w:rsidR="00DF5994" w:rsidRPr="006245F0">
        <w:t xml:space="preserve">then </w:t>
      </w:r>
      <w:r w:rsidRPr="006245F0">
        <w:t>eligible for</w:t>
      </w:r>
    </w:p>
    <w:p w14:paraId="43083FA6" w14:textId="77777777" w:rsidR="00CD5D29" w:rsidRPr="006245F0" w:rsidRDefault="00CD5D29" w:rsidP="00DF5994">
      <w:pPr>
        <w:keepNext/>
        <w:spacing w:after="0" w:line="240" w:lineRule="auto"/>
      </w:pPr>
      <w:r w:rsidRPr="006245F0">
        <w:rPr>
          <w:u w:val="single"/>
        </w:rPr>
        <w:t>Therapeutic intervention</w:t>
      </w:r>
      <w:r w:rsidRPr="006245F0">
        <w:t>:</w:t>
      </w:r>
    </w:p>
    <w:p w14:paraId="2E7E9760" w14:textId="205B2870" w:rsidR="00CD5D29" w:rsidRDefault="00F11BA2">
      <w:pPr>
        <w:pStyle w:val="ListParagraph"/>
        <w:numPr>
          <w:ilvl w:val="0"/>
          <w:numId w:val="10"/>
        </w:numPr>
        <w:spacing w:before="0" w:after="0" w:line="240" w:lineRule="auto"/>
      </w:pPr>
      <w:r w:rsidRPr="001C7560">
        <w:rPr>
          <w:vertAlign w:val="superscript"/>
        </w:rPr>
        <w:t>177</w:t>
      </w:r>
      <w:r w:rsidRPr="007E1A8D">
        <w:t>Lu</w:t>
      </w:r>
      <w:r>
        <w:t> </w:t>
      </w:r>
      <w:r w:rsidRPr="007E1A8D">
        <w:t>PSMA</w:t>
      </w:r>
      <w:r>
        <w:t> i&amp;t</w:t>
      </w:r>
      <w:r w:rsidR="00CD5D29" w:rsidRPr="006245F0">
        <w:t xml:space="preserve">, 7.5-8.5 GBq IVI every 6 weeks for up to </w:t>
      </w:r>
      <w:r w:rsidR="00D95D70">
        <w:t>2</w:t>
      </w:r>
      <w:r w:rsidR="00CD5D29" w:rsidRPr="006245F0">
        <w:t xml:space="preserve"> cycles</w:t>
      </w:r>
      <w:r w:rsidR="00D95D70">
        <w:t xml:space="preserve"> (initial)</w:t>
      </w:r>
    </w:p>
    <w:p w14:paraId="39E1815C" w14:textId="64061180" w:rsidR="00D95D70" w:rsidRDefault="00F11BA2" w:rsidP="00D95D70">
      <w:pPr>
        <w:pStyle w:val="ListParagraph"/>
        <w:numPr>
          <w:ilvl w:val="0"/>
          <w:numId w:val="10"/>
        </w:numPr>
        <w:spacing w:before="0" w:after="0" w:line="240" w:lineRule="auto"/>
      </w:pPr>
      <w:r w:rsidRPr="001C7560">
        <w:rPr>
          <w:vertAlign w:val="superscript"/>
        </w:rPr>
        <w:t>177</w:t>
      </w:r>
      <w:r w:rsidRPr="007E1A8D">
        <w:t>Lu</w:t>
      </w:r>
      <w:r>
        <w:t> </w:t>
      </w:r>
      <w:r w:rsidRPr="007E1A8D">
        <w:t>PSMA</w:t>
      </w:r>
      <w:r>
        <w:t> i&amp;t</w:t>
      </w:r>
      <w:r w:rsidR="00D95D70" w:rsidRPr="006245F0">
        <w:t xml:space="preserve">, 7.5-8.5 GBq IVI every 6 weeks for up to </w:t>
      </w:r>
      <w:r w:rsidR="00D95D70">
        <w:t>4</w:t>
      </w:r>
      <w:r w:rsidR="00D95D70" w:rsidRPr="006245F0">
        <w:t xml:space="preserve"> cycles</w:t>
      </w:r>
      <w:r w:rsidR="00D95D70">
        <w:t xml:space="preserve"> (continuing; if have not developed disease progression while being treated with </w:t>
      </w:r>
      <w:r w:rsidR="00D95D70">
        <w:rPr>
          <w:vertAlign w:val="superscript"/>
        </w:rPr>
        <w:t>177</w:t>
      </w:r>
      <w:r w:rsidR="00D95D70">
        <w:t>Lu-PSMA)</w:t>
      </w:r>
    </w:p>
    <w:p w14:paraId="7EDECC7E" w14:textId="6E5341B1" w:rsidR="00CD5D29" w:rsidRPr="006245F0" w:rsidRDefault="00CD5D29">
      <w:pPr>
        <w:pStyle w:val="ListParagraph"/>
        <w:numPr>
          <w:ilvl w:val="0"/>
          <w:numId w:val="10"/>
        </w:numPr>
        <w:spacing w:before="0" w:after="0" w:line="240" w:lineRule="auto"/>
      </w:pPr>
      <w:r w:rsidRPr="006245F0">
        <w:rPr>
          <w:vertAlign w:val="superscript"/>
        </w:rPr>
        <w:t>177</w:t>
      </w:r>
      <w:r w:rsidRPr="006245F0">
        <w:t>Lu</w:t>
      </w:r>
      <w:r w:rsidR="00F11BA2">
        <w:t> </w:t>
      </w:r>
      <w:r w:rsidRPr="006245F0">
        <w:t>PSMA SPECT/CT 24 hours post-infusion</w:t>
      </w:r>
      <w:r w:rsidR="00665903" w:rsidRPr="006245F0">
        <w:t xml:space="preserve"> for each cycle</w:t>
      </w:r>
    </w:p>
    <w:p w14:paraId="25684253" w14:textId="67F0E1A4" w:rsidR="00CD5D29" w:rsidRPr="006245F0" w:rsidRDefault="00CD5D29" w:rsidP="00DF5994">
      <w:pPr>
        <w:spacing w:before="160" w:after="120"/>
      </w:pPr>
      <w:r w:rsidRPr="006245F0">
        <w:t>The diagnostic test (PSMA PET/CT) will not replace any currently funded tests.</w:t>
      </w:r>
    </w:p>
    <w:p w14:paraId="65B97CD7" w14:textId="173E63D9" w:rsidR="00CD5D29" w:rsidRPr="006245F0" w:rsidRDefault="00CD5D29" w:rsidP="00CD5D29">
      <w:r w:rsidRPr="006245F0">
        <w:t>The intervention (</w:t>
      </w:r>
      <w:r w:rsidR="00F11BA2" w:rsidRPr="001C7560">
        <w:rPr>
          <w:vertAlign w:val="superscript"/>
        </w:rPr>
        <w:t>177</w:t>
      </w:r>
      <w:r w:rsidR="00F11BA2" w:rsidRPr="007E1A8D">
        <w:t>Lu</w:t>
      </w:r>
      <w:r w:rsidR="00F11BA2">
        <w:t> </w:t>
      </w:r>
      <w:r w:rsidR="00F11BA2" w:rsidRPr="007E1A8D">
        <w:t>PSMA</w:t>
      </w:r>
      <w:r w:rsidR="00F11BA2">
        <w:t> i&amp;t</w:t>
      </w:r>
      <w:r w:rsidRPr="006245F0">
        <w:t>) will replace or displace cabazitaxel and displace best supportive care.</w:t>
      </w:r>
    </w:p>
    <w:p w14:paraId="66BDFCC1" w14:textId="3E45FC2A" w:rsidR="00772829" w:rsidRDefault="00295AD6" w:rsidP="002A18BE">
      <w:pPr>
        <w:pStyle w:val="Heading2"/>
        <w:numPr>
          <w:ilvl w:val="0"/>
          <w:numId w:val="0"/>
        </w:numPr>
      </w:pPr>
      <w:bookmarkStart w:id="16" w:name="_Toc69491420"/>
      <w:r>
        <w:t>8</w:t>
      </w:r>
      <w:r w:rsidR="00C36633">
        <w:t>.</w:t>
      </w:r>
      <w:r w:rsidR="00C36633">
        <w:tab/>
      </w:r>
      <w:r w:rsidR="00772829" w:rsidRPr="00CE28E3">
        <w:t>Comparator</w:t>
      </w:r>
      <w:bookmarkEnd w:id="16"/>
    </w:p>
    <w:p w14:paraId="13A9DDA0" w14:textId="5D79EC44" w:rsidR="00291FD7" w:rsidRPr="006245F0" w:rsidRDefault="00291FD7" w:rsidP="00291FD7">
      <w:pPr>
        <w:spacing w:after="0" w:line="240" w:lineRule="auto"/>
      </w:pPr>
      <w:r w:rsidRPr="006245F0">
        <w:rPr>
          <w:u w:val="single"/>
        </w:rPr>
        <w:t>Diagnostic test</w:t>
      </w:r>
      <w:r w:rsidRPr="006245F0">
        <w:t>: no testing with PSMA PET/CT</w:t>
      </w:r>
    </w:p>
    <w:p w14:paraId="76A80D4D" w14:textId="77777777" w:rsidR="00291FD7" w:rsidRPr="006245F0" w:rsidRDefault="00291FD7" w:rsidP="00741CB2">
      <w:pPr>
        <w:keepNext/>
        <w:spacing w:after="0" w:line="240" w:lineRule="auto"/>
      </w:pPr>
      <w:r w:rsidRPr="006245F0">
        <w:rPr>
          <w:u w:val="single"/>
        </w:rPr>
        <w:t>Therapy</w:t>
      </w:r>
      <w:r w:rsidRPr="006245F0">
        <w:t>:</w:t>
      </w:r>
    </w:p>
    <w:p w14:paraId="28133C6F" w14:textId="5D3FAE25" w:rsidR="00291FD7" w:rsidRPr="006245F0" w:rsidRDefault="00741CB2">
      <w:pPr>
        <w:pStyle w:val="ListParagraph"/>
        <w:numPr>
          <w:ilvl w:val="0"/>
          <w:numId w:val="11"/>
        </w:numPr>
        <w:spacing w:before="0" w:after="0" w:line="240" w:lineRule="auto"/>
      </w:pPr>
      <w:r w:rsidRPr="006245F0">
        <w:t>c</w:t>
      </w:r>
      <w:r w:rsidR="00291FD7" w:rsidRPr="006245F0">
        <w:t>abazitaxel; or</w:t>
      </w:r>
    </w:p>
    <w:p w14:paraId="0723F741" w14:textId="128A60FA" w:rsidR="00295AD6" w:rsidRDefault="00291FD7" w:rsidP="00295AD6">
      <w:pPr>
        <w:pStyle w:val="ListParagraph"/>
        <w:numPr>
          <w:ilvl w:val="0"/>
          <w:numId w:val="11"/>
        </w:numPr>
        <w:spacing w:before="0" w:after="0" w:line="240" w:lineRule="auto"/>
      </w:pPr>
      <w:r w:rsidRPr="006245F0">
        <w:t>standard care if prior cabazitaxel, or unsuitable/unwilling for cabazitaxel.</w:t>
      </w:r>
    </w:p>
    <w:p w14:paraId="3AC02B77" w14:textId="77777777" w:rsidR="00295AD6" w:rsidRDefault="00295AD6" w:rsidP="00295AD6">
      <w:pPr>
        <w:pStyle w:val="Heading2"/>
        <w:numPr>
          <w:ilvl w:val="0"/>
          <w:numId w:val="0"/>
        </w:numPr>
      </w:pPr>
      <w:r>
        <w:t>9.</w:t>
      </w:r>
      <w:r>
        <w:tab/>
      </w:r>
      <w:r w:rsidRPr="00CE28E3">
        <w:t xml:space="preserve">Summary of public consultation </w:t>
      </w:r>
      <w:r>
        <w:t>input</w:t>
      </w:r>
    </w:p>
    <w:p w14:paraId="75B9BDFC" w14:textId="77777777" w:rsidR="00295AD6" w:rsidRDefault="00295AD6" w:rsidP="00443961">
      <w:pPr>
        <w:pStyle w:val="paragraph"/>
        <w:spacing w:before="0" w:beforeAutospacing="0" w:after="0" w:afterAutospacing="0"/>
        <w:textAlignment w:val="baseline"/>
        <w:rPr>
          <w:rFonts w:ascii="Franklin Gothic Book" w:hAnsi="Franklin Gothic Book"/>
          <w:sz w:val="22"/>
          <w:szCs w:val="22"/>
        </w:rPr>
      </w:pPr>
      <w:r>
        <w:rPr>
          <w:rStyle w:val="normaltextrun"/>
          <w:rFonts w:ascii="Franklin Gothic Book" w:hAnsi="Franklin Gothic Book"/>
          <w:sz w:val="22"/>
          <w:szCs w:val="22"/>
        </w:rPr>
        <w:t xml:space="preserve">The previous ADAR 1686.1 considered by MSAC in July 2023, received input from 11 organisations and three (3) consumer organisations (14 organisations in total): For further details see the </w:t>
      </w:r>
      <w:hyperlink r:id="rId13" w:tgtFrame="_blank" w:history="1">
        <w:r>
          <w:rPr>
            <w:rStyle w:val="normaltextrun"/>
            <w:rFonts w:ascii="Franklin Gothic Book" w:hAnsi="Franklin Gothic Book"/>
            <w:color w:val="0070C0"/>
            <w:sz w:val="22"/>
            <w:szCs w:val="22"/>
            <w:u w:val="single"/>
          </w:rPr>
          <w:t>1686.1 Public Summary Document</w:t>
        </w:r>
      </w:hyperlink>
      <w:r>
        <w:rPr>
          <w:rStyle w:val="normaltextrun"/>
          <w:rFonts w:ascii="Franklin Gothic Book" w:hAnsi="Franklin Gothic Book"/>
          <w:sz w:val="22"/>
          <w:szCs w:val="22"/>
        </w:rPr>
        <w:t xml:space="preserve"> (pages 13-14).</w:t>
      </w:r>
      <w:r>
        <w:rPr>
          <w:rStyle w:val="eop"/>
          <w:rFonts w:ascii="Franklin Gothic Book" w:hAnsi="Franklin Gothic Book"/>
          <w:sz w:val="22"/>
          <w:szCs w:val="22"/>
        </w:rPr>
        <w:t> </w:t>
      </w:r>
    </w:p>
    <w:p w14:paraId="71BA6627" w14:textId="77777777" w:rsidR="00295AD6" w:rsidRDefault="00295AD6" w:rsidP="00443961">
      <w:pPr>
        <w:pStyle w:val="paragraph"/>
        <w:spacing w:before="0" w:beforeAutospacing="0" w:after="0" w:afterAutospacing="0"/>
        <w:textAlignment w:val="baseline"/>
        <w:rPr>
          <w:rFonts w:ascii="Franklin Gothic Book" w:hAnsi="Franklin Gothic Book"/>
          <w:sz w:val="22"/>
          <w:szCs w:val="22"/>
        </w:rPr>
      </w:pPr>
      <w:r>
        <w:rPr>
          <w:rStyle w:val="normaltextrun"/>
          <w:rFonts w:ascii="Franklin Gothic Book" w:hAnsi="Franklin Gothic Book"/>
          <w:sz w:val="22"/>
          <w:szCs w:val="22"/>
        </w:rPr>
        <w:t>Additional feedback was received for the current FFP DCAR 1686.1 from four organisations who previously provided input and one additional organisation, resulting in a total of 15 organisations (of which 5 were private companies and 3 consumer and patient advocacy organisations).</w:t>
      </w:r>
      <w:r>
        <w:rPr>
          <w:rStyle w:val="eop"/>
          <w:rFonts w:ascii="Franklin Gothic Book" w:hAnsi="Franklin Gothic Book"/>
          <w:sz w:val="22"/>
          <w:szCs w:val="22"/>
        </w:rPr>
        <w:t> </w:t>
      </w:r>
    </w:p>
    <w:p w14:paraId="16EDDEE1" w14:textId="77777777" w:rsidR="00295AD6" w:rsidRDefault="00295AD6" w:rsidP="00443961">
      <w:pPr>
        <w:pStyle w:val="paragraph"/>
        <w:spacing w:before="240" w:beforeAutospacing="0" w:after="0" w:afterAutospacing="0"/>
        <w:textAlignment w:val="baseline"/>
        <w:rPr>
          <w:rFonts w:ascii="Franklin Gothic Book" w:hAnsi="Franklin Gothic Book"/>
          <w:sz w:val="22"/>
          <w:szCs w:val="22"/>
        </w:rPr>
      </w:pPr>
      <w:r>
        <w:rPr>
          <w:rStyle w:val="normaltextrun"/>
          <w:rFonts w:ascii="Franklin Gothic Book" w:hAnsi="Franklin Gothic Book"/>
          <w:sz w:val="22"/>
          <w:szCs w:val="22"/>
        </w:rPr>
        <w:lastRenderedPageBreak/>
        <w:t>As with the previous feedback received, all consumer organisations and most other organisations were supportive of the application.</w:t>
      </w:r>
      <w:r>
        <w:rPr>
          <w:rStyle w:val="eop"/>
          <w:rFonts w:ascii="Franklin Gothic Book" w:hAnsi="Franklin Gothic Book"/>
          <w:sz w:val="22"/>
          <w:szCs w:val="22"/>
        </w:rPr>
        <w:t> </w:t>
      </w:r>
    </w:p>
    <w:p w14:paraId="3E8C2931" w14:textId="77777777" w:rsidR="00295AD6" w:rsidRDefault="00295AD6" w:rsidP="00443961">
      <w:pPr>
        <w:pStyle w:val="paragraph"/>
        <w:spacing w:before="240" w:beforeAutospacing="0" w:after="0" w:afterAutospacing="0"/>
        <w:textAlignment w:val="baseline"/>
        <w:rPr>
          <w:rFonts w:ascii="Franklin Gothic Book" w:hAnsi="Franklin Gothic Book"/>
          <w:sz w:val="22"/>
          <w:szCs w:val="22"/>
        </w:rPr>
      </w:pPr>
      <w:r>
        <w:rPr>
          <w:rStyle w:val="normaltextrun"/>
          <w:rFonts w:ascii="Franklin Gothic Book" w:hAnsi="Franklin Gothic Book"/>
          <w:sz w:val="22"/>
          <w:szCs w:val="22"/>
        </w:rPr>
        <w:t>The benefits of the proposed medical service for patients were considered to include the following:</w:t>
      </w:r>
      <w:r>
        <w:rPr>
          <w:rStyle w:val="eop"/>
          <w:rFonts w:ascii="Franklin Gothic Book" w:hAnsi="Franklin Gothic Book"/>
          <w:sz w:val="22"/>
          <w:szCs w:val="22"/>
        </w:rPr>
        <w:t> </w:t>
      </w:r>
    </w:p>
    <w:p w14:paraId="22151345" w14:textId="77777777" w:rsidR="00295AD6" w:rsidRDefault="00295AD6" w:rsidP="00443961">
      <w:pPr>
        <w:pStyle w:val="paragraph"/>
        <w:numPr>
          <w:ilvl w:val="0"/>
          <w:numId w:val="27"/>
        </w:numPr>
        <w:tabs>
          <w:tab w:val="clear" w:pos="720"/>
        </w:tabs>
        <w:spacing w:before="0" w:beforeAutospacing="0" w:after="0" w:afterAutospacing="0"/>
        <w:ind w:left="426" w:firstLine="0"/>
        <w:textAlignment w:val="baseline"/>
        <w:rPr>
          <w:rFonts w:ascii="Franklin Gothic Book" w:hAnsi="Franklin Gothic Book"/>
          <w:sz w:val="22"/>
          <w:szCs w:val="22"/>
        </w:rPr>
      </w:pPr>
      <w:r>
        <w:rPr>
          <w:rStyle w:val="normaltextrun"/>
          <w:rFonts w:ascii="Franklin Gothic Book" w:hAnsi="Franklin Gothic Book"/>
          <w:sz w:val="22"/>
          <w:szCs w:val="22"/>
        </w:rPr>
        <w:t>Two organisations considered the proposed service would provide an alternative effective treatment, which is preferred by consumers due to poorly tolerated drug treatments. Additionally, one patient advocacy organisation highlighted the important quality of life benefits associated with the proposed treatment, including significantly less pain, fatigue and nausea; and also providing patients who have limited life expectancy a choice and a viable treatment option, that allows them to retain social functioning to spend quality time with their loved ones.</w:t>
      </w:r>
      <w:r>
        <w:rPr>
          <w:rStyle w:val="eop"/>
          <w:rFonts w:ascii="Franklin Gothic Book" w:hAnsi="Franklin Gothic Book"/>
          <w:sz w:val="22"/>
          <w:szCs w:val="22"/>
        </w:rPr>
        <w:t> </w:t>
      </w:r>
    </w:p>
    <w:p w14:paraId="1D910912" w14:textId="77777777" w:rsidR="00295AD6" w:rsidRDefault="00295AD6" w:rsidP="00443961">
      <w:pPr>
        <w:pStyle w:val="paragraph"/>
        <w:numPr>
          <w:ilvl w:val="0"/>
          <w:numId w:val="27"/>
        </w:numPr>
        <w:tabs>
          <w:tab w:val="clear" w:pos="720"/>
        </w:tabs>
        <w:spacing w:before="0" w:beforeAutospacing="0" w:after="0" w:afterAutospacing="0"/>
        <w:ind w:left="426" w:firstLine="0"/>
        <w:textAlignment w:val="baseline"/>
        <w:rPr>
          <w:rFonts w:ascii="Franklin Gothic Book" w:hAnsi="Franklin Gothic Book"/>
          <w:sz w:val="22"/>
          <w:szCs w:val="22"/>
        </w:rPr>
      </w:pPr>
      <w:r>
        <w:rPr>
          <w:rStyle w:val="normaltextrun"/>
          <w:rFonts w:ascii="Franklin Gothic Book" w:hAnsi="Franklin Gothic Book"/>
          <w:sz w:val="22"/>
          <w:szCs w:val="22"/>
        </w:rPr>
        <w:t>One organisation stated it strongly supports the proposed two-step approach to treatment. Additionally, one specialist organisation considered this method has the advantage of selecting patients who will benefit from a full treatment course of 177-Lutetium PSMA therapy and avoids providing this therapy to patients unlikely to benefit.</w:t>
      </w:r>
      <w:r>
        <w:rPr>
          <w:rStyle w:val="eop"/>
          <w:rFonts w:ascii="Franklin Gothic Book" w:hAnsi="Franklin Gothic Book"/>
          <w:sz w:val="22"/>
          <w:szCs w:val="22"/>
        </w:rPr>
        <w:t> </w:t>
      </w:r>
    </w:p>
    <w:p w14:paraId="6015CA8F" w14:textId="77777777" w:rsidR="00295AD6" w:rsidRDefault="00295AD6" w:rsidP="00443961">
      <w:pPr>
        <w:pStyle w:val="paragraph"/>
        <w:numPr>
          <w:ilvl w:val="0"/>
          <w:numId w:val="27"/>
        </w:numPr>
        <w:tabs>
          <w:tab w:val="clear" w:pos="720"/>
        </w:tabs>
        <w:spacing w:before="0" w:beforeAutospacing="0" w:after="0" w:afterAutospacing="0"/>
        <w:ind w:left="426" w:firstLine="0"/>
        <w:textAlignment w:val="baseline"/>
        <w:rPr>
          <w:rFonts w:ascii="Franklin Gothic Book" w:hAnsi="Franklin Gothic Book"/>
          <w:sz w:val="22"/>
          <w:szCs w:val="22"/>
        </w:rPr>
      </w:pPr>
      <w:r>
        <w:rPr>
          <w:rStyle w:val="normaltextrun"/>
          <w:rFonts w:ascii="Franklin Gothic Book" w:hAnsi="Franklin Gothic Book"/>
          <w:sz w:val="22"/>
          <w:szCs w:val="22"/>
        </w:rPr>
        <w:t>One specialist organisation also considered that public funding would make this treatment more accessible and affordable, which would provide more equitable access to this proven effective treatment.</w:t>
      </w:r>
      <w:r>
        <w:rPr>
          <w:rStyle w:val="eop"/>
          <w:rFonts w:ascii="Franklin Gothic Book" w:hAnsi="Franklin Gothic Book"/>
          <w:sz w:val="22"/>
          <w:szCs w:val="22"/>
        </w:rPr>
        <w:t> </w:t>
      </w:r>
    </w:p>
    <w:p w14:paraId="3F08B3AE" w14:textId="77777777" w:rsidR="00295AD6" w:rsidRDefault="00295AD6" w:rsidP="00443961">
      <w:pPr>
        <w:pStyle w:val="paragraph"/>
        <w:spacing w:before="240" w:beforeAutospacing="0" w:after="0" w:afterAutospacing="0"/>
        <w:textAlignment w:val="baseline"/>
        <w:rPr>
          <w:rFonts w:ascii="Franklin Gothic Book" w:hAnsi="Franklin Gothic Book"/>
          <w:sz w:val="22"/>
          <w:szCs w:val="22"/>
        </w:rPr>
      </w:pPr>
      <w:r>
        <w:rPr>
          <w:rStyle w:val="normaltextrun"/>
          <w:rFonts w:ascii="Franklin Gothic Book" w:hAnsi="Franklin Gothic Book"/>
          <w:sz w:val="22"/>
          <w:szCs w:val="22"/>
        </w:rPr>
        <w:t>The concerns raised in the consultation feedback for the proposed intervention included:</w:t>
      </w:r>
      <w:r>
        <w:rPr>
          <w:rStyle w:val="eop"/>
          <w:rFonts w:ascii="Franklin Gothic Book" w:hAnsi="Franklin Gothic Book"/>
          <w:sz w:val="22"/>
          <w:szCs w:val="22"/>
        </w:rPr>
        <w:t> </w:t>
      </w:r>
    </w:p>
    <w:p w14:paraId="4BE1EAFC" w14:textId="52CF633F" w:rsidR="00295AD6" w:rsidRDefault="00295AD6" w:rsidP="00443961">
      <w:pPr>
        <w:pStyle w:val="paragraph"/>
        <w:numPr>
          <w:ilvl w:val="0"/>
          <w:numId w:val="28"/>
        </w:numPr>
        <w:tabs>
          <w:tab w:val="clear" w:pos="720"/>
        </w:tabs>
        <w:spacing w:before="0" w:beforeAutospacing="0" w:after="0" w:afterAutospacing="0"/>
        <w:ind w:left="426" w:firstLine="0"/>
        <w:textAlignment w:val="baseline"/>
        <w:rPr>
          <w:rFonts w:ascii="Franklin Gothic Book" w:hAnsi="Franklin Gothic Book"/>
          <w:sz w:val="22"/>
          <w:szCs w:val="22"/>
        </w:rPr>
      </w:pPr>
      <w:r>
        <w:rPr>
          <w:rStyle w:val="normaltextrun"/>
          <w:rFonts w:ascii="Franklin Gothic Book" w:hAnsi="Franklin Gothic Book"/>
          <w:sz w:val="22"/>
          <w:szCs w:val="22"/>
        </w:rPr>
        <w:t xml:space="preserve">One commercial organisation raised </w:t>
      </w:r>
      <w:r w:rsidR="00C6339D">
        <w:rPr>
          <w:rStyle w:val="normaltextrun"/>
          <w:rFonts w:ascii="Franklin Gothic Book" w:hAnsi="Franklin Gothic Book"/>
          <w:sz w:val="22"/>
          <w:szCs w:val="22"/>
        </w:rPr>
        <w:t>several</w:t>
      </w:r>
      <w:r>
        <w:rPr>
          <w:rStyle w:val="normaltextrun"/>
          <w:rFonts w:ascii="Franklin Gothic Book" w:hAnsi="Franklin Gothic Book"/>
          <w:sz w:val="22"/>
          <w:szCs w:val="22"/>
        </w:rPr>
        <w:t xml:space="preserve"> issues with the application: </w:t>
      </w:r>
      <w:r>
        <w:rPr>
          <w:rStyle w:val="eop"/>
          <w:rFonts w:ascii="Franklin Gothic Book" w:hAnsi="Franklin Gothic Book"/>
          <w:sz w:val="22"/>
          <w:szCs w:val="22"/>
        </w:rPr>
        <w:t> </w:t>
      </w:r>
    </w:p>
    <w:p w14:paraId="3500980B" w14:textId="33462831" w:rsidR="00295AD6" w:rsidRDefault="00295AD6" w:rsidP="00443961">
      <w:pPr>
        <w:pStyle w:val="paragraph"/>
        <w:numPr>
          <w:ilvl w:val="0"/>
          <w:numId w:val="29"/>
        </w:numPr>
        <w:tabs>
          <w:tab w:val="clear" w:pos="720"/>
        </w:tabs>
        <w:spacing w:before="0" w:beforeAutospacing="0" w:after="0" w:afterAutospacing="0"/>
        <w:ind w:left="993" w:firstLine="0"/>
        <w:textAlignment w:val="baseline"/>
        <w:rPr>
          <w:rFonts w:ascii="Franklin Gothic Book" w:hAnsi="Franklin Gothic Book"/>
          <w:sz w:val="22"/>
          <w:szCs w:val="22"/>
        </w:rPr>
      </w:pPr>
      <w:r>
        <w:rPr>
          <w:rStyle w:val="normaltextrun"/>
          <w:rFonts w:ascii="Franklin Gothic Book" w:hAnsi="Franklin Gothic Book"/>
          <w:sz w:val="22"/>
          <w:szCs w:val="22"/>
        </w:rPr>
        <w:t>The organisation reiterated a previous submission</w:t>
      </w:r>
      <w:r w:rsidR="00C6339D">
        <w:rPr>
          <w:rStyle w:val="normaltextrun"/>
          <w:rFonts w:ascii="Franklin Gothic Book" w:hAnsi="Franklin Gothic Book"/>
          <w:sz w:val="22"/>
          <w:szCs w:val="22"/>
        </w:rPr>
        <w:t xml:space="preserve"> </w:t>
      </w:r>
      <w:r>
        <w:rPr>
          <w:rStyle w:val="normaltextrun"/>
          <w:rFonts w:ascii="Franklin Gothic Book" w:hAnsi="Franklin Gothic Book"/>
          <w:sz w:val="22"/>
          <w:szCs w:val="22"/>
        </w:rPr>
        <w:t xml:space="preserve">that there was insufficient evidence to support the therapeutic equivalence between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LuPSMA</w:t>
      </w:r>
      <w:r>
        <w:rPr>
          <w:rStyle w:val="normaltextrun"/>
          <w:rFonts w:ascii="Arial" w:hAnsi="Arial" w:cs="Arial"/>
          <w:sz w:val="22"/>
          <w:szCs w:val="22"/>
        </w:rPr>
        <w:t> </w:t>
      </w:r>
      <w:r>
        <w:rPr>
          <w:rStyle w:val="normaltextrun"/>
          <w:rFonts w:ascii="Franklin Gothic Book" w:hAnsi="Franklin Gothic Book"/>
          <w:sz w:val="22"/>
          <w:szCs w:val="22"/>
        </w:rPr>
        <w:t xml:space="preserve">i&amp;t and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w:t>
      </w:r>
      <w:r>
        <w:rPr>
          <w:rStyle w:val="normaltextrun"/>
          <w:rFonts w:ascii="Arial" w:hAnsi="Arial" w:cs="Arial"/>
          <w:sz w:val="22"/>
          <w:szCs w:val="22"/>
        </w:rPr>
        <w:t> </w:t>
      </w:r>
      <w:r>
        <w:rPr>
          <w:rStyle w:val="normaltextrun"/>
          <w:rFonts w:ascii="Franklin Gothic Book" w:hAnsi="Franklin Gothic Book"/>
          <w:sz w:val="22"/>
          <w:szCs w:val="22"/>
        </w:rPr>
        <w:t>PSMA-617, and that the limited body of available data does not allow for a reliable clinical comparison between the two structurally different products.  </w:t>
      </w:r>
      <w:r>
        <w:rPr>
          <w:rStyle w:val="eop"/>
          <w:rFonts w:ascii="Franklin Gothic Book" w:hAnsi="Franklin Gothic Book"/>
          <w:sz w:val="22"/>
          <w:szCs w:val="22"/>
        </w:rPr>
        <w:t> </w:t>
      </w:r>
    </w:p>
    <w:p w14:paraId="72D5B74F" w14:textId="77777777" w:rsidR="00295AD6" w:rsidRDefault="00295AD6" w:rsidP="00443961">
      <w:pPr>
        <w:pStyle w:val="paragraph"/>
        <w:numPr>
          <w:ilvl w:val="0"/>
          <w:numId w:val="29"/>
        </w:numPr>
        <w:tabs>
          <w:tab w:val="clear" w:pos="720"/>
        </w:tabs>
        <w:spacing w:before="0" w:beforeAutospacing="0" w:after="0" w:afterAutospacing="0"/>
        <w:ind w:left="993" w:firstLine="0"/>
        <w:textAlignment w:val="baseline"/>
        <w:rPr>
          <w:rFonts w:ascii="Franklin Gothic Book" w:hAnsi="Franklin Gothic Book"/>
          <w:sz w:val="22"/>
          <w:szCs w:val="22"/>
        </w:rPr>
      </w:pPr>
      <w:r>
        <w:rPr>
          <w:rStyle w:val="normaltextrun"/>
          <w:rFonts w:ascii="Franklin Gothic Book" w:hAnsi="Franklin Gothic Book"/>
          <w:sz w:val="22"/>
          <w:szCs w:val="22"/>
        </w:rPr>
        <w:t xml:space="preserve"> Additionally, it was highlighted that the proposed treatment regimen is different from the treatment sequencing used in trials involving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LuPSMA</w:t>
      </w:r>
      <w:r>
        <w:rPr>
          <w:rStyle w:val="normaltextrun"/>
          <w:rFonts w:ascii="Arial" w:hAnsi="Arial" w:cs="Arial"/>
          <w:sz w:val="22"/>
          <w:szCs w:val="22"/>
        </w:rPr>
        <w:t> </w:t>
      </w:r>
      <w:r>
        <w:rPr>
          <w:rStyle w:val="normaltextrun"/>
          <w:rFonts w:ascii="Franklin Gothic Book" w:hAnsi="Franklin Gothic Book"/>
          <w:sz w:val="22"/>
          <w:szCs w:val="22"/>
        </w:rPr>
        <w:t xml:space="preserve">i&amp;t (and also different from treatment sequencing in the VISION trial, which was investigating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w:t>
      </w:r>
      <w:r>
        <w:rPr>
          <w:rStyle w:val="normaltextrun"/>
          <w:rFonts w:ascii="Arial" w:hAnsi="Arial" w:cs="Arial"/>
          <w:sz w:val="22"/>
          <w:szCs w:val="22"/>
        </w:rPr>
        <w:t> </w:t>
      </w:r>
      <w:r>
        <w:rPr>
          <w:rStyle w:val="normaltextrun"/>
          <w:rFonts w:ascii="Franklin Gothic Book" w:hAnsi="Franklin Gothic Book"/>
          <w:sz w:val="22"/>
          <w:szCs w:val="22"/>
        </w:rPr>
        <w:t xml:space="preserve">PSMA-617). The organisation said that these differences increased uncertainty in the economic analysis submitted in connection with the application, and brought into question the cost effectiveness analysis concerning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LuPSMA</w:t>
      </w:r>
      <w:r>
        <w:rPr>
          <w:rStyle w:val="normaltextrun"/>
          <w:rFonts w:ascii="Arial" w:hAnsi="Arial" w:cs="Arial"/>
          <w:sz w:val="22"/>
          <w:szCs w:val="22"/>
        </w:rPr>
        <w:t> </w:t>
      </w:r>
      <w:r>
        <w:rPr>
          <w:rStyle w:val="normaltextrun"/>
          <w:rFonts w:ascii="Franklin Gothic Book" w:hAnsi="Franklin Gothic Book"/>
          <w:sz w:val="22"/>
          <w:szCs w:val="22"/>
        </w:rPr>
        <w:t>i&amp;t.</w:t>
      </w:r>
      <w:r>
        <w:rPr>
          <w:rStyle w:val="eop"/>
          <w:rFonts w:ascii="Franklin Gothic Book" w:hAnsi="Franklin Gothic Book"/>
          <w:sz w:val="22"/>
          <w:szCs w:val="22"/>
        </w:rPr>
        <w:t> </w:t>
      </w:r>
    </w:p>
    <w:p w14:paraId="0BE63F53" w14:textId="4C31DA5C" w:rsidR="00295AD6" w:rsidRDefault="00295AD6" w:rsidP="00443961">
      <w:pPr>
        <w:pStyle w:val="paragraph"/>
        <w:numPr>
          <w:ilvl w:val="0"/>
          <w:numId w:val="29"/>
        </w:numPr>
        <w:tabs>
          <w:tab w:val="clear" w:pos="720"/>
        </w:tabs>
        <w:spacing w:before="0" w:beforeAutospacing="0" w:after="0" w:afterAutospacing="0"/>
        <w:ind w:left="993" w:firstLine="0"/>
        <w:textAlignment w:val="baseline"/>
        <w:rPr>
          <w:rFonts w:ascii="Franklin Gothic Book" w:hAnsi="Franklin Gothic Book"/>
          <w:sz w:val="22"/>
          <w:szCs w:val="22"/>
        </w:rPr>
      </w:pPr>
      <w:r>
        <w:rPr>
          <w:rStyle w:val="normaltextrun"/>
          <w:rFonts w:ascii="Franklin Gothic Book" w:hAnsi="Franklin Gothic Book"/>
          <w:sz w:val="22"/>
          <w:szCs w:val="22"/>
        </w:rPr>
        <w:t xml:space="preserve">The organisation provided legal correspondence between it and the applicants revealing a dispute over patent issues associated with the proposed </w:t>
      </w:r>
      <w:r w:rsidR="00DE66F0">
        <w:rPr>
          <w:rStyle w:val="normaltextrun"/>
          <w:rFonts w:ascii="Franklin Gothic Book" w:hAnsi="Franklin Gothic Book"/>
          <w:sz w:val="22"/>
          <w:szCs w:val="22"/>
        </w:rPr>
        <w:t xml:space="preserve">use </w:t>
      </w:r>
      <w:r>
        <w:rPr>
          <w:rStyle w:val="normaltextrun"/>
          <w:rFonts w:ascii="Franklin Gothic Book" w:hAnsi="Franklin Gothic Book"/>
          <w:sz w:val="22"/>
          <w:szCs w:val="22"/>
        </w:rPr>
        <w:t xml:space="preserve">of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LuPSMA</w:t>
      </w:r>
      <w:r>
        <w:rPr>
          <w:rStyle w:val="normaltextrun"/>
          <w:rFonts w:ascii="Arial" w:hAnsi="Arial" w:cs="Arial"/>
          <w:sz w:val="22"/>
          <w:szCs w:val="22"/>
        </w:rPr>
        <w:t> </w:t>
      </w:r>
      <w:r>
        <w:rPr>
          <w:rStyle w:val="normaltextrun"/>
          <w:rFonts w:ascii="Franklin Gothic Book" w:hAnsi="Franklin Gothic Book"/>
          <w:sz w:val="22"/>
          <w:szCs w:val="22"/>
        </w:rPr>
        <w:t xml:space="preserve">i&amp;t in Australia. There was no indication that there have been any court rulings about the patent issues or that the patent dispute is currently the subject of any legal proceeding.  The organisation referred to two patents which it stated “are both valid and enforceable, and are or may be relevant to the applicants’ proposed </w:t>
      </w:r>
      <w:r w:rsidR="00F920E0">
        <w:rPr>
          <w:rStyle w:val="normaltextrun"/>
          <w:rFonts w:ascii="Franklin Gothic Book" w:hAnsi="Franklin Gothic Book"/>
          <w:sz w:val="22"/>
          <w:szCs w:val="22"/>
        </w:rPr>
        <w:t>exploitation of</w:t>
      </w:r>
      <w:r>
        <w:rPr>
          <w:rStyle w:val="normaltextrun"/>
          <w:rFonts w:ascii="Franklin Gothic Book" w:hAnsi="Franklin Gothic Book"/>
          <w:sz w:val="22"/>
          <w:szCs w:val="22"/>
        </w:rPr>
        <w:t xml:space="preserve"> 177LuPSMA i&amp;t as contemplated by the Application.” The organisation stated that this is an issue that MSAC should take into account,</w:t>
      </w:r>
      <w:r w:rsidR="00B05E37">
        <w:rPr>
          <w:rStyle w:val="normaltextrun"/>
          <w:rFonts w:ascii="Franklin Gothic Book" w:hAnsi="Franklin Gothic Book"/>
          <w:sz w:val="22"/>
          <w:szCs w:val="22"/>
        </w:rPr>
        <w:t xml:space="preserve"> </w:t>
      </w:r>
      <w:r>
        <w:rPr>
          <w:rStyle w:val="normaltextrun"/>
          <w:rFonts w:ascii="Franklin Gothic Book" w:hAnsi="Franklin Gothic Book"/>
          <w:sz w:val="22"/>
          <w:szCs w:val="22"/>
        </w:rPr>
        <w:t xml:space="preserve">particularly given its potential impact on patients. The organisation stated that it had applied to the Therapeutic Goods Administration for regulatory approval of </w:t>
      </w:r>
      <w:r>
        <w:rPr>
          <w:rStyle w:val="normaltextrun"/>
          <w:rFonts w:ascii="Franklin Gothic Book" w:hAnsi="Franklin Gothic Book"/>
          <w:sz w:val="17"/>
          <w:szCs w:val="17"/>
          <w:vertAlign w:val="superscript"/>
        </w:rPr>
        <w:t>177</w:t>
      </w:r>
      <w:r>
        <w:rPr>
          <w:rStyle w:val="normaltextrun"/>
          <w:rFonts w:ascii="Franklin Gothic Book" w:hAnsi="Franklin Gothic Book"/>
          <w:sz w:val="22"/>
          <w:szCs w:val="22"/>
        </w:rPr>
        <w:t>Lu</w:t>
      </w:r>
      <w:r>
        <w:rPr>
          <w:rStyle w:val="normaltextrun"/>
          <w:rFonts w:ascii="Arial" w:hAnsi="Arial" w:cs="Arial"/>
          <w:sz w:val="22"/>
          <w:szCs w:val="22"/>
        </w:rPr>
        <w:t> </w:t>
      </w:r>
      <w:r>
        <w:rPr>
          <w:rStyle w:val="normaltextrun"/>
          <w:rFonts w:ascii="Franklin Gothic Book" w:hAnsi="Franklin Gothic Book"/>
          <w:sz w:val="22"/>
          <w:szCs w:val="22"/>
        </w:rPr>
        <w:t>PSMA-617.</w:t>
      </w:r>
      <w:r>
        <w:rPr>
          <w:rStyle w:val="eop"/>
          <w:rFonts w:ascii="Franklin Gothic Book" w:hAnsi="Franklin Gothic Book"/>
          <w:sz w:val="22"/>
          <w:szCs w:val="22"/>
        </w:rPr>
        <w:t> </w:t>
      </w:r>
    </w:p>
    <w:p w14:paraId="1B17FCBD" w14:textId="77777777" w:rsidR="00295AD6" w:rsidRDefault="00295AD6" w:rsidP="00443961">
      <w:pPr>
        <w:pStyle w:val="paragraph"/>
        <w:numPr>
          <w:ilvl w:val="0"/>
          <w:numId w:val="30"/>
        </w:numPr>
        <w:tabs>
          <w:tab w:val="clear" w:pos="720"/>
        </w:tabs>
        <w:spacing w:before="0" w:beforeAutospacing="0" w:after="0" w:afterAutospacing="0"/>
        <w:ind w:left="426" w:firstLine="0"/>
        <w:textAlignment w:val="baseline"/>
        <w:rPr>
          <w:rFonts w:ascii="Franklin Gothic Book" w:hAnsi="Franklin Gothic Book"/>
          <w:sz w:val="22"/>
          <w:szCs w:val="22"/>
        </w:rPr>
      </w:pPr>
      <w:r>
        <w:rPr>
          <w:rStyle w:val="normaltextrun"/>
          <w:rFonts w:ascii="Franklin Gothic Book" w:hAnsi="Franklin Gothic Book"/>
          <w:sz w:val="22"/>
          <w:szCs w:val="22"/>
        </w:rPr>
        <w:t>One organisation raised concerns that the proposed accreditation requirements are restrictive and not clinically appropriate. Additionally, the organisation raised concern that the proposed fee will make Lutetium PSMA unviable in most settings.</w:t>
      </w:r>
      <w:r>
        <w:rPr>
          <w:rStyle w:val="eop"/>
          <w:rFonts w:ascii="Franklin Gothic Book" w:hAnsi="Franklin Gothic Book"/>
          <w:sz w:val="22"/>
          <w:szCs w:val="22"/>
        </w:rPr>
        <w:t> </w:t>
      </w:r>
    </w:p>
    <w:p w14:paraId="0247B13C" w14:textId="77777777" w:rsidR="00295AD6" w:rsidRDefault="00295AD6" w:rsidP="00443961">
      <w:pPr>
        <w:pStyle w:val="paragraph"/>
        <w:spacing w:before="240" w:beforeAutospacing="0" w:after="0" w:afterAutospacing="0"/>
        <w:textAlignment w:val="baseline"/>
        <w:rPr>
          <w:rFonts w:ascii="Franklin Gothic Book" w:hAnsi="Franklin Gothic Book"/>
          <w:sz w:val="22"/>
          <w:szCs w:val="22"/>
        </w:rPr>
      </w:pPr>
      <w:r>
        <w:rPr>
          <w:rStyle w:val="normaltextrun"/>
          <w:rFonts w:ascii="Franklin Gothic Book" w:hAnsi="Franklin Gothic Book"/>
          <w:sz w:val="22"/>
          <w:szCs w:val="22"/>
        </w:rPr>
        <w:t>Other comments raised regarding the proposed interventions were:</w:t>
      </w:r>
      <w:r>
        <w:rPr>
          <w:rStyle w:val="eop"/>
          <w:rFonts w:ascii="Franklin Gothic Book" w:hAnsi="Franklin Gothic Book"/>
          <w:sz w:val="22"/>
          <w:szCs w:val="22"/>
        </w:rPr>
        <w:t> </w:t>
      </w:r>
    </w:p>
    <w:p w14:paraId="2BDF5508" w14:textId="05A30B63" w:rsidR="00443961" w:rsidRPr="00443961" w:rsidRDefault="00295AD6" w:rsidP="00443961">
      <w:pPr>
        <w:pStyle w:val="paragraph"/>
        <w:numPr>
          <w:ilvl w:val="0"/>
          <w:numId w:val="31"/>
        </w:numPr>
        <w:spacing w:before="0" w:beforeAutospacing="0" w:after="0" w:afterAutospacing="0"/>
        <w:ind w:left="426" w:firstLine="0"/>
        <w:textAlignment w:val="baseline"/>
        <w:rPr>
          <w:rStyle w:val="eop"/>
          <w:rFonts w:ascii="Franklin Gothic Book" w:hAnsi="Franklin Gothic Book"/>
          <w:sz w:val="22"/>
          <w:szCs w:val="22"/>
        </w:rPr>
      </w:pPr>
      <w:r>
        <w:rPr>
          <w:rStyle w:val="normaltextrun"/>
          <w:rFonts w:ascii="Franklin Gothic Book" w:hAnsi="Franklin Gothic Book"/>
          <w:sz w:val="22"/>
          <w:szCs w:val="22"/>
        </w:rPr>
        <w:t>Three organisations supported the proposed service fee. In addition, one highlighted that the proposed service fee is significantly lower than the private patient cost for the same medical service (between AUD 12,000 to 30,000).</w:t>
      </w:r>
      <w:r>
        <w:rPr>
          <w:rStyle w:val="eop"/>
          <w:rFonts w:ascii="Franklin Gothic Book" w:hAnsi="Franklin Gothic Book"/>
          <w:sz w:val="22"/>
          <w:szCs w:val="22"/>
        </w:rPr>
        <w:t> </w:t>
      </w:r>
      <w:r w:rsidR="00443961">
        <w:rPr>
          <w:rStyle w:val="eop"/>
          <w:rFonts w:ascii="Franklin Gothic Book" w:hAnsi="Franklin Gothic Book"/>
          <w:sz w:val="22"/>
          <w:szCs w:val="22"/>
        </w:rPr>
        <w:br w:type="page"/>
      </w:r>
    </w:p>
    <w:p w14:paraId="03C7A1F1" w14:textId="7571B0AB" w:rsidR="00772829" w:rsidRDefault="00295AD6" w:rsidP="002A18BE">
      <w:pPr>
        <w:pStyle w:val="Heading2"/>
        <w:numPr>
          <w:ilvl w:val="0"/>
          <w:numId w:val="0"/>
        </w:numPr>
      </w:pPr>
      <w:bookmarkStart w:id="17" w:name="_Toc69491422"/>
      <w:r>
        <w:lastRenderedPageBreak/>
        <w:t>10</w:t>
      </w:r>
      <w:r w:rsidR="00C36633">
        <w:t>.</w:t>
      </w:r>
      <w:r w:rsidR="00C36633">
        <w:tab/>
      </w:r>
      <w:r w:rsidR="00772829" w:rsidRPr="00CE28E3">
        <w:t>Characteristics of the evidence base</w:t>
      </w:r>
      <w:bookmarkEnd w:id="17"/>
    </w:p>
    <w:p w14:paraId="5EDA9621" w14:textId="5A1E1951" w:rsidR="00CD5D29" w:rsidRPr="00CD5D29" w:rsidRDefault="00291FD7" w:rsidP="00CD5D29">
      <w:r>
        <w:fldChar w:fldCharType="begin"/>
      </w:r>
      <w:r>
        <w:instrText xml:space="preserve"> REF _Ref69725659 \h </w:instrText>
      </w:r>
      <w:r>
        <w:fldChar w:fldCharType="separate"/>
      </w:r>
      <w:r w:rsidR="00BF6F93" w:rsidRPr="00CE28E3">
        <w:t>Table</w:t>
      </w:r>
      <w:r w:rsidR="00BF6F93">
        <w:t> </w:t>
      </w:r>
      <w:r w:rsidR="00BF6F93">
        <w:rPr>
          <w:noProof/>
        </w:rPr>
        <w:t>5</w:t>
      </w:r>
      <w:r>
        <w:fldChar w:fldCharType="end"/>
      </w:r>
      <w:r>
        <w:t xml:space="preserve"> presents a summary of the key features of the </w:t>
      </w:r>
      <w:r w:rsidR="00527E09">
        <w:t>new</w:t>
      </w:r>
      <w:r>
        <w:t xml:space="preserve"> evidence</w:t>
      </w:r>
      <w:r w:rsidR="00527E09">
        <w:t xml:space="preserve"> included in resubmission</w:t>
      </w:r>
      <w:r>
        <w:t>.</w:t>
      </w:r>
    </w:p>
    <w:p w14:paraId="005968B3" w14:textId="46973EDE" w:rsidR="00956ACE" w:rsidRPr="00CE28E3" w:rsidRDefault="00956ACE" w:rsidP="009A06F4">
      <w:pPr>
        <w:pStyle w:val="Caption"/>
        <w:rPr>
          <w:sz w:val="16"/>
          <w:szCs w:val="16"/>
        </w:rPr>
      </w:pPr>
      <w:bookmarkStart w:id="18" w:name="_Ref69725659"/>
      <w:r w:rsidRPr="00CE28E3">
        <w:t>Table</w:t>
      </w:r>
      <w:r w:rsidR="004A4FDF">
        <w:t> </w:t>
      </w:r>
      <w:r w:rsidR="004D6242">
        <w:fldChar w:fldCharType="begin"/>
      </w:r>
      <w:r w:rsidR="004D6242">
        <w:instrText xml:space="preserve"> SEQ Table \* ARABIC </w:instrText>
      </w:r>
      <w:r w:rsidR="004D6242">
        <w:fldChar w:fldCharType="separate"/>
      </w:r>
      <w:r w:rsidR="00BF6F93">
        <w:rPr>
          <w:noProof/>
        </w:rPr>
        <w:t>5</w:t>
      </w:r>
      <w:r w:rsidR="004D6242">
        <w:rPr>
          <w:noProof/>
        </w:rPr>
        <w:fldChar w:fldCharType="end"/>
      </w:r>
      <w:bookmarkEnd w:id="18"/>
      <w:r w:rsidRPr="00CE28E3">
        <w:tab/>
        <w:t xml:space="preserve">Key features of the </w:t>
      </w:r>
      <w:r w:rsidR="00996AFC">
        <w:t>new</w:t>
      </w:r>
      <w:r w:rsidRPr="00CE28E3">
        <w:t xml:space="preserve"> evidence</w:t>
      </w:r>
    </w:p>
    <w:tbl>
      <w:tblPr>
        <w:tblW w:w="53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6"/>
        <w:gridCol w:w="1227"/>
        <w:gridCol w:w="1609"/>
        <w:gridCol w:w="3401"/>
      </w:tblGrid>
      <w:tr w:rsidR="00EB330E" w:rsidRPr="00CE28E3" w14:paraId="530E3954" w14:textId="2A2138EE" w:rsidTr="006D5080">
        <w:trPr>
          <w:tblHeader/>
        </w:trPr>
        <w:tc>
          <w:tcPr>
            <w:tcW w:w="1028" w:type="pct"/>
            <w:tcBorders>
              <w:top w:val="single" w:sz="4" w:space="0" w:color="auto"/>
              <w:left w:val="single" w:sz="4" w:space="0" w:color="auto"/>
              <w:bottom w:val="single" w:sz="4" w:space="0" w:color="auto"/>
              <w:right w:val="single" w:sz="4" w:space="0" w:color="auto"/>
            </w:tcBorders>
            <w:vAlign w:val="bottom"/>
          </w:tcPr>
          <w:p w14:paraId="0112563A" w14:textId="3CE1178E" w:rsidR="000A51E3" w:rsidRPr="00CE28E3" w:rsidRDefault="000A51E3" w:rsidP="00670650">
            <w:pPr>
              <w:pStyle w:val="TableText"/>
              <w:keepNext/>
              <w:rPr>
                <w:b/>
              </w:rPr>
            </w:pPr>
            <w:bookmarkStart w:id="19" w:name="ColumnTitle_Table4"/>
            <w:bookmarkStart w:id="20" w:name="_Hlk68276288"/>
            <w:bookmarkEnd w:id="19"/>
            <w:r>
              <w:rPr>
                <w:b/>
              </w:rPr>
              <w:t>Criterion</w:t>
            </w:r>
          </w:p>
        </w:tc>
        <w:tc>
          <w:tcPr>
            <w:tcW w:w="735" w:type="pct"/>
            <w:tcBorders>
              <w:top w:val="single" w:sz="4" w:space="0" w:color="auto"/>
              <w:left w:val="single" w:sz="4" w:space="0" w:color="auto"/>
              <w:bottom w:val="single" w:sz="4" w:space="0" w:color="auto"/>
              <w:right w:val="single" w:sz="4" w:space="0" w:color="auto"/>
            </w:tcBorders>
            <w:vAlign w:val="bottom"/>
            <w:hideMark/>
          </w:tcPr>
          <w:p w14:paraId="37828F38" w14:textId="77777777" w:rsidR="000A51E3" w:rsidRPr="00CE28E3" w:rsidRDefault="000A51E3" w:rsidP="00670650">
            <w:pPr>
              <w:pStyle w:val="TableText"/>
              <w:keepNext/>
              <w:rPr>
                <w:b/>
              </w:rPr>
            </w:pPr>
            <w:r w:rsidRPr="00CE28E3">
              <w:rPr>
                <w:b/>
              </w:rPr>
              <w:t>Type of evidence supplied</w:t>
            </w:r>
          </w:p>
        </w:tc>
        <w:tc>
          <w:tcPr>
            <w:tcW w:w="637" w:type="pct"/>
            <w:tcBorders>
              <w:top w:val="single" w:sz="4" w:space="0" w:color="auto"/>
              <w:left w:val="single" w:sz="4" w:space="0" w:color="auto"/>
              <w:bottom w:val="single" w:sz="4" w:space="0" w:color="auto"/>
              <w:right w:val="single" w:sz="4" w:space="0" w:color="auto"/>
            </w:tcBorders>
            <w:vAlign w:val="bottom"/>
            <w:hideMark/>
          </w:tcPr>
          <w:p w14:paraId="26BD1646" w14:textId="77777777" w:rsidR="000A51E3" w:rsidRPr="00CE28E3" w:rsidRDefault="000A51E3" w:rsidP="00670650">
            <w:pPr>
              <w:pStyle w:val="TableText"/>
              <w:keepNext/>
              <w:rPr>
                <w:b/>
              </w:rPr>
            </w:pPr>
            <w:r w:rsidRPr="00CE28E3">
              <w:rPr>
                <w:b/>
              </w:rPr>
              <w:t>Extent of evidence supplied</w:t>
            </w:r>
          </w:p>
        </w:tc>
        <w:tc>
          <w:tcPr>
            <w:tcW w:w="835" w:type="pct"/>
            <w:tcBorders>
              <w:top w:val="single" w:sz="4" w:space="0" w:color="auto"/>
              <w:left w:val="single" w:sz="4" w:space="0" w:color="auto"/>
              <w:bottom w:val="single" w:sz="4" w:space="0" w:color="auto"/>
              <w:right w:val="single" w:sz="4" w:space="0" w:color="auto"/>
            </w:tcBorders>
            <w:vAlign w:val="bottom"/>
            <w:hideMark/>
          </w:tcPr>
          <w:p w14:paraId="3F0C39B2" w14:textId="383FC826" w:rsidR="000A51E3" w:rsidRPr="00CE28E3" w:rsidRDefault="000A51E3" w:rsidP="00670650">
            <w:pPr>
              <w:pStyle w:val="TableText"/>
              <w:keepNext/>
              <w:rPr>
                <w:b/>
              </w:rPr>
            </w:pPr>
            <w:r w:rsidRPr="00CE28E3">
              <w:rPr>
                <w:b/>
              </w:rPr>
              <w:t xml:space="preserve">Overall risk of bias </w:t>
            </w:r>
          </w:p>
        </w:tc>
        <w:tc>
          <w:tcPr>
            <w:tcW w:w="1765" w:type="pct"/>
            <w:tcBorders>
              <w:top w:val="single" w:sz="4" w:space="0" w:color="auto"/>
              <w:left w:val="single" w:sz="4" w:space="0" w:color="auto"/>
              <w:bottom w:val="single" w:sz="4" w:space="0" w:color="auto"/>
              <w:right w:val="single" w:sz="4" w:space="0" w:color="auto"/>
            </w:tcBorders>
            <w:vAlign w:val="bottom"/>
          </w:tcPr>
          <w:p w14:paraId="5791D734" w14:textId="35BBAE73" w:rsidR="000A51E3" w:rsidRPr="001145F9" w:rsidRDefault="001145F9" w:rsidP="0064477C">
            <w:pPr>
              <w:pStyle w:val="TableText"/>
              <w:keepNext/>
              <w:rPr>
                <w:b/>
                <w:bCs/>
              </w:rPr>
            </w:pPr>
            <w:r w:rsidRPr="006D5080">
              <w:rPr>
                <w:b/>
                <w:bCs/>
              </w:rPr>
              <w:t>Use in modelled evaluation</w:t>
            </w:r>
          </w:p>
        </w:tc>
      </w:tr>
      <w:tr w:rsidR="00EB330E" w:rsidRPr="00CE28E3" w14:paraId="34571304" w14:textId="4F546351" w:rsidTr="006D5080">
        <w:tc>
          <w:tcPr>
            <w:tcW w:w="1028" w:type="pct"/>
            <w:tcBorders>
              <w:top w:val="single" w:sz="4" w:space="0" w:color="auto"/>
              <w:left w:val="single" w:sz="4" w:space="0" w:color="auto"/>
              <w:bottom w:val="single" w:sz="4" w:space="0" w:color="auto"/>
              <w:right w:val="single" w:sz="4" w:space="0" w:color="auto"/>
            </w:tcBorders>
            <w:hideMark/>
          </w:tcPr>
          <w:p w14:paraId="63BA3949" w14:textId="15F24C6B" w:rsidR="000A51E3" w:rsidRPr="00D809B3" w:rsidRDefault="000A51E3" w:rsidP="00670650">
            <w:pPr>
              <w:pStyle w:val="TableText"/>
              <w:keepNext/>
            </w:pPr>
            <w:r w:rsidRPr="00F465E6">
              <w:t>O</w:t>
            </w:r>
            <w:r>
              <w:t xml:space="preserve">S </w:t>
            </w:r>
            <w:r w:rsidRPr="00F465E6">
              <w:t xml:space="preserve">from TheraP </w:t>
            </w:r>
          </w:p>
        </w:tc>
        <w:tc>
          <w:tcPr>
            <w:tcW w:w="735" w:type="pct"/>
            <w:tcBorders>
              <w:top w:val="single" w:sz="4" w:space="0" w:color="auto"/>
              <w:left w:val="single" w:sz="4" w:space="0" w:color="auto"/>
              <w:bottom w:val="single" w:sz="4" w:space="0" w:color="auto"/>
              <w:right w:val="single" w:sz="4" w:space="0" w:color="auto"/>
            </w:tcBorders>
            <w:hideMark/>
          </w:tcPr>
          <w:p w14:paraId="7A348354" w14:textId="398E29D2" w:rsidR="000A51E3" w:rsidRPr="00E2049E" w:rsidRDefault="000A51E3" w:rsidP="00670650">
            <w:pPr>
              <w:pStyle w:val="TableText"/>
              <w:keepNext/>
              <w:rPr>
                <w:i/>
                <w:iCs/>
              </w:rPr>
            </w:pPr>
            <w:r>
              <w:t>Presentation from 2022 ASCO Annual meeting (</w:t>
            </w:r>
            <w:r w:rsidRPr="00F547C1">
              <w:fldChar w:fldCharType="begin"/>
            </w:r>
            <w:r w:rsidRPr="00F547C1">
              <w:instrText xml:space="preserve"> ADDIN EN.CITE &lt;EndNote&gt;&lt;Cite AuthorYear="1"&gt;&lt;Author&gt;Hofman&lt;/Author&gt;&lt;Year&gt;2022&lt;/Year&gt;&lt;RecNum&gt;9&lt;/RecNum&gt;&lt;DisplayText&gt;Hofman et al. (2022)&lt;/DisplayText&gt;&lt;record&gt;&lt;rec-number&gt;9&lt;/rec-number&gt;&lt;foreign-keys&gt;&lt;key app="EN" db-id="09x9svvdixxxa1erzr3ve0z1t90rzffta00t" timestamp="1675329416"&gt;9&lt;/key&gt;&lt;/foreign-keys&gt;&lt;ref-type name="Report"&gt;27&lt;/ref-type&gt;&lt;contributors&gt;&lt;authors&gt;&lt;author&gt;Hofman, M&lt;/author&gt;&lt;author&gt;Emmett , L&lt;/author&gt;&lt;author&gt;Sandhu, S&lt;/author&gt;&lt;author&gt;Iravani, A&lt;/author&gt;&lt;author&gt;Joshua, AM&lt;/author&gt;&lt;author&gt;Goh, J&lt;/author&gt;&lt;author&gt;Pattison, DA&lt;/author&gt;&lt;author&gt;Tan, H&lt;/author&gt;&lt;author&gt;Kirkwood, ID&lt;/author&gt;&lt;author&gt;Ng, S&lt;/author&gt;&lt;author&gt;Francis, R&lt;/author&gt;&lt;author&gt;Gedye, C&lt;/author&gt;&lt;author&gt;Rutherford, NK&lt;/author&gt;&lt;author&gt;Scott, A&lt;/author&gt;&lt;author&gt;Zhang, A&lt;/author&gt;&lt;author&gt;McJannett, MM&lt;/author&gt;&lt;author&gt;Stockler, MR&lt;/author&gt;&lt;author&gt;Williams, SG&lt;/author&gt;&lt;author&gt;Martin, AJ&lt;/author&gt;&lt;author&gt;Davis, ID&lt;/author&gt;&lt;/authors&gt;&lt;/contributors&gt;&lt;titles&gt;&lt;title&gt;177Lu-PSMA-617 (LuPSMA) versus cabazitaxel in metastatic castration resistant prostate cancer (mCRPC) progressing after docetaxel: overall survival after median follow-up of 3 years&lt;/title&gt;&lt;/titles&gt;&lt;dates&gt;&lt;year&gt;2022&lt;/year&gt;&lt;/dates&gt;&lt;urls&gt;&lt;/urls&gt;&lt;/record&gt;&lt;/Cite&gt;&lt;/EndNote&gt;</w:instrText>
            </w:r>
            <w:r w:rsidRPr="00F547C1">
              <w:fldChar w:fldCharType="separate"/>
            </w:r>
            <w:r w:rsidRPr="00F547C1">
              <w:t>Hofman et al.2022)</w:t>
            </w:r>
            <w:r w:rsidRPr="00F547C1">
              <w:fldChar w:fldCharType="end"/>
            </w:r>
            <w:r w:rsidR="00896A60">
              <w:rPr>
                <w:rStyle w:val="FootnoteReference"/>
              </w:rPr>
              <w:footnoteReference w:id="8"/>
            </w:r>
          </w:p>
        </w:tc>
        <w:tc>
          <w:tcPr>
            <w:tcW w:w="637" w:type="pct"/>
            <w:tcBorders>
              <w:top w:val="single" w:sz="4" w:space="0" w:color="auto"/>
              <w:left w:val="single" w:sz="4" w:space="0" w:color="auto"/>
              <w:bottom w:val="single" w:sz="4" w:space="0" w:color="auto"/>
              <w:right w:val="single" w:sz="4" w:space="0" w:color="auto"/>
            </w:tcBorders>
            <w:hideMark/>
          </w:tcPr>
          <w:p w14:paraId="4B9F173D" w14:textId="7B71116C" w:rsidR="000A51E3" w:rsidRPr="00CE28E3" w:rsidRDefault="000A51E3" w:rsidP="00670650">
            <w:pPr>
              <w:pStyle w:val="TableText"/>
              <w:keepNext/>
            </w:pPr>
            <w:r w:rsidRPr="00CE28E3">
              <w:t>n=</w:t>
            </w:r>
            <w:r>
              <w:t>200</w:t>
            </w:r>
          </w:p>
        </w:tc>
        <w:tc>
          <w:tcPr>
            <w:tcW w:w="835" w:type="pct"/>
            <w:tcBorders>
              <w:top w:val="single" w:sz="4" w:space="0" w:color="auto"/>
              <w:left w:val="single" w:sz="4" w:space="0" w:color="auto"/>
              <w:bottom w:val="single" w:sz="4" w:space="0" w:color="auto"/>
              <w:right w:val="single" w:sz="4" w:space="0" w:color="auto"/>
            </w:tcBorders>
            <w:hideMark/>
          </w:tcPr>
          <w:p w14:paraId="314B6464" w14:textId="698E6A10" w:rsidR="000A51E3" w:rsidRPr="00CE28E3" w:rsidRDefault="000A51E3" w:rsidP="00670650">
            <w:pPr>
              <w:pStyle w:val="TableText"/>
              <w:keepNext/>
            </w:pPr>
            <w:r>
              <w:t>High</w:t>
            </w:r>
          </w:p>
        </w:tc>
        <w:tc>
          <w:tcPr>
            <w:tcW w:w="1765" w:type="pct"/>
            <w:tcBorders>
              <w:top w:val="single" w:sz="4" w:space="0" w:color="auto"/>
              <w:left w:val="single" w:sz="4" w:space="0" w:color="auto"/>
              <w:bottom w:val="single" w:sz="4" w:space="0" w:color="auto"/>
              <w:right w:val="single" w:sz="4" w:space="0" w:color="auto"/>
            </w:tcBorders>
          </w:tcPr>
          <w:p w14:paraId="7372EF77" w14:textId="63B1121A" w:rsidR="000A51E3" w:rsidRDefault="00896A60" w:rsidP="00670650">
            <w:pPr>
              <w:pStyle w:val="TableText"/>
              <w:keepNext/>
            </w:pPr>
            <w:r>
              <w:t>HR</w:t>
            </w:r>
            <w:r w:rsidR="00EB330E">
              <w:t xml:space="preserve"> values were updated using </w:t>
            </w:r>
            <w:r w:rsidR="003D3A8B">
              <w:t>3-year</w:t>
            </w:r>
            <w:r w:rsidR="00EB330E">
              <w:t xml:space="preserve"> data from TheraP trial</w:t>
            </w:r>
          </w:p>
        </w:tc>
      </w:tr>
      <w:tr w:rsidR="00EB330E" w:rsidRPr="00CE28E3" w14:paraId="66E8E035" w14:textId="173ED3B2" w:rsidTr="006D5080">
        <w:tc>
          <w:tcPr>
            <w:tcW w:w="1028" w:type="pct"/>
            <w:tcBorders>
              <w:top w:val="single" w:sz="4" w:space="0" w:color="auto"/>
              <w:left w:val="single" w:sz="4" w:space="0" w:color="auto"/>
              <w:bottom w:val="single" w:sz="4" w:space="0" w:color="auto"/>
              <w:right w:val="single" w:sz="4" w:space="0" w:color="auto"/>
            </w:tcBorders>
          </w:tcPr>
          <w:p w14:paraId="4ECD9D43" w14:textId="294E9D7A" w:rsidR="000A51E3" w:rsidRPr="0063355D" w:rsidRDefault="00013D68" w:rsidP="0063355D">
            <w:pPr>
              <w:pStyle w:val="TableText"/>
              <w:rPr>
                <w:bCs/>
                <w:iCs/>
                <w:szCs w:val="20"/>
              </w:rPr>
            </w:pPr>
            <w:r>
              <w:rPr>
                <w:bCs/>
                <w:iCs/>
                <w:szCs w:val="20"/>
              </w:rPr>
              <w:t xml:space="preserve">Re-SPECT study (Emmett, 2023) demonstrated that the patients in progressed disease health state after 2 cycles do not achieve any health benefits with the subsequent </w:t>
            </w:r>
            <w:r w:rsidRPr="001C7560">
              <w:rPr>
                <w:vertAlign w:val="superscript"/>
              </w:rPr>
              <w:t>177</w:t>
            </w:r>
            <w:r w:rsidRPr="007E1A8D">
              <w:t>Lu</w:t>
            </w:r>
            <w:r>
              <w:t> </w:t>
            </w:r>
            <w:r w:rsidRPr="007E1A8D">
              <w:t>PSMA</w:t>
            </w:r>
            <w:r w:rsidRPr="006245F0">
              <w:t xml:space="preserve"> </w:t>
            </w:r>
            <w:r>
              <w:rPr>
                <w:bCs/>
                <w:iCs/>
                <w:szCs w:val="20"/>
              </w:rPr>
              <w:t xml:space="preserve">treatment. This result justified a 2-step treatment algorithm </w:t>
            </w:r>
          </w:p>
        </w:tc>
        <w:tc>
          <w:tcPr>
            <w:tcW w:w="735" w:type="pct"/>
            <w:tcBorders>
              <w:top w:val="single" w:sz="4" w:space="0" w:color="auto"/>
              <w:left w:val="single" w:sz="4" w:space="0" w:color="auto"/>
              <w:bottom w:val="single" w:sz="4" w:space="0" w:color="auto"/>
              <w:right w:val="single" w:sz="4" w:space="0" w:color="auto"/>
            </w:tcBorders>
          </w:tcPr>
          <w:p w14:paraId="411705D5" w14:textId="46770BA9" w:rsidR="000A51E3" w:rsidRPr="002A6E7A" w:rsidRDefault="000A51E3" w:rsidP="00670650">
            <w:pPr>
              <w:pStyle w:val="TableText"/>
              <w:keepNext/>
            </w:pPr>
            <w:r w:rsidRPr="00F465E6">
              <w:rPr>
                <w:noProof/>
              </w:rPr>
              <w:t>Emmett et al., 2023</w:t>
            </w:r>
          </w:p>
        </w:tc>
        <w:tc>
          <w:tcPr>
            <w:tcW w:w="637" w:type="pct"/>
            <w:tcBorders>
              <w:top w:val="single" w:sz="4" w:space="0" w:color="auto"/>
              <w:left w:val="single" w:sz="4" w:space="0" w:color="auto"/>
              <w:bottom w:val="single" w:sz="4" w:space="0" w:color="auto"/>
              <w:right w:val="single" w:sz="4" w:space="0" w:color="auto"/>
            </w:tcBorders>
          </w:tcPr>
          <w:p w14:paraId="2B4784D6" w14:textId="432E72F2" w:rsidR="000A51E3" w:rsidRDefault="000A51E3" w:rsidP="00670650">
            <w:pPr>
              <w:pStyle w:val="TableText"/>
              <w:keepNext/>
            </w:pPr>
            <w:r w:rsidRPr="00CE28E3">
              <w:t>n=</w:t>
            </w:r>
            <w:r>
              <w:t>125 (n=116 used to calculate probabilities of response)</w:t>
            </w:r>
          </w:p>
        </w:tc>
        <w:tc>
          <w:tcPr>
            <w:tcW w:w="835" w:type="pct"/>
            <w:tcBorders>
              <w:top w:val="single" w:sz="4" w:space="0" w:color="auto"/>
              <w:left w:val="single" w:sz="4" w:space="0" w:color="auto"/>
              <w:bottom w:val="single" w:sz="4" w:space="0" w:color="auto"/>
              <w:right w:val="single" w:sz="4" w:space="0" w:color="auto"/>
            </w:tcBorders>
          </w:tcPr>
          <w:p w14:paraId="71BFD204" w14:textId="147F656C" w:rsidR="000A51E3" w:rsidRPr="00BC4972" w:rsidRDefault="000A51E3" w:rsidP="00670650">
            <w:pPr>
              <w:pStyle w:val="TableText"/>
              <w:keepNext/>
              <w:rPr>
                <w:color w:val="258221"/>
              </w:rPr>
            </w:pPr>
            <w:r>
              <w:t>High</w:t>
            </w:r>
          </w:p>
        </w:tc>
        <w:tc>
          <w:tcPr>
            <w:tcW w:w="1765" w:type="pct"/>
            <w:tcBorders>
              <w:top w:val="single" w:sz="4" w:space="0" w:color="auto"/>
              <w:left w:val="single" w:sz="4" w:space="0" w:color="auto"/>
              <w:bottom w:val="single" w:sz="4" w:space="0" w:color="auto"/>
              <w:right w:val="single" w:sz="4" w:space="0" w:color="auto"/>
            </w:tcBorders>
          </w:tcPr>
          <w:p w14:paraId="604C1261" w14:textId="7A2C4DE3" w:rsidR="000A51E3" w:rsidRDefault="00EB330E" w:rsidP="00670650">
            <w:pPr>
              <w:pStyle w:val="TableText"/>
              <w:keepNext/>
            </w:pPr>
            <w:r w:rsidRPr="00EB330E">
              <w:t xml:space="preserve">As in the </w:t>
            </w:r>
            <w:r w:rsidR="0064477C">
              <w:t xml:space="preserve">MSAC </w:t>
            </w:r>
            <w:r w:rsidRPr="00EB330E">
              <w:t xml:space="preserve">1686 ADAR, health state allocation over time determined by PFS and OS data. PFS and OS data for </w:t>
            </w:r>
            <w:r w:rsidRPr="006D5080">
              <w:rPr>
                <w:vertAlign w:val="superscript"/>
              </w:rPr>
              <w:t>177</w:t>
            </w:r>
            <w:r w:rsidRPr="00EB330E">
              <w:t xml:space="preserve">Lu PSMA were sourced from VISION (Sartor et al. (2021a)). In the hybrid model, the original K-M observations from the VISION trial </w:t>
            </w:r>
            <w:r w:rsidR="00E11223">
              <w:t>(</w:t>
            </w:r>
            <w:r w:rsidRPr="00EB330E">
              <w:t>Sartor 2021) and the corresponding parametric extensions were split into “responders” and “non-responders” in proportions informed by the Re-SPECT study (Emmett, 2023).</w:t>
            </w:r>
            <w:r w:rsidR="00E11223">
              <w:t xml:space="preserve"> Only responders continue to receive </w:t>
            </w:r>
            <w:r w:rsidR="00E11223" w:rsidRPr="001C7560">
              <w:rPr>
                <w:vertAlign w:val="superscript"/>
              </w:rPr>
              <w:t>177</w:t>
            </w:r>
            <w:r w:rsidR="00E11223" w:rsidRPr="007E1A8D">
              <w:t>Lu</w:t>
            </w:r>
            <w:r w:rsidR="00E11223">
              <w:t> </w:t>
            </w:r>
            <w:r w:rsidR="00E11223" w:rsidRPr="007E1A8D">
              <w:t>PSMA</w:t>
            </w:r>
            <w:r w:rsidR="00E11223" w:rsidRPr="006245F0">
              <w:t xml:space="preserve"> </w:t>
            </w:r>
            <w:r w:rsidR="00E11223">
              <w:rPr>
                <w:bCs/>
                <w:iCs/>
                <w:szCs w:val="20"/>
              </w:rPr>
              <w:t>treatment after the first 2 cycles.</w:t>
            </w:r>
          </w:p>
        </w:tc>
      </w:tr>
    </w:tbl>
    <w:p w14:paraId="36B53B57" w14:textId="26DBD75C" w:rsidR="00956ACE" w:rsidRDefault="00453572" w:rsidP="00B8535F">
      <w:pPr>
        <w:pStyle w:val="TableFigureFooter"/>
      </w:pPr>
      <w:bookmarkStart w:id="21" w:name="_Hlk68276301"/>
      <w:bookmarkEnd w:id="20"/>
      <w:r>
        <w:t>OS overall survival</w:t>
      </w:r>
      <w:r w:rsidR="00207FC7">
        <w:t>,</w:t>
      </w:r>
      <w:r w:rsidR="00EB330E">
        <w:t xml:space="preserve"> HR= Hazard Ratio,</w:t>
      </w:r>
      <w:r w:rsidR="00207FC7">
        <w:t xml:space="preserve"> n = number of patients</w:t>
      </w:r>
      <w:r w:rsidR="006D12D5">
        <w:t>, ASCO American Society of Clinical oncology</w:t>
      </w:r>
      <w:r w:rsidR="002B316F">
        <w:t>.</w:t>
      </w:r>
    </w:p>
    <w:p w14:paraId="0A88F261" w14:textId="3AE9B148" w:rsidR="00486FB4" w:rsidRDefault="00486FB4" w:rsidP="00F11BA2">
      <w:r>
        <w:t>MSAC</w:t>
      </w:r>
      <w:r w:rsidRPr="00323DEE">
        <w:t xml:space="preserve"> </w:t>
      </w:r>
      <w:r>
        <w:t>approved the algorithm, where</w:t>
      </w:r>
      <w:r w:rsidRPr="00323DEE">
        <w:t xml:space="preserve"> the initial phase of treatment constitutes at least 2 cycles of treatment before the assessment of response based on the results from Emmett et al (2023) (the Re-SPECT study, a </w:t>
      </w:r>
      <w:r w:rsidRPr="00486FB4">
        <w:t>retrospective</w:t>
      </w:r>
      <w:r w:rsidRPr="00F11BA2">
        <w:t xml:space="preserve"> analysis of a clinical </w:t>
      </w:r>
      <w:r w:rsidR="00F11BA2" w:rsidRPr="001C7560">
        <w:rPr>
          <w:vertAlign w:val="superscript"/>
        </w:rPr>
        <w:t>177</w:t>
      </w:r>
      <w:r w:rsidR="00F11BA2" w:rsidRPr="007E1A8D">
        <w:t>Lu</w:t>
      </w:r>
      <w:r w:rsidR="00F11BA2">
        <w:t> </w:t>
      </w:r>
      <w:r w:rsidR="00F11BA2" w:rsidRPr="007E1A8D">
        <w:t>PSMA</w:t>
      </w:r>
      <w:r w:rsidR="00F11BA2">
        <w:t> i&amp;t</w:t>
      </w:r>
      <w:r w:rsidR="00F11BA2" w:rsidRPr="00725A45">
        <w:t xml:space="preserve"> </w:t>
      </w:r>
      <w:r w:rsidRPr="00F11BA2">
        <w:t>treatment program, n= 125)</w:t>
      </w:r>
      <w:r w:rsidRPr="00323DEE">
        <w:t>.</w:t>
      </w:r>
    </w:p>
    <w:p w14:paraId="2B601972" w14:textId="4084EBB2" w:rsidR="00F11BA2" w:rsidRPr="00FD7FB8" w:rsidRDefault="00F11BA2" w:rsidP="00F11BA2">
      <w:pPr>
        <w:autoSpaceDE w:val="0"/>
        <w:autoSpaceDN w:val="0"/>
        <w:adjustRightInd w:val="0"/>
        <w:rPr>
          <w:rFonts w:cs="PlantinStd"/>
        </w:rPr>
      </w:pPr>
      <w:r w:rsidRPr="00FD7FB8">
        <w:t xml:space="preserve">The Re-SPECT study was a </w:t>
      </w:r>
      <w:r w:rsidRPr="00FD7FB8">
        <w:rPr>
          <w:bCs/>
        </w:rPr>
        <w:t>retrospective</w:t>
      </w:r>
      <w:r w:rsidRPr="00FD7FB8">
        <w:rPr>
          <w:b/>
          <w:bCs/>
        </w:rPr>
        <w:t xml:space="preserve"> </w:t>
      </w:r>
      <w:r w:rsidRPr="00FD7FB8">
        <w:rPr>
          <w:lang w:val="en-US"/>
        </w:rPr>
        <w:t xml:space="preserve">analysis of a clinical </w:t>
      </w:r>
      <w:r w:rsidRPr="00FD7FB8">
        <w:rPr>
          <w:vertAlign w:val="superscript"/>
          <w:lang w:val="en-US"/>
        </w:rPr>
        <w:t>177</w:t>
      </w:r>
      <w:r w:rsidRPr="00FD7FB8">
        <w:rPr>
          <w:lang w:val="en-US"/>
        </w:rPr>
        <w:t xml:space="preserve">Lu PSMA i&amp;t treatment program. </w:t>
      </w:r>
      <w:r w:rsidRPr="00FD7FB8">
        <w:t xml:space="preserve"> It included 125 men who underwent </w:t>
      </w:r>
      <w:r w:rsidRPr="00FD7FB8">
        <w:rPr>
          <w:vertAlign w:val="superscript"/>
          <w:lang w:val="en-US"/>
        </w:rPr>
        <w:t>177</w:t>
      </w:r>
      <w:r w:rsidRPr="00FD7FB8">
        <w:rPr>
          <w:lang w:val="en-US"/>
        </w:rPr>
        <w:t xml:space="preserve">Lu PSMA i&amp;t </w:t>
      </w:r>
      <w:r w:rsidRPr="00FD7FB8">
        <w:t xml:space="preserve">therapy between May 2019-April 2022. Following dose 2 (week-6), a composite prostate serum antigen (PSA) and </w:t>
      </w:r>
      <w:r w:rsidRPr="00FD7FB8">
        <w:rPr>
          <w:vertAlign w:val="superscript"/>
        </w:rPr>
        <w:t>177</w:t>
      </w:r>
      <w:r w:rsidRPr="00FD7FB8">
        <w:t>Lu</w:t>
      </w:r>
      <w:r>
        <w:t> </w:t>
      </w:r>
      <w:r w:rsidRPr="00FD7FB8">
        <w:t>SPECT/CT imaging response (partial response (PR), stable disease (SD) and progressive disease (PD) determined ongoing management. Implicitly, SPECT/CT, which is a part of the procedure and costed as such, is assumed to be the way of identifying disease progression (as opposed to merely establishing and categorising the response).</w:t>
      </w:r>
    </w:p>
    <w:p w14:paraId="20BD005C" w14:textId="77777777" w:rsidR="00F11BA2" w:rsidRPr="00DB025D" w:rsidRDefault="00F11BA2" w:rsidP="00F11BA2">
      <w:pPr>
        <w:tabs>
          <w:tab w:val="left" w:pos="0"/>
        </w:tabs>
      </w:pPr>
      <w:r w:rsidRPr="00DB025D">
        <w:t>In Re-SPECT, all men had mCRPC (SUV</w:t>
      </w:r>
      <w:r w:rsidRPr="00DB025D">
        <w:rPr>
          <w:vertAlign w:val="subscript"/>
        </w:rPr>
        <w:t>max</w:t>
      </w:r>
      <w:r w:rsidRPr="00DB025D">
        <w:t xml:space="preserve"> &gt;15 on PSMA PET at ≥1 site, and SUV</w:t>
      </w:r>
      <w:r w:rsidRPr="00DB025D">
        <w:rPr>
          <w:vertAlign w:val="subscript"/>
        </w:rPr>
        <w:t>max</w:t>
      </w:r>
      <w:r w:rsidRPr="00DB025D">
        <w:t xml:space="preserve"> &gt;10 at all measurable sites, consistent with the intended population), 99% (124/125) had prior ASI and 70% (88/125) prior docetaxel. This differs to the intended population who are required to have “progressive disease … while on at least one taxane chemotherapy and at least one androgen receptor signalling inhibitor”. Of those categorised in response group 1 (RG1), RG2 and RG3, 51% (21/41), </w:t>
      </w:r>
      <w:r w:rsidRPr="00DB025D">
        <w:rPr>
          <w:kern w:val="2"/>
          <w:lang w:val="en-GB"/>
        </w:rPr>
        <w:t>82% (32/39)</w:t>
      </w:r>
      <w:r w:rsidRPr="00DB025D">
        <w:t xml:space="preserve"> and 78% (28/36) men respectively had received prior chemotherapy. </w:t>
      </w:r>
    </w:p>
    <w:p w14:paraId="0DC38A03" w14:textId="77777777" w:rsidR="00F11BA2" w:rsidRPr="00F85EC5" w:rsidRDefault="00F11BA2" w:rsidP="00F11BA2">
      <w:pPr>
        <w:tabs>
          <w:tab w:val="left" w:pos="0"/>
        </w:tabs>
      </w:pPr>
      <w:r w:rsidRPr="00DB025D">
        <w:lastRenderedPageBreak/>
        <w:t xml:space="preserve">Mean age was 75 years (70-80). Patients received a median of 3 doses up to a maximum of 10 (IQR 2-4). Six per cent (9/125) had been previously treated on a clinical trial with </w:t>
      </w:r>
      <w:r w:rsidRPr="00DB025D">
        <w:rPr>
          <w:vertAlign w:val="superscript"/>
          <w:lang w:val="en-US"/>
        </w:rPr>
        <w:t>177</w:t>
      </w:r>
      <w:r w:rsidRPr="00DB025D">
        <w:rPr>
          <w:lang w:val="en-US"/>
        </w:rPr>
        <w:t>Lu PSMA 617</w:t>
      </w:r>
      <w:r w:rsidRPr="00DB025D">
        <w:t>. Overall, 60% (75/125) had a PSA reduction &gt;50% (PSARR). At the time of analysis 42% (52/125) were deceased. In the overall study population, the median PSA-PFS was 6.1 months (95% CI: 5.4-6.7) and OS 16.8 months (95% CI: 13.5-20.1).</w:t>
      </w:r>
    </w:p>
    <w:p w14:paraId="7A80097A" w14:textId="2CB25052" w:rsidR="00486FB4" w:rsidRDefault="00486FB4" w:rsidP="00F11BA2">
      <w:pPr>
        <w:autoSpaceDE w:val="0"/>
        <w:autoSpaceDN w:val="0"/>
        <w:adjustRightInd w:val="0"/>
        <w:spacing w:after="0"/>
      </w:pPr>
      <w:r w:rsidRPr="00F11BA2">
        <w:t xml:space="preserve">Patients were assigned to response groups (see </w:t>
      </w:r>
      <w:r w:rsidR="00F11BA2">
        <w:fldChar w:fldCharType="begin"/>
      </w:r>
      <w:r w:rsidR="00F11BA2">
        <w:instrText xml:space="preserve"> REF _Ref150180918 \h </w:instrText>
      </w:r>
      <w:r w:rsidR="00F11BA2">
        <w:fldChar w:fldCharType="separate"/>
      </w:r>
      <w:r w:rsidR="00BF6F93">
        <w:t xml:space="preserve">Table </w:t>
      </w:r>
      <w:r w:rsidR="00BF6F93">
        <w:rPr>
          <w:noProof/>
        </w:rPr>
        <w:t>6</w:t>
      </w:r>
      <w:r w:rsidR="00F11BA2">
        <w:fldChar w:fldCharType="end"/>
      </w:r>
      <w:r w:rsidRPr="00F11BA2">
        <w:t xml:space="preserve"> for definitions)</w:t>
      </w:r>
      <w:r w:rsidRPr="00F11BA2">
        <w:rPr>
          <w:lang w:val="en-US"/>
        </w:rPr>
        <w:t>, a “rise” in PSA, used to categorise response group 3, was not defined.</w:t>
      </w:r>
      <w:r w:rsidRPr="00F11BA2">
        <w:t xml:space="preserve"> </w:t>
      </w:r>
      <w:r>
        <w:t xml:space="preserve">The proportion of patients in each of the response groups is also reported in </w:t>
      </w:r>
      <w:r w:rsidR="00F11BA2">
        <w:fldChar w:fldCharType="begin"/>
      </w:r>
      <w:r w:rsidR="00F11BA2">
        <w:instrText xml:space="preserve"> REF _Ref150180918 \h </w:instrText>
      </w:r>
      <w:r w:rsidR="00F11BA2">
        <w:fldChar w:fldCharType="separate"/>
      </w:r>
      <w:r w:rsidR="00BF6F93">
        <w:t xml:space="preserve">Table </w:t>
      </w:r>
      <w:r w:rsidR="00BF6F93">
        <w:rPr>
          <w:noProof/>
        </w:rPr>
        <w:t>6</w:t>
      </w:r>
      <w:r w:rsidR="00F11BA2">
        <w:fldChar w:fldCharType="end"/>
      </w:r>
      <w:r>
        <w:t xml:space="preserve">. </w:t>
      </w:r>
      <w:r w:rsidRPr="00AC5650">
        <w:t xml:space="preserve">There was a significant difference in PSA-PFS </w:t>
      </w:r>
      <w:r>
        <w:t xml:space="preserve">and OS </w:t>
      </w:r>
      <w:r w:rsidRPr="00AC5650">
        <w:t>between response groups</w:t>
      </w:r>
      <w:r>
        <w:t xml:space="preserve"> (see </w:t>
      </w:r>
      <w:r w:rsidR="00F11BA2">
        <w:fldChar w:fldCharType="begin"/>
      </w:r>
      <w:r w:rsidR="00F11BA2">
        <w:instrText xml:space="preserve"> REF _Ref150180918 \h </w:instrText>
      </w:r>
      <w:r w:rsidR="00F11BA2">
        <w:fldChar w:fldCharType="separate"/>
      </w:r>
      <w:r w:rsidR="00BF6F93">
        <w:t xml:space="preserve">Table </w:t>
      </w:r>
      <w:r w:rsidR="00BF6F93">
        <w:rPr>
          <w:noProof/>
        </w:rPr>
        <w:t>6</w:t>
      </w:r>
      <w:r w:rsidR="00F11BA2">
        <w:fldChar w:fldCharType="end"/>
      </w:r>
      <w:r>
        <w:t>)</w:t>
      </w:r>
      <w:r w:rsidRPr="00AC5650">
        <w:t>, p &lt;0.0001</w:t>
      </w:r>
      <w:r>
        <w:t xml:space="preserve"> and p&lt;0.0005, respectively</w:t>
      </w:r>
      <w:r w:rsidRPr="00AC5650">
        <w:t>.</w:t>
      </w:r>
      <w:r>
        <w:t xml:space="preserve"> </w:t>
      </w:r>
      <w:r w:rsidRPr="00AC5650">
        <w:t>Similarly, PSA50%</w:t>
      </w:r>
      <w:r>
        <w:t xml:space="preserve"> (prostate serum antigen reduction of at least 50%) </w:t>
      </w:r>
      <w:r w:rsidRPr="00AC5650">
        <w:t>was also significantly different between response groups (</w:t>
      </w:r>
      <w:r>
        <w:t xml:space="preserve">see </w:t>
      </w:r>
      <w:r w:rsidR="00F11BA2">
        <w:fldChar w:fldCharType="begin"/>
      </w:r>
      <w:r w:rsidR="00F11BA2">
        <w:instrText xml:space="preserve"> REF _Ref150180918 \h </w:instrText>
      </w:r>
      <w:r w:rsidR="00F11BA2">
        <w:fldChar w:fldCharType="separate"/>
      </w:r>
      <w:r w:rsidR="00BF6F93">
        <w:t xml:space="preserve">Table </w:t>
      </w:r>
      <w:r w:rsidR="00BF6F93">
        <w:rPr>
          <w:noProof/>
        </w:rPr>
        <w:t>6</w:t>
      </w:r>
      <w:r w:rsidR="00F11BA2">
        <w:fldChar w:fldCharType="end"/>
      </w:r>
      <w:r>
        <w:t xml:space="preserve">, </w:t>
      </w:r>
      <w:r w:rsidRPr="00AC5650">
        <w:t>p&lt;0.0001)</w:t>
      </w:r>
      <w:r w:rsidR="0076680B">
        <w:t>.</w:t>
      </w:r>
      <w:r w:rsidRPr="00634165">
        <w:t xml:space="preserve"> </w:t>
      </w:r>
    </w:p>
    <w:p w14:paraId="4B5079C0" w14:textId="3D64751D" w:rsidR="00486FB4" w:rsidRDefault="00F11BA2" w:rsidP="00486FB4">
      <w:pPr>
        <w:pStyle w:val="Caption"/>
        <w:rPr>
          <w:rFonts w:cs="Cambria Math"/>
        </w:rPr>
      </w:pPr>
      <w:bookmarkStart w:id="22" w:name="_Ref150180918"/>
      <w:r>
        <w:t xml:space="preserve">Table </w:t>
      </w:r>
      <w:r w:rsidR="004D6242">
        <w:fldChar w:fldCharType="begin"/>
      </w:r>
      <w:r w:rsidR="004D6242">
        <w:instrText xml:space="preserve"> SEQ Table \* ARABIC </w:instrText>
      </w:r>
      <w:r w:rsidR="004D6242">
        <w:fldChar w:fldCharType="separate"/>
      </w:r>
      <w:r w:rsidR="00BF6F93">
        <w:rPr>
          <w:noProof/>
        </w:rPr>
        <w:t>6</w:t>
      </w:r>
      <w:r w:rsidR="004D6242">
        <w:rPr>
          <w:noProof/>
        </w:rPr>
        <w:fldChar w:fldCharType="end"/>
      </w:r>
      <w:bookmarkEnd w:id="22"/>
      <w:r>
        <w:tab/>
      </w:r>
      <w:r w:rsidR="00486FB4">
        <w:rPr>
          <w:rFonts w:eastAsia="Calibri" w:cs="Calibri"/>
        </w:rPr>
        <w:t>Response group categorisations and the results reported in Re-SPECT study (Emmett, 2023)</w:t>
      </w:r>
    </w:p>
    <w:tbl>
      <w:tblPr>
        <w:tblStyle w:val="TableGrid"/>
        <w:tblW w:w="0" w:type="auto"/>
        <w:tblLook w:val="04A0" w:firstRow="1" w:lastRow="0" w:firstColumn="1" w:lastColumn="0" w:noHBand="0" w:noVBand="1"/>
      </w:tblPr>
      <w:tblGrid>
        <w:gridCol w:w="4508"/>
        <w:gridCol w:w="4508"/>
      </w:tblGrid>
      <w:tr w:rsidR="00486FB4" w:rsidRPr="00D00BFB" w14:paraId="306491DE" w14:textId="77777777">
        <w:tc>
          <w:tcPr>
            <w:tcW w:w="4508" w:type="dxa"/>
          </w:tcPr>
          <w:p w14:paraId="695B8F7E" w14:textId="77777777" w:rsidR="00486FB4" w:rsidRPr="00D00BFB" w:rsidRDefault="00486FB4">
            <w:pPr>
              <w:keepNext/>
              <w:tabs>
                <w:tab w:val="left" w:pos="0"/>
              </w:tabs>
              <w:rPr>
                <w:rFonts w:ascii="Arial Narrow" w:hAnsi="Arial Narrow"/>
                <w:b/>
                <w:sz w:val="20"/>
                <w:szCs w:val="20"/>
              </w:rPr>
            </w:pPr>
            <w:r w:rsidRPr="00D00BFB">
              <w:rPr>
                <w:rFonts w:ascii="Arial Narrow" w:hAnsi="Arial Narrow"/>
                <w:b/>
                <w:sz w:val="20"/>
                <w:szCs w:val="20"/>
              </w:rPr>
              <w:t>Response group</w:t>
            </w:r>
          </w:p>
        </w:tc>
        <w:tc>
          <w:tcPr>
            <w:tcW w:w="4508" w:type="dxa"/>
          </w:tcPr>
          <w:p w14:paraId="789CBF51" w14:textId="77777777" w:rsidR="00486FB4" w:rsidRPr="00D00BFB" w:rsidRDefault="00486FB4">
            <w:pPr>
              <w:keepNext/>
              <w:tabs>
                <w:tab w:val="left" w:pos="0"/>
              </w:tabs>
              <w:rPr>
                <w:rFonts w:ascii="Arial Narrow" w:hAnsi="Arial Narrow"/>
                <w:b/>
                <w:sz w:val="20"/>
                <w:szCs w:val="20"/>
              </w:rPr>
            </w:pPr>
            <w:r w:rsidRPr="00D00BFB">
              <w:rPr>
                <w:rFonts w:ascii="Arial Narrow" w:hAnsi="Arial Narrow"/>
                <w:b/>
                <w:sz w:val="20"/>
                <w:szCs w:val="20"/>
              </w:rPr>
              <w:t>N=116 (those assigned to a response groups)</w:t>
            </w:r>
          </w:p>
        </w:tc>
      </w:tr>
      <w:tr w:rsidR="00486FB4" w:rsidRPr="00D00BFB" w14:paraId="0D529A47" w14:textId="77777777">
        <w:tc>
          <w:tcPr>
            <w:tcW w:w="4508" w:type="dxa"/>
          </w:tcPr>
          <w:p w14:paraId="1D3CCCD7" w14:textId="77777777" w:rsidR="00486FB4" w:rsidRPr="00D00BFB" w:rsidRDefault="00486FB4" w:rsidP="001359E7">
            <w:pPr>
              <w:pStyle w:val="ListParagraph"/>
              <w:keepNext/>
              <w:numPr>
                <w:ilvl w:val="0"/>
                <w:numId w:val="16"/>
              </w:numPr>
              <w:tabs>
                <w:tab w:val="left" w:pos="0"/>
              </w:tabs>
              <w:ind w:left="479" w:hanging="306"/>
              <w:rPr>
                <w:rFonts w:ascii="Arial Narrow" w:hAnsi="Arial Narrow"/>
                <w:sz w:val="20"/>
                <w:szCs w:val="20"/>
              </w:rPr>
            </w:pPr>
            <w:r w:rsidRPr="00D00BFB">
              <w:rPr>
                <w:rFonts w:ascii="Arial Narrow" w:hAnsi="Arial Narrow"/>
                <w:sz w:val="20"/>
                <w:szCs w:val="20"/>
              </w:rPr>
              <w:t>Marked reduction (50%) in PSA and imaging-PR break in treatment until subsequent PSA rise, then consider re-treatment. Imaging PR (partial response) was classified as a significant response on imaging (between baseline and week-6 Lu-SPECT/CT) defined as a marked reduction (&gt;30%) in visual tumour volume at all sites of involved disease, no new sites of PSMA avid tumour deposits and no new sites of PSMA negative tumour deposits on diagnostic CT.</w:t>
            </w:r>
          </w:p>
        </w:tc>
        <w:tc>
          <w:tcPr>
            <w:tcW w:w="4508" w:type="dxa"/>
          </w:tcPr>
          <w:p w14:paraId="408B09C1" w14:textId="77777777" w:rsidR="00486FB4" w:rsidRPr="00D00BFB" w:rsidRDefault="00486FB4" w:rsidP="00D00BFB">
            <w:pPr>
              <w:keepNext/>
              <w:tabs>
                <w:tab w:val="left" w:pos="0"/>
              </w:tabs>
              <w:spacing w:before="0"/>
              <w:rPr>
                <w:rFonts w:ascii="Arial Narrow" w:hAnsi="Arial Narrow"/>
                <w:sz w:val="20"/>
                <w:szCs w:val="20"/>
              </w:rPr>
            </w:pPr>
            <w:r w:rsidRPr="00D00BFB">
              <w:rPr>
                <w:rFonts w:ascii="Arial Narrow" w:hAnsi="Arial Narrow"/>
                <w:sz w:val="20"/>
                <w:szCs w:val="20"/>
              </w:rPr>
              <w:t>41 (35%)</w:t>
            </w:r>
          </w:p>
          <w:p w14:paraId="31020D0D" w14:textId="77777777" w:rsidR="00486FB4" w:rsidRPr="00D00BFB" w:rsidRDefault="00486FB4" w:rsidP="00D00BFB">
            <w:pPr>
              <w:keepNext/>
              <w:tabs>
                <w:tab w:val="left" w:pos="0"/>
              </w:tabs>
              <w:spacing w:before="0"/>
              <w:rPr>
                <w:rFonts w:ascii="Arial Narrow" w:hAnsi="Arial Narrow"/>
                <w:sz w:val="20"/>
                <w:szCs w:val="20"/>
              </w:rPr>
            </w:pPr>
            <w:r w:rsidRPr="00D00BFB">
              <w:rPr>
                <w:rFonts w:ascii="Arial Narrow" w:hAnsi="Arial Narrow"/>
                <w:sz w:val="20"/>
                <w:szCs w:val="20"/>
              </w:rPr>
              <w:t>PSA-PFS median 12.1 (95% CI: 9.3-17.4) months</w:t>
            </w:r>
          </w:p>
          <w:p w14:paraId="36BB80B1" w14:textId="77777777" w:rsidR="00486FB4" w:rsidRPr="00D00BFB" w:rsidRDefault="00486FB4" w:rsidP="00D00BFB">
            <w:pPr>
              <w:keepNext/>
              <w:tabs>
                <w:tab w:val="left" w:pos="0"/>
              </w:tabs>
              <w:spacing w:before="0"/>
              <w:rPr>
                <w:rFonts w:ascii="Arial Narrow" w:hAnsi="Arial Narrow"/>
                <w:sz w:val="20"/>
                <w:szCs w:val="20"/>
              </w:rPr>
            </w:pPr>
            <w:r w:rsidRPr="00D00BFB">
              <w:rPr>
                <w:rFonts w:ascii="Arial Narrow" w:hAnsi="Arial Narrow"/>
                <w:sz w:val="20"/>
                <w:szCs w:val="20"/>
              </w:rPr>
              <w:t>OS median 19.2 (95% CI: 16.8-20.7) months</w:t>
            </w:r>
          </w:p>
          <w:p w14:paraId="5244DF64" w14:textId="77777777" w:rsidR="00486FB4" w:rsidRPr="00D00BFB" w:rsidRDefault="00486FB4" w:rsidP="00D00BFB">
            <w:pPr>
              <w:keepNext/>
              <w:tabs>
                <w:tab w:val="left" w:pos="0"/>
              </w:tabs>
              <w:spacing w:before="0"/>
              <w:rPr>
                <w:rFonts w:ascii="Arial Narrow" w:hAnsi="Arial Narrow"/>
                <w:sz w:val="20"/>
                <w:szCs w:val="20"/>
              </w:rPr>
            </w:pPr>
            <w:r w:rsidRPr="00D00BFB">
              <w:rPr>
                <w:rFonts w:ascii="Arial Narrow" w:hAnsi="Arial Narrow"/>
                <w:sz w:val="20"/>
                <w:szCs w:val="20"/>
              </w:rPr>
              <w:t>PSA50% RR: 93%</w:t>
            </w:r>
          </w:p>
          <w:p w14:paraId="373AD80B" w14:textId="77777777" w:rsidR="00486FB4" w:rsidRPr="00D00BFB" w:rsidRDefault="00486FB4" w:rsidP="00D00BFB">
            <w:pPr>
              <w:keepNext/>
              <w:tabs>
                <w:tab w:val="left" w:pos="0"/>
              </w:tabs>
              <w:spacing w:before="0"/>
              <w:rPr>
                <w:rFonts w:ascii="Arial Narrow" w:hAnsi="Arial Narrow"/>
                <w:sz w:val="20"/>
                <w:szCs w:val="20"/>
              </w:rPr>
            </w:pPr>
            <w:r w:rsidRPr="00D00BFB">
              <w:rPr>
                <w:rFonts w:ascii="Arial Narrow" w:hAnsi="Arial Narrow"/>
                <w:sz w:val="20"/>
                <w:szCs w:val="20"/>
              </w:rPr>
              <w:t>Median 3 (IQR 2-4) doses of 177LuPSMA-I&amp;T</w:t>
            </w:r>
          </w:p>
          <w:p w14:paraId="677EFA3B" w14:textId="77777777" w:rsidR="00486FB4" w:rsidRPr="00D00BFB" w:rsidRDefault="00486FB4" w:rsidP="00D00BFB">
            <w:pPr>
              <w:keepNext/>
              <w:tabs>
                <w:tab w:val="left" w:pos="0"/>
              </w:tabs>
              <w:spacing w:before="0"/>
              <w:rPr>
                <w:rFonts w:ascii="Arial Narrow" w:hAnsi="Arial Narrow"/>
                <w:sz w:val="20"/>
                <w:szCs w:val="20"/>
              </w:rPr>
            </w:pPr>
            <w:r w:rsidRPr="00D00BFB">
              <w:rPr>
                <w:rFonts w:ascii="Arial Narrow" w:hAnsi="Arial Narrow"/>
                <w:sz w:val="20"/>
                <w:szCs w:val="20"/>
              </w:rPr>
              <w:t>All men had a treatment break due to significant treatment response, with a median 6.1 months (IQR 3.4-8.7) of treatment ‘holiday’ prior to a subsequent rise in PSA and consideration for re-treatment.</w:t>
            </w:r>
          </w:p>
        </w:tc>
      </w:tr>
      <w:tr w:rsidR="00486FB4" w:rsidRPr="00D00BFB" w14:paraId="2190BF53" w14:textId="77777777">
        <w:tc>
          <w:tcPr>
            <w:tcW w:w="4508" w:type="dxa"/>
          </w:tcPr>
          <w:p w14:paraId="34F55E66" w14:textId="77777777" w:rsidR="00486FB4" w:rsidRPr="00D00BFB" w:rsidRDefault="00486FB4" w:rsidP="001359E7">
            <w:pPr>
              <w:pStyle w:val="ListParagraph"/>
              <w:keepNext/>
              <w:numPr>
                <w:ilvl w:val="0"/>
                <w:numId w:val="16"/>
              </w:numPr>
              <w:tabs>
                <w:tab w:val="left" w:pos="0"/>
              </w:tabs>
              <w:spacing w:before="0"/>
              <w:ind w:left="453"/>
              <w:rPr>
                <w:rFonts w:ascii="Arial Narrow" w:hAnsi="Arial Narrow"/>
                <w:sz w:val="20"/>
                <w:szCs w:val="20"/>
              </w:rPr>
            </w:pPr>
            <w:r w:rsidRPr="00D00BFB">
              <w:rPr>
                <w:rFonts w:ascii="Arial Narrow" w:hAnsi="Arial Narrow"/>
                <w:sz w:val="20"/>
                <w:szCs w:val="20"/>
              </w:rPr>
              <w:t>Stable or reduced PSA (&lt;50%) and/or imaging SD) ongoing 6 weekly treatments until 6 doses, or no longer clinically benefitting. Stable disease (SD) was classified as no visible marked change in tumour volume (&gt;30%), no new sites of PSMA avid disease on diagnostic CT (imaging PD).</w:t>
            </w:r>
          </w:p>
        </w:tc>
        <w:tc>
          <w:tcPr>
            <w:tcW w:w="4508" w:type="dxa"/>
          </w:tcPr>
          <w:p w14:paraId="7CE675C4"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39 (34%)</w:t>
            </w:r>
          </w:p>
          <w:p w14:paraId="7E8EAA37" w14:textId="53299282"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PSA-PFS median 6.1 (95% CI: 5.8-9.0) months</w:t>
            </w:r>
          </w:p>
          <w:p w14:paraId="4224EB21"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OS median 13.2 (95% CI: 12.0-18.8) months</w:t>
            </w:r>
          </w:p>
          <w:p w14:paraId="1D5D213D"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PSA50% RR: 74%</w:t>
            </w:r>
          </w:p>
          <w:p w14:paraId="18D0E93E"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Median 4 doses (IQR 3-5) 177LuPSMA-I&amp;T</w:t>
            </w:r>
          </w:p>
        </w:tc>
      </w:tr>
      <w:tr w:rsidR="00486FB4" w:rsidRPr="00D00BFB" w14:paraId="2611D762" w14:textId="77777777">
        <w:tc>
          <w:tcPr>
            <w:tcW w:w="4508" w:type="dxa"/>
          </w:tcPr>
          <w:p w14:paraId="490897C9" w14:textId="77777777" w:rsidR="00486FB4" w:rsidRPr="00D00BFB" w:rsidRDefault="00486FB4" w:rsidP="001359E7">
            <w:pPr>
              <w:pStyle w:val="ListParagraph"/>
              <w:keepNext/>
              <w:numPr>
                <w:ilvl w:val="0"/>
                <w:numId w:val="16"/>
              </w:numPr>
              <w:tabs>
                <w:tab w:val="left" w:pos="0"/>
              </w:tabs>
              <w:spacing w:before="0"/>
              <w:ind w:left="453"/>
              <w:rPr>
                <w:rFonts w:ascii="Arial Narrow" w:hAnsi="Arial Narrow"/>
                <w:sz w:val="20"/>
                <w:szCs w:val="20"/>
              </w:rPr>
            </w:pPr>
            <w:r w:rsidRPr="00D00BFB">
              <w:rPr>
                <w:rFonts w:ascii="Arial Narrow" w:hAnsi="Arial Narrow"/>
                <w:sz w:val="20"/>
                <w:szCs w:val="20"/>
              </w:rPr>
              <w:t xml:space="preserve">Rise in PSA and/or imaging PD consider referral to an alternative treatment. Progressive disease was defined as visual increase in tumour volume (&gt;30%) ± new sites of disease and/or the presence of new sites of PSMA-negative disease progression on diagnostic CT (imaging PD). </w:t>
            </w:r>
          </w:p>
        </w:tc>
        <w:tc>
          <w:tcPr>
            <w:tcW w:w="4508" w:type="dxa"/>
          </w:tcPr>
          <w:p w14:paraId="69B3E28B" w14:textId="3050C28B" w:rsidR="00486FB4" w:rsidRPr="00F11BA2"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36 (31</w:t>
            </w:r>
            <w:r w:rsidRPr="00F11BA2">
              <w:rPr>
                <w:rFonts w:ascii="Arial Narrow" w:hAnsi="Arial Narrow"/>
                <w:sz w:val="20"/>
                <w:szCs w:val="20"/>
              </w:rPr>
              <w:t>%)</w:t>
            </w:r>
            <w:r w:rsidR="00D00BFB" w:rsidRPr="00F11BA2">
              <w:rPr>
                <w:rFonts w:ascii="Arial Narrow" w:hAnsi="Arial Narrow"/>
                <w:sz w:val="20"/>
                <w:szCs w:val="20"/>
              </w:rPr>
              <w:t xml:space="preserve"> assumed to be “non-responders”</w:t>
            </w:r>
          </w:p>
          <w:p w14:paraId="3506D73F"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PSA-PFS median 2.6 (95% CI: 1.6-3.1) months</w:t>
            </w:r>
          </w:p>
          <w:p w14:paraId="627C632D"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OS median 11.2 (95% CI: 8.7-15.6) months</w:t>
            </w:r>
          </w:p>
          <w:p w14:paraId="58F5A6A3"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PSA50% RR: 8%</w:t>
            </w:r>
          </w:p>
          <w:p w14:paraId="6306ADA1"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 xml:space="preserve">Median 3 (IQR 2-3) doses 177LuPSMA-I&amp;T. </w:t>
            </w:r>
          </w:p>
          <w:p w14:paraId="123FE158" w14:textId="77777777" w:rsidR="00486FB4" w:rsidRPr="00D00BFB" w:rsidRDefault="00486FB4" w:rsidP="00486FB4">
            <w:pPr>
              <w:keepNext/>
              <w:tabs>
                <w:tab w:val="left" w:pos="0"/>
              </w:tabs>
              <w:spacing w:before="0"/>
              <w:rPr>
                <w:rFonts w:ascii="Arial Narrow" w:hAnsi="Arial Narrow"/>
                <w:sz w:val="20"/>
                <w:szCs w:val="20"/>
              </w:rPr>
            </w:pPr>
            <w:r w:rsidRPr="00D00BFB">
              <w:rPr>
                <w:rFonts w:ascii="Arial Narrow" w:hAnsi="Arial Narrow"/>
                <w:sz w:val="20"/>
                <w:szCs w:val="20"/>
              </w:rPr>
              <w:t>A PSA rise occurred in 92% (33/36) prior to cycle 3.</w:t>
            </w:r>
          </w:p>
          <w:p w14:paraId="37B49701" w14:textId="623ABFC8" w:rsidR="00486FB4" w:rsidRPr="00F11BA2" w:rsidRDefault="00F11BA2" w:rsidP="00486FB4">
            <w:pPr>
              <w:keepNext/>
              <w:tabs>
                <w:tab w:val="left" w:pos="0"/>
              </w:tabs>
              <w:spacing w:before="0"/>
              <w:rPr>
                <w:rFonts w:ascii="Arial Narrow" w:hAnsi="Arial Narrow"/>
                <w:sz w:val="20"/>
                <w:szCs w:val="20"/>
              </w:rPr>
            </w:pPr>
            <w:r w:rsidRPr="00F11BA2">
              <w:rPr>
                <w:rFonts w:ascii="Arial Narrow" w:hAnsi="Arial Narrow"/>
                <w:sz w:val="20"/>
                <w:szCs w:val="18"/>
              </w:rPr>
              <w:t>Which is equivalent to 33/116=28.4% of patients who would not have met the proposed continuation criteria</w:t>
            </w:r>
          </w:p>
        </w:tc>
      </w:tr>
    </w:tbl>
    <w:p w14:paraId="6CC3CC39" w14:textId="0F863C7B" w:rsidR="00486FB4" w:rsidRDefault="00486FB4" w:rsidP="00F11BA2">
      <w:pPr>
        <w:rPr>
          <w:rFonts w:ascii="Arial Narrow" w:hAnsi="Arial Narrow"/>
          <w:sz w:val="18"/>
          <w:szCs w:val="18"/>
        </w:rPr>
      </w:pPr>
      <w:r>
        <w:rPr>
          <w:rFonts w:ascii="Arial Narrow" w:hAnsi="Arial Narrow"/>
          <w:sz w:val="18"/>
          <w:szCs w:val="18"/>
        </w:rPr>
        <w:t xml:space="preserve">IQR = interquartile range; </w:t>
      </w:r>
      <w:r w:rsidRPr="00AC5650">
        <w:rPr>
          <w:rFonts w:ascii="Arial Narrow" w:hAnsi="Arial Narrow"/>
          <w:sz w:val="18"/>
          <w:szCs w:val="18"/>
        </w:rPr>
        <w:t xml:space="preserve">PD = progressive disease; PFS = progression-free survival; </w:t>
      </w:r>
      <w:r w:rsidRPr="00F2165B">
        <w:rPr>
          <w:rFonts w:ascii="Arial Narrow" w:hAnsi="Arial Narrow"/>
          <w:sz w:val="18"/>
          <w:szCs w:val="18"/>
        </w:rPr>
        <w:t>PR =</w:t>
      </w:r>
      <w:r w:rsidRPr="00AC5650">
        <w:rPr>
          <w:rFonts w:ascii="Arial Narrow" w:hAnsi="Arial Narrow"/>
          <w:sz w:val="18"/>
          <w:szCs w:val="18"/>
        </w:rPr>
        <w:t xml:space="preserve"> </w:t>
      </w:r>
      <w:r>
        <w:rPr>
          <w:rFonts w:ascii="Arial Narrow" w:hAnsi="Arial Narrow"/>
          <w:sz w:val="18"/>
          <w:szCs w:val="18"/>
        </w:rPr>
        <w:t>partial response</w:t>
      </w:r>
      <w:r w:rsidRPr="00AC5650">
        <w:rPr>
          <w:rFonts w:ascii="Arial Narrow" w:hAnsi="Arial Narrow"/>
          <w:sz w:val="18"/>
          <w:szCs w:val="18"/>
        </w:rPr>
        <w:t>; PSA = prostate serum</w:t>
      </w:r>
    </w:p>
    <w:p w14:paraId="193F330F" w14:textId="77777777" w:rsidR="00C538E8" w:rsidRDefault="00C538E8" w:rsidP="00C538E8">
      <w:pPr>
        <w:rPr>
          <w:rFonts w:cs="Cambria Math"/>
          <w:szCs w:val="20"/>
        </w:rPr>
      </w:pPr>
      <w:r>
        <w:rPr>
          <w:rFonts w:cs="Cambria Math"/>
          <w:szCs w:val="20"/>
        </w:rPr>
        <w:t xml:space="preserve">Given 31% of patients enrolled in Re-SPECT failed to respond to treatment, it is possible that the nominated eligibility criteria </w:t>
      </w:r>
      <w:r w:rsidRPr="00DB025D">
        <w:t>(SUV</w:t>
      </w:r>
      <w:r w:rsidRPr="00DB025D">
        <w:rPr>
          <w:vertAlign w:val="subscript"/>
        </w:rPr>
        <w:t>max</w:t>
      </w:r>
      <w:r w:rsidRPr="00DB025D">
        <w:t xml:space="preserve"> &gt;15 on PSMA PET at ≥1 site, and SUV</w:t>
      </w:r>
      <w:r w:rsidRPr="00DB025D">
        <w:rPr>
          <w:vertAlign w:val="subscript"/>
        </w:rPr>
        <w:t>max</w:t>
      </w:r>
      <w:r w:rsidRPr="00DB025D">
        <w:t xml:space="preserve"> &gt;10 at all measurable sites</w:t>
      </w:r>
      <w:r>
        <w:t>), may not be sufficiently discriminatory for identifying a population who are likely to respond. This, taken together with the fact that 90% of patients are considered to meet this eligibility criteria for treatment (based on TheraP), also calls into question the codependent relationship of test (PSMA PET/CT) with treatment.</w:t>
      </w:r>
    </w:p>
    <w:p w14:paraId="39CBCBF3" w14:textId="7BC0FFF9" w:rsidR="0015001B" w:rsidRDefault="0015001B" w:rsidP="0015001B">
      <w:pPr>
        <w:rPr>
          <w:rFonts w:cs="Cambria Math"/>
          <w:szCs w:val="20"/>
        </w:rPr>
      </w:pPr>
      <w:r>
        <w:rPr>
          <w:rFonts w:cs="Cambria Math"/>
          <w:szCs w:val="20"/>
        </w:rPr>
        <w:fldChar w:fldCharType="begin"/>
      </w:r>
      <w:r>
        <w:rPr>
          <w:rFonts w:cs="Cambria Math"/>
          <w:szCs w:val="20"/>
        </w:rPr>
        <w:instrText xml:space="preserve"> REF _Ref150936019 \h  \* MERGEFORMAT </w:instrText>
      </w:r>
      <w:r>
        <w:rPr>
          <w:rFonts w:cs="Cambria Math"/>
          <w:szCs w:val="20"/>
        </w:rPr>
      </w:r>
      <w:r>
        <w:rPr>
          <w:rFonts w:cs="Cambria Math"/>
          <w:szCs w:val="20"/>
        </w:rPr>
        <w:fldChar w:fldCharType="separate"/>
      </w:r>
      <w:r w:rsidR="00BF6F93" w:rsidRPr="00BF6F93">
        <w:rPr>
          <w:rFonts w:cs="Cambria Math"/>
          <w:szCs w:val="20"/>
        </w:rPr>
        <w:t xml:space="preserve">Figure </w:t>
      </w:r>
      <w:r w:rsidR="00BF6F93" w:rsidRPr="00AD5BA8">
        <w:rPr>
          <w:rFonts w:cs="Cambria Math"/>
          <w:szCs w:val="20"/>
        </w:rPr>
        <w:t>1</w:t>
      </w:r>
      <w:r>
        <w:rPr>
          <w:rFonts w:cs="Cambria Math"/>
          <w:szCs w:val="20"/>
        </w:rPr>
        <w:fldChar w:fldCharType="end"/>
      </w:r>
      <w:r>
        <w:rPr>
          <w:rFonts w:cs="Cambria Math"/>
          <w:szCs w:val="20"/>
        </w:rPr>
        <w:t xml:space="preserve"> presents the (a) PSA-PFS and (b) OS for the three response groups in the Re-SPECT study.</w:t>
      </w:r>
    </w:p>
    <w:p w14:paraId="5A5BFC26" w14:textId="77777777" w:rsidR="0015001B" w:rsidRDefault="0015001B" w:rsidP="0015001B">
      <w:pPr>
        <w:jc w:val="center"/>
        <w:rPr>
          <w:rFonts w:cs="Cambria Math"/>
          <w:szCs w:val="20"/>
        </w:rPr>
      </w:pPr>
      <w:r w:rsidRPr="00036A5E">
        <w:rPr>
          <w:rFonts w:cs="Cambria Math"/>
          <w:noProof/>
          <w:szCs w:val="20"/>
        </w:rPr>
        <w:lastRenderedPageBreak/>
        <w:drawing>
          <wp:inline distT="0" distB="0" distL="0" distR="0" wp14:anchorId="4505AEE0" wp14:editId="3F64F5E5">
            <wp:extent cx="4505954" cy="5830114"/>
            <wp:effectExtent l="0" t="0" r="9525" b="0"/>
            <wp:docPr id="675539794" name="Picture 675539794" descr="A graph of a patient's survival. Kaplan–Meier curve for (a) PSA-PFS in patients with marked reduction in PSA and imaging PR (blue) versus stable or reduced PSA and/or imaging SD (yellow) and rise in PSA and/or imaging PD (red) and (b) demonstrating OS in the same coh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39794" name="Picture 675539794" descr="A graph of a patient's survival. Kaplan–Meier curve for (a) PSA-PFS in patients with marked reduction in PSA and imaging PR (blue) versus stable or reduced PSA and/or imaging SD (yellow) and rise in PSA and/or imaging PD (red) and (b) demonstrating OS in the same cohorts."/>
                    <pic:cNvPicPr/>
                  </pic:nvPicPr>
                  <pic:blipFill>
                    <a:blip r:embed="rId14"/>
                    <a:stretch>
                      <a:fillRect/>
                    </a:stretch>
                  </pic:blipFill>
                  <pic:spPr>
                    <a:xfrm>
                      <a:off x="0" y="0"/>
                      <a:ext cx="4505954" cy="5830114"/>
                    </a:xfrm>
                    <a:prstGeom prst="rect">
                      <a:avLst/>
                    </a:prstGeom>
                  </pic:spPr>
                </pic:pic>
              </a:graphicData>
            </a:graphic>
          </wp:inline>
        </w:drawing>
      </w:r>
    </w:p>
    <w:p w14:paraId="15E5139A" w14:textId="7EFBC51A" w:rsidR="0015001B" w:rsidRDefault="0015001B" w:rsidP="0015001B">
      <w:pPr>
        <w:pStyle w:val="Caption"/>
        <w:tabs>
          <w:tab w:val="left" w:pos="1021"/>
        </w:tabs>
        <w:spacing w:after="0"/>
        <w:ind w:left="1021" w:hanging="1021"/>
      </w:pPr>
      <w:bookmarkStart w:id="23" w:name="_Ref150936019"/>
      <w:r>
        <w:t xml:space="preserve">Figure </w:t>
      </w:r>
      <w:r w:rsidR="004D6242">
        <w:fldChar w:fldCharType="begin"/>
      </w:r>
      <w:r w:rsidR="004D6242">
        <w:instrText xml:space="preserve"> SEQ Figure \* ARABIC </w:instrText>
      </w:r>
      <w:r w:rsidR="004D6242">
        <w:fldChar w:fldCharType="separate"/>
      </w:r>
      <w:r w:rsidR="00BF6F93">
        <w:rPr>
          <w:noProof/>
        </w:rPr>
        <w:t>1</w:t>
      </w:r>
      <w:r w:rsidR="004D6242">
        <w:rPr>
          <w:noProof/>
        </w:rPr>
        <w:fldChar w:fldCharType="end"/>
      </w:r>
      <w:bookmarkEnd w:id="23"/>
      <w:r>
        <w:tab/>
        <w:t>Kaplan–Meier curve for (a) PSA-PFS in patients with marked reduction in PSA and imaging PR (blue) versus stable or reduced PSA and/or imaging SD (yellow) and rise in PSA and/or imaging PD (red) and (b) demonstrating OS in the same cohorts.</w:t>
      </w:r>
    </w:p>
    <w:p w14:paraId="102DAD9A" w14:textId="77777777" w:rsidR="0015001B" w:rsidRPr="00036A5E" w:rsidRDefault="0015001B" w:rsidP="0015001B">
      <w:pPr>
        <w:pStyle w:val="Caption"/>
        <w:tabs>
          <w:tab w:val="left" w:pos="993"/>
        </w:tabs>
        <w:spacing w:before="0" w:after="0"/>
        <w:ind w:left="1020" w:hanging="28"/>
        <w:rPr>
          <w:b w:val="0"/>
          <w:bCs w:val="0"/>
          <w:sz w:val="18"/>
          <w:szCs w:val="18"/>
        </w:rPr>
      </w:pPr>
      <w:r w:rsidRPr="00036A5E">
        <w:rPr>
          <w:b w:val="0"/>
          <w:bCs w:val="0"/>
          <w:sz w:val="18"/>
          <w:szCs w:val="18"/>
        </w:rPr>
        <w:t>Source: Figure 1, p5 of Emmet et al (2023)</w:t>
      </w:r>
    </w:p>
    <w:p w14:paraId="43699854" w14:textId="77777777" w:rsidR="0015001B" w:rsidRPr="00036A5E" w:rsidRDefault="0015001B" w:rsidP="0015001B">
      <w:pPr>
        <w:pStyle w:val="Caption"/>
        <w:tabs>
          <w:tab w:val="left" w:pos="993"/>
        </w:tabs>
        <w:spacing w:before="0" w:after="360"/>
        <w:ind w:left="1020" w:hanging="28"/>
        <w:rPr>
          <w:rFonts w:ascii="Franklin Gothic Book" w:hAnsi="Franklin Gothic Book" w:cs="Cambria Math"/>
          <w:b w:val="0"/>
          <w:bCs w:val="0"/>
          <w:sz w:val="18"/>
          <w:szCs w:val="18"/>
        </w:rPr>
      </w:pPr>
      <w:r w:rsidRPr="00036A5E">
        <w:rPr>
          <w:b w:val="0"/>
          <w:bCs w:val="0"/>
          <w:sz w:val="18"/>
          <w:szCs w:val="18"/>
        </w:rPr>
        <w:t>OS, overall survival; PD, progressive disease; PFS, progression-free survival; PSA, prostate-specific antigen; SD, stable disease.</w:t>
      </w:r>
    </w:p>
    <w:p w14:paraId="3B9FC2AD" w14:textId="490F74B6" w:rsidR="00772829" w:rsidRDefault="00295AD6" w:rsidP="002A18BE">
      <w:pPr>
        <w:pStyle w:val="Heading2"/>
        <w:numPr>
          <w:ilvl w:val="0"/>
          <w:numId w:val="0"/>
        </w:numPr>
      </w:pPr>
      <w:bookmarkStart w:id="24" w:name="_Toc69491423"/>
      <w:bookmarkEnd w:id="21"/>
      <w:r>
        <w:t>11</w:t>
      </w:r>
      <w:r w:rsidR="00C36633">
        <w:t>.</w:t>
      </w:r>
      <w:r w:rsidR="00C36633">
        <w:tab/>
      </w:r>
      <w:r w:rsidR="00772829" w:rsidRPr="00CE28E3">
        <w:t>Comparative safety</w:t>
      </w:r>
      <w:bookmarkEnd w:id="24"/>
    </w:p>
    <w:p w14:paraId="40324542" w14:textId="37963E12" w:rsidR="004D5780" w:rsidRPr="00F829F8" w:rsidRDefault="004D5780" w:rsidP="00F93412">
      <w:r>
        <w:t xml:space="preserve">The comparative safety was not reconsidered in this </w:t>
      </w:r>
      <w:r w:rsidR="00F829F8">
        <w:t>FFP DCAR.</w:t>
      </w:r>
      <w:r w:rsidR="005E3D87">
        <w:t xml:space="preserve"> </w:t>
      </w:r>
      <w:r w:rsidR="005E3D87" w:rsidRPr="00F829F8">
        <w:t xml:space="preserve">MSAC accepted the high certainty from the evidence that </w:t>
      </w:r>
      <w:r w:rsidR="005E3D87" w:rsidRPr="00F829F8">
        <w:rPr>
          <w:vertAlign w:val="superscript"/>
        </w:rPr>
        <w:t>177</w:t>
      </w:r>
      <w:r w:rsidR="005E3D87" w:rsidRPr="00F829F8">
        <w:t>Lu-PSMA i&amp;t therapy is acceptably safe.</w:t>
      </w:r>
    </w:p>
    <w:p w14:paraId="3717AA01" w14:textId="45993B45" w:rsidR="00772829" w:rsidRDefault="00295AD6" w:rsidP="002A18BE">
      <w:pPr>
        <w:pStyle w:val="Heading2"/>
        <w:numPr>
          <w:ilvl w:val="0"/>
          <w:numId w:val="0"/>
        </w:numPr>
      </w:pPr>
      <w:bookmarkStart w:id="25" w:name="_Toc69491424"/>
      <w:r>
        <w:lastRenderedPageBreak/>
        <w:t>12</w:t>
      </w:r>
      <w:r w:rsidR="00C36633">
        <w:t>.</w:t>
      </w:r>
      <w:r w:rsidR="00C36633">
        <w:tab/>
      </w:r>
      <w:r w:rsidR="00772829" w:rsidRPr="00CE28E3">
        <w:t>Comparative effectiveness</w:t>
      </w:r>
      <w:bookmarkEnd w:id="25"/>
    </w:p>
    <w:p w14:paraId="69D8628E" w14:textId="60098F98" w:rsidR="004D5780" w:rsidRPr="00F829F8" w:rsidRDefault="004D5780" w:rsidP="007D3C94">
      <w:pPr>
        <w:keepNext/>
      </w:pPr>
      <w:r>
        <w:t xml:space="preserve">The comparative effectiveness was not reconsidered in this </w:t>
      </w:r>
      <w:r w:rsidR="00F829F8">
        <w:t>FFP DCAR</w:t>
      </w:r>
      <w:r>
        <w:t>.</w:t>
      </w:r>
      <w:r w:rsidR="005E3D87">
        <w:t xml:space="preserve"> </w:t>
      </w:r>
      <w:r w:rsidR="005E3D87" w:rsidRPr="00F829F8">
        <w:t xml:space="preserve">MSAC accepted the high certainty from the evidence that </w:t>
      </w:r>
      <w:r w:rsidR="005E3D87" w:rsidRPr="00F829F8">
        <w:rPr>
          <w:vertAlign w:val="superscript"/>
        </w:rPr>
        <w:t>177</w:t>
      </w:r>
      <w:r w:rsidR="005E3D87" w:rsidRPr="00F829F8">
        <w:t>Lu-PSMA i&amp;t therapy is acceptably effective.</w:t>
      </w:r>
    </w:p>
    <w:p w14:paraId="36869024" w14:textId="4C4EDD36" w:rsidR="00CD3EAA" w:rsidRPr="00F11BA2" w:rsidRDefault="00CD3EAA" w:rsidP="007D3C94">
      <w:pPr>
        <w:keepNext/>
      </w:pPr>
      <w:r w:rsidRPr="00F11BA2">
        <w:t xml:space="preserve">There is insufficient evidence to address the re-formulated research question (as stated above): of comparative effectiveness and cost-effectiveness analysis of the three alternative treatment strategies </w:t>
      </w:r>
      <w:r w:rsidR="00F11BA2" w:rsidRPr="00725A45">
        <w:t>(</w:t>
      </w:r>
      <w:r w:rsidR="00F11BA2">
        <w:t xml:space="preserve">(1) </w:t>
      </w:r>
      <w:r w:rsidR="00F11BA2" w:rsidRPr="001C7560">
        <w:rPr>
          <w:vertAlign w:val="superscript"/>
        </w:rPr>
        <w:t>177</w:t>
      </w:r>
      <w:r w:rsidR="00F11BA2" w:rsidRPr="007E1A8D">
        <w:t>Lu</w:t>
      </w:r>
      <w:r w:rsidR="00F11BA2">
        <w:t> </w:t>
      </w:r>
      <w:r w:rsidR="00F11BA2" w:rsidRPr="007E1A8D">
        <w:t>PSMA</w:t>
      </w:r>
      <w:r w:rsidR="00F11BA2">
        <w:t> i&amp;t</w:t>
      </w:r>
      <w:r w:rsidR="00F11BA2" w:rsidRPr="00725A45">
        <w:t xml:space="preserve"> for 6 cycles; </w:t>
      </w:r>
      <w:r w:rsidR="00F11BA2">
        <w:t xml:space="preserve">(2) </w:t>
      </w:r>
      <w:r w:rsidR="00F11BA2" w:rsidRPr="001C7560">
        <w:rPr>
          <w:vertAlign w:val="superscript"/>
        </w:rPr>
        <w:t>177</w:t>
      </w:r>
      <w:r w:rsidR="00F11BA2" w:rsidRPr="007E1A8D">
        <w:t>Lu</w:t>
      </w:r>
      <w:r w:rsidR="00F11BA2">
        <w:t> </w:t>
      </w:r>
      <w:r w:rsidR="00F11BA2" w:rsidRPr="007E1A8D">
        <w:t>PSMA</w:t>
      </w:r>
      <w:r w:rsidR="00F11BA2">
        <w:t> i&amp;t</w:t>
      </w:r>
      <w:r w:rsidR="00F11BA2" w:rsidRPr="007E1A8D">
        <w:t xml:space="preserve"> </w:t>
      </w:r>
      <w:r w:rsidR="00F11BA2" w:rsidRPr="00725A45">
        <w:t xml:space="preserve">for the first two cycles followed by an alternative treatment; and </w:t>
      </w:r>
      <w:r w:rsidR="00F11BA2">
        <w:t>(3)</w:t>
      </w:r>
      <w:r w:rsidR="00F11BA2" w:rsidRPr="00725A45">
        <w:t xml:space="preserve"> current treatment – </w:t>
      </w:r>
      <w:r w:rsidR="00867736">
        <w:t>best supportive care</w:t>
      </w:r>
      <w:r w:rsidR="00F11BA2" w:rsidRPr="00725A45">
        <w:t>:cabazitaxel)</w:t>
      </w:r>
      <w:r w:rsidRPr="00F11BA2">
        <w:t>.</w:t>
      </w:r>
    </w:p>
    <w:p w14:paraId="0D09C9E4" w14:textId="2DDF815C" w:rsidR="00772829" w:rsidRDefault="00C36633" w:rsidP="002A18BE">
      <w:pPr>
        <w:pStyle w:val="Heading2"/>
        <w:numPr>
          <w:ilvl w:val="0"/>
          <w:numId w:val="0"/>
        </w:numPr>
      </w:pPr>
      <w:bookmarkStart w:id="26" w:name="_Toc69491425"/>
      <w:r>
        <w:t>1</w:t>
      </w:r>
      <w:r w:rsidR="00295AD6">
        <w:t>3</w:t>
      </w:r>
      <w:r>
        <w:t>.</w:t>
      </w:r>
      <w:r>
        <w:tab/>
      </w:r>
      <w:r w:rsidR="00772829" w:rsidRPr="00CE28E3">
        <w:t>Economic evaluation</w:t>
      </w:r>
      <w:bookmarkEnd w:id="26"/>
    </w:p>
    <w:p w14:paraId="1EDE37A2" w14:textId="21BBA143" w:rsidR="008D690F" w:rsidRDefault="008D690F" w:rsidP="008D690F">
      <w:pPr>
        <w:pStyle w:val="Guidelinescross-ref"/>
        <w:rPr>
          <w:rFonts w:eastAsia="Calibri" w:cs="Calibri"/>
          <w:b w:val="0"/>
          <w:color w:val="auto"/>
          <w:sz w:val="22"/>
        </w:rPr>
      </w:pPr>
      <w:bookmarkStart w:id="27" w:name="_Ref69725820"/>
      <w:r w:rsidRPr="008D690F">
        <w:rPr>
          <w:b w:val="0"/>
          <w:bCs/>
          <w:color w:val="auto"/>
          <w:sz w:val="22"/>
        </w:rPr>
        <w:t xml:space="preserve">The </w:t>
      </w:r>
      <w:r>
        <w:rPr>
          <w:b w:val="0"/>
          <w:bCs/>
          <w:color w:val="auto"/>
          <w:sz w:val="22"/>
        </w:rPr>
        <w:t>“h</w:t>
      </w:r>
      <w:r w:rsidRPr="008D690F">
        <w:rPr>
          <w:b w:val="0"/>
          <w:bCs/>
          <w:color w:val="auto"/>
          <w:sz w:val="22"/>
        </w:rPr>
        <w:t>ybrid model</w:t>
      </w:r>
      <w:r>
        <w:rPr>
          <w:b w:val="0"/>
          <w:bCs/>
          <w:color w:val="auto"/>
          <w:sz w:val="22"/>
        </w:rPr>
        <w:t>”</w:t>
      </w:r>
      <w:r w:rsidRPr="008D690F">
        <w:rPr>
          <w:b w:val="0"/>
          <w:bCs/>
          <w:color w:val="auto"/>
          <w:sz w:val="22"/>
        </w:rPr>
        <w:t xml:space="preserve"> was specifically designed to address the MSAC’s </w:t>
      </w:r>
      <w:r w:rsidR="00F829F8">
        <w:rPr>
          <w:b w:val="0"/>
          <w:bCs/>
          <w:color w:val="auto"/>
          <w:sz w:val="22"/>
        </w:rPr>
        <w:t>request</w:t>
      </w:r>
      <w:r w:rsidR="001A644D">
        <w:rPr>
          <w:b w:val="0"/>
          <w:bCs/>
          <w:color w:val="auto"/>
          <w:sz w:val="22"/>
        </w:rPr>
        <w:t>.</w:t>
      </w:r>
      <w:r w:rsidR="00014B8F">
        <w:rPr>
          <w:b w:val="0"/>
          <w:bCs/>
          <w:color w:val="auto"/>
          <w:sz w:val="22"/>
        </w:rPr>
        <w:t xml:space="preserve"> </w:t>
      </w:r>
      <w:r w:rsidRPr="008D690F">
        <w:rPr>
          <w:b w:val="0"/>
          <w:bCs/>
          <w:color w:val="auto"/>
          <w:sz w:val="22"/>
        </w:rPr>
        <w:t>MSAC considered that the two-step approach to treatment whereby treatment is split into initial (up to 2 cycles) and continuing treatment (3-6 cycles) was appropriate but that the model structure used in the economic evaluation did not capture each step separately</w:t>
      </w:r>
      <w:r w:rsidR="003D3A8B">
        <w:rPr>
          <w:b w:val="0"/>
          <w:bCs/>
          <w:color w:val="auto"/>
          <w:sz w:val="22"/>
        </w:rPr>
        <w:t xml:space="preserve"> </w:t>
      </w:r>
      <w:r w:rsidR="003D3A8B" w:rsidRPr="00C62F4A">
        <w:rPr>
          <w:b w:val="0"/>
          <w:bCs/>
          <w:sz w:val="22"/>
        </w:rPr>
        <w:t>(MSAC 1686.1 PSD, p.5)</w:t>
      </w:r>
      <w:r w:rsidRPr="008D690F">
        <w:rPr>
          <w:b w:val="0"/>
          <w:bCs/>
          <w:color w:val="auto"/>
          <w:sz w:val="22"/>
        </w:rPr>
        <w:t xml:space="preserve">. MSAC considered any revised model should capture the difference </w:t>
      </w:r>
      <w:r w:rsidRPr="008D690F">
        <w:rPr>
          <w:b w:val="0"/>
          <w:bCs/>
          <w:color w:val="auto"/>
          <w:sz w:val="22"/>
          <w:u w:val="single"/>
        </w:rPr>
        <w:t>in probability of response</w:t>
      </w:r>
      <w:r w:rsidRPr="008D690F">
        <w:rPr>
          <w:b w:val="0"/>
          <w:bCs/>
          <w:color w:val="auto"/>
          <w:sz w:val="22"/>
        </w:rPr>
        <w:t xml:space="preserve"> in the first 2 cycles over the following 4 cycles as demonstrated in the Re-SPECT study</w:t>
      </w:r>
      <w:r w:rsidR="001A644D">
        <w:rPr>
          <w:b w:val="0"/>
          <w:bCs/>
          <w:color w:val="auto"/>
          <w:sz w:val="22"/>
        </w:rPr>
        <w:t xml:space="preserve"> </w:t>
      </w:r>
      <w:r w:rsidR="001A644D" w:rsidRPr="006D5080">
        <w:rPr>
          <w:b w:val="0"/>
          <w:bCs/>
          <w:sz w:val="22"/>
        </w:rPr>
        <w:t>(MSAC 1686.1 PSD, p.5)</w:t>
      </w:r>
      <w:r w:rsidRPr="003D3A8B">
        <w:rPr>
          <w:b w:val="0"/>
          <w:bCs/>
          <w:color w:val="auto"/>
          <w:sz w:val="22"/>
        </w:rPr>
        <w:t xml:space="preserve">. </w:t>
      </w:r>
      <w:r w:rsidRPr="00C57930">
        <w:rPr>
          <w:rFonts w:eastAsia="Calibri" w:cs="Calibri"/>
          <w:b w:val="0"/>
          <w:color w:val="auto"/>
          <w:sz w:val="22"/>
        </w:rPr>
        <w:t>In addition, MSAC requested better justification (or removal) of the selected treatment specific utility weights</w:t>
      </w:r>
      <w:r w:rsidR="003D3A8B">
        <w:rPr>
          <w:rFonts w:eastAsia="Calibri" w:cs="Calibri"/>
          <w:b w:val="0"/>
          <w:color w:val="auto"/>
          <w:sz w:val="22"/>
        </w:rPr>
        <w:t xml:space="preserve"> </w:t>
      </w:r>
      <w:r w:rsidR="003D3A8B" w:rsidRPr="00C62F4A">
        <w:rPr>
          <w:b w:val="0"/>
          <w:bCs/>
          <w:sz w:val="22"/>
        </w:rPr>
        <w:t>(MSAC 1686.1 PSD, p.</w:t>
      </w:r>
      <w:r w:rsidR="003D3A8B">
        <w:rPr>
          <w:b w:val="0"/>
          <w:bCs/>
          <w:sz w:val="22"/>
        </w:rPr>
        <w:t>7</w:t>
      </w:r>
      <w:r w:rsidR="003D3A8B" w:rsidRPr="00C62F4A">
        <w:rPr>
          <w:b w:val="0"/>
          <w:bCs/>
          <w:sz w:val="22"/>
        </w:rPr>
        <w:t>)</w:t>
      </w:r>
      <w:r w:rsidRPr="00C57930">
        <w:rPr>
          <w:rFonts w:eastAsia="Calibri" w:cs="Calibri"/>
          <w:b w:val="0"/>
          <w:color w:val="auto"/>
          <w:sz w:val="22"/>
        </w:rPr>
        <w:t xml:space="preserve">. At the same time, although MSAC had a preference for a more conservative time horizon of 5 years, MSAC considered a 7.5 year time horizon </w:t>
      </w:r>
      <w:r w:rsidR="006855C4">
        <w:rPr>
          <w:rFonts w:eastAsia="Calibri" w:cs="Calibri"/>
          <w:b w:val="0"/>
          <w:color w:val="auto"/>
          <w:sz w:val="22"/>
        </w:rPr>
        <w:t>was</w:t>
      </w:r>
      <w:r w:rsidRPr="00C57930">
        <w:rPr>
          <w:rFonts w:eastAsia="Calibri" w:cs="Calibri"/>
          <w:b w:val="0"/>
          <w:color w:val="auto"/>
          <w:sz w:val="22"/>
        </w:rPr>
        <w:t xml:space="preserve"> acceptable</w:t>
      </w:r>
      <w:r w:rsidR="003D3A8B">
        <w:rPr>
          <w:rFonts w:eastAsia="Calibri" w:cs="Calibri"/>
          <w:b w:val="0"/>
          <w:color w:val="auto"/>
          <w:sz w:val="22"/>
        </w:rPr>
        <w:t xml:space="preserve"> </w:t>
      </w:r>
      <w:r w:rsidR="003D3A8B" w:rsidRPr="00C62F4A">
        <w:rPr>
          <w:b w:val="0"/>
          <w:bCs/>
          <w:sz w:val="22"/>
        </w:rPr>
        <w:t>(MSAC 1686.1 PSD, p.</w:t>
      </w:r>
      <w:r w:rsidR="003D3A8B">
        <w:rPr>
          <w:b w:val="0"/>
          <w:bCs/>
          <w:sz w:val="22"/>
        </w:rPr>
        <w:t>6</w:t>
      </w:r>
      <w:r w:rsidR="003D3A8B" w:rsidRPr="00C62F4A">
        <w:rPr>
          <w:b w:val="0"/>
          <w:bCs/>
          <w:sz w:val="22"/>
        </w:rPr>
        <w:t>)</w:t>
      </w:r>
      <w:r w:rsidRPr="00C57930">
        <w:rPr>
          <w:rFonts w:eastAsia="Calibri" w:cs="Calibri"/>
          <w:b w:val="0"/>
          <w:color w:val="auto"/>
          <w:sz w:val="22"/>
        </w:rPr>
        <w:t>.</w:t>
      </w:r>
    </w:p>
    <w:p w14:paraId="60EB22CF" w14:textId="606CE30A" w:rsidR="008D690F" w:rsidRPr="008D690F" w:rsidRDefault="00B42B2E" w:rsidP="008D690F">
      <w:pPr>
        <w:pStyle w:val="Guidelinescross-ref"/>
        <w:rPr>
          <w:rFonts w:eastAsia="Calibri" w:cs="Calibri"/>
          <w:b w:val="0"/>
          <w:color w:val="auto"/>
          <w:sz w:val="22"/>
        </w:rPr>
      </w:pPr>
      <w:bookmarkStart w:id="28" w:name="_Hlk161215427"/>
      <w:r>
        <w:rPr>
          <w:rFonts w:eastAsia="Calibri" w:cs="Calibri"/>
          <w:b w:val="0"/>
          <w:color w:val="auto"/>
          <w:sz w:val="22"/>
        </w:rPr>
        <w:t>T</w:t>
      </w:r>
      <w:r w:rsidR="008D690F" w:rsidRPr="008D690F">
        <w:rPr>
          <w:rFonts w:eastAsia="Calibri" w:cs="Calibri"/>
          <w:b w:val="0"/>
          <w:color w:val="auto"/>
          <w:sz w:val="22"/>
        </w:rPr>
        <w:t xml:space="preserve">he conceptual differences between a state-transition model and </w:t>
      </w:r>
      <w:r w:rsidR="008D690F">
        <w:rPr>
          <w:rFonts w:eastAsia="Calibri" w:cs="Calibri"/>
          <w:b w:val="0"/>
          <w:color w:val="auto"/>
          <w:sz w:val="22"/>
        </w:rPr>
        <w:t>partition-survival model</w:t>
      </w:r>
      <w:r w:rsidR="003E07CE">
        <w:rPr>
          <w:rFonts w:eastAsia="Calibri" w:cs="Calibri"/>
          <w:b w:val="0"/>
          <w:color w:val="auto"/>
          <w:sz w:val="22"/>
        </w:rPr>
        <w:t>s</w:t>
      </w:r>
      <w:r w:rsidR="008D690F">
        <w:rPr>
          <w:rFonts w:eastAsia="Calibri" w:cs="Calibri"/>
          <w:b w:val="0"/>
          <w:color w:val="auto"/>
          <w:sz w:val="22"/>
        </w:rPr>
        <w:t xml:space="preserve"> (</w:t>
      </w:r>
      <w:r w:rsidR="008D690F" w:rsidRPr="008D690F">
        <w:rPr>
          <w:rFonts w:eastAsia="Calibri" w:cs="Calibri"/>
          <w:b w:val="0"/>
          <w:color w:val="auto"/>
          <w:sz w:val="22"/>
        </w:rPr>
        <w:t>PSM</w:t>
      </w:r>
      <w:r w:rsidR="008D690F">
        <w:rPr>
          <w:rFonts w:eastAsia="Calibri" w:cs="Calibri"/>
          <w:b w:val="0"/>
          <w:color w:val="auto"/>
          <w:sz w:val="22"/>
        </w:rPr>
        <w:t>)</w:t>
      </w:r>
      <w:r>
        <w:rPr>
          <w:rFonts w:eastAsia="Calibri" w:cs="Calibri"/>
          <w:b w:val="0"/>
          <w:color w:val="auto"/>
          <w:sz w:val="22"/>
        </w:rPr>
        <w:t xml:space="preserve"> may have been underestimated</w:t>
      </w:r>
      <w:r w:rsidR="008D690F" w:rsidRPr="008D690F">
        <w:rPr>
          <w:rFonts w:eastAsia="Calibri" w:cs="Calibri"/>
          <w:b w:val="0"/>
          <w:color w:val="auto"/>
          <w:sz w:val="22"/>
        </w:rPr>
        <w:t>. In the state-transition paradigm, a state membership is determined by applying a set of transition probabilities that an individual currently in one health state will move to another state in the following cycle. The complete set of such probabilities could not be extracted from the Re-SPECT study</w:t>
      </w:r>
      <w:r w:rsidR="008D690F">
        <w:rPr>
          <w:rFonts w:eastAsia="Calibri" w:cs="Calibri"/>
          <w:b w:val="0"/>
          <w:color w:val="auto"/>
          <w:sz w:val="22"/>
        </w:rPr>
        <w:t>.</w:t>
      </w:r>
      <w:r w:rsidR="008D690F" w:rsidRPr="008D690F">
        <w:rPr>
          <w:rFonts w:eastAsia="Calibri" w:cs="Calibri"/>
          <w:b w:val="0"/>
          <w:color w:val="auto"/>
          <w:sz w:val="22"/>
        </w:rPr>
        <w:t xml:space="preserve"> </w:t>
      </w:r>
      <w:r w:rsidR="008D690F">
        <w:rPr>
          <w:rFonts w:eastAsia="Calibri" w:cs="Calibri"/>
          <w:b w:val="0"/>
          <w:color w:val="auto"/>
          <w:sz w:val="22"/>
        </w:rPr>
        <w:t>A</w:t>
      </w:r>
      <w:r w:rsidR="008D690F" w:rsidRPr="008D690F">
        <w:rPr>
          <w:rFonts w:eastAsia="Calibri" w:cs="Calibri"/>
          <w:b w:val="0"/>
          <w:color w:val="auto"/>
          <w:sz w:val="22"/>
        </w:rPr>
        <w:t>t best, there is a single point-in time conditional probability of a response after the second cycle. The response group-specific probabilities of getting to this point are not available</w:t>
      </w:r>
      <w:r w:rsidR="008D690F">
        <w:rPr>
          <w:rFonts w:eastAsia="Calibri" w:cs="Calibri"/>
          <w:b w:val="0"/>
          <w:color w:val="auto"/>
          <w:sz w:val="22"/>
        </w:rPr>
        <w:t xml:space="preserve">, since, apart from identifying the proportion of non-responders, </w:t>
      </w:r>
      <w:r w:rsidR="008D690F" w:rsidRPr="008D690F">
        <w:rPr>
          <w:rFonts w:eastAsia="Calibri" w:cs="Calibri"/>
          <w:b w:val="0"/>
          <w:color w:val="auto"/>
          <w:sz w:val="22"/>
        </w:rPr>
        <w:t xml:space="preserve">the Re-SPECT study </w:t>
      </w:r>
      <w:r w:rsidR="008D690F">
        <w:rPr>
          <w:rFonts w:eastAsia="Calibri" w:cs="Calibri"/>
          <w:b w:val="0"/>
          <w:color w:val="auto"/>
          <w:sz w:val="22"/>
        </w:rPr>
        <w:t xml:space="preserve">chose the </w:t>
      </w:r>
      <w:r w:rsidR="006B2C79" w:rsidRPr="008D690F">
        <w:rPr>
          <w:rFonts w:eastAsia="Calibri" w:cs="Calibri"/>
          <w:b w:val="0"/>
          <w:color w:val="auto"/>
          <w:sz w:val="22"/>
        </w:rPr>
        <w:t>K-M format</w:t>
      </w:r>
      <w:r w:rsidR="006B2C79">
        <w:rPr>
          <w:rFonts w:eastAsia="Calibri" w:cs="Calibri"/>
          <w:b w:val="0"/>
          <w:color w:val="auto"/>
          <w:sz w:val="22"/>
        </w:rPr>
        <w:t xml:space="preserve"> for data collection with the corresponding graphical representation of </w:t>
      </w:r>
      <w:r w:rsidR="006B2C79" w:rsidRPr="008D690F">
        <w:rPr>
          <w:rFonts w:eastAsia="Calibri" w:cs="Calibri"/>
          <w:b w:val="0"/>
          <w:color w:val="auto"/>
          <w:sz w:val="22"/>
        </w:rPr>
        <w:t xml:space="preserve">PFS and OS </w:t>
      </w:r>
      <w:r w:rsidR="006B2C79">
        <w:rPr>
          <w:rFonts w:eastAsia="Calibri" w:cs="Calibri"/>
          <w:b w:val="0"/>
          <w:color w:val="auto"/>
          <w:sz w:val="22"/>
        </w:rPr>
        <w:t>curves.</w:t>
      </w:r>
    </w:p>
    <w:p w14:paraId="37A33A3D" w14:textId="1F8EBA1D" w:rsidR="008D690F" w:rsidRPr="008D690F" w:rsidRDefault="008D690F" w:rsidP="008D690F">
      <w:pPr>
        <w:pStyle w:val="Guidelinescross-ref"/>
        <w:rPr>
          <w:rFonts w:eastAsia="Calibri" w:cs="Calibri"/>
          <w:b w:val="0"/>
          <w:color w:val="auto"/>
          <w:sz w:val="22"/>
        </w:rPr>
      </w:pPr>
      <w:r w:rsidRPr="008D690F">
        <w:rPr>
          <w:rFonts w:eastAsia="Calibri" w:cs="Calibri"/>
          <w:b w:val="0"/>
          <w:color w:val="auto"/>
          <w:sz w:val="22"/>
        </w:rPr>
        <w:t xml:space="preserve">Unlike the state-transition model, in the PSM paradigm the differences in state membership are determined by their survival curves (i.e. their shape and slope). The OS and PFS curves are structurally independent, i.e. each end point is independently modelled (using the original time-to-event K-M data) and for each arm of the model the estimates of both PFS and OS are required. </w:t>
      </w:r>
      <w:r w:rsidR="00D11E75">
        <w:rPr>
          <w:rFonts w:eastAsia="Calibri" w:cs="Calibri"/>
          <w:b w:val="0"/>
          <w:color w:val="auto"/>
          <w:sz w:val="22"/>
        </w:rPr>
        <w:t>In PSM h</w:t>
      </w:r>
      <w:r w:rsidRPr="008D690F">
        <w:rPr>
          <w:rFonts w:eastAsia="Calibri" w:cs="Calibri"/>
          <w:b w:val="0"/>
          <w:color w:val="auto"/>
          <w:sz w:val="22"/>
        </w:rPr>
        <w:t>ealth benefits and costs are estimated by calculating the area under the curve (the proportions of PFS or OS patients multiplied by the cycle length and aggregated)</w:t>
      </w:r>
      <w:r w:rsidR="00D11E75">
        <w:rPr>
          <w:rFonts w:eastAsia="Calibri" w:cs="Calibri"/>
          <w:b w:val="0"/>
          <w:color w:val="auto"/>
          <w:sz w:val="22"/>
        </w:rPr>
        <w:t>, unlike in Markov model that counts cycles spent in one or another health state.</w:t>
      </w:r>
    </w:p>
    <w:p w14:paraId="5FBB932D" w14:textId="4707C482" w:rsidR="008D690F" w:rsidRDefault="008D690F" w:rsidP="008D690F">
      <w:pPr>
        <w:pStyle w:val="Guidelinescross-ref"/>
        <w:rPr>
          <w:rFonts w:eastAsia="Calibri" w:cs="Calibri"/>
          <w:b w:val="0"/>
          <w:color w:val="auto"/>
          <w:sz w:val="22"/>
        </w:rPr>
      </w:pPr>
      <w:r w:rsidRPr="008D690F">
        <w:rPr>
          <w:rFonts w:eastAsia="Calibri" w:cs="Calibri"/>
          <w:b w:val="0"/>
          <w:color w:val="auto"/>
          <w:sz w:val="22"/>
        </w:rPr>
        <w:t xml:space="preserve">In state-transition modelling the health states must be mutually exclusive and exhaustive, therefore transition probabilities of moving from one state to all other states must sum to 1. The same </w:t>
      </w:r>
      <w:r w:rsidR="00D11E75">
        <w:rPr>
          <w:rFonts w:eastAsia="Calibri" w:cs="Calibri"/>
          <w:b w:val="0"/>
          <w:color w:val="auto"/>
          <w:sz w:val="22"/>
        </w:rPr>
        <w:t>condition</w:t>
      </w:r>
      <w:r w:rsidRPr="008D690F">
        <w:rPr>
          <w:rFonts w:eastAsia="Calibri" w:cs="Calibri"/>
          <w:b w:val="0"/>
          <w:color w:val="auto"/>
          <w:sz w:val="22"/>
        </w:rPr>
        <w:t xml:space="preserve"> also applies in PSM, which follows a cohort of patients through time as they move between a set of exhaustive and mutually exclusive heath states. The proportions of being in each health state must sum to </w:t>
      </w:r>
      <w:r w:rsidR="0015001B">
        <w:rPr>
          <w:rFonts w:eastAsia="Calibri" w:cs="Calibri"/>
          <w:b w:val="0"/>
          <w:color w:val="auto"/>
          <w:sz w:val="22"/>
        </w:rPr>
        <w:t xml:space="preserve">1 </w:t>
      </w:r>
      <w:r w:rsidRPr="008D690F">
        <w:rPr>
          <w:rFonts w:eastAsia="Calibri" w:cs="Calibri"/>
          <w:b w:val="0"/>
          <w:color w:val="auto"/>
          <w:sz w:val="22"/>
        </w:rPr>
        <w:t>for each treatment strategy in each cycle.</w:t>
      </w:r>
      <w:r w:rsidR="000F3A52">
        <w:rPr>
          <w:rFonts w:eastAsia="Calibri" w:cs="Calibri"/>
          <w:b w:val="0"/>
          <w:color w:val="auto"/>
          <w:sz w:val="22"/>
        </w:rPr>
        <w:t xml:space="preserve"> It will be demonstrated below that in the absence of </w:t>
      </w:r>
      <w:r w:rsidR="00D11E75">
        <w:rPr>
          <w:rFonts w:eastAsia="Calibri" w:cs="Calibri"/>
          <w:b w:val="0"/>
          <w:color w:val="auto"/>
          <w:sz w:val="22"/>
        </w:rPr>
        <w:t>data to populate the hybrid model,</w:t>
      </w:r>
      <w:r w:rsidR="000F3A52">
        <w:rPr>
          <w:rFonts w:eastAsia="Calibri" w:cs="Calibri"/>
          <w:b w:val="0"/>
          <w:color w:val="auto"/>
          <w:sz w:val="22"/>
        </w:rPr>
        <w:t xml:space="preserve"> </w:t>
      </w:r>
      <w:r w:rsidR="00D11E75">
        <w:rPr>
          <w:rFonts w:eastAsia="Calibri" w:cs="Calibri"/>
          <w:b w:val="0"/>
          <w:color w:val="auto"/>
          <w:sz w:val="22"/>
        </w:rPr>
        <w:t xml:space="preserve">a set of </w:t>
      </w:r>
      <w:r w:rsidR="000F3A52">
        <w:rPr>
          <w:rFonts w:eastAsia="Calibri" w:cs="Calibri"/>
          <w:b w:val="0"/>
          <w:color w:val="auto"/>
          <w:sz w:val="22"/>
        </w:rPr>
        <w:t xml:space="preserve">assumptions </w:t>
      </w:r>
      <w:r w:rsidR="00D11E75">
        <w:rPr>
          <w:rFonts w:eastAsia="Calibri" w:cs="Calibri"/>
          <w:b w:val="0"/>
          <w:color w:val="auto"/>
          <w:sz w:val="22"/>
        </w:rPr>
        <w:t xml:space="preserve">had to be made and it </w:t>
      </w:r>
      <w:r w:rsidR="000F3A52">
        <w:rPr>
          <w:rFonts w:eastAsia="Calibri" w:cs="Calibri"/>
          <w:b w:val="0"/>
          <w:color w:val="auto"/>
          <w:sz w:val="22"/>
        </w:rPr>
        <w:t xml:space="preserve">resulted in violation of this fundamental </w:t>
      </w:r>
      <w:r w:rsidR="00D11E75">
        <w:rPr>
          <w:rFonts w:eastAsia="Calibri" w:cs="Calibri"/>
          <w:b w:val="0"/>
          <w:color w:val="auto"/>
          <w:sz w:val="22"/>
        </w:rPr>
        <w:t>condition</w:t>
      </w:r>
      <w:r w:rsidR="000F3A52">
        <w:rPr>
          <w:rFonts w:eastAsia="Calibri" w:cs="Calibri"/>
          <w:b w:val="0"/>
          <w:color w:val="auto"/>
          <w:sz w:val="22"/>
        </w:rPr>
        <w:t>.</w:t>
      </w:r>
    </w:p>
    <w:p w14:paraId="75324BC1" w14:textId="3E626942" w:rsidR="00814875" w:rsidRDefault="001D0786" w:rsidP="00814875">
      <w:pPr>
        <w:pStyle w:val="Guidelinescross-ref"/>
        <w:rPr>
          <w:rFonts w:eastAsia="Calibri" w:cs="Calibri"/>
          <w:b w:val="0"/>
          <w:color w:val="auto"/>
          <w:sz w:val="22"/>
        </w:rPr>
      </w:pPr>
      <w:r w:rsidRPr="001D0786">
        <w:rPr>
          <w:rFonts w:eastAsia="Calibri" w:cs="Calibri"/>
          <w:b w:val="0"/>
          <w:color w:val="auto"/>
          <w:sz w:val="22"/>
        </w:rPr>
        <w:t xml:space="preserve">During consultation with the </w:t>
      </w:r>
      <w:r w:rsidR="00433B46">
        <w:rPr>
          <w:rFonts w:eastAsia="Calibri" w:cs="Calibri"/>
          <w:b w:val="0"/>
          <w:color w:val="auto"/>
          <w:sz w:val="22"/>
        </w:rPr>
        <w:t>d</w:t>
      </w:r>
      <w:r w:rsidRPr="001D0786">
        <w:rPr>
          <w:rFonts w:eastAsia="Calibri" w:cs="Calibri"/>
          <w:b w:val="0"/>
          <w:color w:val="auto"/>
          <w:sz w:val="22"/>
        </w:rPr>
        <w:t xml:space="preserve">epartment, it was suggested that a decision tree (i.e. a state-transition model) that would depict patients’ progression up to the assessment of response at </w:t>
      </w:r>
      <w:r w:rsidRPr="001D0786">
        <w:rPr>
          <w:rFonts w:eastAsia="Calibri" w:cs="Calibri"/>
          <w:b w:val="0"/>
          <w:color w:val="auto"/>
          <w:sz w:val="22"/>
        </w:rPr>
        <w:lastRenderedPageBreak/>
        <w:t xml:space="preserve">week 6 and classify them by response to treatment (as in Re-SPECT study), </w:t>
      </w:r>
      <w:r w:rsidR="00754521">
        <w:rPr>
          <w:rFonts w:eastAsia="Calibri" w:cs="Calibri"/>
          <w:b w:val="0"/>
          <w:color w:val="auto"/>
          <w:sz w:val="22"/>
        </w:rPr>
        <w:t>c</w:t>
      </w:r>
      <w:r w:rsidRPr="001D0786">
        <w:rPr>
          <w:rFonts w:eastAsia="Calibri" w:cs="Calibri"/>
          <w:b w:val="0"/>
          <w:color w:val="auto"/>
          <w:sz w:val="22"/>
        </w:rPr>
        <w:t>ould be linked to the PSM model informed by the VISION trial data.</w:t>
      </w:r>
      <w:r w:rsidR="00A93A08">
        <w:rPr>
          <w:rFonts w:eastAsia="Calibri" w:cs="Calibri"/>
          <w:b w:val="0"/>
          <w:color w:val="auto"/>
          <w:sz w:val="22"/>
        </w:rPr>
        <w:t xml:space="preserve"> </w:t>
      </w:r>
      <w:r w:rsidR="00A93A08" w:rsidRPr="00A93A08">
        <w:rPr>
          <w:rFonts w:eastAsia="Calibri" w:cs="Calibri"/>
          <w:b w:val="0"/>
          <w:color w:val="auto"/>
          <w:sz w:val="22"/>
        </w:rPr>
        <w:t xml:space="preserve">An </w:t>
      </w:r>
      <w:r w:rsidR="00A93A08" w:rsidRPr="00A93A08">
        <w:rPr>
          <w:rFonts w:eastAsia="Calibri" w:cs="Calibri"/>
          <w:b w:val="0"/>
          <w:i/>
          <w:iCs/>
          <w:color w:val="auto"/>
          <w:sz w:val="22"/>
        </w:rPr>
        <w:t>ad hoc</w:t>
      </w:r>
      <w:r w:rsidR="00A93A08" w:rsidRPr="00A93A08">
        <w:rPr>
          <w:rFonts w:eastAsia="Calibri" w:cs="Calibri"/>
          <w:b w:val="0"/>
          <w:color w:val="auto"/>
          <w:sz w:val="22"/>
        </w:rPr>
        <w:t xml:space="preserve"> literature search was undertaken in an attempt to find such a “hybrid” model that would transition patients from a decision tree to PSM. </w:t>
      </w:r>
      <w:r w:rsidR="0015001B">
        <w:rPr>
          <w:rFonts w:eastAsia="Calibri" w:cs="Calibri"/>
          <w:b w:val="0"/>
          <w:color w:val="auto"/>
          <w:sz w:val="22"/>
        </w:rPr>
        <w:t>The r</w:t>
      </w:r>
      <w:r w:rsidR="00A93A08">
        <w:rPr>
          <w:rFonts w:eastAsia="Calibri" w:cs="Calibri"/>
          <w:b w:val="0"/>
          <w:color w:val="auto"/>
          <w:sz w:val="22"/>
        </w:rPr>
        <w:t xml:space="preserve">esults of </w:t>
      </w:r>
      <w:r w:rsidR="0015001B">
        <w:rPr>
          <w:rFonts w:eastAsia="Calibri" w:cs="Calibri"/>
          <w:b w:val="0"/>
          <w:color w:val="auto"/>
          <w:sz w:val="22"/>
        </w:rPr>
        <w:t xml:space="preserve">the literature search </w:t>
      </w:r>
      <w:r w:rsidR="00A93A08">
        <w:rPr>
          <w:rFonts w:eastAsia="Calibri" w:cs="Calibri"/>
          <w:b w:val="0"/>
          <w:color w:val="auto"/>
          <w:sz w:val="22"/>
        </w:rPr>
        <w:t xml:space="preserve">failed to identify such a model, but it was confirmed </w:t>
      </w:r>
      <w:r w:rsidR="00A93A08" w:rsidRPr="00A93A08">
        <w:rPr>
          <w:rFonts w:eastAsia="Calibri" w:cs="Calibri"/>
          <w:b w:val="0"/>
          <w:color w:val="auto"/>
          <w:sz w:val="22"/>
        </w:rPr>
        <w:t xml:space="preserve">that in many instances, external data are only available for the PFS and OS endpoints. These data are not sufficient to allow estimation of individual transition probabilities because PFS describes the combination of progressions </w:t>
      </w:r>
      <w:r w:rsidR="00A93A08">
        <w:rPr>
          <w:rFonts w:eastAsia="Calibri" w:cs="Calibri"/>
          <w:b w:val="0"/>
          <w:color w:val="auto"/>
          <w:sz w:val="22"/>
        </w:rPr>
        <w:t xml:space="preserve">(PD) </w:t>
      </w:r>
      <w:r w:rsidR="00A93A08" w:rsidRPr="00A93A08">
        <w:rPr>
          <w:rFonts w:eastAsia="Calibri" w:cs="Calibri"/>
          <w:b w:val="0"/>
          <w:color w:val="auto"/>
          <w:sz w:val="22"/>
        </w:rPr>
        <w:t xml:space="preserve">and deaths from the progression-free state and OS describes the overall probability of death, which is a function of all three transition probabilities.  </w:t>
      </w:r>
      <w:r w:rsidR="00A93A08">
        <w:rPr>
          <w:rFonts w:eastAsia="Calibri" w:cs="Calibri"/>
          <w:b w:val="0"/>
          <w:color w:val="auto"/>
          <w:sz w:val="22"/>
        </w:rPr>
        <w:t xml:space="preserve">Also, whenever the </w:t>
      </w:r>
      <w:r w:rsidR="00814875">
        <w:rPr>
          <w:rFonts w:eastAsia="Calibri" w:cs="Calibri"/>
          <w:b w:val="0"/>
          <w:color w:val="auto"/>
          <w:sz w:val="22"/>
        </w:rPr>
        <w:t xml:space="preserve">time-to-progression was estimated with respect to response, it </w:t>
      </w:r>
      <w:r w:rsidR="00814875" w:rsidRPr="00814875">
        <w:rPr>
          <w:rFonts w:eastAsia="Calibri" w:cs="Calibri"/>
          <w:b w:val="0"/>
          <w:color w:val="auto"/>
          <w:sz w:val="22"/>
        </w:rPr>
        <w:t>was modelled using separate parametric curves by treatment and response category</w:t>
      </w:r>
      <w:r w:rsidR="00814875">
        <w:rPr>
          <w:rFonts w:eastAsia="Calibri" w:cs="Calibri"/>
          <w:b w:val="0"/>
          <w:color w:val="auto"/>
          <w:sz w:val="22"/>
        </w:rPr>
        <w:t>.</w:t>
      </w:r>
      <w:r w:rsidR="00A93A08" w:rsidRPr="00A93A08">
        <w:rPr>
          <w:rFonts w:eastAsia="Calibri" w:cs="Calibri"/>
          <w:b w:val="0"/>
          <w:color w:val="auto"/>
          <w:sz w:val="22"/>
        </w:rPr>
        <w:t xml:space="preserve">  </w:t>
      </w:r>
      <w:r w:rsidR="00814875" w:rsidRPr="001D0786">
        <w:rPr>
          <w:rFonts w:eastAsia="Calibri" w:cs="Calibri"/>
          <w:b w:val="0"/>
          <w:color w:val="auto"/>
          <w:sz w:val="22"/>
        </w:rPr>
        <w:t>While the survival curves for patients from every response group are provided by Emmett (2023),</w:t>
      </w:r>
      <w:r w:rsidR="007F6A4E">
        <w:rPr>
          <w:rFonts w:eastAsia="Calibri" w:cs="Calibri"/>
          <w:b w:val="0"/>
          <w:color w:val="auto"/>
          <w:sz w:val="22"/>
        </w:rPr>
        <w:t xml:space="preserve"> but in the absence of a comparator – current treatment, could not be utilised. </w:t>
      </w:r>
      <w:r w:rsidR="00814875" w:rsidRPr="001D0786">
        <w:rPr>
          <w:rFonts w:eastAsia="Calibri" w:cs="Calibri"/>
          <w:b w:val="0"/>
          <w:color w:val="auto"/>
          <w:sz w:val="22"/>
        </w:rPr>
        <w:t xml:space="preserve"> </w:t>
      </w:r>
      <w:r w:rsidR="007F6A4E">
        <w:rPr>
          <w:rFonts w:eastAsia="Calibri" w:cs="Calibri"/>
          <w:b w:val="0"/>
          <w:color w:val="auto"/>
          <w:sz w:val="22"/>
        </w:rPr>
        <w:t>T</w:t>
      </w:r>
      <w:r w:rsidR="00814875" w:rsidRPr="001D0786">
        <w:rPr>
          <w:rFonts w:eastAsia="Calibri" w:cs="Calibri"/>
          <w:b w:val="0"/>
          <w:color w:val="auto"/>
          <w:sz w:val="22"/>
        </w:rPr>
        <w:t xml:space="preserve">he PFS and OS curves from </w:t>
      </w:r>
      <w:r w:rsidR="007F6A4E">
        <w:rPr>
          <w:rFonts w:eastAsia="Calibri" w:cs="Calibri"/>
          <w:b w:val="0"/>
          <w:color w:val="auto"/>
          <w:sz w:val="22"/>
        </w:rPr>
        <w:t xml:space="preserve">the </w:t>
      </w:r>
      <w:r w:rsidR="00814875" w:rsidRPr="001D0786">
        <w:rPr>
          <w:rFonts w:eastAsia="Calibri" w:cs="Calibri"/>
          <w:b w:val="0"/>
          <w:color w:val="auto"/>
          <w:sz w:val="22"/>
        </w:rPr>
        <w:t xml:space="preserve">VISION </w:t>
      </w:r>
      <w:r w:rsidR="007F6A4E">
        <w:rPr>
          <w:rFonts w:eastAsia="Calibri" w:cs="Calibri"/>
          <w:b w:val="0"/>
          <w:color w:val="auto"/>
          <w:sz w:val="22"/>
        </w:rPr>
        <w:t>RCT</w:t>
      </w:r>
      <w:r w:rsidR="00814875" w:rsidRPr="001D0786">
        <w:rPr>
          <w:rFonts w:eastAsia="Calibri" w:cs="Calibri"/>
          <w:b w:val="0"/>
          <w:color w:val="auto"/>
          <w:sz w:val="22"/>
        </w:rPr>
        <w:t xml:space="preserve"> are not available with respect to “response” status, whether after the 4 cycles of </w:t>
      </w:r>
      <w:r w:rsidR="0015001B" w:rsidRPr="0015001B">
        <w:rPr>
          <w:rFonts w:eastAsia="Calibri" w:cs="Calibri"/>
          <w:b w:val="0"/>
          <w:color w:val="auto"/>
          <w:sz w:val="22"/>
          <w:vertAlign w:val="superscript"/>
        </w:rPr>
        <w:t>177</w:t>
      </w:r>
      <w:r w:rsidR="0015001B" w:rsidRPr="0015001B">
        <w:rPr>
          <w:rFonts w:eastAsia="Calibri" w:cs="Calibri"/>
          <w:b w:val="0"/>
          <w:color w:val="auto"/>
          <w:sz w:val="22"/>
        </w:rPr>
        <w:t>Lu PSMA i&amp;t</w:t>
      </w:r>
      <w:r w:rsidR="00814875" w:rsidRPr="0015001B">
        <w:rPr>
          <w:rFonts w:eastAsia="Calibri" w:cs="Calibri"/>
          <w:b w:val="0"/>
          <w:color w:val="auto"/>
          <w:sz w:val="22"/>
        </w:rPr>
        <w:t xml:space="preserve"> when</w:t>
      </w:r>
      <w:r w:rsidR="00814875" w:rsidRPr="001D0786">
        <w:rPr>
          <w:rFonts w:eastAsia="Calibri" w:cs="Calibri"/>
          <w:b w:val="0"/>
          <w:color w:val="auto"/>
          <w:sz w:val="22"/>
        </w:rPr>
        <w:t xml:space="preserve"> the patients were assessed for disease progression in this study or after the first 2 cycles as suggested by the 2-step treatment algorithm</w:t>
      </w:r>
      <w:r w:rsidR="00814875">
        <w:rPr>
          <w:rFonts w:eastAsia="Calibri" w:cs="Calibri"/>
          <w:b w:val="0"/>
          <w:color w:val="auto"/>
          <w:sz w:val="22"/>
        </w:rPr>
        <w:t>.</w:t>
      </w:r>
    </w:p>
    <w:p w14:paraId="2D5CE220" w14:textId="31CEC3A2" w:rsidR="00D6247E" w:rsidRDefault="00D6247E" w:rsidP="00814875">
      <w:pPr>
        <w:pStyle w:val="Guidelinescross-ref"/>
        <w:rPr>
          <w:rFonts w:eastAsia="Calibri" w:cs="Calibri"/>
          <w:b w:val="0"/>
          <w:color w:val="auto"/>
          <w:sz w:val="22"/>
        </w:rPr>
      </w:pPr>
      <w:r w:rsidRPr="00D6247E">
        <w:rPr>
          <w:rFonts w:eastAsia="Calibri" w:cs="Calibri"/>
          <w:b w:val="0"/>
          <w:color w:val="auto"/>
          <w:sz w:val="22"/>
        </w:rPr>
        <w:t>The evaluators have concluded that, setting aside the questionable utilisation of the observations from two distinctly different studies, there are insufficient time-to-event data to merge the decision tree, based on the incomplete (for the modelling purposes) Re-SPECT study with PSM (based on VISION) without a serious violation of the underlying assumptions of either the state-transition or PSM paradigms</w:t>
      </w:r>
      <w:r w:rsidR="0015001B">
        <w:rPr>
          <w:rFonts w:eastAsia="Calibri" w:cs="Calibri"/>
          <w:b w:val="0"/>
          <w:color w:val="auto"/>
          <w:sz w:val="22"/>
        </w:rPr>
        <w:t>,</w:t>
      </w:r>
      <w:r w:rsidRPr="00D6247E">
        <w:rPr>
          <w:rFonts w:eastAsia="Calibri" w:cs="Calibri"/>
          <w:b w:val="0"/>
          <w:color w:val="auto"/>
          <w:sz w:val="22"/>
        </w:rPr>
        <w:t xml:space="preserve"> or both.</w:t>
      </w:r>
    </w:p>
    <w:p w14:paraId="342DE1B1" w14:textId="6491022E" w:rsidR="00857DF1" w:rsidRDefault="00D6247E" w:rsidP="00857DF1">
      <w:pPr>
        <w:pStyle w:val="Guidelinescross-ref"/>
        <w:rPr>
          <w:rFonts w:eastAsia="Calibri" w:cs="Calibri"/>
          <w:b w:val="0"/>
          <w:color w:val="auto"/>
          <w:sz w:val="22"/>
        </w:rPr>
      </w:pPr>
      <w:r w:rsidRPr="00D6247E">
        <w:rPr>
          <w:rFonts w:eastAsia="Calibri" w:cs="Calibri"/>
          <w:b w:val="0"/>
          <w:color w:val="auto"/>
          <w:sz w:val="22"/>
        </w:rPr>
        <w:t>Nevertheless, in order to meet the terms of reference for the</w:t>
      </w:r>
      <w:r w:rsidR="00E7039A">
        <w:rPr>
          <w:rFonts w:eastAsia="Calibri" w:cs="Calibri"/>
          <w:b w:val="0"/>
          <w:color w:val="auto"/>
          <w:sz w:val="22"/>
        </w:rPr>
        <w:t xml:space="preserve"> </w:t>
      </w:r>
      <w:r w:rsidR="00CE3F73">
        <w:rPr>
          <w:rFonts w:eastAsia="Calibri" w:cs="Calibri"/>
          <w:b w:val="0"/>
          <w:color w:val="auto"/>
          <w:sz w:val="22"/>
        </w:rPr>
        <w:t>FFP</w:t>
      </w:r>
      <w:r w:rsidRPr="00D6247E">
        <w:rPr>
          <w:rFonts w:eastAsia="Calibri" w:cs="Calibri"/>
          <w:b w:val="0"/>
          <w:color w:val="auto"/>
          <w:sz w:val="22"/>
        </w:rPr>
        <w:t xml:space="preserve"> </w:t>
      </w:r>
      <w:r w:rsidR="00CE3F73">
        <w:rPr>
          <w:rFonts w:eastAsia="Calibri" w:cs="Calibri"/>
          <w:b w:val="0"/>
          <w:color w:val="auto"/>
          <w:sz w:val="22"/>
        </w:rPr>
        <w:t>DCAR</w:t>
      </w:r>
      <w:r w:rsidRPr="00D6247E">
        <w:rPr>
          <w:rFonts w:eastAsia="Calibri" w:cs="Calibri"/>
          <w:b w:val="0"/>
          <w:color w:val="auto"/>
          <w:sz w:val="22"/>
        </w:rPr>
        <w:t>, the following hybrid model was constructed (</w:t>
      </w:r>
      <w:r w:rsidR="0015001B">
        <w:rPr>
          <w:rFonts w:eastAsia="Calibri" w:cs="Calibri"/>
          <w:b w:val="0"/>
          <w:color w:val="auto"/>
          <w:sz w:val="22"/>
        </w:rPr>
        <w:fldChar w:fldCharType="begin"/>
      </w:r>
      <w:r w:rsidR="0015001B">
        <w:rPr>
          <w:rFonts w:eastAsia="Calibri" w:cs="Calibri"/>
          <w:b w:val="0"/>
          <w:color w:val="auto"/>
          <w:sz w:val="22"/>
        </w:rPr>
        <w:instrText xml:space="preserve"> REF _Ref150948608 \h  \* MERGEFORMAT </w:instrText>
      </w:r>
      <w:r w:rsidR="0015001B">
        <w:rPr>
          <w:rFonts w:eastAsia="Calibri" w:cs="Calibri"/>
          <w:b w:val="0"/>
          <w:color w:val="auto"/>
          <w:sz w:val="22"/>
        </w:rPr>
      </w:r>
      <w:r w:rsidR="0015001B">
        <w:rPr>
          <w:rFonts w:eastAsia="Calibri" w:cs="Calibri"/>
          <w:b w:val="0"/>
          <w:color w:val="auto"/>
          <w:sz w:val="22"/>
        </w:rPr>
        <w:fldChar w:fldCharType="separate"/>
      </w:r>
      <w:r w:rsidR="00BF6F93" w:rsidRPr="001D5D9E">
        <w:rPr>
          <w:rFonts w:eastAsia="Calibri" w:cs="Calibri"/>
          <w:b w:val="0"/>
          <w:color w:val="auto"/>
          <w:sz w:val="22"/>
        </w:rPr>
        <w:t>Figure 2</w:t>
      </w:r>
      <w:r w:rsidR="0015001B">
        <w:rPr>
          <w:rFonts w:eastAsia="Calibri" w:cs="Calibri"/>
          <w:b w:val="0"/>
          <w:color w:val="auto"/>
          <w:sz w:val="22"/>
        </w:rPr>
        <w:fldChar w:fldCharType="end"/>
      </w:r>
      <w:r w:rsidR="00857DF1">
        <w:rPr>
          <w:rFonts w:eastAsia="Calibri" w:cs="Calibri"/>
          <w:b w:val="0"/>
          <w:color w:val="auto"/>
          <w:sz w:val="22"/>
        </w:rPr>
        <w:t>).</w:t>
      </w:r>
    </w:p>
    <w:p w14:paraId="573B0B69" w14:textId="3C1532BE" w:rsidR="00857DF1" w:rsidRDefault="00857DF1" w:rsidP="008D690F">
      <w:pPr>
        <w:pStyle w:val="Guidelinescross-ref"/>
        <w:rPr>
          <w:rFonts w:eastAsia="Calibri" w:cs="Calibri"/>
          <w:b w:val="0"/>
          <w:color w:val="auto"/>
          <w:sz w:val="22"/>
        </w:rPr>
      </w:pPr>
      <w:r>
        <w:rPr>
          <w:noProof/>
        </w:rPr>
        <w:drawing>
          <wp:inline distT="0" distB="0" distL="0" distR="0" wp14:anchorId="144867BC" wp14:editId="2FCEAEF6">
            <wp:extent cx="5731510" cy="3283349"/>
            <wp:effectExtent l="0" t="0" r="2540" b="0"/>
            <wp:docPr id="2088354918" name="Picture 2088354918" descr="Schematic presentation of a hybrid model of 177Lu PSMA i&amp;t treatment in mCRPC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354918" name="Picture 2088354918" descr="Schematic presentation of a hybrid model of 177Lu PSMA i&amp;t treatment in mCRPC population"/>
                    <pic:cNvPicPr/>
                  </pic:nvPicPr>
                  <pic:blipFill rotWithShape="1">
                    <a:blip r:embed="rId15"/>
                    <a:srcRect l="50184" b="-1457"/>
                    <a:stretch/>
                  </pic:blipFill>
                  <pic:spPr bwMode="auto">
                    <a:xfrm>
                      <a:off x="0" y="0"/>
                      <a:ext cx="5731510" cy="3283349"/>
                    </a:xfrm>
                    <a:prstGeom prst="rect">
                      <a:avLst/>
                    </a:prstGeom>
                    <a:ln>
                      <a:noFill/>
                    </a:ln>
                    <a:extLst>
                      <a:ext uri="{53640926-AAD7-44D8-BBD7-CCE9431645EC}">
                        <a14:shadowObscured xmlns:a14="http://schemas.microsoft.com/office/drawing/2010/main"/>
                      </a:ext>
                    </a:extLst>
                  </pic:spPr>
                </pic:pic>
              </a:graphicData>
            </a:graphic>
          </wp:inline>
        </w:drawing>
      </w:r>
    </w:p>
    <w:p w14:paraId="4ABECA40" w14:textId="67209535" w:rsidR="0015001B" w:rsidRPr="00857DF1" w:rsidRDefault="0015001B" w:rsidP="0015001B">
      <w:pPr>
        <w:pStyle w:val="Caption"/>
        <w:rPr>
          <w:bCs w:val="0"/>
        </w:rPr>
      </w:pPr>
      <w:bookmarkStart w:id="29" w:name="_Ref150948608"/>
      <w:r>
        <w:t xml:space="preserve">Figure </w:t>
      </w:r>
      <w:r w:rsidR="004D6242">
        <w:fldChar w:fldCharType="begin"/>
      </w:r>
      <w:r w:rsidR="004D6242">
        <w:instrText xml:space="preserve"> SEQ Figure \* ARABIC </w:instrText>
      </w:r>
      <w:r w:rsidR="004D6242">
        <w:fldChar w:fldCharType="separate"/>
      </w:r>
      <w:r w:rsidR="00BF6F93">
        <w:rPr>
          <w:noProof/>
        </w:rPr>
        <w:t>2</w:t>
      </w:r>
      <w:r w:rsidR="004D6242">
        <w:rPr>
          <w:noProof/>
        </w:rPr>
        <w:fldChar w:fldCharType="end"/>
      </w:r>
      <w:bookmarkEnd w:id="29"/>
      <w:r>
        <w:tab/>
        <w:t xml:space="preserve"> </w:t>
      </w:r>
      <w:r w:rsidRPr="00857DF1">
        <w:t xml:space="preserve">Schematic presentation of a hybrid model of </w:t>
      </w:r>
      <w:r>
        <w:rPr>
          <w:vertAlign w:val="superscript"/>
        </w:rPr>
        <w:t>177</w:t>
      </w:r>
      <w:r w:rsidRPr="00857DF1">
        <w:t>Lu</w:t>
      </w:r>
      <w:r>
        <w:t> </w:t>
      </w:r>
      <w:r w:rsidRPr="00857DF1">
        <w:t>PSMA</w:t>
      </w:r>
      <w:r>
        <w:t> i&amp;t</w:t>
      </w:r>
      <w:r w:rsidRPr="00857DF1">
        <w:t xml:space="preserve"> treatment in mCRPC population</w:t>
      </w:r>
    </w:p>
    <w:p w14:paraId="5A6EFF10" w14:textId="4E1608F4" w:rsidR="00D87E66" w:rsidRPr="00D87E66" w:rsidRDefault="00D87E66" w:rsidP="0015001B">
      <w:pPr>
        <w:pStyle w:val="BodyText"/>
        <w:jc w:val="left"/>
        <w:rPr>
          <w:rFonts w:ascii="Franklin Gothic Book" w:eastAsia="Calibri" w:hAnsi="Franklin Gothic Book" w:cs="Calibri"/>
        </w:rPr>
      </w:pPr>
      <w:r w:rsidRPr="00D87E66">
        <w:rPr>
          <w:rFonts w:ascii="Franklin Gothic Book" w:eastAsia="Calibri" w:hAnsi="Franklin Gothic Book" w:cs="Calibri"/>
        </w:rPr>
        <w:t xml:space="preserve">As in the </w:t>
      </w:r>
      <w:r w:rsidR="0015001B">
        <w:rPr>
          <w:rFonts w:ascii="Franklin Gothic Book" w:eastAsia="Calibri" w:hAnsi="Franklin Gothic Book" w:cs="Calibri"/>
        </w:rPr>
        <w:t>ADAR</w:t>
      </w:r>
      <w:r w:rsidRPr="00D87E66">
        <w:rPr>
          <w:rFonts w:ascii="Franklin Gothic Book" w:eastAsia="Calibri" w:hAnsi="Franklin Gothic Book" w:cs="Calibri"/>
        </w:rPr>
        <w:t xml:space="preserve"> model</w:t>
      </w:r>
      <w:r w:rsidR="0015001B">
        <w:rPr>
          <w:rFonts w:ascii="Franklin Gothic Book" w:eastAsia="Calibri" w:hAnsi="Franklin Gothic Book" w:cs="Calibri"/>
        </w:rPr>
        <w:t>s</w:t>
      </w:r>
      <w:r w:rsidRPr="00D87E66">
        <w:rPr>
          <w:rFonts w:ascii="Franklin Gothic Book" w:eastAsia="Calibri" w:hAnsi="Franklin Gothic Book" w:cs="Calibri"/>
        </w:rPr>
        <w:t xml:space="preserve">, eligibility </w:t>
      </w:r>
      <w:r w:rsidRPr="0015001B">
        <w:rPr>
          <w:rFonts w:ascii="Franklin Gothic Book" w:eastAsia="Calibri" w:hAnsi="Franklin Gothic Book" w:cs="Calibri"/>
        </w:rPr>
        <w:t xml:space="preserve">for </w:t>
      </w:r>
      <w:r w:rsidR="0015001B" w:rsidRPr="0015001B">
        <w:rPr>
          <w:rFonts w:ascii="Franklin Gothic Book" w:eastAsia="Calibri" w:hAnsi="Franklin Gothic Book" w:cs="Calibri"/>
          <w:vertAlign w:val="superscript"/>
        </w:rPr>
        <w:t>177</w:t>
      </w:r>
      <w:r w:rsidR="0015001B" w:rsidRPr="0015001B">
        <w:rPr>
          <w:rFonts w:ascii="Franklin Gothic Book" w:eastAsia="Calibri" w:hAnsi="Franklin Gothic Book" w:cs="Calibri"/>
        </w:rPr>
        <w:t>Lu PSMA i&amp;t</w:t>
      </w:r>
      <w:r w:rsidRPr="0015001B">
        <w:rPr>
          <w:rFonts w:ascii="Franklin Gothic Book" w:eastAsia="Calibri" w:hAnsi="Franklin Gothic Book" w:cs="Calibri"/>
        </w:rPr>
        <w:t xml:space="preserve"> treatment</w:t>
      </w:r>
      <w:r w:rsidRPr="00D87E66">
        <w:rPr>
          <w:rFonts w:ascii="Franklin Gothic Book" w:eastAsia="Calibri" w:hAnsi="Franklin Gothic Book" w:cs="Calibri"/>
        </w:rPr>
        <w:t xml:space="preserve"> is established with PSMA PET/CT investigation (MBS item for the proposed diagnostic imaging). The proportion of patients (by definition, all surviving patients) who were found suitable for the treatment (90%, using TheraP finding) </w:t>
      </w:r>
      <w:r w:rsidR="0015001B">
        <w:rPr>
          <w:rFonts w:ascii="Franklin Gothic Book" w:eastAsia="Calibri" w:hAnsi="Franklin Gothic Book" w:cs="Calibri"/>
        </w:rPr>
        <w:t>initiate</w:t>
      </w:r>
      <w:r w:rsidRPr="00D87E66">
        <w:rPr>
          <w:rFonts w:ascii="Franklin Gothic Book" w:eastAsia="Calibri" w:hAnsi="Franklin Gothic Book" w:cs="Calibri"/>
        </w:rPr>
        <w:t xml:space="preserve"> </w:t>
      </w:r>
      <w:r w:rsidR="0015001B" w:rsidRPr="0015001B">
        <w:rPr>
          <w:rFonts w:ascii="Franklin Gothic Book" w:eastAsia="Calibri" w:hAnsi="Franklin Gothic Book" w:cs="Calibri"/>
          <w:vertAlign w:val="superscript"/>
        </w:rPr>
        <w:t>177</w:t>
      </w:r>
      <w:r w:rsidR="0015001B" w:rsidRPr="0015001B">
        <w:rPr>
          <w:rFonts w:ascii="Franklin Gothic Book" w:eastAsia="Calibri" w:hAnsi="Franklin Gothic Book" w:cs="Calibri"/>
        </w:rPr>
        <w:t>Lu PSMA i&amp;t</w:t>
      </w:r>
      <w:r w:rsidRPr="00D87E66">
        <w:rPr>
          <w:rFonts w:ascii="Franklin Gothic Book" w:eastAsia="Calibri" w:hAnsi="Franklin Gothic Book" w:cs="Calibri"/>
        </w:rPr>
        <w:t xml:space="preserve"> in week 0 and, after receiving 2 cycles (week 6), undergo a composite (PSA + SPECT/CT) assessment to establish response to treatment. Patients with </w:t>
      </w:r>
      <w:r w:rsidRPr="00D87E66">
        <w:rPr>
          <w:rFonts w:ascii="Franklin Gothic Book" w:eastAsia="Calibri" w:hAnsi="Franklin Gothic Book" w:cs="Calibri"/>
        </w:rPr>
        <w:lastRenderedPageBreak/>
        <w:t xml:space="preserve">response continue receiving </w:t>
      </w:r>
      <w:r w:rsidR="0015001B" w:rsidRPr="0015001B">
        <w:rPr>
          <w:rFonts w:ascii="Franklin Gothic Book" w:eastAsia="Calibri" w:hAnsi="Franklin Gothic Book" w:cs="Calibri"/>
          <w:vertAlign w:val="superscript"/>
        </w:rPr>
        <w:t>177</w:t>
      </w:r>
      <w:r w:rsidR="0015001B" w:rsidRPr="0015001B">
        <w:rPr>
          <w:rFonts w:ascii="Franklin Gothic Book" w:eastAsia="Calibri" w:hAnsi="Franklin Gothic Book" w:cs="Calibri"/>
        </w:rPr>
        <w:t>Lu PSMA i&amp;t</w:t>
      </w:r>
      <w:r w:rsidRPr="00D87E66">
        <w:rPr>
          <w:rFonts w:ascii="Franklin Gothic Book" w:eastAsia="Calibri" w:hAnsi="Franklin Gothic Book" w:cs="Calibri"/>
        </w:rPr>
        <w:t xml:space="preserve"> treatment for the next 4 cycles (up to the maximum of 6 cycles), while non-responders will be recommended for an alternative treatment.</w:t>
      </w:r>
    </w:p>
    <w:p w14:paraId="6F3BFA2D" w14:textId="0C89E216" w:rsidR="00D87E66" w:rsidRPr="00D87E66" w:rsidRDefault="00D9529A" w:rsidP="00D9529A">
      <w:pPr>
        <w:pStyle w:val="BodyText"/>
        <w:jc w:val="left"/>
        <w:rPr>
          <w:rFonts w:ascii="Franklin Gothic Book" w:eastAsia="Calibri" w:hAnsi="Franklin Gothic Book" w:cs="Calibri"/>
        </w:rPr>
      </w:pPr>
      <w:r w:rsidRPr="00227180">
        <w:rPr>
          <w:rFonts w:ascii="Franklin Gothic Book" w:hAnsi="Franklin Gothic Book"/>
        </w:rPr>
        <w:t xml:space="preserve">It was assumed that </w:t>
      </w:r>
      <w:r>
        <w:rPr>
          <w:rFonts w:ascii="Franklin Gothic Book" w:hAnsi="Franklin Gothic Book"/>
        </w:rPr>
        <w:t>‘</w:t>
      </w:r>
      <w:r w:rsidRPr="00227180">
        <w:rPr>
          <w:rFonts w:ascii="Franklin Gothic Book" w:hAnsi="Franklin Gothic Book"/>
        </w:rPr>
        <w:t xml:space="preserve">responders’ progression through health states </w:t>
      </w:r>
      <w:r>
        <w:rPr>
          <w:rFonts w:ascii="Franklin Gothic Book" w:hAnsi="Franklin Gothic Book"/>
        </w:rPr>
        <w:t>could</w:t>
      </w:r>
      <w:r w:rsidRPr="00227180">
        <w:rPr>
          <w:rFonts w:ascii="Franklin Gothic Book" w:hAnsi="Franklin Gothic Book"/>
        </w:rPr>
        <w:t xml:space="preserve"> be approximated by the </w:t>
      </w:r>
      <w:r>
        <w:rPr>
          <w:rFonts w:ascii="Franklin Gothic Book" w:hAnsi="Franklin Gothic Book"/>
          <w:vertAlign w:val="superscript"/>
        </w:rPr>
        <w:t>177</w:t>
      </w:r>
      <w:r w:rsidRPr="00227180">
        <w:rPr>
          <w:rFonts w:ascii="Franklin Gothic Book" w:hAnsi="Franklin Gothic Book"/>
        </w:rPr>
        <w:t>Lu</w:t>
      </w:r>
      <w:r>
        <w:rPr>
          <w:rFonts w:ascii="Franklin Gothic Book" w:hAnsi="Franklin Gothic Book"/>
        </w:rPr>
        <w:t> </w:t>
      </w:r>
      <w:r w:rsidRPr="00227180">
        <w:rPr>
          <w:rFonts w:ascii="Franklin Gothic Book" w:hAnsi="Franklin Gothic Book"/>
        </w:rPr>
        <w:t xml:space="preserve">PSMA arm of the VISION trial, while </w:t>
      </w:r>
      <w:r>
        <w:rPr>
          <w:rFonts w:ascii="Franklin Gothic Book" w:hAnsi="Franklin Gothic Book"/>
        </w:rPr>
        <w:t>‘</w:t>
      </w:r>
      <w:r w:rsidRPr="00227180">
        <w:rPr>
          <w:rFonts w:ascii="Franklin Gothic Book" w:hAnsi="Franklin Gothic Book"/>
        </w:rPr>
        <w:t xml:space="preserve">non-responder’ progression </w:t>
      </w:r>
      <w:r>
        <w:rPr>
          <w:rFonts w:ascii="Franklin Gothic Book" w:hAnsi="Franklin Gothic Book"/>
        </w:rPr>
        <w:t>could</w:t>
      </w:r>
      <w:r w:rsidRPr="00227180">
        <w:rPr>
          <w:rFonts w:ascii="Franklin Gothic Book" w:hAnsi="Franklin Gothic Book"/>
        </w:rPr>
        <w:t xml:space="preserve"> be modelled using the comparator arm (75% </w:t>
      </w:r>
      <w:r w:rsidR="00BD05F7">
        <w:rPr>
          <w:rFonts w:ascii="Franklin Gothic Book" w:hAnsi="Franklin Gothic Book"/>
        </w:rPr>
        <w:t>best supportive care</w:t>
      </w:r>
      <w:r w:rsidRPr="00227180">
        <w:rPr>
          <w:rFonts w:ascii="Franklin Gothic Book" w:hAnsi="Franklin Gothic Book"/>
        </w:rPr>
        <w:t>:25% cabazitaxel). In practical terms</w:t>
      </w:r>
      <w:r>
        <w:rPr>
          <w:rFonts w:ascii="Franklin Gothic Book" w:hAnsi="Franklin Gothic Book"/>
        </w:rPr>
        <w:t>,</w:t>
      </w:r>
      <w:r w:rsidRPr="00227180">
        <w:rPr>
          <w:rFonts w:ascii="Franklin Gothic Book" w:hAnsi="Franklin Gothic Book"/>
        </w:rPr>
        <w:t xml:space="preserve"> the K-M/parametric survival data were split in </w:t>
      </w:r>
      <w:r>
        <w:rPr>
          <w:rFonts w:ascii="Franklin Gothic Book" w:hAnsi="Franklin Gothic Book"/>
        </w:rPr>
        <w:t xml:space="preserve">a </w:t>
      </w:r>
      <w:r w:rsidRPr="00227180">
        <w:rPr>
          <w:rFonts w:ascii="Franklin Gothic Book" w:hAnsi="Franklin Gothic Book"/>
        </w:rPr>
        <w:t xml:space="preserve">proportion of 69% to 31%, where the observed proportions of patients in PFS and OS health states in the </w:t>
      </w:r>
      <w:r>
        <w:rPr>
          <w:rFonts w:ascii="Franklin Gothic Book" w:hAnsi="Franklin Gothic Book"/>
          <w:vertAlign w:val="superscript"/>
        </w:rPr>
        <w:t>177</w:t>
      </w:r>
      <w:r w:rsidRPr="00227180">
        <w:rPr>
          <w:rFonts w:ascii="Franklin Gothic Book" w:hAnsi="Franklin Gothic Book"/>
        </w:rPr>
        <w:t>Lu</w:t>
      </w:r>
      <w:r>
        <w:rPr>
          <w:rFonts w:ascii="Franklin Gothic Book" w:hAnsi="Franklin Gothic Book"/>
        </w:rPr>
        <w:t> </w:t>
      </w:r>
      <w:r w:rsidRPr="00227180">
        <w:rPr>
          <w:rFonts w:ascii="Franklin Gothic Book" w:hAnsi="Franklin Gothic Book"/>
        </w:rPr>
        <w:t xml:space="preserve">PSMA arm of the VISION trial were adjusted by the coefficient of 0.621 (0.69*0.9) to represent the ’responders’ progression through the health states. All surviving responders attracted the </w:t>
      </w:r>
      <w:r>
        <w:rPr>
          <w:rFonts w:ascii="Franklin Gothic Book" w:hAnsi="Franklin Gothic Book"/>
          <w:vertAlign w:val="superscript"/>
        </w:rPr>
        <w:t>177</w:t>
      </w:r>
      <w:r w:rsidRPr="00227180">
        <w:rPr>
          <w:rFonts w:ascii="Franklin Gothic Book" w:hAnsi="Franklin Gothic Book"/>
        </w:rPr>
        <w:t>Lu</w:t>
      </w:r>
      <w:r>
        <w:rPr>
          <w:rFonts w:ascii="Franklin Gothic Book" w:hAnsi="Franklin Gothic Book"/>
        </w:rPr>
        <w:t> </w:t>
      </w:r>
      <w:r w:rsidRPr="00227180">
        <w:rPr>
          <w:rFonts w:ascii="Franklin Gothic Book" w:hAnsi="Franklin Gothic Book"/>
        </w:rPr>
        <w:t>PSMA</w:t>
      </w:r>
      <w:r>
        <w:rPr>
          <w:rFonts w:ascii="Franklin Gothic Book" w:hAnsi="Franklin Gothic Book"/>
        </w:rPr>
        <w:t> i&amp;t</w:t>
      </w:r>
      <w:r w:rsidRPr="00227180">
        <w:rPr>
          <w:rFonts w:ascii="Franklin Gothic Book" w:hAnsi="Franklin Gothic Book"/>
        </w:rPr>
        <w:t xml:space="preserve"> treatment cost for the full 6 cycles. </w:t>
      </w:r>
      <w:r>
        <w:rPr>
          <w:rFonts w:ascii="Franklin Gothic Book" w:hAnsi="Franklin Gothic Book"/>
        </w:rPr>
        <w:t xml:space="preserve">Although the Re-SPECT study reported that all patients in RG1 </w:t>
      </w:r>
      <w:r w:rsidRPr="00983354">
        <w:rPr>
          <w:rFonts w:ascii="Franklin Gothic Book" w:hAnsi="Franklin Gothic Book"/>
        </w:rPr>
        <w:t xml:space="preserve">had a treatment break due to significant treatment response, with a median 6.1 months (IQR 3.4-8.7) of treatment ‘holiday’ prior to a subsequent rise in PSA and consideration for re-treatment </w:t>
      </w:r>
      <w:r>
        <w:rPr>
          <w:rFonts w:ascii="Franklin Gothic Book" w:hAnsi="Franklin Gothic Book"/>
        </w:rPr>
        <w:t xml:space="preserve">and not all opted to return for further treatment, this was considered to be largely based on financial reasons (communication with the applicant), a constraint that would no longer be relevant should </w:t>
      </w:r>
      <w:r>
        <w:rPr>
          <w:rFonts w:ascii="Franklin Gothic Book" w:hAnsi="Franklin Gothic Book"/>
          <w:vertAlign w:val="superscript"/>
        </w:rPr>
        <w:t>177</w:t>
      </w:r>
      <w:r w:rsidRPr="00227180">
        <w:rPr>
          <w:rFonts w:ascii="Franklin Gothic Book" w:hAnsi="Franklin Gothic Book"/>
        </w:rPr>
        <w:t>Lu</w:t>
      </w:r>
      <w:r>
        <w:rPr>
          <w:rFonts w:ascii="Franklin Gothic Book" w:hAnsi="Franklin Gothic Book"/>
        </w:rPr>
        <w:t> </w:t>
      </w:r>
      <w:r w:rsidRPr="00227180">
        <w:rPr>
          <w:rFonts w:ascii="Franklin Gothic Book" w:hAnsi="Franklin Gothic Book"/>
        </w:rPr>
        <w:t>PSMA</w:t>
      </w:r>
      <w:r>
        <w:rPr>
          <w:rFonts w:ascii="Franklin Gothic Book" w:hAnsi="Franklin Gothic Book"/>
        </w:rPr>
        <w:t> i&amp;t</w:t>
      </w:r>
      <w:r w:rsidRPr="00227180">
        <w:rPr>
          <w:rFonts w:ascii="Franklin Gothic Book" w:hAnsi="Franklin Gothic Book"/>
        </w:rPr>
        <w:t xml:space="preserve"> </w:t>
      </w:r>
      <w:r>
        <w:rPr>
          <w:rFonts w:ascii="Franklin Gothic Book" w:hAnsi="Franklin Gothic Book"/>
        </w:rPr>
        <w:t xml:space="preserve">be listed on the MBS. Thus, all PFS patients were assumed to undertake all 6 cycles of treatment. </w:t>
      </w:r>
      <w:r w:rsidRPr="00227180">
        <w:rPr>
          <w:rFonts w:ascii="Franklin Gothic Book" w:hAnsi="Franklin Gothic Book"/>
        </w:rPr>
        <w:t xml:space="preserve">To estimate costs and health gains of </w:t>
      </w:r>
      <w:r>
        <w:rPr>
          <w:rFonts w:ascii="Franklin Gothic Book" w:hAnsi="Franklin Gothic Book"/>
        </w:rPr>
        <w:t>‘</w:t>
      </w:r>
      <w:r w:rsidRPr="00227180">
        <w:rPr>
          <w:rFonts w:ascii="Franklin Gothic Book" w:hAnsi="Franklin Gothic Book"/>
        </w:rPr>
        <w:t>non-responders</w:t>
      </w:r>
      <w:r>
        <w:rPr>
          <w:rFonts w:ascii="Franklin Gothic Book" w:hAnsi="Franklin Gothic Book"/>
        </w:rPr>
        <w:t>’</w:t>
      </w:r>
      <w:r w:rsidRPr="00227180">
        <w:rPr>
          <w:rFonts w:ascii="Franklin Gothic Book" w:hAnsi="Franklin Gothic Book"/>
        </w:rPr>
        <w:t>, the K-M/parametric survival data in the comparator arm were adjusted by the coefficient of 0.279 (0.31*0.9). The Lu</w:t>
      </w:r>
      <w:r>
        <w:rPr>
          <w:rFonts w:ascii="Franklin Gothic Book" w:hAnsi="Franklin Gothic Book"/>
        </w:rPr>
        <w:t> </w:t>
      </w:r>
      <w:r w:rsidRPr="00227180">
        <w:rPr>
          <w:rFonts w:ascii="Franklin Gothic Book" w:hAnsi="Franklin Gothic Book"/>
        </w:rPr>
        <w:t>PSMA</w:t>
      </w:r>
      <w:r>
        <w:rPr>
          <w:rFonts w:ascii="Franklin Gothic Book" w:hAnsi="Franklin Gothic Book"/>
        </w:rPr>
        <w:t> i&amp;t</w:t>
      </w:r>
      <w:r w:rsidRPr="00227180">
        <w:rPr>
          <w:rFonts w:ascii="Franklin Gothic Book" w:hAnsi="Franklin Gothic Book"/>
        </w:rPr>
        <w:t xml:space="preserve"> treatment cost applied for the first 2 cycles followed by the post-discontinuation costs as that would apply to </w:t>
      </w:r>
      <w:r>
        <w:rPr>
          <w:rFonts w:ascii="Franklin Gothic Book" w:hAnsi="Franklin Gothic Book"/>
          <w:vertAlign w:val="superscript"/>
        </w:rPr>
        <w:t>177</w:t>
      </w:r>
      <w:r w:rsidRPr="00227180">
        <w:rPr>
          <w:rFonts w:ascii="Franklin Gothic Book" w:hAnsi="Franklin Gothic Book"/>
        </w:rPr>
        <w:t>Lu</w:t>
      </w:r>
      <w:r>
        <w:rPr>
          <w:rFonts w:ascii="Franklin Gothic Book" w:hAnsi="Franklin Gothic Book"/>
        </w:rPr>
        <w:t> </w:t>
      </w:r>
      <w:r w:rsidRPr="00227180">
        <w:rPr>
          <w:rFonts w:ascii="Franklin Gothic Book" w:hAnsi="Franklin Gothic Book"/>
        </w:rPr>
        <w:t>PSMA</w:t>
      </w:r>
      <w:r>
        <w:rPr>
          <w:rFonts w:ascii="Franklin Gothic Book" w:hAnsi="Franklin Gothic Book"/>
        </w:rPr>
        <w:t> i&amp;t</w:t>
      </w:r>
      <w:r w:rsidRPr="00227180">
        <w:rPr>
          <w:rFonts w:ascii="Franklin Gothic Book" w:hAnsi="Franklin Gothic Book"/>
        </w:rPr>
        <w:t xml:space="preserve"> patients (a proportion of these patients would receive cabazitaxel). The original estimates of costs and health gains of the patients in the comparator arm were not affected. The comparator data was used merely as a substitute for the non-existing survival data for </w:t>
      </w:r>
      <w:r>
        <w:rPr>
          <w:rFonts w:ascii="Franklin Gothic Book" w:hAnsi="Franklin Gothic Book"/>
        </w:rPr>
        <w:t>‘</w:t>
      </w:r>
      <w:r w:rsidRPr="00227180">
        <w:rPr>
          <w:rFonts w:ascii="Franklin Gothic Book" w:hAnsi="Franklin Gothic Book"/>
        </w:rPr>
        <w:t>non-responders</w:t>
      </w:r>
      <w:r>
        <w:rPr>
          <w:rFonts w:ascii="Franklin Gothic Book" w:hAnsi="Franklin Gothic Book"/>
        </w:rPr>
        <w:t>’</w:t>
      </w:r>
      <w:r w:rsidRPr="00983354">
        <w:rPr>
          <w:rFonts w:ascii="Franklin Gothic Book" w:hAnsi="Franklin Gothic Book"/>
        </w:rPr>
        <w:t>.</w:t>
      </w:r>
    </w:p>
    <w:p w14:paraId="6AF989BB" w14:textId="4F9CD14B" w:rsidR="00D87E66" w:rsidRPr="00D87E66" w:rsidRDefault="00D87E66" w:rsidP="00D9529A">
      <w:pPr>
        <w:pStyle w:val="BodyText"/>
        <w:jc w:val="left"/>
        <w:rPr>
          <w:rFonts w:ascii="Franklin Gothic Book" w:eastAsia="Calibri" w:hAnsi="Franklin Gothic Book" w:cs="Calibri"/>
        </w:rPr>
      </w:pPr>
      <w:r w:rsidRPr="00D87E66">
        <w:rPr>
          <w:rFonts w:ascii="Franklin Gothic Book" w:eastAsia="Calibri" w:hAnsi="Franklin Gothic Book" w:cs="Calibri"/>
        </w:rPr>
        <w:t>It should be noted that the amended model now represents not two, but three treatment strategies, each with its distinct characteristics of transitioning patients through time (whether dictated by the time-to-event data or transition probabilities).</w:t>
      </w:r>
    </w:p>
    <w:p w14:paraId="0225AEAB" w14:textId="149722DD" w:rsidR="00D87E66" w:rsidRPr="00D87E66" w:rsidRDefault="00D87E66" w:rsidP="00D9529A">
      <w:pPr>
        <w:pStyle w:val="BodyText"/>
        <w:jc w:val="left"/>
        <w:rPr>
          <w:rFonts w:ascii="Franklin Gothic Book" w:eastAsia="Calibri" w:hAnsi="Franklin Gothic Book" w:cs="Calibri"/>
        </w:rPr>
      </w:pPr>
      <w:r w:rsidRPr="00D87E66">
        <w:rPr>
          <w:rFonts w:ascii="Franklin Gothic Book" w:eastAsia="Calibri" w:hAnsi="Franklin Gothic Book" w:cs="Calibri"/>
        </w:rPr>
        <w:t xml:space="preserve">This approach violates the PSM assumption that the proportions of patients being in each health state (from the mutually exclusive and exhausted set) must sum to </w:t>
      </w:r>
      <w:r w:rsidR="00D9529A">
        <w:rPr>
          <w:rFonts w:ascii="Franklin Gothic Book" w:eastAsia="Calibri" w:hAnsi="Franklin Gothic Book" w:cs="Calibri"/>
        </w:rPr>
        <w:t>1</w:t>
      </w:r>
      <w:r w:rsidRPr="00D87E66">
        <w:rPr>
          <w:rFonts w:ascii="Franklin Gothic Book" w:eastAsia="Calibri" w:hAnsi="Franklin Gothic Book" w:cs="Calibri"/>
        </w:rPr>
        <w:t xml:space="preserve"> for each treatment strategy in each cycle. In particular, it is very likely that the probability of death differs between “responders” and “non-responders”, however, since the OS is altered by the need to apply proportions, reflecting the assessment outcomes after the second cycle, the conventional way of determining a proportion of dead in each cycle does not apply.</w:t>
      </w:r>
    </w:p>
    <w:p w14:paraId="604F779D" w14:textId="77777777" w:rsidR="00D9529A" w:rsidRPr="00227180" w:rsidRDefault="00D9529A" w:rsidP="00D9529A">
      <w:pPr>
        <w:pStyle w:val="BodyText"/>
        <w:jc w:val="left"/>
        <w:rPr>
          <w:rFonts w:ascii="Franklin Gothic Book" w:hAnsi="Franklin Gothic Book"/>
        </w:rPr>
      </w:pPr>
      <w:r w:rsidRPr="00227180">
        <w:rPr>
          <w:rFonts w:ascii="Franklin Gothic Book" w:hAnsi="Franklin Gothic Book"/>
        </w:rPr>
        <w:t>For example, in the first cycle only 62.1% of Lu</w:t>
      </w:r>
      <w:r>
        <w:rPr>
          <w:rFonts w:ascii="Franklin Gothic Book" w:hAnsi="Franklin Gothic Book"/>
        </w:rPr>
        <w:t> </w:t>
      </w:r>
      <w:r w:rsidRPr="00227180">
        <w:rPr>
          <w:rFonts w:ascii="Franklin Gothic Book" w:hAnsi="Franklin Gothic Book"/>
        </w:rPr>
        <w:t>PSMA</w:t>
      </w:r>
      <w:r>
        <w:rPr>
          <w:rFonts w:ascii="Franklin Gothic Book" w:hAnsi="Franklin Gothic Book"/>
        </w:rPr>
        <w:t> i&amp;t</w:t>
      </w:r>
      <w:r w:rsidRPr="00227180">
        <w:rPr>
          <w:rFonts w:ascii="Franklin Gothic Book" w:hAnsi="Franklin Gothic Book"/>
        </w:rPr>
        <w:t xml:space="preserve"> patients in </w:t>
      </w:r>
      <w:r>
        <w:rPr>
          <w:rFonts w:ascii="Franklin Gothic Book" w:hAnsi="Franklin Gothic Book"/>
        </w:rPr>
        <w:t xml:space="preserve">the </w:t>
      </w:r>
      <w:r w:rsidRPr="00227180">
        <w:rPr>
          <w:rFonts w:ascii="Franklin Gothic Book" w:hAnsi="Franklin Gothic Book"/>
        </w:rPr>
        <w:t xml:space="preserve">response group are alive, and since they are all responders, the same proportion is in the PFS health state. The number of progressed responders is zero (PD=OS-PFS), but how many are in the “death state” cannot be derived with certainty, since it would be unreasonable to apply the conventional rule of (1-OS) that would produce the rate of death at 37.9%. Evidently, the proportion of </w:t>
      </w:r>
      <w:r>
        <w:rPr>
          <w:rFonts w:ascii="Franklin Gothic Book" w:hAnsi="Franklin Gothic Book"/>
        </w:rPr>
        <w:t>‘</w:t>
      </w:r>
      <w:r w:rsidRPr="00227180">
        <w:rPr>
          <w:rFonts w:ascii="Franklin Gothic Book" w:hAnsi="Franklin Gothic Book"/>
        </w:rPr>
        <w:t>non-responders</w:t>
      </w:r>
      <w:r>
        <w:rPr>
          <w:rFonts w:ascii="Franklin Gothic Book" w:hAnsi="Franklin Gothic Book"/>
        </w:rPr>
        <w:t>’</w:t>
      </w:r>
      <w:r w:rsidRPr="00227180">
        <w:rPr>
          <w:rFonts w:ascii="Franklin Gothic Book" w:hAnsi="Franklin Gothic Book"/>
        </w:rPr>
        <w:t xml:space="preserve"> (a complement to the 62.1% is 27.9%) is alive at first and is following the second Lu</w:t>
      </w:r>
      <w:r>
        <w:rPr>
          <w:rFonts w:ascii="Franklin Gothic Book" w:hAnsi="Franklin Gothic Book"/>
        </w:rPr>
        <w:t> </w:t>
      </w:r>
      <w:r w:rsidRPr="00227180">
        <w:rPr>
          <w:rFonts w:ascii="Franklin Gothic Book" w:hAnsi="Franklin Gothic Book"/>
        </w:rPr>
        <w:t>PSMA</w:t>
      </w:r>
      <w:r>
        <w:rPr>
          <w:rFonts w:ascii="Franklin Gothic Book" w:hAnsi="Franklin Gothic Book"/>
        </w:rPr>
        <w:t> i&amp;t</w:t>
      </w:r>
      <w:r w:rsidRPr="00227180">
        <w:rPr>
          <w:rFonts w:ascii="Franklin Gothic Book" w:hAnsi="Franklin Gothic Book"/>
        </w:rPr>
        <w:t xml:space="preserve"> treatment strategy, approximated by the VISION data for the comparator. However, in the comparator arm all the patients are assumed to be identical to the VISION patients from Lu</w:t>
      </w:r>
      <w:r>
        <w:rPr>
          <w:rFonts w:ascii="Franklin Gothic Book" w:hAnsi="Franklin Gothic Book"/>
        </w:rPr>
        <w:t> </w:t>
      </w:r>
      <w:r w:rsidRPr="00227180">
        <w:rPr>
          <w:rFonts w:ascii="Franklin Gothic Book" w:hAnsi="Franklin Gothic Book"/>
        </w:rPr>
        <w:t>PSMA arm at baseline. The rates of their progression to death in each cycle is therefore determined by the differences in effectiveness of the intervention and the comparator. This is not the case with respect to progression of non-responders who are different at baseline from responders and, since there is no response-related evidence for the comparator arm, it is impossible to estimate an accurate rate of progression to “death” that would be specific to non-responders.</w:t>
      </w:r>
    </w:p>
    <w:p w14:paraId="538D400F" w14:textId="03E8C584" w:rsidR="00340984" w:rsidRPr="00D87E66" w:rsidRDefault="00340984" w:rsidP="00D9529A">
      <w:pPr>
        <w:pStyle w:val="BodyText"/>
        <w:jc w:val="left"/>
        <w:rPr>
          <w:rFonts w:ascii="Franklin Gothic Book" w:eastAsia="Calibri" w:hAnsi="Franklin Gothic Book" w:cs="Calibri"/>
        </w:rPr>
      </w:pPr>
      <w:r w:rsidRPr="00340984">
        <w:rPr>
          <w:rFonts w:ascii="Franklin Gothic Book" w:eastAsia="Calibri" w:hAnsi="Franklin Gothic Book" w:cs="Calibri"/>
        </w:rPr>
        <w:t xml:space="preserve">Since we were unable to identify a precedence of </w:t>
      </w:r>
      <w:r>
        <w:rPr>
          <w:rFonts w:ascii="Franklin Gothic Book" w:eastAsia="Calibri" w:hAnsi="Franklin Gothic Book" w:cs="Calibri"/>
        </w:rPr>
        <w:t>a</w:t>
      </w:r>
      <w:r w:rsidRPr="00340984">
        <w:rPr>
          <w:rFonts w:ascii="Franklin Gothic Book" w:eastAsia="Calibri" w:hAnsi="Franklin Gothic Book" w:cs="Calibri"/>
        </w:rPr>
        <w:t xml:space="preserve"> similar hybrid model in the literature, the degree to which the violation of the assumption of proportions of patients totalling to one in each</w:t>
      </w:r>
      <w:r>
        <w:rPr>
          <w:rFonts w:ascii="Franklin Gothic Book" w:eastAsia="Calibri" w:hAnsi="Franklin Gothic Book" w:cs="Calibri"/>
        </w:rPr>
        <w:t xml:space="preserve"> cycle</w:t>
      </w:r>
      <w:r w:rsidRPr="00340984">
        <w:rPr>
          <w:rFonts w:ascii="Franklin Gothic Book" w:eastAsia="Calibri" w:hAnsi="Franklin Gothic Book" w:cs="Calibri"/>
        </w:rPr>
        <w:t xml:space="preserve"> invalidates the modelled outcomes is unknown.</w:t>
      </w:r>
    </w:p>
    <w:bookmarkEnd w:id="28"/>
    <w:p w14:paraId="0ACE3F9C" w14:textId="42C5BBCA" w:rsidR="00D87E66" w:rsidRDefault="00C538E8" w:rsidP="00C538E8">
      <w:pPr>
        <w:pStyle w:val="BodyText"/>
        <w:keepNext/>
        <w:keepLines/>
        <w:jc w:val="left"/>
        <w:rPr>
          <w:rFonts w:ascii="Franklin Gothic Book" w:eastAsia="Calibri" w:hAnsi="Franklin Gothic Book" w:cs="Calibri"/>
        </w:rPr>
      </w:pPr>
      <w:r>
        <w:rPr>
          <w:rFonts w:ascii="Franklin Gothic Book" w:eastAsia="Calibri" w:hAnsi="Franklin Gothic Book" w:cs="Calibri"/>
        </w:rPr>
        <w:lastRenderedPageBreak/>
        <w:t xml:space="preserve">The </w:t>
      </w:r>
      <w:r w:rsidR="00B82049">
        <w:rPr>
          <w:rFonts w:ascii="Franklin Gothic Book" w:eastAsia="Calibri" w:hAnsi="Franklin Gothic Book" w:cs="Calibri"/>
        </w:rPr>
        <w:t>key components of</w:t>
      </w:r>
      <w:r>
        <w:rPr>
          <w:rFonts w:ascii="Franklin Gothic Book" w:eastAsia="Calibri" w:hAnsi="Franklin Gothic Book" w:cs="Calibri"/>
        </w:rPr>
        <w:t xml:space="preserve"> the economic evaluation is presented in </w:t>
      </w:r>
      <w:r w:rsidR="00B82049">
        <w:rPr>
          <w:rFonts w:ascii="Franklin Gothic Book" w:eastAsia="Calibri" w:hAnsi="Franklin Gothic Book" w:cs="Calibri"/>
        </w:rPr>
        <w:fldChar w:fldCharType="begin"/>
      </w:r>
      <w:r w:rsidR="00B82049">
        <w:rPr>
          <w:rFonts w:ascii="Franklin Gothic Book" w:eastAsia="Calibri" w:hAnsi="Franklin Gothic Book" w:cs="Calibri"/>
        </w:rPr>
        <w:instrText xml:space="preserve"> REF _Ref150950685 \h  \* MERGEFORMAT </w:instrText>
      </w:r>
      <w:r w:rsidR="00B82049">
        <w:rPr>
          <w:rFonts w:ascii="Franklin Gothic Book" w:eastAsia="Calibri" w:hAnsi="Franklin Gothic Book" w:cs="Calibri"/>
        </w:rPr>
      </w:r>
      <w:r w:rsidR="00B82049">
        <w:rPr>
          <w:rFonts w:ascii="Franklin Gothic Book" w:eastAsia="Calibri" w:hAnsi="Franklin Gothic Book" w:cs="Calibri"/>
        </w:rPr>
        <w:fldChar w:fldCharType="separate"/>
      </w:r>
      <w:r w:rsidR="00BF6F93" w:rsidRPr="001D5D9E">
        <w:rPr>
          <w:rFonts w:ascii="Franklin Gothic Book" w:eastAsia="Calibri" w:hAnsi="Franklin Gothic Book" w:cs="Calibri"/>
        </w:rPr>
        <w:t>Table 7</w:t>
      </w:r>
      <w:r w:rsidR="00B82049">
        <w:rPr>
          <w:rFonts w:ascii="Franklin Gothic Book" w:eastAsia="Calibri" w:hAnsi="Franklin Gothic Book" w:cs="Calibri"/>
        </w:rPr>
        <w:fldChar w:fldCharType="end"/>
      </w:r>
      <w:r w:rsidR="00B82049">
        <w:rPr>
          <w:rFonts w:ascii="Franklin Gothic Book" w:eastAsia="Calibri" w:hAnsi="Franklin Gothic Book" w:cs="Calibri"/>
        </w:rPr>
        <w:t xml:space="preserve"> </w:t>
      </w:r>
      <w:r>
        <w:rPr>
          <w:rFonts w:ascii="Franklin Gothic Book" w:eastAsia="Calibri" w:hAnsi="Franklin Gothic Book" w:cs="Calibri"/>
        </w:rPr>
        <w:t>and a</w:t>
      </w:r>
      <w:r w:rsidR="00D00BFB" w:rsidRPr="00D00BFB">
        <w:rPr>
          <w:rFonts w:ascii="Franklin Gothic Book" w:eastAsia="Calibri" w:hAnsi="Franklin Gothic Book" w:cs="Calibri"/>
        </w:rPr>
        <w:t xml:space="preserve"> high-level summary of the input data used in the </w:t>
      </w:r>
      <w:r w:rsidR="00D9529A">
        <w:rPr>
          <w:rFonts w:ascii="Franklin Gothic Book" w:eastAsia="Calibri" w:hAnsi="Franklin Gothic Book" w:cs="Calibri"/>
        </w:rPr>
        <w:t>model</w:t>
      </w:r>
      <w:r w:rsidR="00D00BFB" w:rsidRPr="00D00BFB">
        <w:rPr>
          <w:rFonts w:ascii="Franklin Gothic Book" w:eastAsia="Calibri" w:hAnsi="Franklin Gothic Book" w:cs="Calibri"/>
        </w:rPr>
        <w:t xml:space="preserve"> and their sources is provided in </w:t>
      </w:r>
      <w:r w:rsidR="00D9529A">
        <w:rPr>
          <w:rFonts w:ascii="Franklin Gothic Book" w:eastAsia="Calibri" w:hAnsi="Franklin Gothic Book" w:cs="Calibri"/>
        </w:rPr>
        <w:fldChar w:fldCharType="begin"/>
      </w:r>
      <w:r w:rsidR="00D9529A">
        <w:rPr>
          <w:rFonts w:ascii="Franklin Gothic Book" w:eastAsia="Calibri" w:hAnsi="Franklin Gothic Book" w:cs="Calibri"/>
        </w:rPr>
        <w:instrText xml:space="preserve"> REF _Ref150949039 \h  \* MERGEFORMAT </w:instrText>
      </w:r>
      <w:r w:rsidR="00D9529A">
        <w:rPr>
          <w:rFonts w:ascii="Franklin Gothic Book" w:eastAsia="Calibri" w:hAnsi="Franklin Gothic Book" w:cs="Calibri"/>
        </w:rPr>
      </w:r>
      <w:r w:rsidR="00D9529A">
        <w:rPr>
          <w:rFonts w:ascii="Franklin Gothic Book" w:eastAsia="Calibri" w:hAnsi="Franklin Gothic Book" w:cs="Calibri"/>
        </w:rPr>
        <w:fldChar w:fldCharType="separate"/>
      </w:r>
      <w:r w:rsidR="00BF6F93" w:rsidRPr="001D5D9E">
        <w:rPr>
          <w:rFonts w:ascii="Franklin Gothic Book" w:eastAsia="Calibri" w:hAnsi="Franklin Gothic Book" w:cs="Calibri"/>
        </w:rPr>
        <w:t>Table 8</w:t>
      </w:r>
      <w:r w:rsidR="00D9529A">
        <w:rPr>
          <w:rFonts w:ascii="Franklin Gothic Book" w:eastAsia="Calibri" w:hAnsi="Franklin Gothic Book" w:cs="Calibri"/>
        </w:rPr>
        <w:fldChar w:fldCharType="end"/>
      </w:r>
      <w:r w:rsidR="00D00BFB">
        <w:rPr>
          <w:rFonts w:ascii="Franklin Gothic Book" w:eastAsia="Calibri" w:hAnsi="Franklin Gothic Book" w:cs="Calibri"/>
        </w:rPr>
        <w:t>.</w:t>
      </w:r>
    </w:p>
    <w:p w14:paraId="66B72673" w14:textId="16C51586" w:rsidR="00B82049" w:rsidRDefault="00B82049" w:rsidP="00B82049">
      <w:pPr>
        <w:pStyle w:val="Caption"/>
        <w:jc w:val="both"/>
        <w:rPr>
          <w:rFonts w:ascii="Franklin Gothic Book" w:eastAsia="Calibri" w:hAnsi="Franklin Gothic Book" w:cs="Calibri"/>
        </w:rPr>
      </w:pPr>
      <w:bookmarkStart w:id="30" w:name="_Ref150950685"/>
      <w:r>
        <w:t xml:space="preserve">Table </w:t>
      </w:r>
      <w:r w:rsidR="004D6242">
        <w:fldChar w:fldCharType="begin"/>
      </w:r>
      <w:r w:rsidR="004D6242">
        <w:instrText xml:space="preserve"> SEQ Table \* ARABIC </w:instrText>
      </w:r>
      <w:r w:rsidR="004D6242">
        <w:fldChar w:fldCharType="separate"/>
      </w:r>
      <w:r w:rsidR="00BF6F93">
        <w:rPr>
          <w:noProof/>
        </w:rPr>
        <w:t>7</w:t>
      </w:r>
      <w:r w:rsidR="004D6242">
        <w:rPr>
          <w:noProof/>
        </w:rPr>
        <w:fldChar w:fldCharType="end"/>
      </w:r>
      <w:bookmarkEnd w:id="30"/>
      <w:r>
        <w:tab/>
      </w:r>
      <w:r w:rsidRPr="00356E33">
        <w:t>Key components of the economic evaluation</w:t>
      </w:r>
    </w:p>
    <w:tbl>
      <w:tblPr>
        <w:tblW w:w="9209" w:type="dxa"/>
        <w:tblLook w:val="0620" w:firstRow="1" w:lastRow="0" w:firstColumn="0" w:lastColumn="0" w:noHBand="1" w:noVBand="1"/>
      </w:tblPr>
      <w:tblGrid>
        <w:gridCol w:w="2003"/>
        <w:gridCol w:w="7206"/>
      </w:tblGrid>
      <w:tr w:rsidR="00B82049" w:rsidRPr="00C538E8" w14:paraId="252D7778" w14:textId="77777777">
        <w:tc>
          <w:tcPr>
            <w:tcW w:w="2003" w:type="dxa"/>
            <w:tcBorders>
              <w:top w:val="single" w:sz="4" w:space="0" w:color="auto"/>
              <w:left w:val="single" w:sz="4" w:space="0" w:color="auto"/>
              <w:bottom w:val="single" w:sz="4" w:space="0" w:color="auto"/>
              <w:right w:val="single" w:sz="4" w:space="0" w:color="auto"/>
            </w:tcBorders>
          </w:tcPr>
          <w:p w14:paraId="460C7515" w14:textId="77777777" w:rsidR="00B82049" w:rsidRPr="00C538E8" w:rsidRDefault="00B82049">
            <w:pPr>
              <w:pStyle w:val="TableHeading"/>
              <w:keepNext w:val="0"/>
              <w:widowControl w:val="0"/>
              <w:spacing w:before="40" w:after="40"/>
              <w:rPr>
                <w:b w:val="0"/>
                <w:szCs w:val="20"/>
              </w:rPr>
            </w:pPr>
            <w:r w:rsidRPr="00C538E8">
              <w:rPr>
                <w:b w:val="0"/>
                <w:szCs w:val="20"/>
              </w:rPr>
              <w:t>Perspective</w:t>
            </w:r>
          </w:p>
        </w:tc>
        <w:tc>
          <w:tcPr>
            <w:tcW w:w="7206" w:type="dxa"/>
            <w:tcBorders>
              <w:top w:val="single" w:sz="4" w:space="0" w:color="auto"/>
              <w:left w:val="single" w:sz="4" w:space="0" w:color="auto"/>
              <w:bottom w:val="single" w:sz="4" w:space="0" w:color="auto"/>
              <w:right w:val="single" w:sz="4" w:space="0" w:color="auto"/>
            </w:tcBorders>
          </w:tcPr>
          <w:p w14:paraId="4C7E5270" w14:textId="594DE79D" w:rsidR="00B82049" w:rsidRPr="00C538E8" w:rsidRDefault="00B82049">
            <w:pPr>
              <w:pStyle w:val="TableHeading"/>
              <w:keepNext w:val="0"/>
              <w:widowControl w:val="0"/>
              <w:spacing w:before="40" w:after="40"/>
              <w:rPr>
                <w:rFonts w:cs="Times New Roman"/>
                <w:b w:val="0"/>
                <w:szCs w:val="20"/>
              </w:rPr>
            </w:pPr>
            <w:r w:rsidRPr="00C538E8">
              <w:rPr>
                <w:b w:val="0"/>
                <w:szCs w:val="20"/>
              </w:rPr>
              <w:t xml:space="preserve">Australian healthcare system </w:t>
            </w:r>
          </w:p>
        </w:tc>
      </w:tr>
      <w:tr w:rsidR="00B82049" w:rsidRPr="00C538E8" w14:paraId="052F0DCA" w14:textId="77777777">
        <w:tc>
          <w:tcPr>
            <w:tcW w:w="2003" w:type="dxa"/>
            <w:tcBorders>
              <w:top w:val="single" w:sz="4" w:space="0" w:color="auto"/>
              <w:left w:val="single" w:sz="4" w:space="0" w:color="auto"/>
              <w:bottom w:val="single" w:sz="4" w:space="0" w:color="auto"/>
              <w:right w:val="single" w:sz="4" w:space="0" w:color="auto"/>
            </w:tcBorders>
          </w:tcPr>
          <w:p w14:paraId="5C4CF5D5" w14:textId="77777777" w:rsidR="00B82049" w:rsidRPr="00C538E8" w:rsidRDefault="00B82049">
            <w:pPr>
              <w:pStyle w:val="TableHeading"/>
              <w:keepNext w:val="0"/>
              <w:widowControl w:val="0"/>
              <w:spacing w:before="40" w:after="40"/>
              <w:rPr>
                <w:b w:val="0"/>
                <w:szCs w:val="20"/>
              </w:rPr>
            </w:pPr>
            <w:r w:rsidRPr="00C538E8">
              <w:rPr>
                <w:b w:val="0"/>
                <w:szCs w:val="20"/>
              </w:rPr>
              <w:t>Population</w:t>
            </w:r>
          </w:p>
        </w:tc>
        <w:tc>
          <w:tcPr>
            <w:tcW w:w="7206" w:type="dxa"/>
            <w:tcBorders>
              <w:top w:val="single" w:sz="4" w:space="0" w:color="auto"/>
              <w:left w:val="single" w:sz="4" w:space="0" w:color="auto"/>
              <w:bottom w:val="single" w:sz="4" w:space="0" w:color="auto"/>
              <w:right w:val="single" w:sz="4" w:space="0" w:color="auto"/>
            </w:tcBorders>
          </w:tcPr>
          <w:p w14:paraId="35A48FD7" w14:textId="123BE6EE" w:rsidR="00B82049" w:rsidRPr="00C538E8" w:rsidRDefault="00B82049">
            <w:pPr>
              <w:pStyle w:val="TableHeading"/>
              <w:keepNext w:val="0"/>
              <w:widowControl w:val="0"/>
              <w:spacing w:before="40" w:after="40"/>
              <w:rPr>
                <w:rFonts w:cs="Times New Roman"/>
                <w:b w:val="0"/>
                <w:szCs w:val="20"/>
              </w:rPr>
            </w:pPr>
            <w:r w:rsidRPr="00C538E8">
              <w:rPr>
                <w:b w:val="0"/>
                <w:szCs w:val="20"/>
              </w:rPr>
              <w:t xml:space="preserve">Patients with mCRPC who have received at least one ASI (i.e. abiraterone, enzalutamide or darolutamide via PBS/RPBS) as well as at least one line of chemotherapy (docetaxel +/- cabazitaxel via PBS/RPBS) in the setting of mCRPC </w:t>
            </w:r>
          </w:p>
        </w:tc>
      </w:tr>
      <w:tr w:rsidR="00B82049" w:rsidRPr="00C538E8" w14:paraId="1C1ADBAF" w14:textId="77777777">
        <w:tc>
          <w:tcPr>
            <w:tcW w:w="2003" w:type="dxa"/>
            <w:tcBorders>
              <w:top w:val="single" w:sz="4" w:space="0" w:color="auto"/>
              <w:left w:val="single" w:sz="4" w:space="0" w:color="auto"/>
              <w:bottom w:val="single" w:sz="4" w:space="0" w:color="auto"/>
              <w:right w:val="single" w:sz="4" w:space="0" w:color="auto"/>
            </w:tcBorders>
          </w:tcPr>
          <w:p w14:paraId="7930BA53" w14:textId="77777777" w:rsidR="00B82049" w:rsidRPr="00C538E8" w:rsidRDefault="00B82049">
            <w:pPr>
              <w:pStyle w:val="TableHeading"/>
              <w:keepNext w:val="0"/>
              <w:widowControl w:val="0"/>
              <w:spacing w:before="40" w:after="40"/>
              <w:rPr>
                <w:b w:val="0"/>
                <w:szCs w:val="20"/>
              </w:rPr>
            </w:pPr>
            <w:r w:rsidRPr="00C538E8">
              <w:rPr>
                <w:b w:val="0"/>
                <w:szCs w:val="20"/>
              </w:rPr>
              <w:t>Prior testing</w:t>
            </w:r>
          </w:p>
        </w:tc>
        <w:tc>
          <w:tcPr>
            <w:tcW w:w="7206" w:type="dxa"/>
            <w:tcBorders>
              <w:top w:val="single" w:sz="4" w:space="0" w:color="auto"/>
              <w:left w:val="single" w:sz="4" w:space="0" w:color="auto"/>
              <w:bottom w:val="single" w:sz="4" w:space="0" w:color="auto"/>
              <w:right w:val="single" w:sz="4" w:space="0" w:color="auto"/>
            </w:tcBorders>
          </w:tcPr>
          <w:p w14:paraId="1C985C55" w14:textId="36B7FC1E" w:rsidR="00B82049" w:rsidRPr="00C538E8" w:rsidRDefault="00B82049">
            <w:pPr>
              <w:pStyle w:val="TableHeading"/>
              <w:keepNext w:val="0"/>
              <w:widowControl w:val="0"/>
              <w:spacing w:before="40" w:after="40"/>
              <w:rPr>
                <w:rFonts w:cs="Times New Roman"/>
                <w:b w:val="0"/>
                <w:szCs w:val="20"/>
              </w:rPr>
            </w:pPr>
            <w:r w:rsidRPr="00C538E8">
              <w:rPr>
                <w:b w:val="0"/>
                <w:szCs w:val="20"/>
              </w:rPr>
              <w:t xml:space="preserve">PSMA PET/CT </w:t>
            </w:r>
          </w:p>
        </w:tc>
      </w:tr>
      <w:tr w:rsidR="00B82049" w:rsidRPr="00C538E8" w14:paraId="66233FAB" w14:textId="77777777">
        <w:tc>
          <w:tcPr>
            <w:tcW w:w="2003" w:type="dxa"/>
            <w:tcBorders>
              <w:top w:val="single" w:sz="4" w:space="0" w:color="auto"/>
              <w:left w:val="single" w:sz="4" w:space="0" w:color="auto"/>
              <w:bottom w:val="single" w:sz="4" w:space="0" w:color="auto"/>
              <w:right w:val="single" w:sz="4" w:space="0" w:color="auto"/>
            </w:tcBorders>
          </w:tcPr>
          <w:p w14:paraId="4D6A81E5" w14:textId="77777777" w:rsidR="00B82049" w:rsidRPr="00C538E8" w:rsidRDefault="00B82049">
            <w:pPr>
              <w:pStyle w:val="TableHeading"/>
              <w:keepNext w:val="0"/>
              <w:widowControl w:val="0"/>
              <w:spacing w:before="40" w:after="40"/>
              <w:rPr>
                <w:b w:val="0"/>
                <w:szCs w:val="20"/>
              </w:rPr>
            </w:pPr>
            <w:r w:rsidRPr="00C538E8">
              <w:rPr>
                <w:b w:val="0"/>
                <w:szCs w:val="20"/>
              </w:rPr>
              <w:t>Patient pathway</w:t>
            </w:r>
          </w:p>
        </w:tc>
        <w:tc>
          <w:tcPr>
            <w:tcW w:w="7206" w:type="dxa"/>
            <w:tcBorders>
              <w:top w:val="single" w:sz="4" w:space="0" w:color="auto"/>
              <w:left w:val="single" w:sz="4" w:space="0" w:color="auto"/>
              <w:bottom w:val="single" w:sz="4" w:space="0" w:color="auto"/>
              <w:right w:val="single" w:sz="4" w:space="0" w:color="auto"/>
            </w:tcBorders>
          </w:tcPr>
          <w:p w14:paraId="242CCF8E" w14:textId="409EC9AB" w:rsidR="00B82049" w:rsidRPr="00C538E8" w:rsidRDefault="00B82049">
            <w:pPr>
              <w:pStyle w:val="TableHeading"/>
              <w:keepNext w:val="0"/>
              <w:widowControl w:val="0"/>
              <w:spacing w:before="40" w:after="40"/>
              <w:rPr>
                <w:rFonts w:cs="Times New Roman"/>
                <w:b w:val="0"/>
                <w:szCs w:val="20"/>
              </w:rPr>
            </w:pPr>
            <w:r w:rsidRPr="00C538E8">
              <w:rPr>
                <w:rFonts w:cs="Times New Roman"/>
                <w:b w:val="0"/>
                <w:szCs w:val="20"/>
              </w:rPr>
              <w:t xml:space="preserve">Only patients who have not developed disease progression after receiving </w:t>
            </w:r>
            <w:r w:rsidRPr="00C538E8">
              <w:rPr>
                <w:rFonts w:cs="Times New Roman"/>
                <w:b w:val="0"/>
                <w:szCs w:val="20"/>
                <w:vertAlign w:val="superscript"/>
              </w:rPr>
              <w:t>1</w:t>
            </w:r>
            <w:r w:rsidRPr="00AB739B">
              <w:rPr>
                <w:rFonts w:cs="Times New Roman"/>
                <w:b w:val="0"/>
                <w:bCs/>
                <w:szCs w:val="20"/>
                <w:vertAlign w:val="superscript"/>
              </w:rPr>
              <w:t>177</w:t>
            </w:r>
            <w:r w:rsidRPr="00AB739B">
              <w:rPr>
                <w:rFonts w:cs="Times New Roman"/>
                <w:b w:val="0"/>
                <w:bCs/>
                <w:szCs w:val="20"/>
              </w:rPr>
              <w:t>Lu</w:t>
            </w:r>
            <w:r>
              <w:rPr>
                <w:rFonts w:cs="Times New Roman"/>
                <w:b w:val="0"/>
                <w:bCs/>
                <w:szCs w:val="20"/>
              </w:rPr>
              <w:t> </w:t>
            </w:r>
            <w:r w:rsidRPr="00AB739B">
              <w:rPr>
                <w:rFonts w:cs="Times New Roman"/>
                <w:b w:val="0"/>
                <w:bCs/>
                <w:szCs w:val="20"/>
              </w:rPr>
              <w:t>PSMA</w:t>
            </w:r>
            <w:r>
              <w:rPr>
                <w:rFonts w:cs="Times New Roman"/>
                <w:b w:val="0"/>
                <w:bCs/>
                <w:szCs w:val="20"/>
              </w:rPr>
              <w:t> i&amp;t</w:t>
            </w:r>
            <w:r w:rsidRPr="00AB739B">
              <w:rPr>
                <w:rFonts w:cs="Times New Roman"/>
                <w:b w:val="0"/>
                <w:bCs/>
                <w:szCs w:val="20"/>
              </w:rPr>
              <w:t xml:space="preserve">: </w:t>
            </w:r>
            <w:r w:rsidRPr="00C538E8">
              <w:rPr>
                <w:rFonts w:cs="Times New Roman"/>
                <w:b w:val="0"/>
                <w:szCs w:val="20"/>
              </w:rPr>
              <w:t>in the first two cycles are eligible to continue the treatment for up to 6 cycles.</w:t>
            </w:r>
          </w:p>
        </w:tc>
      </w:tr>
      <w:tr w:rsidR="00B82049" w:rsidRPr="00C538E8" w14:paraId="1680C4D5" w14:textId="77777777">
        <w:tc>
          <w:tcPr>
            <w:tcW w:w="2003" w:type="dxa"/>
            <w:tcBorders>
              <w:top w:val="single" w:sz="4" w:space="0" w:color="auto"/>
              <w:left w:val="single" w:sz="4" w:space="0" w:color="auto"/>
              <w:bottom w:val="single" w:sz="4" w:space="0" w:color="auto"/>
              <w:right w:val="single" w:sz="4" w:space="0" w:color="auto"/>
            </w:tcBorders>
          </w:tcPr>
          <w:p w14:paraId="714E6F17" w14:textId="77777777" w:rsidR="00B82049" w:rsidRPr="00C538E8" w:rsidRDefault="00B82049">
            <w:pPr>
              <w:pStyle w:val="TableHeading"/>
              <w:keepNext w:val="0"/>
              <w:widowControl w:val="0"/>
              <w:spacing w:before="40" w:after="40"/>
              <w:rPr>
                <w:b w:val="0"/>
                <w:szCs w:val="20"/>
              </w:rPr>
            </w:pPr>
            <w:r w:rsidRPr="00C538E8">
              <w:rPr>
                <w:b w:val="0"/>
                <w:szCs w:val="20"/>
              </w:rPr>
              <w:t>Comparator</w:t>
            </w:r>
          </w:p>
        </w:tc>
        <w:tc>
          <w:tcPr>
            <w:tcW w:w="7206" w:type="dxa"/>
            <w:tcBorders>
              <w:top w:val="single" w:sz="4" w:space="0" w:color="auto"/>
              <w:left w:val="single" w:sz="4" w:space="0" w:color="auto"/>
              <w:bottom w:val="single" w:sz="4" w:space="0" w:color="auto"/>
              <w:right w:val="single" w:sz="4" w:space="0" w:color="auto"/>
            </w:tcBorders>
          </w:tcPr>
          <w:p w14:paraId="0A3B0D7A" w14:textId="20B3125A" w:rsidR="00B82049" w:rsidRPr="00C538E8" w:rsidRDefault="00B82049">
            <w:pPr>
              <w:pStyle w:val="TableHeading"/>
              <w:keepNext w:val="0"/>
              <w:widowControl w:val="0"/>
              <w:spacing w:before="40" w:after="40"/>
              <w:rPr>
                <w:rFonts w:cs="Times New Roman"/>
                <w:b w:val="0"/>
                <w:szCs w:val="20"/>
              </w:rPr>
            </w:pPr>
            <w:r w:rsidRPr="00C538E8">
              <w:rPr>
                <w:b w:val="0"/>
                <w:szCs w:val="20"/>
              </w:rPr>
              <w:t>Base-case: weighted comparator of 75% BS</w:t>
            </w:r>
            <w:r w:rsidR="00412AB1">
              <w:rPr>
                <w:b w:val="0"/>
                <w:szCs w:val="20"/>
              </w:rPr>
              <w:t>c</w:t>
            </w:r>
            <w:r w:rsidRPr="00C538E8">
              <w:rPr>
                <w:b w:val="0"/>
                <w:szCs w:val="20"/>
              </w:rPr>
              <w:t xml:space="preserve"> and 25% cabazitaxel was made consistent with that previously considered for olaparib in mCRPC (olaparib PSD July 2021).</w:t>
            </w:r>
          </w:p>
        </w:tc>
      </w:tr>
      <w:tr w:rsidR="00B82049" w:rsidRPr="00C538E8" w14:paraId="721A0635" w14:textId="77777777">
        <w:tc>
          <w:tcPr>
            <w:tcW w:w="2003" w:type="dxa"/>
            <w:tcBorders>
              <w:top w:val="single" w:sz="4" w:space="0" w:color="auto"/>
              <w:left w:val="single" w:sz="4" w:space="0" w:color="auto"/>
              <w:bottom w:val="single" w:sz="4" w:space="0" w:color="auto"/>
              <w:right w:val="single" w:sz="4" w:space="0" w:color="auto"/>
            </w:tcBorders>
          </w:tcPr>
          <w:p w14:paraId="650BEC1B" w14:textId="77777777" w:rsidR="00B82049" w:rsidRPr="00C538E8" w:rsidRDefault="00B82049">
            <w:pPr>
              <w:pStyle w:val="TableHeading"/>
              <w:keepNext w:val="0"/>
              <w:widowControl w:val="0"/>
              <w:spacing w:before="40" w:after="40"/>
              <w:rPr>
                <w:b w:val="0"/>
                <w:szCs w:val="20"/>
              </w:rPr>
            </w:pPr>
            <w:r w:rsidRPr="00C538E8">
              <w:rPr>
                <w:b w:val="0"/>
                <w:szCs w:val="20"/>
              </w:rPr>
              <w:t>Type(s) of analysis</w:t>
            </w:r>
          </w:p>
        </w:tc>
        <w:tc>
          <w:tcPr>
            <w:tcW w:w="7206" w:type="dxa"/>
            <w:tcBorders>
              <w:top w:val="single" w:sz="4" w:space="0" w:color="auto"/>
              <w:left w:val="single" w:sz="4" w:space="0" w:color="auto"/>
              <w:bottom w:val="single" w:sz="4" w:space="0" w:color="auto"/>
              <w:right w:val="single" w:sz="4" w:space="0" w:color="auto"/>
            </w:tcBorders>
          </w:tcPr>
          <w:p w14:paraId="29DF2EFA" w14:textId="09B2258A" w:rsidR="00B82049" w:rsidRPr="00C538E8" w:rsidRDefault="00B82049">
            <w:pPr>
              <w:pStyle w:val="TableHeading"/>
              <w:keepNext w:val="0"/>
              <w:widowControl w:val="0"/>
              <w:spacing w:before="40" w:after="40"/>
              <w:rPr>
                <w:rFonts w:cs="Times New Roman"/>
                <w:b w:val="0"/>
                <w:szCs w:val="20"/>
              </w:rPr>
            </w:pPr>
            <w:r w:rsidRPr="00C538E8">
              <w:rPr>
                <w:b w:val="0"/>
                <w:szCs w:val="20"/>
              </w:rPr>
              <w:t>Cost-effectiveness analysis, and cost-utility analysis</w:t>
            </w:r>
          </w:p>
        </w:tc>
      </w:tr>
      <w:tr w:rsidR="00B82049" w:rsidRPr="00C538E8" w14:paraId="481713EA" w14:textId="77777777">
        <w:tc>
          <w:tcPr>
            <w:tcW w:w="2003" w:type="dxa"/>
            <w:tcBorders>
              <w:top w:val="single" w:sz="4" w:space="0" w:color="auto"/>
              <w:left w:val="single" w:sz="4" w:space="0" w:color="auto"/>
              <w:bottom w:val="single" w:sz="4" w:space="0" w:color="auto"/>
              <w:right w:val="single" w:sz="4" w:space="0" w:color="auto"/>
            </w:tcBorders>
          </w:tcPr>
          <w:p w14:paraId="6B6D13D7" w14:textId="77777777" w:rsidR="00B82049" w:rsidRPr="00C538E8" w:rsidRDefault="00B82049">
            <w:pPr>
              <w:pStyle w:val="TableHeading"/>
              <w:keepNext w:val="0"/>
              <w:widowControl w:val="0"/>
              <w:spacing w:before="40" w:after="40"/>
              <w:rPr>
                <w:b w:val="0"/>
                <w:szCs w:val="20"/>
              </w:rPr>
            </w:pPr>
            <w:r w:rsidRPr="00C538E8">
              <w:rPr>
                <w:b w:val="0"/>
                <w:szCs w:val="20"/>
              </w:rPr>
              <w:t>Outcomes</w:t>
            </w:r>
          </w:p>
        </w:tc>
        <w:tc>
          <w:tcPr>
            <w:tcW w:w="7206" w:type="dxa"/>
            <w:tcBorders>
              <w:top w:val="single" w:sz="4" w:space="0" w:color="auto"/>
              <w:left w:val="single" w:sz="4" w:space="0" w:color="auto"/>
              <w:bottom w:val="single" w:sz="4" w:space="0" w:color="auto"/>
              <w:right w:val="single" w:sz="4" w:space="0" w:color="auto"/>
            </w:tcBorders>
          </w:tcPr>
          <w:p w14:paraId="6104C6D0" w14:textId="77777777" w:rsidR="00B82049" w:rsidRPr="00C538E8" w:rsidRDefault="00B82049">
            <w:pPr>
              <w:pStyle w:val="TableText"/>
              <w:widowControl w:val="0"/>
              <w:rPr>
                <w:szCs w:val="20"/>
              </w:rPr>
            </w:pPr>
            <w:r w:rsidRPr="00C538E8">
              <w:rPr>
                <w:szCs w:val="20"/>
              </w:rPr>
              <w:t>Cost per life-year gained (cost/LYG)</w:t>
            </w:r>
          </w:p>
          <w:p w14:paraId="1A1F9154" w14:textId="0F4C1100" w:rsidR="00B82049" w:rsidRPr="00C538E8" w:rsidRDefault="00B82049">
            <w:pPr>
              <w:pStyle w:val="TableHeading"/>
              <w:keepNext w:val="0"/>
              <w:widowControl w:val="0"/>
              <w:spacing w:before="40" w:after="40"/>
              <w:rPr>
                <w:rFonts w:cs="Times New Roman"/>
                <w:b w:val="0"/>
                <w:szCs w:val="20"/>
              </w:rPr>
            </w:pPr>
            <w:r w:rsidRPr="00C538E8">
              <w:rPr>
                <w:b w:val="0"/>
                <w:szCs w:val="20"/>
              </w:rPr>
              <w:t>Cost per quality-adjusted life year (cost/QALY)</w:t>
            </w:r>
          </w:p>
        </w:tc>
      </w:tr>
      <w:tr w:rsidR="00B82049" w:rsidRPr="00C538E8" w14:paraId="65B8E27F" w14:textId="77777777">
        <w:tc>
          <w:tcPr>
            <w:tcW w:w="2003" w:type="dxa"/>
            <w:tcBorders>
              <w:top w:val="single" w:sz="4" w:space="0" w:color="auto"/>
              <w:left w:val="single" w:sz="4" w:space="0" w:color="auto"/>
              <w:bottom w:val="single" w:sz="4" w:space="0" w:color="auto"/>
              <w:right w:val="single" w:sz="4" w:space="0" w:color="auto"/>
            </w:tcBorders>
          </w:tcPr>
          <w:p w14:paraId="3863CE07" w14:textId="77777777" w:rsidR="00B82049" w:rsidRPr="00C538E8" w:rsidRDefault="00B82049">
            <w:pPr>
              <w:pStyle w:val="TableHeading"/>
              <w:keepNext w:val="0"/>
              <w:widowControl w:val="0"/>
              <w:spacing w:before="40" w:after="40"/>
              <w:rPr>
                <w:b w:val="0"/>
                <w:szCs w:val="20"/>
              </w:rPr>
            </w:pPr>
            <w:r w:rsidRPr="00C538E8">
              <w:rPr>
                <w:b w:val="0"/>
                <w:szCs w:val="20"/>
              </w:rPr>
              <w:t>Time horizon</w:t>
            </w:r>
          </w:p>
        </w:tc>
        <w:tc>
          <w:tcPr>
            <w:tcW w:w="7206" w:type="dxa"/>
            <w:tcBorders>
              <w:top w:val="single" w:sz="4" w:space="0" w:color="auto"/>
              <w:left w:val="single" w:sz="4" w:space="0" w:color="auto"/>
              <w:bottom w:val="single" w:sz="4" w:space="0" w:color="auto"/>
              <w:right w:val="single" w:sz="4" w:space="0" w:color="auto"/>
            </w:tcBorders>
          </w:tcPr>
          <w:p w14:paraId="24016CD5" w14:textId="634D78ED" w:rsidR="00B82049" w:rsidRPr="00C538E8" w:rsidRDefault="00B82049">
            <w:pPr>
              <w:pStyle w:val="TableHeading"/>
              <w:keepNext w:val="0"/>
              <w:widowControl w:val="0"/>
              <w:spacing w:before="40" w:after="40"/>
              <w:rPr>
                <w:rFonts w:cs="Times New Roman"/>
                <w:b w:val="0"/>
                <w:szCs w:val="20"/>
              </w:rPr>
            </w:pPr>
            <w:r w:rsidRPr="00C538E8">
              <w:rPr>
                <w:b w:val="0"/>
                <w:szCs w:val="20"/>
              </w:rPr>
              <w:t>7.5 years in the base-case</w:t>
            </w:r>
            <w:r>
              <w:rPr>
                <w:b w:val="0"/>
                <w:szCs w:val="20"/>
              </w:rPr>
              <w:t>,</w:t>
            </w:r>
            <w:r w:rsidRPr="00B82049">
              <w:rPr>
                <w:b w:val="0"/>
                <w:szCs w:val="20"/>
              </w:rPr>
              <w:t xml:space="preserve"> time horizon of 5 years </w:t>
            </w:r>
            <w:r>
              <w:rPr>
                <w:b w:val="0"/>
                <w:szCs w:val="20"/>
              </w:rPr>
              <w:t>in sensitivity analysis</w:t>
            </w:r>
          </w:p>
        </w:tc>
      </w:tr>
      <w:tr w:rsidR="00B82049" w:rsidRPr="00C538E8" w14:paraId="0142F3A2" w14:textId="77777777">
        <w:tc>
          <w:tcPr>
            <w:tcW w:w="2003" w:type="dxa"/>
            <w:tcBorders>
              <w:top w:val="single" w:sz="4" w:space="0" w:color="auto"/>
              <w:left w:val="single" w:sz="4" w:space="0" w:color="auto"/>
              <w:bottom w:val="single" w:sz="4" w:space="0" w:color="auto"/>
              <w:right w:val="single" w:sz="4" w:space="0" w:color="auto"/>
            </w:tcBorders>
          </w:tcPr>
          <w:p w14:paraId="00D6080B" w14:textId="77777777" w:rsidR="00B82049" w:rsidRPr="00C538E8" w:rsidRDefault="00B82049">
            <w:pPr>
              <w:pStyle w:val="TableHeading"/>
              <w:keepNext w:val="0"/>
              <w:widowControl w:val="0"/>
              <w:spacing w:before="40" w:after="40"/>
              <w:rPr>
                <w:b w:val="0"/>
                <w:szCs w:val="20"/>
              </w:rPr>
            </w:pPr>
            <w:r w:rsidRPr="00C538E8">
              <w:rPr>
                <w:b w:val="0"/>
                <w:szCs w:val="20"/>
              </w:rPr>
              <w:t>Computational method</w:t>
            </w:r>
          </w:p>
        </w:tc>
        <w:tc>
          <w:tcPr>
            <w:tcW w:w="7206" w:type="dxa"/>
            <w:tcBorders>
              <w:top w:val="single" w:sz="4" w:space="0" w:color="auto"/>
              <w:left w:val="single" w:sz="4" w:space="0" w:color="auto"/>
              <w:bottom w:val="single" w:sz="4" w:space="0" w:color="auto"/>
              <w:right w:val="single" w:sz="4" w:space="0" w:color="auto"/>
            </w:tcBorders>
          </w:tcPr>
          <w:p w14:paraId="34AD8E90" w14:textId="77777777" w:rsidR="00B82049" w:rsidRPr="00C538E8" w:rsidRDefault="00B82049">
            <w:pPr>
              <w:pStyle w:val="TableHeading"/>
              <w:keepNext w:val="0"/>
              <w:widowControl w:val="0"/>
              <w:spacing w:before="40" w:after="40"/>
              <w:rPr>
                <w:rFonts w:cs="Times New Roman"/>
                <w:b w:val="0"/>
                <w:szCs w:val="20"/>
              </w:rPr>
            </w:pPr>
            <w:r w:rsidRPr="00C538E8">
              <w:rPr>
                <w:b w:val="0"/>
                <w:szCs w:val="20"/>
              </w:rPr>
              <w:t>A hybrid model was developed where the PFS and OS data from VISION trial was apportioned to reflect the proportion of responders in Re-SPECT study</w:t>
            </w:r>
          </w:p>
        </w:tc>
      </w:tr>
      <w:tr w:rsidR="00B82049" w:rsidRPr="00C538E8" w14:paraId="58BF7B9F" w14:textId="77777777">
        <w:tc>
          <w:tcPr>
            <w:tcW w:w="2003" w:type="dxa"/>
            <w:tcBorders>
              <w:top w:val="single" w:sz="4" w:space="0" w:color="auto"/>
              <w:left w:val="single" w:sz="4" w:space="0" w:color="auto"/>
              <w:bottom w:val="single" w:sz="4" w:space="0" w:color="auto"/>
              <w:right w:val="single" w:sz="4" w:space="0" w:color="auto"/>
            </w:tcBorders>
          </w:tcPr>
          <w:p w14:paraId="00894A5C" w14:textId="77777777" w:rsidR="00B82049" w:rsidRPr="00C538E8" w:rsidRDefault="00B82049">
            <w:pPr>
              <w:pStyle w:val="TableHeading"/>
              <w:keepNext w:val="0"/>
              <w:widowControl w:val="0"/>
              <w:spacing w:before="40" w:after="40"/>
              <w:rPr>
                <w:b w:val="0"/>
                <w:szCs w:val="20"/>
              </w:rPr>
            </w:pPr>
            <w:r w:rsidRPr="00C538E8">
              <w:rPr>
                <w:b w:val="0"/>
                <w:szCs w:val="20"/>
              </w:rPr>
              <w:t>Generation of the base case</w:t>
            </w:r>
          </w:p>
        </w:tc>
        <w:tc>
          <w:tcPr>
            <w:tcW w:w="7206" w:type="dxa"/>
            <w:tcBorders>
              <w:top w:val="single" w:sz="4" w:space="0" w:color="auto"/>
              <w:left w:val="single" w:sz="4" w:space="0" w:color="auto"/>
              <w:bottom w:val="single" w:sz="4" w:space="0" w:color="auto"/>
              <w:right w:val="single" w:sz="4" w:space="0" w:color="auto"/>
            </w:tcBorders>
          </w:tcPr>
          <w:p w14:paraId="6D263F59" w14:textId="77777777" w:rsidR="00B82049" w:rsidRPr="00C538E8" w:rsidRDefault="00B82049">
            <w:pPr>
              <w:pStyle w:val="TableText"/>
              <w:widowControl w:val="0"/>
              <w:rPr>
                <w:szCs w:val="20"/>
              </w:rPr>
            </w:pPr>
            <w:r w:rsidRPr="00C538E8">
              <w:rPr>
                <w:szCs w:val="20"/>
              </w:rPr>
              <w:t xml:space="preserve">Outcomes of PFS and OS for </w:t>
            </w:r>
            <w:r w:rsidRPr="00AB739B">
              <w:rPr>
                <w:rFonts w:cs="Times New Roman"/>
                <w:bCs/>
                <w:szCs w:val="20"/>
                <w:vertAlign w:val="superscript"/>
              </w:rPr>
              <w:t>177</w:t>
            </w:r>
            <w:r w:rsidRPr="00AB739B">
              <w:rPr>
                <w:rFonts w:cs="Times New Roman"/>
                <w:bCs/>
                <w:szCs w:val="20"/>
              </w:rPr>
              <w:t>Lu</w:t>
            </w:r>
            <w:r>
              <w:rPr>
                <w:rFonts w:cs="Times New Roman"/>
                <w:b/>
                <w:bCs/>
                <w:szCs w:val="20"/>
              </w:rPr>
              <w:t> </w:t>
            </w:r>
            <w:r w:rsidRPr="00B82049">
              <w:rPr>
                <w:rFonts w:cs="Times New Roman"/>
                <w:bCs/>
                <w:szCs w:val="20"/>
              </w:rPr>
              <w:t>PSMA i&amp;t:</w:t>
            </w:r>
            <w:r w:rsidRPr="00AB739B">
              <w:rPr>
                <w:rFonts w:cs="Times New Roman"/>
                <w:bCs/>
                <w:szCs w:val="20"/>
              </w:rPr>
              <w:t xml:space="preserve"> </w:t>
            </w:r>
            <w:r w:rsidRPr="00C538E8">
              <w:rPr>
                <w:szCs w:val="20"/>
              </w:rPr>
              <w:t xml:space="preserve">were sourced directly from the </w:t>
            </w:r>
            <w:r w:rsidRPr="00C538E8">
              <w:rPr>
                <w:szCs w:val="20"/>
                <w:vertAlign w:val="superscript"/>
              </w:rPr>
              <w:t>177</w:t>
            </w:r>
            <w:r w:rsidRPr="00C538E8">
              <w:rPr>
                <w:szCs w:val="20"/>
              </w:rPr>
              <w:t>Lu</w:t>
            </w:r>
            <w:r>
              <w:rPr>
                <w:szCs w:val="20"/>
              </w:rPr>
              <w:t> </w:t>
            </w:r>
            <w:r w:rsidRPr="00C538E8">
              <w:rPr>
                <w:szCs w:val="20"/>
              </w:rPr>
              <w:t>PSMA</w:t>
            </w:r>
            <w:r>
              <w:rPr>
                <w:szCs w:val="20"/>
              </w:rPr>
              <w:t> </w:t>
            </w:r>
            <w:r w:rsidRPr="00C538E8">
              <w:rPr>
                <w:szCs w:val="20"/>
              </w:rPr>
              <w:t xml:space="preserve">617 KM (ITT) data from VISION (Sartor, 2021a). Parametric functions were fitted to </w:t>
            </w:r>
            <w:r w:rsidRPr="00C538E8">
              <w:rPr>
                <w:szCs w:val="20"/>
                <w:vertAlign w:val="superscript"/>
              </w:rPr>
              <w:t>177</w:t>
            </w:r>
            <w:r w:rsidRPr="00C538E8">
              <w:rPr>
                <w:szCs w:val="20"/>
              </w:rPr>
              <w:t>Lu</w:t>
            </w:r>
            <w:r>
              <w:rPr>
                <w:szCs w:val="20"/>
              </w:rPr>
              <w:t> </w:t>
            </w:r>
            <w:r w:rsidRPr="00C538E8">
              <w:rPr>
                <w:szCs w:val="20"/>
              </w:rPr>
              <w:t>PSMA</w:t>
            </w:r>
            <w:r>
              <w:rPr>
                <w:szCs w:val="20"/>
              </w:rPr>
              <w:t> </w:t>
            </w:r>
            <w:r w:rsidRPr="00C538E8">
              <w:rPr>
                <w:szCs w:val="20"/>
              </w:rPr>
              <w:t xml:space="preserve">617 KM data (from t=0) to extrapolate PFS and </w:t>
            </w:r>
            <w:r>
              <w:rPr>
                <w:szCs w:val="20"/>
              </w:rPr>
              <w:t>OS.</w:t>
            </w:r>
          </w:p>
          <w:p w14:paraId="6F59393B" w14:textId="77777777" w:rsidR="00B82049" w:rsidRPr="00C538E8" w:rsidRDefault="00B82049">
            <w:pPr>
              <w:pStyle w:val="TableText"/>
              <w:widowControl w:val="0"/>
              <w:rPr>
                <w:szCs w:val="20"/>
              </w:rPr>
            </w:pPr>
            <w:r w:rsidRPr="00C538E8">
              <w:rPr>
                <w:szCs w:val="20"/>
              </w:rPr>
              <w:t xml:space="preserve">To model </w:t>
            </w:r>
            <w:r w:rsidRPr="00AB739B">
              <w:rPr>
                <w:rFonts w:cs="Times New Roman"/>
                <w:bCs/>
                <w:szCs w:val="20"/>
                <w:vertAlign w:val="superscript"/>
              </w:rPr>
              <w:t>177</w:t>
            </w:r>
            <w:r w:rsidRPr="00AB739B">
              <w:rPr>
                <w:rFonts w:cs="Times New Roman"/>
                <w:bCs/>
                <w:szCs w:val="20"/>
              </w:rPr>
              <w:t>Lu</w:t>
            </w:r>
            <w:r>
              <w:rPr>
                <w:rFonts w:cs="Times New Roman"/>
                <w:b/>
                <w:bCs/>
                <w:szCs w:val="20"/>
              </w:rPr>
              <w:t> </w:t>
            </w:r>
            <w:r w:rsidRPr="00AB739B">
              <w:rPr>
                <w:rFonts w:cs="Times New Roman"/>
                <w:bCs/>
                <w:szCs w:val="20"/>
              </w:rPr>
              <w:t>PSMA</w:t>
            </w:r>
            <w:r>
              <w:rPr>
                <w:rFonts w:cs="Times New Roman"/>
                <w:b/>
                <w:bCs/>
                <w:szCs w:val="20"/>
              </w:rPr>
              <w:t> </w:t>
            </w:r>
            <w:r w:rsidRPr="00B82049">
              <w:rPr>
                <w:rFonts w:cs="Times New Roman"/>
                <w:szCs w:val="20"/>
              </w:rPr>
              <w:t>i&amp;t</w:t>
            </w:r>
            <w:r w:rsidRPr="00AB739B">
              <w:rPr>
                <w:rFonts w:cs="Times New Roman"/>
                <w:bCs/>
                <w:szCs w:val="20"/>
              </w:rPr>
              <w:t xml:space="preserve">: </w:t>
            </w:r>
            <w:r w:rsidRPr="00C538E8">
              <w:rPr>
                <w:szCs w:val="20"/>
              </w:rPr>
              <w:t>outcomes:</w:t>
            </w:r>
          </w:p>
          <w:p w14:paraId="4CF58F08" w14:textId="77777777" w:rsidR="00B82049" w:rsidRPr="00C538E8" w:rsidRDefault="00B82049">
            <w:pPr>
              <w:pStyle w:val="TableText"/>
              <w:widowControl w:val="0"/>
              <w:rPr>
                <w:szCs w:val="20"/>
              </w:rPr>
            </w:pPr>
            <w:r w:rsidRPr="00C538E8">
              <w:rPr>
                <w:szCs w:val="20"/>
              </w:rPr>
              <w:t xml:space="preserve">PFS and OS KM data for </w:t>
            </w:r>
            <w:r w:rsidRPr="00C538E8">
              <w:rPr>
                <w:szCs w:val="20"/>
                <w:vertAlign w:val="superscript"/>
              </w:rPr>
              <w:t>177</w:t>
            </w:r>
            <w:r w:rsidRPr="00C538E8">
              <w:rPr>
                <w:szCs w:val="20"/>
              </w:rPr>
              <w:t>Lu</w:t>
            </w:r>
            <w:r>
              <w:rPr>
                <w:szCs w:val="20"/>
              </w:rPr>
              <w:t> </w:t>
            </w:r>
            <w:r w:rsidRPr="00C538E8">
              <w:rPr>
                <w:szCs w:val="20"/>
              </w:rPr>
              <w:t>PSMA</w:t>
            </w:r>
            <w:r>
              <w:rPr>
                <w:szCs w:val="20"/>
              </w:rPr>
              <w:t> </w:t>
            </w:r>
            <w:r w:rsidRPr="00C538E8">
              <w:rPr>
                <w:szCs w:val="20"/>
              </w:rPr>
              <w:t>617 was used until 20.9 months (median follow-up of VISION as reported in Sartor (2021a)). Beyond 20.9 months, parametric functions were used. The selection of parametric extrapolation was based on goodness-of-fit and clinical plausibility (as per ADAR</w:t>
            </w:r>
            <w:r>
              <w:rPr>
                <w:szCs w:val="20"/>
              </w:rPr>
              <w:t>s</w:t>
            </w:r>
            <w:r w:rsidRPr="00C538E8">
              <w:rPr>
                <w:szCs w:val="20"/>
              </w:rPr>
              <w:t>).</w:t>
            </w:r>
          </w:p>
          <w:p w14:paraId="037D16D4" w14:textId="10D3CE8E" w:rsidR="00B82049" w:rsidRPr="00C538E8" w:rsidRDefault="00B82049">
            <w:pPr>
              <w:pStyle w:val="TableText"/>
              <w:widowControl w:val="0"/>
              <w:rPr>
                <w:szCs w:val="20"/>
              </w:rPr>
            </w:pPr>
            <w:r w:rsidRPr="00C538E8">
              <w:rPr>
                <w:szCs w:val="20"/>
              </w:rPr>
              <w:t>To model cabazitaxel/BS</w:t>
            </w:r>
            <w:r w:rsidR="00BD05F7">
              <w:rPr>
                <w:szCs w:val="20"/>
              </w:rPr>
              <w:t>c</w:t>
            </w:r>
            <w:r w:rsidRPr="00C538E8">
              <w:rPr>
                <w:szCs w:val="20"/>
              </w:rPr>
              <w:t xml:space="preserve"> outcomes:</w:t>
            </w:r>
          </w:p>
          <w:p w14:paraId="1341A765" w14:textId="1557323A" w:rsidR="00B82049" w:rsidRPr="00C538E8" w:rsidRDefault="00B82049">
            <w:pPr>
              <w:pStyle w:val="TableHeading"/>
              <w:keepNext w:val="0"/>
              <w:widowControl w:val="0"/>
              <w:spacing w:before="40" w:after="40"/>
              <w:rPr>
                <w:rFonts w:cs="Times New Roman"/>
                <w:b w:val="0"/>
                <w:szCs w:val="20"/>
              </w:rPr>
            </w:pPr>
            <w:r w:rsidRPr="00C538E8">
              <w:rPr>
                <w:b w:val="0"/>
                <w:szCs w:val="20"/>
              </w:rPr>
              <w:t>Proportional hazards approach was adopted whereby hazard ratios for PFS and OS from TheraP and VISION (Hofman 2021</w:t>
            </w:r>
            <w:r w:rsidR="00E7354C">
              <w:rPr>
                <w:rStyle w:val="FootnoteReference"/>
                <w:b w:val="0"/>
                <w:szCs w:val="20"/>
              </w:rPr>
              <w:footnoteReference w:id="9"/>
            </w:r>
            <w:r w:rsidRPr="00C538E8">
              <w:rPr>
                <w:b w:val="0"/>
                <w:szCs w:val="20"/>
              </w:rPr>
              <w:t xml:space="preserve">, Sartor, 2021a) were applied to the modelled PFS and OS in the </w:t>
            </w:r>
            <w:r w:rsidRPr="00AB739B">
              <w:rPr>
                <w:rFonts w:cs="Times New Roman"/>
                <w:b w:val="0"/>
                <w:bCs/>
                <w:szCs w:val="20"/>
                <w:vertAlign w:val="superscript"/>
              </w:rPr>
              <w:t>177</w:t>
            </w:r>
            <w:r w:rsidRPr="00AB739B">
              <w:rPr>
                <w:rFonts w:cs="Times New Roman"/>
                <w:b w:val="0"/>
                <w:bCs/>
                <w:szCs w:val="20"/>
              </w:rPr>
              <w:t>Lu</w:t>
            </w:r>
            <w:r>
              <w:rPr>
                <w:rFonts w:cs="Times New Roman"/>
                <w:b w:val="0"/>
                <w:bCs/>
                <w:szCs w:val="20"/>
              </w:rPr>
              <w:t> </w:t>
            </w:r>
            <w:r w:rsidRPr="00AB739B">
              <w:rPr>
                <w:rFonts w:cs="Times New Roman"/>
                <w:b w:val="0"/>
                <w:bCs/>
                <w:szCs w:val="20"/>
              </w:rPr>
              <w:t>PSMA</w:t>
            </w:r>
            <w:r w:rsidRPr="00B82049">
              <w:rPr>
                <w:rFonts w:cs="Times New Roman"/>
                <w:szCs w:val="20"/>
              </w:rPr>
              <w:t> </w:t>
            </w:r>
            <w:r w:rsidRPr="00B82049">
              <w:rPr>
                <w:rFonts w:cs="Times New Roman"/>
                <w:b w:val="0"/>
                <w:bCs/>
                <w:szCs w:val="20"/>
              </w:rPr>
              <w:t>i&amp;t.</w:t>
            </w:r>
          </w:p>
        </w:tc>
      </w:tr>
      <w:tr w:rsidR="00B82049" w:rsidRPr="00C538E8" w14:paraId="7A06CE7F" w14:textId="77777777">
        <w:tc>
          <w:tcPr>
            <w:tcW w:w="2003" w:type="dxa"/>
            <w:tcBorders>
              <w:top w:val="single" w:sz="4" w:space="0" w:color="auto"/>
              <w:left w:val="single" w:sz="4" w:space="0" w:color="auto"/>
              <w:bottom w:val="single" w:sz="4" w:space="0" w:color="auto"/>
              <w:right w:val="single" w:sz="4" w:space="0" w:color="auto"/>
            </w:tcBorders>
          </w:tcPr>
          <w:p w14:paraId="44F669DD" w14:textId="77777777" w:rsidR="00B82049" w:rsidRPr="00C538E8" w:rsidRDefault="00B82049">
            <w:pPr>
              <w:pStyle w:val="TableHeading"/>
              <w:keepNext w:val="0"/>
              <w:widowControl w:val="0"/>
              <w:spacing w:before="40" w:after="40"/>
              <w:rPr>
                <w:b w:val="0"/>
                <w:szCs w:val="20"/>
              </w:rPr>
            </w:pPr>
            <w:r w:rsidRPr="00C538E8">
              <w:rPr>
                <w:b w:val="0"/>
                <w:szCs w:val="20"/>
              </w:rPr>
              <w:t>Health states</w:t>
            </w:r>
          </w:p>
        </w:tc>
        <w:tc>
          <w:tcPr>
            <w:tcW w:w="7206" w:type="dxa"/>
            <w:tcBorders>
              <w:top w:val="single" w:sz="4" w:space="0" w:color="auto"/>
              <w:left w:val="single" w:sz="4" w:space="0" w:color="auto"/>
              <w:bottom w:val="single" w:sz="4" w:space="0" w:color="auto"/>
              <w:right w:val="single" w:sz="4" w:space="0" w:color="auto"/>
            </w:tcBorders>
          </w:tcPr>
          <w:p w14:paraId="35362A70" w14:textId="2848EA13" w:rsidR="00B82049" w:rsidRPr="00C538E8" w:rsidRDefault="00B82049">
            <w:pPr>
              <w:pStyle w:val="TableHeading"/>
              <w:keepNext w:val="0"/>
              <w:widowControl w:val="0"/>
              <w:spacing w:before="40" w:after="40"/>
              <w:rPr>
                <w:rFonts w:cs="Times New Roman"/>
                <w:b w:val="0"/>
                <w:szCs w:val="20"/>
              </w:rPr>
            </w:pPr>
            <w:r w:rsidRPr="00C538E8">
              <w:rPr>
                <w:rFonts w:cs="Times New Roman"/>
                <w:b w:val="0"/>
                <w:szCs w:val="20"/>
              </w:rPr>
              <w:t>Three health states: progression-free survival, progressed disease and death</w:t>
            </w:r>
          </w:p>
        </w:tc>
      </w:tr>
      <w:tr w:rsidR="00B82049" w:rsidRPr="00C538E8" w14:paraId="6592BB4C" w14:textId="77777777">
        <w:tc>
          <w:tcPr>
            <w:tcW w:w="2003" w:type="dxa"/>
            <w:tcBorders>
              <w:top w:val="single" w:sz="4" w:space="0" w:color="auto"/>
              <w:left w:val="single" w:sz="4" w:space="0" w:color="auto"/>
              <w:bottom w:val="single" w:sz="4" w:space="0" w:color="auto"/>
              <w:right w:val="single" w:sz="4" w:space="0" w:color="auto"/>
            </w:tcBorders>
          </w:tcPr>
          <w:p w14:paraId="722CC6BC" w14:textId="77777777" w:rsidR="00B82049" w:rsidRPr="00C538E8" w:rsidRDefault="00B82049">
            <w:pPr>
              <w:pStyle w:val="TableHeading"/>
              <w:keepNext w:val="0"/>
              <w:widowControl w:val="0"/>
              <w:spacing w:before="40" w:after="40"/>
              <w:rPr>
                <w:b w:val="0"/>
                <w:szCs w:val="20"/>
              </w:rPr>
            </w:pPr>
            <w:r w:rsidRPr="00C538E8">
              <w:rPr>
                <w:b w:val="0"/>
                <w:szCs w:val="20"/>
              </w:rPr>
              <w:t>Cycle length</w:t>
            </w:r>
          </w:p>
        </w:tc>
        <w:tc>
          <w:tcPr>
            <w:tcW w:w="7206" w:type="dxa"/>
            <w:tcBorders>
              <w:top w:val="single" w:sz="4" w:space="0" w:color="auto"/>
              <w:left w:val="single" w:sz="4" w:space="0" w:color="auto"/>
              <w:bottom w:val="single" w:sz="4" w:space="0" w:color="auto"/>
              <w:right w:val="single" w:sz="4" w:space="0" w:color="auto"/>
            </w:tcBorders>
          </w:tcPr>
          <w:p w14:paraId="007A0EB4" w14:textId="2B942058" w:rsidR="00B82049" w:rsidRPr="00C538E8" w:rsidRDefault="00B82049">
            <w:pPr>
              <w:pStyle w:val="TableHeading"/>
              <w:keepNext w:val="0"/>
              <w:widowControl w:val="0"/>
              <w:spacing w:before="40" w:after="40"/>
              <w:rPr>
                <w:rFonts w:cs="Times New Roman"/>
                <w:b w:val="0"/>
                <w:szCs w:val="20"/>
              </w:rPr>
            </w:pPr>
            <w:r w:rsidRPr="00C538E8">
              <w:rPr>
                <w:rFonts w:cs="Arial"/>
                <w:b w:val="0"/>
                <w:szCs w:val="20"/>
              </w:rPr>
              <w:t>1 week</w:t>
            </w:r>
          </w:p>
        </w:tc>
      </w:tr>
      <w:tr w:rsidR="00B82049" w:rsidRPr="00C538E8" w14:paraId="7EED08F0" w14:textId="77777777">
        <w:tc>
          <w:tcPr>
            <w:tcW w:w="2003" w:type="dxa"/>
            <w:tcBorders>
              <w:top w:val="single" w:sz="4" w:space="0" w:color="auto"/>
              <w:left w:val="single" w:sz="4" w:space="0" w:color="auto"/>
              <w:bottom w:val="single" w:sz="4" w:space="0" w:color="auto"/>
              <w:right w:val="single" w:sz="4" w:space="0" w:color="auto"/>
            </w:tcBorders>
          </w:tcPr>
          <w:p w14:paraId="49283D62" w14:textId="77777777" w:rsidR="00B82049" w:rsidRPr="00C538E8" w:rsidRDefault="00B82049">
            <w:pPr>
              <w:pStyle w:val="TableHeading"/>
              <w:keepNext w:val="0"/>
              <w:widowControl w:val="0"/>
              <w:spacing w:before="40" w:after="40"/>
              <w:rPr>
                <w:b w:val="0"/>
                <w:szCs w:val="20"/>
              </w:rPr>
            </w:pPr>
            <w:r w:rsidRPr="00C538E8">
              <w:rPr>
                <w:b w:val="0"/>
                <w:szCs w:val="20"/>
              </w:rPr>
              <w:t xml:space="preserve">Patients’ transition though health states </w:t>
            </w:r>
          </w:p>
        </w:tc>
        <w:tc>
          <w:tcPr>
            <w:tcW w:w="7206" w:type="dxa"/>
            <w:tcBorders>
              <w:top w:val="single" w:sz="4" w:space="0" w:color="auto"/>
              <w:left w:val="single" w:sz="4" w:space="0" w:color="auto"/>
              <w:bottom w:val="single" w:sz="4" w:space="0" w:color="auto"/>
              <w:right w:val="single" w:sz="4" w:space="0" w:color="auto"/>
            </w:tcBorders>
          </w:tcPr>
          <w:p w14:paraId="33DEA1AC" w14:textId="1E5F0531" w:rsidR="00B82049" w:rsidRPr="00C538E8" w:rsidRDefault="00B82049">
            <w:pPr>
              <w:pStyle w:val="TableHeading"/>
              <w:keepNext w:val="0"/>
              <w:widowControl w:val="0"/>
              <w:spacing w:before="40" w:after="40"/>
              <w:rPr>
                <w:rFonts w:cs="Times New Roman"/>
                <w:b w:val="0"/>
                <w:szCs w:val="20"/>
              </w:rPr>
            </w:pPr>
            <w:r w:rsidRPr="00C538E8">
              <w:rPr>
                <w:b w:val="0"/>
                <w:szCs w:val="20"/>
              </w:rPr>
              <w:t xml:space="preserve">Health state allocation over time determined by PFS and OS data. PFS and OS data for </w:t>
            </w:r>
            <w:r w:rsidRPr="00AB739B">
              <w:rPr>
                <w:rFonts w:cs="Times New Roman"/>
                <w:b w:val="0"/>
                <w:bCs/>
                <w:szCs w:val="20"/>
                <w:vertAlign w:val="superscript"/>
              </w:rPr>
              <w:t>177</w:t>
            </w:r>
            <w:r w:rsidRPr="00AB739B">
              <w:rPr>
                <w:rFonts w:cs="Times New Roman"/>
                <w:b w:val="0"/>
                <w:bCs/>
                <w:szCs w:val="20"/>
              </w:rPr>
              <w:t>Lu</w:t>
            </w:r>
            <w:r>
              <w:rPr>
                <w:rFonts w:cs="Times New Roman"/>
                <w:b w:val="0"/>
                <w:bCs/>
                <w:szCs w:val="20"/>
              </w:rPr>
              <w:t> </w:t>
            </w:r>
            <w:r w:rsidRPr="00AB739B">
              <w:rPr>
                <w:rFonts w:cs="Times New Roman"/>
                <w:b w:val="0"/>
                <w:bCs/>
                <w:szCs w:val="20"/>
              </w:rPr>
              <w:t>PSMA</w:t>
            </w:r>
            <w:r>
              <w:rPr>
                <w:rFonts w:cs="Times New Roman"/>
                <w:b w:val="0"/>
                <w:bCs/>
                <w:szCs w:val="20"/>
              </w:rPr>
              <w:t> i&amp;t</w:t>
            </w:r>
            <w:r w:rsidRPr="00AB739B">
              <w:rPr>
                <w:rFonts w:cs="Times New Roman"/>
                <w:b w:val="0"/>
                <w:bCs/>
                <w:szCs w:val="20"/>
              </w:rPr>
              <w:t xml:space="preserve">: </w:t>
            </w:r>
            <w:r w:rsidRPr="00C538E8">
              <w:rPr>
                <w:b w:val="0"/>
                <w:szCs w:val="20"/>
              </w:rPr>
              <w:t>were sourced from VISION representing a median follow-up of 20.9 months</w:t>
            </w:r>
            <w:r>
              <w:rPr>
                <w:b w:val="0"/>
                <w:szCs w:val="20"/>
              </w:rPr>
              <w:t xml:space="preserve">. </w:t>
            </w:r>
            <w:r w:rsidRPr="00C538E8">
              <w:rPr>
                <w:rFonts w:cs="Times New Roman"/>
                <w:b w:val="0"/>
                <w:szCs w:val="20"/>
              </w:rPr>
              <w:t xml:space="preserve">transitions for the second </w:t>
            </w:r>
            <w:r w:rsidRPr="00AB739B">
              <w:rPr>
                <w:rFonts w:cs="Times New Roman"/>
                <w:b w:val="0"/>
                <w:bCs/>
                <w:szCs w:val="20"/>
                <w:vertAlign w:val="superscript"/>
              </w:rPr>
              <w:t>177</w:t>
            </w:r>
            <w:r w:rsidRPr="00AB739B">
              <w:rPr>
                <w:rFonts w:cs="Times New Roman"/>
                <w:b w:val="0"/>
                <w:bCs/>
                <w:szCs w:val="20"/>
              </w:rPr>
              <w:t>Lu</w:t>
            </w:r>
            <w:r>
              <w:rPr>
                <w:rFonts w:cs="Times New Roman"/>
                <w:b w:val="0"/>
                <w:bCs/>
                <w:szCs w:val="20"/>
              </w:rPr>
              <w:t> </w:t>
            </w:r>
            <w:r w:rsidRPr="00AB739B">
              <w:rPr>
                <w:rFonts w:cs="Times New Roman"/>
                <w:b w:val="0"/>
                <w:bCs/>
                <w:szCs w:val="20"/>
              </w:rPr>
              <w:t>PSMA</w:t>
            </w:r>
            <w:r>
              <w:rPr>
                <w:rFonts w:cs="Times New Roman"/>
                <w:b w:val="0"/>
                <w:bCs/>
                <w:szCs w:val="20"/>
              </w:rPr>
              <w:t> i&amp;t</w:t>
            </w:r>
            <w:r w:rsidRPr="00C538E8">
              <w:rPr>
                <w:rFonts w:cs="Times New Roman"/>
                <w:b w:val="0"/>
                <w:szCs w:val="20"/>
              </w:rPr>
              <w:t xml:space="preserve"> treatment strategy is derived from PFS and OS comparator data</w:t>
            </w:r>
          </w:p>
        </w:tc>
      </w:tr>
      <w:tr w:rsidR="00B82049" w:rsidRPr="00C538E8" w14:paraId="143DA3E1" w14:textId="77777777">
        <w:tc>
          <w:tcPr>
            <w:tcW w:w="2003" w:type="dxa"/>
            <w:tcBorders>
              <w:top w:val="single" w:sz="4" w:space="0" w:color="auto"/>
              <w:left w:val="single" w:sz="4" w:space="0" w:color="auto"/>
              <w:bottom w:val="single" w:sz="4" w:space="0" w:color="auto"/>
              <w:right w:val="single" w:sz="4" w:space="0" w:color="auto"/>
            </w:tcBorders>
          </w:tcPr>
          <w:p w14:paraId="667CEE00" w14:textId="77777777" w:rsidR="00B82049" w:rsidRPr="00C538E8" w:rsidRDefault="00B82049">
            <w:pPr>
              <w:pStyle w:val="TableHeading"/>
              <w:keepNext w:val="0"/>
              <w:widowControl w:val="0"/>
              <w:spacing w:before="40" w:after="40"/>
              <w:rPr>
                <w:b w:val="0"/>
                <w:szCs w:val="20"/>
              </w:rPr>
            </w:pPr>
            <w:r w:rsidRPr="00C538E8">
              <w:rPr>
                <w:rFonts w:cs="Times New Roman"/>
                <w:b w:val="0"/>
                <w:szCs w:val="20"/>
              </w:rPr>
              <w:t>Costs</w:t>
            </w:r>
          </w:p>
        </w:tc>
        <w:tc>
          <w:tcPr>
            <w:tcW w:w="7206" w:type="dxa"/>
            <w:tcBorders>
              <w:top w:val="single" w:sz="4" w:space="0" w:color="auto"/>
              <w:left w:val="single" w:sz="4" w:space="0" w:color="auto"/>
              <w:bottom w:val="single" w:sz="4" w:space="0" w:color="auto"/>
              <w:right w:val="single" w:sz="4" w:space="0" w:color="auto"/>
            </w:tcBorders>
          </w:tcPr>
          <w:p w14:paraId="1E112ED0" w14:textId="77777777" w:rsidR="00B82049" w:rsidRPr="00C538E8" w:rsidRDefault="00B82049">
            <w:pPr>
              <w:pStyle w:val="TableHeading"/>
              <w:keepNext w:val="0"/>
              <w:widowControl w:val="0"/>
              <w:spacing w:before="40" w:after="40"/>
              <w:rPr>
                <w:rFonts w:cs="Times New Roman"/>
                <w:b w:val="0"/>
                <w:szCs w:val="20"/>
              </w:rPr>
            </w:pPr>
            <w:r w:rsidRPr="00C538E8">
              <w:rPr>
                <w:rFonts w:cs="Times New Roman"/>
                <w:b w:val="0"/>
                <w:szCs w:val="20"/>
              </w:rPr>
              <w:t>Updated to January 2023 costs</w:t>
            </w:r>
          </w:p>
        </w:tc>
      </w:tr>
      <w:tr w:rsidR="00B82049" w:rsidRPr="00C538E8" w14:paraId="243894ED" w14:textId="77777777">
        <w:tc>
          <w:tcPr>
            <w:tcW w:w="2003" w:type="dxa"/>
            <w:tcBorders>
              <w:top w:val="single" w:sz="4" w:space="0" w:color="auto"/>
              <w:left w:val="single" w:sz="4" w:space="0" w:color="auto"/>
              <w:bottom w:val="single" w:sz="4" w:space="0" w:color="auto"/>
              <w:right w:val="single" w:sz="4" w:space="0" w:color="auto"/>
            </w:tcBorders>
          </w:tcPr>
          <w:p w14:paraId="1BC498B3" w14:textId="77777777" w:rsidR="00B82049" w:rsidRPr="00C538E8" w:rsidRDefault="00B82049">
            <w:pPr>
              <w:pStyle w:val="TableHeading"/>
              <w:keepNext w:val="0"/>
              <w:widowControl w:val="0"/>
              <w:spacing w:before="40" w:after="40"/>
              <w:rPr>
                <w:b w:val="0"/>
                <w:szCs w:val="20"/>
              </w:rPr>
            </w:pPr>
            <w:r w:rsidRPr="00C538E8">
              <w:rPr>
                <w:b w:val="0"/>
                <w:szCs w:val="20"/>
              </w:rPr>
              <w:t>Discount rate</w:t>
            </w:r>
          </w:p>
        </w:tc>
        <w:tc>
          <w:tcPr>
            <w:tcW w:w="7206" w:type="dxa"/>
            <w:tcBorders>
              <w:top w:val="single" w:sz="4" w:space="0" w:color="auto"/>
              <w:left w:val="single" w:sz="4" w:space="0" w:color="auto"/>
              <w:bottom w:val="single" w:sz="4" w:space="0" w:color="auto"/>
              <w:right w:val="single" w:sz="4" w:space="0" w:color="auto"/>
            </w:tcBorders>
          </w:tcPr>
          <w:p w14:paraId="3414FCF2" w14:textId="65338A4F" w:rsidR="00B82049" w:rsidRPr="00C538E8" w:rsidRDefault="00B82049">
            <w:pPr>
              <w:pStyle w:val="TableHeading"/>
              <w:keepNext w:val="0"/>
              <w:widowControl w:val="0"/>
              <w:spacing w:before="40" w:after="40"/>
              <w:rPr>
                <w:rFonts w:cs="Times New Roman"/>
                <w:b w:val="0"/>
                <w:szCs w:val="20"/>
              </w:rPr>
            </w:pPr>
            <w:r w:rsidRPr="00C538E8">
              <w:rPr>
                <w:b w:val="0"/>
                <w:szCs w:val="20"/>
              </w:rPr>
              <w:t>5% for both costs and outcomes</w:t>
            </w:r>
          </w:p>
        </w:tc>
      </w:tr>
      <w:tr w:rsidR="00B82049" w:rsidRPr="00C538E8" w14:paraId="7CD9ABAE" w14:textId="77777777">
        <w:tc>
          <w:tcPr>
            <w:tcW w:w="2003" w:type="dxa"/>
            <w:tcBorders>
              <w:top w:val="single" w:sz="4" w:space="0" w:color="auto"/>
              <w:left w:val="single" w:sz="4" w:space="0" w:color="auto"/>
              <w:bottom w:val="single" w:sz="4" w:space="0" w:color="auto"/>
              <w:right w:val="single" w:sz="4" w:space="0" w:color="auto"/>
            </w:tcBorders>
          </w:tcPr>
          <w:p w14:paraId="29B606BD" w14:textId="77777777" w:rsidR="00B82049" w:rsidRPr="00C83622" w:rsidRDefault="00B82049">
            <w:pPr>
              <w:pStyle w:val="TableHeading"/>
              <w:keepNext w:val="0"/>
              <w:widowControl w:val="0"/>
              <w:spacing w:before="40" w:after="40"/>
              <w:rPr>
                <w:b w:val="0"/>
                <w:szCs w:val="20"/>
              </w:rPr>
            </w:pPr>
            <w:r w:rsidRPr="00C83622">
              <w:rPr>
                <w:b w:val="0"/>
                <w:szCs w:val="20"/>
              </w:rPr>
              <w:t>Software</w:t>
            </w:r>
          </w:p>
        </w:tc>
        <w:tc>
          <w:tcPr>
            <w:tcW w:w="7206" w:type="dxa"/>
            <w:tcBorders>
              <w:top w:val="single" w:sz="4" w:space="0" w:color="auto"/>
              <w:left w:val="single" w:sz="4" w:space="0" w:color="auto"/>
              <w:bottom w:val="single" w:sz="4" w:space="0" w:color="auto"/>
              <w:right w:val="single" w:sz="4" w:space="0" w:color="auto"/>
            </w:tcBorders>
          </w:tcPr>
          <w:p w14:paraId="311B3C00" w14:textId="7D0BCC8A" w:rsidR="00B82049" w:rsidRPr="00C83622" w:rsidRDefault="00B82049">
            <w:pPr>
              <w:pStyle w:val="TableHeading"/>
              <w:keepNext w:val="0"/>
              <w:widowControl w:val="0"/>
              <w:spacing w:before="40" w:after="40"/>
              <w:rPr>
                <w:rFonts w:cs="Times New Roman"/>
                <w:b w:val="0"/>
                <w:szCs w:val="20"/>
              </w:rPr>
            </w:pPr>
            <w:r w:rsidRPr="00C83622">
              <w:rPr>
                <w:b w:val="0"/>
                <w:szCs w:val="20"/>
              </w:rPr>
              <w:t>Microsoft Excel</w:t>
            </w:r>
          </w:p>
        </w:tc>
      </w:tr>
    </w:tbl>
    <w:p w14:paraId="6E60AC2F" w14:textId="77777777" w:rsidR="00443961" w:rsidRDefault="00443961">
      <w:pPr>
        <w:spacing w:before="0"/>
        <w:rPr>
          <w:rFonts w:ascii="Arial Narrow" w:eastAsia="Times New Roman" w:hAnsi="Arial Narrow" w:cs="Times New Roman"/>
          <w:b/>
          <w:bCs/>
          <w:sz w:val="20"/>
          <w:szCs w:val="20"/>
        </w:rPr>
      </w:pPr>
      <w:bookmarkStart w:id="31" w:name="_Ref150949039"/>
      <w:r>
        <w:br w:type="page"/>
      </w:r>
    </w:p>
    <w:p w14:paraId="07275C1A" w14:textId="4ECECB78" w:rsidR="00D00BFB" w:rsidRPr="0044776B" w:rsidRDefault="00D9529A" w:rsidP="00D9529A">
      <w:pPr>
        <w:pStyle w:val="Caption"/>
        <w:jc w:val="both"/>
        <w:rPr>
          <w:b w:val="0"/>
          <w:bCs w:val="0"/>
        </w:rPr>
      </w:pPr>
      <w:r>
        <w:lastRenderedPageBreak/>
        <w:t xml:space="preserve">Table </w:t>
      </w:r>
      <w:r w:rsidR="004D6242">
        <w:fldChar w:fldCharType="begin"/>
      </w:r>
      <w:r w:rsidR="004D6242">
        <w:instrText xml:space="preserve"> SEQ Table \* ARABIC </w:instrText>
      </w:r>
      <w:r w:rsidR="004D6242">
        <w:fldChar w:fldCharType="separate"/>
      </w:r>
      <w:r w:rsidR="00BF6F93">
        <w:rPr>
          <w:noProof/>
        </w:rPr>
        <w:t>8</w:t>
      </w:r>
      <w:r w:rsidR="004D6242">
        <w:rPr>
          <w:noProof/>
        </w:rPr>
        <w:fldChar w:fldCharType="end"/>
      </w:r>
      <w:bookmarkEnd w:id="31"/>
      <w:r>
        <w:tab/>
      </w:r>
      <w:r w:rsidR="0044776B" w:rsidRPr="0044776B">
        <w:t>Summary of the inputs used in the economic evaluation</w:t>
      </w:r>
    </w:p>
    <w:tbl>
      <w:tblPr>
        <w:tblW w:w="9209" w:type="dxa"/>
        <w:tblLook w:val="0620" w:firstRow="1" w:lastRow="0" w:firstColumn="0" w:lastColumn="0" w:noHBand="1" w:noVBand="1"/>
        <w:tblCaption w:val="Summary of the economic evaluation "/>
        <w:tblDescription w:val="This table describes the key constructs of the economic evaluation that is provided in the assessment report."/>
      </w:tblPr>
      <w:tblGrid>
        <w:gridCol w:w="2003"/>
        <w:gridCol w:w="3804"/>
        <w:gridCol w:w="3402"/>
      </w:tblGrid>
      <w:tr w:rsidR="00D00BFB" w:rsidRPr="00AB739B" w14:paraId="2DBF3D7D" w14:textId="77777777" w:rsidTr="00D9529A">
        <w:trPr>
          <w:tblHeader/>
        </w:trPr>
        <w:tc>
          <w:tcPr>
            <w:tcW w:w="2003" w:type="dxa"/>
            <w:tcBorders>
              <w:top w:val="single" w:sz="4" w:space="0" w:color="auto"/>
              <w:left w:val="single" w:sz="4" w:space="0" w:color="auto"/>
              <w:bottom w:val="single" w:sz="4" w:space="0" w:color="auto"/>
              <w:right w:val="single" w:sz="4" w:space="0" w:color="auto"/>
            </w:tcBorders>
            <w:hideMark/>
          </w:tcPr>
          <w:p w14:paraId="764858DC" w14:textId="77777777" w:rsidR="00D00BFB" w:rsidRPr="00AB739B" w:rsidRDefault="00D00BFB" w:rsidP="00D9529A">
            <w:pPr>
              <w:pStyle w:val="TableHeading"/>
              <w:keepNext w:val="0"/>
              <w:widowControl w:val="0"/>
              <w:spacing w:before="40" w:after="40"/>
              <w:rPr>
                <w:szCs w:val="20"/>
              </w:rPr>
            </w:pPr>
            <w:r w:rsidRPr="00AB739B">
              <w:rPr>
                <w:szCs w:val="20"/>
              </w:rPr>
              <w:t>Parameter</w:t>
            </w:r>
          </w:p>
        </w:tc>
        <w:tc>
          <w:tcPr>
            <w:tcW w:w="3804" w:type="dxa"/>
            <w:tcBorders>
              <w:top w:val="single" w:sz="4" w:space="0" w:color="auto"/>
              <w:left w:val="single" w:sz="4" w:space="0" w:color="auto"/>
              <w:bottom w:val="single" w:sz="4" w:space="0" w:color="auto"/>
              <w:right w:val="single" w:sz="4" w:space="0" w:color="auto"/>
            </w:tcBorders>
            <w:vAlign w:val="center"/>
            <w:hideMark/>
          </w:tcPr>
          <w:p w14:paraId="5085DFF0" w14:textId="77777777" w:rsidR="00D00BFB" w:rsidRPr="00AB739B" w:rsidRDefault="00D00BFB" w:rsidP="00D9529A">
            <w:pPr>
              <w:pStyle w:val="TableHeading"/>
              <w:keepNext w:val="0"/>
              <w:widowControl w:val="0"/>
              <w:spacing w:before="40" w:after="40"/>
              <w:jc w:val="center"/>
              <w:rPr>
                <w:rFonts w:cs="Times New Roman"/>
                <w:szCs w:val="20"/>
              </w:rPr>
            </w:pPr>
            <w:r w:rsidRPr="00AB739B">
              <w:rPr>
                <w:rFonts w:cs="Times New Roman"/>
                <w:szCs w:val="20"/>
              </w:rPr>
              <w:t>Value</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AECE94F" w14:textId="77777777" w:rsidR="00D00BFB" w:rsidRPr="00AB739B" w:rsidRDefault="00D00BFB" w:rsidP="00D9529A">
            <w:pPr>
              <w:pStyle w:val="TableHeading"/>
              <w:keepNext w:val="0"/>
              <w:widowControl w:val="0"/>
              <w:spacing w:before="40" w:after="40"/>
              <w:jc w:val="center"/>
              <w:rPr>
                <w:rFonts w:cs="Times New Roman"/>
                <w:szCs w:val="20"/>
              </w:rPr>
            </w:pPr>
            <w:r w:rsidRPr="00B82049">
              <w:rPr>
                <w:rFonts w:cs="Times New Roman"/>
                <w:szCs w:val="20"/>
              </w:rPr>
              <w:t>Source</w:t>
            </w:r>
          </w:p>
        </w:tc>
      </w:tr>
      <w:bookmarkEnd w:id="27"/>
      <w:tr w:rsidR="00C538E8" w:rsidRPr="00AB739B" w14:paraId="0A09DB1D"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1CA6AA52"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Efficacy inputs (PFS, OS)</w:t>
            </w:r>
          </w:p>
        </w:tc>
        <w:tc>
          <w:tcPr>
            <w:tcW w:w="3804" w:type="dxa"/>
            <w:tcBorders>
              <w:top w:val="single" w:sz="4" w:space="0" w:color="auto"/>
              <w:left w:val="single" w:sz="4" w:space="0" w:color="auto"/>
              <w:bottom w:val="single" w:sz="4" w:space="0" w:color="auto"/>
              <w:right w:val="single" w:sz="4" w:space="0" w:color="auto"/>
            </w:tcBorders>
            <w:hideMark/>
          </w:tcPr>
          <w:p w14:paraId="0BCB2636" w14:textId="74BAF016"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For </w:t>
            </w:r>
            <w:r w:rsidRPr="00AB739B">
              <w:rPr>
                <w:rFonts w:cs="Times New Roman"/>
                <w:b w:val="0"/>
                <w:bCs/>
                <w:szCs w:val="20"/>
                <w:vertAlign w:val="superscript"/>
              </w:rPr>
              <w:t>177</w:t>
            </w:r>
            <w:r w:rsidRPr="00AB739B">
              <w:rPr>
                <w:rFonts w:cs="Times New Roman"/>
                <w:b w:val="0"/>
                <w:bCs/>
                <w:szCs w:val="20"/>
              </w:rPr>
              <w:t>Lu</w:t>
            </w:r>
            <w:r>
              <w:rPr>
                <w:rFonts w:cs="Times New Roman"/>
                <w:b w:val="0"/>
                <w:bCs/>
                <w:szCs w:val="20"/>
              </w:rPr>
              <w:t> </w:t>
            </w:r>
            <w:r w:rsidRPr="00AB739B">
              <w:rPr>
                <w:rFonts w:cs="Times New Roman"/>
                <w:b w:val="0"/>
                <w:bCs/>
                <w:szCs w:val="20"/>
              </w:rPr>
              <w:t>PSMA</w:t>
            </w:r>
            <w:r>
              <w:rPr>
                <w:rFonts w:cs="Times New Roman"/>
                <w:b w:val="0"/>
                <w:bCs/>
                <w:szCs w:val="20"/>
              </w:rPr>
              <w:t> i&amp;t</w:t>
            </w:r>
            <w:r w:rsidRPr="00AB739B">
              <w:rPr>
                <w:rFonts w:cs="Times New Roman"/>
                <w:b w:val="0"/>
                <w:bCs/>
                <w:szCs w:val="20"/>
              </w:rPr>
              <w:t xml:space="preserve">: Informed directly from the </w:t>
            </w:r>
            <w:r w:rsidRPr="00AB739B">
              <w:rPr>
                <w:rFonts w:cs="Times New Roman"/>
                <w:b w:val="0"/>
                <w:bCs/>
                <w:szCs w:val="20"/>
                <w:vertAlign w:val="superscript"/>
              </w:rPr>
              <w:t>177</w:t>
            </w:r>
            <w:r w:rsidRPr="00AB739B">
              <w:rPr>
                <w:rFonts w:cs="Times New Roman"/>
                <w:b w:val="0"/>
                <w:bCs/>
                <w:szCs w:val="20"/>
              </w:rPr>
              <w:t>Lu-PSMA-617 + BSc arm of VISION. K-M data is used for the trial period followed by parametric extrapolation.</w:t>
            </w:r>
          </w:p>
          <w:p w14:paraId="2CAF9125" w14:textId="15004973"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For cabazitaxel/BSc: Proportional hazards approach was adopted. Specifically, HRs from TheraP and VISION </w:t>
            </w:r>
            <w:r w:rsidRPr="00AB739B">
              <w:rPr>
                <w:rFonts w:cs="Times New Roman"/>
                <w:b w:val="0"/>
                <w:bCs/>
                <w:szCs w:val="20"/>
              </w:rPr>
              <w:fldChar w:fldCharType="begin">
                <w:fldData xml:space="preserve">PEVuZE5vdGU+PENpdGU+PEF1dGhvcj5Ib2ZtYW48L0F1dGhvcj48WWVhcj4yMDIxPC9ZZWFyPjxS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=
</w:fldData>
              </w:fldChar>
            </w:r>
            <w:r w:rsidRPr="00AB739B">
              <w:rPr>
                <w:rFonts w:cs="Times New Roman"/>
                <w:b w:val="0"/>
                <w:bCs/>
                <w:szCs w:val="20"/>
              </w:rPr>
              <w:instrText xml:space="preserve"> ADDIN EN.CITE </w:instrText>
            </w:r>
            <w:r w:rsidRPr="00AB739B">
              <w:rPr>
                <w:rFonts w:cs="Times New Roman"/>
                <w:b w:val="0"/>
                <w:bCs/>
                <w:szCs w:val="20"/>
              </w:rPr>
              <w:fldChar w:fldCharType="begin">
                <w:fldData xml:space="preserve">PEVuZE5vdGU+PENpdGU+PEF1dGhvcj5Ib2ZtYW48L0F1dGhvcj48WWVhcj4yMDIxPC9ZZWFyPjxS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=
</w:fldData>
              </w:fldChar>
            </w:r>
            <w:r w:rsidRPr="00AB739B">
              <w:rPr>
                <w:rFonts w:cs="Times New Roman"/>
                <w:b w:val="0"/>
                <w:bCs/>
                <w:szCs w:val="20"/>
              </w:rPr>
              <w:instrText xml:space="preserve"> ADDIN EN.CITE.DATA </w:instrText>
            </w:r>
            <w:r w:rsidRPr="00AB739B">
              <w:rPr>
                <w:rFonts w:cs="Times New Roman"/>
                <w:b w:val="0"/>
                <w:bCs/>
                <w:szCs w:val="20"/>
              </w:rPr>
            </w:r>
            <w:r w:rsidRPr="00AB739B">
              <w:rPr>
                <w:rFonts w:cs="Times New Roman"/>
                <w:b w:val="0"/>
                <w:bCs/>
                <w:szCs w:val="20"/>
              </w:rPr>
              <w:fldChar w:fldCharType="end"/>
            </w:r>
            <w:r w:rsidRPr="00AB739B">
              <w:rPr>
                <w:rFonts w:cs="Times New Roman"/>
                <w:b w:val="0"/>
                <w:bCs/>
                <w:szCs w:val="20"/>
              </w:rPr>
            </w:r>
            <w:r w:rsidRPr="00AB739B">
              <w:rPr>
                <w:rFonts w:cs="Times New Roman"/>
                <w:b w:val="0"/>
                <w:bCs/>
                <w:szCs w:val="20"/>
              </w:rPr>
              <w:fldChar w:fldCharType="separate"/>
            </w:r>
            <w:r w:rsidRPr="00AB739B">
              <w:rPr>
                <w:rFonts w:cs="Times New Roman"/>
                <w:b w:val="0"/>
                <w:bCs/>
                <w:szCs w:val="20"/>
              </w:rPr>
              <w:t>(Hofman et al., 2021, Sartor et al., 2021)</w:t>
            </w:r>
            <w:r w:rsidRPr="00AB739B">
              <w:rPr>
                <w:rFonts w:cs="Times New Roman"/>
                <w:b w:val="0"/>
                <w:bCs/>
                <w:szCs w:val="20"/>
              </w:rPr>
              <w:fldChar w:fldCharType="end"/>
            </w:r>
            <w:r w:rsidRPr="00AB739B">
              <w:rPr>
                <w:rFonts w:cs="Times New Roman"/>
                <w:b w:val="0"/>
                <w:bCs/>
                <w:szCs w:val="20"/>
              </w:rPr>
              <w:t xml:space="preserve"> were applied to the OS and PFS K-M data and parametric extrapolation of the </w:t>
            </w:r>
            <w:r w:rsidRPr="00AB739B">
              <w:rPr>
                <w:rFonts w:cs="Times New Roman"/>
                <w:b w:val="0"/>
                <w:bCs/>
                <w:szCs w:val="20"/>
                <w:vertAlign w:val="superscript"/>
              </w:rPr>
              <w:t>177</w:t>
            </w:r>
            <w:r w:rsidRPr="00AB739B">
              <w:rPr>
                <w:rFonts w:cs="Times New Roman"/>
                <w:b w:val="0"/>
                <w:bCs/>
                <w:szCs w:val="20"/>
              </w:rPr>
              <w:t>LuPSMA arm.</w:t>
            </w:r>
          </w:p>
        </w:tc>
        <w:tc>
          <w:tcPr>
            <w:tcW w:w="3402" w:type="dxa"/>
            <w:tcBorders>
              <w:top w:val="single" w:sz="4" w:space="0" w:color="auto"/>
              <w:left w:val="single" w:sz="4" w:space="0" w:color="auto"/>
              <w:bottom w:val="single" w:sz="4" w:space="0" w:color="auto"/>
              <w:right w:val="single" w:sz="4" w:space="0" w:color="auto"/>
            </w:tcBorders>
            <w:hideMark/>
          </w:tcPr>
          <w:p w14:paraId="665FF368"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fldChar w:fldCharType="begin">
                <w:fldData xml:space="preserve">PEVuZE5vdGU+PENpdGUgQXV0aG9yWWVhcj0iMSI+PEF1dGhvcj5Ib2ZtYW48L0F1dGhvcj48WWVh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</w:fldData>
              </w:fldChar>
            </w:r>
            <w:r w:rsidRPr="00AB739B">
              <w:rPr>
                <w:rFonts w:cs="Times New Roman"/>
                <w:b w:val="0"/>
                <w:bCs/>
                <w:szCs w:val="20"/>
              </w:rPr>
              <w:instrText xml:space="preserve"> ADDIN EN.CITE </w:instrText>
            </w:r>
            <w:r w:rsidRPr="00AB739B">
              <w:rPr>
                <w:rFonts w:cs="Times New Roman"/>
                <w:b w:val="0"/>
                <w:bCs/>
                <w:szCs w:val="20"/>
              </w:rPr>
              <w:fldChar w:fldCharType="begin">
                <w:fldData xml:space="preserve">PEVuZE5vdGU+PENpdGUgQXV0aG9yWWVhcj0iMSI+PEF1dGhvcj5Ib2ZtYW48L0F1dGhvcj48WWVh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</w:fldData>
              </w:fldChar>
            </w:r>
            <w:r w:rsidRPr="00AB739B">
              <w:rPr>
                <w:rFonts w:cs="Times New Roman"/>
                <w:b w:val="0"/>
                <w:bCs/>
                <w:szCs w:val="20"/>
              </w:rPr>
              <w:instrText xml:space="preserve"> ADDIN EN.CITE.DATA </w:instrText>
            </w:r>
            <w:r w:rsidRPr="00AB739B">
              <w:rPr>
                <w:rFonts w:cs="Times New Roman"/>
                <w:b w:val="0"/>
                <w:bCs/>
                <w:szCs w:val="20"/>
              </w:rPr>
            </w:r>
            <w:r w:rsidRPr="00AB739B">
              <w:rPr>
                <w:rFonts w:cs="Times New Roman"/>
                <w:b w:val="0"/>
                <w:bCs/>
                <w:szCs w:val="20"/>
              </w:rPr>
              <w:fldChar w:fldCharType="end"/>
            </w:r>
            <w:r w:rsidRPr="00AB739B">
              <w:rPr>
                <w:rFonts w:cs="Times New Roman"/>
                <w:b w:val="0"/>
                <w:bCs/>
                <w:szCs w:val="20"/>
              </w:rPr>
            </w:r>
            <w:r w:rsidRPr="00AB739B">
              <w:rPr>
                <w:rFonts w:cs="Times New Roman"/>
                <w:b w:val="0"/>
                <w:bCs/>
                <w:szCs w:val="20"/>
              </w:rPr>
              <w:fldChar w:fldCharType="separate"/>
            </w:r>
            <w:r w:rsidRPr="00AB739B">
              <w:rPr>
                <w:rFonts w:cs="Times New Roman"/>
                <w:b w:val="0"/>
                <w:bCs/>
                <w:szCs w:val="20"/>
              </w:rPr>
              <w:t>Hofman et al. (2021)</w:t>
            </w:r>
            <w:r w:rsidRPr="00AB739B">
              <w:rPr>
                <w:rFonts w:cs="Times New Roman"/>
                <w:b w:val="0"/>
                <w:bCs/>
                <w:szCs w:val="20"/>
              </w:rPr>
              <w:fldChar w:fldCharType="end"/>
            </w:r>
            <w:r w:rsidRPr="00AB739B">
              <w:rPr>
                <w:rFonts w:cs="Times New Roman"/>
                <w:b w:val="0"/>
                <w:bCs/>
                <w:szCs w:val="20"/>
              </w:rPr>
              <w:t xml:space="preserve">, </w:t>
            </w:r>
            <w:r w:rsidRPr="00AB739B">
              <w:rPr>
                <w:rFonts w:cs="Times New Roman"/>
                <w:b w:val="0"/>
                <w:bCs/>
                <w:szCs w:val="20"/>
              </w:rPr>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sidRPr="00AB739B">
              <w:rPr>
                <w:rFonts w:cs="Times New Roman"/>
                <w:b w:val="0"/>
                <w:bCs/>
                <w:szCs w:val="20"/>
              </w:rPr>
              <w:instrText xml:space="preserve"> ADDIN EN.CITE </w:instrText>
            </w:r>
            <w:r w:rsidRPr="00AB739B">
              <w:rPr>
                <w:rFonts w:cs="Times New Roman"/>
                <w:b w:val="0"/>
                <w:bCs/>
                <w:szCs w:val="20"/>
              </w:rPr>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sidRPr="00AB739B">
              <w:rPr>
                <w:rFonts w:cs="Times New Roman"/>
                <w:b w:val="0"/>
                <w:bCs/>
                <w:szCs w:val="20"/>
              </w:rPr>
              <w:instrText xml:space="preserve"> ADDIN EN.CITE.DATA </w:instrText>
            </w:r>
            <w:r w:rsidRPr="00AB739B">
              <w:rPr>
                <w:rFonts w:cs="Times New Roman"/>
                <w:b w:val="0"/>
                <w:bCs/>
                <w:szCs w:val="20"/>
              </w:rPr>
            </w:r>
            <w:r w:rsidRPr="00AB739B">
              <w:rPr>
                <w:rFonts w:cs="Times New Roman"/>
                <w:b w:val="0"/>
                <w:bCs/>
                <w:szCs w:val="20"/>
              </w:rPr>
              <w:fldChar w:fldCharType="end"/>
            </w:r>
            <w:r w:rsidRPr="00AB739B">
              <w:rPr>
                <w:rFonts w:cs="Times New Roman"/>
                <w:b w:val="0"/>
                <w:bCs/>
                <w:szCs w:val="20"/>
              </w:rPr>
            </w:r>
            <w:r w:rsidRPr="00AB739B">
              <w:rPr>
                <w:rFonts w:cs="Times New Roman"/>
                <w:b w:val="0"/>
                <w:bCs/>
                <w:szCs w:val="20"/>
              </w:rPr>
              <w:fldChar w:fldCharType="separate"/>
            </w:r>
            <w:r w:rsidRPr="00AB739B">
              <w:rPr>
                <w:rFonts w:cs="Times New Roman"/>
                <w:b w:val="0"/>
                <w:bCs/>
                <w:szCs w:val="20"/>
              </w:rPr>
              <w:t>Sartor et al. (2021)</w:t>
            </w:r>
            <w:r w:rsidRPr="00AB739B">
              <w:rPr>
                <w:rFonts w:cs="Times New Roman"/>
                <w:b w:val="0"/>
                <w:bCs/>
                <w:szCs w:val="20"/>
              </w:rPr>
              <w:fldChar w:fldCharType="end"/>
            </w:r>
            <w:r w:rsidRPr="00AB739B">
              <w:rPr>
                <w:rFonts w:cs="Times New Roman"/>
                <w:b w:val="0"/>
                <w:bCs/>
                <w:szCs w:val="20"/>
              </w:rPr>
              <w:t xml:space="preserve">. </w:t>
            </w:r>
          </w:p>
        </w:tc>
      </w:tr>
      <w:tr w:rsidR="00C538E8" w:rsidRPr="00AB739B" w14:paraId="62161435"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3727A474"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Safety inputs</w:t>
            </w:r>
          </w:p>
        </w:tc>
        <w:tc>
          <w:tcPr>
            <w:tcW w:w="3804" w:type="dxa"/>
            <w:tcBorders>
              <w:top w:val="single" w:sz="4" w:space="0" w:color="auto"/>
              <w:left w:val="single" w:sz="4" w:space="0" w:color="auto"/>
              <w:bottom w:val="single" w:sz="4" w:space="0" w:color="auto"/>
              <w:right w:val="single" w:sz="4" w:space="0" w:color="auto"/>
            </w:tcBorders>
            <w:hideMark/>
          </w:tcPr>
          <w:p w14:paraId="06DCC378"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Grade 3/4 AEs occurring in ≥5% of patients in TheraP and VISION.</w:t>
            </w:r>
          </w:p>
        </w:tc>
        <w:tc>
          <w:tcPr>
            <w:tcW w:w="3402" w:type="dxa"/>
            <w:tcBorders>
              <w:top w:val="single" w:sz="4" w:space="0" w:color="auto"/>
              <w:left w:val="single" w:sz="4" w:space="0" w:color="auto"/>
              <w:bottom w:val="single" w:sz="4" w:space="0" w:color="auto"/>
              <w:right w:val="single" w:sz="4" w:space="0" w:color="auto"/>
            </w:tcBorders>
            <w:hideMark/>
          </w:tcPr>
          <w:p w14:paraId="5E439774"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fldChar w:fldCharType="begin">
                <w:fldData xml:space="preserve">PEVuZE5vdGU+PENpdGUgQXV0aG9yWWVhcj0iMSI+PEF1dGhvcj5Ib2ZtYW48L0F1dGhvcj48WWVh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</w:fldData>
              </w:fldChar>
            </w:r>
            <w:r w:rsidRPr="00AB739B">
              <w:rPr>
                <w:rFonts w:cs="Times New Roman"/>
                <w:b w:val="0"/>
                <w:bCs/>
                <w:szCs w:val="20"/>
              </w:rPr>
              <w:instrText xml:space="preserve"> ADDIN EN.CITE </w:instrText>
            </w:r>
            <w:r w:rsidRPr="00AB739B">
              <w:rPr>
                <w:rFonts w:cs="Times New Roman"/>
                <w:b w:val="0"/>
                <w:bCs/>
                <w:szCs w:val="20"/>
              </w:rPr>
              <w:fldChar w:fldCharType="begin">
                <w:fldData xml:space="preserve">PEVuZE5vdGU+PENpdGUgQXV0aG9yWWVhcj0iMSI+PEF1dGhvcj5Ib2ZtYW48L0F1dGhvcj48WWVh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</w:fldData>
              </w:fldChar>
            </w:r>
            <w:r w:rsidRPr="00AB739B">
              <w:rPr>
                <w:rFonts w:cs="Times New Roman"/>
                <w:b w:val="0"/>
                <w:bCs/>
                <w:szCs w:val="20"/>
              </w:rPr>
              <w:instrText xml:space="preserve"> ADDIN EN.CITE.DATA </w:instrText>
            </w:r>
            <w:r w:rsidRPr="00AB739B">
              <w:rPr>
                <w:rFonts w:cs="Times New Roman"/>
                <w:b w:val="0"/>
                <w:bCs/>
                <w:szCs w:val="20"/>
              </w:rPr>
            </w:r>
            <w:r w:rsidRPr="00AB739B">
              <w:rPr>
                <w:rFonts w:cs="Times New Roman"/>
                <w:b w:val="0"/>
                <w:bCs/>
                <w:szCs w:val="20"/>
              </w:rPr>
              <w:fldChar w:fldCharType="end"/>
            </w:r>
            <w:r w:rsidRPr="00AB739B">
              <w:rPr>
                <w:rFonts w:cs="Times New Roman"/>
                <w:b w:val="0"/>
                <w:bCs/>
                <w:szCs w:val="20"/>
              </w:rPr>
            </w:r>
            <w:r w:rsidRPr="00AB739B">
              <w:rPr>
                <w:rFonts w:cs="Times New Roman"/>
                <w:b w:val="0"/>
                <w:bCs/>
                <w:szCs w:val="20"/>
              </w:rPr>
              <w:fldChar w:fldCharType="separate"/>
            </w:r>
            <w:r w:rsidRPr="00AB739B">
              <w:rPr>
                <w:rFonts w:cs="Times New Roman"/>
                <w:b w:val="0"/>
                <w:bCs/>
                <w:szCs w:val="20"/>
              </w:rPr>
              <w:t>Hofman et al. (2021)</w:t>
            </w:r>
            <w:r w:rsidRPr="00AB739B">
              <w:rPr>
                <w:rFonts w:cs="Times New Roman"/>
                <w:b w:val="0"/>
                <w:bCs/>
                <w:szCs w:val="20"/>
              </w:rPr>
              <w:fldChar w:fldCharType="end"/>
            </w:r>
            <w:r w:rsidRPr="00AB739B">
              <w:rPr>
                <w:rFonts w:cs="Times New Roman"/>
                <w:b w:val="0"/>
                <w:bCs/>
                <w:szCs w:val="20"/>
              </w:rPr>
              <w:t xml:space="preserve">, </w:t>
            </w:r>
            <w:r w:rsidRPr="00AB739B">
              <w:rPr>
                <w:rFonts w:cs="Times New Roman"/>
                <w:b w:val="0"/>
                <w:bCs/>
                <w:szCs w:val="20"/>
              </w:rPr>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sidRPr="00AB739B">
              <w:rPr>
                <w:rFonts w:cs="Times New Roman"/>
                <w:b w:val="0"/>
                <w:bCs/>
                <w:szCs w:val="20"/>
              </w:rPr>
              <w:instrText xml:space="preserve"> ADDIN EN.CITE </w:instrText>
            </w:r>
            <w:r w:rsidRPr="00AB739B">
              <w:rPr>
                <w:rFonts w:cs="Times New Roman"/>
                <w:b w:val="0"/>
                <w:bCs/>
                <w:szCs w:val="20"/>
              </w:rPr>
              <w:fldChar w:fldCharType="begin">
                <w:fldData xml:space="preserve">PEVuZE5vdGU+PENpdGUgQXV0aG9yWWVhcj0iMSI+PEF1dGhvcj5TYXJ0b3I8L0F1dGhvcj48WWVh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==
</w:fldData>
              </w:fldChar>
            </w:r>
            <w:r w:rsidRPr="00AB739B">
              <w:rPr>
                <w:rFonts w:cs="Times New Roman"/>
                <w:b w:val="0"/>
                <w:bCs/>
                <w:szCs w:val="20"/>
              </w:rPr>
              <w:instrText xml:space="preserve"> ADDIN EN.CITE.DATA </w:instrText>
            </w:r>
            <w:r w:rsidRPr="00AB739B">
              <w:rPr>
                <w:rFonts w:cs="Times New Roman"/>
                <w:b w:val="0"/>
                <w:bCs/>
                <w:szCs w:val="20"/>
              </w:rPr>
            </w:r>
            <w:r w:rsidRPr="00AB739B">
              <w:rPr>
                <w:rFonts w:cs="Times New Roman"/>
                <w:b w:val="0"/>
                <w:bCs/>
                <w:szCs w:val="20"/>
              </w:rPr>
              <w:fldChar w:fldCharType="end"/>
            </w:r>
            <w:r w:rsidRPr="00AB739B">
              <w:rPr>
                <w:rFonts w:cs="Times New Roman"/>
                <w:b w:val="0"/>
                <w:bCs/>
                <w:szCs w:val="20"/>
              </w:rPr>
            </w:r>
            <w:r w:rsidRPr="00AB739B">
              <w:rPr>
                <w:rFonts w:cs="Times New Roman"/>
                <w:b w:val="0"/>
                <w:bCs/>
                <w:szCs w:val="20"/>
              </w:rPr>
              <w:fldChar w:fldCharType="separate"/>
            </w:r>
            <w:r w:rsidRPr="00AB739B">
              <w:rPr>
                <w:rFonts w:cs="Times New Roman"/>
                <w:b w:val="0"/>
                <w:bCs/>
                <w:szCs w:val="20"/>
              </w:rPr>
              <w:t>Sartor et al. (2021)</w:t>
            </w:r>
            <w:r w:rsidRPr="00AB739B">
              <w:rPr>
                <w:rFonts w:cs="Times New Roman"/>
                <w:b w:val="0"/>
                <w:bCs/>
                <w:szCs w:val="20"/>
              </w:rPr>
              <w:fldChar w:fldCharType="end"/>
            </w:r>
            <w:r w:rsidRPr="00AB739B">
              <w:rPr>
                <w:rFonts w:cs="Times New Roman"/>
                <w:b w:val="0"/>
                <w:bCs/>
                <w:szCs w:val="20"/>
              </w:rPr>
              <w:t xml:space="preserve">. </w:t>
            </w:r>
          </w:p>
        </w:tc>
      </w:tr>
      <w:tr w:rsidR="00C538E8" w:rsidRPr="00AB739B" w14:paraId="1E28C9C3"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4781E3D6" w14:textId="58807623" w:rsidR="00C538E8" w:rsidRPr="00AB739B" w:rsidRDefault="00C538E8" w:rsidP="00C538E8">
            <w:pPr>
              <w:pStyle w:val="TableHeading"/>
              <w:keepNext w:val="0"/>
              <w:widowControl w:val="0"/>
              <w:spacing w:before="40" w:after="40"/>
              <w:rPr>
                <w:b w:val="0"/>
                <w:bCs/>
                <w:szCs w:val="20"/>
              </w:rPr>
            </w:pPr>
            <w:r w:rsidRPr="00AB739B">
              <w:rPr>
                <w:b w:val="0"/>
                <w:bCs/>
                <w:szCs w:val="20"/>
              </w:rPr>
              <w:t xml:space="preserve">Proportion of patients eligible for </w:t>
            </w:r>
            <w:r w:rsidRPr="00D9529A">
              <w:rPr>
                <w:b w:val="0"/>
                <w:bCs/>
                <w:szCs w:val="20"/>
                <w:vertAlign w:val="superscript"/>
              </w:rPr>
              <w:t>177</w:t>
            </w:r>
            <w:r w:rsidRPr="00D9529A">
              <w:rPr>
                <w:b w:val="0"/>
                <w:bCs/>
              </w:rPr>
              <w:t>Lu PSMA i&amp;t</w:t>
            </w:r>
          </w:p>
        </w:tc>
        <w:tc>
          <w:tcPr>
            <w:tcW w:w="3804" w:type="dxa"/>
            <w:tcBorders>
              <w:top w:val="single" w:sz="4" w:space="0" w:color="auto"/>
              <w:left w:val="single" w:sz="4" w:space="0" w:color="auto"/>
              <w:bottom w:val="single" w:sz="4" w:space="0" w:color="auto"/>
              <w:right w:val="single" w:sz="4" w:space="0" w:color="auto"/>
            </w:tcBorders>
            <w:hideMark/>
          </w:tcPr>
          <w:p w14:paraId="5D0E710A"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90.0% </w:t>
            </w:r>
          </w:p>
        </w:tc>
        <w:tc>
          <w:tcPr>
            <w:tcW w:w="3402" w:type="dxa"/>
            <w:tcBorders>
              <w:top w:val="single" w:sz="4" w:space="0" w:color="auto"/>
              <w:left w:val="single" w:sz="4" w:space="0" w:color="auto"/>
              <w:bottom w:val="single" w:sz="4" w:space="0" w:color="auto"/>
              <w:right w:val="single" w:sz="4" w:space="0" w:color="auto"/>
            </w:tcBorders>
            <w:hideMark/>
          </w:tcPr>
          <w:p w14:paraId="0E1386D8" w14:textId="1755F805"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PSMA PET/CT screening data from TheraP. </w:t>
            </w:r>
          </w:p>
        </w:tc>
      </w:tr>
      <w:tr w:rsidR="00C538E8" w:rsidRPr="00AB739B" w14:paraId="2ADE7CBC"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1DD107A6"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Proportions of “responders” and “non-responders”</w:t>
            </w:r>
          </w:p>
        </w:tc>
        <w:tc>
          <w:tcPr>
            <w:tcW w:w="3804" w:type="dxa"/>
            <w:tcBorders>
              <w:top w:val="single" w:sz="4" w:space="0" w:color="auto"/>
              <w:left w:val="single" w:sz="4" w:space="0" w:color="auto"/>
              <w:bottom w:val="single" w:sz="4" w:space="0" w:color="auto"/>
              <w:right w:val="single" w:sz="4" w:space="0" w:color="auto"/>
            </w:tcBorders>
            <w:hideMark/>
          </w:tcPr>
          <w:p w14:paraId="771F1B8E" w14:textId="382CC114"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Responders (after the </w:t>
            </w:r>
            <w:r>
              <w:rPr>
                <w:rFonts w:cs="Times New Roman"/>
                <w:b w:val="0"/>
                <w:bCs/>
                <w:szCs w:val="20"/>
              </w:rPr>
              <w:t xml:space="preserve">second dose, </w:t>
            </w:r>
            <w:r w:rsidRPr="00AB739B">
              <w:rPr>
                <w:rFonts w:cs="Times New Roman"/>
                <w:b w:val="0"/>
                <w:bCs/>
                <w:szCs w:val="20"/>
              </w:rPr>
              <w:t>6</w:t>
            </w:r>
            <w:r>
              <w:rPr>
                <w:rFonts w:cs="Times New Roman"/>
                <w:b w:val="0"/>
                <w:bCs/>
                <w:szCs w:val="20"/>
              </w:rPr>
              <w:t>-</w:t>
            </w:r>
            <w:r w:rsidRPr="00AB739B">
              <w:rPr>
                <w:rFonts w:cs="Times New Roman"/>
                <w:b w:val="0"/>
                <w:bCs/>
                <w:szCs w:val="20"/>
              </w:rPr>
              <w:t>week assessment) =69%</w:t>
            </w:r>
          </w:p>
          <w:p w14:paraId="7F7115E3"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Non-Responders=31%</w:t>
            </w:r>
          </w:p>
        </w:tc>
        <w:tc>
          <w:tcPr>
            <w:tcW w:w="3402" w:type="dxa"/>
            <w:tcBorders>
              <w:top w:val="single" w:sz="4" w:space="0" w:color="auto"/>
              <w:left w:val="single" w:sz="4" w:space="0" w:color="auto"/>
              <w:bottom w:val="single" w:sz="4" w:space="0" w:color="auto"/>
              <w:right w:val="single" w:sz="4" w:space="0" w:color="auto"/>
            </w:tcBorders>
            <w:hideMark/>
          </w:tcPr>
          <w:p w14:paraId="306196AF"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Emmett (2023)</w:t>
            </w:r>
          </w:p>
        </w:tc>
      </w:tr>
      <w:tr w:rsidR="00C538E8" w:rsidRPr="00AB739B" w14:paraId="59627A65" w14:textId="77777777" w:rsidTr="00D9529A">
        <w:tc>
          <w:tcPr>
            <w:tcW w:w="2003" w:type="dxa"/>
            <w:tcBorders>
              <w:top w:val="single" w:sz="4" w:space="0" w:color="auto"/>
              <w:left w:val="single" w:sz="4" w:space="0" w:color="auto"/>
              <w:bottom w:val="single" w:sz="4" w:space="0" w:color="auto"/>
            </w:tcBorders>
            <w:hideMark/>
          </w:tcPr>
          <w:p w14:paraId="346404E0" w14:textId="77777777" w:rsidR="00C538E8" w:rsidRPr="00AB739B" w:rsidRDefault="00C538E8" w:rsidP="00C538E8">
            <w:pPr>
              <w:pStyle w:val="TableHeading"/>
              <w:keepNext w:val="0"/>
              <w:widowControl w:val="0"/>
              <w:spacing w:before="40" w:after="40"/>
              <w:rPr>
                <w:szCs w:val="20"/>
              </w:rPr>
            </w:pPr>
            <w:r w:rsidRPr="00AB739B">
              <w:rPr>
                <w:szCs w:val="20"/>
              </w:rPr>
              <w:t>Health outcomes</w:t>
            </w:r>
          </w:p>
        </w:tc>
        <w:tc>
          <w:tcPr>
            <w:tcW w:w="3804" w:type="dxa"/>
            <w:tcBorders>
              <w:top w:val="single" w:sz="4" w:space="0" w:color="auto"/>
              <w:left w:val="nil"/>
              <w:bottom w:val="single" w:sz="4" w:space="0" w:color="auto"/>
            </w:tcBorders>
            <w:hideMark/>
          </w:tcPr>
          <w:p w14:paraId="7C1BD146" w14:textId="77777777" w:rsidR="00C538E8" w:rsidRPr="00AB739B" w:rsidRDefault="00C538E8" w:rsidP="00C538E8">
            <w:pPr>
              <w:pStyle w:val="TableHeading"/>
              <w:keepNext w:val="0"/>
              <w:widowControl w:val="0"/>
              <w:spacing w:before="40" w:after="40"/>
              <w:rPr>
                <w:rFonts w:cs="Times New Roman"/>
                <w:b w:val="0"/>
                <w:bCs/>
                <w:szCs w:val="20"/>
              </w:rPr>
            </w:pPr>
          </w:p>
        </w:tc>
        <w:tc>
          <w:tcPr>
            <w:tcW w:w="3402" w:type="dxa"/>
            <w:tcBorders>
              <w:top w:val="single" w:sz="4" w:space="0" w:color="auto"/>
              <w:left w:val="nil"/>
              <w:bottom w:val="single" w:sz="4" w:space="0" w:color="auto"/>
              <w:right w:val="single" w:sz="4" w:space="0" w:color="auto"/>
            </w:tcBorders>
            <w:hideMark/>
          </w:tcPr>
          <w:p w14:paraId="52386AB5" w14:textId="77777777" w:rsidR="00C538E8" w:rsidRPr="00AB739B" w:rsidRDefault="00C538E8" w:rsidP="00C538E8">
            <w:pPr>
              <w:pStyle w:val="TableHeading"/>
              <w:keepNext w:val="0"/>
              <w:widowControl w:val="0"/>
              <w:spacing w:before="40" w:after="40"/>
              <w:rPr>
                <w:rFonts w:cs="Times New Roman"/>
                <w:b w:val="0"/>
                <w:bCs/>
                <w:szCs w:val="20"/>
              </w:rPr>
            </w:pPr>
          </w:p>
        </w:tc>
      </w:tr>
      <w:tr w:rsidR="00C538E8" w:rsidRPr="00AB739B" w14:paraId="174C7942"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31FE49F6"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 xml:space="preserve">Health state utility values </w:t>
            </w:r>
          </w:p>
        </w:tc>
        <w:tc>
          <w:tcPr>
            <w:tcW w:w="3804" w:type="dxa"/>
            <w:tcBorders>
              <w:top w:val="single" w:sz="4" w:space="0" w:color="auto"/>
              <w:left w:val="single" w:sz="4" w:space="0" w:color="auto"/>
              <w:bottom w:val="single" w:sz="4" w:space="0" w:color="auto"/>
              <w:right w:val="single" w:sz="4" w:space="0" w:color="auto"/>
            </w:tcBorders>
            <w:hideMark/>
          </w:tcPr>
          <w:p w14:paraId="036830F9" w14:textId="410A0559"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Utility values.</w:t>
            </w:r>
          </w:p>
          <w:p w14:paraId="4F2B6253" w14:textId="1F82AE8D" w:rsidR="00C538E8" w:rsidRDefault="00C538E8" w:rsidP="00163E6E">
            <w:pPr>
              <w:pStyle w:val="Tabletext0"/>
              <w:widowControl w:val="0"/>
              <w:numPr>
                <w:ilvl w:val="0"/>
                <w:numId w:val="17"/>
              </w:numPr>
              <w:ind w:left="357" w:hanging="357"/>
              <w:jc w:val="left"/>
              <w:rPr>
                <w:rFonts w:eastAsiaTheme="minorHAnsi" w:cs="Times New Roman"/>
                <w:bCs/>
                <w:lang w:eastAsia="en-US"/>
              </w:rPr>
            </w:pPr>
            <w:r w:rsidRPr="00AB739B">
              <w:rPr>
                <w:rFonts w:eastAsiaTheme="minorHAnsi" w:cs="Times New Roman"/>
                <w:bCs/>
                <w:lang w:eastAsia="en-US"/>
              </w:rPr>
              <w:t>PFS – 0.74 (</w:t>
            </w:r>
            <w:r>
              <w:t>Lu PSMA i&amp;t and BS</w:t>
            </w:r>
            <w:r w:rsidR="00BD05F7">
              <w:t>c</w:t>
            </w:r>
            <w:r w:rsidRPr="00AB739B">
              <w:rPr>
                <w:rFonts w:eastAsiaTheme="minorHAnsi" w:cs="Times New Roman"/>
                <w:bCs/>
                <w:lang w:eastAsia="en-US"/>
              </w:rPr>
              <w:t>)</w:t>
            </w:r>
          </w:p>
          <w:p w14:paraId="4E67E7E3" w14:textId="77777777" w:rsidR="00C538E8" w:rsidRDefault="00C538E8" w:rsidP="00163E6E">
            <w:pPr>
              <w:pStyle w:val="Tabletext0"/>
              <w:widowControl w:val="0"/>
              <w:numPr>
                <w:ilvl w:val="0"/>
                <w:numId w:val="17"/>
              </w:numPr>
              <w:ind w:left="357" w:hanging="357"/>
              <w:jc w:val="left"/>
              <w:rPr>
                <w:rFonts w:eastAsiaTheme="minorHAnsi" w:cs="Times New Roman"/>
                <w:bCs/>
                <w:lang w:eastAsia="en-US"/>
              </w:rPr>
            </w:pPr>
            <w:r w:rsidRPr="00163E6E">
              <w:rPr>
                <w:rFonts w:eastAsiaTheme="minorHAnsi" w:cs="Times New Roman"/>
                <w:bCs/>
                <w:lang w:eastAsia="en-US"/>
              </w:rPr>
              <w:t>PFS -0.70 (Cabazitaxel)</w:t>
            </w:r>
          </w:p>
          <w:p w14:paraId="0F88979F" w14:textId="7EB7A43B" w:rsidR="00C538E8" w:rsidRPr="00163E6E" w:rsidRDefault="00C538E8" w:rsidP="00AD5BA8">
            <w:pPr>
              <w:pStyle w:val="Tabletext0"/>
              <w:widowControl w:val="0"/>
              <w:numPr>
                <w:ilvl w:val="0"/>
                <w:numId w:val="17"/>
              </w:numPr>
              <w:ind w:left="357" w:hanging="357"/>
              <w:jc w:val="left"/>
              <w:rPr>
                <w:rFonts w:eastAsiaTheme="minorHAnsi" w:cs="Times New Roman"/>
                <w:bCs/>
                <w:lang w:eastAsia="en-US"/>
              </w:rPr>
            </w:pPr>
            <w:r w:rsidRPr="00163E6E">
              <w:rPr>
                <w:rFonts w:eastAsiaTheme="minorHAnsi" w:cs="Times New Roman"/>
                <w:bCs/>
                <w:lang w:eastAsia="en-US"/>
              </w:rPr>
              <w:t>PD – 0.59</w:t>
            </w:r>
          </w:p>
        </w:tc>
        <w:tc>
          <w:tcPr>
            <w:tcW w:w="3402" w:type="dxa"/>
            <w:tcBorders>
              <w:top w:val="single" w:sz="4" w:space="0" w:color="auto"/>
              <w:left w:val="single" w:sz="4" w:space="0" w:color="auto"/>
              <w:bottom w:val="single" w:sz="4" w:space="0" w:color="auto"/>
              <w:right w:val="single" w:sz="4" w:space="0" w:color="auto"/>
            </w:tcBorders>
            <w:hideMark/>
          </w:tcPr>
          <w:p w14:paraId="062D6A1C"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fldChar w:fldCharType="begin"/>
            </w:r>
            <w:r w:rsidRPr="00AB739B">
              <w:rPr>
                <w:rFonts w:cs="Times New Roman"/>
                <w:b w:val="0"/>
                <w:bCs/>
                <w:szCs w:val="20"/>
              </w:rPr>
              <w:instrText xml:space="preserve"> ADDIN EN.CITE &lt;EndNote&gt;&lt;Cite AuthorYear="1"&gt;&lt;Author&gt;Magnus&lt;/Author&gt;&lt;Year&gt;2019&lt;/Year&gt;&lt;RecNum&gt;31&lt;/RecNum&gt;&lt;DisplayText&gt;Magnus et al. (2019)&lt;/DisplayText&gt;&lt;record&gt;&lt;rec-number&gt;31&lt;/rec-number&gt;&lt;foreign-keys&gt;&lt;key app="EN" db-id="fpzesst98x95suetv2hxppzt995wtxas9fet" timestamp="1643183769"&gt;31&lt;/key&gt;&lt;/foreign-keys&gt;&lt;ref-type name="Journal Article"&gt;17&lt;/ref-type&gt;&lt;contributors&gt;&lt;authors&gt;&lt;author&gt;Magnus, A.&lt;/author&gt;&lt;author&gt;Isaranuwatchai, W.&lt;/author&gt;&lt;author&gt;Mihalopoulos, C.&lt;/author&gt;&lt;author&gt;Brown, V.&lt;/author&gt;&lt;author&gt;Carter, R.&lt;/author&gt;&lt;/authors&gt;&lt;/contributors&gt;&lt;auth-address&gt;Deakin Health Economics, Centre for Population Health Research, Faculty of Health, Deakin University, Geelong, Victoria, Australia.&amp;#xD;Centre for Excellence in Economic Analysis Research, St. Michael&amp;apos;s Hospital; Institute for Health Policy, Management and Evaluation, University of Toronto, Toronto, Ontario, Canada.&lt;/auth-address&gt;&lt;titles&gt;&lt;title&gt;A Systematic Review and Meta-Analysis of Prostate Cancer Utility Values of Patients and Partners Between 2007 and 2016&lt;/title&gt;&lt;secondary-title&gt;MDM Policy Pract&lt;/secondary-title&gt;&lt;/titles&gt;&lt;periodical&gt;&lt;full-title&gt;MDM Policy Pract&lt;/full-title&gt;&lt;/periodical&gt;&lt;pages&gt;2381468319852332&lt;/pages&gt;&lt;volume&gt;4&lt;/volume&gt;&lt;number&gt;1&lt;/number&gt;&lt;edition&gt;2019/06/14&lt;/edition&gt;&lt;keywords&gt;&lt;keyword&gt;carers&lt;/keyword&gt;&lt;keyword&gt;economic evaluation&lt;/keyword&gt;&lt;keyword&gt;patients&lt;/keyword&gt;&lt;keyword&gt;preferences&lt;/keyword&gt;&lt;keyword&gt;prostate cancer&lt;/keyword&gt;&lt;keyword&gt;quality of life&lt;/keyword&gt;&lt;keyword&gt;systematic review&lt;/keyword&gt;&lt;keyword&gt;utility values&lt;/keyword&gt;&lt;keyword&gt;research, authorship, and/or publication of this article.&lt;/keyword&gt;&lt;/keywords&gt;&lt;dates&gt;&lt;year&gt;2019&lt;/year&gt;&lt;pub-dates&gt;&lt;date&gt;Jan-Jun&lt;/date&gt;&lt;/pub-dates&gt;&lt;/dates&gt;&lt;isbn&gt;2381-4683&lt;/isbn&gt;&lt;accession-num&gt;31192309&lt;/accession-num&gt;&lt;urls&gt;&lt;/urls&gt;&lt;custom2&gt;PMC6540514&lt;/custom2&gt;&lt;electronic-resource-num&gt;10.1177/2381468319852332&lt;/electronic-resource-num&gt;&lt;remote-database-provider&gt;NLM&lt;/remote-database-provider&gt;&lt;language&gt;eng&lt;/language&gt;&lt;/record&gt;&lt;/Cite&gt;&lt;/EndNote&gt;</w:instrText>
            </w:r>
            <w:r w:rsidRPr="00AB739B">
              <w:rPr>
                <w:rFonts w:cs="Times New Roman"/>
                <w:b w:val="0"/>
                <w:bCs/>
                <w:szCs w:val="20"/>
              </w:rPr>
              <w:fldChar w:fldCharType="separate"/>
            </w:r>
            <w:r w:rsidRPr="00AB739B">
              <w:rPr>
                <w:rFonts w:cs="Times New Roman"/>
                <w:b w:val="0"/>
                <w:bCs/>
                <w:szCs w:val="20"/>
              </w:rPr>
              <w:t>Magnus et al. (2019)</w:t>
            </w:r>
            <w:r w:rsidRPr="00AB739B">
              <w:rPr>
                <w:rFonts w:cs="Times New Roman"/>
                <w:b w:val="0"/>
                <w:bCs/>
                <w:szCs w:val="20"/>
              </w:rPr>
              <w:fldChar w:fldCharType="end"/>
            </w:r>
            <w:r w:rsidRPr="00AB739B">
              <w:rPr>
                <w:rFonts w:cs="Times New Roman"/>
                <w:b w:val="0"/>
                <w:bCs/>
                <w:szCs w:val="20"/>
              </w:rPr>
              <w:t xml:space="preserve">, originally sourced from </w:t>
            </w:r>
            <w:r w:rsidRPr="00AB739B">
              <w:rPr>
                <w:rFonts w:cs="Times New Roman"/>
                <w:b w:val="0"/>
                <w:bCs/>
                <w:szCs w:val="20"/>
              </w:rPr>
              <w:fldChar w:fldCharType="begin"/>
            </w:r>
            <w:r w:rsidRPr="00AB739B">
              <w:rPr>
                <w:rFonts w:cs="Times New Roman"/>
                <w:b w:val="0"/>
                <w:bCs/>
                <w:szCs w:val="20"/>
              </w:rPr>
              <w:instrText xml:space="preserve"> ADDIN EN.CITE &lt;EndNote&gt;&lt;Cite AuthorYear="1"&gt;&lt;Author&gt;Torvinen&lt;/Author&gt;&lt;Year&gt;2013&lt;/Year&gt;&lt;RecNum&gt;37&lt;/RecNum&gt;&lt;DisplayText&gt;Torvinen et al. (2013)&lt;/DisplayText&gt;&lt;record&gt;&lt;rec-number&gt;37&lt;/rec-number&gt;&lt;foreign-keys&gt;&lt;key app="EN" db-id="fpzesst98x95suetv2hxppzt995wtxas9fet" timestamp="1643273687"&gt;37&lt;/key&gt;&lt;/foreign-keys&gt;&lt;ref-type name="Journal Article"&gt;17&lt;/ref-type&gt;&lt;contributors&gt;&lt;authors&gt;&lt;author&gt;Torvinen, S.&lt;/author&gt;&lt;author&gt;Färkkilä, N.&lt;/author&gt;&lt;author&gt;Sintonen, H.&lt;/author&gt;&lt;author&gt;Saarto, T.&lt;/author&gt;&lt;author&gt;Roine, R. P.&lt;/author&gt;&lt;author&gt;Taari, K.&lt;/author&gt;&lt;/authors&gt;&lt;/contributors&gt;&lt;auth-address&gt;University of Helsinki, Hjelt Institute/Department of Public Health, Helsinki, Finland. saku.torvinen@gmail.com&lt;/auth-address&gt;&lt;titles&gt;&lt;title&gt;Health-related quality of life in prostate cancer&lt;/title&gt;&lt;secondary-title&gt;Acta Oncol&lt;/secondary-title&gt;&lt;/titles&gt;&lt;periodical&gt;&lt;full-title&gt;Acta Oncol&lt;/full-title&gt;&lt;/periodical&gt;&lt;pages&gt;1094-101&lt;/pages&gt;&lt;volume&gt;52&lt;/volume&gt;&lt;number&gt;6&lt;/number&gt;&lt;edition&gt;2013/02/02&lt;/edition&gt;&lt;keywords&gt;&lt;keyword&gt;Adult&lt;/keyword&gt;&lt;keyword&gt;Aged&lt;/keyword&gt;&lt;keyword&gt;Aged, 80 and over&lt;/keyword&gt;&lt;keyword&gt;Cross-Sectional Studies&lt;/keyword&gt;&lt;keyword&gt;Humans&lt;/keyword&gt;&lt;keyword&gt;Male&lt;/keyword&gt;&lt;keyword&gt;Middle Aged&lt;/keyword&gt;&lt;keyword&gt;Prostatic Neoplasms/*psychology&lt;/keyword&gt;&lt;keyword&gt;*Quality of Life&lt;/keyword&gt;&lt;keyword&gt;Surveys and Questionnaires&lt;/keyword&gt;&lt;/keywords&gt;&lt;dates&gt;&lt;year&gt;2013&lt;/year&gt;&lt;pub-dates&gt;&lt;date&gt;Aug&lt;/date&gt;&lt;/pub-dates&gt;&lt;/dates&gt;&lt;isbn&gt;0284-186x&lt;/isbn&gt;&lt;accession-num&gt;23368678&lt;/accession-num&gt;&lt;urls&gt;&lt;/urls&gt;&lt;electronic-resource-num&gt;10.3109/0284186x.2012.760848&lt;/electronic-resource-num&gt;&lt;remote-database-provider&gt;NLM&lt;/remote-database-provider&gt;&lt;language&gt;eng&lt;/language&gt;&lt;/record&gt;&lt;/Cite&gt;&lt;/EndNote&gt;</w:instrText>
            </w:r>
            <w:r w:rsidRPr="00AB739B">
              <w:rPr>
                <w:rFonts w:cs="Times New Roman"/>
                <w:b w:val="0"/>
                <w:bCs/>
                <w:szCs w:val="20"/>
              </w:rPr>
              <w:fldChar w:fldCharType="separate"/>
            </w:r>
            <w:r w:rsidRPr="00AB739B">
              <w:rPr>
                <w:rFonts w:cs="Times New Roman"/>
                <w:b w:val="0"/>
                <w:bCs/>
                <w:szCs w:val="20"/>
              </w:rPr>
              <w:t>Torvinen et al. (2013)</w:t>
            </w:r>
            <w:r w:rsidRPr="00AB739B">
              <w:rPr>
                <w:rFonts w:cs="Times New Roman"/>
                <w:b w:val="0"/>
                <w:bCs/>
                <w:szCs w:val="20"/>
              </w:rPr>
              <w:fldChar w:fldCharType="end"/>
            </w:r>
            <w:r w:rsidRPr="00AB739B">
              <w:rPr>
                <w:rFonts w:cs="Times New Roman"/>
                <w:b w:val="0"/>
                <w:bCs/>
                <w:szCs w:val="20"/>
              </w:rPr>
              <w:t>. 0.04 disutility reflects toxicity of cabazitaxel (Diels, 2015).</w:t>
            </w:r>
          </w:p>
        </w:tc>
      </w:tr>
      <w:tr w:rsidR="00C538E8" w:rsidRPr="00AB739B" w14:paraId="50CE6AEF"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6BD49E95"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Disutility due to Grade 3/4 AEs</w:t>
            </w:r>
          </w:p>
        </w:tc>
        <w:tc>
          <w:tcPr>
            <w:tcW w:w="3804" w:type="dxa"/>
            <w:tcBorders>
              <w:top w:val="single" w:sz="4" w:space="0" w:color="auto"/>
              <w:left w:val="single" w:sz="4" w:space="0" w:color="auto"/>
              <w:bottom w:val="single" w:sz="4" w:space="0" w:color="auto"/>
              <w:right w:val="single" w:sz="4" w:space="0" w:color="auto"/>
            </w:tcBorders>
            <w:hideMark/>
          </w:tcPr>
          <w:p w14:paraId="56D4B084" w14:textId="25E0051B"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Various </w:t>
            </w:r>
          </w:p>
        </w:tc>
        <w:tc>
          <w:tcPr>
            <w:tcW w:w="3402" w:type="dxa"/>
            <w:tcBorders>
              <w:top w:val="single" w:sz="4" w:space="0" w:color="auto"/>
              <w:left w:val="single" w:sz="4" w:space="0" w:color="auto"/>
              <w:bottom w:val="single" w:sz="4" w:space="0" w:color="auto"/>
              <w:right w:val="single" w:sz="4" w:space="0" w:color="auto"/>
            </w:tcBorders>
            <w:hideMark/>
          </w:tcPr>
          <w:p w14:paraId="3884917E"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Values and duration informed by NICE TA391 </w:t>
            </w:r>
            <w:r w:rsidRPr="00AB739B">
              <w:rPr>
                <w:rFonts w:cs="Times New Roman"/>
                <w:b w:val="0"/>
                <w:bCs/>
                <w:szCs w:val="20"/>
              </w:rPr>
              <w:fldChar w:fldCharType="begin"/>
            </w:r>
            <w:r w:rsidRPr="00AB739B">
              <w:rPr>
                <w:rFonts w:cs="Times New Roman"/>
                <w:b w:val="0"/>
                <w:bCs/>
                <w:szCs w:val="20"/>
              </w:rPr>
              <w:instrText xml:space="preserve"> ADDIN EN.CITE &lt;EndNote&gt;&lt;Cite&gt;&lt;Author&gt;National Institute For Health and Care Excellence (NICE)&lt;/Author&gt;&lt;Year&gt;2016&lt;/Year&gt;&lt;RecNum&gt;32&lt;/RecNum&gt;&lt;DisplayText&gt;(National Institute For Health and Care Excellence (NICE), 2016)&lt;/DisplayText&gt;&lt;record&gt;&lt;rec-number&gt;32&lt;/rec-number&gt;&lt;foreign-keys&gt;&lt;key app="EN" db-id="fpzesst98x95suetv2hxppzt995wtxas9fet" timestamp="1643184296"&gt;32&lt;/key&gt;&lt;/foreign-keys&gt;&lt;ref-type name="Report"&gt;27&lt;/ref-type&gt;&lt;contributors&gt;&lt;authors&gt;&lt;author&gt;National Institute For Health and Care Excellence (NICE), &lt;/author&gt;&lt;/authors&gt;&lt;/contributors&gt;&lt;titles&gt;&lt;title&gt;Cabazitaxel for treating hormone-relapsed metastatic prostate cancer after a docetaxel-containing regimen (review of TA255) [ID889] - SINGLE TECHNOLOGY APPRAISAL&lt;/title&gt;&lt;/titles&gt;&lt;dates&gt;&lt;year&gt;2016&lt;/year&gt;&lt;/dates&gt;&lt;urls&gt;&lt;related-urls&gt;&lt;url&gt;https://www.nice.org.uk/guidance/ta391/evidence/appraisal-consultation-committee-papers-pdf-10888998445&lt;/url&gt;&lt;/related-urls&gt;&lt;/urls&gt;&lt;/record&gt;&lt;/Cite&gt;&lt;/EndNote&gt;</w:instrText>
            </w:r>
            <w:r w:rsidRPr="00AB739B">
              <w:rPr>
                <w:rFonts w:cs="Times New Roman"/>
                <w:b w:val="0"/>
                <w:bCs/>
                <w:szCs w:val="20"/>
              </w:rPr>
              <w:fldChar w:fldCharType="separate"/>
            </w:r>
            <w:r w:rsidRPr="00AB739B">
              <w:rPr>
                <w:rFonts w:cs="Times New Roman"/>
                <w:b w:val="0"/>
                <w:bCs/>
                <w:szCs w:val="20"/>
              </w:rPr>
              <w:t>(National Institute For Health and Care Excellence (NICE), 2016)</w:t>
            </w:r>
            <w:r w:rsidRPr="00AB739B">
              <w:rPr>
                <w:rFonts w:cs="Times New Roman"/>
                <w:b w:val="0"/>
                <w:bCs/>
                <w:szCs w:val="20"/>
              </w:rPr>
              <w:fldChar w:fldCharType="end"/>
            </w:r>
          </w:p>
        </w:tc>
      </w:tr>
      <w:tr w:rsidR="00C538E8" w:rsidRPr="00AB739B" w14:paraId="0C88F651" w14:textId="77777777" w:rsidTr="00D9529A">
        <w:tc>
          <w:tcPr>
            <w:tcW w:w="2003" w:type="dxa"/>
            <w:tcBorders>
              <w:top w:val="single" w:sz="4" w:space="0" w:color="auto"/>
              <w:left w:val="single" w:sz="4" w:space="0" w:color="auto"/>
              <w:bottom w:val="single" w:sz="4" w:space="0" w:color="auto"/>
            </w:tcBorders>
            <w:hideMark/>
          </w:tcPr>
          <w:p w14:paraId="19E93CB3" w14:textId="77777777" w:rsidR="00C538E8" w:rsidRPr="00AB739B" w:rsidRDefault="00C538E8" w:rsidP="00C538E8">
            <w:pPr>
              <w:pStyle w:val="TableHeading"/>
              <w:keepNext w:val="0"/>
              <w:widowControl w:val="0"/>
              <w:spacing w:before="40" w:after="40"/>
              <w:rPr>
                <w:szCs w:val="20"/>
              </w:rPr>
            </w:pPr>
            <w:r w:rsidRPr="00AB739B">
              <w:rPr>
                <w:szCs w:val="20"/>
              </w:rPr>
              <w:t>Costs</w:t>
            </w:r>
          </w:p>
        </w:tc>
        <w:tc>
          <w:tcPr>
            <w:tcW w:w="3804" w:type="dxa"/>
            <w:tcBorders>
              <w:top w:val="single" w:sz="4" w:space="0" w:color="auto"/>
              <w:left w:val="nil"/>
              <w:bottom w:val="single" w:sz="4" w:space="0" w:color="auto"/>
            </w:tcBorders>
            <w:hideMark/>
          </w:tcPr>
          <w:p w14:paraId="23CA6BC2" w14:textId="77777777" w:rsidR="00C538E8" w:rsidRPr="00AB739B" w:rsidRDefault="00C538E8" w:rsidP="00C538E8">
            <w:pPr>
              <w:pStyle w:val="TableHeading"/>
              <w:keepNext w:val="0"/>
              <w:widowControl w:val="0"/>
              <w:spacing w:before="40" w:after="40"/>
              <w:rPr>
                <w:rFonts w:cs="Times New Roman"/>
                <w:b w:val="0"/>
                <w:bCs/>
                <w:szCs w:val="20"/>
              </w:rPr>
            </w:pPr>
          </w:p>
        </w:tc>
        <w:tc>
          <w:tcPr>
            <w:tcW w:w="3402" w:type="dxa"/>
            <w:tcBorders>
              <w:top w:val="single" w:sz="4" w:space="0" w:color="auto"/>
              <w:left w:val="nil"/>
              <w:bottom w:val="single" w:sz="4" w:space="0" w:color="auto"/>
              <w:right w:val="single" w:sz="4" w:space="0" w:color="auto"/>
            </w:tcBorders>
            <w:hideMark/>
          </w:tcPr>
          <w:p w14:paraId="2794A4F4" w14:textId="77777777" w:rsidR="00C538E8" w:rsidRPr="00AB739B" w:rsidRDefault="00C538E8" w:rsidP="00C538E8">
            <w:pPr>
              <w:pStyle w:val="TableHeading"/>
              <w:keepNext w:val="0"/>
              <w:widowControl w:val="0"/>
              <w:spacing w:before="40" w:after="40"/>
              <w:rPr>
                <w:rFonts w:cs="Times New Roman"/>
                <w:b w:val="0"/>
                <w:bCs/>
                <w:szCs w:val="20"/>
              </w:rPr>
            </w:pPr>
          </w:p>
        </w:tc>
      </w:tr>
      <w:tr w:rsidR="00C538E8" w:rsidRPr="00AB739B" w14:paraId="5B4FB967"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7D5E3473"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Cost of index treatments</w:t>
            </w:r>
          </w:p>
        </w:tc>
        <w:tc>
          <w:tcPr>
            <w:tcW w:w="3804" w:type="dxa"/>
            <w:tcBorders>
              <w:top w:val="single" w:sz="4" w:space="0" w:color="auto"/>
              <w:left w:val="single" w:sz="4" w:space="0" w:color="auto"/>
              <w:bottom w:val="single" w:sz="4" w:space="0" w:color="auto"/>
              <w:right w:val="single" w:sz="4" w:space="0" w:color="auto"/>
            </w:tcBorders>
            <w:hideMark/>
          </w:tcPr>
          <w:p w14:paraId="220F145E" w14:textId="1E917A24" w:rsidR="00C538E8" w:rsidRPr="00AB739B" w:rsidRDefault="00C538E8" w:rsidP="00C538E8">
            <w:pPr>
              <w:pStyle w:val="TableHeading"/>
              <w:keepNext w:val="0"/>
              <w:widowControl w:val="0"/>
              <w:spacing w:before="40" w:after="40"/>
              <w:rPr>
                <w:rFonts w:cs="Times New Roman"/>
                <w:b w:val="0"/>
                <w:bCs/>
                <w:szCs w:val="20"/>
              </w:rPr>
            </w:pPr>
            <w:r w:rsidRPr="00D9529A">
              <w:rPr>
                <w:b w:val="0"/>
                <w:bCs/>
                <w:vertAlign w:val="superscript"/>
              </w:rPr>
              <w:t>177</w:t>
            </w:r>
            <w:r w:rsidRPr="00D9529A">
              <w:rPr>
                <w:b w:val="0"/>
                <w:bCs/>
              </w:rPr>
              <w:t>Lu PSMA i&amp;t</w:t>
            </w:r>
            <w:r>
              <w:t xml:space="preserve"> </w:t>
            </w:r>
            <w:r w:rsidRPr="00AB739B">
              <w:rPr>
                <w:rFonts w:cs="Times New Roman"/>
                <w:b w:val="0"/>
                <w:bCs/>
                <w:szCs w:val="20"/>
              </w:rPr>
              <w:t>- $8,000/dose/$1,333.33 per week</w:t>
            </w:r>
          </w:p>
          <w:p w14:paraId="2C5FE1D9" w14:textId="40CF1CB7" w:rsidR="00E7039A" w:rsidRPr="00E7039A" w:rsidRDefault="00E7039A" w:rsidP="00E7039A">
            <w:pPr>
              <w:pStyle w:val="TableHeading"/>
              <w:widowControl w:val="0"/>
              <w:spacing w:before="40" w:after="40"/>
              <w:rPr>
                <w:rFonts w:cs="Times New Roman"/>
                <w:b w:val="0"/>
                <w:bCs/>
                <w:szCs w:val="20"/>
              </w:rPr>
            </w:pPr>
            <w:bookmarkStart w:id="32" w:name="_Hlk150003660"/>
            <w:r w:rsidRPr="00E7039A">
              <w:rPr>
                <w:rFonts w:cs="Times New Roman"/>
                <w:b w:val="0"/>
                <w:bCs/>
                <w:szCs w:val="20"/>
              </w:rPr>
              <w:t>Cabazitaxel – $307.94/3-weekly cycle</w:t>
            </w:r>
          </w:p>
          <w:p w14:paraId="378D25E7" w14:textId="1BC866AE" w:rsidR="00C538E8" w:rsidRPr="00AB739B" w:rsidRDefault="00E7039A" w:rsidP="00E7039A">
            <w:pPr>
              <w:pStyle w:val="TableHeading"/>
              <w:keepNext w:val="0"/>
              <w:widowControl w:val="0"/>
              <w:spacing w:before="40" w:after="40"/>
              <w:rPr>
                <w:rFonts w:cs="Times New Roman"/>
                <w:b w:val="0"/>
                <w:bCs/>
                <w:szCs w:val="20"/>
              </w:rPr>
            </w:pPr>
            <w:r w:rsidRPr="00E7039A">
              <w:rPr>
                <w:rFonts w:cs="Times New Roman"/>
                <w:b w:val="0"/>
                <w:bCs/>
                <w:szCs w:val="20"/>
              </w:rPr>
              <w:t>$141.57</w:t>
            </w:r>
            <w:r>
              <w:rPr>
                <w:rFonts w:cs="Times New Roman"/>
                <w:b w:val="0"/>
                <w:bCs/>
                <w:szCs w:val="20"/>
              </w:rPr>
              <w:t xml:space="preserve"> </w:t>
            </w:r>
            <w:r w:rsidRPr="00E7039A">
              <w:rPr>
                <w:rFonts w:cs="Times New Roman"/>
                <w:b w:val="0"/>
                <w:bCs/>
                <w:szCs w:val="20"/>
              </w:rPr>
              <w:t>per week (includes prednisolone and cost of administration)</w:t>
            </w:r>
            <w:r>
              <w:rPr>
                <w:rFonts w:cs="Times New Roman"/>
                <w:b w:val="0"/>
                <w:bCs/>
                <w:szCs w:val="20"/>
              </w:rPr>
              <w:t xml:space="preserve"> </w:t>
            </w:r>
            <w:r w:rsidR="00C538E8" w:rsidRPr="00AB739B">
              <w:rPr>
                <w:rFonts w:cs="Times New Roman"/>
                <w:b w:val="0"/>
                <w:bCs/>
                <w:szCs w:val="20"/>
              </w:rPr>
              <w:t>(as of 1 November 2023)</w:t>
            </w:r>
          </w:p>
          <w:p w14:paraId="5F8D869D" w14:textId="735FDDA0" w:rsidR="00C538E8" w:rsidRPr="00AB739B" w:rsidRDefault="00C538E8" w:rsidP="00C538E8">
            <w:pPr>
              <w:pStyle w:val="TableHeading"/>
              <w:keepNext w:val="0"/>
              <w:widowControl w:val="0"/>
              <w:spacing w:before="40" w:after="40"/>
              <w:rPr>
                <w:rFonts w:cs="Times New Roman"/>
                <w:b w:val="0"/>
                <w:bCs/>
                <w:szCs w:val="20"/>
              </w:rPr>
            </w:pPr>
            <w:bookmarkStart w:id="33" w:name="_Hlk150002142"/>
            <w:bookmarkEnd w:id="32"/>
            <w:r w:rsidRPr="00AB739B">
              <w:rPr>
                <w:rFonts w:cs="Times New Roman"/>
                <w:b w:val="0"/>
                <w:bCs/>
                <w:szCs w:val="20"/>
              </w:rPr>
              <w:t>BSc – assumed no cost</w:t>
            </w:r>
            <w:bookmarkEnd w:id="33"/>
          </w:p>
        </w:tc>
        <w:tc>
          <w:tcPr>
            <w:tcW w:w="3402" w:type="dxa"/>
            <w:tcBorders>
              <w:top w:val="single" w:sz="4" w:space="0" w:color="auto"/>
              <w:left w:val="single" w:sz="4" w:space="0" w:color="auto"/>
              <w:bottom w:val="single" w:sz="4" w:space="0" w:color="auto"/>
              <w:right w:val="single" w:sz="4" w:space="0" w:color="auto"/>
            </w:tcBorders>
            <w:hideMark/>
          </w:tcPr>
          <w:p w14:paraId="5E23C5D5" w14:textId="24CC6E56" w:rsidR="00C538E8" w:rsidRPr="00AB739B" w:rsidRDefault="00C538E8" w:rsidP="00C538E8">
            <w:pPr>
              <w:pStyle w:val="TableHeading"/>
              <w:keepNext w:val="0"/>
              <w:widowControl w:val="0"/>
              <w:spacing w:before="40" w:after="40"/>
              <w:rPr>
                <w:rFonts w:cs="Times New Roman"/>
                <w:b w:val="0"/>
                <w:bCs/>
                <w:szCs w:val="20"/>
              </w:rPr>
            </w:pPr>
            <w:r w:rsidRPr="00D9529A">
              <w:rPr>
                <w:b w:val="0"/>
                <w:bCs/>
                <w:vertAlign w:val="superscript"/>
              </w:rPr>
              <w:t>177</w:t>
            </w:r>
            <w:r w:rsidRPr="00D9529A">
              <w:rPr>
                <w:b w:val="0"/>
                <w:bCs/>
              </w:rPr>
              <w:t>Lu PSMA i&amp;t</w:t>
            </w:r>
            <w:r>
              <w:t xml:space="preserve"> </w:t>
            </w:r>
            <w:r w:rsidRPr="00AB739B">
              <w:rPr>
                <w:rFonts w:cs="Times New Roman"/>
                <w:b w:val="0"/>
                <w:bCs/>
                <w:szCs w:val="20"/>
              </w:rPr>
              <w:t xml:space="preserve">(Includes the cost of SPECT/CT 24 hours </w:t>
            </w:r>
            <w:r>
              <w:rPr>
                <w:rFonts w:cs="Times New Roman"/>
                <w:b w:val="0"/>
                <w:bCs/>
                <w:szCs w:val="20"/>
              </w:rPr>
              <w:t>later</w:t>
            </w:r>
            <w:r w:rsidRPr="00AB739B">
              <w:rPr>
                <w:rFonts w:cs="Times New Roman"/>
                <w:b w:val="0"/>
                <w:bCs/>
                <w:szCs w:val="20"/>
              </w:rPr>
              <w:t xml:space="preserve">) </w:t>
            </w:r>
            <w:r>
              <w:rPr>
                <w:rFonts w:cs="Times New Roman"/>
                <w:b w:val="0"/>
                <w:bCs/>
                <w:szCs w:val="20"/>
              </w:rPr>
              <w:t>- a</w:t>
            </w:r>
            <w:r w:rsidRPr="00AB739B">
              <w:rPr>
                <w:rFonts w:cs="Times New Roman"/>
                <w:b w:val="0"/>
                <w:bCs/>
                <w:szCs w:val="20"/>
              </w:rPr>
              <w:t>pplicant</w:t>
            </w:r>
          </w:p>
          <w:p w14:paraId="6FB29645"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Cabazitaxel – PBS, MBS</w:t>
            </w:r>
          </w:p>
          <w:p w14:paraId="313BB9B2" w14:textId="736F1928"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BS</w:t>
            </w:r>
            <w:r w:rsidR="00BD05F7">
              <w:rPr>
                <w:rFonts w:cs="Times New Roman"/>
                <w:b w:val="0"/>
                <w:bCs/>
                <w:szCs w:val="20"/>
              </w:rPr>
              <w:t>c</w:t>
            </w:r>
            <w:r w:rsidRPr="00AB739B">
              <w:rPr>
                <w:rFonts w:cs="Times New Roman"/>
                <w:b w:val="0"/>
                <w:bCs/>
                <w:szCs w:val="20"/>
              </w:rPr>
              <w:t xml:space="preserve"> – assumption </w:t>
            </w:r>
          </w:p>
        </w:tc>
      </w:tr>
      <w:tr w:rsidR="00C538E8" w:rsidRPr="00AB739B" w14:paraId="3EA98B1D"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1C889929"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 xml:space="preserve">Cost of subsequent treatment </w:t>
            </w:r>
          </w:p>
        </w:tc>
        <w:tc>
          <w:tcPr>
            <w:tcW w:w="3804" w:type="dxa"/>
            <w:tcBorders>
              <w:top w:val="single" w:sz="4" w:space="0" w:color="auto"/>
              <w:left w:val="single" w:sz="4" w:space="0" w:color="auto"/>
              <w:bottom w:val="single" w:sz="4" w:space="0" w:color="auto"/>
              <w:right w:val="single" w:sz="4" w:space="0" w:color="auto"/>
            </w:tcBorders>
            <w:hideMark/>
          </w:tcPr>
          <w:p w14:paraId="3F686D39"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Only subsequent cabazitaxel treatment was considered in this economic evaluation.</w:t>
            </w:r>
          </w:p>
          <w:p w14:paraId="4FE5BBAF" w14:textId="3B660F81" w:rsidR="00C538E8" w:rsidRPr="00E7039A"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18% of those who progress following </w:t>
            </w:r>
            <w:r w:rsidRPr="00D9529A">
              <w:rPr>
                <w:b w:val="0"/>
                <w:bCs/>
                <w:vertAlign w:val="superscript"/>
              </w:rPr>
              <w:t>177</w:t>
            </w:r>
            <w:r w:rsidRPr="00D9529A">
              <w:rPr>
                <w:b w:val="0"/>
                <w:bCs/>
              </w:rPr>
              <w:t>Lu PSMA i&amp;t</w:t>
            </w:r>
            <w:r w:rsidRPr="00AB739B">
              <w:rPr>
                <w:rFonts w:cs="Times New Roman"/>
                <w:b w:val="0"/>
                <w:bCs/>
                <w:szCs w:val="20"/>
              </w:rPr>
              <w:t xml:space="preserve"> treatment are assumed to receive subsequent cabazitaxel treatment. Total adjusted subsequent cabazitaxel treatment cost: $458.69 (includes </w:t>
            </w:r>
            <w:r w:rsidRPr="00E7039A">
              <w:rPr>
                <w:rFonts w:cs="Times New Roman"/>
                <w:b w:val="0"/>
                <w:bCs/>
                <w:szCs w:val="20"/>
              </w:rPr>
              <w:t>prednisolone</w:t>
            </w:r>
            <w:r w:rsidR="00E7039A" w:rsidRPr="006D5080">
              <w:rPr>
                <w:b w:val="0"/>
                <w:bCs/>
              </w:rPr>
              <w:t xml:space="preserve"> and cost of administration</w:t>
            </w:r>
            <w:r w:rsidRPr="00E7039A">
              <w:rPr>
                <w:rFonts w:cs="Times New Roman"/>
                <w:b w:val="0"/>
                <w:bCs/>
                <w:szCs w:val="20"/>
              </w:rPr>
              <w:t>)</w:t>
            </w:r>
          </w:p>
          <w:p w14:paraId="1EB52385"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No subsequent treatment costs were modelled following cabazitaxel</w:t>
            </w:r>
          </w:p>
        </w:tc>
        <w:tc>
          <w:tcPr>
            <w:tcW w:w="3402" w:type="dxa"/>
            <w:tcBorders>
              <w:top w:val="single" w:sz="4" w:space="0" w:color="auto"/>
              <w:left w:val="single" w:sz="4" w:space="0" w:color="auto"/>
              <w:bottom w:val="single" w:sz="4" w:space="0" w:color="auto"/>
              <w:right w:val="single" w:sz="4" w:space="0" w:color="auto"/>
            </w:tcBorders>
            <w:hideMark/>
          </w:tcPr>
          <w:p w14:paraId="26207425"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 xml:space="preserve">TheraP </w:t>
            </w:r>
            <w:r w:rsidRPr="00AB739B">
              <w:rPr>
                <w:rFonts w:cs="Times New Roman"/>
                <w:b w:val="0"/>
                <w:bCs/>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Pr="00AB739B">
              <w:rPr>
                <w:rFonts w:cs="Times New Roman"/>
                <w:b w:val="0"/>
                <w:bCs/>
                <w:szCs w:val="20"/>
              </w:rPr>
              <w:instrText xml:space="preserve"> ADDIN EN.CITE </w:instrText>
            </w:r>
            <w:r w:rsidRPr="00AB739B">
              <w:rPr>
                <w:rFonts w:cs="Times New Roman"/>
                <w:b w:val="0"/>
                <w:bCs/>
                <w:szCs w:val="20"/>
              </w:rPr>
              <w:fldChar w:fldCharType="begin">
                <w:fldData xml:space="preserve">PEVuZE5vdGU+PENpdGU+PEF1dGhvcj5Ib2ZtYW48L0F1dGhvcj48WWVhcj4yMDIxPC9ZZWFyPjxS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</w:fldData>
              </w:fldChar>
            </w:r>
            <w:r w:rsidRPr="00AB739B">
              <w:rPr>
                <w:rFonts w:cs="Times New Roman"/>
                <w:b w:val="0"/>
                <w:bCs/>
                <w:szCs w:val="20"/>
              </w:rPr>
              <w:instrText xml:space="preserve"> ADDIN EN.CITE.DATA </w:instrText>
            </w:r>
            <w:r w:rsidRPr="00AB739B">
              <w:rPr>
                <w:rFonts w:cs="Times New Roman"/>
                <w:b w:val="0"/>
                <w:bCs/>
                <w:szCs w:val="20"/>
              </w:rPr>
            </w:r>
            <w:r w:rsidRPr="00AB739B">
              <w:rPr>
                <w:rFonts w:cs="Times New Roman"/>
                <w:b w:val="0"/>
                <w:bCs/>
                <w:szCs w:val="20"/>
              </w:rPr>
              <w:fldChar w:fldCharType="end"/>
            </w:r>
            <w:r w:rsidRPr="00AB739B">
              <w:rPr>
                <w:rFonts w:cs="Times New Roman"/>
                <w:b w:val="0"/>
                <w:bCs/>
                <w:szCs w:val="20"/>
              </w:rPr>
            </w:r>
            <w:r w:rsidRPr="00AB739B">
              <w:rPr>
                <w:rFonts w:cs="Times New Roman"/>
                <w:b w:val="0"/>
                <w:bCs/>
                <w:szCs w:val="20"/>
              </w:rPr>
              <w:fldChar w:fldCharType="separate"/>
            </w:r>
            <w:r w:rsidRPr="00AB739B">
              <w:rPr>
                <w:rFonts w:cs="Times New Roman"/>
                <w:b w:val="0"/>
                <w:bCs/>
                <w:szCs w:val="20"/>
              </w:rPr>
              <w:t>(Hofman et al., 2021)</w:t>
            </w:r>
            <w:r w:rsidRPr="00AB739B">
              <w:rPr>
                <w:rFonts w:cs="Times New Roman"/>
                <w:b w:val="0"/>
                <w:bCs/>
                <w:szCs w:val="20"/>
              </w:rPr>
              <w:fldChar w:fldCharType="end"/>
            </w:r>
          </w:p>
          <w:p w14:paraId="17A21D5B"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Cabazitaxel – PBS, MBS</w:t>
            </w:r>
          </w:p>
          <w:p w14:paraId="414CE993" w14:textId="08250DBE"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BS</w:t>
            </w:r>
            <w:r w:rsidR="00412AB1">
              <w:rPr>
                <w:rFonts w:cs="Times New Roman"/>
                <w:b w:val="0"/>
                <w:bCs/>
                <w:szCs w:val="20"/>
              </w:rPr>
              <w:t>c</w:t>
            </w:r>
            <w:r w:rsidRPr="00AB739B">
              <w:rPr>
                <w:rFonts w:cs="Times New Roman"/>
                <w:b w:val="0"/>
                <w:bCs/>
                <w:szCs w:val="20"/>
              </w:rPr>
              <w:t xml:space="preserve"> – assumption</w:t>
            </w:r>
          </w:p>
        </w:tc>
      </w:tr>
      <w:tr w:rsidR="00C538E8" w:rsidRPr="00AB739B" w14:paraId="3D10DA5A"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3CFDC152"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Healthcare resource utilisation</w:t>
            </w:r>
          </w:p>
        </w:tc>
        <w:tc>
          <w:tcPr>
            <w:tcW w:w="3804" w:type="dxa"/>
            <w:tcBorders>
              <w:top w:val="single" w:sz="4" w:space="0" w:color="auto"/>
              <w:left w:val="single" w:sz="4" w:space="0" w:color="auto"/>
              <w:bottom w:val="single" w:sz="4" w:space="0" w:color="auto"/>
              <w:right w:val="single" w:sz="4" w:space="0" w:color="auto"/>
            </w:tcBorders>
            <w:hideMark/>
          </w:tcPr>
          <w:p w14:paraId="6DEE4E56"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Resource use and frequency of use informed by local clinical experts. Resource use was mapped to the appropriate MBS item.</w:t>
            </w:r>
          </w:p>
        </w:tc>
        <w:tc>
          <w:tcPr>
            <w:tcW w:w="3402" w:type="dxa"/>
            <w:tcBorders>
              <w:top w:val="single" w:sz="4" w:space="0" w:color="auto"/>
              <w:left w:val="single" w:sz="4" w:space="0" w:color="auto"/>
              <w:bottom w:val="single" w:sz="4" w:space="0" w:color="auto"/>
              <w:right w:val="single" w:sz="4" w:space="0" w:color="auto"/>
            </w:tcBorders>
            <w:hideMark/>
          </w:tcPr>
          <w:p w14:paraId="6A403A7E" w14:textId="77777777"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Local expert advice, MBS</w:t>
            </w:r>
          </w:p>
        </w:tc>
      </w:tr>
      <w:tr w:rsidR="00C538E8" w:rsidRPr="00AB739B" w14:paraId="5EB55B9A" w14:textId="77777777" w:rsidTr="00D9529A">
        <w:tc>
          <w:tcPr>
            <w:tcW w:w="2003" w:type="dxa"/>
            <w:tcBorders>
              <w:top w:val="single" w:sz="4" w:space="0" w:color="auto"/>
              <w:left w:val="single" w:sz="4" w:space="0" w:color="auto"/>
              <w:bottom w:val="single" w:sz="4" w:space="0" w:color="auto"/>
              <w:right w:val="single" w:sz="4" w:space="0" w:color="auto"/>
            </w:tcBorders>
            <w:hideMark/>
          </w:tcPr>
          <w:p w14:paraId="4A957BB9" w14:textId="77777777" w:rsidR="00C538E8" w:rsidRPr="00AB739B" w:rsidRDefault="00C538E8" w:rsidP="00C538E8">
            <w:pPr>
              <w:pStyle w:val="TableHeading"/>
              <w:keepNext w:val="0"/>
              <w:widowControl w:val="0"/>
              <w:spacing w:before="40" w:after="40"/>
              <w:rPr>
                <w:b w:val="0"/>
                <w:bCs/>
                <w:szCs w:val="20"/>
              </w:rPr>
            </w:pPr>
            <w:r w:rsidRPr="00AB739B">
              <w:rPr>
                <w:b w:val="0"/>
                <w:bCs/>
                <w:szCs w:val="20"/>
              </w:rPr>
              <w:t>Cost of terminal care</w:t>
            </w:r>
          </w:p>
        </w:tc>
        <w:tc>
          <w:tcPr>
            <w:tcW w:w="3804" w:type="dxa"/>
            <w:tcBorders>
              <w:top w:val="single" w:sz="4" w:space="0" w:color="auto"/>
              <w:left w:val="single" w:sz="4" w:space="0" w:color="auto"/>
              <w:bottom w:val="single" w:sz="4" w:space="0" w:color="auto"/>
              <w:right w:val="single" w:sz="4" w:space="0" w:color="auto"/>
            </w:tcBorders>
            <w:hideMark/>
          </w:tcPr>
          <w:p w14:paraId="63B8378E" w14:textId="6584A3C6"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t>$41,569.18</w:t>
            </w:r>
          </w:p>
        </w:tc>
        <w:tc>
          <w:tcPr>
            <w:tcW w:w="3402" w:type="dxa"/>
            <w:tcBorders>
              <w:top w:val="single" w:sz="4" w:space="0" w:color="auto"/>
              <w:left w:val="single" w:sz="4" w:space="0" w:color="auto"/>
              <w:bottom w:val="single" w:sz="4" w:space="0" w:color="auto"/>
              <w:right w:val="single" w:sz="4" w:space="0" w:color="auto"/>
            </w:tcBorders>
            <w:hideMark/>
          </w:tcPr>
          <w:p w14:paraId="2D382A23" w14:textId="0BB2F600" w:rsidR="00C538E8" w:rsidRPr="00AB739B" w:rsidRDefault="00C538E8" w:rsidP="00C538E8">
            <w:pPr>
              <w:pStyle w:val="TableHeading"/>
              <w:keepNext w:val="0"/>
              <w:widowControl w:val="0"/>
              <w:spacing w:before="40" w:after="40"/>
              <w:rPr>
                <w:rFonts w:cs="Times New Roman"/>
                <w:b w:val="0"/>
                <w:bCs/>
                <w:szCs w:val="20"/>
              </w:rPr>
            </w:pPr>
            <w:r w:rsidRPr="00AB739B">
              <w:rPr>
                <w:rFonts w:cs="Times New Roman"/>
                <w:b w:val="0"/>
                <w:bCs/>
                <w:szCs w:val="20"/>
              </w:rPr>
              <w:fldChar w:fldCharType="begin"/>
            </w:r>
            <w:r w:rsidRPr="00AB739B">
              <w:rPr>
                <w:rFonts w:cs="Times New Roman"/>
                <w:b w:val="0"/>
                <w:bCs/>
                <w:szCs w:val="20"/>
              </w:rPr>
              <w:instrText xml:space="preserve"> ADDIN EN.CITE &lt;EndNote&gt;&lt;Cite AuthorYear="1"&gt;&lt;Author&gt;Langton&lt;/Author&gt;&lt;Year&gt;2016&lt;/Year&gt;&lt;RecNum&gt;19&lt;/RecNum&gt;&lt;DisplayText&gt;Langton et al. (2016)&lt;/DisplayText&gt;&lt;record&gt;&lt;rec-number&gt;19&lt;/rec-number&gt;&lt;foreign-keys&gt;&lt;key app="EN" db-id="09pezz5rpttvsyeavs95xtzmxdvxasddefa5" timestamp="1623388740"&gt;19&lt;/key&gt;&lt;/foreign-keys&gt;&lt;ref-type name="Journal Article"&gt;17&lt;/ref-type&gt;&lt;contributors&gt;&lt;authors&gt;&lt;author&gt;Langton, Julia M.&lt;/author&gt;&lt;author&gt;Reeve, Rebecca&lt;/author&gt;&lt;author&gt;Srasuebkul, Preeyaporn&lt;/author&gt;&lt;author&gt;Haas, Marion&lt;/author&gt;&lt;author&gt;Viney, Rosalie&lt;/author&gt;&lt;author&gt;Currow, David&lt;/author&gt;&lt;author&gt;Pearson, Sallie-Anne&lt;/author&gt;&lt;author&gt;on behalf of the, E. O. L. C. C. study authors&lt;/author&gt;&lt;/authors&gt;&lt;/contributors&gt;&lt;titles&gt;&lt;title&gt;Health service use and costs in the last 6 months of life in elderly decedents with a history of cancer: a comprehensive analysis from a health payer perspective&lt;/title&gt;&lt;secondary-title&gt;British Journal of Cancer&lt;/secondary-title&gt;&lt;/titles&gt;&lt;periodical&gt;&lt;full-title&gt;British Journal of Cancer&lt;/full-title&gt;&lt;/periodical&gt;&lt;pages&gt;1293-1302&lt;/pages&gt;&lt;volume&gt;114&lt;/volume&gt;&lt;number&gt;11&lt;/number&gt;&lt;dates&gt;&lt;year&gt;2016&lt;/year&gt;&lt;pub-dates&gt;&lt;date&gt;2016/05/01&lt;/date&gt;&lt;/pub-dates&gt;&lt;/dates&gt;&lt;isbn&gt;1532-1827&lt;/isbn&gt;&lt;urls&gt;&lt;related-urls&gt;&lt;url&gt;https://doi.org/10.1038/bjc.2016.75&lt;/url&gt;&lt;/related-urls&gt;&lt;/urls&gt;&lt;electronic-resource-num&gt;10.1038/bjc.2016.75&lt;/electronic-resource-num&gt;&lt;/record&gt;&lt;/Cite&gt;&lt;/EndNote&gt;</w:instrText>
            </w:r>
            <w:r w:rsidRPr="00AB739B">
              <w:rPr>
                <w:rFonts w:cs="Times New Roman"/>
                <w:b w:val="0"/>
                <w:bCs/>
                <w:szCs w:val="20"/>
              </w:rPr>
              <w:fldChar w:fldCharType="separate"/>
            </w:r>
            <w:r w:rsidRPr="00AB739B">
              <w:rPr>
                <w:rFonts w:cs="Times New Roman"/>
                <w:b w:val="0"/>
                <w:bCs/>
                <w:szCs w:val="20"/>
              </w:rPr>
              <w:t>Langton et al. (2016)</w:t>
            </w:r>
            <w:r w:rsidRPr="00AB739B">
              <w:rPr>
                <w:rFonts w:cs="Times New Roman"/>
                <w:b w:val="0"/>
                <w:bCs/>
                <w:szCs w:val="20"/>
              </w:rPr>
              <w:fldChar w:fldCharType="end"/>
            </w:r>
            <w:r w:rsidRPr="00AB739B">
              <w:rPr>
                <w:rFonts w:cs="Times New Roman"/>
                <w:b w:val="0"/>
                <w:bCs/>
                <w:szCs w:val="20"/>
              </w:rPr>
              <w:t>, inflated to 2023 AUD</w:t>
            </w:r>
          </w:p>
        </w:tc>
      </w:tr>
    </w:tbl>
    <w:p w14:paraId="62074C4A" w14:textId="77777777" w:rsidR="00AB739B" w:rsidRPr="00020B25" w:rsidRDefault="00AB739B" w:rsidP="006F08D7">
      <w:pPr>
        <w:pStyle w:val="Tablenotes0"/>
        <w:spacing w:before="0" w:line="240" w:lineRule="auto"/>
      </w:pPr>
      <w:bookmarkStart w:id="34" w:name="Title_Table5"/>
      <w:bookmarkEnd w:id="34"/>
      <w:r w:rsidRPr="00020B25">
        <w:t xml:space="preserve">Abbreviations: </w:t>
      </w:r>
      <w:r w:rsidRPr="001A4DFA">
        <w:rPr>
          <w:vertAlign w:val="superscript"/>
        </w:rPr>
        <w:t>177</w:t>
      </w:r>
      <w:r>
        <w:t>Lu, lutetium-177; ABS, Australian Bureau of Statistics; AE, adverse event; AR-DRG, Australian Refined Diagnostic Related Group; AUD, Australian dollar; BSc, best supportive care; HR, hazard ratio; i&amp;t, imaging and therapy; MBS, Medicare Benefits Scheme; NICE, National Institute for Health and Care Excellence; PBS, Pharmaceutical Benefits Scheme; PD, progressed disease; PFS, progression-free survival; PSMA, prostate specific membrane antigen; OS, overall survival; TA, technology appraisal; ToT, time on treatment</w:t>
      </w:r>
    </w:p>
    <w:bookmarkStart w:id="35" w:name="_Hlk131163166"/>
    <w:p w14:paraId="4252621C" w14:textId="4FC0235E" w:rsidR="005E3D87" w:rsidRPr="001C636D" w:rsidRDefault="0078467B" w:rsidP="0078467B">
      <w:r>
        <w:lastRenderedPageBreak/>
        <w:fldChar w:fldCharType="begin"/>
      </w:r>
      <w:r>
        <w:instrText xml:space="preserve"> REF _Ref94273086 \h  \* MERGEFORMAT </w:instrText>
      </w:r>
      <w:r>
        <w:fldChar w:fldCharType="separate"/>
      </w:r>
      <w:r w:rsidR="00BF6F93" w:rsidRPr="00D54A2F">
        <w:t xml:space="preserve">Table </w:t>
      </w:r>
      <w:r w:rsidR="00BF6F93">
        <w:t>9</w:t>
      </w:r>
      <w:r>
        <w:fldChar w:fldCharType="end"/>
      </w:r>
      <w:r w:rsidR="005E3D87" w:rsidRPr="001C636D">
        <w:t xml:space="preserve"> show</w:t>
      </w:r>
      <w:r w:rsidR="002976F7">
        <w:t>s</w:t>
      </w:r>
      <w:r w:rsidR="005E3D87" w:rsidRPr="001C636D">
        <w:t xml:space="preserve"> results of a</w:t>
      </w:r>
      <w:r w:rsidR="009A089E">
        <w:t xml:space="preserve"> modelled economic evaluation</w:t>
      </w:r>
      <w:r w:rsidR="005E3D87" w:rsidRPr="001C636D">
        <w:t xml:space="preserve"> economic evaluation.</w:t>
      </w:r>
    </w:p>
    <w:p w14:paraId="3940DE93" w14:textId="26882E62" w:rsidR="00C538E8" w:rsidRPr="00D54A2F" w:rsidRDefault="00C538E8" w:rsidP="00C538E8">
      <w:pPr>
        <w:pStyle w:val="Caption"/>
      </w:pPr>
      <w:bookmarkStart w:id="36" w:name="_Ref94273086"/>
      <w:bookmarkStart w:id="37" w:name="_Hlk68276518"/>
      <w:bookmarkEnd w:id="35"/>
      <w:r w:rsidRPr="00D54A2F">
        <w:t xml:space="preserve">Table </w:t>
      </w:r>
      <w:r w:rsidR="004D6242">
        <w:fldChar w:fldCharType="begin"/>
      </w:r>
      <w:r w:rsidR="004D6242">
        <w:instrText xml:space="preserve"> SEQ Table \* ARABIC </w:instrText>
      </w:r>
      <w:r w:rsidR="004D6242">
        <w:fldChar w:fldCharType="separate"/>
      </w:r>
      <w:r w:rsidR="00BF6F93">
        <w:rPr>
          <w:noProof/>
        </w:rPr>
        <w:t>9</w:t>
      </w:r>
      <w:r w:rsidR="004D6242">
        <w:rPr>
          <w:noProof/>
        </w:rPr>
        <w:fldChar w:fldCharType="end"/>
      </w:r>
      <w:bookmarkEnd w:id="36"/>
      <w:r w:rsidRPr="00D54A2F">
        <w:tab/>
        <w:t>Stepped derivation of the base-case economic evaluation (discounted at 5%)</w:t>
      </w:r>
    </w:p>
    <w:tbl>
      <w:tblPr>
        <w:tblStyle w:val="TableGrid"/>
        <w:tblW w:w="5107" w:type="pct"/>
        <w:tblCellMar>
          <w:left w:w="28" w:type="dxa"/>
          <w:right w:w="28" w:type="dxa"/>
        </w:tblCellMar>
        <w:tblLook w:val="04A0" w:firstRow="1" w:lastRow="0" w:firstColumn="1" w:lastColumn="0" w:noHBand="0" w:noVBand="1"/>
      </w:tblPr>
      <w:tblGrid>
        <w:gridCol w:w="3183"/>
        <w:gridCol w:w="1256"/>
        <w:gridCol w:w="1287"/>
        <w:gridCol w:w="1114"/>
        <w:gridCol w:w="1435"/>
        <w:gridCol w:w="934"/>
      </w:tblGrid>
      <w:tr w:rsidR="00C538E8" w:rsidRPr="00D54A2F" w14:paraId="4CDC6D1B" w14:textId="77777777">
        <w:tc>
          <w:tcPr>
            <w:tcW w:w="1728" w:type="pct"/>
            <w:tcBorders>
              <w:bottom w:val="single" w:sz="4" w:space="0" w:color="auto"/>
            </w:tcBorders>
            <w:vAlign w:val="center"/>
          </w:tcPr>
          <w:p w14:paraId="08A77F74" w14:textId="77777777" w:rsidR="00C538E8" w:rsidRPr="00C538E8" w:rsidRDefault="00C538E8">
            <w:pPr>
              <w:pStyle w:val="TableText"/>
              <w:keepNext/>
              <w:rPr>
                <w:b/>
                <w:bCs/>
              </w:rPr>
            </w:pPr>
            <w:r w:rsidRPr="00C538E8">
              <w:rPr>
                <w:b/>
                <w:bCs/>
              </w:rPr>
              <w:t>Strategy</w:t>
            </w:r>
          </w:p>
        </w:tc>
        <w:tc>
          <w:tcPr>
            <w:tcW w:w="682" w:type="pct"/>
            <w:tcBorders>
              <w:bottom w:val="single" w:sz="4" w:space="0" w:color="auto"/>
            </w:tcBorders>
            <w:vAlign w:val="center"/>
          </w:tcPr>
          <w:p w14:paraId="1CD134A6" w14:textId="77777777" w:rsidR="00C538E8" w:rsidRPr="00C538E8" w:rsidRDefault="00C538E8">
            <w:pPr>
              <w:pStyle w:val="TableText"/>
              <w:keepNext/>
              <w:jc w:val="center"/>
              <w:rPr>
                <w:b/>
                <w:bCs/>
              </w:rPr>
            </w:pPr>
            <w:r w:rsidRPr="00C538E8">
              <w:rPr>
                <w:b/>
                <w:bCs/>
              </w:rPr>
              <w:t>Cost</w:t>
            </w:r>
          </w:p>
        </w:tc>
        <w:tc>
          <w:tcPr>
            <w:tcW w:w="699" w:type="pct"/>
            <w:tcBorders>
              <w:bottom w:val="single" w:sz="4" w:space="0" w:color="auto"/>
            </w:tcBorders>
            <w:vAlign w:val="center"/>
          </w:tcPr>
          <w:p w14:paraId="20DD7DED" w14:textId="77777777" w:rsidR="00C538E8" w:rsidRPr="00C538E8" w:rsidRDefault="00C538E8">
            <w:pPr>
              <w:pStyle w:val="TableText"/>
              <w:keepNext/>
              <w:jc w:val="center"/>
              <w:rPr>
                <w:b/>
                <w:bCs/>
              </w:rPr>
            </w:pPr>
            <w:r w:rsidRPr="00C538E8">
              <w:rPr>
                <w:b/>
                <w:bCs/>
              </w:rPr>
              <w:t>Incremental cost</w:t>
            </w:r>
          </w:p>
        </w:tc>
        <w:tc>
          <w:tcPr>
            <w:tcW w:w="605" w:type="pct"/>
            <w:tcBorders>
              <w:bottom w:val="single" w:sz="4" w:space="0" w:color="auto"/>
            </w:tcBorders>
            <w:vAlign w:val="center"/>
          </w:tcPr>
          <w:p w14:paraId="6C34BAB9" w14:textId="77777777" w:rsidR="00C538E8" w:rsidRPr="00C538E8" w:rsidRDefault="00C538E8">
            <w:pPr>
              <w:pStyle w:val="TableText"/>
              <w:keepNext/>
              <w:jc w:val="center"/>
              <w:rPr>
                <w:b/>
                <w:bCs/>
              </w:rPr>
            </w:pPr>
            <w:r w:rsidRPr="00C538E8">
              <w:rPr>
                <w:b/>
                <w:bCs/>
              </w:rPr>
              <w:t>Effectiveness</w:t>
            </w:r>
          </w:p>
        </w:tc>
        <w:tc>
          <w:tcPr>
            <w:tcW w:w="779" w:type="pct"/>
            <w:tcBorders>
              <w:bottom w:val="single" w:sz="4" w:space="0" w:color="auto"/>
            </w:tcBorders>
            <w:vAlign w:val="center"/>
          </w:tcPr>
          <w:p w14:paraId="3DEC2BF1" w14:textId="77777777" w:rsidR="00C538E8" w:rsidRPr="00C538E8" w:rsidRDefault="00C538E8">
            <w:pPr>
              <w:pStyle w:val="TableText"/>
              <w:keepNext/>
              <w:jc w:val="center"/>
              <w:rPr>
                <w:b/>
                <w:bCs/>
              </w:rPr>
            </w:pPr>
            <w:r w:rsidRPr="00C538E8">
              <w:rPr>
                <w:b/>
                <w:bCs/>
              </w:rPr>
              <w:t>Incremental effectiveness</w:t>
            </w:r>
          </w:p>
        </w:tc>
        <w:tc>
          <w:tcPr>
            <w:tcW w:w="507" w:type="pct"/>
            <w:tcBorders>
              <w:bottom w:val="single" w:sz="4" w:space="0" w:color="auto"/>
            </w:tcBorders>
            <w:vAlign w:val="center"/>
          </w:tcPr>
          <w:p w14:paraId="285E8336" w14:textId="77777777" w:rsidR="00C538E8" w:rsidRPr="00C538E8" w:rsidRDefault="00C538E8">
            <w:pPr>
              <w:pStyle w:val="TableText"/>
              <w:keepNext/>
              <w:jc w:val="center"/>
              <w:rPr>
                <w:b/>
                <w:bCs/>
              </w:rPr>
            </w:pPr>
            <w:r w:rsidRPr="00C538E8">
              <w:rPr>
                <w:b/>
                <w:bCs/>
              </w:rPr>
              <w:t>ICER</w:t>
            </w:r>
          </w:p>
        </w:tc>
      </w:tr>
      <w:tr w:rsidR="00C538E8" w:rsidRPr="00D54A2F" w14:paraId="2849ED13" w14:textId="77777777">
        <w:tc>
          <w:tcPr>
            <w:tcW w:w="1728" w:type="pct"/>
            <w:tcBorders>
              <w:right w:val="nil"/>
            </w:tcBorders>
          </w:tcPr>
          <w:p w14:paraId="3F529161" w14:textId="77777777" w:rsidR="00C538E8" w:rsidRPr="00D54A2F" w:rsidRDefault="00C538E8">
            <w:pPr>
              <w:pStyle w:val="TableText"/>
              <w:keepNext/>
            </w:pPr>
            <w:r w:rsidRPr="00D54A2F">
              <w:t>Step 1 (</w:t>
            </w:r>
            <w:r w:rsidRPr="00D54A2F">
              <w:rPr>
                <w:b/>
                <w:bCs/>
              </w:rPr>
              <w:t>cost per LY</w:t>
            </w:r>
            <w:r w:rsidRPr="00D54A2F">
              <w:t xml:space="preserve"> – 7.5-year time horizon)</w:t>
            </w:r>
          </w:p>
        </w:tc>
        <w:tc>
          <w:tcPr>
            <w:tcW w:w="682" w:type="pct"/>
            <w:tcBorders>
              <w:left w:val="nil"/>
              <w:right w:val="nil"/>
            </w:tcBorders>
          </w:tcPr>
          <w:p w14:paraId="5DA017A5" w14:textId="77777777" w:rsidR="00C538E8" w:rsidRPr="00D54A2F" w:rsidRDefault="00C538E8">
            <w:pPr>
              <w:pStyle w:val="TableText"/>
              <w:keepNext/>
              <w:jc w:val="center"/>
            </w:pPr>
          </w:p>
        </w:tc>
        <w:tc>
          <w:tcPr>
            <w:tcW w:w="699" w:type="pct"/>
            <w:tcBorders>
              <w:left w:val="nil"/>
              <w:right w:val="nil"/>
            </w:tcBorders>
          </w:tcPr>
          <w:p w14:paraId="61B7F3E0" w14:textId="77777777" w:rsidR="00C538E8" w:rsidRPr="00D54A2F" w:rsidRDefault="00C538E8">
            <w:pPr>
              <w:pStyle w:val="TableText"/>
              <w:keepNext/>
              <w:jc w:val="center"/>
            </w:pPr>
          </w:p>
        </w:tc>
        <w:tc>
          <w:tcPr>
            <w:tcW w:w="605" w:type="pct"/>
            <w:tcBorders>
              <w:left w:val="nil"/>
              <w:right w:val="nil"/>
            </w:tcBorders>
          </w:tcPr>
          <w:p w14:paraId="6913B788" w14:textId="77777777" w:rsidR="00C538E8" w:rsidRPr="00D54A2F" w:rsidRDefault="00C538E8">
            <w:pPr>
              <w:pStyle w:val="TableText"/>
              <w:keepNext/>
              <w:jc w:val="center"/>
            </w:pPr>
          </w:p>
        </w:tc>
        <w:tc>
          <w:tcPr>
            <w:tcW w:w="779" w:type="pct"/>
            <w:tcBorders>
              <w:left w:val="nil"/>
              <w:right w:val="nil"/>
            </w:tcBorders>
          </w:tcPr>
          <w:p w14:paraId="3474D079" w14:textId="77777777" w:rsidR="00C538E8" w:rsidRPr="00D54A2F" w:rsidRDefault="00C538E8">
            <w:pPr>
              <w:pStyle w:val="TableText"/>
              <w:keepNext/>
              <w:jc w:val="center"/>
            </w:pPr>
          </w:p>
        </w:tc>
        <w:tc>
          <w:tcPr>
            <w:tcW w:w="507" w:type="pct"/>
            <w:tcBorders>
              <w:left w:val="nil"/>
            </w:tcBorders>
          </w:tcPr>
          <w:p w14:paraId="006E734C" w14:textId="77777777" w:rsidR="00C538E8" w:rsidRPr="00D54A2F" w:rsidRDefault="00C538E8">
            <w:pPr>
              <w:pStyle w:val="TableText"/>
              <w:keepNext/>
              <w:jc w:val="center"/>
            </w:pPr>
          </w:p>
        </w:tc>
      </w:tr>
      <w:tr w:rsidR="00C538E8" w:rsidRPr="00D54A2F" w14:paraId="03AF3BB3" w14:textId="77777777">
        <w:tc>
          <w:tcPr>
            <w:tcW w:w="1728" w:type="pct"/>
          </w:tcPr>
          <w:p w14:paraId="3718A9CD" w14:textId="77777777" w:rsidR="00C538E8" w:rsidRPr="00D54A2F" w:rsidRDefault="00C538E8">
            <w:pPr>
              <w:pStyle w:val="TableText"/>
              <w:keepNext/>
              <w:ind w:left="568"/>
            </w:pPr>
            <w:r>
              <w:rPr>
                <w:vertAlign w:val="superscript"/>
              </w:rPr>
              <w:t>177</w:t>
            </w:r>
            <w:r w:rsidRPr="00D54A2F">
              <w:t>Lu</w:t>
            </w:r>
            <w:r>
              <w:t> </w:t>
            </w:r>
            <w:r w:rsidRPr="00D54A2F">
              <w:t>PSMA</w:t>
            </w:r>
            <w:r>
              <w:t> i&amp;t</w:t>
            </w:r>
            <w:r w:rsidRPr="00D54A2F">
              <w:t xml:space="preserve"> (responders)</w:t>
            </w:r>
          </w:p>
        </w:tc>
        <w:tc>
          <w:tcPr>
            <w:tcW w:w="682" w:type="pct"/>
          </w:tcPr>
          <w:p w14:paraId="4836EFC8" w14:textId="77777777" w:rsidR="00C538E8" w:rsidRPr="00D54A2F" w:rsidRDefault="00C538E8">
            <w:pPr>
              <w:pStyle w:val="TableText"/>
              <w:keepNext/>
              <w:jc w:val="center"/>
              <w:rPr>
                <w:i/>
                <w:iCs/>
              </w:rPr>
            </w:pPr>
            <w:r w:rsidRPr="00D54A2F">
              <w:rPr>
                <w:i/>
                <w:iCs/>
              </w:rPr>
              <w:t>$55,077</w:t>
            </w:r>
          </w:p>
        </w:tc>
        <w:tc>
          <w:tcPr>
            <w:tcW w:w="699" w:type="pct"/>
          </w:tcPr>
          <w:p w14:paraId="7E99A6C4" w14:textId="77777777" w:rsidR="00C538E8" w:rsidRPr="00D54A2F" w:rsidRDefault="00C538E8">
            <w:pPr>
              <w:pStyle w:val="TableText"/>
              <w:keepNext/>
              <w:jc w:val="center"/>
            </w:pPr>
          </w:p>
        </w:tc>
        <w:tc>
          <w:tcPr>
            <w:tcW w:w="605" w:type="pct"/>
          </w:tcPr>
          <w:p w14:paraId="679FA89C" w14:textId="77777777" w:rsidR="00C538E8" w:rsidRPr="00D54A2F" w:rsidRDefault="00C538E8">
            <w:pPr>
              <w:pStyle w:val="TableText"/>
              <w:keepNext/>
              <w:jc w:val="center"/>
              <w:rPr>
                <w:i/>
                <w:iCs/>
              </w:rPr>
            </w:pPr>
            <w:r w:rsidRPr="00D54A2F">
              <w:rPr>
                <w:i/>
                <w:iCs/>
              </w:rPr>
              <w:t>1.05</w:t>
            </w:r>
          </w:p>
        </w:tc>
        <w:tc>
          <w:tcPr>
            <w:tcW w:w="779" w:type="pct"/>
          </w:tcPr>
          <w:p w14:paraId="731448CD" w14:textId="77777777" w:rsidR="00C538E8" w:rsidRPr="00D54A2F" w:rsidRDefault="00C538E8">
            <w:pPr>
              <w:pStyle w:val="TableText"/>
              <w:keepNext/>
              <w:jc w:val="center"/>
            </w:pPr>
          </w:p>
        </w:tc>
        <w:tc>
          <w:tcPr>
            <w:tcW w:w="507" w:type="pct"/>
          </w:tcPr>
          <w:p w14:paraId="6C39E265" w14:textId="77777777" w:rsidR="00C538E8" w:rsidRPr="00D54A2F" w:rsidRDefault="00C538E8">
            <w:pPr>
              <w:pStyle w:val="TableText"/>
              <w:keepNext/>
              <w:jc w:val="center"/>
            </w:pPr>
          </w:p>
        </w:tc>
      </w:tr>
      <w:tr w:rsidR="00C538E8" w:rsidRPr="00D54A2F" w14:paraId="0E834B19" w14:textId="77777777">
        <w:tc>
          <w:tcPr>
            <w:tcW w:w="1728" w:type="pct"/>
          </w:tcPr>
          <w:p w14:paraId="7491F101" w14:textId="77777777" w:rsidR="00C538E8" w:rsidRPr="00D54A2F" w:rsidRDefault="00C538E8">
            <w:pPr>
              <w:pStyle w:val="TableText"/>
              <w:keepNext/>
              <w:ind w:left="568"/>
              <w:rPr>
                <w:vertAlign w:val="superscript"/>
              </w:rPr>
            </w:pPr>
            <w:r>
              <w:rPr>
                <w:vertAlign w:val="superscript"/>
              </w:rPr>
              <w:t>177</w:t>
            </w:r>
            <w:r w:rsidRPr="00D54A2F">
              <w:t>Lu</w:t>
            </w:r>
            <w:r>
              <w:t> </w:t>
            </w:r>
            <w:r w:rsidRPr="00D54A2F">
              <w:t>PSMA</w:t>
            </w:r>
            <w:r>
              <w:t> i&amp;t</w:t>
            </w:r>
            <w:r w:rsidRPr="00D54A2F">
              <w:t xml:space="preserve"> (non-responders)</w:t>
            </w:r>
          </w:p>
        </w:tc>
        <w:tc>
          <w:tcPr>
            <w:tcW w:w="682" w:type="pct"/>
          </w:tcPr>
          <w:p w14:paraId="1DD7AF4C" w14:textId="77777777" w:rsidR="00C538E8" w:rsidRPr="00D54A2F" w:rsidRDefault="00C538E8">
            <w:pPr>
              <w:pStyle w:val="TableText"/>
              <w:keepNext/>
              <w:jc w:val="center"/>
              <w:rPr>
                <w:i/>
                <w:iCs/>
              </w:rPr>
            </w:pPr>
            <w:r w:rsidRPr="00D54A2F">
              <w:rPr>
                <w:i/>
                <w:iCs/>
              </w:rPr>
              <w:t>$15,480</w:t>
            </w:r>
          </w:p>
        </w:tc>
        <w:tc>
          <w:tcPr>
            <w:tcW w:w="699" w:type="pct"/>
          </w:tcPr>
          <w:p w14:paraId="766CBADE" w14:textId="77777777" w:rsidR="00C538E8" w:rsidRPr="00D54A2F" w:rsidRDefault="00C538E8">
            <w:pPr>
              <w:pStyle w:val="TableText"/>
              <w:keepNext/>
              <w:jc w:val="center"/>
            </w:pPr>
          </w:p>
        </w:tc>
        <w:tc>
          <w:tcPr>
            <w:tcW w:w="605" w:type="pct"/>
          </w:tcPr>
          <w:p w14:paraId="4449C2B2" w14:textId="77777777" w:rsidR="00C538E8" w:rsidRPr="00D54A2F" w:rsidRDefault="00C538E8">
            <w:pPr>
              <w:pStyle w:val="TableText"/>
              <w:keepNext/>
              <w:jc w:val="center"/>
              <w:rPr>
                <w:i/>
                <w:iCs/>
              </w:rPr>
            </w:pPr>
            <w:r w:rsidRPr="00D54A2F">
              <w:rPr>
                <w:i/>
                <w:iCs/>
              </w:rPr>
              <w:t>0.35</w:t>
            </w:r>
          </w:p>
        </w:tc>
        <w:tc>
          <w:tcPr>
            <w:tcW w:w="779" w:type="pct"/>
          </w:tcPr>
          <w:p w14:paraId="5CBEFDCE" w14:textId="77777777" w:rsidR="00C538E8" w:rsidRPr="00D54A2F" w:rsidRDefault="00C538E8">
            <w:pPr>
              <w:pStyle w:val="TableText"/>
              <w:keepNext/>
              <w:jc w:val="center"/>
            </w:pPr>
          </w:p>
        </w:tc>
        <w:tc>
          <w:tcPr>
            <w:tcW w:w="507" w:type="pct"/>
          </w:tcPr>
          <w:p w14:paraId="261BAB31" w14:textId="77777777" w:rsidR="00C538E8" w:rsidRPr="00D54A2F" w:rsidRDefault="00C538E8">
            <w:pPr>
              <w:pStyle w:val="TableText"/>
              <w:keepNext/>
              <w:jc w:val="center"/>
            </w:pPr>
          </w:p>
        </w:tc>
      </w:tr>
      <w:tr w:rsidR="00C538E8" w:rsidRPr="00D54A2F" w14:paraId="74106A8C" w14:textId="77777777">
        <w:tc>
          <w:tcPr>
            <w:tcW w:w="1728" w:type="pct"/>
          </w:tcPr>
          <w:p w14:paraId="5DE4BED2" w14:textId="77777777" w:rsidR="00C538E8" w:rsidRPr="00D54A2F" w:rsidRDefault="00C538E8">
            <w:pPr>
              <w:pStyle w:val="TableText"/>
              <w:keepNext/>
              <w:ind w:left="568"/>
              <w:rPr>
                <w:vertAlign w:val="superscript"/>
              </w:rPr>
            </w:pPr>
            <w:r w:rsidRPr="00D54A2F">
              <w:t xml:space="preserve">10% allocated to comparator </w:t>
            </w:r>
          </w:p>
        </w:tc>
        <w:tc>
          <w:tcPr>
            <w:tcW w:w="682" w:type="pct"/>
          </w:tcPr>
          <w:p w14:paraId="2B7955BB" w14:textId="77777777" w:rsidR="00C538E8" w:rsidRPr="00D54A2F" w:rsidRDefault="00C538E8">
            <w:pPr>
              <w:pStyle w:val="TableText"/>
              <w:keepNext/>
              <w:jc w:val="center"/>
              <w:rPr>
                <w:i/>
                <w:iCs/>
              </w:rPr>
            </w:pPr>
            <w:r w:rsidRPr="00D54A2F">
              <w:rPr>
                <w:i/>
                <w:iCs/>
              </w:rPr>
              <w:t>$4,443</w:t>
            </w:r>
          </w:p>
        </w:tc>
        <w:tc>
          <w:tcPr>
            <w:tcW w:w="699" w:type="pct"/>
          </w:tcPr>
          <w:p w14:paraId="68DABFCC" w14:textId="77777777" w:rsidR="00C538E8" w:rsidRPr="00D54A2F" w:rsidRDefault="00C538E8">
            <w:pPr>
              <w:pStyle w:val="TableText"/>
              <w:keepNext/>
              <w:jc w:val="center"/>
            </w:pPr>
          </w:p>
        </w:tc>
        <w:tc>
          <w:tcPr>
            <w:tcW w:w="605" w:type="pct"/>
          </w:tcPr>
          <w:p w14:paraId="2AFCDF49" w14:textId="77777777" w:rsidR="00C538E8" w:rsidRPr="00D54A2F" w:rsidRDefault="00C538E8">
            <w:pPr>
              <w:pStyle w:val="TableText"/>
              <w:keepNext/>
              <w:jc w:val="center"/>
              <w:rPr>
                <w:i/>
                <w:iCs/>
              </w:rPr>
            </w:pPr>
            <w:r w:rsidRPr="00D54A2F">
              <w:rPr>
                <w:i/>
                <w:iCs/>
              </w:rPr>
              <w:t>0.124</w:t>
            </w:r>
          </w:p>
        </w:tc>
        <w:tc>
          <w:tcPr>
            <w:tcW w:w="779" w:type="pct"/>
          </w:tcPr>
          <w:p w14:paraId="420EB5C2" w14:textId="77777777" w:rsidR="00C538E8" w:rsidRPr="00D54A2F" w:rsidRDefault="00C538E8">
            <w:pPr>
              <w:pStyle w:val="TableText"/>
              <w:keepNext/>
              <w:jc w:val="center"/>
            </w:pPr>
          </w:p>
        </w:tc>
        <w:tc>
          <w:tcPr>
            <w:tcW w:w="507" w:type="pct"/>
          </w:tcPr>
          <w:p w14:paraId="495F9CD5" w14:textId="77777777" w:rsidR="00C538E8" w:rsidRPr="00D54A2F" w:rsidRDefault="00C538E8">
            <w:pPr>
              <w:pStyle w:val="TableText"/>
              <w:keepNext/>
              <w:jc w:val="center"/>
            </w:pPr>
          </w:p>
        </w:tc>
      </w:tr>
      <w:tr w:rsidR="00C538E8" w:rsidRPr="00D54A2F" w14:paraId="362CE3C0" w14:textId="77777777">
        <w:tc>
          <w:tcPr>
            <w:tcW w:w="1728" w:type="pct"/>
          </w:tcPr>
          <w:p w14:paraId="34D46E87" w14:textId="77777777" w:rsidR="00C538E8" w:rsidRPr="00D54A2F" w:rsidRDefault="00C538E8">
            <w:pPr>
              <w:pStyle w:val="TableText"/>
              <w:keepNext/>
            </w:pPr>
            <w:r w:rsidRPr="00D54A2F">
              <w:t xml:space="preserve">Total </w:t>
            </w:r>
            <w:r>
              <w:rPr>
                <w:vertAlign w:val="superscript"/>
              </w:rPr>
              <w:t>177</w:t>
            </w:r>
            <w:r w:rsidRPr="00D54A2F">
              <w:t>Lu</w:t>
            </w:r>
            <w:r>
              <w:t> </w:t>
            </w:r>
            <w:r w:rsidRPr="00D54A2F">
              <w:t>PSMA</w:t>
            </w:r>
            <w:r>
              <w:t> i&amp;t</w:t>
            </w:r>
            <w:r w:rsidRPr="00D54A2F">
              <w:t xml:space="preserve"> treatment strategy</w:t>
            </w:r>
          </w:p>
        </w:tc>
        <w:tc>
          <w:tcPr>
            <w:tcW w:w="682" w:type="pct"/>
            <w:vAlign w:val="bottom"/>
          </w:tcPr>
          <w:p w14:paraId="54A0F9A6" w14:textId="77777777" w:rsidR="00C538E8" w:rsidRPr="00D54A2F" w:rsidRDefault="00C538E8">
            <w:pPr>
              <w:pStyle w:val="TableText"/>
              <w:keepNext/>
              <w:jc w:val="center"/>
              <w:rPr>
                <w:b/>
                <w:bCs/>
              </w:rPr>
            </w:pPr>
            <w:r w:rsidRPr="00D54A2F">
              <w:rPr>
                <w:b/>
                <w:bCs/>
              </w:rPr>
              <w:t>$75,000</w:t>
            </w:r>
          </w:p>
        </w:tc>
        <w:tc>
          <w:tcPr>
            <w:tcW w:w="699" w:type="pct"/>
            <w:vAlign w:val="bottom"/>
          </w:tcPr>
          <w:p w14:paraId="3E962F85" w14:textId="77777777" w:rsidR="00C538E8" w:rsidRPr="00D54A2F" w:rsidRDefault="00C538E8">
            <w:pPr>
              <w:pStyle w:val="TableText"/>
              <w:keepNext/>
              <w:jc w:val="center"/>
              <w:rPr>
                <w:b/>
                <w:bCs/>
              </w:rPr>
            </w:pPr>
            <w:r w:rsidRPr="00D54A2F">
              <w:rPr>
                <w:b/>
                <w:bCs/>
              </w:rPr>
              <w:t>$31,946</w:t>
            </w:r>
          </w:p>
        </w:tc>
        <w:tc>
          <w:tcPr>
            <w:tcW w:w="605" w:type="pct"/>
            <w:vAlign w:val="bottom"/>
          </w:tcPr>
          <w:p w14:paraId="22A9CF78" w14:textId="77777777" w:rsidR="00C538E8" w:rsidRPr="00D54A2F" w:rsidRDefault="00C538E8">
            <w:pPr>
              <w:pStyle w:val="TableText"/>
              <w:keepNext/>
              <w:jc w:val="center"/>
              <w:rPr>
                <w:b/>
                <w:bCs/>
              </w:rPr>
            </w:pPr>
            <w:r w:rsidRPr="00D54A2F">
              <w:rPr>
                <w:b/>
                <w:bCs/>
              </w:rPr>
              <w:t>1.521</w:t>
            </w:r>
          </w:p>
        </w:tc>
        <w:tc>
          <w:tcPr>
            <w:tcW w:w="779" w:type="pct"/>
            <w:vAlign w:val="bottom"/>
          </w:tcPr>
          <w:p w14:paraId="6788F360" w14:textId="77777777" w:rsidR="00C538E8" w:rsidRPr="00D54A2F" w:rsidRDefault="00C538E8">
            <w:pPr>
              <w:pStyle w:val="TableText"/>
              <w:keepNext/>
              <w:jc w:val="center"/>
              <w:rPr>
                <w:b/>
                <w:bCs/>
              </w:rPr>
            </w:pPr>
            <w:r w:rsidRPr="00D54A2F">
              <w:rPr>
                <w:b/>
                <w:bCs/>
              </w:rPr>
              <w:t>0.277</w:t>
            </w:r>
          </w:p>
        </w:tc>
        <w:tc>
          <w:tcPr>
            <w:tcW w:w="507" w:type="pct"/>
            <w:vAlign w:val="bottom"/>
          </w:tcPr>
          <w:p w14:paraId="0BEDA057" w14:textId="77777777" w:rsidR="00C538E8" w:rsidRPr="00D54A2F" w:rsidRDefault="00C538E8">
            <w:pPr>
              <w:pStyle w:val="TableText"/>
              <w:keepNext/>
              <w:jc w:val="center"/>
              <w:rPr>
                <w:b/>
                <w:bCs/>
              </w:rPr>
            </w:pPr>
            <w:r w:rsidRPr="00D54A2F">
              <w:rPr>
                <w:b/>
                <w:bCs/>
              </w:rPr>
              <w:t>$115,500</w:t>
            </w:r>
          </w:p>
        </w:tc>
      </w:tr>
      <w:tr w:rsidR="00C538E8" w:rsidRPr="00D54A2F" w14:paraId="310C9806" w14:textId="77777777">
        <w:tc>
          <w:tcPr>
            <w:tcW w:w="1728" w:type="pct"/>
            <w:tcBorders>
              <w:bottom w:val="single" w:sz="4" w:space="0" w:color="auto"/>
            </w:tcBorders>
          </w:tcPr>
          <w:p w14:paraId="732A14CA" w14:textId="108CEF65" w:rsidR="00C538E8" w:rsidRPr="00D54A2F" w:rsidRDefault="00C538E8">
            <w:pPr>
              <w:pStyle w:val="TableText"/>
              <w:keepNext/>
            </w:pPr>
            <w:r w:rsidRPr="00D54A2F">
              <w:t>Total Cabazitaxel/BS</w:t>
            </w:r>
            <w:r w:rsidR="00412AB1">
              <w:t>c</w:t>
            </w:r>
          </w:p>
        </w:tc>
        <w:tc>
          <w:tcPr>
            <w:tcW w:w="682" w:type="pct"/>
            <w:tcBorders>
              <w:bottom w:val="single" w:sz="4" w:space="0" w:color="auto"/>
            </w:tcBorders>
            <w:vAlign w:val="bottom"/>
          </w:tcPr>
          <w:p w14:paraId="306C73A2" w14:textId="77777777" w:rsidR="00C538E8" w:rsidRPr="00D54A2F" w:rsidRDefault="00C538E8">
            <w:pPr>
              <w:pStyle w:val="TableText"/>
              <w:keepNext/>
              <w:jc w:val="center"/>
              <w:rPr>
                <w:b/>
                <w:bCs/>
              </w:rPr>
            </w:pPr>
            <w:r w:rsidRPr="00D54A2F">
              <w:rPr>
                <w:b/>
                <w:bCs/>
              </w:rPr>
              <w:t>$43,055</w:t>
            </w:r>
          </w:p>
        </w:tc>
        <w:tc>
          <w:tcPr>
            <w:tcW w:w="699" w:type="pct"/>
            <w:tcBorders>
              <w:bottom w:val="single" w:sz="4" w:space="0" w:color="auto"/>
            </w:tcBorders>
            <w:vAlign w:val="bottom"/>
          </w:tcPr>
          <w:p w14:paraId="4B9CD735" w14:textId="77777777" w:rsidR="00C538E8" w:rsidRPr="00D54A2F" w:rsidRDefault="00C538E8">
            <w:pPr>
              <w:pStyle w:val="TableText"/>
              <w:keepNext/>
              <w:jc w:val="center"/>
            </w:pPr>
          </w:p>
        </w:tc>
        <w:tc>
          <w:tcPr>
            <w:tcW w:w="605" w:type="pct"/>
            <w:tcBorders>
              <w:bottom w:val="single" w:sz="4" w:space="0" w:color="auto"/>
            </w:tcBorders>
            <w:vAlign w:val="bottom"/>
          </w:tcPr>
          <w:p w14:paraId="5AF8DF6C" w14:textId="77777777" w:rsidR="00C538E8" w:rsidRPr="00D54A2F" w:rsidRDefault="00C538E8">
            <w:pPr>
              <w:pStyle w:val="TableText"/>
              <w:keepNext/>
              <w:jc w:val="center"/>
              <w:rPr>
                <w:b/>
                <w:bCs/>
              </w:rPr>
            </w:pPr>
            <w:r w:rsidRPr="00D54A2F">
              <w:rPr>
                <w:b/>
                <w:bCs/>
              </w:rPr>
              <w:t>1.245</w:t>
            </w:r>
          </w:p>
        </w:tc>
        <w:tc>
          <w:tcPr>
            <w:tcW w:w="779" w:type="pct"/>
            <w:tcBorders>
              <w:bottom w:val="single" w:sz="4" w:space="0" w:color="auto"/>
            </w:tcBorders>
            <w:vAlign w:val="bottom"/>
          </w:tcPr>
          <w:p w14:paraId="18A023E7" w14:textId="77777777" w:rsidR="00C538E8" w:rsidRPr="00D54A2F" w:rsidRDefault="00C538E8">
            <w:pPr>
              <w:pStyle w:val="TableText"/>
              <w:keepNext/>
              <w:jc w:val="center"/>
            </w:pPr>
          </w:p>
        </w:tc>
        <w:tc>
          <w:tcPr>
            <w:tcW w:w="507" w:type="pct"/>
            <w:tcBorders>
              <w:bottom w:val="single" w:sz="4" w:space="0" w:color="auto"/>
            </w:tcBorders>
            <w:vAlign w:val="bottom"/>
          </w:tcPr>
          <w:p w14:paraId="528E1D73" w14:textId="77777777" w:rsidR="00C538E8" w:rsidRPr="00D54A2F" w:rsidRDefault="00C538E8">
            <w:pPr>
              <w:pStyle w:val="TableText"/>
              <w:keepNext/>
              <w:jc w:val="center"/>
            </w:pPr>
          </w:p>
        </w:tc>
      </w:tr>
      <w:tr w:rsidR="00C538E8" w:rsidRPr="00D54A2F" w14:paraId="148E40E1" w14:textId="77777777">
        <w:tc>
          <w:tcPr>
            <w:tcW w:w="1728" w:type="pct"/>
            <w:tcBorders>
              <w:right w:val="nil"/>
            </w:tcBorders>
          </w:tcPr>
          <w:p w14:paraId="4B30F073" w14:textId="5671846E" w:rsidR="00C538E8" w:rsidRPr="00D54A2F" w:rsidRDefault="00C538E8">
            <w:pPr>
              <w:pStyle w:val="TableText"/>
              <w:keepNext/>
            </w:pPr>
            <w:r w:rsidRPr="00D54A2F">
              <w:t xml:space="preserve">Step </w:t>
            </w:r>
            <w:r w:rsidR="00735835">
              <w:t>2</w:t>
            </w:r>
            <w:r w:rsidRPr="00D54A2F">
              <w:t xml:space="preserve"> (</w:t>
            </w:r>
            <w:r w:rsidRPr="00D54A2F">
              <w:rPr>
                <w:b/>
                <w:bCs/>
              </w:rPr>
              <w:t>cost per QALY</w:t>
            </w:r>
            <w:r w:rsidRPr="00D54A2F">
              <w:t xml:space="preserve"> – 7.5-year time horizon)</w:t>
            </w:r>
          </w:p>
        </w:tc>
        <w:tc>
          <w:tcPr>
            <w:tcW w:w="682" w:type="pct"/>
            <w:tcBorders>
              <w:left w:val="nil"/>
              <w:right w:val="nil"/>
            </w:tcBorders>
          </w:tcPr>
          <w:p w14:paraId="2F85568D" w14:textId="77777777" w:rsidR="00C538E8" w:rsidRPr="00D54A2F" w:rsidRDefault="00C538E8">
            <w:pPr>
              <w:pStyle w:val="TableText"/>
              <w:keepNext/>
              <w:jc w:val="center"/>
            </w:pPr>
          </w:p>
        </w:tc>
        <w:tc>
          <w:tcPr>
            <w:tcW w:w="699" w:type="pct"/>
            <w:tcBorders>
              <w:left w:val="nil"/>
              <w:right w:val="nil"/>
            </w:tcBorders>
          </w:tcPr>
          <w:p w14:paraId="295632D8" w14:textId="77777777" w:rsidR="00C538E8" w:rsidRPr="00D54A2F" w:rsidRDefault="00C538E8">
            <w:pPr>
              <w:pStyle w:val="TableText"/>
              <w:keepNext/>
              <w:jc w:val="center"/>
            </w:pPr>
          </w:p>
        </w:tc>
        <w:tc>
          <w:tcPr>
            <w:tcW w:w="605" w:type="pct"/>
            <w:tcBorders>
              <w:left w:val="nil"/>
              <w:right w:val="nil"/>
            </w:tcBorders>
          </w:tcPr>
          <w:p w14:paraId="6AE95737" w14:textId="77777777" w:rsidR="00C538E8" w:rsidRPr="00D54A2F" w:rsidRDefault="00C538E8">
            <w:pPr>
              <w:pStyle w:val="TableText"/>
              <w:keepNext/>
              <w:jc w:val="center"/>
            </w:pPr>
          </w:p>
        </w:tc>
        <w:tc>
          <w:tcPr>
            <w:tcW w:w="779" w:type="pct"/>
            <w:tcBorders>
              <w:left w:val="nil"/>
              <w:right w:val="nil"/>
            </w:tcBorders>
          </w:tcPr>
          <w:p w14:paraId="14C3D584" w14:textId="77777777" w:rsidR="00C538E8" w:rsidRPr="00D54A2F" w:rsidRDefault="00C538E8">
            <w:pPr>
              <w:pStyle w:val="TableText"/>
              <w:keepNext/>
              <w:jc w:val="center"/>
            </w:pPr>
          </w:p>
        </w:tc>
        <w:tc>
          <w:tcPr>
            <w:tcW w:w="507" w:type="pct"/>
            <w:tcBorders>
              <w:left w:val="nil"/>
            </w:tcBorders>
          </w:tcPr>
          <w:p w14:paraId="37E2D83C" w14:textId="77777777" w:rsidR="00C538E8" w:rsidRPr="00D54A2F" w:rsidRDefault="00C538E8">
            <w:pPr>
              <w:pStyle w:val="TableText"/>
              <w:keepNext/>
              <w:jc w:val="center"/>
            </w:pPr>
          </w:p>
        </w:tc>
      </w:tr>
      <w:tr w:rsidR="00C538E8" w:rsidRPr="00D54A2F" w14:paraId="1D9FF0EE" w14:textId="77777777">
        <w:tc>
          <w:tcPr>
            <w:tcW w:w="1728" w:type="pct"/>
          </w:tcPr>
          <w:p w14:paraId="305BAB5D" w14:textId="77777777" w:rsidR="00C538E8" w:rsidRPr="00D54A2F" w:rsidRDefault="00C538E8">
            <w:pPr>
              <w:pStyle w:val="TableText"/>
              <w:keepNext/>
              <w:ind w:left="568"/>
            </w:pPr>
            <w:r>
              <w:rPr>
                <w:vertAlign w:val="superscript"/>
              </w:rPr>
              <w:t>177</w:t>
            </w:r>
            <w:r w:rsidRPr="00D54A2F">
              <w:t>Lu</w:t>
            </w:r>
            <w:r>
              <w:t> </w:t>
            </w:r>
            <w:r w:rsidRPr="00D54A2F">
              <w:t>PSMA</w:t>
            </w:r>
            <w:r>
              <w:t> i&amp;t</w:t>
            </w:r>
            <w:r w:rsidRPr="00D54A2F">
              <w:t xml:space="preserve"> (responders)</w:t>
            </w:r>
          </w:p>
        </w:tc>
        <w:tc>
          <w:tcPr>
            <w:tcW w:w="682" w:type="pct"/>
          </w:tcPr>
          <w:p w14:paraId="47C9EE65" w14:textId="77777777" w:rsidR="00C538E8" w:rsidRPr="00D54A2F" w:rsidRDefault="00C538E8">
            <w:pPr>
              <w:pStyle w:val="TableText"/>
              <w:keepNext/>
              <w:jc w:val="center"/>
            </w:pPr>
            <w:r w:rsidRPr="00D54A2F">
              <w:rPr>
                <w:i/>
                <w:iCs/>
              </w:rPr>
              <w:t>$55,077</w:t>
            </w:r>
          </w:p>
        </w:tc>
        <w:tc>
          <w:tcPr>
            <w:tcW w:w="699" w:type="pct"/>
          </w:tcPr>
          <w:p w14:paraId="28CB69D7" w14:textId="77777777" w:rsidR="00C538E8" w:rsidRPr="00D54A2F" w:rsidRDefault="00C538E8">
            <w:pPr>
              <w:pStyle w:val="TableText"/>
              <w:keepNext/>
              <w:jc w:val="center"/>
            </w:pPr>
          </w:p>
        </w:tc>
        <w:tc>
          <w:tcPr>
            <w:tcW w:w="605" w:type="pct"/>
          </w:tcPr>
          <w:p w14:paraId="1EA82C15" w14:textId="77777777" w:rsidR="00C538E8" w:rsidRPr="00D54A2F" w:rsidRDefault="00C538E8">
            <w:pPr>
              <w:pStyle w:val="TableText"/>
              <w:keepNext/>
              <w:jc w:val="center"/>
              <w:rPr>
                <w:i/>
                <w:iCs/>
              </w:rPr>
            </w:pPr>
            <w:r w:rsidRPr="00D54A2F">
              <w:rPr>
                <w:i/>
                <w:iCs/>
              </w:rPr>
              <w:t>0.70</w:t>
            </w:r>
          </w:p>
        </w:tc>
        <w:tc>
          <w:tcPr>
            <w:tcW w:w="779" w:type="pct"/>
          </w:tcPr>
          <w:p w14:paraId="34AFE657" w14:textId="77777777" w:rsidR="00C538E8" w:rsidRPr="00D54A2F" w:rsidRDefault="00C538E8">
            <w:pPr>
              <w:pStyle w:val="TableText"/>
              <w:keepNext/>
              <w:jc w:val="center"/>
            </w:pPr>
          </w:p>
        </w:tc>
        <w:tc>
          <w:tcPr>
            <w:tcW w:w="507" w:type="pct"/>
          </w:tcPr>
          <w:p w14:paraId="5B2460BC" w14:textId="77777777" w:rsidR="00C538E8" w:rsidRPr="00D54A2F" w:rsidRDefault="00C538E8">
            <w:pPr>
              <w:pStyle w:val="TableText"/>
              <w:keepNext/>
              <w:jc w:val="center"/>
            </w:pPr>
          </w:p>
        </w:tc>
      </w:tr>
      <w:tr w:rsidR="00C538E8" w:rsidRPr="00D54A2F" w14:paraId="0569DFF3" w14:textId="77777777">
        <w:tc>
          <w:tcPr>
            <w:tcW w:w="1728" w:type="pct"/>
          </w:tcPr>
          <w:p w14:paraId="1BEA8BC4" w14:textId="77777777" w:rsidR="00C538E8" w:rsidRPr="00D54A2F" w:rsidRDefault="00C538E8">
            <w:pPr>
              <w:pStyle w:val="TableText"/>
              <w:keepNext/>
              <w:ind w:left="568"/>
              <w:rPr>
                <w:vertAlign w:val="superscript"/>
              </w:rPr>
            </w:pPr>
            <w:r>
              <w:rPr>
                <w:vertAlign w:val="superscript"/>
              </w:rPr>
              <w:t>177</w:t>
            </w:r>
            <w:r w:rsidRPr="00D54A2F">
              <w:t>Lu</w:t>
            </w:r>
            <w:r>
              <w:t> </w:t>
            </w:r>
            <w:r w:rsidRPr="00D54A2F">
              <w:t>PSMA</w:t>
            </w:r>
            <w:r>
              <w:t> i&amp;t</w:t>
            </w:r>
            <w:r w:rsidRPr="00D54A2F">
              <w:t xml:space="preserve"> (non-responders)</w:t>
            </w:r>
          </w:p>
        </w:tc>
        <w:tc>
          <w:tcPr>
            <w:tcW w:w="682" w:type="pct"/>
          </w:tcPr>
          <w:p w14:paraId="1000A59D" w14:textId="77777777" w:rsidR="00C538E8" w:rsidRPr="00D54A2F" w:rsidRDefault="00C538E8">
            <w:pPr>
              <w:pStyle w:val="TableText"/>
              <w:keepNext/>
              <w:jc w:val="center"/>
            </w:pPr>
            <w:r w:rsidRPr="00D54A2F">
              <w:rPr>
                <w:i/>
                <w:iCs/>
              </w:rPr>
              <w:t>$15,480</w:t>
            </w:r>
          </w:p>
        </w:tc>
        <w:tc>
          <w:tcPr>
            <w:tcW w:w="699" w:type="pct"/>
          </w:tcPr>
          <w:p w14:paraId="03DE2F7C" w14:textId="77777777" w:rsidR="00C538E8" w:rsidRPr="00D54A2F" w:rsidRDefault="00C538E8">
            <w:pPr>
              <w:pStyle w:val="TableText"/>
              <w:keepNext/>
              <w:jc w:val="center"/>
            </w:pPr>
          </w:p>
        </w:tc>
        <w:tc>
          <w:tcPr>
            <w:tcW w:w="605" w:type="pct"/>
          </w:tcPr>
          <w:p w14:paraId="7DD06B67" w14:textId="77777777" w:rsidR="00C538E8" w:rsidRPr="00D54A2F" w:rsidRDefault="00C538E8">
            <w:pPr>
              <w:pStyle w:val="TableText"/>
              <w:keepNext/>
              <w:jc w:val="center"/>
              <w:rPr>
                <w:i/>
                <w:iCs/>
              </w:rPr>
            </w:pPr>
            <w:r w:rsidRPr="00D54A2F">
              <w:rPr>
                <w:i/>
                <w:iCs/>
              </w:rPr>
              <w:t>0.22</w:t>
            </w:r>
          </w:p>
        </w:tc>
        <w:tc>
          <w:tcPr>
            <w:tcW w:w="779" w:type="pct"/>
          </w:tcPr>
          <w:p w14:paraId="3FB559EF" w14:textId="77777777" w:rsidR="00C538E8" w:rsidRPr="00D54A2F" w:rsidRDefault="00C538E8">
            <w:pPr>
              <w:pStyle w:val="TableText"/>
              <w:keepNext/>
              <w:jc w:val="center"/>
            </w:pPr>
          </w:p>
        </w:tc>
        <w:tc>
          <w:tcPr>
            <w:tcW w:w="507" w:type="pct"/>
          </w:tcPr>
          <w:p w14:paraId="2B48080F" w14:textId="77777777" w:rsidR="00C538E8" w:rsidRPr="00D54A2F" w:rsidRDefault="00C538E8">
            <w:pPr>
              <w:pStyle w:val="TableText"/>
              <w:keepNext/>
              <w:jc w:val="center"/>
            </w:pPr>
          </w:p>
        </w:tc>
      </w:tr>
      <w:tr w:rsidR="00C538E8" w:rsidRPr="00D54A2F" w14:paraId="06CB6792" w14:textId="77777777">
        <w:tc>
          <w:tcPr>
            <w:tcW w:w="1728" w:type="pct"/>
          </w:tcPr>
          <w:p w14:paraId="49C11F1B" w14:textId="77777777" w:rsidR="00C538E8" w:rsidRPr="00D54A2F" w:rsidRDefault="00C538E8">
            <w:pPr>
              <w:pStyle w:val="TableText"/>
              <w:keepNext/>
              <w:ind w:left="568"/>
              <w:rPr>
                <w:vertAlign w:val="superscript"/>
              </w:rPr>
            </w:pPr>
            <w:r w:rsidRPr="00D54A2F">
              <w:t xml:space="preserve">10% allocated to comparator </w:t>
            </w:r>
          </w:p>
        </w:tc>
        <w:tc>
          <w:tcPr>
            <w:tcW w:w="682" w:type="pct"/>
          </w:tcPr>
          <w:p w14:paraId="10D320A2" w14:textId="77777777" w:rsidR="00C538E8" w:rsidRPr="00D54A2F" w:rsidRDefault="00C538E8">
            <w:pPr>
              <w:pStyle w:val="TableText"/>
              <w:keepNext/>
              <w:jc w:val="center"/>
            </w:pPr>
            <w:r w:rsidRPr="00D54A2F">
              <w:rPr>
                <w:i/>
                <w:iCs/>
              </w:rPr>
              <w:t>$4,443</w:t>
            </w:r>
          </w:p>
        </w:tc>
        <w:tc>
          <w:tcPr>
            <w:tcW w:w="699" w:type="pct"/>
          </w:tcPr>
          <w:p w14:paraId="0E97A7D1" w14:textId="77777777" w:rsidR="00C538E8" w:rsidRPr="00D54A2F" w:rsidRDefault="00C538E8">
            <w:pPr>
              <w:pStyle w:val="TableText"/>
              <w:keepNext/>
              <w:jc w:val="center"/>
            </w:pPr>
          </w:p>
        </w:tc>
        <w:tc>
          <w:tcPr>
            <w:tcW w:w="605" w:type="pct"/>
          </w:tcPr>
          <w:p w14:paraId="6B0DC2E8" w14:textId="77777777" w:rsidR="00C538E8" w:rsidRPr="00D54A2F" w:rsidRDefault="00C538E8">
            <w:pPr>
              <w:pStyle w:val="TableText"/>
              <w:keepNext/>
              <w:jc w:val="center"/>
              <w:rPr>
                <w:i/>
                <w:iCs/>
              </w:rPr>
            </w:pPr>
            <w:r w:rsidRPr="00D54A2F">
              <w:rPr>
                <w:i/>
                <w:iCs/>
              </w:rPr>
              <w:t>0.08</w:t>
            </w:r>
          </w:p>
        </w:tc>
        <w:tc>
          <w:tcPr>
            <w:tcW w:w="779" w:type="pct"/>
          </w:tcPr>
          <w:p w14:paraId="09FB3126" w14:textId="77777777" w:rsidR="00C538E8" w:rsidRPr="00D54A2F" w:rsidRDefault="00C538E8">
            <w:pPr>
              <w:pStyle w:val="TableText"/>
              <w:keepNext/>
              <w:jc w:val="center"/>
            </w:pPr>
          </w:p>
        </w:tc>
        <w:tc>
          <w:tcPr>
            <w:tcW w:w="507" w:type="pct"/>
          </w:tcPr>
          <w:p w14:paraId="049943D1" w14:textId="77777777" w:rsidR="00C538E8" w:rsidRPr="00D54A2F" w:rsidRDefault="00C538E8">
            <w:pPr>
              <w:pStyle w:val="TableText"/>
              <w:keepNext/>
              <w:jc w:val="center"/>
            </w:pPr>
          </w:p>
        </w:tc>
      </w:tr>
      <w:tr w:rsidR="00C538E8" w:rsidRPr="00D54A2F" w14:paraId="100E809A" w14:textId="77777777">
        <w:tc>
          <w:tcPr>
            <w:tcW w:w="1728" w:type="pct"/>
          </w:tcPr>
          <w:p w14:paraId="4450F9D2" w14:textId="77777777" w:rsidR="00C538E8" w:rsidRPr="00D54A2F" w:rsidRDefault="00C538E8">
            <w:pPr>
              <w:pStyle w:val="TableText"/>
              <w:keepNext/>
              <w:rPr>
                <w:vertAlign w:val="superscript"/>
              </w:rPr>
            </w:pPr>
            <w:r w:rsidRPr="00D54A2F">
              <w:t xml:space="preserve">Total </w:t>
            </w:r>
            <w:r>
              <w:rPr>
                <w:vertAlign w:val="superscript"/>
              </w:rPr>
              <w:t>177</w:t>
            </w:r>
            <w:r w:rsidRPr="00D54A2F">
              <w:t>Lu</w:t>
            </w:r>
            <w:r>
              <w:t> </w:t>
            </w:r>
            <w:r w:rsidRPr="00D54A2F">
              <w:t>PSMA</w:t>
            </w:r>
            <w:r>
              <w:t> i&amp;t</w:t>
            </w:r>
            <w:r w:rsidRPr="00D54A2F">
              <w:t xml:space="preserve"> treatment strategy</w:t>
            </w:r>
          </w:p>
        </w:tc>
        <w:tc>
          <w:tcPr>
            <w:tcW w:w="682" w:type="pct"/>
            <w:vAlign w:val="bottom"/>
          </w:tcPr>
          <w:p w14:paraId="718CC673" w14:textId="77777777" w:rsidR="00C538E8" w:rsidRPr="00D54A2F" w:rsidRDefault="00C538E8">
            <w:pPr>
              <w:pStyle w:val="TableText"/>
              <w:keepNext/>
              <w:jc w:val="center"/>
            </w:pPr>
            <w:r w:rsidRPr="00D54A2F">
              <w:rPr>
                <w:b/>
                <w:bCs/>
              </w:rPr>
              <w:t>$75,000</w:t>
            </w:r>
          </w:p>
        </w:tc>
        <w:tc>
          <w:tcPr>
            <w:tcW w:w="699" w:type="pct"/>
            <w:vAlign w:val="bottom"/>
          </w:tcPr>
          <w:p w14:paraId="40A62FD3" w14:textId="77777777" w:rsidR="00C538E8" w:rsidRPr="00D54A2F" w:rsidRDefault="00C538E8">
            <w:pPr>
              <w:pStyle w:val="TableText"/>
              <w:keepNext/>
              <w:jc w:val="center"/>
            </w:pPr>
            <w:r w:rsidRPr="00D54A2F">
              <w:rPr>
                <w:b/>
                <w:bCs/>
              </w:rPr>
              <w:t>$31,946</w:t>
            </w:r>
          </w:p>
        </w:tc>
        <w:tc>
          <w:tcPr>
            <w:tcW w:w="605" w:type="pct"/>
            <w:vAlign w:val="bottom"/>
          </w:tcPr>
          <w:p w14:paraId="428589D8" w14:textId="77777777" w:rsidR="00C538E8" w:rsidRPr="00D54A2F" w:rsidRDefault="00C538E8">
            <w:pPr>
              <w:pStyle w:val="TableText"/>
              <w:keepNext/>
              <w:jc w:val="center"/>
              <w:rPr>
                <w:b/>
                <w:bCs/>
              </w:rPr>
            </w:pPr>
            <w:r w:rsidRPr="00D54A2F">
              <w:rPr>
                <w:b/>
                <w:bCs/>
              </w:rPr>
              <w:t>1.01</w:t>
            </w:r>
          </w:p>
        </w:tc>
        <w:tc>
          <w:tcPr>
            <w:tcW w:w="779" w:type="pct"/>
            <w:vAlign w:val="bottom"/>
          </w:tcPr>
          <w:p w14:paraId="1805F54B" w14:textId="77777777" w:rsidR="00C538E8" w:rsidRPr="00D54A2F" w:rsidRDefault="00C538E8">
            <w:pPr>
              <w:pStyle w:val="TableText"/>
              <w:keepNext/>
              <w:jc w:val="center"/>
              <w:rPr>
                <w:b/>
                <w:bCs/>
              </w:rPr>
            </w:pPr>
            <w:r w:rsidRPr="00D54A2F">
              <w:rPr>
                <w:b/>
                <w:bCs/>
              </w:rPr>
              <w:t>0.208</w:t>
            </w:r>
          </w:p>
        </w:tc>
        <w:tc>
          <w:tcPr>
            <w:tcW w:w="507" w:type="pct"/>
            <w:vAlign w:val="bottom"/>
          </w:tcPr>
          <w:p w14:paraId="379FFF36" w14:textId="77777777" w:rsidR="00C538E8" w:rsidRPr="00D54A2F" w:rsidRDefault="00C538E8">
            <w:pPr>
              <w:pStyle w:val="TableText"/>
              <w:keepNext/>
              <w:jc w:val="center"/>
              <w:rPr>
                <w:b/>
                <w:bCs/>
              </w:rPr>
            </w:pPr>
            <w:r w:rsidRPr="00D54A2F">
              <w:rPr>
                <w:b/>
                <w:bCs/>
              </w:rPr>
              <w:t>$153,583</w:t>
            </w:r>
          </w:p>
        </w:tc>
      </w:tr>
      <w:tr w:rsidR="00C538E8" w:rsidRPr="00D54A2F" w14:paraId="4BC82908" w14:textId="77777777">
        <w:tc>
          <w:tcPr>
            <w:tcW w:w="1728" w:type="pct"/>
          </w:tcPr>
          <w:p w14:paraId="17686073" w14:textId="09C8A01B" w:rsidR="00C538E8" w:rsidRPr="00D54A2F" w:rsidRDefault="00C538E8">
            <w:pPr>
              <w:pStyle w:val="TableText"/>
              <w:keepNext/>
            </w:pPr>
            <w:r w:rsidRPr="00D54A2F">
              <w:t>Total Cabazitaxel/BS</w:t>
            </w:r>
            <w:r w:rsidR="00412AB1">
              <w:t>c</w:t>
            </w:r>
          </w:p>
        </w:tc>
        <w:tc>
          <w:tcPr>
            <w:tcW w:w="682" w:type="pct"/>
            <w:vAlign w:val="bottom"/>
          </w:tcPr>
          <w:p w14:paraId="1A48E0B7" w14:textId="77777777" w:rsidR="00C538E8" w:rsidRPr="00D54A2F" w:rsidRDefault="00C538E8">
            <w:pPr>
              <w:pStyle w:val="TableText"/>
              <w:keepNext/>
              <w:jc w:val="center"/>
            </w:pPr>
            <w:r w:rsidRPr="00D54A2F">
              <w:rPr>
                <w:b/>
                <w:bCs/>
              </w:rPr>
              <w:t>$43,055</w:t>
            </w:r>
          </w:p>
        </w:tc>
        <w:tc>
          <w:tcPr>
            <w:tcW w:w="699" w:type="pct"/>
            <w:vAlign w:val="bottom"/>
          </w:tcPr>
          <w:p w14:paraId="78E18426" w14:textId="77777777" w:rsidR="00C538E8" w:rsidRPr="00D54A2F" w:rsidRDefault="00C538E8">
            <w:pPr>
              <w:pStyle w:val="TableText"/>
              <w:keepNext/>
              <w:jc w:val="center"/>
            </w:pPr>
          </w:p>
        </w:tc>
        <w:tc>
          <w:tcPr>
            <w:tcW w:w="605" w:type="pct"/>
            <w:vAlign w:val="bottom"/>
          </w:tcPr>
          <w:p w14:paraId="7E97A46E" w14:textId="77777777" w:rsidR="00C538E8" w:rsidRPr="00D54A2F" w:rsidRDefault="00C538E8">
            <w:pPr>
              <w:pStyle w:val="TableText"/>
              <w:keepNext/>
              <w:jc w:val="center"/>
              <w:rPr>
                <w:b/>
                <w:bCs/>
              </w:rPr>
            </w:pPr>
            <w:r w:rsidRPr="00D54A2F">
              <w:rPr>
                <w:b/>
                <w:bCs/>
              </w:rPr>
              <w:t>0.80</w:t>
            </w:r>
          </w:p>
        </w:tc>
        <w:tc>
          <w:tcPr>
            <w:tcW w:w="779" w:type="pct"/>
            <w:vAlign w:val="bottom"/>
          </w:tcPr>
          <w:p w14:paraId="1A8C0F44" w14:textId="77777777" w:rsidR="00C538E8" w:rsidRPr="00D54A2F" w:rsidRDefault="00C538E8">
            <w:pPr>
              <w:pStyle w:val="TableText"/>
              <w:keepNext/>
              <w:rPr>
                <w:b/>
                <w:bCs/>
              </w:rPr>
            </w:pPr>
          </w:p>
        </w:tc>
        <w:tc>
          <w:tcPr>
            <w:tcW w:w="507" w:type="pct"/>
            <w:vAlign w:val="bottom"/>
          </w:tcPr>
          <w:p w14:paraId="0A326E8F" w14:textId="77777777" w:rsidR="00C538E8" w:rsidRPr="00D54A2F" w:rsidRDefault="00C538E8">
            <w:pPr>
              <w:pStyle w:val="TableText"/>
              <w:keepNext/>
            </w:pPr>
          </w:p>
        </w:tc>
      </w:tr>
    </w:tbl>
    <w:p w14:paraId="58DB03E0" w14:textId="77777777" w:rsidR="00C538E8" w:rsidRPr="00D54A2F" w:rsidRDefault="00C538E8" w:rsidP="00C538E8">
      <w:pPr>
        <w:pStyle w:val="Tablenotes0"/>
        <w:keepNext/>
      </w:pPr>
      <w:bookmarkStart w:id="38" w:name="_Toc54940854"/>
      <w:r w:rsidRPr="00D54A2F">
        <w:t xml:space="preserve">Abbreviations: BSc, best supportive care; ICER, incremental cost-effectiveness ratio; </w:t>
      </w:r>
      <w:r w:rsidRPr="00D54A2F">
        <w:rPr>
          <w:vertAlign w:val="superscript"/>
        </w:rPr>
        <w:t>177</w:t>
      </w:r>
      <w:r w:rsidRPr="00D54A2F">
        <w:t>Lu, lutetium-177; LY, life-year; PSMA, prostate specific membrane antigen; QALY, quality-adjusted life year</w:t>
      </w:r>
    </w:p>
    <w:bookmarkEnd w:id="38"/>
    <w:p w14:paraId="7059D5A1" w14:textId="70B2D7F0" w:rsidR="00C538E8" w:rsidRPr="00E826F0" w:rsidRDefault="00C538E8" w:rsidP="00C538E8">
      <w:pPr>
        <w:pStyle w:val="BodyText"/>
        <w:jc w:val="left"/>
        <w:rPr>
          <w:rFonts w:ascii="Franklin Gothic Book" w:hAnsi="Franklin Gothic Book"/>
        </w:rPr>
      </w:pPr>
      <w:r w:rsidRPr="0005596A">
        <w:rPr>
          <w:rFonts w:ascii="Franklin Gothic Book" w:hAnsi="Franklin Gothic Book"/>
        </w:rPr>
        <w:t xml:space="preserve">The base-case ICER for </w:t>
      </w:r>
      <w:r w:rsidRPr="0005596A">
        <w:rPr>
          <w:rFonts w:ascii="Franklin Gothic Book" w:hAnsi="Franklin Gothic Book"/>
          <w:vertAlign w:val="superscript"/>
        </w:rPr>
        <w:t>177</w:t>
      </w:r>
      <w:r w:rsidRPr="0005596A">
        <w:rPr>
          <w:rFonts w:ascii="Franklin Gothic Book" w:hAnsi="Franklin Gothic Book"/>
        </w:rPr>
        <w:t>Lu PSMA i&amp;t strategy compared with cabazitaxel/</w:t>
      </w:r>
      <w:r w:rsidR="00412AB1">
        <w:rPr>
          <w:rFonts w:ascii="Franklin Gothic Book" w:hAnsi="Franklin Gothic Book"/>
        </w:rPr>
        <w:t>best supportive care</w:t>
      </w:r>
      <w:r w:rsidRPr="0005596A">
        <w:rPr>
          <w:rFonts w:ascii="Franklin Gothic Book" w:hAnsi="Franklin Gothic Book"/>
        </w:rPr>
        <w:t xml:space="preserve"> is $115,500/LYG and $153,583/QALY.</w:t>
      </w:r>
    </w:p>
    <w:p w14:paraId="17DCAD76" w14:textId="7D3CDDDF" w:rsidR="00C538E8" w:rsidRPr="00E826F0" w:rsidRDefault="00C538E8" w:rsidP="00C538E8">
      <w:pPr>
        <w:pStyle w:val="BodyText"/>
        <w:jc w:val="left"/>
        <w:rPr>
          <w:rFonts w:ascii="Franklin Gothic Book" w:hAnsi="Franklin Gothic Book"/>
        </w:rPr>
      </w:pPr>
      <w:bookmarkStart w:id="39" w:name="_Hlk150294815"/>
      <w:r w:rsidRPr="00E826F0">
        <w:rPr>
          <w:rFonts w:ascii="Franklin Gothic Book" w:hAnsi="Franklin Gothic Book"/>
        </w:rPr>
        <w:t>A set of alternative models (historic base-cases) was reconstructed in order to trace down the disconnect between the proposed treatment algorithms and the modelling assumptions</w:t>
      </w:r>
      <w:r w:rsidR="0078467B">
        <w:rPr>
          <w:rFonts w:ascii="Franklin Gothic Book" w:hAnsi="Franklin Gothic Book"/>
        </w:rPr>
        <w:t xml:space="preserve">, see </w:t>
      </w:r>
      <w:r w:rsidR="0078467B">
        <w:rPr>
          <w:rFonts w:ascii="Franklin Gothic Book" w:hAnsi="Franklin Gothic Book"/>
        </w:rPr>
        <w:fldChar w:fldCharType="begin"/>
      </w:r>
      <w:r w:rsidR="0078467B">
        <w:rPr>
          <w:rFonts w:ascii="Franklin Gothic Book" w:hAnsi="Franklin Gothic Book"/>
        </w:rPr>
        <w:instrText xml:space="preserve"> REF _Ref94272012 \h  \* MERGEFORMAT </w:instrText>
      </w:r>
      <w:r w:rsidR="0078467B">
        <w:rPr>
          <w:rFonts w:ascii="Franklin Gothic Book" w:hAnsi="Franklin Gothic Book"/>
        </w:rPr>
      </w:r>
      <w:r w:rsidR="0078467B">
        <w:rPr>
          <w:rFonts w:ascii="Franklin Gothic Book" w:hAnsi="Franklin Gothic Book"/>
        </w:rPr>
        <w:fldChar w:fldCharType="separate"/>
      </w:r>
      <w:r w:rsidR="00BF6F93" w:rsidRPr="00CE0410">
        <w:rPr>
          <w:rFonts w:ascii="Franklin Gothic Book" w:hAnsi="Franklin Gothic Book"/>
        </w:rPr>
        <w:t>Table 10</w:t>
      </w:r>
      <w:r w:rsidR="0078467B">
        <w:rPr>
          <w:rFonts w:ascii="Franklin Gothic Book" w:hAnsi="Franklin Gothic Book"/>
        </w:rPr>
        <w:fldChar w:fldCharType="end"/>
      </w:r>
      <w:r w:rsidRPr="00E826F0">
        <w:rPr>
          <w:rFonts w:ascii="Franklin Gothic Book" w:hAnsi="Franklin Gothic Book"/>
        </w:rPr>
        <w:t xml:space="preserve">. The current prices </w:t>
      </w:r>
      <w:r w:rsidR="00DF18DA">
        <w:rPr>
          <w:rFonts w:ascii="Franklin Gothic Book" w:hAnsi="Franklin Gothic Book"/>
        </w:rPr>
        <w:t xml:space="preserve">of pharmaceutical </w:t>
      </w:r>
      <w:r w:rsidRPr="00E826F0">
        <w:rPr>
          <w:rFonts w:ascii="Franklin Gothic Book" w:hAnsi="Franklin Gothic Book"/>
        </w:rPr>
        <w:t xml:space="preserve">were included to eliminate the changes in ICER due to the consecutive reductions in the cost of comparator cabazitaxel. </w:t>
      </w:r>
      <w:r w:rsidR="00DF18DA" w:rsidRPr="00DF18DA">
        <w:rPr>
          <w:rFonts w:ascii="Franklin Gothic Book" w:hAnsi="Franklin Gothic Book"/>
        </w:rPr>
        <w:t>Prices of other healthcare costs, including the cost of terminal care, were updated</w:t>
      </w:r>
      <w:r w:rsidR="00DF18DA">
        <w:rPr>
          <w:rFonts w:ascii="Franklin Gothic Book" w:hAnsi="Franklin Gothic Book"/>
        </w:rPr>
        <w:t xml:space="preserve"> to 2023. </w:t>
      </w:r>
      <w:r w:rsidRPr="00E826F0">
        <w:rPr>
          <w:rFonts w:ascii="Franklin Gothic Book" w:hAnsi="Franklin Gothic Book"/>
        </w:rPr>
        <w:t>The time horizon was set at 7.5 years, according to the MSAC</w:t>
      </w:r>
      <w:r w:rsidR="00340B34">
        <w:rPr>
          <w:rFonts w:ascii="Franklin Gothic Book" w:hAnsi="Franklin Gothic Book"/>
        </w:rPr>
        <w:t>’s</w:t>
      </w:r>
      <w:r w:rsidR="00D14E56">
        <w:rPr>
          <w:rFonts w:ascii="Franklin Gothic Book" w:hAnsi="Franklin Gothic Book"/>
        </w:rPr>
        <w:t xml:space="preserve"> most recent</w:t>
      </w:r>
      <w:r w:rsidRPr="00E826F0">
        <w:rPr>
          <w:rFonts w:ascii="Franklin Gothic Book" w:hAnsi="Franklin Gothic Book"/>
        </w:rPr>
        <w:t xml:space="preserve"> </w:t>
      </w:r>
      <w:r w:rsidR="00340B34">
        <w:rPr>
          <w:rFonts w:ascii="Franklin Gothic Book" w:hAnsi="Franklin Gothic Book"/>
        </w:rPr>
        <w:t>advice</w:t>
      </w:r>
      <w:r w:rsidR="00340B34" w:rsidRPr="00E826F0">
        <w:rPr>
          <w:rFonts w:ascii="Franklin Gothic Book" w:hAnsi="Franklin Gothic Book"/>
        </w:rPr>
        <w:t xml:space="preserve"> </w:t>
      </w:r>
      <w:r w:rsidRPr="00E826F0">
        <w:rPr>
          <w:rFonts w:ascii="Franklin Gothic Book" w:hAnsi="Franklin Gothic Book"/>
        </w:rPr>
        <w:t>(</w:t>
      </w:r>
      <w:r>
        <w:rPr>
          <w:rFonts w:ascii="Franklin Gothic Book" w:hAnsi="Franklin Gothic Book"/>
        </w:rPr>
        <w:t xml:space="preserve">MSAC </w:t>
      </w:r>
      <w:r w:rsidRPr="00E826F0">
        <w:rPr>
          <w:rFonts w:ascii="Franklin Gothic Book" w:hAnsi="Franklin Gothic Book"/>
        </w:rPr>
        <w:t>1686.1 PSD</w:t>
      </w:r>
      <w:r>
        <w:rPr>
          <w:rFonts w:ascii="Franklin Gothic Book" w:hAnsi="Franklin Gothic Book"/>
        </w:rPr>
        <w:t xml:space="preserve"> July 2023</w:t>
      </w:r>
      <w:r w:rsidRPr="00E826F0">
        <w:rPr>
          <w:rFonts w:ascii="Franklin Gothic Book" w:hAnsi="Franklin Gothic Book"/>
        </w:rPr>
        <w:t xml:space="preserve">, p.6), rather than the more conservative 5 years recommended by MSAC </w:t>
      </w:r>
      <w:r>
        <w:rPr>
          <w:rFonts w:ascii="Franklin Gothic Book" w:hAnsi="Franklin Gothic Book"/>
        </w:rPr>
        <w:t>previously</w:t>
      </w:r>
      <w:r w:rsidRPr="00E826F0">
        <w:rPr>
          <w:rFonts w:ascii="Franklin Gothic Book" w:hAnsi="Franklin Gothic Book"/>
        </w:rPr>
        <w:t xml:space="preserve"> (</w:t>
      </w:r>
      <w:r>
        <w:rPr>
          <w:rFonts w:ascii="Franklin Gothic Book" w:hAnsi="Franklin Gothic Book"/>
        </w:rPr>
        <w:t xml:space="preserve">MSAC </w:t>
      </w:r>
      <w:r w:rsidRPr="00E826F0">
        <w:rPr>
          <w:rFonts w:ascii="Franklin Gothic Book" w:hAnsi="Franklin Gothic Book"/>
        </w:rPr>
        <w:t>1686 PSD</w:t>
      </w:r>
      <w:r>
        <w:rPr>
          <w:rFonts w:ascii="Franklin Gothic Book" w:hAnsi="Franklin Gothic Book"/>
        </w:rPr>
        <w:t xml:space="preserve"> July 2022</w:t>
      </w:r>
      <w:r w:rsidRPr="00E826F0">
        <w:rPr>
          <w:rFonts w:ascii="Franklin Gothic Book" w:hAnsi="Franklin Gothic Book"/>
        </w:rPr>
        <w:t xml:space="preserve">, p.5). Utility values were also replicated from the </w:t>
      </w:r>
      <w:r>
        <w:rPr>
          <w:rFonts w:ascii="Franklin Gothic Book" w:hAnsi="Franklin Gothic Book"/>
        </w:rPr>
        <w:t xml:space="preserve">MSAC </w:t>
      </w:r>
      <w:r w:rsidRPr="00E826F0">
        <w:rPr>
          <w:rFonts w:ascii="Franklin Gothic Book" w:hAnsi="Franklin Gothic Book"/>
        </w:rPr>
        <w:t xml:space="preserve">1686.1 </w:t>
      </w:r>
      <w:r w:rsidR="0078467B">
        <w:rPr>
          <w:rFonts w:ascii="Franklin Gothic Book" w:hAnsi="Franklin Gothic Book"/>
        </w:rPr>
        <w:t xml:space="preserve">resubmission </w:t>
      </w:r>
      <w:r w:rsidRPr="00E826F0">
        <w:rPr>
          <w:rFonts w:ascii="Franklin Gothic Book" w:hAnsi="Franklin Gothic Book"/>
        </w:rPr>
        <w:t xml:space="preserve">ADAR, as approved by MSAC (i.e. defined by health-state, treatment-agnostic, which still allows for a disutility to reflect cabazitaxel toxicity). The </w:t>
      </w:r>
      <w:r w:rsidR="00412AB1">
        <w:rPr>
          <w:rFonts w:ascii="Franklin Gothic Book" w:hAnsi="Franklin Gothic Book"/>
        </w:rPr>
        <w:t>best supportive care</w:t>
      </w:r>
      <w:r w:rsidRPr="00E826F0">
        <w:rPr>
          <w:rFonts w:ascii="Franklin Gothic Book" w:hAnsi="Franklin Gothic Book"/>
        </w:rPr>
        <w:t xml:space="preserve">:cabazitaxel split (essential for HR estimates) was 75%:25%. </w:t>
      </w:r>
      <w:r w:rsidR="00DF18DA" w:rsidRPr="00DF18DA">
        <w:rPr>
          <w:rFonts w:ascii="Franklin Gothic Book" w:hAnsi="Franklin Gothic Book"/>
        </w:rPr>
        <w:t xml:space="preserve">The Hazard Ratios used to estimate clinical effectiveness of the comparator cabazitaxel were updated to reflect the latest </w:t>
      </w:r>
      <w:r w:rsidR="00DF18DA">
        <w:rPr>
          <w:rFonts w:ascii="Franklin Gothic Book" w:hAnsi="Franklin Gothic Book"/>
        </w:rPr>
        <w:t xml:space="preserve">3-year </w:t>
      </w:r>
      <w:r w:rsidR="00DF18DA" w:rsidRPr="00DF18DA">
        <w:rPr>
          <w:rFonts w:ascii="Franklin Gothic Book" w:hAnsi="Franklin Gothic Book"/>
        </w:rPr>
        <w:t>data from the TheraP trial</w:t>
      </w:r>
      <w:r w:rsidR="00DF18DA">
        <w:rPr>
          <w:rFonts w:ascii="Franklin Gothic Book" w:hAnsi="Franklin Gothic Book"/>
        </w:rPr>
        <w:t xml:space="preserve"> (Hofman, 2022).</w:t>
      </w:r>
      <w:r w:rsidR="00DF18DA" w:rsidRPr="00DF18DA">
        <w:rPr>
          <w:rFonts w:ascii="Franklin Gothic Book" w:hAnsi="Franklin Gothic Book"/>
        </w:rPr>
        <w:t xml:space="preserve">  </w:t>
      </w:r>
      <w:r>
        <w:rPr>
          <w:rFonts w:ascii="Franklin Gothic Book" w:hAnsi="Franklin Gothic Book"/>
        </w:rPr>
        <w:t>A c</w:t>
      </w:r>
      <w:r w:rsidRPr="00E826F0">
        <w:rPr>
          <w:rFonts w:ascii="Franklin Gothic Book" w:hAnsi="Franklin Gothic Book"/>
        </w:rPr>
        <w:t xml:space="preserve">omparison of results across the historic models demonstrates the difference in the modelling assumptions about the rules for </w:t>
      </w:r>
      <w:r w:rsidRPr="00E826F0">
        <w:rPr>
          <w:rFonts w:ascii="Franklin Gothic Book" w:hAnsi="Franklin Gothic Book"/>
          <w:vertAlign w:val="superscript"/>
        </w:rPr>
        <w:t>177</w:t>
      </w:r>
      <w:r w:rsidRPr="00E826F0">
        <w:rPr>
          <w:rFonts w:ascii="Franklin Gothic Book" w:hAnsi="Franklin Gothic Book"/>
        </w:rPr>
        <w:t>Lu</w:t>
      </w:r>
      <w:r>
        <w:rPr>
          <w:rFonts w:ascii="Franklin Gothic Book" w:hAnsi="Franklin Gothic Book"/>
        </w:rPr>
        <w:t> </w:t>
      </w:r>
      <w:r w:rsidRPr="00E826F0">
        <w:rPr>
          <w:rFonts w:ascii="Franklin Gothic Book" w:hAnsi="Franklin Gothic Book"/>
        </w:rPr>
        <w:t>PSMA</w:t>
      </w:r>
      <w:r>
        <w:rPr>
          <w:rFonts w:ascii="Franklin Gothic Book" w:hAnsi="Franklin Gothic Book"/>
        </w:rPr>
        <w:t> </w:t>
      </w:r>
      <w:r w:rsidRPr="00E826F0">
        <w:rPr>
          <w:rFonts w:ascii="Franklin Gothic Book" w:hAnsi="Franklin Gothic Book"/>
        </w:rPr>
        <w:t>i&amp;t treatment discontinuation and the approach to treatment cost calculation.</w:t>
      </w:r>
    </w:p>
    <w:p w14:paraId="07F73979" w14:textId="50BC1225" w:rsidR="00C538E8" w:rsidRPr="00E826F0" w:rsidRDefault="00C538E8" w:rsidP="00C538E8">
      <w:pPr>
        <w:pStyle w:val="Caption"/>
      </w:pPr>
      <w:bookmarkStart w:id="40" w:name="_Ref94272012"/>
      <w:r w:rsidRPr="00E826F0">
        <w:lastRenderedPageBreak/>
        <w:t xml:space="preserve">Table </w:t>
      </w:r>
      <w:r w:rsidR="004D6242">
        <w:fldChar w:fldCharType="begin"/>
      </w:r>
      <w:r w:rsidR="004D6242">
        <w:instrText xml:space="preserve"> SEQ Table \* ARABIC </w:instrText>
      </w:r>
      <w:r w:rsidR="004D6242">
        <w:fldChar w:fldCharType="separate"/>
      </w:r>
      <w:r w:rsidR="00BF6F93">
        <w:rPr>
          <w:noProof/>
        </w:rPr>
        <w:t>10</w:t>
      </w:r>
      <w:r w:rsidR="004D6242">
        <w:rPr>
          <w:noProof/>
        </w:rPr>
        <w:fldChar w:fldCharType="end"/>
      </w:r>
      <w:bookmarkEnd w:id="40"/>
      <w:r w:rsidRPr="00E826F0">
        <w:rPr>
          <w:noProof/>
        </w:rPr>
        <w:t xml:space="preserve"> </w:t>
      </w:r>
      <w:r w:rsidR="0078467B">
        <w:rPr>
          <w:noProof/>
        </w:rPr>
        <w:tab/>
      </w:r>
      <w:r w:rsidRPr="00E826F0">
        <w:t>A set of base-case analyses with alternative estimates of incremental costs and effectiveness (QALYs)</w:t>
      </w:r>
    </w:p>
    <w:tbl>
      <w:tblPr>
        <w:tblStyle w:val="TableGrid"/>
        <w:tblW w:w="4948" w:type="pct"/>
        <w:tblLook w:val="04A0" w:firstRow="1" w:lastRow="0" w:firstColumn="1" w:lastColumn="0" w:noHBand="0" w:noVBand="1"/>
      </w:tblPr>
      <w:tblGrid>
        <w:gridCol w:w="1483"/>
        <w:gridCol w:w="1008"/>
        <w:gridCol w:w="1349"/>
        <w:gridCol w:w="1746"/>
        <w:gridCol w:w="2045"/>
        <w:gridCol w:w="1291"/>
      </w:tblGrid>
      <w:tr w:rsidR="00C538E8" w:rsidRPr="00E826F0" w14:paraId="3C00508C" w14:textId="77777777">
        <w:tc>
          <w:tcPr>
            <w:tcW w:w="772" w:type="pct"/>
          </w:tcPr>
          <w:p w14:paraId="326493E0" w14:textId="77777777" w:rsidR="00C538E8" w:rsidRPr="00E826F0" w:rsidRDefault="00C538E8">
            <w:pPr>
              <w:pStyle w:val="TableText"/>
              <w:keepNext/>
            </w:pPr>
            <w:r w:rsidRPr="00E826F0">
              <w:t>Strategy</w:t>
            </w:r>
          </w:p>
        </w:tc>
        <w:tc>
          <w:tcPr>
            <w:tcW w:w="577" w:type="pct"/>
          </w:tcPr>
          <w:p w14:paraId="5789C5B3" w14:textId="77777777" w:rsidR="00C538E8" w:rsidRPr="00E826F0" w:rsidRDefault="00C538E8">
            <w:pPr>
              <w:pStyle w:val="TableText"/>
              <w:keepNext/>
              <w:jc w:val="center"/>
            </w:pPr>
            <w:r w:rsidRPr="00E826F0">
              <w:t>Cost</w:t>
            </w:r>
          </w:p>
        </w:tc>
        <w:tc>
          <w:tcPr>
            <w:tcW w:w="768" w:type="pct"/>
          </w:tcPr>
          <w:p w14:paraId="5B724F40" w14:textId="77777777" w:rsidR="00C538E8" w:rsidRPr="00E826F0" w:rsidRDefault="00C538E8">
            <w:pPr>
              <w:pStyle w:val="TableText"/>
              <w:keepNext/>
              <w:jc w:val="center"/>
            </w:pPr>
            <w:r w:rsidRPr="00E826F0">
              <w:t>Incremental cost</w:t>
            </w:r>
          </w:p>
        </w:tc>
        <w:tc>
          <w:tcPr>
            <w:tcW w:w="990" w:type="pct"/>
          </w:tcPr>
          <w:p w14:paraId="4B572151" w14:textId="77777777" w:rsidR="00C538E8" w:rsidRPr="00E826F0" w:rsidRDefault="00C538E8">
            <w:pPr>
              <w:pStyle w:val="TableText"/>
              <w:keepNext/>
              <w:jc w:val="center"/>
            </w:pPr>
            <w:r w:rsidRPr="00E826F0">
              <w:t>Effectiveness (QALYs)</w:t>
            </w:r>
          </w:p>
        </w:tc>
        <w:tc>
          <w:tcPr>
            <w:tcW w:w="1158" w:type="pct"/>
          </w:tcPr>
          <w:p w14:paraId="68A5FCCF" w14:textId="77777777" w:rsidR="00C538E8" w:rsidRPr="00E826F0" w:rsidRDefault="00C538E8">
            <w:pPr>
              <w:pStyle w:val="TableText"/>
              <w:keepNext/>
              <w:jc w:val="center"/>
            </w:pPr>
            <w:r w:rsidRPr="00E826F0">
              <w:t>Incremental effectiveness (QALYs)</w:t>
            </w:r>
          </w:p>
        </w:tc>
        <w:tc>
          <w:tcPr>
            <w:tcW w:w="735" w:type="pct"/>
          </w:tcPr>
          <w:p w14:paraId="42E08FFA" w14:textId="77777777" w:rsidR="00C538E8" w:rsidRPr="00E826F0" w:rsidRDefault="00C538E8">
            <w:pPr>
              <w:pStyle w:val="TableText"/>
              <w:keepNext/>
              <w:jc w:val="center"/>
            </w:pPr>
            <w:r w:rsidRPr="00E826F0">
              <w:t>ICER ($/QALY)</w:t>
            </w:r>
          </w:p>
        </w:tc>
      </w:tr>
      <w:tr w:rsidR="00C538E8" w:rsidRPr="00E826F0" w14:paraId="036396C3" w14:textId="77777777">
        <w:tc>
          <w:tcPr>
            <w:tcW w:w="5000" w:type="pct"/>
            <w:gridSpan w:val="6"/>
          </w:tcPr>
          <w:p w14:paraId="731EE5D2" w14:textId="06D53284" w:rsidR="00C538E8" w:rsidRPr="006D5080" w:rsidRDefault="00C538E8">
            <w:pPr>
              <w:pStyle w:val="TableText"/>
              <w:keepNext/>
              <w:rPr>
                <w:b/>
                <w:bCs/>
              </w:rPr>
            </w:pPr>
            <w:r w:rsidRPr="006D5080">
              <w:rPr>
                <w:b/>
                <w:bCs/>
              </w:rPr>
              <w:t xml:space="preserve">Original model (MSAC 1686): treatment discontinuation at a weekly cycle*, SPECT/CT implicitly used for disease progression monitoring </w:t>
            </w:r>
            <w:r w:rsidR="00F9687B">
              <w:rPr>
                <w:b/>
                <w:bCs/>
              </w:rPr>
              <w:t>and clinical decision making (i.e. treatment termination in non-responders</w:t>
            </w:r>
          </w:p>
        </w:tc>
      </w:tr>
      <w:tr w:rsidR="00C538E8" w:rsidRPr="00E826F0" w14:paraId="7D30D81E" w14:textId="77777777">
        <w:tc>
          <w:tcPr>
            <w:tcW w:w="772" w:type="pct"/>
          </w:tcPr>
          <w:p w14:paraId="1E9B78DB" w14:textId="77777777" w:rsidR="00C538E8" w:rsidRPr="006D5080" w:rsidRDefault="00C538E8">
            <w:pPr>
              <w:pStyle w:val="TableText"/>
              <w:keepNext/>
              <w:rPr>
                <w:b/>
                <w:bCs/>
              </w:rPr>
            </w:pPr>
            <w:r w:rsidRPr="006D5080">
              <w:rPr>
                <w:b/>
                <w:bCs/>
                <w:vertAlign w:val="superscript"/>
              </w:rPr>
              <w:t>177</w:t>
            </w:r>
            <w:r w:rsidRPr="006D5080">
              <w:rPr>
                <w:b/>
                <w:bCs/>
              </w:rPr>
              <w:t>Lu PSMA i&amp;t</w:t>
            </w:r>
          </w:p>
        </w:tc>
        <w:tc>
          <w:tcPr>
            <w:tcW w:w="577" w:type="pct"/>
            <w:vAlign w:val="bottom"/>
          </w:tcPr>
          <w:p w14:paraId="4D781E02" w14:textId="342FD68C" w:rsidR="00C538E8" w:rsidRPr="006D5080" w:rsidRDefault="00F9687B">
            <w:pPr>
              <w:pStyle w:val="TableText"/>
              <w:keepNext/>
              <w:jc w:val="center"/>
              <w:rPr>
                <w:b/>
                <w:bCs/>
              </w:rPr>
            </w:pPr>
            <w:r>
              <w:rPr>
                <w:b/>
                <w:bCs/>
              </w:rPr>
              <w:t>$75,711</w:t>
            </w:r>
          </w:p>
        </w:tc>
        <w:tc>
          <w:tcPr>
            <w:tcW w:w="768" w:type="pct"/>
            <w:vAlign w:val="bottom"/>
          </w:tcPr>
          <w:p w14:paraId="14241243" w14:textId="77777777" w:rsidR="00C538E8" w:rsidRPr="006D5080" w:rsidRDefault="00C538E8">
            <w:pPr>
              <w:pStyle w:val="TableText"/>
              <w:keepNext/>
              <w:jc w:val="center"/>
              <w:rPr>
                <w:b/>
                <w:bCs/>
              </w:rPr>
            </w:pPr>
          </w:p>
        </w:tc>
        <w:tc>
          <w:tcPr>
            <w:tcW w:w="990" w:type="pct"/>
            <w:vAlign w:val="bottom"/>
          </w:tcPr>
          <w:p w14:paraId="46DD5E85" w14:textId="2A4691A7" w:rsidR="00C538E8" w:rsidRPr="006D5080" w:rsidRDefault="00F9687B">
            <w:pPr>
              <w:pStyle w:val="TableText"/>
              <w:keepNext/>
              <w:jc w:val="center"/>
              <w:rPr>
                <w:b/>
                <w:bCs/>
              </w:rPr>
            </w:pPr>
            <w:r>
              <w:rPr>
                <w:b/>
                <w:bCs/>
              </w:rPr>
              <w:t xml:space="preserve">1.101 </w:t>
            </w:r>
          </w:p>
        </w:tc>
        <w:tc>
          <w:tcPr>
            <w:tcW w:w="1158" w:type="pct"/>
            <w:vAlign w:val="bottom"/>
          </w:tcPr>
          <w:p w14:paraId="357FE76A" w14:textId="77777777" w:rsidR="00C538E8" w:rsidRPr="006D5080" w:rsidRDefault="00C538E8">
            <w:pPr>
              <w:pStyle w:val="TableText"/>
              <w:keepNext/>
              <w:jc w:val="center"/>
              <w:rPr>
                <w:b/>
                <w:bCs/>
              </w:rPr>
            </w:pPr>
          </w:p>
        </w:tc>
        <w:tc>
          <w:tcPr>
            <w:tcW w:w="735" w:type="pct"/>
            <w:vAlign w:val="bottom"/>
          </w:tcPr>
          <w:p w14:paraId="06DD91D9" w14:textId="77777777" w:rsidR="00C538E8" w:rsidRPr="006D5080" w:rsidRDefault="00C538E8">
            <w:pPr>
              <w:pStyle w:val="TableText"/>
              <w:keepNext/>
              <w:jc w:val="center"/>
              <w:rPr>
                <w:b/>
                <w:bCs/>
              </w:rPr>
            </w:pPr>
          </w:p>
        </w:tc>
      </w:tr>
      <w:tr w:rsidR="00C538E8" w:rsidRPr="00E826F0" w14:paraId="68826B1F" w14:textId="77777777">
        <w:tc>
          <w:tcPr>
            <w:tcW w:w="772" w:type="pct"/>
          </w:tcPr>
          <w:p w14:paraId="55DFF022" w14:textId="77777777" w:rsidR="00C538E8" w:rsidRPr="006D5080" w:rsidRDefault="00C538E8">
            <w:pPr>
              <w:pStyle w:val="TableText"/>
              <w:keepNext/>
              <w:rPr>
                <w:b/>
                <w:bCs/>
              </w:rPr>
            </w:pPr>
            <w:r w:rsidRPr="006D5080">
              <w:rPr>
                <w:b/>
                <w:bCs/>
              </w:rPr>
              <w:t>Cabazitaxel/BSc</w:t>
            </w:r>
          </w:p>
        </w:tc>
        <w:tc>
          <w:tcPr>
            <w:tcW w:w="577" w:type="pct"/>
            <w:vAlign w:val="bottom"/>
          </w:tcPr>
          <w:p w14:paraId="0B0C1E4C" w14:textId="704E7082" w:rsidR="00C538E8" w:rsidRPr="006D5080" w:rsidRDefault="00F9687B">
            <w:pPr>
              <w:pStyle w:val="TableText"/>
              <w:keepNext/>
              <w:jc w:val="center"/>
              <w:rPr>
                <w:b/>
                <w:bCs/>
              </w:rPr>
            </w:pPr>
            <w:r>
              <w:rPr>
                <w:b/>
                <w:bCs/>
              </w:rPr>
              <w:t>$42,996</w:t>
            </w:r>
          </w:p>
        </w:tc>
        <w:tc>
          <w:tcPr>
            <w:tcW w:w="768" w:type="pct"/>
            <w:vAlign w:val="bottom"/>
          </w:tcPr>
          <w:p w14:paraId="6AF30A32" w14:textId="0C3F17F3" w:rsidR="00C538E8" w:rsidRPr="006D5080" w:rsidRDefault="00F9687B">
            <w:pPr>
              <w:pStyle w:val="TableText"/>
              <w:keepNext/>
              <w:jc w:val="center"/>
              <w:rPr>
                <w:b/>
                <w:bCs/>
              </w:rPr>
            </w:pPr>
            <w:r>
              <w:rPr>
                <w:b/>
                <w:bCs/>
              </w:rPr>
              <w:t>$32,715</w:t>
            </w:r>
          </w:p>
        </w:tc>
        <w:tc>
          <w:tcPr>
            <w:tcW w:w="990" w:type="pct"/>
            <w:vAlign w:val="bottom"/>
          </w:tcPr>
          <w:p w14:paraId="08DB1009" w14:textId="6B868E55" w:rsidR="00C538E8" w:rsidRPr="006D5080" w:rsidRDefault="00F9687B">
            <w:pPr>
              <w:pStyle w:val="TableText"/>
              <w:keepNext/>
              <w:jc w:val="center"/>
              <w:rPr>
                <w:b/>
                <w:bCs/>
              </w:rPr>
            </w:pPr>
            <w:r>
              <w:rPr>
                <w:b/>
                <w:bCs/>
              </w:rPr>
              <w:t xml:space="preserve">0.800 </w:t>
            </w:r>
          </w:p>
        </w:tc>
        <w:tc>
          <w:tcPr>
            <w:tcW w:w="1158" w:type="pct"/>
            <w:vAlign w:val="bottom"/>
          </w:tcPr>
          <w:p w14:paraId="5702E416" w14:textId="240F308B" w:rsidR="00C538E8" w:rsidRPr="006D5080" w:rsidRDefault="00F9687B">
            <w:pPr>
              <w:pStyle w:val="TableText"/>
              <w:keepNext/>
              <w:jc w:val="center"/>
              <w:rPr>
                <w:b/>
                <w:bCs/>
              </w:rPr>
            </w:pPr>
            <w:r>
              <w:rPr>
                <w:b/>
                <w:bCs/>
              </w:rPr>
              <w:t xml:space="preserve">0.301 </w:t>
            </w:r>
          </w:p>
        </w:tc>
        <w:tc>
          <w:tcPr>
            <w:tcW w:w="735" w:type="pct"/>
            <w:vAlign w:val="bottom"/>
          </w:tcPr>
          <w:p w14:paraId="24F51063" w14:textId="75C5FA11" w:rsidR="00C538E8" w:rsidRPr="006D5080" w:rsidRDefault="00F9687B">
            <w:pPr>
              <w:pStyle w:val="TableText"/>
              <w:keepNext/>
              <w:jc w:val="center"/>
              <w:rPr>
                <w:b/>
                <w:bCs/>
              </w:rPr>
            </w:pPr>
            <w:r>
              <w:rPr>
                <w:b/>
                <w:bCs/>
              </w:rPr>
              <w:t xml:space="preserve">$108,743 </w:t>
            </w:r>
          </w:p>
        </w:tc>
      </w:tr>
      <w:tr w:rsidR="00C538E8" w:rsidRPr="00E826F0" w14:paraId="396DD1CB" w14:textId="77777777">
        <w:tc>
          <w:tcPr>
            <w:tcW w:w="5000" w:type="pct"/>
            <w:gridSpan w:val="6"/>
          </w:tcPr>
          <w:p w14:paraId="6E547733" w14:textId="77777777" w:rsidR="00C538E8" w:rsidRPr="00E826F0" w:rsidRDefault="00C538E8">
            <w:pPr>
              <w:pStyle w:val="TableText"/>
              <w:keepNext/>
            </w:pPr>
            <w:r w:rsidRPr="00E826F0">
              <w:t xml:space="preserve">Resubmission 1686.1: a 2-step model: weekly discontinuation, SPECT/CT implicitly used for progression monitoring, except for the first 2 cycles when all surviving patients receive </w:t>
            </w:r>
            <w:r>
              <w:rPr>
                <w:vertAlign w:val="superscript"/>
              </w:rPr>
              <w:t>177</w:t>
            </w:r>
            <w:r w:rsidRPr="00E826F0">
              <w:t>Lu</w:t>
            </w:r>
            <w:r>
              <w:t> </w:t>
            </w:r>
            <w:r w:rsidRPr="00E826F0">
              <w:t>PSMA</w:t>
            </w:r>
            <w:r>
              <w:t> i&amp;t</w:t>
            </w:r>
            <w:r w:rsidRPr="00E826F0">
              <w:t>^</w:t>
            </w:r>
          </w:p>
        </w:tc>
      </w:tr>
      <w:tr w:rsidR="00C538E8" w:rsidRPr="00E826F0" w14:paraId="3F86D1DE" w14:textId="77777777">
        <w:tc>
          <w:tcPr>
            <w:tcW w:w="772" w:type="pct"/>
          </w:tcPr>
          <w:p w14:paraId="451632BC" w14:textId="77777777" w:rsidR="00C538E8" w:rsidRPr="00E826F0" w:rsidRDefault="00C538E8">
            <w:pPr>
              <w:pStyle w:val="TableText"/>
              <w:keepNext/>
            </w:pPr>
            <w:r>
              <w:rPr>
                <w:vertAlign w:val="superscript"/>
              </w:rPr>
              <w:t>177</w:t>
            </w:r>
            <w:r w:rsidRPr="00E826F0">
              <w:t>Lu</w:t>
            </w:r>
            <w:r>
              <w:t> </w:t>
            </w:r>
            <w:r w:rsidRPr="00E826F0">
              <w:t>PSMA</w:t>
            </w:r>
            <w:r>
              <w:t> i&amp;t</w:t>
            </w:r>
          </w:p>
        </w:tc>
        <w:tc>
          <w:tcPr>
            <w:tcW w:w="577" w:type="pct"/>
            <w:vAlign w:val="bottom"/>
          </w:tcPr>
          <w:p w14:paraId="7FA535E7" w14:textId="0812D77F" w:rsidR="00C538E8" w:rsidRPr="00E826F0" w:rsidRDefault="00B63B76">
            <w:pPr>
              <w:pStyle w:val="TableText"/>
              <w:keepNext/>
              <w:jc w:val="center"/>
            </w:pPr>
            <w:r w:rsidRPr="00B5588D">
              <w:t>$76,263</w:t>
            </w:r>
          </w:p>
        </w:tc>
        <w:tc>
          <w:tcPr>
            <w:tcW w:w="768" w:type="pct"/>
            <w:vAlign w:val="bottom"/>
          </w:tcPr>
          <w:p w14:paraId="0011D66F" w14:textId="77777777" w:rsidR="00C538E8" w:rsidRPr="00E826F0" w:rsidRDefault="00C538E8">
            <w:pPr>
              <w:pStyle w:val="TableText"/>
              <w:keepNext/>
              <w:jc w:val="center"/>
            </w:pPr>
          </w:p>
        </w:tc>
        <w:tc>
          <w:tcPr>
            <w:tcW w:w="990" w:type="pct"/>
            <w:vAlign w:val="bottom"/>
          </w:tcPr>
          <w:p w14:paraId="475C0903" w14:textId="77777777" w:rsidR="00C538E8" w:rsidRPr="00E826F0" w:rsidRDefault="00C538E8">
            <w:pPr>
              <w:pStyle w:val="TableText"/>
              <w:keepNext/>
              <w:jc w:val="center"/>
            </w:pPr>
            <w:r w:rsidRPr="00E826F0">
              <w:t>1.101</w:t>
            </w:r>
          </w:p>
        </w:tc>
        <w:tc>
          <w:tcPr>
            <w:tcW w:w="1158" w:type="pct"/>
            <w:vAlign w:val="bottom"/>
          </w:tcPr>
          <w:p w14:paraId="30D283C5" w14:textId="77777777" w:rsidR="00C538E8" w:rsidRPr="00E826F0" w:rsidRDefault="00C538E8">
            <w:pPr>
              <w:pStyle w:val="TableText"/>
              <w:keepNext/>
              <w:jc w:val="center"/>
            </w:pPr>
          </w:p>
        </w:tc>
        <w:tc>
          <w:tcPr>
            <w:tcW w:w="735" w:type="pct"/>
            <w:vAlign w:val="bottom"/>
          </w:tcPr>
          <w:p w14:paraId="1715EF37" w14:textId="77777777" w:rsidR="00C538E8" w:rsidRPr="00E826F0" w:rsidRDefault="00C538E8">
            <w:pPr>
              <w:pStyle w:val="TableText"/>
              <w:keepNext/>
              <w:jc w:val="center"/>
            </w:pPr>
          </w:p>
        </w:tc>
      </w:tr>
      <w:tr w:rsidR="00C538E8" w:rsidRPr="00E826F0" w14:paraId="1A144F3E" w14:textId="77777777">
        <w:tc>
          <w:tcPr>
            <w:tcW w:w="772" w:type="pct"/>
          </w:tcPr>
          <w:p w14:paraId="322E1707" w14:textId="77777777" w:rsidR="00C538E8" w:rsidRPr="00E826F0" w:rsidRDefault="00C538E8">
            <w:pPr>
              <w:pStyle w:val="TableText"/>
              <w:keepNext/>
            </w:pPr>
            <w:r w:rsidRPr="00E826F0">
              <w:t>Cabazitaxel/BSc</w:t>
            </w:r>
          </w:p>
        </w:tc>
        <w:tc>
          <w:tcPr>
            <w:tcW w:w="577" w:type="pct"/>
            <w:vAlign w:val="bottom"/>
          </w:tcPr>
          <w:p w14:paraId="2D36382B" w14:textId="77777777" w:rsidR="00C538E8" w:rsidRPr="00E826F0" w:rsidRDefault="00C538E8">
            <w:pPr>
              <w:pStyle w:val="TableText"/>
              <w:keepNext/>
              <w:jc w:val="center"/>
            </w:pPr>
            <w:r w:rsidRPr="00E826F0">
              <w:t>$43,055</w:t>
            </w:r>
          </w:p>
        </w:tc>
        <w:tc>
          <w:tcPr>
            <w:tcW w:w="768" w:type="pct"/>
            <w:vAlign w:val="bottom"/>
          </w:tcPr>
          <w:p w14:paraId="14158E2F" w14:textId="77777777" w:rsidR="00C538E8" w:rsidRPr="00E826F0" w:rsidRDefault="00C538E8">
            <w:pPr>
              <w:pStyle w:val="TableText"/>
              <w:keepNext/>
              <w:jc w:val="center"/>
            </w:pPr>
            <w:r w:rsidRPr="00E826F0">
              <w:t>$45,727</w:t>
            </w:r>
          </w:p>
        </w:tc>
        <w:tc>
          <w:tcPr>
            <w:tcW w:w="990" w:type="pct"/>
            <w:vAlign w:val="bottom"/>
          </w:tcPr>
          <w:p w14:paraId="19FC5C45" w14:textId="77777777" w:rsidR="00C538E8" w:rsidRPr="00E826F0" w:rsidRDefault="00C538E8">
            <w:pPr>
              <w:pStyle w:val="TableText"/>
              <w:keepNext/>
              <w:jc w:val="center"/>
            </w:pPr>
            <w:r w:rsidRPr="00E826F0">
              <w:t>0.800</w:t>
            </w:r>
          </w:p>
        </w:tc>
        <w:tc>
          <w:tcPr>
            <w:tcW w:w="1158" w:type="pct"/>
            <w:vAlign w:val="bottom"/>
          </w:tcPr>
          <w:p w14:paraId="016C8994" w14:textId="77777777" w:rsidR="00C538E8" w:rsidRPr="00E826F0" w:rsidRDefault="00C538E8">
            <w:pPr>
              <w:pStyle w:val="TableText"/>
              <w:keepNext/>
              <w:jc w:val="center"/>
            </w:pPr>
            <w:r w:rsidRPr="00E826F0">
              <w:t>0.301</w:t>
            </w:r>
          </w:p>
        </w:tc>
        <w:tc>
          <w:tcPr>
            <w:tcW w:w="735" w:type="pct"/>
            <w:vAlign w:val="bottom"/>
          </w:tcPr>
          <w:p w14:paraId="3BE6A352" w14:textId="1D44805E" w:rsidR="00C538E8" w:rsidRPr="00E826F0" w:rsidRDefault="00B63B76">
            <w:pPr>
              <w:pStyle w:val="TableText"/>
              <w:keepNext/>
              <w:jc w:val="center"/>
            </w:pPr>
            <w:r>
              <w:t>$</w:t>
            </w:r>
            <w:r w:rsidR="00BC050C">
              <w:t>110,</w:t>
            </w:r>
            <w:r w:rsidR="002C72BB">
              <w:t>383</w:t>
            </w:r>
            <w:r w:rsidR="003A2D7C" w:rsidRPr="00B5588D">
              <w:rPr>
                <w:vertAlign w:val="superscript"/>
              </w:rPr>
              <w:t>#</w:t>
            </w:r>
          </w:p>
        </w:tc>
      </w:tr>
      <w:tr w:rsidR="00C538E8" w:rsidRPr="00E826F0" w14:paraId="21C07F1E" w14:textId="77777777">
        <w:tc>
          <w:tcPr>
            <w:tcW w:w="5000" w:type="pct"/>
            <w:gridSpan w:val="6"/>
          </w:tcPr>
          <w:p w14:paraId="1830C349" w14:textId="77777777" w:rsidR="00C538E8" w:rsidRPr="00E826F0" w:rsidRDefault="00C538E8">
            <w:pPr>
              <w:pStyle w:val="TableText"/>
              <w:keepNext/>
            </w:pPr>
            <w:r w:rsidRPr="00E826F0">
              <w:t>FFP hybrid 2-step model: all LuPSMA-eligible patients are allocated into responders and non-responders groups after the second cycle (non-response is defined as a rise in PSA of &gt;2 ng/mL and/or evidence of progression on diagnostic CT)</w:t>
            </w:r>
          </w:p>
        </w:tc>
      </w:tr>
      <w:tr w:rsidR="00C538E8" w:rsidRPr="00E826F0" w14:paraId="7B8D1C17" w14:textId="77777777">
        <w:tc>
          <w:tcPr>
            <w:tcW w:w="772" w:type="pct"/>
          </w:tcPr>
          <w:p w14:paraId="70D97331" w14:textId="77777777" w:rsidR="00C538E8" w:rsidRPr="00E826F0" w:rsidRDefault="00C538E8">
            <w:pPr>
              <w:pStyle w:val="TableText"/>
              <w:keepNext/>
            </w:pPr>
            <w:r>
              <w:rPr>
                <w:vertAlign w:val="superscript"/>
              </w:rPr>
              <w:t>177</w:t>
            </w:r>
            <w:r w:rsidRPr="00E826F0">
              <w:t>Lu</w:t>
            </w:r>
            <w:r>
              <w:t> </w:t>
            </w:r>
            <w:r w:rsidRPr="00E826F0">
              <w:t>PSMA</w:t>
            </w:r>
            <w:r>
              <w:t> i&amp;t</w:t>
            </w:r>
          </w:p>
        </w:tc>
        <w:tc>
          <w:tcPr>
            <w:tcW w:w="577" w:type="pct"/>
            <w:vAlign w:val="bottom"/>
          </w:tcPr>
          <w:p w14:paraId="61252213" w14:textId="77777777" w:rsidR="00C538E8" w:rsidRPr="00E826F0" w:rsidRDefault="00C538E8">
            <w:pPr>
              <w:pStyle w:val="TableText"/>
              <w:keepNext/>
              <w:jc w:val="center"/>
            </w:pPr>
            <w:r w:rsidRPr="00E826F0">
              <w:t>$75,000</w:t>
            </w:r>
          </w:p>
        </w:tc>
        <w:tc>
          <w:tcPr>
            <w:tcW w:w="768" w:type="pct"/>
            <w:vAlign w:val="bottom"/>
          </w:tcPr>
          <w:p w14:paraId="689915BB" w14:textId="77777777" w:rsidR="00C538E8" w:rsidRPr="00E826F0" w:rsidRDefault="00C538E8">
            <w:pPr>
              <w:pStyle w:val="TableText"/>
              <w:keepNext/>
              <w:jc w:val="center"/>
            </w:pPr>
          </w:p>
        </w:tc>
        <w:tc>
          <w:tcPr>
            <w:tcW w:w="990" w:type="pct"/>
            <w:vAlign w:val="bottom"/>
          </w:tcPr>
          <w:p w14:paraId="53E3972D" w14:textId="77777777" w:rsidR="00C538E8" w:rsidRPr="00E826F0" w:rsidRDefault="00C538E8">
            <w:pPr>
              <w:pStyle w:val="TableText"/>
              <w:keepNext/>
              <w:jc w:val="center"/>
            </w:pPr>
            <w:r w:rsidRPr="00E826F0">
              <w:t>1.01</w:t>
            </w:r>
          </w:p>
        </w:tc>
        <w:tc>
          <w:tcPr>
            <w:tcW w:w="1158" w:type="pct"/>
            <w:vAlign w:val="bottom"/>
          </w:tcPr>
          <w:p w14:paraId="5D2B76EE" w14:textId="77777777" w:rsidR="00C538E8" w:rsidRPr="00E826F0" w:rsidRDefault="00C538E8">
            <w:pPr>
              <w:pStyle w:val="TableText"/>
              <w:keepNext/>
              <w:jc w:val="center"/>
            </w:pPr>
          </w:p>
        </w:tc>
        <w:tc>
          <w:tcPr>
            <w:tcW w:w="735" w:type="pct"/>
            <w:vAlign w:val="bottom"/>
          </w:tcPr>
          <w:p w14:paraId="677E83A4" w14:textId="77777777" w:rsidR="00C538E8" w:rsidRPr="00E826F0" w:rsidRDefault="00C538E8">
            <w:pPr>
              <w:pStyle w:val="TableText"/>
              <w:keepNext/>
              <w:jc w:val="center"/>
            </w:pPr>
          </w:p>
        </w:tc>
      </w:tr>
      <w:tr w:rsidR="00C538E8" w:rsidRPr="00E826F0" w14:paraId="1B71B045" w14:textId="77777777">
        <w:tc>
          <w:tcPr>
            <w:tcW w:w="772" w:type="pct"/>
          </w:tcPr>
          <w:p w14:paraId="6F7BA5AC" w14:textId="77777777" w:rsidR="00C538E8" w:rsidRPr="00E826F0" w:rsidRDefault="00C538E8">
            <w:pPr>
              <w:pStyle w:val="TableText"/>
              <w:keepNext/>
            </w:pPr>
            <w:r w:rsidRPr="00E826F0">
              <w:t>Cabazitaxel/BSc</w:t>
            </w:r>
          </w:p>
        </w:tc>
        <w:tc>
          <w:tcPr>
            <w:tcW w:w="577" w:type="pct"/>
            <w:vAlign w:val="bottom"/>
          </w:tcPr>
          <w:p w14:paraId="758FB97B" w14:textId="77777777" w:rsidR="00C538E8" w:rsidRPr="00E826F0" w:rsidRDefault="00C538E8">
            <w:pPr>
              <w:pStyle w:val="TableText"/>
              <w:keepNext/>
              <w:jc w:val="center"/>
            </w:pPr>
            <w:r w:rsidRPr="00E826F0">
              <w:t>$43,055</w:t>
            </w:r>
          </w:p>
        </w:tc>
        <w:tc>
          <w:tcPr>
            <w:tcW w:w="768" w:type="pct"/>
            <w:vAlign w:val="bottom"/>
          </w:tcPr>
          <w:p w14:paraId="25CBA995" w14:textId="77777777" w:rsidR="00C538E8" w:rsidRPr="00E826F0" w:rsidRDefault="00C538E8">
            <w:pPr>
              <w:pStyle w:val="TableText"/>
              <w:keepNext/>
              <w:jc w:val="center"/>
            </w:pPr>
            <w:r w:rsidRPr="00E826F0">
              <w:t>$31,946</w:t>
            </w:r>
          </w:p>
        </w:tc>
        <w:tc>
          <w:tcPr>
            <w:tcW w:w="990" w:type="pct"/>
            <w:vAlign w:val="bottom"/>
          </w:tcPr>
          <w:p w14:paraId="11358363" w14:textId="77777777" w:rsidR="00C538E8" w:rsidRPr="00E826F0" w:rsidRDefault="00C538E8">
            <w:pPr>
              <w:pStyle w:val="TableText"/>
              <w:keepNext/>
              <w:jc w:val="center"/>
            </w:pPr>
            <w:r w:rsidRPr="00E826F0">
              <w:t>0.80</w:t>
            </w:r>
          </w:p>
        </w:tc>
        <w:tc>
          <w:tcPr>
            <w:tcW w:w="1158" w:type="pct"/>
            <w:vAlign w:val="bottom"/>
          </w:tcPr>
          <w:p w14:paraId="4CFE20AA" w14:textId="77777777" w:rsidR="00C538E8" w:rsidRPr="00E826F0" w:rsidRDefault="00C538E8">
            <w:pPr>
              <w:pStyle w:val="TableText"/>
              <w:keepNext/>
              <w:jc w:val="center"/>
            </w:pPr>
            <w:r w:rsidRPr="00E826F0">
              <w:t>0.208</w:t>
            </w:r>
          </w:p>
        </w:tc>
        <w:tc>
          <w:tcPr>
            <w:tcW w:w="735" w:type="pct"/>
            <w:vAlign w:val="bottom"/>
          </w:tcPr>
          <w:p w14:paraId="4C380056" w14:textId="77777777" w:rsidR="00C538E8" w:rsidRPr="00E826F0" w:rsidRDefault="00C538E8">
            <w:pPr>
              <w:pStyle w:val="TableText"/>
              <w:keepNext/>
              <w:jc w:val="center"/>
            </w:pPr>
            <w:r w:rsidRPr="00E826F0">
              <w:t>$153,583</w:t>
            </w:r>
          </w:p>
        </w:tc>
      </w:tr>
    </w:tbl>
    <w:p w14:paraId="7384166A" w14:textId="49F0E3F9" w:rsidR="00C538E8" w:rsidRPr="00E826F0" w:rsidRDefault="00C538E8" w:rsidP="00C538E8">
      <w:pPr>
        <w:pStyle w:val="Tablenotes0"/>
        <w:keepNext/>
      </w:pPr>
      <w:r w:rsidRPr="00E826F0">
        <w:t xml:space="preserve">*Although the health state </w:t>
      </w:r>
      <w:r w:rsidR="00DF18DA">
        <w:t>benefit</w:t>
      </w:r>
      <w:r w:rsidRPr="00E826F0">
        <w:t xml:space="preserve"> is affected by the choice of the cycle length, the number of patients who receive treatment in each cycle is not (it is a linear transformation).</w:t>
      </w:r>
    </w:p>
    <w:p w14:paraId="2D5CC80F" w14:textId="77777777" w:rsidR="00C538E8" w:rsidRPr="00E826F0" w:rsidRDefault="00C538E8" w:rsidP="00C538E8">
      <w:pPr>
        <w:pStyle w:val="Tablenotes0"/>
        <w:keepNext/>
      </w:pPr>
      <w:r w:rsidRPr="00E826F0">
        <w:t>^Cost of the first 2 cycles of LuPSMA treatment was assigned to all surviving patients by the evaluators (1686.1 Commentary model)</w:t>
      </w:r>
    </w:p>
    <w:p w14:paraId="05B9FD39" w14:textId="77777777" w:rsidR="00C538E8" w:rsidRDefault="00C538E8" w:rsidP="00340B67">
      <w:pPr>
        <w:pStyle w:val="Tablenotes0"/>
        <w:keepNext/>
        <w:contextualSpacing w:val="0"/>
      </w:pPr>
      <w:r w:rsidRPr="00E826F0">
        <w:t xml:space="preserve">Abbreviations: BSc, best supportive care; i&amp;t, imaging and therapy; ICER, incremental cost-effectiveness ratio; </w:t>
      </w:r>
      <w:r w:rsidRPr="00E826F0">
        <w:rPr>
          <w:vertAlign w:val="superscript"/>
        </w:rPr>
        <w:t>177</w:t>
      </w:r>
      <w:r w:rsidRPr="00E826F0">
        <w:t>Lu, lutetium-177; PSMA, prostate specific membrane antigen; QALY, quality-adjusted life year</w:t>
      </w:r>
    </w:p>
    <w:p w14:paraId="1B3F905C" w14:textId="6D4BFA85" w:rsidR="003A2D7C" w:rsidRDefault="003A2D7C" w:rsidP="00C538E8">
      <w:pPr>
        <w:pStyle w:val="Tablenotes0"/>
        <w:keepNext/>
        <w:contextualSpacing w:val="0"/>
      </w:pPr>
      <w:r w:rsidRPr="00B5588D">
        <w:rPr>
          <w:vertAlign w:val="superscript"/>
        </w:rPr>
        <w:t>#</w:t>
      </w:r>
      <w:r w:rsidR="00001AF6" w:rsidRPr="00001AF6">
        <w:t xml:space="preserve">Please note the </w:t>
      </w:r>
      <w:r w:rsidR="002E6D9C">
        <w:t xml:space="preserve">Addendum </w:t>
      </w:r>
      <w:r w:rsidR="00001AF6" w:rsidRPr="00001AF6">
        <w:t>corrected an error with the previous ICER value reported</w:t>
      </w:r>
      <w:r w:rsidR="00FD2CDA">
        <w:t>.</w:t>
      </w:r>
      <w:r w:rsidR="00001AF6" w:rsidRPr="00001AF6">
        <w:t xml:space="preserve"> The error was in relation to how treatment was applied to surviving patients rather than those in PFS</w:t>
      </w:r>
      <w:r w:rsidR="00FD2CDA">
        <w:t>. The</w:t>
      </w:r>
      <w:r w:rsidR="00001AF6" w:rsidRPr="00001AF6">
        <w:t xml:space="preserve"> corrected </w:t>
      </w:r>
      <w:r w:rsidR="00FD2CDA">
        <w:t>ICER</w:t>
      </w:r>
      <w:r w:rsidR="002F325C">
        <w:t xml:space="preserve"> value</w:t>
      </w:r>
      <w:r w:rsidR="00001AF6" w:rsidRPr="00001AF6">
        <w:t xml:space="preserve"> </w:t>
      </w:r>
      <w:r w:rsidR="008B634E">
        <w:t>in the</w:t>
      </w:r>
      <w:r w:rsidR="00001AF6" w:rsidRPr="00001AF6">
        <w:t xml:space="preserve"> base case model </w:t>
      </w:r>
      <w:r w:rsidR="008B634E">
        <w:t xml:space="preserve">is </w:t>
      </w:r>
      <w:r w:rsidR="00001AF6" w:rsidRPr="00001AF6">
        <w:t>$11</w:t>
      </w:r>
      <w:r w:rsidR="00A82A2F">
        <w:t>0,383/</w:t>
      </w:r>
      <w:r w:rsidR="005A1267">
        <w:t xml:space="preserve">QALY </w:t>
      </w:r>
      <w:r w:rsidR="007642BD">
        <w:t xml:space="preserve">instead of </w:t>
      </w:r>
      <w:r w:rsidR="00373B42">
        <w:t>$151,993/QALY</w:t>
      </w:r>
      <w:r w:rsidR="000B3491">
        <w:t xml:space="preserve"> presented in the ffp DCAR</w:t>
      </w:r>
      <w:r w:rsidR="00001AF6" w:rsidRPr="00001AF6">
        <w:t>.</w:t>
      </w:r>
    </w:p>
    <w:p w14:paraId="511886AF" w14:textId="659CBB0C" w:rsidR="00FC0B29" w:rsidRDefault="00FC0B29" w:rsidP="00C538E8">
      <w:pPr>
        <w:pStyle w:val="Tablenotes0"/>
        <w:keepNext/>
        <w:jc w:val="left"/>
        <w:rPr>
          <w:rFonts w:ascii="Franklin Gothic Book" w:hAnsi="Franklin Gothic Book"/>
          <w:sz w:val="22"/>
          <w:szCs w:val="28"/>
        </w:rPr>
      </w:pPr>
      <w:r w:rsidRPr="00FC0B29">
        <w:rPr>
          <w:rFonts w:ascii="Franklin Gothic Book" w:hAnsi="Franklin Gothic Book"/>
          <w:sz w:val="22"/>
          <w:szCs w:val="28"/>
        </w:rPr>
        <w:t>Overall, the evaluators consider that the results of the original PSM model (presented in the MSAC 1686 ADAR) represents the most ‘reliable’ estimate of the ICER, due to the estimate relying solely on the VISION trial data for PFS and OS, (i.e. excluding  the problematic use of patient-level data from different trials for determination of PFS benefits and costs in PSM model) and where time on treatment was based on only those remaining in PFS in VISION continuing treatment After the necessary price update and other MSAC-recommended amendments (time horizon of 7.5 years, health state</w:t>
      </w:r>
      <w:r>
        <w:rPr>
          <w:rFonts w:ascii="Franklin Gothic Book" w:hAnsi="Franklin Gothic Book"/>
          <w:sz w:val="22"/>
          <w:szCs w:val="28"/>
        </w:rPr>
        <w:t xml:space="preserve"> </w:t>
      </w:r>
      <w:r w:rsidRPr="00FC0B29">
        <w:rPr>
          <w:rFonts w:ascii="Franklin Gothic Book" w:hAnsi="Franklin Gothic Book"/>
          <w:sz w:val="22"/>
          <w:szCs w:val="28"/>
        </w:rPr>
        <w:t>specific utility values that still allow for disutility reflecting cabazitaxel toxicity) this resulted in a base case ICER of $108,743/QALY.</w:t>
      </w:r>
    </w:p>
    <w:p w14:paraId="1DEEDFF6" w14:textId="375F20E2" w:rsidR="00B55291" w:rsidRPr="005D715D" w:rsidRDefault="00B55291" w:rsidP="00B55291">
      <w:pPr>
        <w:pStyle w:val="Tablenotes0"/>
        <w:keepNext/>
        <w:rPr>
          <w:rFonts w:ascii="Franklin Gothic Book" w:hAnsi="Franklin Gothic Book"/>
          <w:sz w:val="22"/>
          <w:szCs w:val="28"/>
        </w:rPr>
      </w:pPr>
      <w:r>
        <w:rPr>
          <w:rFonts w:ascii="Franklin Gothic Book" w:hAnsi="Franklin Gothic Book"/>
          <w:sz w:val="22"/>
          <w:szCs w:val="28"/>
        </w:rPr>
        <w:t>The applicability of the results to Australian clinical practice would depend on whether SPECT/CT assessment conducted after each cycle would be acceptable for both, disease progression monitoring and clinical decision making, in particular, the decision to terminate treatment in non-responders, starting from the first cycle. If positive, this would become inconsistent with two-step clinical algorithm currently reflected in the proposed MBS item descriptions.</w:t>
      </w:r>
    </w:p>
    <w:p w14:paraId="6B3A3AB9" w14:textId="4FEC20B7" w:rsidR="00E60E16" w:rsidRDefault="003E5511" w:rsidP="00182E8D">
      <w:r>
        <w:t xml:space="preserve">Comparing results from the set of the models produced over the </w:t>
      </w:r>
      <w:r w:rsidR="00C538E8">
        <w:t>ADAR</w:t>
      </w:r>
      <w:r>
        <w:t xml:space="preserve"> process indicates that, notwithstanding the methodological problems associated with the hybrid model designed for the FFP</w:t>
      </w:r>
      <w:r w:rsidR="00C538E8">
        <w:t xml:space="preserve"> DCAR</w:t>
      </w:r>
      <w:r>
        <w:t xml:space="preserve">, the ICER from the resubmission </w:t>
      </w:r>
      <w:r w:rsidR="00C538E8">
        <w:t>ADAR</w:t>
      </w:r>
      <w:r>
        <w:t xml:space="preserve"> (after all identified issues were addressed) is not much different from the ICER calculated in the hybrid model. However, the </w:t>
      </w:r>
      <w:r w:rsidR="00E60E16">
        <w:t>lowest</w:t>
      </w:r>
      <w:r>
        <w:t xml:space="preserve"> ICER belongs to the original model with its implicit assumption that only the patients, who remain in the progression-free state receive treatment, beginning from cycle one. </w:t>
      </w:r>
      <w:r w:rsidR="00E60E16">
        <w:t xml:space="preserve">The difference is explained by the cost of treatment that in the 2-step models is assigned to non-responders in the first 2 cycles. </w:t>
      </w:r>
      <w:r>
        <w:t>Although there is a disconnect between the weekly cycle</w:t>
      </w:r>
      <w:r w:rsidR="00E60E16">
        <w:t>,</w:t>
      </w:r>
      <w:r>
        <w:t xml:space="preserve"> </w:t>
      </w:r>
      <w:r w:rsidR="00E60E16">
        <w:t xml:space="preserve">which does not reflect clinical practice, </w:t>
      </w:r>
      <w:r>
        <w:t xml:space="preserve">and the SPECT/CT assessment conducted after every 6 weeks, </w:t>
      </w:r>
      <w:r w:rsidR="00E60E16">
        <w:t>the cost calculations are not affected by a weekly cycle.</w:t>
      </w:r>
    </w:p>
    <w:p w14:paraId="69DBCCC1" w14:textId="32E484C2" w:rsidR="0078467B" w:rsidRDefault="0078467B" w:rsidP="0078467B">
      <w:r w:rsidRPr="0078467B">
        <w:lastRenderedPageBreak/>
        <w:t>S</w:t>
      </w:r>
      <w:r w:rsidR="00E60E16" w:rsidRPr="0078467B">
        <w:t xml:space="preserve">ensitivity analyses </w:t>
      </w:r>
      <w:r w:rsidR="00FC0B29">
        <w:t>were</w:t>
      </w:r>
      <w:r w:rsidR="00FC0B29" w:rsidRPr="0078467B">
        <w:t xml:space="preserve"> </w:t>
      </w:r>
      <w:r w:rsidR="00E60E16" w:rsidRPr="0078467B">
        <w:t>undertaken</w:t>
      </w:r>
      <w:r w:rsidRPr="0078467B">
        <w:t xml:space="preserve">, see </w:t>
      </w:r>
      <w:r w:rsidRPr="0078467B">
        <w:fldChar w:fldCharType="begin"/>
      </w:r>
      <w:r w:rsidRPr="0078467B">
        <w:instrText xml:space="preserve"> REF _Ref150183203 \h  \* MERGEFORMAT </w:instrText>
      </w:r>
      <w:r w:rsidRPr="0078467B">
        <w:fldChar w:fldCharType="separate"/>
      </w:r>
      <w:r w:rsidR="00BF6F93">
        <w:t xml:space="preserve"> </w:t>
      </w:r>
      <w:r w:rsidR="00BF6F93" w:rsidRPr="00E826F0">
        <w:t xml:space="preserve">Table </w:t>
      </w:r>
      <w:r w:rsidR="00BF6F93">
        <w:rPr>
          <w:noProof/>
        </w:rPr>
        <w:t>11</w:t>
      </w:r>
      <w:r w:rsidRPr="0078467B">
        <w:fldChar w:fldCharType="end"/>
      </w:r>
      <w:r w:rsidR="00E60E16" w:rsidRPr="0078467B">
        <w:t>, although the assumptions of the hybrid model generated a new source of a conceptual uncertainty that could not be addressed by means of varying the values of the parameters.</w:t>
      </w:r>
      <w:bookmarkStart w:id="41" w:name="_Ref150183203"/>
    </w:p>
    <w:p w14:paraId="7D48252F" w14:textId="5F68BFC8" w:rsidR="0078467B" w:rsidRPr="00E826F0" w:rsidRDefault="0078467B" w:rsidP="0078467B">
      <w:pPr>
        <w:pStyle w:val="Caption"/>
      </w:pPr>
      <w:r w:rsidRPr="00E826F0">
        <w:t xml:space="preserve">Table </w:t>
      </w:r>
      <w:r w:rsidR="004D6242">
        <w:fldChar w:fldCharType="begin"/>
      </w:r>
      <w:r w:rsidR="004D6242">
        <w:instrText xml:space="preserve"> SEQ Tab</w:instrText>
      </w:r>
      <w:r w:rsidR="004D6242">
        <w:instrText xml:space="preserve">le \* ARABIC </w:instrText>
      </w:r>
      <w:r w:rsidR="004D6242">
        <w:fldChar w:fldCharType="separate"/>
      </w:r>
      <w:r w:rsidR="00BF6F93">
        <w:rPr>
          <w:noProof/>
        </w:rPr>
        <w:t>11</w:t>
      </w:r>
      <w:r w:rsidR="004D6242">
        <w:rPr>
          <w:noProof/>
        </w:rPr>
        <w:fldChar w:fldCharType="end"/>
      </w:r>
      <w:bookmarkEnd w:id="41"/>
      <w:r w:rsidRPr="00E826F0">
        <w:tab/>
        <w:t>Results of the scenario and sensitivity analyses</w:t>
      </w:r>
    </w:p>
    <w:tbl>
      <w:tblPr>
        <w:tblStyle w:val="TableGrid"/>
        <w:tblW w:w="5000" w:type="pct"/>
        <w:tblLook w:val="04A0" w:firstRow="1" w:lastRow="0" w:firstColumn="1" w:lastColumn="0" w:noHBand="0" w:noVBand="1"/>
      </w:tblPr>
      <w:tblGrid>
        <w:gridCol w:w="5006"/>
        <w:gridCol w:w="1091"/>
        <w:gridCol w:w="1091"/>
        <w:gridCol w:w="1004"/>
        <w:gridCol w:w="824"/>
      </w:tblGrid>
      <w:tr w:rsidR="0078467B" w:rsidRPr="00E826F0" w14:paraId="187EFBAB" w14:textId="77777777">
        <w:tc>
          <w:tcPr>
            <w:tcW w:w="2776" w:type="pct"/>
          </w:tcPr>
          <w:p w14:paraId="53C771B6" w14:textId="77777777" w:rsidR="0078467B" w:rsidRPr="00E826F0" w:rsidRDefault="0078467B" w:rsidP="0078467B">
            <w:pPr>
              <w:pStyle w:val="TableText"/>
              <w:keepNext/>
              <w:rPr>
                <w:rFonts w:eastAsia="Times New Roman" w:cs="Times New Roman"/>
                <w:bCs/>
                <w:szCs w:val="18"/>
                <w:lang w:eastAsia="en-AU"/>
              </w:rPr>
            </w:pPr>
          </w:p>
        </w:tc>
        <w:tc>
          <w:tcPr>
            <w:tcW w:w="605" w:type="pct"/>
          </w:tcPr>
          <w:p w14:paraId="256233DA" w14:textId="77777777" w:rsidR="0078467B" w:rsidRPr="00E826F0" w:rsidRDefault="0078467B" w:rsidP="0078467B">
            <w:pPr>
              <w:pStyle w:val="TableText"/>
              <w:keepNext/>
              <w:jc w:val="center"/>
              <w:rPr>
                <w:rFonts w:eastAsia="Times New Roman" w:cs="Times New Roman"/>
                <w:bCs/>
                <w:szCs w:val="18"/>
                <w:lang w:eastAsia="en-AU"/>
              </w:rPr>
            </w:pPr>
            <w:r w:rsidRPr="00E826F0">
              <w:rPr>
                <w:rFonts w:eastAsia="Times New Roman" w:cs="Times New Roman"/>
                <w:bCs/>
                <w:szCs w:val="18"/>
                <w:lang w:eastAsia="en-AU"/>
              </w:rPr>
              <w:t>Incremental cost</w:t>
            </w:r>
          </w:p>
        </w:tc>
        <w:tc>
          <w:tcPr>
            <w:tcW w:w="605" w:type="pct"/>
          </w:tcPr>
          <w:p w14:paraId="436BF8C7" w14:textId="77777777" w:rsidR="0078467B" w:rsidRPr="00E826F0" w:rsidRDefault="0078467B" w:rsidP="0078467B">
            <w:pPr>
              <w:pStyle w:val="TableText"/>
              <w:keepNext/>
              <w:jc w:val="center"/>
              <w:rPr>
                <w:rFonts w:eastAsia="Times New Roman" w:cs="Times New Roman"/>
                <w:bCs/>
                <w:szCs w:val="18"/>
                <w:lang w:eastAsia="en-AU"/>
              </w:rPr>
            </w:pPr>
            <w:r w:rsidRPr="00E826F0">
              <w:rPr>
                <w:rFonts w:eastAsia="Times New Roman" w:cs="Times New Roman"/>
                <w:bCs/>
                <w:szCs w:val="18"/>
                <w:lang w:eastAsia="en-AU"/>
              </w:rPr>
              <w:t>Incremental QALYs</w:t>
            </w:r>
          </w:p>
        </w:tc>
        <w:tc>
          <w:tcPr>
            <w:tcW w:w="557" w:type="pct"/>
          </w:tcPr>
          <w:p w14:paraId="2033C82E" w14:textId="77777777" w:rsidR="0078467B" w:rsidRPr="00E826F0" w:rsidRDefault="0078467B" w:rsidP="0078467B">
            <w:pPr>
              <w:pStyle w:val="TableText"/>
              <w:keepNext/>
              <w:jc w:val="center"/>
              <w:rPr>
                <w:rFonts w:eastAsia="Times New Roman" w:cs="Times New Roman"/>
                <w:bCs/>
                <w:szCs w:val="18"/>
                <w:lang w:eastAsia="en-AU"/>
              </w:rPr>
            </w:pPr>
            <w:r w:rsidRPr="00E826F0">
              <w:rPr>
                <w:rFonts w:eastAsia="Times New Roman" w:cs="Times New Roman"/>
                <w:bCs/>
                <w:szCs w:val="18"/>
                <w:lang w:eastAsia="en-AU"/>
              </w:rPr>
              <w:t>ICER</w:t>
            </w:r>
          </w:p>
        </w:tc>
        <w:tc>
          <w:tcPr>
            <w:tcW w:w="457" w:type="pct"/>
          </w:tcPr>
          <w:p w14:paraId="7D935709" w14:textId="77777777" w:rsidR="0078467B" w:rsidRPr="00E826F0" w:rsidRDefault="0078467B" w:rsidP="0078467B">
            <w:pPr>
              <w:pStyle w:val="TableText"/>
              <w:keepNext/>
              <w:jc w:val="center"/>
              <w:rPr>
                <w:rFonts w:eastAsia="Times New Roman" w:cs="Times New Roman"/>
                <w:bCs/>
                <w:szCs w:val="18"/>
                <w:lang w:eastAsia="en-AU"/>
              </w:rPr>
            </w:pPr>
            <w:r w:rsidRPr="00E826F0">
              <w:rPr>
                <w:rFonts w:eastAsia="Times New Roman" w:cs="Times New Roman"/>
                <w:bCs/>
                <w:szCs w:val="18"/>
                <w:lang w:eastAsia="en-AU"/>
              </w:rPr>
              <w:t>Impact</w:t>
            </w:r>
          </w:p>
        </w:tc>
      </w:tr>
      <w:tr w:rsidR="0078467B" w:rsidRPr="00E826F0" w14:paraId="15E689CD" w14:textId="77777777">
        <w:tc>
          <w:tcPr>
            <w:tcW w:w="2776" w:type="pct"/>
          </w:tcPr>
          <w:p w14:paraId="5A898B4A" w14:textId="77777777" w:rsidR="0078467B" w:rsidRPr="00E826F0" w:rsidRDefault="0078467B" w:rsidP="0078467B">
            <w:pPr>
              <w:pStyle w:val="TableText"/>
              <w:keepNext/>
              <w:rPr>
                <w:rFonts w:eastAsia="Times New Roman" w:cs="Times New Roman"/>
                <w:b/>
                <w:szCs w:val="18"/>
                <w:lang w:eastAsia="en-AU"/>
              </w:rPr>
            </w:pPr>
            <w:r w:rsidRPr="00E826F0">
              <w:rPr>
                <w:rFonts w:eastAsia="Times New Roman" w:cs="Times New Roman"/>
                <w:b/>
                <w:szCs w:val="18"/>
                <w:lang w:eastAsia="en-AU"/>
              </w:rPr>
              <w:t>Base-case</w:t>
            </w:r>
            <w:r>
              <w:rPr>
                <w:rFonts w:eastAsia="Times New Roman" w:cs="Times New Roman"/>
                <w:b/>
                <w:szCs w:val="18"/>
                <w:lang w:eastAsia="en-AU"/>
              </w:rPr>
              <w:t xml:space="preserve"> </w:t>
            </w:r>
          </w:p>
        </w:tc>
        <w:tc>
          <w:tcPr>
            <w:tcW w:w="605" w:type="pct"/>
          </w:tcPr>
          <w:p w14:paraId="69B16A40" w14:textId="77777777" w:rsidR="0078467B" w:rsidRPr="00E826F0" w:rsidRDefault="0078467B" w:rsidP="0078467B">
            <w:pPr>
              <w:pStyle w:val="TableText"/>
              <w:keepNext/>
              <w:jc w:val="center"/>
              <w:rPr>
                <w:rFonts w:eastAsia="Times New Roman" w:cs="Times New Roman"/>
                <w:b/>
                <w:bCs/>
                <w:szCs w:val="18"/>
                <w:lang w:eastAsia="en-AU"/>
              </w:rPr>
            </w:pPr>
            <w:r w:rsidRPr="00E826F0">
              <w:rPr>
                <w:rFonts w:eastAsia="Times New Roman" w:cs="Times New Roman"/>
                <w:b/>
                <w:bCs/>
                <w:szCs w:val="18"/>
                <w:lang w:eastAsia="en-AU"/>
              </w:rPr>
              <w:t>$31,946</w:t>
            </w:r>
          </w:p>
        </w:tc>
        <w:tc>
          <w:tcPr>
            <w:tcW w:w="605" w:type="pct"/>
          </w:tcPr>
          <w:p w14:paraId="56460752" w14:textId="77777777" w:rsidR="0078467B" w:rsidRPr="00E826F0" w:rsidRDefault="0078467B" w:rsidP="0078467B">
            <w:pPr>
              <w:pStyle w:val="TableText"/>
              <w:keepNext/>
              <w:jc w:val="center"/>
              <w:rPr>
                <w:rFonts w:eastAsia="Times New Roman" w:cs="Times New Roman"/>
                <w:b/>
                <w:bCs/>
                <w:szCs w:val="18"/>
                <w:lang w:eastAsia="en-AU"/>
              </w:rPr>
            </w:pPr>
            <w:r w:rsidRPr="00E826F0">
              <w:rPr>
                <w:rFonts w:eastAsia="Times New Roman" w:cs="Times New Roman"/>
                <w:b/>
                <w:bCs/>
                <w:szCs w:val="18"/>
                <w:lang w:eastAsia="en-AU"/>
              </w:rPr>
              <w:t>0.2080</w:t>
            </w:r>
          </w:p>
        </w:tc>
        <w:tc>
          <w:tcPr>
            <w:tcW w:w="557" w:type="pct"/>
          </w:tcPr>
          <w:p w14:paraId="5793A81C" w14:textId="77777777" w:rsidR="0078467B" w:rsidRPr="00E826F0" w:rsidRDefault="0078467B" w:rsidP="0078467B">
            <w:pPr>
              <w:pStyle w:val="TableText"/>
              <w:keepNext/>
              <w:jc w:val="center"/>
              <w:rPr>
                <w:rFonts w:eastAsia="Times New Roman" w:cs="Times New Roman"/>
                <w:b/>
                <w:bCs/>
                <w:szCs w:val="18"/>
                <w:lang w:eastAsia="en-AU"/>
              </w:rPr>
            </w:pPr>
            <w:r w:rsidRPr="00E826F0">
              <w:rPr>
                <w:rFonts w:eastAsia="Times New Roman" w:cs="Times New Roman"/>
                <w:b/>
                <w:bCs/>
                <w:szCs w:val="18"/>
                <w:lang w:eastAsia="en-AU"/>
              </w:rPr>
              <w:t>$153,583</w:t>
            </w:r>
          </w:p>
        </w:tc>
        <w:tc>
          <w:tcPr>
            <w:tcW w:w="457" w:type="pct"/>
          </w:tcPr>
          <w:p w14:paraId="56A51369"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N/a</w:t>
            </w:r>
          </w:p>
        </w:tc>
      </w:tr>
      <w:tr w:rsidR="0078467B" w:rsidRPr="00E826F0" w14:paraId="071F760A" w14:textId="77777777">
        <w:tc>
          <w:tcPr>
            <w:tcW w:w="5000" w:type="pct"/>
            <w:gridSpan w:val="5"/>
          </w:tcPr>
          <w:p w14:paraId="48412B1B" w14:textId="77777777" w:rsidR="0078467B" w:rsidRPr="00E826F0" w:rsidRDefault="0078467B" w:rsidP="0078467B">
            <w:pPr>
              <w:pStyle w:val="TableText"/>
              <w:keepNext/>
            </w:pPr>
            <w:r w:rsidRPr="00E826F0">
              <w:rPr>
                <w:rFonts w:eastAsia="Times New Roman" w:cs="Times New Roman"/>
                <w:b/>
                <w:bCs/>
                <w:szCs w:val="18"/>
                <w:lang w:eastAsia="en-AU"/>
              </w:rPr>
              <w:t>Modelling assumptions</w:t>
            </w:r>
            <w:r w:rsidRPr="00E826F0">
              <w:t xml:space="preserve"> Proportion of “responders” (69% 95%CI 0.60-0.77) </w:t>
            </w:r>
          </w:p>
        </w:tc>
      </w:tr>
      <w:tr w:rsidR="0078467B" w:rsidRPr="00E826F0" w14:paraId="6B1D7E56" w14:textId="77777777">
        <w:tc>
          <w:tcPr>
            <w:tcW w:w="2776" w:type="pct"/>
          </w:tcPr>
          <w:p w14:paraId="5D001F32" w14:textId="77777777" w:rsidR="0078467B" w:rsidRPr="00E826F0" w:rsidRDefault="0078467B" w:rsidP="0078467B">
            <w:pPr>
              <w:pStyle w:val="TableText"/>
              <w:keepNext/>
            </w:pPr>
            <w:r w:rsidRPr="00E826F0">
              <w:t>Decreasing the 69% proportion using the lower 95%CI limit</w:t>
            </w:r>
          </w:p>
        </w:tc>
        <w:tc>
          <w:tcPr>
            <w:tcW w:w="605" w:type="pct"/>
          </w:tcPr>
          <w:p w14:paraId="68B99887"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$29,600</w:t>
            </w:r>
          </w:p>
        </w:tc>
        <w:tc>
          <w:tcPr>
            <w:tcW w:w="605" w:type="pct"/>
          </w:tcPr>
          <w:p w14:paraId="331D6B4E"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0.1812</w:t>
            </w:r>
          </w:p>
        </w:tc>
        <w:tc>
          <w:tcPr>
            <w:tcW w:w="557" w:type="pct"/>
          </w:tcPr>
          <w:p w14:paraId="0AAA5745"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$163,337</w:t>
            </w:r>
          </w:p>
        </w:tc>
        <w:tc>
          <w:tcPr>
            <w:tcW w:w="457" w:type="pct"/>
          </w:tcPr>
          <w:p w14:paraId="43E2B3EE"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+6.4%</w:t>
            </w:r>
          </w:p>
        </w:tc>
      </w:tr>
      <w:tr w:rsidR="0078467B" w:rsidRPr="00E826F0" w14:paraId="37802F6A" w14:textId="77777777">
        <w:tc>
          <w:tcPr>
            <w:tcW w:w="2776" w:type="pct"/>
          </w:tcPr>
          <w:p w14:paraId="65849104" w14:textId="77777777" w:rsidR="0078467B" w:rsidRPr="00E826F0" w:rsidRDefault="0078467B" w:rsidP="0078467B">
            <w:pPr>
              <w:pStyle w:val="TableText"/>
              <w:keepNext/>
              <w:rPr>
                <w:rFonts w:eastAsia="Times New Roman" w:cs="Times New Roman"/>
                <w:bCs/>
                <w:szCs w:val="18"/>
                <w:lang w:eastAsia="en-AU"/>
              </w:rPr>
            </w:pPr>
            <w:r w:rsidRPr="00E826F0">
              <w:t>Increasing the 69% proportion using the upper 95%CI limit</w:t>
            </w:r>
          </w:p>
        </w:tc>
        <w:tc>
          <w:tcPr>
            <w:tcW w:w="605" w:type="pct"/>
          </w:tcPr>
          <w:p w14:paraId="29BC3653"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$34,031</w:t>
            </w:r>
          </w:p>
        </w:tc>
        <w:tc>
          <w:tcPr>
            <w:tcW w:w="605" w:type="pct"/>
          </w:tcPr>
          <w:p w14:paraId="347CC8E6"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0.2318</w:t>
            </w:r>
          </w:p>
        </w:tc>
        <w:tc>
          <w:tcPr>
            <w:tcW w:w="557" w:type="pct"/>
          </w:tcPr>
          <w:p w14:paraId="3233E29E"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$146,805</w:t>
            </w:r>
          </w:p>
        </w:tc>
        <w:tc>
          <w:tcPr>
            <w:tcW w:w="457" w:type="pct"/>
          </w:tcPr>
          <w:p w14:paraId="0B8990AF"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+4.4%</w:t>
            </w:r>
          </w:p>
        </w:tc>
      </w:tr>
      <w:tr w:rsidR="0078467B" w:rsidRPr="00E826F0" w14:paraId="3880C630" w14:textId="77777777">
        <w:tc>
          <w:tcPr>
            <w:tcW w:w="2776" w:type="pct"/>
          </w:tcPr>
          <w:p w14:paraId="4BA7C4EE" w14:textId="77777777" w:rsidR="0078467B" w:rsidRPr="00E826F0" w:rsidRDefault="0078467B" w:rsidP="0078467B">
            <w:pPr>
              <w:pStyle w:val="TableText"/>
              <w:keepNext/>
              <w:rPr>
                <w:rFonts w:eastAsia="Times New Roman" w:cs="Times New Roman"/>
                <w:bCs/>
                <w:szCs w:val="18"/>
                <w:lang w:eastAsia="en-AU"/>
              </w:rPr>
            </w:pPr>
            <w:r w:rsidRPr="00E826F0">
              <w:rPr>
                <w:rFonts w:eastAsia="Times New Roman" w:cs="Times New Roman"/>
                <w:bCs/>
                <w:szCs w:val="18"/>
                <w:lang w:eastAsia="en-AU"/>
              </w:rPr>
              <w:t>Discount rate 0% for costs and outcomes</w:t>
            </w:r>
          </w:p>
        </w:tc>
        <w:tc>
          <w:tcPr>
            <w:tcW w:w="605" w:type="pct"/>
          </w:tcPr>
          <w:p w14:paraId="7E3ACCFA"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$32,712</w:t>
            </w:r>
          </w:p>
        </w:tc>
        <w:tc>
          <w:tcPr>
            <w:tcW w:w="605" w:type="pct"/>
          </w:tcPr>
          <w:p w14:paraId="30D68FF4"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0.2359</w:t>
            </w:r>
          </w:p>
        </w:tc>
        <w:tc>
          <w:tcPr>
            <w:tcW w:w="557" w:type="pct"/>
          </w:tcPr>
          <w:p w14:paraId="325D444E"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$138,664</w:t>
            </w:r>
          </w:p>
        </w:tc>
        <w:tc>
          <w:tcPr>
            <w:tcW w:w="457" w:type="pct"/>
          </w:tcPr>
          <w:p w14:paraId="3F1234CF"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-10.0%</w:t>
            </w:r>
          </w:p>
        </w:tc>
      </w:tr>
      <w:tr w:rsidR="0078467B" w:rsidRPr="00E826F0" w14:paraId="4C77BAB5" w14:textId="77777777">
        <w:tc>
          <w:tcPr>
            <w:tcW w:w="2776" w:type="pct"/>
          </w:tcPr>
          <w:p w14:paraId="3F3FE2E0" w14:textId="77777777" w:rsidR="0078467B" w:rsidRPr="00E826F0" w:rsidRDefault="0078467B" w:rsidP="0078467B">
            <w:pPr>
              <w:pStyle w:val="TableText"/>
              <w:keepNext/>
              <w:rPr>
                <w:rFonts w:eastAsia="Times New Roman" w:cs="Times New Roman"/>
                <w:bCs/>
                <w:szCs w:val="18"/>
                <w:lang w:eastAsia="en-AU"/>
              </w:rPr>
            </w:pPr>
            <w:r w:rsidRPr="00E826F0">
              <w:rPr>
                <w:rFonts w:eastAsia="Times New Roman" w:cs="Times New Roman"/>
                <w:bCs/>
                <w:szCs w:val="18"/>
                <w:lang w:eastAsia="en-AU"/>
              </w:rPr>
              <w:t>Discount rate 3.5% for costs and outcomes</w:t>
            </w:r>
          </w:p>
        </w:tc>
        <w:tc>
          <w:tcPr>
            <w:tcW w:w="605" w:type="pct"/>
          </w:tcPr>
          <w:p w14:paraId="10EF7123"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$32,160</w:t>
            </w:r>
          </w:p>
        </w:tc>
        <w:tc>
          <w:tcPr>
            <w:tcW w:w="605" w:type="pct"/>
          </w:tcPr>
          <w:p w14:paraId="4CD40350"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0.2157</w:t>
            </w:r>
          </w:p>
        </w:tc>
        <w:tc>
          <w:tcPr>
            <w:tcW w:w="557" w:type="pct"/>
          </w:tcPr>
          <w:p w14:paraId="7C8FE55B"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$149,098</w:t>
            </w:r>
          </w:p>
        </w:tc>
        <w:tc>
          <w:tcPr>
            <w:tcW w:w="457" w:type="pct"/>
          </w:tcPr>
          <w:p w14:paraId="375ED755"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-2.9%</w:t>
            </w:r>
          </w:p>
        </w:tc>
      </w:tr>
      <w:tr w:rsidR="0078467B" w:rsidRPr="00E826F0" w14:paraId="0A3DD5A0" w14:textId="77777777">
        <w:tc>
          <w:tcPr>
            <w:tcW w:w="2776" w:type="pct"/>
            <w:tcBorders>
              <w:bottom w:val="single" w:sz="4" w:space="0" w:color="auto"/>
            </w:tcBorders>
          </w:tcPr>
          <w:p w14:paraId="2842A200" w14:textId="77777777" w:rsidR="0078467B" w:rsidRPr="00E826F0" w:rsidRDefault="0078467B" w:rsidP="0078467B">
            <w:pPr>
              <w:pStyle w:val="TableText"/>
              <w:keepNext/>
              <w:rPr>
                <w:rFonts w:eastAsia="Times New Roman" w:cs="Times New Roman"/>
                <w:szCs w:val="18"/>
                <w:lang w:eastAsia="en-AU"/>
              </w:rPr>
            </w:pPr>
            <w:r w:rsidRPr="00E826F0">
              <w:rPr>
                <w:rFonts w:eastAsia="Times New Roman" w:cs="Times New Roman"/>
                <w:szCs w:val="18"/>
                <w:lang w:eastAsia="en-AU"/>
              </w:rPr>
              <w:t>Time horizon of 5 years</w:t>
            </w:r>
          </w:p>
        </w:tc>
        <w:tc>
          <w:tcPr>
            <w:tcW w:w="605" w:type="pct"/>
            <w:tcBorders>
              <w:bottom w:val="single" w:sz="4" w:space="0" w:color="auto"/>
            </w:tcBorders>
          </w:tcPr>
          <w:p w14:paraId="1F4D9139"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$31,491</w:t>
            </w:r>
          </w:p>
        </w:tc>
        <w:tc>
          <w:tcPr>
            <w:tcW w:w="605" w:type="pct"/>
            <w:tcBorders>
              <w:bottom w:val="single" w:sz="4" w:space="0" w:color="auto"/>
            </w:tcBorders>
          </w:tcPr>
          <w:p w14:paraId="7DC90C86"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0.1844</w:t>
            </w:r>
          </w:p>
        </w:tc>
        <w:tc>
          <w:tcPr>
            <w:tcW w:w="557" w:type="pct"/>
            <w:tcBorders>
              <w:bottom w:val="single" w:sz="4" w:space="0" w:color="auto"/>
            </w:tcBorders>
          </w:tcPr>
          <w:p w14:paraId="24F26233"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$170,769</w:t>
            </w:r>
          </w:p>
        </w:tc>
        <w:tc>
          <w:tcPr>
            <w:tcW w:w="457" w:type="pct"/>
            <w:tcBorders>
              <w:bottom w:val="single" w:sz="4" w:space="0" w:color="auto"/>
            </w:tcBorders>
          </w:tcPr>
          <w:p w14:paraId="01ADF933"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+11.2%</w:t>
            </w:r>
          </w:p>
        </w:tc>
      </w:tr>
      <w:tr w:rsidR="0078467B" w:rsidRPr="00E826F0" w14:paraId="2818BC5F" w14:textId="77777777">
        <w:tc>
          <w:tcPr>
            <w:tcW w:w="2776" w:type="pct"/>
            <w:tcBorders>
              <w:right w:val="nil"/>
            </w:tcBorders>
          </w:tcPr>
          <w:p w14:paraId="0139022B" w14:textId="77777777" w:rsidR="0078467B" w:rsidRPr="00E826F0" w:rsidRDefault="0078467B" w:rsidP="0078467B">
            <w:pPr>
              <w:pStyle w:val="TableText"/>
              <w:keepNext/>
              <w:rPr>
                <w:rFonts w:eastAsia="Times New Roman" w:cs="Times New Roman"/>
                <w:b/>
                <w:bCs/>
                <w:szCs w:val="18"/>
                <w:lang w:eastAsia="en-AU"/>
              </w:rPr>
            </w:pPr>
            <w:r w:rsidRPr="00E826F0">
              <w:rPr>
                <w:rFonts w:eastAsia="Times New Roman" w:cs="Times New Roman"/>
                <w:b/>
                <w:bCs/>
                <w:szCs w:val="18"/>
                <w:lang w:eastAsia="en-AU"/>
              </w:rPr>
              <w:t xml:space="preserve">Comparator </w:t>
            </w:r>
          </w:p>
        </w:tc>
        <w:tc>
          <w:tcPr>
            <w:tcW w:w="605" w:type="pct"/>
            <w:tcBorders>
              <w:left w:val="nil"/>
              <w:right w:val="nil"/>
            </w:tcBorders>
          </w:tcPr>
          <w:p w14:paraId="0314E815" w14:textId="77777777" w:rsidR="0078467B" w:rsidRPr="00E826F0" w:rsidRDefault="0078467B" w:rsidP="0078467B">
            <w:pPr>
              <w:pStyle w:val="TableText"/>
              <w:keepNext/>
              <w:jc w:val="center"/>
              <w:rPr>
                <w:rFonts w:eastAsia="Times New Roman" w:cs="Times New Roman"/>
                <w:szCs w:val="18"/>
                <w:lang w:eastAsia="en-AU"/>
              </w:rPr>
            </w:pPr>
          </w:p>
        </w:tc>
        <w:tc>
          <w:tcPr>
            <w:tcW w:w="605" w:type="pct"/>
            <w:tcBorders>
              <w:left w:val="nil"/>
              <w:right w:val="nil"/>
            </w:tcBorders>
          </w:tcPr>
          <w:p w14:paraId="54182840" w14:textId="77777777" w:rsidR="0078467B" w:rsidRPr="00E826F0" w:rsidRDefault="0078467B" w:rsidP="0078467B">
            <w:pPr>
              <w:pStyle w:val="TableText"/>
              <w:keepNext/>
              <w:jc w:val="center"/>
              <w:rPr>
                <w:rFonts w:eastAsia="Times New Roman" w:cs="Times New Roman"/>
                <w:szCs w:val="18"/>
                <w:lang w:eastAsia="en-AU"/>
              </w:rPr>
            </w:pPr>
          </w:p>
        </w:tc>
        <w:tc>
          <w:tcPr>
            <w:tcW w:w="557" w:type="pct"/>
            <w:tcBorders>
              <w:left w:val="nil"/>
              <w:right w:val="nil"/>
            </w:tcBorders>
          </w:tcPr>
          <w:p w14:paraId="3DCD0DA5" w14:textId="77777777" w:rsidR="0078467B" w:rsidRPr="00E826F0" w:rsidRDefault="0078467B" w:rsidP="0078467B">
            <w:pPr>
              <w:pStyle w:val="TableText"/>
              <w:keepNext/>
              <w:jc w:val="center"/>
              <w:rPr>
                <w:rFonts w:eastAsia="Times New Roman" w:cs="Times New Roman"/>
                <w:szCs w:val="18"/>
                <w:lang w:eastAsia="en-AU"/>
              </w:rPr>
            </w:pPr>
          </w:p>
        </w:tc>
        <w:tc>
          <w:tcPr>
            <w:tcW w:w="457" w:type="pct"/>
            <w:tcBorders>
              <w:left w:val="nil"/>
            </w:tcBorders>
          </w:tcPr>
          <w:p w14:paraId="7E91528C" w14:textId="77777777" w:rsidR="0078467B" w:rsidRPr="00E826F0" w:rsidRDefault="0078467B" w:rsidP="0078467B">
            <w:pPr>
              <w:pStyle w:val="TableText"/>
              <w:keepNext/>
              <w:jc w:val="center"/>
              <w:rPr>
                <w:rFonts w:eastAsia="Times New Roman" w:cs="Times New Roman"/>
                <w:szCs w:val="18"/>
                <w:lang w:eastAsia="en-AU"/>
              </w:rPr>
            </w:pPr>
          </w:p>
        </w:tc>
      </w:tr>
      <w:tr w:rsidR="0078467B" w:rsidRPr="00E826F0" w14:paraId="48F0E1B0" w14:textId="77777777">
        <w:tc>
          <w:tcPr>
            <w:tcW w:w="2776" w:type="pct"/>
          </w:tcPr>
          <w:p w14:paraId="57FF578F" w14:textId="2466AAD5" w:rsidR="0078467B" w:rsidRPr="00E826F0" w:rsidRDefault="0078467B" w:rsidP="0078467B">
            <w:pPr>
              <w:pStyle w:val="TableText"/>
              <w:keepNext/>
              <w:rPr>
                <w:rFonts w:eastAsia="Times New Roman" w:cs="Times New Roman"/>
                <w:b/>
                <w:bCs/>
                <w:szCs w:val="18"/>
                <w:lang w:eastAsia="en-AU"/>
              </w:rPr>
            </w:pPr>
            <w:r w:rsidRPr="00E826F0">
              <w:rPr>
                <w:rFonts w:eastAsia="Times New Roman" w:cs="Times New Roman"/>
                <w:szCs w:val="18"/>
                <w:lang w:eastAsia="en-AU"/>
              </w:rPr>
              <w:t>Assume 75% cabazitaxel, 25% BS</w:t>
            </w:r>
            <w:r w:rsidR="00412AB1">
              <w:rPr>
                <w:rFonts w:eastAsia="Times New Roman" w:cs="Times New Roman"/>
                <w:szCs w:val="18"/>
                <w:lang w:eastAsia="en-AU"/>
              </w:rPr>
              <w:t>c</w:t>
            </w:r>
          </w:p>
        </w:tc>
        <w:tc>
          <w:tcPr>
            <w:tcW w:w="605" w:type="pct"/>
          </w:tcPr>
          <w:p w14:paraId="79CEFAFD"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$29,999</w:t>
            </w:r>
          </w:p>
        </w:tc>
        <w:tc>
          <w:tcPr>
            <w:tcW w:w="605" w:type="pct"/>
          </w:tcPr>
          <w:p w14:paraId="147FA749"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0.1159</w:t>
            </w:r>
          </w:p>
        </w:tc>
        <w:tc>
          <w:tcPr>
            <w:tcW w:w="557" w:type="pct"/>
          </w:tcPr>
          <w:p w14:paraId="00415A3D"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$258,916</w:t>
            </w:r>
          </w:p>
        </w:tc>
        <w:tc>
          <w:tcPr>
            <w:tcW w:w="457" w:type="pct"/>
          </w:tcPr>
          <w:p w14:paraId="662F8AE8" w14:textId="13370E09" w:rsidR="0078467B" w:rsidRPr="00E826F0" w:rsidRDefault="0078467B" w:rsidP="0078467B">
            <w:pPr>
              <w:pStyle w:val="TableText"/>
              <w:keepNext/>
              <w:jc w:val="center"/>
              <w:rPr>
                <w:rFonts w:eastAsia="Times New Roman" w:cs="Times New Roman"/>
                <w:b/>
                <w:bCs/>
                <w:szCs w:val="18"/>
                <w:lang w:eastAsia="en-AU"/>
              </w:rPr>
            </w:pPr>
            <w:r w:rsidRPr="00E826F0">
              <w:rPr>
                <w:rFonts w:eastAsia="Times New Roman" w:cs="Times New Roman"/>
                <w:b/>
                <w:bCs/>
                <w:szCs w:val="18"/>
                <w:lang w:eastAsia="en-AU"/>
              </w:rPr>
              <w:t>+68.6%</w:t>
            </w:r>
          </w:p>
        </w:tc>
      </w:tr>
      <w:tr w:rsidR="00F17EF8" w:rsidRPr="00E826F0" w14:paraId="5BCC7870" w14:textId="77777777" w:rsidTr="006D5080">
        <w:tc>
          <w:tcPr>
            <w:tcW w:w="2776" w:type="pct"/>
            <w:vAlign w:val="center"/>
          </w:tcPr>
          <w:p w14:paraId="5A195E9B" w14:textId="11B47730" w:rsidR="00F17EF8" w:rsidRPr="00E826F0" w:rsidRDefault="00F17EF8" w:rsidP="00F17EF8">
            <w:pPr>
              <w:pStyle w:val="TableText"/>
              <w:keepNext/>
              <w:rPr>
                <w:rFonts w:eastAsia="Times New Roman" w:cs="Times New Roman"/>
                <w:szCs w:val="18"/>
                <w:lang w:eastAsia="en-AU"/>
              </w:rPr>
            </w:pPr>
            <w:r w:rsidRPr="00E826F0">
              <w:rPr>
                <w:rFonts w:eastAsia="Times New Roman" w:cs="Times New Roman"/>
                <w:szCs w:val="18"/>
                <w:lang w:eastAsia="en-AU"/>
              </w:rPr>
              <w:t xml:space="preserve">Assume </w:t>
            </w:r>
            <w:r>
              <w:rPr>
                <w:rFonts w:eastAsia="Times New Roman" w:cs="Times New Roman"/>
                <w:szCs w:val="18"/>
                <w:lang w:eastAsia="en-AU"/>
              </w:rPr>
              <w:t>100%</w:t>
            </w:r>
            <w:r w:rsidRPr="00E826F0">
              <w:rPr>
                <w:rFonts w:eastAsia="Times New Roman" w:cs="Times New Roman"/>
                <w:szCs w:val="18"/>
                <w:lang w:eastAsia="en-AU"/>
              </w:rPr>
              <w:t xml:space="preserve"> BS</w:t>
            </w:r>
            <w:r w:rsidR="00412AB1">
              <w:rPr>
                <w:rFonts w:eastAsia="Times New Roman" w:cs="Times New Roman"/>
                <w:szCs w:val="18"/>
                <w:lang w:eastAsia="en-AU"/>
              </w:rPr>
              <w:t>c</w:t>
            </w:r>
          </w:p>
        </w:tc>
        <w:tc>
          <w:tcPr>
            <w:tcW w:w="605" w:type="pct"/>
            <w:vAlign w:val="center"/>
          </w:tcPr>
          <w:p w14:paraId="1A4F4889" w14:textId="53B75FDC" w:rsidR="00F17EF8" w:rsidRPr="00E826F0" w:rsidRDefault="00F17EF8" w:rsidP="00F17EF8">
            <w:pPr>
              <w:pStyle w:val="TableText"/>
              <w:keepNext/>
              <w:jc w:val="center"/>
              <w:rPr>
                <w:rFonts w:eastAsia="Times New Roman" w:cs="Times New Roman"/>
                <w:szCs w:val="18"/>
                <w:lang w:eastAsia="en-AU"/>
              </w:rPr>
            </w:pPr>
            <w:r>
              <w:rPr>
                <w:rFonts w:eastAsia="Times New Roman" w:cs="Times New Roman"/>
                <w:szCs w:val="18"/>
                <w:lang w:eastAsia="en-AU"/>
              </w:rPr>
              <w:t>$32,850</w:t>
            </w:r>
          </w:p>
        </w:tc>
        <w:tc>
          <w:tcPr>
            <w:tcW w:w="605" w:type="pct"/>
            <w:vAlign w:val="center"/>
          </w:tcPr>
          <w:p w14:paraId="6E9E7CA5" w14:textId="3CE56339" w:rsidR="00F17EF8" w:rsidRPr="00E826F0" w:rsidRDefault="00F17EF8" w:rsidP="00F17EF8">
            <w:pPr>
              <w:pStyle w:val="TableText"/>
              <w:keepNext/>
              <w:jc w:val="center"/>
              <w:rPr>
                <w:rFonts w:eastAsia="Times New Roman" w:cs="Times New Roman"/>
                <w:szCs w:val="18"/>
                <w:lang w:eastAsia="en-AU"/>
              </w:rPr>
            </w:pPr>
            <w:r>
              <w:rPr>
                <w:rFonts w:eastAsia="Times New Roman" w:cs="Times New Roman"/>
                <w:szCs w:val="18"/>
                <w:lang w:eastAsia="en-AU"/>
              </w:rPr>
              <w:t>0.2408</w:t>
            </w:r>
          </w:p>
        </w:tc>
        <w:tc>
          <w:tcPr>
            <w:tcW w:w="557" w:type="pct"/>
            <w:vAlign w:val="center"/>
          </w:tcPr>
          <w:p w14:paraId="5120ADB7" w14:textId="471C558D" w:rsidR="00F17EF8" w:rsidRPr="00E826F0" w:rsidRDefault="00F17EF8" w:rsidP="00F17EF8">
            <w:pPr>
              <w:pStyle w:val="TableText"/>
              <w:keepNext/>
              <w:jc w:val="center"/>
              <w:rPr>
                <w:rFonts w:eastAsia="Times New Roman" w:cs="Times New Roman"/>
                <w:szCs w:val="18"/>
                <w:lang w:eastAsia="en-AU"/>
              </w:rPr>
            </w:pPr>
            <w:r>
              <w:rPr>
                <w:rFonts w:eastAsia="Times New Roman" w:cs="Times New Roman"/>
                <w:szCs w:val="18"/>
                <w:lang w:eastAsia="en-AU"/>
              </w:rPr>
              <w:t>$136,424</w:t>
            </w:r>
          </w:p>
        </w:tc>
        <w:tc>
          <w:tcPr>
            <w:tcW w:w="457" w:type="pct"/>
            <w:vAlign w:val="center"/>
          </w:tcPr>
          <w:p w14:paraId="6DB53559" w14:textId="250AE5E1" w:rsidR="00F17EF8" w:rsidRPr="00E826F0" w:rsidRDefault="00F17EF8" w:rsidP="00F17EF8">
            <w:pPr>
              <w:pStyle w:val="TableText"/>
              <w:keepNext/>
              <w:jc w:val="center"/>
              <w:rPr>
                <w:rFonts w:eastAsia="Times New Roman" w:cs="Times New Roman"/>
                <w:b/>
                <w:bCs/>
                <w:szCs w:val="18"/>
                <w:lang w:eastAsia="en-AU"/>
              </w:rPr>
            </w:pPr>
            <w:r>
              <w:rPr>
                <w:rFonts w:eastAsia="Times New Roman" w:cs="Times New Roman"/>
                <w:b/>
                <w:bCs/>
                <w:szCs w:val="18"/>
                <w:lang w:eastAsia="en-AU"/>
              </w:rPr>
              <w:t>-11.2%</w:t>
            </w:r>
          </w:p>
        </w:tc>
      </w:tr>
      <w:tr w:rsidR="0078467B" w:rsidRPr="00E826F0" w14:paraId="1C8C6E82" w14:textId="77777777">
        <w:tc>
          <w:tcPr>
            <w:tcW w:w="2776" w:type="pct"/>
          </w:tcPr>
          <w:p w14:paraId="5C0F0B61" w14:textId="77777777" w:rsidR="0078467B" w:rsidRPr="00E826F0" w:rsidRDefault="0078467B" w:rsidP="0078467B">
            <w:pPr>
              <w:pStyle w:val="TableText"/>
              <w:keepNext/>
              <w:rPr>
                <w:rFonts w:eastAsia="Times New Roman" w:cs="Times New Roman"/>
                <w:szCs w:val="18"/>
                <w:lang w:eastAsia="en-AU"/>
              </w:rPr>
            </w:pPr>
            <w:r w:rsidRPr="00E826F0">
              <w:rPr>
                <w:rFonts w:eastAsia="Times New Roman" w:cs="Times New Roman"/>
                <w:szCs w:val="18"/>
                <w:lang w:eastAsia="en-AU"/>
              </w:rPr>
              <w:t xml:space="preserve">Historic cost of cabazitaxel (February 2022) </w:t>
            </w:r>
            <w:r w:rsidRPr="00E826F0">
              <w:t>$1,068.78</w:t>
            </w:r>
          </w:p>
        </w:tc>
        <w:tc>
          <w:tcPr>
            <w:tcW w:w="605" w:type="pct"/>
          </w:tcPr>
          <w:p w14:paraId="48347E66"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$31,421</w:t>
            </w:r>
          </w:p>
        </w:tc>
        <w:tc>
          <w:tcPr>
            <w:tcW w:w="605" w:type="pct"/>
          </w:tcPr>
          <w:p w14:paraId="20E1FA0E"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0.2080</w:t>
            </w:r>
          </w:p>
        </w:tc>
        <w:tc>
          <w:tcPr>
            <w:tcW w:w="557" w:type="pct"/>
          </w:tcPr>
          <w:p w14:paraId="1842AD40"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$151,062</w:t>
            </w:r>
          </w:p>
        </w:tc>
        <w:tc>
          <w:tcPr>
            <w:tcW w:w="457" w:type="pct"/>
          </w:tcPr>
          <w:p w14:paraId="50FD32A3"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-1.6%</w:t>
            </w:r>
          </w:p>
        </w:tc>
      </w:tr>
      <w:tr w:rsidR="0078467B" w:rsidRPr="00E826F0" w14:paraId="1CE9ED5D" w14:textId="77777777">
        <w:tc>
          <w:tcPr>
            <w:tcW w:w="2776" w:type="pct"/>
            <w:tcBorders>
              <w:right w:val="nil"/>
            </w:tcBorders>
          </w:tcPr>
          <w:p w14:paraId="52783C27" w14:textId="77777777" w:rsidR="0078467B" w:rsidRPr="00E826F0" w:rsidRDefault="0078467B" w:rsidP="0078467B">
            <w:pPr>
              <w:pStyle w:val="TableText"/>
              <w:keepNext/>
              <w:rPr>
                <w:rFonts w:eastAsia="Times New Roman" w:cs="Times New Roman"/>
                <w:b/>
                <w:bCs/>
                <w:szCs w:val="18"/>
                <w:lang w:eastAsia="en-AU"/>
              </w:rPr>
            </w:pPr>
            <w:r w:rsidRPr="00E826F0">
              <w:rPr>
                <w:rFonts w:eastAsia="Times New Roman" w:cs="Times New Roman"/>
                <w:b/>
                <w:bCs/>
                <w:szCs w:val="18"/>
                <w:lang w:eastAsia="en-AU"/>
              </w:rPr>
              <w:t>Utilities</w:t>
            </w:r>
          </w:p>
        </w:tc>
        <w:tc>
          <w:tcPr>
            <w:tcW w:w="605" w:type="pct"/>
            <w:tcBorders>
              <w:left w:val="nil"/>
              <w:right w:val="nil"/>
            </w:tcBorders>
          </w:tcPr>
          <w:p w14:paraId="69A89695" w14:textId="77777777" w:rsidR="0078467B" w:rsidRPr="00E826F0" w:rsidRDefault="0078467B" w:rsidP="0078467B">
            <w:pPr>
              <w:pStyle w:val="TableText"/>
              <w:keepNext/>
              <w:jc w:val="center"/>
              <w:rPr>
                <w:rFonts w:eastAsia="Times New Roman" w:cs="Times New Roman"/>
                <w:szCs w:val="18"/>
                <w:lang w:eastAsia="en-AU"/>
              </w:rPr>
            </w:pPr>
          </w:p>
        </w:tc>
        <w:tc>
          <w:tcPr>
            <w:tcW w:w="605" w:type="pct"/>
            <w:tcBorders>
              <w:left w:val="nil"/>
              <w:right w:val="nil"/>
            </w:tcBorders>
          </w:tcPr>
          <w:p w14:paraId="03A5B9FC" w14:textId="77777777" w:rsidR="0078467B" w:rsidRPr="00E826F0" w:rsidRDefault="0078467B" w:rsidP="0078467B">
            <w:pPr>
              <w:pStyle w:val="TableText"/>
              <w:keepNext/>
              <w:jc w:val="center"/>
              <w:rPr>
                <w:rFonts w:eastAsia="Times New Roman" w:cs="Times New Roman"/>
                <w:szCs w:val="18"/>
                <w:lang w:eastAsia="en-AU"/>
              </w:rPr>
            </w:pPr>
          </w:p>
        </w:tc>
        <w:tc>
          <w:tcPr>
            <w:tcW w:w="557" w:type="pct"/>
            <w:tcBorders>
              <w:left w:val="nil"/>
              <w:right w:val="nil"/>
            </w:tcBorders>
          </w:tcPr>
          <w:p w14:paraId="07DCA296" w14:textId="77777777" w:rsidR="0078467B" w:rsidRPr="00E826F0" w:rsidRDefault="0078467B" w:rsidP="0078467B">
            <w:pPr>
              <w:pStyle w:val="TableText"/>
              <w:keepNext/>
              <w:jc w:val="center"/>
              <w:rPr>
                <w:rFonts w:eastAsia="Times New Roman" w:cs="Times New Roman"/>
                <w:szCs w:val="18"/>
                <w:lang w:eastAsia="en-AU"/>
              </w:rPr>
            </w:pPr>
          </w:p>
        </w:tc>
        <w:tc>
          <w:tcPr>
            <w:tcW w:w="457" w:type="pct"/>
            <w:tcBorders>
              <w:left w:val="nil"/>
            </w:tcBorders>
          </w:tcPr>
          <w:p w14:paraId="36560426" w14:textId="77777777" w:rsidR="0078467B" w:rsidRPr="00E826F0" w:rsidRDefault="0078467B" w:rsidP="0078467B">
            <w:pPr>
              <w:pStyle w:val="TableText"/>
              <w:keepNext/>
              <w:jc w:val="center"/>
              <w:rPr>
                <w:rFonts w:eastAsia="Times New Roman" w:cs="Times New Roman"/>
                <w:szCs w:val="18"/>
                <w:lang w:eastAsia="en-AU"/>
              </w:rPr>
            </w:pPr>
          </w:p>
        </w:tc>
      </w:tr>
      <w:tr w:rsidR="0078467B" w:rsidRPr="00E826F0" w14:paraId="1B5500AD" w14:textId="77777777">
        <w:tc>
          <w:tcPr>
            <w:tcW w:w="2776" w:type="pct"/>
          </w:tcPr>
          <w:p w14:paraId="5543CE2B" w14:textId="77777777" w:rsidR="0078467B" w:rsidRPr="00E826F0" w:rsidRDefault="0078467B" w:rsidP="0078467B">
            <w:pPr>
              <w:pStyle w:val="TableText"/>
              <w:keepNext/>
              <w:rPr>
                <w:rFonts w:eastAsia="Times New Roman" w:cs="Times New Roman"/>
                <w:szCs w:val="18"/>
                <w:lang w:eastAsia="en-AU"/>
              </w:rPr>
            </w:pPr>
            <w:r w:rsidRPr="00E826F0">
              <w:rPr>
                <w:rFonts w:eastAsia="Times New Roman" w:cs="Times New Roman"/>
                <w:szCs w:val="18"/>
                <w:lang w:eastAsia="en-AU"/>
              </w:rPr>
              <w:t>15D utility values from Torvinen et al. (2013) (PFS: 0.80, PD: 0.67)</w:t>
            </w:r>
          </w:p>
        </w:tc>
        <w:tc>
          <w:tcPr>
            <w:tcW w:w="605" w:type="pct"/>
          </w:tcPr>
          <w:p w14:paraId="2549291B"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$31,946</w:t>
            </w:r>
          </w:p>
        </w:tc>
        <w:tc>
          <w:tcPr>
            <w:tcW w:w="605" w:type="pct"/>
          </w:tcPr>
          <w:p w14:paraId="02BAB05A"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0.2203</w:t>
            </w:r>
          </w:p>
        </w:tc>
        <w:tc>
          <w:tcPr>
            <w:tcW w:w="557" w:type="pct"/>
          </w:tcPr>
          <w:p w14:paraId="4F0C215F"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$145,031</w:t>
            </w:r>
          </w:p>
        </w:tc>
        <w:tc>
          <w:tcPr>
            <w:tcW w:w="457" w:type="pct"/>
          </w:tcPr>
          <w:p w14:paraId="1F690797"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-5.6%</w:t>
            </w:r>
          </w:p>
        </w:tc>
      </w:tr>
      <w:tr w:rsidR="0078467B" w:rsidRPr="00E826F0" w14:paraId="7116360A" w14:textId="77777777">
        <w:tc>
          <w:tcPr>
            <w:tcW w:w="2776" w:type="pct"/>
            <w:tcBorders>
              <w:bottom w:val="single" w:sz="4" w:space="0" w:color="auto"/>
            </w:tcBorders>
          </w:tcPr>
          <w:p w14:paraId="2707B801" w14:textId="77777777" w:rsidR="0078467B" w:rsidRPr="00E826F0" w:rsidRDefault="0078467B" w:rsidP="0078467B">
            <w:pPr>
              <w:pStyle w:val="TableText"/>
              <w:keepNext/>
              <w:rPr>
                <w:rFonts w:eastAsia="Times New Roman" w:cs="Times New Roman"/>
                <w:szCs w:val="18"/>
                <w:lang w:eastAsia="en-AU"/>
              </w:rPr>
            </w:pPr>
            <w:r w:rsidRPr="00E826F0">
              <w:rPr>
                <w:rFonts w:eastAsia="Times New Roman" w:cs="Times New Roman"/>
                <w:szCs w:val="18"/>
                <w:lang w:eastAsia="en-AU"/>
              </w:rPr>
              <w:t xml:space="preserve">PFS: 0.86 </w:t>
            </w:r>
            <w:r w:rsidRPr="00E826F0">
              <w:rPr>
                <w:rFonts w:eastAsia="Times New Roman" w:cs="Times New Roman"/>
                <w:szCs w:val="18"/>
                <w:lang w:eastAsia="en-AU"/>
              </w:rPr>
              <w:fldChar w:fldCharType="begin"/>
            </w:r>
            <w:r w:rsidRPr="00E826F0">
              <w:rPr>
                <w:rFonts w:eastAsia="Times New Roman" w:cs="Times New Roman"/>
                <w:szCs w:val="18"/>
                <w:lang w:eastAsia="en-AU"/>
              </w:rPr>
              <w:instrText xml:space="preserve"> ADDIN EN.CITE &lt;EndNote&gt;&lt;Cite&gt;&lt;Author&gt;Krahn&lt;/Author&gt;&lt;Year&gt;2007&lt;/Year&gt;&lt;RecNum&gt;40&lt;/RecNum&gt;&lt;DisplayText&gt;(Krahn et al., 2007)&lt;/DisplayText&gt;&lt;record&gt;&lt;rec-number&gt;40&lt;/rec-number&gt;&lt;foreign-keys&gt;&lt;key app="EN" db-id="fpzesst98x95suetv2hxppzt995wtxas9fet" timestamp="1643345208"&gt;40&lt;/key&gt;&lt;/foreign-keys&gt;&lt;ref-type name="Journal Article"&gt;17&lt;/ref-type&gt;&lt;contributors&gt;&lt;authors&gt;&lt;author&gt;Krahn, M.&lt;/author&gt;&lt;author&gt;Bremner, K. E.&lt;/author&gt;&lt;author&gt;Tomlinson, G.&lt;/author&gt;&lt;author&gt;Ritvo, P.&lt;/author&gt;&lt;author&gt;Irvine, J.&lt;/author&gt;&lt;author&gt;Naglie, G.&lt;/author&gt;&lt;/authors&gt;&lt;/contributors&gt;&lt;auth-address&gt;Department of Medicine, University of Toronto, Toronto, Ontario, Canada. murray.krahn@uhn.on.ca&lt;/auth-address&gt;&lt;titles&gt;&lt;title&gt;Responsiveness of disease-specific and generic utility instruments in prostate cancer patients&lt;/title&gt;&lt;secondary-title&gt;Qual Life Res&lt;/secondary-title&gt;&lt;/titles&gt;&lt;periodical&gt;&lt;full-title&gt;Qual Life Res&lt;/full-title&gt;&lt;/periodical&gt;&lt;pages&gt;509-22&lt;/pages&gt;&lt;volume&gt;16&lt;/volume&gt;&lt;number&gt;3&lt;/number&gt;&lt;edition&gt;2006/11/09&lt;/edition&gt;&lt;keywords&gt;&lt;keyword&gt;Aged&lt;/keyword&gt;&lt;keyword&gt;Aged, 80 and over&lt;/keyword&gt;&lt;keyword&gt;Attitude to Health&lt;/keyword&gt;&lt;keyword&gt;Humans&lt;/keyword&gt;&lt;keyword&gt;Male&lt;/keyword&gt;&lt;keyword&gt;Mental Health&lt;/keyword&gt;&lt;keyword&gt;Middle Aged&lt;/keyword&gt;&lt;keyword&gt;Ontario&lt;/keyword&gt;&lt;keyword&gt;Prospective Studies&lt;/keyword&gt;&lt;keyword&gt;Prostatic Neoplasms/economics/*psychology/therapy&lt;/keyword&gt;&lt;keyword&gt;Psychometrics/*instrumentation&lt;/keyword&gt;&lt;keyword&gt;Quality of Life/*psychology&lt;/keyword&gt;&lt;keyword&gt;Sensitivity and Specificity&lt;/keyword&gt;&lt;keyword&gt;*Sickness Impact Profile&lt;/keyword&gt;&lt;keyword&gt;Surveys and Questionnaires&lt;/keyword&gt;&lt;keyword&gt;*Treatment Outcome&lt;/keyword&gt;&lt;/keywords&gt;&lt;dates&gt;&lt;year&gt;2007&lt;/year&gt;&lt;pub-dates&gt;&lt;date&gt;Apr&lt;/date&gt;&lt;/pub-dates&gt;&lt;/dates&gt;&lt;isbn&gt;0962-9343 (Print)&amp;#xD;0962-9343&lt;/isbn&gt;&lt;accession-num&gt;17091359&lt;/accession-num&gt;&lt;urls&gt;&lt;/urls&gt;&lt;electronic-resource-num&gt;10.1007/s11136-006-9132-x&lt;/electronic-resource-num&gt;&lt;remote-database-provider&gt;NLM&lt;/remote-database-provider&gt;&lt;language&gt;eng&lt;/language&gt;&lt;/record&gt;&lt;/Cite&gt;&lt;/EndNote&gt;</w:instrText>
            </w:r>
            <w:r w:rsidRPr="00E826F0">
              <w:rPr>
                <w:rFonts w:eastAsia="Times New Roman" w:cs="Times New Roman"/>
                <w:szCs w:val="18"/>
                <w:lang w:eastAsia="en-AU"/>
              </w:rPr>
              <w:fldChar w:fldCharType="separate"/>
            </w:r>
            <w:r w:rsidRPr="00E826F0">
              <w:rPr>
                <w:rFonts w:eastAsia="Times New Roman" w:cs="Times New Roman"/>
                <w:noProof/>
                <w:szCs w:val="18"/>
                <w:lang w:eastAsia="en-AU"/>
              </w:rPr>
              <w:t>(Krahn et al., 2007)</w:t>
            </w:r>
            <w:r w:rsidRPr="00E826F0">
              <w:rPr>
                <w:rFonts w:eastAsia="Times New Roman" w:cs="Times New Roman"/>
                <w:szCs w:val="18"/>
                <w:lang w:eastAsia="en-AU"/>
              </w:rPr>
              <w:fldChar w:fldCharType="end"/>
            </w:r>
            <w:r w:rsidRPr="00E826F0">
              <w:rPr>
                <w:rFonts w:eastAsia="Times New Roman" w:cs="Times New Roman"/>
                <w:szCs w:val="18"/>
                <w:lang w:eastAsia="en-AU"/>
              </w:rPr>
              <w:t xml:space="preserve">, PD: 0.635 </w:t>
            </w:r>
            <w:r w:rsidRPr="00E826F0">
              <w:rPr>
                <w:rFonts w:eastAsia="Times New Roman" w:cs="Times New Roman"/>
                <w:szCs w:val="18"/>
                <w:lang w:eastAsia="en-AU"/>
              </w:rPr>
              <w:fldChar w:fldCharType="begin"/>
            </w:r>
            <w:r w:rsidRPr="00E826F0">
              <w:rPr>
                <w:rFonts w:eastAsia="Times New Roman" w:cs="Times New Roman"/>
                <w:szCs w:val="18"/>
                <w:lang w:eastAsia="en-AU"/>
              </w:rPr>
              <w:instrText xml:space="preserve"> ADDIN EN.CITE &lt;EndNote&gt;&lt;Cite&gt;&lt;Author&gt;Wu&lt;/Author&gt;&lt;Year&gt;2007&lt;/Year&gt;&lt;RecNum&gt;41&lt;/RecNum&gt;&lt;DisplayText&gt;(Wu et al., 2007)&lt;/DisplayText&gt;&lt;record&gt;&lt;rec-number&gt;41&lt;/rec-number&gt;&lt;foreign-keys&gt;&lt;key app="EN" db-id="fpzesst98x95suetv2hxppzt995wtxas9fet" timestamp="1643345339"&gt;41&lt;/key&gt;&lt;/foreign-keys&gt;&lt;ref-type name="Journal Article"&gt;17&lt;/ref-type&gt;&lt;contributors&gt;&lt;authors&gt;&lt;author&gt;Wu, Eric Q.&lt;/author&gt;&lt;author&gt;Mulani, Parvez&lt;/author&gt;&lt;author&gt;Farrell, Max H.&lt;/author&gt;&lt;author&gt;Sleep, Darryl&lt;/author&gt;&lt;/authors&gt;&lt;/contributors&gt;&lt;titles&gt;&lt;title&gt;Mapping FACT-P and EORTC QLQ-C30 to Patient Health Status Measured by EQ-5D in Metastatic Hormone-Refractory Prostate Cancer Patients&lt;/title&gt;&lt;secondary-title&gt;Value in Health&lt;/secondary-title&gt;&lt;/titles&gt;&lt;periodical&gt;&lt;full-title&gt;Value in Health&lt;/full-title&gt;&lt;/periodical&gt;&lt;pages&gt;408-414&lt;/pages&gt;&lt;volume&gt;10&lt;/volume&gt;&lt;number&gt;5&lt;/number&gt;&lt;keywords&gt;&lt;keyword&gt;EORTC QLQ-C30&lt;/keyword&gt;&lt;keyword&gt;EQ-5D&lt;/keyword&gt;&lt;keyword&gt;FACT-P&lt;/keyword&gt;&lt;keyword&gt;preference-adjusted health status&lt;/keyword&gt;&lt;keyword&gt;quality of life&lt;/keyword&gt;&lt;/keywords&gt;&lt;dates&gt;&lt;year&gt;2007&lt;/year&gt;&lt;pub-dates&gt;&lt;date&gt;2007/09/01&lt;/date&gt;&lt;/pub-dates&gt;&lt;/dates&gt;&lt;publisher&gt;John Wiley &amp;amp; Sons, Ltd&lt;/publisher&gt;&lt;isbn&gt;1098-3015&lt;/isbn&gt;&lt;work-type&gt;https://doi.org/10.1111/j.1524-4733.2007.00195.x&lt;/work-type&gt;&lt;urls&gt;&lt;related-urls&gt;&lt;url&gt;https://doi.org/10.1111/j.1524-4733.2007.00195.x&lt;/url&gt;&lt;/related-urls&gt;&lt;/urls&gt;&lt;electronic-resource-num&gt;https://doi.org/10.1111/j.1524-4733.2007.00195.x&lt;/electronic-resource-num&gt;&lt;access-date&gt;2022/01/27&lt;/access-date&gt;&lt;/record&gt;&lt;/Cite&gt;&lt;/EndNote&gt;</w:instrText>
            </w:r>
            <w:r w:rsidRPr="00E826F0">
              <w:rPr>
                <w:rFonts w:eastAsia="Times New Roman" w:cs="Times New Roman"/>
                <w:szCs w:val="18"/>
                <w:lang w:eastAsia="en-AU"/>
              </w:rPr>
              <w:fldChar w:fldCharType="separate"/>
            </w:r>
            <w:r w:rsidRPr="00E826F0">
              <w:rPr>
                <w:rFonts w:eastAsia="Times New Roman" w:cs="Times New Roman"/>
                <w:noProof/>
                <w:szCs w:val="18"/>
                <w:lang w:eastAsia="en-AU"/>
              </w:rPr>
              <w:t>(Wu et al., 2007)</w:t>
            </w:r>
            <w:r w:rsidRPr="00E826F0">
              <w:rPr>
                <w:rFonts w:eastAsia="Times New Roman" w:cs="Times New Roman"/>
                <w:szCs w:val="18"/>
                <w:lang w:eastAsia="en-AU"/>
              </w:rPr>
              <w:fldChar w:fldCharType="end"/>
            </w:r>
            <w:r w:rsidRPr="00E826F0">
              <w:rPr>
                <w:rFonts w:eastAsia="Times New Roman" w:cs="Times New Roman"/>
                <w:szCs w:val="18"/>
                <w:lang w:eastAsia="en-AU"/>
              </w:rPr>
              <w:t xml:space="preserve"> both sourced from Magnus et al. (2019)</w:t>
            </w:r>
          </w:p>
        </w:tc>
        <w:tc>
          <w:tcPr>
            <w:tcW w:w="605" w:type="pct"/>
            <w:tcBorders>
              <w:bottom w:val="single" w:sz="4" w:space="0" w:color="auto"/>
            </w:tcBorders>
          </w:tcPr>
          <w:p w14:paraId="6E2AB8F4"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$31,946</w:t>
            </w:r>
          </w:p>
        </w:tc>
        <w:tc>
          <w:tcPr>
            <w:tcW w:w="605" w:type="pct"/>
            <w:tcBorders>
              <w:bottom w:val="single" w:sz="4" w:space="0" w:color="auto"/>
            </w:tcBorders>
          </w:tcPr>
          <w:p w14:paraId="78066A7D"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0.2371</w:t>
            </w:r>
          </w:p>
        </w:tc>
        <w:tc>
          <w:tcPr>
            <w:tcW w:w="557" w:type="pct"/>
            <w:tcBorders>
              <w:bottom w:val="single" w:sz="4" w:space="0" w:color="auto"/>
            </w:tcBorders>
          </w:tcPr>
          <w:p w14:paraId="2930355F"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$134,724</w:t>
            </w:r>
          </w:p>
        </w:tc>
        <w:tc>
          <w:tcPr>
            <w:tcW w:w="457" w:type="pct"/>
            <w:tcBorders>
              <w:bottom w:val="single" w:sz="4" w:space="0" w:color="auto"/>
            </w:tcBorders>
          </w:tcPr>
          <w:p w14:paraId="397C5002"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-12.3%</w:t>
            </w:r>
          </w:p>
        </w:tc>
      </w:tr>
      <w:tr w:rsidR="0078467B" w:rsidRPr="00E826F0" w14:paraId="550512E5" w14:textId="77777777">
        <w:tc>
          <w:tcPr>
            <w:tcW w:w="2776" w:type="pct"/>
            <w:tcBorders>
              <w:bottom w:val="single" w:sz="4" w:space="0" w:color="auto"/>
            </w:tcBorders>
          </w:tcPr>
          <w:p w14:paraId="7C240B40" w14:textId="77777777" w:rsidR="0078467B" w:rsidRPr="00E826F0" w:rsidRDefault="0078467B" w:rsidP="0078467B">
            <w:pPr>
              <w:pStyle w:val="TableText"/>
              <w:keepNext/>
              <w:rPr>
                <w:rFonts w:eastAsia="Times New Roman" w:cs="Times New Roman"/>
                <w:szCs w:val="18"/>
                <w:lang w:eastAsia="en-AU"/>
              </w:rPr>
            </w:pPr>
            <w:r w:rsidRPr="00E826F0">
              <w:t>Utility cabazitaxel = 0.7 and BSc = 0.7 for PFS health state</w:t>
            </w:r>
          </w:p>
        </w:tc>
        <w:tc>
          <w:tcPr>
            <w:tcW w:w="605" w:type="pct"/>
            <w:tcBorders>
              <w:bottom w:val="single" w:sz="4" w:space="0" w:color="auto"/>
            </w:tcBorders>
          </w:tcPr>
          <w:p w14:paraId="0DD08C91"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$31,946</w:t>
            </w:r>
          </w:p>
        </w:tc>
        <w:tc>
          <w:tcPr>
            <w:tcW w:w="605" w:type="pct"/>
            <w:tcBorders>
              <w:bottom w:val="single" w:sz="4" w:space="0" w:color="auto"/>
            </w:tcBorders>
          </w:tcPr>
          <w:p w14:paraId="14AD42F6"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0.2208</w:t>
            </w:r>
          </w:p>
        </w:tc>
        <w:tc>
          <w:tcPr>
            <w:tcW w:w="557" w:type="pct"/>
            <w:tcBorders>
              <w:bottom w:val="single" w:sz="4" w:space="0" w:color="auto"/>
            </w:tcBorders>
          </w:tcPr>
          <w:p w14:paraId="55EE9841"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$144,662</w:t>
            </w:r>
          </w:p>
        </w:tc>
        <w:tc>
          <w:tcPr>
            <w:tcW w:w="457" w:type="pct"/>
            <w:tcBorders>
              <w:bottom w:val="single" w:sz="4" w:space="0" w:color="auto"/>
            </w:tcBorders>
          </w:tcPr>
          <w:p w14:paraId="3D53DAFE"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-5.8%</w:t>
            </w:r>
          </w:p>
        </w:tc>
      </w:tr>
      <w:tr w:rsidR="0078467B" w:rsidRPr="00E826F0" w14:paraId="228C4DD8" w14:textId="77777777">
        <w:tc>
          <w:tcPr>
            <w:tcW w:w="2776" w:type="pct"/>
            <w:tcBorders>
              <w:right w:val="nil"/>
            </w:tcBorders>
          </w:tcPr>
          <w:p w14:paraId="3EB2C61D" w14:textId="77777777" w:rsidR="0078467B" w:rsidRPr="00E826F0" w:rsidRDefault="0078467B" w:rsidP="0078467B">
            <w:pPr>
              <w:pStyle w:val="TableText"/>
              <w:keepNext/>
              <w:rPr>
                <w:rFonts w:eastAsia="Times New Roman" w:cs="Times New Roman"/>
                <w:b/>
                <w:bCs/>
                <w:szCs w:val="18"/>
                <w:lang w:eastAsia="en-AU"/>
              </w:rPr>
            </w:pPr>
            <w:r w:rsidRPr="00E826F0">
              <w:rPr>
                <w:rFonts w:eastAsia="Times New Roman" w:cs="Times New Roman"/>
                <w:b/>
                <w:bCs/>
                <w:szCs w:val="18"/>
                <w:lang w:eastAsia="en-AU"/>
              </w:rPr>
              <w:t>Costs</w:t>
            </w:r>
          </w:p>
        </w:tc>
        <w:tc>
          <w:tcPr>
            <w:tcW w:w="605" w:type="pct"/>
            <w:tcBorders>
              <w:left w:val="nil"/>
              <w:right w:val="nil"/>
            </w:tcBorders>
          </w:tcPr>
          <w:p w14:paraId="6B672817" w14:textId="77777777" w:rsidR="0078467B" w:rsidRPr="00E826F0" w:rsidRDefault="0078467B" w:rsidP="0078467B">
            <w:pPr>
              <w:pStyle w:val="TableText"/>
              <w:keepNext/>
              <w:jc w:val="center"/>
              <w:rPr>
                <w:rFonts w:eastAsia="Times New Roman" w:cs="Times New Roman"/>
                <w:szCs w:val="18"/>
                <w:lang w:eastAsia="en-AU"/>
              </w:rPr>
            </w:pPr>
          </w:p>
        </w:tc>
        <w:tc>
          <w:tcPr>
            <w:tcW w:w="605" w:type="pct"/>
            <w:tcBorders>
              <w:left w:val="nil"/>
              <w:right w:val="nil"/>
            </w:tcBorders>
          </w:tcPr>
          <w:p w14:paraId="6F79E739" w14:textId="77777777" w:rsidR="0078467B" w:rsidRPr="00E826F0" w:rsidRDefault="0078467B" w:rsidP="0078467B">
            <w:pPr>
              <w:pStyle w:val="TableText"/>
              <w:keepNext/>
              <w:jc w:val="center"/>
              <w:rPr>
                <w:rFonts w:eastAsia="Times New Roman" w:cs="Times New Roman"/>
                <w:szCs w:val="18"/>
                <w:lang w:eastAsia="en-AU"/>
              </w:rPr>
            </w:pPr>
          </w:p>
        </w:tc>
        <w:tc>
          <w:tcPr>
            <w:tcW w:w="557" w:type="pct"/>
            <w:tcBorders>
              <w:left w:val="nil"/>
              <w:right w:val="nil"/>
            </w:tcBorders>
          </w:tcPr>
          <w:p w14:paraId="32A87310" w14:textId="77777777" w:rsidR="0078467B" w:rsidRPr="00E826F0" w:rsidRDefault="0078467B" w:rsidP="0078467B">
            <w:pPr>
              <w:pStyle w:val="TableText"/>
              <w:keepNext/>
              <w:jc w:val="center"/>
              <w:rPr>
                <w:rFonts w:eastAsia="Times New Roman" w:cs="Times New Roman"/>
                <w:szCs w:val="18"/>
                <w:lang w:eastAsia="en-AU"/>
              </w:rPr>
            </w:pPr>
          </w:p>
        </w:tc>
        <w:tc>
          <w:tcPr>
            <w:tcW w:w="457" w:type="pct"/>
            <w:tcBorders>
              <w:left w:val="nil"/>
            </w:tcBorders>
          </w:tcPr>
          <w:p w14:paraId="0353024F" w14:textId="77777777" w:rsidR="0078467B" w:rsidRPr="00E826F0" w:rsidRDefault="0078467B" w:rsidP="0078467B">
            <w:pPr>
              <w:pStyle w:val="TableText"/>
              <w:keepNext/>
              <w:jc w:val="center"/>
              <w:rPr>
                <w:rFonts w:eastAsia="Times New Roman" w:cs="Times New Roman"/>
                <w:szCs w:val="18"/>
                <w:lang w:eastAsia="en-AU"/>
              </w:rPr>
            </w:pPr>
          </w:p>
        </w:tc>
      </w:tr>
      <w:tr w:rsidR="0078467B" w:rsidRPr="00E826F0" w14:paraId="45EEAB0D" w14:textId="77777777">
        <w:tc>
          <w:tcPr>
            <w:tcW w:w="2776" w:type="pct"/>
          </w:tcPr>
          <w:p w14:paraId="7B931356" w14:textId="77777777" w:rsidR="0078467B" w:rsidRPr="00E826F0" w:rsidRDefault="0078467B" w:rsidP="0078467B">
            <w:pPr>
              <w:pStyle w:val="TableText"/>
              <w:keepNext/>
              <w:rPr>
                <w:rFonts w:eastAsia="Times New Roman" w:cs="Times New Roman"/>
                <w:szCs w:val="18"/>
                <w:lang w:eastAsia="en-AU"/>
              </w:rPr>
            </w:pPr>
            <w:r w:rsidRPr="00E826F0">
              <w:rPr>
                <w:rFonts w:eastAsia="Times New Roman" w:cs="Times New Roman"/>
                <w:szCs w:val="18"/>
                <w:lang w:eastAsia="en-AU"/>
              </w:rPr>
              <w:t xml:space="preserve">Decrease terminal care costs ($41,569) by 20% </w:t>
            </w:r>
          </w:p>
        </w:tc>
        <w:tc>
          <w:tcPr>
            <w:tcW w:w="605" w:type="pct"/>
          </w:tcPr>
          <w:p w14:paraId="5459C01A"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$31,728</w:t>
            </w:r>
          </w:p>
        </w:tc>
        <w:tc>
          <w:tcPr>
            <w:tcW w:w="605" w:type="pct"/>
          </w:tcPr>
          <w:p w14:paraId="122B9B03"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0.2080</w:t>
            </w:r>
          </w:p>
        </w:tc>
        <w:tc>
          <w:tcPr>
            <w:tcW w:w="557" w:type="pct"/>
          </w:tcPr>
          <w:p w14:paraId="2DE67558"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$152,635</w:t>
            </w:r>
          </w:p>
        </w:tc>
        <w:tc>
          <w:tcPr>
            <w:tcW w:w="457" w:type="pct"/>
          </w:tcPr>
          <w:p w14:paraId="7D306DBB"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-0.6%</w:t>
            </w:r>
          </w:p>
        </w:tc>
      </w:tr>
      <w:tr w:rsidR="0078467B" w:rsidRPr="00E826F0" w14:paraId="7BE48170" w14:textId="77777777">
        <w:tc>
          <w:tcPr>
            <w:tcW w:w="2776" w:type="pct"/>
          </w:tcPr>
          <w:p w14:paraId="7024DEF9" w14:textId="77777777" w:rsidR="0078467B" w:rsidRPr="00E826F0" w:rsidRDefault="0078467B" w:rsidP="0078467B">
            <w:pPr>
              <w:pStyle w:val="TableText"/>
              <w:keepNext/>
              <w:rPr>
                <w:rFonts w:eastAsia="Times New Roman" w:cs="Times New Roman"/>
                <w:szCs w:val="18"/>
                <w:lang w:eastAsia="en-AU"/>
              </w:rPr>
            </w:pPr>
            <w:r w:rsidRPr="00E826F0">
              <w:rPr>
                <w:rFonts w:eastAsia="Times New Roman" w:cs="Times New Roman"/>
                <w:szCs w:val="18"/>
                <w:lang w:eastAsia="en-AU"/>
              </w:rPr>
              <w:t>Increase terminal care costs by 20%</w:t>
            </w:r>
          </w:p>
        </w:tc>
        <w:tc>
          <w:tcPr>
            <w:tcW w:w="605" w:type="pct"/>
          </w:tcPr>
          <w:p w14:paraId="518ADAB6"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$32,143</w:t>
            </w:r>
          </w:p>
        </w:tc>
        <w:tc>
          <w:tcPr>
            <w:tcW w:w="605" w:type="pct"/>
          </w:tcPr>
          <w:p w14:paraId="56F55374"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0.2080</w:t>
            </w:r>
          </w:p>
        </w:tc>
        <w:tc>
          <w:tcPr>
            <w:tcW w:w="557" w:type="pct"/>
          </w:tcPr>
          <w:p w14:paraId="1C8F7317"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$154,532</w:t>
            </w:r>
          </w:p>
        </w:tc>
        <w:tc>
          <w:tcPr>
            <w:tcW w:w="457" w:type="pct"/>
          </w:tcPr>
          <w:p w14:paraId="463F0D0D" w14:textId="77777777" w:rsidR="0078467B" w:rsidRPr="00E826F0" w:rsidRDefault="0078467B" w:rsidP="0078467B">
            <w:pPr>
              <w:pStyle w:val="TableText"/>
              <w:keepNext/>
              <w:jc w:val="center"/>
              <w:rPr>
                <w:rFonts w:eastAsia="Times New Roman" w:cs="Times New Roman"/>
                <w:szCs w:val="18"/>
                <w:lang w:eastAsia="en-AU"/>
              </w:rPr>
            </w:pPr>
            <w:r w:rsidRPr="00E826F0">
              <w:rPr>
                <w:rFonts w:eastAsia="Times New Roman" w:cs="Times New Roman"/>
                <w:szCs w:val="18"/>
                <w:lang w:eastAsia="en-AU"/>
              </w:rPr>
              <w:t>0.6%</w:t>
            </w:r>
          </w:p>
        </w:tc>
      </w:tr>
    </w:tbl>
    <w:p w14:paraId="08469E1A" w14:textId="77777777" w:rsidR="0078467B" w:rsidRPr="00E826F0" w:rsidRDefault="0078467B" w:rsidP="0078467B">
      <w:pPr>
        <w:pStyle w:val="Tablenotes0"/>
        <w:keepNext/>
        <w:rPr>
          <w:b/>
          <w:bCs/>
        </w:rPr>
      </w:pPr>
      <w:r w:rsidRPr="00E826F0">
        <w:rPr>
          <w:b/>
          <w:bCs/>
        </w:rPr>
        <w:t>Bold refers to changes +/- 15% to base-case ICER</w:t>
      </w:r>
    </w:p>
    <w:p w14:paraId="182BFB07" w14:textId="77777777" w:rsidR="0078467B" w:rsidRPr="00E826F0" w:rsidRDefault="0078467B" w:rsidP="0078467B">
      <w:pPr>
        <w:pStyle w:val="Tablenotes0"/>
        <w:keepNext/>
      </w:pPr>
      <w:r w:rsidRPr="00E826F0">
        <w:t xml:space="preserve">Abbreviations: AE, adverse event; BSc, best supportive care; CI, confidence interval; CT, computerised tomography; FDG, fluorodeoxyglucose; HR, hazard ratio; ICER, incremental cost-effectiveness ratio; </w:t>
      </w:r>
      <w:r w:rsidRPr="00E826F0">
        <w:rPr>
          <w:vertAlign w:val="superscript"/>
        </w:rPr>
        <w:t>177</w:t>
      </w:r>
      <w:r w:rsidRPr="00E826F0">
        <w:t>Lu, lutetium-177; MSAC, Medicare Services Advisory Committee; OS, overall survival; PD, progressed disease; PET, Positron Emission Tomography; PFS, progression-free survival; PSMA, prostate specific membrane antigen; QALY, quality-adjusted life year; RD, risk difference</w:t>
      </w:r>
    </w:p>
    <w:p w14:paraId="2FA85327" w14:textId="3F24D741" w:rsidR="0078467B" w:rsidRDefault="0078467B" w:rsidP="0078467B">
      <w:pPr>
        <w:pStyle w:val="BodyText"/>
        <w:jc w:val="left"/>
        <w:rPr>
          <w:rFonts w:ascii="Franklin Gothic Book" w:hAnsi="Franklin Gothic Book"/>
        </w:rPr>
      </w:pPr>
      <w:bookmarkStart w:id="42" w:name="_Toc69491426"/>
      <w:bookmarkEnd w:id="37"/>
      <w:bookmarkEnd w:id="39"/>
      <w:r w:rsidRPr="00182E8D">
        <w:rPr>
          <w:rFonts w:ascii="Franklin Gothic Book" w:hAnsi="Franklin Gothic Book"/>
        </w:rPr>
        <w:t xml:space="preserve">The results were robust with respect to almost all modelling assumptions and variations in parameter values. The only primary driver of cost effectiveness in the model was the assumption about the allocation of patients in the comparator arm to cabazitaxel and </w:t>
      </w:r>
      <w:r w:rsidR="00412AB1" w:rsidRPr="00182E8D">
        <w:rPr>
          <w:rFonts w:ascii="Franklin Gothic Book" w:hAnsi="Franklin Gothic Book"/>
        </w:rPr>
        <w:t>best supportive care</w:t>
      </w:r>
      <w:r w:rsidRPr="00182E8D">
        <w:rPr>
          <w:rFonts w:ascii="Franklin Gothic Book" w:hAnsi="Franklin Gothic Book"/>
        </w:rPr>
        <w:t xml:space="preserve">. Reversing the baseline proportions of 25%:75% to cabazitaxel and </w:t>
      </w:r>
      <w:r w:rsidR="00412AB1" w:rsidRPr="00182E8D">
        <w:rPr>
          <w:rFonts w:ascii="Franklin Gothic Book" w:hAnsi="Franklin Gothic Book"/>
        </w:rPr>
        <w:t xml:space="preserve">best supportive </w:t>
      </w:r>
      <w:r w:rsidR="00276531" w:rsidRPr="00182E8D">
        <w:rPr>
          <w:rFonts w:ascii="Franklin Gothic Book" w:hAnsi="Franklin Gothic Book"/>
        </w:rPr>
        <w:t>care respectively</w:t>
      </w:r>
      <w:r w:rsidRPr="00182E8D">
        <w:rPr>
          <w:rFonts w:ascii="Franklin Gothic Book" w:hAnsi="Franklin Gothic Book"/>
        </w:rPr>
        <w:t xml:space="preserve"> into 75%:25%, increased the ICER by 68.6%. While the cost has marginally decreased, there was a disproportionate loss in health-related utility. The Commentary to the MSAC ADAR already detected the high degree of sensitivity of the modelled results to both, the variations in hazard ratios and the </w:t>
      </w:r>
      <w:r w:rsidR="00412AB1" w:rsidRPr="00182E8D">
        <w:rPr>
          <w:rFonts w:ascii="Franklin Gothic Book" w:hAnsi="Franklin Gothic Book"/>
        </w:rPr>
        <w:t>best supportive care</w:t>
      </w:r>
      <w:r w:rsidRPr="00182E8D">
        <w:rPr>
          <w:rFonts w:ascii="Franklin Gothic Book" w:hAnsi="Franklin Gothic Book"/>
        </w:rPr>
        <w:t xml:space="preserve">:cabazitaxel split. The mathematics of the model (whether the original or the subsequent ones) includes hazard ratios in assigning the differential health benefit to the comparator arm. That is, proportions in PFS and OS health states in each cycle in the comparator arm are the PFS and OS proportions in the </w:t>
      </w:r>
      <w:r w:rsidRPr="00182E8D">
        <w:rPr>
          <w:rFonts w:ascii="Franklin Gothic Book" w:hAnsi="Franklin Gothic Book"/>
          <w:vertAlign w:val="superscript"/>
        </w:rPr>
        <w:t>177</w:t>
      </w:r>
      <w:r w:rsidRPr="00182E8D">
        <w:rPr>
          <w:rFonts w:ascii="Franklin Gothic Book" w:hAnsi="Franklin Gothic Book"/>
        </w:rPr>
        <w:t xml:space="preserve">Lu PSMA i&amp;t arm raised to a degree set equal to the corresponding HR (2.28 and 1.46 for PSF and OS respectively). However, the HR values are derived using the </w:t>
      </w:r>
      <w:r w:rsidR="00412AB1" w:rsidRPr="00182E8D">
        <w:rPr>
          <w:rFonts w:ascii="Franklin Gothic Book" w:hAnsi="Franklin Gothic Book"/>
        </w:rPr>
        <w:t>best supportive care</w:t>
      </w:r>
      <w:r w:rsidRPr="00182E8D">
        <w:rPr>
          <w:rFonts w:ascii="Franklin Gothic Book" w:hAnsi="Franklin Gothic Book"/>
        </w:rPr>
        <w:t xml:space="preserve">:cabazitaxel split (75%:25% in the base case). Therefore, results in the comparator arm, depend on the split a) directly as all costs are adjusted according to the proportion of patients treated with cabazitaxel </w:t>
      </w:r>
      <w:r w:rsidRPr="00182E8D">
        <w:rPr>
          <w:rFonts w:ascii="Franklin Gothic Book" w:hAnsi="Franklin Gothic Book"/>
        </w:rPr>
        <w:lastRenderedPageBreak/>
        <w:t xml:space="preserve">and b) indirectly as LYs and QALYs are obtained from PFS and OS values that were adjusted for HRs. </w:t>
      </w:r>
      <w:r w:rsidR="00B746D4" w:rsidRPr="00182E8D">
        <w:rPr>
          <w:rFonts w:ascii="Franklin Gothic Book" w:hAnsi="Franklin Gothic Book"/>
        </w:rPr>
        <w:t xml:space="preserve">In addition, PFS utility in the comparator arm also calculated as a weighted proportion of </w:t>
      </w:r>
      <w:r w:rsidR="00412AB1" w:rsidRPr="00182E8D">
        <w:rPr>
          <w:rFonts w:ascii="Franklin Gothic Book" w:hAnsi="Franklin Gothic Book"/>
        </w:rPr>
        <w:t xml:space="preserve">best supportive care </w:t>
      </w:r>
      <w:r w:rsidR="00B746D4" w:rsidRPr="00182E8D">
        <w:rPr>
          <w:rFonts w:ascii="Franklin Gothic Book" w:hAnsi="Franklin Gothic Book"/>
        </w:rPr>
        <w:t xml:space="preserve">to cabazitaxel. </w:t>
      </w:r>
      <w:r w:rsidRPr="00182E8D">
        <w:rPr>
          <w:rFonts w:ascii="Franklin Gothic Book" w:hAnsi="Franklin Gothic Book"/>
        </w:rPr>
        <w:t>The results reflect a complex relationship between costs and utilities in the comparator arm and should be interpreted with caution. It is even more so in the</w:t>
      </w:r>
      <w:r w:rsidRPr="006E7282">
        <w:rPr>
          <w:rFonts w:ascii="Franklin Gothic Book" w:hAnsi="Franklin Gothic Book"/>
        </w:rPr>
        <w:t xml:space="preserve"> context of a hybrid model, which further complicates the algorithm by applying a coefficient of 0.279 to the comparator PFS and OS to approximate the progression of non-responders.  </w:t>
      </w:r>
    </w:p>
    <w:p w14:paraId="678AC274" w14:textId="77777777" w:rsidR="0078467B" w:rsidRDefault="0078467B" w:rsidP="0078467B">
      <w:pPr>
        <w:pStyle w:val="BodyText"/>
        <w:jc w:val="left"/>
        <w:rPr>
          <w:rFonts w:ascii="Franklin Gothic Book" w:hAnsi="Franklin Gothic Book"/>
        </w:rPr>
      </w:pPr>
      <w:r>
        <w:rPr>
          <w:rFonts w:ascii="Franklin Gothic Book" w:hAnsi="Franklin Gothic Book" w:cs="Cambria Math"/>
          <w:szCs w:val="20"/>
        </w:rPr>
        <w:t xml:space="preserve">As noted above, given 31% of patients enrolled in Re-SPECT failed to respond to treatment, it is possible that the nominated eligibility criteria </w:t>
      </w:r>
      <w:r w:rsidRPr="00DB025D">
        <w:rPr>
          <w:rFonts w:ascii="Franklin Gothic Book" w:hAnsi="Franklin Gothic Book"/>
        </w:rPr>
        <w:t>(SUV</w:t>
      </w:r>
      <w:r w:rsidRPr="00DB025D">
        <w:rPr>
          <w:rFonts w:ascii="Franklin Gothic Book" w:hAnsi="Franklin Gothic Book"/>
          <w:vertAlign w:val="subscript"/>
        </w:rPr>
        <w:t>max</w:t>
      </w:r>
      <w:r w:rsidRPr="00DB025D">
        <w:rPr>
          <w:rFonts w:ascii="Franklin Gothic Book" w:hAnsi="Franklin Gothic Book"/>
        </w:rPr>
        <w:t xml:space="preserve"> &gt;15 on PSMA PET at ≥1 site, and SUV</w:t>
      </w:r>
      <w:r w:rsidRPr="00DB025D">
        <w:rPr>
          <w:rFonts w:ascii="Franklin Gothic Book" w:hAnsi="Franklin Gothic Book"/>
          <w:vertAlign w:val="subscript"/>
        </w:rPr>
        <w:t>max</w:t>
      </w:r>
      <w:r w:rsidRPr="00DB025D">
        <w:rPr>
          <w:rFonts w:ascii="Franklin Gothic Book" w:hAnsi="Franklin Gothic Book"/>
        </w:rPr>
        <w:t xml:space="preserve"> &gt;10 at all measurable sites</w:t>
      </w:r>
      <w:r>
        <w:rPr>
          <w:rFonts w:ascii="Franklin Gothic Book" w:hAnsi="Franklin Gothic Book"/>
        </w:rPr>
        <w:t>), may not be sufficiently discriminatory for identifying a population who are likely to respond.</w:t>
      </w:r>
    </w:p>
    <w:p w14:paraId="5152BA53" w14:textId="6AA8E4AD" w:rsidR="0078467B" w:rsidRPr="004E51B7" w:rsidRDefault="0078467B" w:rsidP="0078467B">
      <w:pPr>
        <w:pStyle w:val="BodyText"/>
        <w:jc w:val="left"/>
        <w:rPr>
          <w:rFonts w:ascii="Franklin Gothic Book" w:hAnsi="Franklin Gothic Book"/>
        </w:rPr>
      </w:pPr>
      <w:r>
        <w:rPr>
          <w:rFonts w:ascii="Franklin Gothic Book" w:hAnsi="Franklin Gothic Book"/>
        </w:rPr>
        <w:t>Although the estimates of the ICER remain high, as discussed in the Commentary to the MSAC 1686.1 resubmission ADAR, t</w:t>
      </w:r>
      <w:r w:rsidRPr="004E51B7">
        <w:rPr>
          <w:rFonts w:ascii="Franklin Gothic Book" w:hAnsi="Franklin Gothic Book"/>
        </w:rPr>
        <w:t>he following information is to inform MSAC in determining the reasonableness of the requested fee</w:t>
      </w:r>
      <w:r>
        <w:rPr>
          <w:rFonts w:ascii="Franklin Gothic Book" w:hAnsi="Franklin Gothic Book"/>
        </w:rPr>
        <w:t xml:space="preserve"> for </w:t>
      </w:r>
      <w:r>
        <w:rPr>
          <w:rFonts w:ascii="Franklin Gothic Book" w:hAnsi="Franklin Gothic Book"/>
          <w:vertAlign w:val="superscript"/>
        </w:rPr>
        <w:t>177</w:t>
      </w:r>
      <w:r>
        <w:rPr>
          <w:rFonts w:ascii="Franklin Gothic Book" w:hAnsi="Franklin Gothic Book"/>
        </w:rPr>
        <w:t>Lu PSMA i&amp;t</w:t>
      </w:r>
      <w:r w:rsidRPr="004E51B7">
        <w:rPr>
          <w:rFonts w:ascii="Franklin Gothic Book" w:hAnsi="Franklin Gothic Book"/>
        </w:rPr>
        <w:t xml:space="preserve">. This information is from a Dutch study </w:t>
      </w:r>
      <w:r w:rsidR="00596780">
        <w:rPr>
          <w:rFonts w:ascii="Franklin Gothic Book" w:hAnsi="Franklin Gothic Book"/>
        </w:rPr>
        <w:t>(Quist et al., 2023</w:t>
      </w:r>
      <w:r w:rsidR="00596780">
        <w:rPr>
          <w:rStyle w:val="FootnoteReference"/>
          <w:rFonts w:ascii="Franklin Gothic Book" w:hAnsi="Franklin Gothic Book"/>
        </w:rPr>
        <w:footnoteReference w:id="10"/>
      </w:r>
      <w:r w:rsidR="00596780">
        <w:rPr>
          <w:rFonts w:ascii="Franklin Gothic Book" w:hAnsi="Franklin Gothic Book"/>
        </w:rPr>
        <w:t xml:space="preserve">) </w:t>
      </w:r>
      <w:r w:rsidRPr="004E51B7">
        <w:rPr>
          <w:rFonts w:ascii="Franklin Gothic Book" w:hAnsi="Franklin Gothic Book"/>
        </w:rPr>
        <w:t xml:space="preserve">that investigated the costs of mCRPC treatment in Dutch hospitals for currently reimbursed radiopharmaceuticals with a demonstrated overall survival benefit. A cost model that calculated the direct medical per-patient costs of </w:t>
      </w:r>
      <w:r w:rsidRPr="004E51B7">
        <w:rPr>
          <w:rFonts w:ascii="Franklin Gothic Book" w:hAnsi="Franklin Gothic Book"/>
          <w:vertAlign w:val="superscript"/>
        </w:rPr>
        <w:t>177</w:t>
      </w:r>
      <w:r w:rsidRPr="004E51B7">
        <w:rPr>
          <w:rFonts w:ascii="Franklin Gothic Book" w:hAnsi="Franklin Gothic Book"/>
        </w:rPr>
        <w:t>Lu</w:t>
      </w:r>
      <w:r>
        <w:rPr>
          <w:rFonts w:ascii="Franklin Gothic Book" w:hAnsi="Franklin Gothic Book"/>
        </w:rPr>
        <w:t> </w:t>
      </w:r>
      <w:r w:rsidRPr="004E51B7">
        <w:rPr>
          <w:rFonts w:ascii="Franklin Gothic Book" w:hAnsi="Franklin Gothic Book"/>
        </w:rPr>
        <w:t>PSMA</w:t>
      </w:r>
      <w:r>
        <w:rPr>
          <w:rFonts w:ascii="Franklin Gothic Book" w:hAnsi="Franklin Gothic Book"/>
        </w:rPr>
        <w:t> i</w:t>
      </w:r>
      <w:r w:rsidRPr="004E51B7">
        <w:rPr>
          <w:rFonts w:ascii="Franklin Gothic Book" w:hAnsi="Franklin Gothic Book"/>
        </w:rPr>
        <w:t>&amp;</w:t>
      </w:r>
      <w:r>
        <w:rPr>
          <w:rFonts w:ascii="Franklin Gothic Book" w:hAnsi="Franklin Gothic Book"/>
        </w:rPr>
        <w:t>t</w:t>
      </w:r>
      <w:r w:rsidRPr="004E51B7">
        <w:rPr>
          <w:rFonts w:ascii="Franklin Gothic Book" w:hAnsi="Franklin Gothic Book"/>
        </w:rPr>
        <w:t xml:space="preserve"> was developed, following clinical trial regimens. The model used both the VISION regimen (6-weekly administrations) and the SPLASH regimen (four 8-weekly administrations). The cost </w:t>
      </w:r>
      <w:r>
        <w:rPr>
          <w:rFonts w:ascii="Franklin Gothic Book" w:hAnsi="Franklin Gothic Book"/>
        </w:rPr>
        <w:t xml:space="preserve">(see </w:t>
      </w:r>
      <w:r>
        <w:rPr>
          <w:rFonts w:ascii="Franklin Gothic Book" w:hAnsi="Franklin Gothic Book"/>
        </w:rPr>
        <w:fldChar w:fldCharType="begin"/>
      </w:r>
      <w:r>
        <w:rPr>
          <w:rFonts w:ascii="Franklin Gothic Book" w:hAnsi="Franklin Gothic Book"/>
        </w:rPr>
        <w:instrText xml:space="preserve"> REF _Ref150942755 \h  \* MERGEFORMAT </w:instrText>
      </w:r>
      <w:r>
        <w:rPr>
          <w:rFonts w:ascii="Franklin Gothic Book" w:hAnsi="Franklin Gothic Book"/>
        </w:rPr>
      </w:r>
      <w:r>
        <w:rPr>
          <w:rFonts w:ascii="Franklin Gothic Book" w:hAnsi="Franklin Gothic Book"/>
        </w:rPr>
        <w:fldChar w:fldCharType="separate"/>
      </w:r>
      <w:r w:rsidR="00BF6F93" w:rsidRPr="001D5D9E">
        <w:rPr>
          <w:rFonts w:ascii="Franklin Gothic Book" w:hAnsi="Franklin Gothic Book"/>
        </w:rPr>
        <w:t>Table 12</w:t>
      </w:r>
      <w:r>
        <w:rPr>
          <w:rFonts w:ascii="Franklin Gothic Book" w:hAnsi="Franklin Gothic Book"/>
        </w:rPr>
        <w:fldChar w:fldCharType="end"/>
      </w:r>
      <w:r>
        <w:rPr>
          <w:rFonts w:ascii="Franklin Gothic Book" w:hAnsi="Franklin Gothic Book"/>
        </w:rPr>
        <w:t xml:space="preserve">) </w:t>
      </w:r>
      <w:r w:rsidRPr="004E51B7">
        <w:rPr>
          <w:rFonts w:ascii="Franklin Gothic Book" w:hAnsi="Franklin Gothic Book"/>
        </w:rPr>
        <w:t>was calculated based on the following:</w:t>
      </w:r>
    </w:p>
    <w:p w14:paraId="6DC2E85A"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In Holland</w:t>
      </w:r>
      <w:r>
        <w:rPr>
          <w:rFonts w:ascii="Franklin Gothic Book" w:hAnsi="Franklin Gothic Book"/>
        </w:rPr>
        <w:t>,</w:t>
      </w:r>
      <w:r w:rsidRPr="004E51B7">
        <w:rPr>
          <w:rFonts w:ascii="Franklin Gothic Book" w:hAnsi="Franklin Gothic Book"/>
        </w:rPr>
        <w:t xml:space="preserve"> </w:t>
      </w:r>
      <w:r w:rsidRPr="004E51B7">
        <w:rPr>
          <w:rFonts w:ascii="Franklin Gothic Book" w:hAnsi="Franklin Gothic Book"/>
          <w:vertAlign w:val="superscript"/>
        </w:rPr>
        <w:t>177</w:t>
      </w:r>
      <w:r w:rsidRPr="004E51B7">
        <w:rPr>
          <w:rFonts w:ascii="Franklin Gothic Book" w:hAnsi="Franklin Gothic Book"/>
        </w:rPr>
        <w:t>Lu</w:t>
      </w:r>
      <w:r>
        <w:rPr>
          <w:rFonts w:ascii="Franklin Gothic Book" w:hAnsi="Franklin Gothic Book"/>
        </w:rPr>
        <w:t> </w:t>
      </w:r>
      <w:r w:rsidRPr="004E51B7">
        <w:rPr>
          <w:rFonts w:ascii="Franklin Gothic Book" w:hAnsi="Franklin Gothic Book"/>
        </w:rPr>
        <w:t>PSMA</w:t>
      </w:r>
      <w:r>
        <w:rPr>
          <w:rFonts w:ascii="Franklin Gothic Book" w:hAnsi="Franklin Gothic Book"/>
        </w:rPr>
        <w:t> i</w:t>
      </w:r>
      <w:r w:rsidRPr="004E51B7">
        <w:rPr>
          <w:rFonts w:ascii="Franklin Gothic Book" w:hAnsi="Franklin Gothic Book"/>
        </w:rPr>
        <w:t>&amp;</w:t>
      </w:r>
      <w:r>
        <w:rPr>
          <w:rFonts w:ascii="Franklin Gothic Book" w:hAnsi="Franklin Gothic Book"/>
        </w:rPr>
        <w:t>t</w:t>
      </w:r>
      <w:r w:rsidRPr="004E51B7">
        <w:rPr>
          <w:rFonts w:ascii="Franklin Gothic Book" w:hAnsi="Franklin Gothic Book"/>
        </w:rPr>
        <w:t xml:space="preserve"> is a pharmacy preparation.</w:t>
      </w:r>
    </w:p>
    <w:p w14:paraId="6958BB9B" w14:textId="0F51CB2C"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Reimbursement is restricted to the treatment of mCRPC in adult men that are PSMA positive in the absence of a more suitable therapeutical (as a last resort treatment).</w:t>
      </w:r>
    </w:p>
    <w:p w14:paraId="0C220D57"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Radiopharmaceuticals are accompanied by additional treatment procedures (e.g. diagnostic scans and observation). Costs for observation were only included for patients who were not hospitalised.</w:t>
      </w:r>
    </w:p>
    <w:p w14:paraId="116688E4"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Radiopharmaceutical treatment is subsidised by the hospital budget.</w:t>
      </w:r>
    </w:p>
    <w:p w14:paraId="259E54D8" w14:textId="65A89465"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A Dutch healthcare payer’s perspective, which includes all direct medical costs related to mCRPC treatment with radiopharmaceuticals were included. Only variable cost parameters were considered, and these consisted of medication, administration, clinic visits, imaging, hospital admission, and supportive care. No discount rate was used, and the time horizon was equal to the administration period of radiopharmaceuticals.</w:t>
      </w:r>
    </w:p>
    <w:p w14:paraId="462996EB"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 xml:space="preserve">Prior to </w:t>
      </w:r>
      <w:r w:rsidRPr="004E51B7">
        <w:rPr>
          <w:rFonts w:ascii="Franklin Gothic Book" w:hAnsi="Franklin Gothic Book"/>
          <w:vertAlign w:val="superscript"/>
        </w:rPr>
        <w:t>177</w:t>
      </w:r>
      <w:r w:rsidRPr="004E51B7">
        <w:rPr>
          <w:rFonts w:ascii="Franklin Gothic Book" w:hAnsi="Franklin Gothic Book"/>
        </w:rPr>
        <w:t>Lu</w:t>
      </w:r>
      <w:r>
        <w:rPr>
          <w:rFonts w:ascii="Franklin Gothic Book" w:hAnsi="Franklin Gothic Book"/>
        </w:rPr>
        <w:t> </w:t>
      </w:r>
      <w:r w:rsidRPr="004E51B7">
        <w:rPr>
          <w:rFonts w:ascii="Franklin Gothic Book" w:hAnsi="Franklin Gothic Book"/>
        </w:rPr>
        <w:t>PSMA</w:t>
      </w:r>
      <w:r>
        <w:rPr>
          <w:rFonts w:ascii="Franklin Gothic Book" w:hAnsi="Franklin Gothic Book"/>
        </w:rPr>
        <w:t> i</w:t>
      </w:r>
      <w:r w:rsidRPr="004E51B7">
        <w:rPr>
          <w:rFonts w:ascii="Franklin Gothic Book" w:hAnsi="Franklin Gothic Book"/>
        </w:rPr>
        <w:t>&amp;</w:t>
      </w:r>
      <w:r>
        <w:rPr>
          <w:rFonts w:ascii="Franklin Gothic Book" w:hAnsi="Franklin Gothic Book"/>
        </w:rPr>
        <w:t>t</w:t>
      </w:r>
      <w:r w:rsidRPr="004E51B7">
        <w:rPr>
          <w:rFonts w:ascii="Franklin Gothic Book" w:hAnsi="Franklin Gothic Book"/>
        </w:rPr>
        <w:t xml:space="preserve"> </w:t>
      </w:r>
      <w:r>
        <w:rPr>
          <w:rFonts w:ascii="Franklin Gothic Book" w:hAnsi="Franklin Gothic Book"/>
        </w:rPr>
        <w:t xml:space="preserve">treatment, </w:t>
      </w:r>
      <w:r w:rsidRPr="004E51B7">
        <w:rPr>
          <w:rFonts w:ascii="Franklin Gothic Book" w:hAnsi="Franklin Gothic Book"/>
        </w:rPr>
        <w:t>the presence of PSMA receptors on the tumour cells was established using Ga-PSMA-PET/CT scans.</w:t>
      </w:r>
    </w:p>
    <w:p w14:paraId="448F94E8"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All costs were inflated to 2021 prices in euros using the CPI index of the Dutch Central Bureau of Statistics.</w:t>
      </w:r>
    </w:p>
    <w:p w14:paraId="53505276"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Treatment costs incorporated medication costs, administration costs, and outpatient visit for every injection.</w:t>
      </w:r>
    </w:p>
    <w:p w14:paraId="4B784BF6" w14:textId="77777777" w:rsidR="0078467B" w:rsidRPr="004E51B7" w:rsidRDefault="0078467B" w:rsidP="001359E7">
      <w:pPr>
        <w:pStyle w:val="BodyText"/>
        <w:numPr>
          <w:ilvl w:val="2"/>
          <w:numId w:val="19"/>
        </w:numPr>
        <w:ind w:left="284" w:hanging="284"/>
        <w:jc w:val="left"/>
        <w:rPr>
          <w:rFonts w:ascii="Franklin Gothic Book" w:hAnsi="Franklin Gothic Book"/>
        </w:rPr>
      </w:pPr>
      <w:r w:rsidRPr="004E51B7">
        <w:rPr>
          <w:rFonts w:ascii="Franklin Gothic Book" w:hAnsi="Franklin Gothic Book"/>
        </w:rPr>
        <w:t xml:space="preserve">For </w:t>
      </w:r>
      <w:r w:rsidRPr="004E51B7">
        <w:rPr>
          <w:rFonts w:ascii="Franklin Gothic Book" w:hAnsi="Franklin Gothic Book"/>
          <w:vertAlign w:val="superscript"/>
        </w:rPr>
        <w:t>177</w:t>
      </w:r>
      <w:r w:rsidRPr="004E51B7">
        <w:rPr>
          <w:rFonts w:ascii="Franklin Gothic Book" w:hAnsi="Franklin Gothic Book"/>
        </w:rPr>
        <w:t>Lu</w:t>
      </w:r>
      <w:r>
        <w:rPr>
          <w:rFonts w:ascii="Franklin Gothic Book" w:hAnsi="Franklin Gothic Book"/>
        </w:rPr>
        <w:t> </w:t>
      </w:r>
      <w:r w:rsidRPr="004E51B7">
        <w:rPr>
          <w:rFonts w:ascii="Franklin Gothic Book" w:hAnsi="Franklin Gothic Book"/>
        </w:rPr>
        <w:t>PSMA</w:t>
      </w:r>
      <w:r>
        <w:rPr>
          <w:rFonts w:ascii="Franklin Gothic Book" w:hAnsi="Franklin Gothic Book"/>
        </w:rPr>
        <w:t> i</w:t>
      </w:r>
      <w:r w:rsidRPr="004E51B7">
        <w:rPr>
          <w:rFonts w:ascii="Franklin Gothic Book" w:hAnsi="Franklin Gothic Book"/>
        </w:rPr>
        <w:t>&amp;</w:t>
      </w:r>
      <w:r>
        <w:rPr>
          <w:rFonts w:ascii="Franklin Gothic Book" w:hAnsi="Franklin Gothic Book"/>
        </w:rPr>
        <w:t>t</w:t>
      </w:r>
      <w:r w:rsidRPr="004E51B7">
        <w:rPr>
          <w:rFonts w:ascii="Franklin Gothic Book" w:hAnsi="Franklin Gothic Book"/>
        </w:rPr>
        <w:t>, the list price reflects the cost price of hospital preparation (i.e. raw materials, devices, and labour).</w:t>
      </w:r>
    </w:p>
    <w:p w14:paraId="61070710" w14:textId="442CAC16" w:rsidR="0078467B" w:rsidRPr="005F176B" w:rsidRDefault="0078467B" w:rsidP="0078467B">
      <w:pPr>
        <w:pStyle w:val="Caption"/>
      </w:pPr>
      <w:bookmarkStart w:id="43" w:name="_Ref150942755"/>
      <w:r>
        <w:lastRenderedPageBreak/>
        <w:t xml:space="preserve">Table </w:t>
      </w:r>
      <w:r w:rsidR="004D6242">
        <w:fldChar w:fldCharType="begin"/>
      </w:r>
      <w:r w:rsidR="004D6242">
        <w:instrText xml:space="preserve"> SEQ Table \* ARABIC </w:instrText>
      </w:r>
      <w:r w:rsidR="004D6242">
        <w:fldChar w:fldCharType="separate"/>
      </w:r>
      <w:r w:rsidR="00BF6F93">
        <w:rPr>
          <w:noProof/>
        </w:rPr>
        <w:t>12</w:t>
      </w:r>
      <w:r w:rsidR="004D6242">
        <w:rPr>
          <w:noProof/>
        </w:rPr>
        <w:fldChar w:fldCharType="end"/>
      </w:r>
      <w:bookmarkEnd w:id="43"/>
      <w:r>
        <w:tab/>
      </w:r>
      <w:r w:rsidRPr="005F176B">
        <w:t xml:space="preserve">Comparison of prices for </w:t>
      </w:r>
      <w:r w:rsidRPr="005F176B">
        <w:rPr>
          <w:vertAlign w:val="superscript"/>
        </w:rPr>
        <w:t>177</w:t>
      </w:r>
      <w:r w:rsidRPr="005F176B">
        <w:t xml:space="preserve">Lu-PSMA </w:t>
      </w:r>
      <w:r>
        <w:t>i</w:t>
      </w:r>
      <w:r w:rsidRPr="005F176B">
        <w:t>&amp;</w:t>
      </w:r>
      <w:r>
        <w:t>t</w:t>
      </w:r>
      <w:r w:rsidRPr="005F176B">
        <w:t xml:space="preserve"> </w:t>
      </w:r>
    </w:p>
    <w:tbl>
      <w:tblPr>
        <w:tblStyle w:val="TableGrid"/>
        <w:tblW w:w="0" w:type="auto"/>
        <w:tblLook w:val="04A0" w:firstRow="1" w:lastRow="0" w:firstColumn="1" w:lastColumn="0" w:noHBand="0" w:noVBand="1"/>
      </w:tblPr>
      <w:tblGrid>
        <w:gridCol w:w="3229"/>
        <w:gridCol w:w="1926"/>
        <w:gridCol w:w="1926"/>
        <w:gridCol w:w="1935"/>
      </w:tblGrid>
      <w:tr w:rsidR="0078467B" w:rsidRPr="005F176B" w14:paraId="508FECFE" w14:textId="77777777" w:rsidTr="0078467B">
        <w:tc>
          <w:tcPr>
            <w:tcW w:w="3539" w:type="dxa"/>
            <w:tcBorders>
              <w:top w:val="single" w:sz="4" w:space="0" w:color="auto"/>
              <w:left w:val="single" w:sz="4" w:space="0" w:color="auto"/>
              <w:bottom w:val="single" w:sz="4" w:space="0" w:color="auto"/>
              <w:right w:val="single" w:sz="4" w:space="0" w:color="auto"/>
            </w:tcBorders>
            <w:hideMark/>
          </w:tcPr>
          <w:p w14:paraId="65A6E3D3" w14:textId="77777777" w:rsidR="0078467B" w:rsidRPr="005F176B" w:rsidRDefault="0078467B">
            <w:pPr>
              <w:pStyle w:val="BodyText"/>
              <w:keepNext/>
              <w:spacing w:before="40" w:after="40"/>
              <w:rPr>
                <w:rFonts w:ascii="Arial Narrow" w:hAnsi="Arial Narrow"/>
                <w:b/>
                <w:bCs/>
                <w:sz w:val="20"/>
                <w:szCs w:val="20"/>
              </w:rPr>
            </w:pPr>
            <w:r w:rsidRPr="005F176B">
              <w:rPr>
                <w:rFonts w:ascii="Arial Narrow" w:hAnsi="Arial Narrow"/>
                <w:b/>
                <w:bCs/>
                <w:sz w:val="20"/>
                <w:szCs w:val="20"/>
              </w:rPr>
              <w:t xml:space="preserve"> </w:t>
            </w:r>
          </w:p>
        </w:tc>
        <w:tc>
          <w:tcPr>
            <w:tcW w:w="4130" w:type="dxa"/>
            <w:gridSpan w:val="2"/>
            <w:tcBorders>
              <w:top w:val="single" w:sz="4" w:space="0" w:color="auto"/>
              <w:left w:val="single" w:sz="4" w:space="0" w:color="auto"/>
              <w:bottom w:val="single" w:sz="4" w:space="0" w:color="auto"/>
              <w:right w:val="single" w:sz="4" w:space="0" w:color="auto"/>
            </w:tcBorders>
            <w:hideMark/>
          </w:tcPr>
          <w:p w14:paraId="4E7F0EE3" w14:textId="77777777" w:rsidR="0078467B" w:rsidRPr="0078467B" w:rsidRDefault="0078467B">
            <w:pPr>
              <w:pStyle w:val="BodyText"/>
              <w:keepNext/>
              <w:spacing w:before="40" w:after="40"/>
              <w:jc w:val="center"/>
              <w:rPr>
                <w:rFonts w:ascii="Arial Narrow" w:hAnsi="Arial Narrow"/>
                <w:b/>
                <w:bCs/>
                <w:sz w:val="20"/>
                <w:szCs w:val="20"/>
              </w:rPr>
            </w:pPr>
            <w:r w:rsidRPr="0078467B">
              <w:rPr>
                <w:rFonts w:ascii="Arial Narrow" w:hAnsi="Arial Narrow"/>
                <w:b/>
                <w:bCs/>
                <w:szCs w:val="20"/>
                <w:vertAlign w:val="superscript"/>
              </w:rPr>
              <w:t>177</w:t>
            </w:r>
            <w:r w:rsidRPr="0078467B">
              <w:rPr>
                <w:rFonts w:ascii="Arial Narrow" w:hAnsi="Arial Narrow"/>
                <w:b/>
                <w:bCs/>
                <w:sz w:val="20"/>
                <w:szCs w:val="20"/>
              </w:rPr>
              <w:t>Lu</w:t>
            </w:r>
            <w:r w:rsidRPr="0078467B">
              <w:rPr>
                <w:rFonts w:ascii="Arial Narrow" w:hAnsi="Arial Narrow"/>
                <w:b/>
                <w:bCs/>
                <w:szCs w:val="20"/>
              </w:rPr>
              <w:t> </w:t>
            </w:r>
            <w:r w:rsidRPr="0078467B">
              <w:rPr>
                <w:rFonts w:ascii="Arial Narrow" w:hAnsi="Arial Narrow"/>
                <w:b/>
                <w:bCs/>
                <w:sz w:val="20"/>
                <w:szCs w:val="20"/>
              </w:rPr>
              <w:t>PSMA</w:t>
            </w:r>
            <w:r w:rsidRPr="0078467B">
              <w:rPr>
                <w:rFonts w:ascii="Arial Narrow" w:hAnsi="Arial Narrow"/>
                <w:b/>
                <w:bCs/>
                <w:szCs w:val="20"/>
              </w:rPr>
              <w:t> </w:t>
            </w:r>
            <w:r w:rsidRPr="006D5080">
              <w:rPr>
                <w:rFonts w:ascii="Arial Narrow" w:hAnsi="Arial Narrow"/>
                <w:b/>
                <w:bCs/>
                <w:sz w:val="20"/>
                <w:szCs w:val="18"/>
              </w:rPr>
              <w:t>i&amp;t</w:t>
            </w:r>
            <w:r w:rsidRPr="006D5080">
              <w:rPr>
                <w:rFonts w:ascii="Arial Narrow" w:hAnsi="Arial Narrow"/>
                <w:b/>
                <w:bCs/>
                <w:sz w:val="18"/>
                <w:szCs w:val="18"/>
              </w:rPr>
              <w:t xml:space="preserve">; </w:t>
            </w:r>
            <w:r w:rsidRPr="0078467B">
              <w:rPr>
                <w:rFonts w:ascii="Arial Narrow" w:hAnsi="Arial Narrow"/>
                <w:b/>
                <w:bCs/>
                <w:sz w:val="20"/>
                <w:szCs w:val="20"/>
              </w:rPr>
              <w:t>per patient costs</w:t>
            </w:r>
          </w:p>
        </w:tc>
        <w:tc>
          <w:tcPr>
            <w:tcW w:w="2066" w:type="dxa"/>
            <w:vMerge w:val="restart"/>
            <w:tcBorders>
              <w:top w:val="single" w:sz="4" w:space="0" w:color="auto"/>
              <w:left w:val="single" w:sz="4" w:space="0" w:color="auto"/>
              <w:bottom w:val="single" w:sz="4" w:space="0" w:color="auto"/>
              <w:right w:val="single" w:sz="4" w:space="0" w:color="auto"/>
            </w:tcBorders>
            <w:vAlign w:val="center"/>
            <w:hideMark/>
          </w:tcPr>
          <w:p w14:paraId="7B6AF041" w14:textId="77777777" w:rsidR="0078467B" w:rsidRPr="0078467B" w:rsidRDefault="0078467B" w:rsidP="0078467B">
            <w:pPr>
              <w:pStyle w:val="BodyText"/>
              <w:keepNext/>
              <w:spacing w:before="40" w:after="40"/>
              <w:jc w:val="center"/>
              <w:rPr>
                <w:rFonts w:ascii="Arial Narrow" w:hAnsi="Arial Narrow"/>
                <w:b/>
                <w:bCs/>
                <w:sz w:val="20"/>
                <w:szCs w:val="20"/>
              </w:rPr>
            </w:pPr>
            <w:r w:rsidRPr="0078467B">
              <w:rPr>
                <w:rFonts w:ascii="Arial Narrow" w:hAnsi="Arial Narrow"/>
                <w:b/>
                <w:bCs/>
                <w:sz w:val="20"/>
                <w:szCs w:val="20"/>
              </w:rPr>
              <w:t>ADAR</w:t>
            </w:r>
          </w:p>
        </w:tc>
      </w:tr>
      <w:tr w:rsidR="0078467B" w:rsidRPr="005F176B" w14:paraId="3DE9BB86" w14:textId="77777777">
        <w:tc>
          <w:tcPr>
            <w:tcW w:w="3539" w:type="dxa"/>
            <w:tcBorders>
              <w:top w:val="single" w:sz="4" w:space="0" w:color="auto"/>
              <w:left w:val="single" w:sz="4" w:space="0" w:color="auto"/>
              <w:bottom w:val="single" w:sz="4" w:space="0" w:color="auto"/>
              <w:right w:val="single" w:sz="4" w:space="0" w:color="auto"/>
            </w:tcBorders>
          </w:tcPr>
          <w:p w14:paraId="3C839E05" w14:textId="77777777" w:rsidR="0078467B" w:rsidRPr="005F176B" w:rsidRDefault="0078467B">
            <w:pPr>
              <w:pStyle w:val="BodyText"/>
              <w:keepNext/>
              <w:spacing w:before="40" w:after="40"/>
              <w:rPr>
                <w:rFonts w:ascii="Arial Narrow" w:hAnsi="Arial Narrow"/>
                <w:sz w:val="20"/>
                <w:szCs w:val="20"/>
              </w:rPr>
            </w:pPr>
          </w:p>
        </w:tc>
        <w:tc>
          <w:tcPr>
            <w:tcW w:w="2065" w:type="dxa"/>
            <w:tcBorders>
              <w:top w:val="single" w:sz="4" w:space="0" w:color="auto"/>
              <w:left w:val="single" w:sz="4" w:space="0" w:color="auto"/>
              <w:bottom w:val="single" w:sz="4" w:space="0" w:color="auto"/>
              <w:right w:val="single" w:sz="4" w:space="0" w:color="auto"/>
            </w:tcBorders>
            <w:hideMark/>
          </w:tcPr>
          <w:p w14:paraId="2052062D" w14:textId="77777777" w:rsidR="0078467B" w:rsidRPr="005F176B" w:rsidRDefault="0078467B">
            <w:pPr>
              <w:pStyle w:val="BodyText"/>
              <w:keepNext/>
              <w:spacing w:before="40" w:after="40"/>
              <w:jc w:val="center"/>
              <w:rPr>
                <w:rFonts w:ascii="Arial Narrow" w:hAnsi="Arial Narrow"/>
                <w:b/>
                <w:sz w:val="20"/>
                <w:szCs w:val="20"/>
              </w:rPr>
            </w:pPr>
            <w:r w:rsidRPr="005F176B">
              <w:rPr>
                <w:rFonts w:ascii="Arial Narrow" w:hAnsi="Arial Narrow"/>
                <w:b/>
                <w:sz w:val="20"/>
                <w:szCs w:val="20"/>
              </w:rPr>
              <w:t>VISION regimen</w:t>
            </w:r>
          </w:p>
        </w:tc>
        <w:tc>
          <w:tcPr>
            <w:tcW w:w="2065" w:type="dxa"/>
            <w:tcBorders>
              <w:top w:val="single" w:sz="4" w:space="0" w:color="auto"/>
              <w:left w:val="single" w:sz="4" w:space="0" w:color="auto"/>
              <w:bottom w:val="single" w:sz="4" w:space="0" w:color="auto"/>
              <w:right w:val="single" w:sz="4" w:space="0" w:color="auto"/>
            </w:tcBorders>
            <w:hideMark/>
          </w:tcPr>
          <w:p w14:paraId="05C3B675" w14:textId="77777777" w:rsidR="0078467B" w:rsidRPr="005F176B" w:rsidRDefault="0078467B">
            <w:pPr>
              <w:pStyle w:val="BodyText"/>
              <w:keepNext/>
              <w:spacing w:before="40" w:after="40"/>
              <w:jc w:val="center"/>
              <w:rPr>
                <w:rFonts w:ascii="Arial Narrow" w:hAnsi="Arial Narrow"/>
                <w:b/>
                <w:sz w:val="20"/>
                <w:szCs w:val="20"/>
              </w:rPr>
            </w:pPr>
            <w:r w:rsidRPr="005F176B">
              <w:rPr>
                <w:rFonts w:ascii="Arial Narrow" w:hAnsi="Arial Narrow"/>
                <w:b/>
                <w:sz w:val="20"/>
                <w:szCs w:val="20"/>
              </w:rPr>
              <w:t>SPLASH Regimen</w:t>
            </w:r>
          </w:p>
        </w:tc>
        <w:tc>
          <w:tcPr>
            <w:tcW w:w="0" w:type="auto"/>
            <w:vMerge/>
            <w:tcBorders>
              <w:top w:val="single" w:sz="4" w:space="0" w:color="auto"/>
              <w:left w:val="single" w:sz="4" w:space="0" w:color="auto"/>
              <w:bottom w:val="single" w:sz="4" w:space="0" w:color="auto"/>
              <w:right w:val="single" w:sz="4" w:space="0" w:color="auto"/>
            </w:tcBorders>
            <w:hideMark/>
          </w:tcPr>
          <w:p w14:paraId="403B4C45" w14:textId="77777777" w:rsidR="0078467B" w:rsidRPr="005F176B" w:rsidRDefault="0078467B">
            <w:pPr>
              <w:rPr>
                <w:rFonts w:ascii="Arial Narrow" w:hAnsi="Arial Narrow" w:cs="Calibri"/>
                <w:b/>
                <w:bCs/>
                <w:sz w:val="20"/>
                <w:szCs w:val="20"/>
              </w:rPr>
            </w:pPr>
          </w:p>
        </w:tc>
      </w:tr>
      <w:tr w:rsidR="0078467B" w:rsidRPr="005F176B" w14:paraId="724C6590" w14:textId="77777777">
        <w:tc>
          <w:tcPr>
            <w:tcW w:w="3539" w:type="dxa"/>
            <w:tcBorders>
              <w:top w:val="single" w:sz="4" w:space="0" w:color="auto"/>
              <w:left w:val="single" w:sz="4" w:space="0" w:color="auto"/>
              <w:bottom w:val="single" w:sz="4" w:space="0" w:color="auto"/>
              <w:right w:val="single" w:sz="4" w:space="0" w:color="auto"/>
            </w:tcBorders>
            <w:hideMark/>
          </w:tcPr>
          <w:p w14:paraId="4ACBCFF5"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Medication</w:t>
            </w:r>
          </w:p>
        </w:tc>
        <w:tc>
          <w:tcPr>
            <w:tcW w:w="2065" w:type="dxa"/>
            <w:tcBorders>
              <w:top w:val="single" w:sz="4" w:space="0" w:color="auto"/>
              <w:left w:val="single" w:sz="4" w:space="0" w:color="auto"/>
              <w:bottom w:val="single" w:sz="4" w:space="0" w:color="auto"/>
              <w:right w:val="single" w:sz="4" w:space="0" w:color="auto"/>
            </w:tcBorders>
            <w:hideMark/>
          </w:tcPr>
          <w:p w14:paraId="07F5C066"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€42,546</w:t>
            </w:r>
          </w:p>
        </w:tc>
        <w:tc>
          <w:tcPr>
            <w:tcW w:w="2065" w:type="dxa"/>
            <w:tcBorders>
              <w:top w:val="single" w:sz="4" w:space="0" w:color="auto"/>
              <w:left w:val="single" w:sz="4" w:space="0" w:color="auto"/>
              <w:bottom w:val="single" w:sz="4" w:space="0" w:color="auto"/>
              <w:right w:val="single" w:sz="4" w:space="0" w:color="auto"/>
            </w:tcBorders>
            <w:hideMark/>
          </w:tcPr>
          <w:p w14:paraId="79E2CD16"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€31,008</w:t>
            </w:r>
          </w:p>
        </w:tc>
        <w:tc>
          <w:tcPr>
            <w:tcW w:w="2066" w:type="dxa"/>
            <w:tcBorders>
              <w:top w:val="single" w:sz="4" w:space="0" w:color="auto"/>
              <w:left w:val="single" w:sz="4" w:space="0" w:color="auto"/>
              <w:bottom w:val="single" w:sz="4" w:space="0" w:color="auto"/>
              <w:right w:val="single" w:sz="4" w:space="0" w:color="auto"/>
            </w:tcBorders>
            <w:hideMark/>
          </w:tcPr>
          <w:p w14:paraId="0CE2C280" w14:textId="366882B0"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$19,965.00</w:t>
            </w:r>
            <w:r w:rsidR="00B130E1">
              <w:rPr>
                <w:rFonts w:ascii="Arial Narrow" w:hAnsi="Arial Narrow"/>
                <w:sz w:val="20"/>
                <w:szCs w:val="20"/>
              </w:rPr>
              <w:t>*</w:t>
            </w:r>
          </w:p>
        </w:tc>
      </w:tr>
      <w:tr w:rsidR="0078467B" w:rsidRPr="005F176B" w14:paraId="678531C5" w14:textId="77777777">
        <w:tc>
          <w:tcPr>
            <w:tcW w:w="3539" w:type="dxa"/>
            <w:tcBorders>
              <w:top w:val="single" w:sz="4" w:space="0" w:color="auto"/>
              <w:left w:val="single" w:sz="4" w:space="0" w:color="auto"/>
              <w:bottom w:val="single" w:sz="4" w:space="0" w:color="auto"/>
              <w:right w:val="single" w:sz="4" w:space="0" w:color="auto"/>
            </w:tcBorders>
            <w:hideMark/>
          </w:tcPr>
          <w:p w14:paraId="77E146EF"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Administration</w:t>
            </w:r>
          </w:p>
        </w:tc>
        <w:tc>
          <w:tcPr>
            <w:tcW w:w="2065" w:type="dxa"/>
            <w:tcBorders>
              <w:top w:val="single" w:sz="4" w:space="0" w:color="auto"/>
              <w:left w:val="single" w:sz="4" w:space="0" w:color="auto"/>
              <w:bottom w:val="single" w:sz="4" w:space="0" w:color="auto"/>
              <w:right w:val="single" w:sz="4" w:space="0" w:color="auto"/>
            </w:tcBorders>
            <w:hideMark/>
          </w:tcPr>
          <w:p w14:paraId="186B4852"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€1,299</w:t>
            </w:r>
          </w:p>
        </w:tc>
        <w:tc>
          <w:tcPr>
            <w:tcW w:w="2065" w:type="dxa"/>
            <w:tcBorders>
              <w:top w:val="single" w:sz="4" w:space="0" w:color="auto"/>
              <w:left w:val="single" w:sz="4" w:space="0" w:color="auto"/>
              <w:bottom w:val="single" w:sz="4" w:space="0" w:color="auto"/>
              <w:right w:val="single" w:sz="4" w:space="0" w:color="auto"/>
            </w:tcBorders>
            <w:hideMark/>
          </w:tcPr>
          <w:p w14:paraId="66C23140"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€1,1039</w:t>
            </w:r>
          </w:p>
        </w:tc>
        <w:tc>
          <w:tcPr>
            <w:tcW w:w="2066" w:type="dxa"/>
            <w:tcBorders>
              <w:top w:val="single" w:sz="4" w:space="0" w:color="auto"/>
              <w:left w:val="single" w:sz="4" w:space="0" w:color="auto"/>
              <w:bottom w:val="single" w:sz="4" w:space="0" w:color="auto"/>
              <w:right w:val="single" w:sz="4" w:space="0" w:color="auto"/>
            </w:tcBorders>
            <w:hideMark/>
          </w:tcPr>
          <w:p w14:paraId="42E85EAF" w14:textId="3DF96CF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$9,075.00</w:t>
            </w:r>
            <w:r w:rsidR="00B130E1">
              <w:rPr>
                <w:rFonts w:ascii="Arial Narrow" w:hAnsi="Arial Narrow"/>
                <w:sz w:val="20"/>
                <w:szCs w:val="20"/>
              </w:rPr>
              <w:t>*</w:t>
            </w:r>
          </w:p>
        </w:tc>
      </w:tr>
      <w:tr w:rsidR="0078467B" w:rsidRPr="005F176B" w14:paraId="0F729572" w14:textId="77777777">
        <w:tc>
          <w:tcPr>
            <w:tcW w:w="3539" w:type="dxa"/>
            <w:tcBorders>
              <w:top w:val="single" w:sz="4" w:space="0" w:color="auto"/>
              <w:left w:val="single" w:sz="4" w:space="0" w:color="auto"/>
              <w:bottom w:val="single" w:sz="4" w:space="0" w:color="auto"/>
              <w:right w:val="single" w:sz="4" w:space="0" w:color="auto"/>
            </w:tcBorders>
            <w:hideMark/>
          </w:tcPr>
          <w:p w14:paraId="7BD3365E"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Hospital Admission</w:t>
            </w:r>
          </w:p>
        </w:tc>
        <w:tc>
          <w:tcPr>
            <w:tcW w:w="2065" w:type="dxa"/>
            <w:tcBorders>
              <w:top w:val="single" w:sz="4" w:space="0" w:color="auto"/>
              <w:left w:val="single" w:sz="4" w:space="0" w:color="auto"/>
              <w:bottom w:val="single" w:sz="4" w:space="0" w:color="auto"/>
              <w:right w:val="single" w:sz="4" w:space="0" w:color="auto"/>
            </w:tcBorders>
            <w:hideMark/>
          </w:tcPr>
          <w:p w14:paraId="70D9B240"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€327</w:t>
            </w:r>
          </w:p>
        </w:tc>
        <w:tc>
          <w:tcPr>
            <w:tcW w:w="2065" w:type="dxa"/>
            <w:tcBorders>
              <w:top w:val="single" w:sz="4" w:space="0" w:color="auto"/>
              <w:left w:val="single" w:sz="4" w:space="0" w:color="auto"/>
              <w:bottom w:val="single" w:sz="4" w:space="0" w:color="auto"/>
              <w:right w:val="single" w:sz="4" w:space="0" w:color="auto"/>
            </w:tcBorders>
            <w:hideMark/>
          </w:tcPr>
          <w:p w14:paraId="6A983610"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€262</w:t>
            </w:r>
          </w:p>
        </w:tc>
        <w:tc>
          <w:tcPr>
            <w:tcW w:w="2066" w:type="dxa"/>
            <w:tcBorders>
              <w:top w:val="single" w:sz="4" w:space="0" w:color="auto"/>
              <w:left w:val="single" w:sz="4" w:space="0" w:color="auto"/>
              <w:bottom w:val="single" w:sz="4" w:space="0" w:color="auto"/>
              <w:right w:val="single" w:sz="4" w:space="0" w:color="auto"/>
            </w:tcBorders>
          </w:tcPr>
          <w:p w14:paraId="6C5EE48B" w14:textId="77777777" w:rsidR="0078467B" w:rsidRPr="005F176B" w:rsidRDefault="0078467B">
            <w:pPr>
              <w:pStyle w:val="BodyText"/>
              <w:keepNext/>
              <w:spacing w:before="40" w:after="40"/>
              <w:jc w:val="center"/>
              <w:rPr>
                <w:rFonts w:ascii="Arial Narrow" w:hAnsi="Arial Narrow"/>
                <w:sz w:val="20"/>
                <w:szCs w:val="20"/>
              </w:rPr>
            </w:pPr>
          </w:p>
        </w:tc>
      </w:tr>
      <w:tr w:rsidR="0078467B" w:rsidRPr="005F176B" w14:paraId="59A81A80" w14:textId="77777777">
        <w:tc>
          <w:tcPr>
            <w:tcW w:w="3539" w:type="dxa"/>
            <w:tcBorders>
              <w:top w:val="single" w:sz="4" w:space="0" w:color="auto"/>
              <w:left w:val="single" w:sz="4" w:space="0" w:color="auto"/>
              <w:bottom w:val="single" w:sz="4" w:space="0" w:color="auto"/>
              <w:right w:val="single" w:sz="4" w:space="0" w:color="auto"/>
            </w:tcBorders>
            <w:hideMark/>
          </w:tcPr>
          <w:p w14:paraId="39DBEE16"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Observation</w:t>
            </w:r>
          </w:p>
        </w:tc>
        <w:tc>
          <w:tcPr>
            <w:tcW w:w="2065" w:type="dxa"/>
            <w:tcBorders>
              <w:top w:val="single" w:sz="4" w:space="0" w:color="auto"/>
              <w:left w:val="single" w:sz="4" w:space="0" w:color="auto"/>
              <w:bottom w:val="single" w:sz="4" w:space="0" w:color="auto"/>
              <w:right w:val="single" w:sz="4" w:space="0" w:color="auto"/>
            </w:tcBorders>
            <w:hideMark/>
          </w:tcPr>
          <w:p w14:paraId="45499A42"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€667</w:t>
            </w:r>
          </w:p>
        </w:tc>
        <w:tc>
          <w:tcPr>
            <w:tcW w:w="2065" w:type="dxa"/>
            <w:tcBorders>
              <w:top w:val="single" w:sz="4" w:space="0" w:color="auto"/>
              <w:left w:val="single" w:sz="4" w:space="0" w:color="auto"/>
              <w:bottom w:val="single" w:sz="4" w:space="0" w:color="auto"/>
              <w:right w:val="single" w:sz="4" w:space="0" w:color="auto"/>
            </w:tcBorders>
            <w:hideMark/>
          </w:tcPr>
          <w:p w14:paraId="33AFAEC5"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€534</w:t>
            </w:r>
          </w:p>
        </w:tc>
        <w:tc>
          <w:tcPr>
            <w:tcW w:w="2066" w:type="dxa"/>
            <w:tcBorders>
              <w:top w:val="single" w:sz="4" w:space="0" w:color="auto"/>
              <w:left w:val="single" w:sz="4" w:space="0" w:color="auto"/>
              <w:bottom w:val="single" w:sz="4" w:space="0" w:color="auto"/>
              <w:right w:val="single" w:sz="4" w:space="0" w:color="auto"/>
            </w:tcBorders>
          </w:tcPr>
          <w:p w14:paraId="75D07868" w14:textId="77777777" w:rsidR="0078467B" w:rsidRPr="005F176B" w:rsidRDefault="0078467B">
            <w:pPr>
              <w:pStyle w:val="BodyText"/>
              <w:keepNext/>
              <w:spacing w:before="40" w:after="40"/>
              <w:jc w:val="center"/>
              <w:rPr>
                <w:rFonts w:ascii="Arial Narrow" w:hAnsi="Arial Narrow"/>
                <w:sz w:val="20"/>
                <w:szCs w:val="20"/>
              </w:rPr>
            </w:pPr>
          </w:p>
        </w:tc>
      </w:tr>
      <w:tr w:rsidR="0078467B" w:rsidRPr="005F176B" w14:paraId="1BE07B00" w14:textId="77777777">
        <w:tc>
          <w:tcPr>
            <w:tcW w:w="3539" w:type="dxa"/>
            <w:tcBorders>
              <w:top w:val="single" w:sz="4" w:space="0" w:color="auto"/>
              <w:left w:val="single" w:sz="4" w:space="0" w:color="auto"/>
              <w:bottom w:val="single" w:sz="4" w:space="0" w:color="auto"/>
              <w:right w:val="single" w:sz="4" w:space="0" w:color="auto"/>
            </w:tcBorders>
            <w:hideMark/>
          </w:tcPr>
          <w:p w14:paraId="210D8FEC"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Supportive Care</w:t>
            </w:r>
          </w:p>
        </w:tc>
        <w:tc>
          <w:tcPr>
            <w:tcW w:w="2065" w:type="dxa"/>
            <w:tcBorders>
              <w:top w:val="single" w:sz="4" w:space="0" w:color="auto"/>
              <w:left w:val="single" w:sz="4" w:space="0" w:color="auto"/>
              <w:bottom w:val="single" w:sz="4" w:space="0" w:color="auto"/>
              <w:right w:val="single" w:sz="4" w:space="0" w:color="auto"/>
            </w:tcBorders>
            <w:hideMark/>
          </w:tcPr>
          <w:p w14:paraId="20570809"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€1,205</w:t>
            </w:r>
          </w:p>
        </w:tc>
        <w:tc>
          <w:tcPr>
            <w:tcW w:w="2065" w:type="dxa"/>
            <w:tcBorders>
              <w:top w:val="single" w:sz="4" w:space="0" w:color="auto"/>
              <w:left w:val="single" w:sz="4" w:space="0" w:color="auto"/>
              <w:bottom w:val="single" w:sz="4" w:space="0" w:color="auto"/>
              <w:right w:val="single" w:sz="4" w:space="0" w:color="auto"/>
            </w:tcBorders>
            <w:hideMark/>
          </w:tcPr>
          <w:p w14:paraId="45DBF6B2"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€1,237</w:t>
            </w:r>
          </w:p>
        </w:tc>
        <w:tc>
          <w:tcPr>
            <w:tcW w:w="2066" w:type="dxa"/>
            <w:tcBorders>
              <w:top w:val="single" w:sz="4" w:space="0" w:color="auto"/>
              <w:left w:val="single" w:sz="4" w:space="0" w:color="auto"/>
              <w:bottom w:val="single" w:sz="4" w:space="0" w:color="auto"/>
              <w:right w:val="single" w:sz="4" w:space="0" w:color="auto"/>
            </w:tcBorders>
          </w:tcPr>
          <w:p w14:paraId="2293D1B3" w14:textId="77777777" w:rsidR="0078467B" w:rsidRPr="005F176B" w:rsidRDefault="0078467B">
            <w:pPr>
              <w:pStyle w:val="BodyText"/>
              <w:keepNext/>
              <w:spacing w:before="40" w:after="40"/>
              <w:jc w:val="center"/>
              <w:rPr>
                <w:rFonts w:ascii="Arial Narrow" w:hAnsi="Arial Narrow"/>
                <w:sz w:val="20"/>
                <w:szCs w:val="20"/>
              </w:rPr>
            </w:pPr>
          </w:p>
        </w:tc>
      </w:tr>
      <w:tr w:rsidR="0078467B" w:rsidRPr="005F176B" w14:paraId="0B99C214" w14:textId="77777777">
        <w:tc>
          <w:tcPr>
            <w:tcW w:w="3539" w:type="dxa"/>
            <w:tcBorders>
              <w:top w:val="single" w:sz="4" w:space="0" w:color="auto"/>
              <w:left w:val="single" w:sz="4" w:space="0" w:color="auto"/>
              <w:bottom w:val="single" w:sz="4" w:space="0" w:color="auto"/>
              <w:right w:val="single" w:sz="4" w:space="0" w:color="auto"/>
            </w:tcBorders>
            <w:hideMark/>
          </w:tcPr>
          <w:p w14:paraId="0DDB609B"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Monitoring</w:t>
            </w:r>
          </w:p>
        </w:tc>
        <w:tc>
          <w:tcPr>
            <w:tcW w:w="2065" w:type="dxa"/>
            <w:tcBorders>
              <w:top w:val="single" w:sz="4" w:space="0" w:color="auto"/>
              <w:left w:val="single" w:sz="4" w:space="0" w:color="auto"/>
              <w:bottom w:val="single" w:sz="4" w:space="0" w:color="auto"/>
              <w:right w:val="single" w:sz="4" w:space="0" w:color="auto"/>
            </w:tcBorders>
            <w:hideMark/>
          </w:tcPr>
          <w:p w14:paraId="3415D73A"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€510</w:t>
            </w:r>
          </w:p>
        </w:tc>
        <w:tc>
          <w:tcPr>
            <w:tcW w:w="2065" w:type="dxa"/>
            <w:tcBorders>
              <w:top w:val="single" w:sz="4" w:space="0" w:color="auto"/>
              <w:left w:val="single" w:sz="4" w:space="0" w:color="auto"/>
              <w:bottom w:val="single" w:sz="4" w:space="0" w:color="auto"/>
              <w:right w:val="single" w:sz="4" w:space="0" w:color="auto"/>
            </w:tcBorders>
            <w:hideMark/>
          </w:tcPr>
          <w:p w14:paraId="44EE9965"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€408</w:t>
            </w:r>
          </w:p>
        </w:tc>
        <w:tc>
          <w:tcPr>
            <w:tcW w:w="2066" w:type="dxa"/>
            <w:tcBorders>
              <w:top w:val="single" w:sz="4" w:space="0" w:color="auto"/>
              <w:left w:val="single" w:sz="4" w:space="0" w:color="auto"/>
              <w:bottom w:val="single" w:sz="4" w:space="0" w:color="auto"/>
              <w:right w:val="single" w:sz="4" w:space="0" w:color="auto"/>
            </w:tcBorders>
          </w:tcPr>
          <w:p w14:paraId="107FA2EB" w14:textId="77777777" w:rsidR="0078467B" w:rsidRPr="005F176B" w:rsidRDefault="0078467B">
            <w:pPr>
              <w:pStyle w:val="BodyText"/>
              <w:keepNext/>
              <w:spacing w:before="40" w:after="40"/>
              <w:jc w:val="center"/>
              <w:rPr>
                <w:rFonts w:ascii="Arial Narrow" w:hAnsi="Arial Narrow"/>
                <w:sz w:val="20"/>
                <w:szCs w:val="20"/>
              </w:rPr>
            </w:pPr>
          </w:p>
        </w:tc>
      </w:tr>
      <w:tr w:rsidR="0078467B" w:rsidRPr="005F176B" w14:paraId="74FCE25C" w14:textId="77777777">
        <w:tc>
          <w:tcPr>
            <w:tcW w:w="3539" w:type="dxa"/>
            <w:tcBorders>
              <w:top w:val="single" w:sz="4" w:space="0" w:color="auto"/>
              <w:left w:val="single" w:sz="4" w:space="0" w:color="auto"/>
              <w:bottom w:val="single" w:sz="4" w:space="0" w:color="auto"/>
              <w:right w:val="single" w:sz="4" w:space="0" w:color="auto"/>
            </w:tcBorders>
            <w:hideMark/>
          </w:tcPr>
          <w:p w14:paraId="24B72F4A"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Imaging</w:t>
            </w:r>
          </w:p>
        </w:tc>
        <w:tc>
          <w:tcPr>
            <w:tcW w:w="2065" w:type="dxa"/>
            <w:tcBorders>
              <w:top w:val="single" w:sz="4" w:space="0" w:color="auto"/>
              <w:left w:val="single" w:sz="4" w:space="0" w:color="auto"/>
              <w:bottom w:val="single" w:sz="4" w:space="0" w:color="auto"/>
              <w:right w:val="single" w:sz="4" w:space="0" w:color="auto"/>
            </w:tcBorders>
            <w:hideMark/>
          </w:tcPr>
          <w:p w14:paraId="229E024D"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€1,357</w:t>
            </w:r>
          </w:p>
        </w:tc>
        <w:tc>
          <w:tcPr>
            <w:tcW w:w="2065" w:type="dxa"/>
            <w:tcBorders>
              <w:top w:val="single" w:sz="4" w:space="0" w:color="auto"/>
              <w:left w:val="single" w:sz="4" w:space="0" w:color="auto"/>
              <w:bottom w:val="single" w:sz="4" w:space="0" w:color="auto"/>
              <w:right w:val="single" w:sz="4" w:space="0" w:color="auto"/>
            </w:tcBorders>
            <w:hideMark/>
          </w:tcPr>
          <w:p w14:paraId="22CB0457"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€1,342</w:t>
            </w:r>
          </w:p>
        </w:tc>
        <w:tc>
          <w:tcPr>
            <w:tcW w:w="2066" w:type="dxa"/>
            <w:tcBorders>
              <w:top w:val="single" w:sz="4" w:space="0" w:color="auto"/>
              <w:left w:val="single" w:sz="4" w:space="0" w:color="auto"/>
              <w:bottom w:val="single" w:sz="4" w:space="0" w:color="auto"/>
              <w:right w:val="single" w:sz="4" w:space="0" w:color="auto"/>
            </w:tcBorders>
            <w:hideMark/>
          </w:tcPr>
          <w:p w14:paraId="61723234"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$1,400</w:t>
            </w:r>
          </w:p>
        </w:tc>
      </w:tr>
      <w:tr w:rsidR="0078467B" w:rsidRPr="005F176B" w14:paraId="69FB259C" w14:textId="77777777">
        <w:tc>
          <w:tcPr>
            <w:tcW w:w="3539" w:type="dxa"/>
            <w:tcBorders>
              <w:top w:val="single" w:sz="4" w:space="0" w:color="auto"/>
              <w:left w:val="single" w:sz="4" w:space="0" w:color="auto"/>
              <w:bottom w:val="single" w:sz="4" w:space="0" w:color="auto"/>
              <w:right w:val="single" w:sz="4" w:space="0" w:color="auto"/>
            </w:tcBorders>
            <w:hideMark/>
          </w:tcPr>
          <w:p w14:paraId="2484CBB9" w14:textId="77777777" w:rsidR="0078467B" w:rsidRPr="005F176B" w:rsidRDefault="0078467B">
            <w:pPr>
              <w:pStyle w:val="BodyText"/>
              <w:keepNext/>
              <w:spacing w:before="40" w:after="40"/>
              <w:rPr>
                <w:rFonts w:ascii="Arial Narrow" w:hAnsi="Arial Narrow"/>
                <w:b/>
                <w:bCs/>
                <w:sz w:val="20"/>
                <w:szCs w:val="20"/>
              </w:rPr>
            </w:pPr>
            <w:r w:rsidRPr="005F176B">
              <w:rPr>
                <w:rFonts w:ascii="Arial Narrow" w:hAnsi="Arial Narrow"/>
                <w:b/>
                <w:bCs/>
                <w:sz w:val="20"/>
                <w:szCs w:val="20"/>
              </w:rPr>
              <w:t>Total Costs</w:t>
            </w:r>
          </w:p>
        </w:tc>
        <w:tc>
          <w:tcPr>
            <w:tcW w:w="2065" w:type="dxa"/>
            <w:tcBorders>
              <w:top w:val="single" w:sz="4" w:space="0" w:color="auto"/>
              <w:left w:val="single" w:sz="4" w:space="0" w:color="auto"/>
              <w:bottom w:val="single" w:sz="4" w:space="0" w:color="auto"/>
              <w:right w:val="single" w:sz="4" w:space="0" w:color="auto"/>
            </w:tcBorders>
            <w:hideMark/>
          </w:tcPr>
          <w:p w14:paraId="15884C0E" w14:textId="77777777" w:rsidR="0078467B" w:rsidRPr="005F176B" w:rsidRDefault="0078467B">
            <w:pPr>
              <w:pStyle w:val="BodyText"/>
              <w:keepNext/>
              <w:spacing w:before="40" w:after="40"/>
              <w:jc w:val="center"/>
              <w:rPr>
                <w:rFonts w:ascii="Arial Narrow" w:hAnsi="Arial Narrow"/>
                <w:b/>
                <w:bCs/>
                <w:sz w:val="20"/>
                <w:szCs w:val="20"/>
              </w:rPr>
            </w:pPr>
            <w:r w:rsidRPr="005F176B">
              <w:rPr>
                <w:rFonts w:ascii="Arial Narrow" w:hAnsi="Arial Narrow"/>
                <w:b/>
                <w:bCs/>
                <w:sz w:val="20"/>
                <w:szCs w:val="20"/>
              </w:rPr>
              <w:t>€47,546</w:t>
            </w:r>
          </w:p>
        </w:tc>
        <w:tc>
          <w:tcPr>
            <w:tcW w:w="2065" w:type="dxa"/>
            <w:tcBorders>
              <w:top w:val="single" w:sz="4" w:space="0" w:color="auto"/>
              <w:left w:val="single" w:sz="4" w:space="0" w:color="auto"/>
              <w:bottom w:val="single" w:sz="4" w:space="0" w:color="auto"/>
              <w:right w:val="single" w:sz="4" w:space="0" w:color="auto"/>
            </w:tcBorders>
            <w:hideMark/>
          </w:tcPr>
          <w:p w14:paraId="28DA7261" w14:textId="77777777" w:rsidR="0078467B" w:rsidRPr="005F176B" w:rsidRDefault="0078467B">
            <w:pPr>
              <w:pStyle w:val="BodyText"/>
              <w:keepNext/>
              <w:spacing w:before="40" w:after="40"/>
              <w:jc w:val="center"/>
              <w:rPr>
                <w:rFonts w:ascii="Arial Narrow" w:hAnsi="Arial Narrow"/>
                <w:b/>
                <w:bCs/>
                <w:sz w:val="20"/>
                <w:szCs w:val="20"/>
              </w:rPr>
            </w:pPr>
            <w:r w:rsidRPr="005F176B">
              <w:rPr>
                <w:rFonts w:ascii="Arial Narrow" w:hAnsi="Arial Narrow"/>
                <w:b/>
                <w:bCs/>
                <w:sz w:val="20"/>
                <w:szCs w:val="20"/>
              </w:rPr>
              <w:t>€35,866</w:t>
            </w:r>
          </w:p>
        </w:tc>
        <w:tc>
          <w:tcPr>
            <w:tcW w:w="2066" w:type="dxa"/>
            <w:tcBorders>
              <w:top w:val="single" w:sz="4" w:space="0" w:color="auto"/>
              <w:left w:val="single" w:sz="4" w:space="0" w:color="auto"/>
              <w:bottom w:val="single" w:sz="4" w:space="0" w:color="auto"/>
              <w:right w:val="single" w:sz="4" w:space="0" w:color="auto"/>
            </w:tcBorders>
            <w:hideMark/>
          </w:tcPr>
          <w:p w14:paraId="5F62BD0B" w14:textId="77777777" w:rsidR="0078467B" w:rsidRPr="005F176B" w:rsidRDefault="0078467B">
            <w:pPr>
              <w:pStyle w:val="BodyText"/>
              <w:keepNext/>
              <w:spacing w:before="40" w:after="40"/>
              <w:jc w:val="center"/>
              <w:rPr>
                <w:rFonts w:ascii="Arial Narrow" w:hAnsi="Arial Narrow"/>
                <w:b/>
                <w:bCs/>
                <w:sz w:val="20"/>
                <w:szCs w:val="20"/>
              </w:rPr>
            </w:pPr>
            <w:r w:rsidRPr="005F176B">
              <w:rPr>
                <w:rFonts w:ascii="Arial Narrow" w:hAnsi="Arial Narrow"/>
                <w:b/>
                <w:bCs/>
                <w:sz w:val="20"/>
                <w:szCs w:val="20"/>
              </w:rPr>
              <w:t>$30,440</w:t>
            </w:r>
          </w:p>
        </w:tc>
      </w:tr>
      <w:tr w:rsidR="0078467B" w:rsidRPr="005F176B" w14:paraId="5B24AE25" w14:textId="77777777">
        <w:tc>
          <w:tcPr>
            <w:tcW w:w="3539" w:type="dxa"/>
            <w:tcBorders>
              <w:top w:val="single" w:sz="4" w:space="0" w:color="auto"/>
              <w:left w:val="single" w:sz="4" w:space="0" w:color="auto"/>
              <w:bottom w:val="single" w:sz="4" w:space="0" w:color="auto"/>
              <w:right w:val="single" w:sz="4" w:space="0" w:color="auto"/>
            </w:tcBorders>
            <w:hideMark/>
          </w:tcPr>
          <w:p w14:paraId="62DED0F9"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AUD $***</w:t>
            </w:r>
          </w:p>
        </w:tc>
        <w:tc>
          <w:tcPr>
            <w:tcW w:w="2065" w:type="dxa"/>
            <w:tcBorders>
              <w:top w:val="single" w:sz="4" w:space="0" w:color="auto"/>
              <w:left w:val="single" w:sz="4" w:space="0" w:color="auto"/>
              <w:bottom w:val="single" w:sz="4" w:space="0" w:color="auto"/>
              <w:right w:val="single" w:sz="4" w:space="0" w:color="auto"/>
            </w:tcBorders>
            <w:hideMark/>
          </w:tcPr>
          <w:p w14:paraId="1903D19A"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$76,847.27</w:t>
            </w:r>
          </w:p>
        </w:tc>
        <w:tc>
          <w:tcPr>
            <w:tcW w:w="2065" w:type="dxa"/>
            <w:tcBorders>
              <w:top w:val="single" w:sz="4" w:space="0" w:color="auto"/>
              <w:left w:val="single" w:sz="4" w:space="0" w:color="auto"/>
              <w:bottom w:val="single" w:sz="4" w:space="0" w:color="auto"/>
              <w:right w:val="single" w:sz="4" w:space="0" w:color="auto"/>
            </w:tcBorders>
            <w:hideMark/>
          </w:tcPr>
          <w:p w14:paraId="428CBF10"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$57,969.21</w:t>
            </w:r>
          </w:p>
        </w:tc>
        <w:tc>
          <w:tcPr>
            <w:tcW w:w="2066" w:type="dxa"/>
            <w:tcBorders>
              <w:top w:val="single" w:sz="4" w:space="0" w:color="auto"/>
              <w:left w:val="single" w:sz="4" w:space="0" w:color="auto"/>
              <w:bottom w:val="single" w:sz="4" w:space="0" w:color="auto"/>
              <w:right w:val="single" w:sz="4" w:space="0" w:color="auto"/>
            </w:tcBorders>
            <w:hideMark/>
          </w:tcPr>
          <w:p w14:paraId="2C8A928B"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$30,440</w:t>
            </w:r>
          </w:p>
        </w:tc>
      </w:tr>
      <w:tr w:rsidR="0078467B" w:rsidRPr="005F176B" w14:paraId="5FDA3958" w14:textId="77777777">
        <w:tc>
          <w:tcPr>
            <w:tcW w:w="3539" w:type="dxa"/>
            <w:tcBorders>
              <w:top w:val="single" w:sz="4" w:space="0" w:color="auto"/>
              <w:left w:val="single" w:sz="4" w:space="0" w:color="auto"/>
              <w:bottom w:val="single" w:sz="4" w:space="0" w:color="auto"/>
              <w:right w:val="single" w:sz="4" w:space="0" w:color="auto"/>
            </w:tcBorders>
            <w:hideMark/>
          </w:tcPr>
          <w:p w14:paraId="29399E81"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Cost per preparation (dose) cycle</w:t>
            </w:r>
          </w:p>
        </w:tc>
        <w:tc>
          <w:tcPr>
            <w:tcW w:w="2065" w:type="dxa"/>
            <w:tcBorders>
              <w:top w:val="single" w:sz="4" w:space="0" w:color="auto"/>
              <w:left w:val="single" w:sz="4" w:space="0" w:color="auto"/>
              <w:bottom w:val="single" w:sz="4" w:space="0" w:color="auto"/>
              <w:right w:val="single" w:sz="4" w:space="0" w:color="auto"/>
            </w:tcBorders>
            <w:hideMark/>
          </w:tcPr>
          <w:p w14:paraId="22828545"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7.4 GBq</w:t>
            </w:r>
          </w:p>
        </w:tc>
        <w:tc>
          <w:tcPr>
            <w:tcW w:w="2065" w:type="dxa"/>
            <w:tcBorders>
              <w:top w:val="single" w:sz="4" w:space="0" w:color="auto"/>
              <w:left w:val="single" w:sz="4" w:space="0" w:color="auto"/>
              <w:bottom w:val="single" w:sz="4" w:space="0" w:color="auto"/>
              <w:right w:val="single" w:sz="4" w:space="0" w:color="auto"/>
            </w:tcBorders>
            <w:hideMark/>
          </w:tcPr>
          <w:p w14:paraId="043F69B5"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6.8 GBq</w:t>
            </w:r>
          </w:p>
        </w:tc>
        <w:tc>
          <w:tcPr>
            <w:tcW w:w="2066" w:type="dxa"/>
            <w:tcBorders>
              <w:top w:val="single" w:sz="4" w:space="0" w:color="auto"/>
              <w:left w:val="single" w:sz="4" w:space="0" w:color="auto"/>
              <w:bottom w:val="single" w:sz="4" w:space="0" w:color="auto"/>
              <w:right w:val="single" w:sz="4" w:space="0" w:color="auto"/>
            </w:tcBorders>
            <w:hideMark/>
          </w:tcPr>
          <w:p w14:paraId="0FC6FCBB"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7.0-8.5 GBq**</w:t>
            </w:r>
          </w:p>
        </w:tc>
      </w:tr>
      <w:tr w:rsidR="0078467B" w:rsidRPr="005F176B" w14:paraId="33753F47" w14:textId="77777777">
        <w:tc>
          <w:tcPr>
            <w:tcW w:w="3539" w:type="dxa"/>
            <w:tcBorders>
              <w:top w:val="single" w:sz="4" w:space="0" w:color="auto"/>
              <w:left w:val="single" w:sz="4" w:space="0" w:color="auto"/>
              <w:bottom w:val="single" w:sz="4" w:space="0" w:color="auto"/>
              <w:right w:val="single" w:sz="4" w:space="0" w:color="auto"/>
            </w:tcBorders>
            <w:hideMark/>
          </w:tcPr>
          <w:p w14:paraId="51D6D3A3"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Cost from Table 2 Quist et al., 2023</w:t>
            </w:r>
          </w:p>
        </w:tc>
        <w:tc>
          <w:tcPr>
            <w:tcW w:w="2065" w:type="dxa"/>
            <w:tcBorders>
              <w:top w:val="single" w:sz="4" w:space="0" w:color="auto"/>
              <w:left w:val="single" w:sz="4" w:space="0" w:color="auto"/>
              <w:bottom w:val="single" w:sz="4" w:space="0" w:color="auto"/>
              <w:right w:val="single" w:sz="4" w:space="0" w:color="auto"/>
            </w:tcBorders>
            <w:hideMark/>
          </w:tcPr>
          <w:p w14:paraId="3981F8EB"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€8,846</w:t>
            </w:r>
          </w:p>
        </w:tc>
        <w:tc>
          <w:tcPr>
            <w:tcW w:w="2065" w:type="dxa"/>
            <w:tcBorders>
              <w:top w:val="single" w:sz="4" w:space="0" w:color="auto"/>
              <w:left w:val="single" w:sz="4" w:space="0" w:color="auto"/>
              <w:bottom w:val="single" w:sz="4" w:space="0" w:color="auto"/>
              <w:right w:val="single" w:sz="4" w:space="0" w:color="auto"/>
            </w:tcBorders>
            <w:hideMark/>
          </w:tcPr>
          <w:p w14:paraId="4A372E01"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€7,752</w:t>
            </w:r>
          </w:p>
        </w:tc>
        <w:tc>
          <w:tcPr>
            <w:tcW w:w="2066" w:type="dxa"/>
            <w:tcBorders>
              <w:top w:val="single" w:sz="4" w:space="0" w:color="auto"/>
              <w:left w:val="single" w:sz="4" w:space="0" w:color="auto"/>
              <w:bottom w:val="single" w:sz="4" w:space="0" w:color="auto"/>
              <w:right w:val="single" w:sz="4" w:space="0" w:color="auto"/>
            </w:tcBorders>
          </w:tcPr>
          <w:p w14:paraId="41ECC603" w14:textId="77777777" w:rsidR="0078467B" w:rsidRPr="005F176B" w:rsidRDefault="0078467B">
            <w:pPr>
              <w:pStyle w:val="BodyText"/>
              <w:keepNext/>
              <w:spacing w:before="40" w:after="40"/>
              <w:jc w:val="center"/>
              <w:rPr>
                <w:rFonts w:ascii="Arial Narrow" w:hAnsi="Arial Narrow"/>
                <w:sz w:val="20"/>
                <w:szCs w:val="20"/>
              </w:rPr>
            </w:pPr>
          </w:p>
        </w:tc>
      </w:tr>
      <w:tr w:rsidR="0078467B" w:rsidRPr="005F176B" w14:paraId="7B1973E9" w14:textId="77777777">
        <w:tc>
          <w:tcPr>
            <w:tcW w:w="3539" w:type="dxa"/>
            <w:tcBorders>
              <w:top w:val="single" w:sz="4" w:space="0" w:color="auto"/>
              <w:left w:val="single" w:sz="4" w:space="0" w:color="auto"/>
              <w:bottom w:val="single" w:sz="4" w:space="0" w:color="auto"/>
              <w:right w:val="single" w:sz="4" w:space="0" w:color="auto"/>
            </w:tcBorders>
            <w:hideMark/>
          </w:tcPr>
          <w:p w14:paraId="340946A2" w14:textId="77777777" w:rsidR="0078467B" w:rsidRPr="005F176B" w:rsidRDefault="0078467B">
            <w:pPr>
              <w:pStyle w:val="BodyText"/>
              <w:keepNext/>
              <w:spacing w:before="40" w:after="40"/>
              <w:rPr>
                <w:rFonts w:ascii="Arial Narrow" w:hAnsi="Arial Narrow"/>
                <w:sz w:val="20"/>
                <w:szCs w:val="20"/>
              </w:rPr>
            </w:pPr>
            <w:r w:rsidRPr="005F176B">
              <w:rPr>
                <w:rFonts w:ascii="Arial Narrow" w:hAnsi="Arial Narrow"/>
                <w:sz w:val="20"/>
                <w:szCs w:val="20"/>
              </w:rPr>
              <w:t>Cost per dose in $AUD</w:t>
            </w:r>
          </w:p>
        </w:tc>
        <w:tc>
          <w:tcPr>
            <w:tcW w:w="2065" w:type="dxa"/>
            <w:tcBorders>
              <w:top w:val="single" w:sz="4" w:space="0" w:color="auto"/>
              <w:left w:val="single" w:sz="4" w:space="0" w:color="auto"/>
              <w:bottom w:val="single" w:sz="4" w:space="0" w:color="auto"/>
              <w:right w:val="single" w:sz="4" w:space="0" w:color="auto"/>
            </w:tcBorders>
            <w:hideMark/>
          </w:tcPr>
          <w:p w14:paraId="62E78566"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$14,335</w:t>
            </w:r>
          </w:p>
        </w:tc>
        <w:tc>
          <w:tcPr>
            <w:tcW w:w="2065" w:type="dxa"/>
            <w:tcBorders>
              <w:top w:val="single" w:sz="4" w:space="0" w:color="auto"/>
              <w:left w:val="single" w:sz="4" w:space="0" w:color="auto"/>
              <w:bottom w:val="single" w:sz="4" w:space="0" w:color="auto"/>
              <w:right w:val="single" w:sz="4" w:space="0" w:color="auto"/>
            </w:tcBorders>
            <w:hideMark/>
          </w:tcPr>
          <w:p w14:paraId="66F57E02"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$12,562</w:t>
            </w:r>
          </w:p>
        </w:tc>
        <w:tc>
          <w:tcPr>
            <w:tcW w:w="2066" w:type="dxa"/>
            <w:tcBorders>
              <w:top w:val="single" w:sz="4" w:space="0" w:color="auto"/>
              <w:left w:val="single" w:sz="4" w:space="0" w:color="auto"/>
              <w:bottom w:val="single" w:sz="4" w:space="0" w:color="auto"/>
              <w:right w:val="single" w:sz="4" w:space="0" w:color="auto"/>
            </w:tcBorders>
            <w:hideMark/>
          </w:tcPr>
          <w:p w14:paraId="72EFF867" w14:textId="77777777" w:rsidR="0078467B" w:rsidRPr="005F176B" w:rsidRDefault="0078467B">
            <w:pPr>
              <w:pStyle w:val="BodyText"/>
              <w:keepNext/>
              <w:spacing w:before="40" w:after="40"/>
              <w:jc w:val="center"/>
              <w:rPr>
                <w:rFonts w:ascii="Arial Narrow" w:hAnsi="Arial Narrow"/>
                <w:sz w:val="20"/>
                <w:szCs w:val="20"/>
              </w:rPr>
            </w:pPr>
            <w:r w:rsidRPr="005F176B">
              <w:rPr>
                <w:rFonts w:ascii="Arial Narrow" w:hAnsi="Arial Narrow"/>
                <w:sz w:val="20"/>
                <w:szCs w:val="20"/>
              </w:rPr>
              <w:t>$5,500</w:t>
            </w:r>
          </w:p>
        </w:tc>
      </w:tr>
    </w:tbl>
    <w:p w14:paraId="1A80B273" w14:textId="498642A0" w:rsidR="0078467B" w:rsidRPr="005F176B" w:rsidRDefault="0078467B" w:rsidP="0078467B">
      <w:pPr>
        <w:pStyle w:val="BodyText"/>
        <w:keepNext/>
        <w:spacing w:before="40" w:after="0" w:line="240" w:lineRule="auto"/>
        <w:jc w:val="left"/>
        <w:rPr>
          <w:rFonts w:ascii="Arial Narrow" w:hAnsi="Arial Narrow" w:cs="Calibri"/>
          <w:sz w:val="14"/>
          <w:szCs w:val="14"/>
        </w:rPr>
      </w:pPr>
      <w:r w:rsidRPr="005F176B">
        <w:rPr>
          <w:rFonts w:ascii="Arial Narrow" w:hAnsi="Arial Narrow"/>
          <w:sz w:val="18"/>
          <w:szCs w:val="14"/>
        </w:rPr>
        <w:t xml:space="preserve">Source: Table 4 Quist et al., 2023; </w:t>
      </w:r>
      <w:r w:rsidR="00B130E1" w:rsidRPr="005F176B">
        <w:rPr>
          <w:rFonts w:ascii="Arial Narrow" w:hAnsi="Arial Narrow"/>
          <w:sz w:val="18"/>
          <w:szCs w:val="14"/>
        </w:rPr>
        <w:t>V</w:t>
      </w:r>
      <w:r w:rsidR="00B130E1">
        <w:rPr>
          <w:rFonts w:ascii="Arial Narrow" w:hAnsi="Arial Narrow"/>
          <w:sz w:val="18"/>
          <w:szCs w:val="14"/>
        </w:rPr>
        <w:t>ISION</w:t>
      </w:r>
      <w:r w:rsidR="00B130E1" w:rsidRPr="005F176B">
        <w:rPr>
          <w:rFonts w:ascii="Arial Narrow" w:hAnsi="Arial Narrow"/>
          <w:sz w:val="18"/>
          <w:szCs w:val="14"/>
        </w:rPr>
        <w:t xml:space="preserve"> </w:t>
      </w:r>
      <w:r w:rsidRPr="005F176B">
        <w:rPr>
          <w:rFonts w:ascii="Arial Narrow" w:hAnsi="Arial Narrow"/>
          <w:sz w:val="18"/>
          <w:szCs w:val="14"/>
        </w:rPr>
        <w:t xml:space="preserve">regimen was five 6-weekly injections of 7.4 GBq; SPLASH regimen is four 8-weekly injections of 6.8 GBq..  </w:t>
      </w:r>
    </w:p>
    <w:p w14:paraId="564AA28B" w14:textId="77777777" w:rsidR="0078467B" w:rsidRPr="005F176B" w:rsidRDefault="0078467B" w:rsidP="0078467B">
      <w:pPr>
        <w:pStyle w:val="BodyText"/>
        <w:keepNext/>
        <w:tabs>
          <w:tab w:val="left" w:pos="284"/>
        </w:tabs>
        <w:spacing w:before="40" w:after="0" w:line="240" w:lineRule="auto"/>
        <w:ind w:left="284" w:hanging="284"/>
        <w:jc w:val="left"/>
        <w:rPr>
          <w:rFonts w:ascii="Arial Narrow" w:hAnsi="Arial Narrow"/>
          <w:sz w:val="18"/>
          <w:szCs w:val="14"/>
        </w:rPr>
      </w:pPr>
      <w:r w:rsidRPr="005F176B">
        <w:rPr>
          <w:rFonts w:ascii="Arial Narrow" w:hAnsi="Arial Narrow"/>
          <w:sz w:val="18"/>
          <w:szCs w:val="14"/>
        </w:rPr>
        <w:t>*</w:t>
      </w:r>
      <w:r w:rsidRPr="005F176B">
        <w:rPr>
          <w:rFonts w:ascii="Arial Narrow" w:hAnsi="Arial Narrow"/>
          <w:sz w:val="18"/>
          <w:szCs w:val="14"/>
        </w:rPr>
        <w:tab/>
        <w:t xml:space="preserve">The total costs included the proposed per dose cost, includes $5,500 for preparation of </w:t>
      </w:r>
      <w:r w:rsidRPr="005F176B">
        <w:rPr>
          <w:rFonts w:ascii="Arial Narrow" w:hAnsi="Arial Narrow"/>
          <w:sz w:val="18"/>
          <w:szCs w:val="14"/>
          <w:vertAlign w:val="superscript"/>
        </w:rPr>
        <w:t>177</w:t>
      </w:r>
      <w:r w:rsidRPr="005F176B">
        <w:rPr>
          <w:rFonts w:ascii="Arial Narrow" w:hAnsi="Arial Narrow"/>
          <w:sz w:val="18"/>
          <w:szCs w:val="14"/>
        </w:rPr>
        <w:t xml:space="preserve">Lu-PSMA-i&amp;t plus $2,500 for administration, immediate aftercare, and 24-hour post-therapy SPECT/CT (source, Table 102 of ADAR 1686) and PSMA PET scan. Regimen as nominated in ADAR of 3.63 cycles. </w:t>
      </w:r>
    </w:p>
    <w:p w14:paraId="084A9441" w14:textId="77777777" w:rsidR="0078467B" w:rsidRPr="005F176B" w:rsidRDefault="0078467B" w:rsidP="0078467B">
      <w:pPr>
        <w:pStyle w:val="BodyText"/>
        <w:keepNext/>
        <w:tabs>
          <w:tab w:val="left" w:pos="284"/>
        </w:tabs>
        <w:spacing w:before="40" w:after="0" w:line="240" w:lineRule="auto"/>
        <w:ind w:left="284" w:hanging="284"/>
        <w:jc w:val="left"/>
        <w:rPr>
          <w:rFonts w:ascii="Arial Narrow" w:hAnsi="Arial Narrow"/>
          <w:sz w:val="18"/>
          <w:szCs w:val="14"/>
        </w:rPr>
      </w:pPr>
      <w:r w:rsidRPr="005F176B">
        <w:rPr>
          <w:rFonts w:ascii="Arial Narrow" w:hAnsi="Arial Narrow"/>
          <w:sz w:val="18"/>
          <w:szCs w:val="14"/>
        </w:rPr>
        <w:t>**</w:t>
      </w:r>
      <w:r w:rsidRPr="005F176B">
        <w:rPr>
          <w:rFonts w:ascii="Arial Narrow" w:hAnsi="Arial Narrow"/>
          <w:sz w:val="18"/>
          <w:szCs w:val="14"/>
        </w:rPr>
        <w:tab/>
        <w:t xml:space="preserve">It was reported in ADAR 1686 that the dose per cycle was set at 7.0-8.5 gigabecquerel (GBq). </w:t>
      </w:r>
    </w:p>
    <w:p w14:paraId="3026285A" w14:textId="77777777" w:rsidR="0078467B" w:rsidRPr="005F176B" w:rsidRDefault="0078467B" w:rsidP="0078467B">
      <w:pPr>
        <w:pStyle w:val="BodyText"/>
        <w:keepNext/>
        <w:tabs>
          <w:tab w:val="left" w:pos="284"/>
        </w:tabs>
        <w:spacing w:before="40" w:after="360" w:line="240" w:lineRule="auto"/>
        <w:ind w:left="284" w:hanging="284"/>
        <w:jc w:val="left"/>
        <w:rPr>
          <w:rFonts w:ascii="Arial Narrow" w:hAnsi="Arial Narrow"/>
          <w:sz w:val="18"/>
          <w:szCs w:val="14"/>
        </w:rPr>
      </w:pPr>
      <w:r w:rsidRPr="005F176B">
        <w:rPr>
          <w:rFonts w:ascii="Arial Narrow" w:hAnsi="Arial Narrow"/>
          <w:sz w:val="18"/>
          <w:szCs w:val="14"/>
        </w:rPr>
        <w:t>***</w:t>
      </w:r>
      <w:r w:rsidRPr="005F176B">
        <w:rPr>
          <w:rFonts w:ascii="Arial Narrow" w:hAnsi="Arial Narrow"/>
          <w:sz w:val="18"/>
          <w:szCs w:val="14"/>
        </w:rPr>
        <w:tab/>
        <w:t xml:space="preserve">XE Currency converter accessed 27 March 2023 </w:t>
      </w:r>
      <w:hyperlink r:id="rId16" w:history="1">
        <w:r w:rsidRPr="005F176B">
          <w:rPr>
            <w:rStyle w:val="Hyperlink"/>
            <w:rFonts w:ascii="Arial Narrow" w:hAnsi="Arial Narrow"/>
            <w:color w:val="auto"/>
            <w:sz w:val="18"/>
            <w:szCs w:val="14"/>
          </w:rPr>
          <w:t>https://www.xe.com/currencyconverter/convert/?Amount=35866&amp;From=EUR&amp;To=AUD</w:t>
        </w:r>
      </w:hyperlink>
      <w:r w:rsidRPr="005F176B">
        <w:rPr>
          <w:rFonts w:ascii="Arial Narrow" w:hAnsi="Arial Narrow"/>
          <w:sz w:val="18"/>
          <w:szCs w:val="14"/>
        </w:rPr>
        <w:t xml:space="preserve"> and from USD to AUD</w:t>
      </w:r>
    </w:p>
    <w:p w14:paraId="42E6DB03" w14:textId="52035A35" w:rsidR="0078467B" w:rsidRPr="004E51B7" w:rsidRDefault="0078467B" w:rsidP="0078467B">
      <w:pPr>
        <w:pStyle w:val="BodyText"/>
        <w:jc w:val="left"/>
        <w:rPr>
          <w:rFonts w:ascii="Franklin Gothic Book" w:hAnsi="Franklin Gothic Book"/>
        </w:rPr>
      </w:pPr>
      <w:r w:rsidRPr="004E51B7">
        <w:rPr>
          <w:rFonts w:ascii="Franklin Gothic Book" w:hAnsi="Franklin Gothic Book"/>
        </w:rPr>
        <w:t>The costs of regimens (cost per patient) in the table above are not directly comparable as they are different regimens in terms of number of cycles.  For this reason, the cost per dose (cycle) was presented for comparison, and it appears that the fee requested in the current (and previous) ADAR is markedly lower than that of the pharmacy preparation in the Dutch Study.</w:t>
      </w:r>
    </w:p>
    <w:p w14:paraId="2D6CE585" w14:textId="4DB332EF" w:rsidR="0078467B" w:rsidRDefault="0078467B" w:rsidP="0078467B">
      <w:pPr>
        <w:pStyle w:val="BodyText"/>
        <w:jc w:val="left"/>
        <w:rPr>
          <w:rFonts w:ascii="Franklin Gothic Book" w:hAnsi="Franklin Gothic Book"/>
        </w:rPr>
      </w:pPr>
      <w:r w:rsidRPr="004E51B7">
        <w:rPr>
          <w:rFonts w:ascii="Franklin Gothic Book" w:hAnsi="Franklin Gothic Book"/>
        </w:rPr>
        <w:t xml:space="preserve">The </w:t>
      </w:r>
      <w:r w:rsidR="003158B0">
        <w:rPr>
          <w:rFonts w:ascii="Franklin Gothic Book" w:hAnsi="Franklin Gothic Book"/>
        </w:rPr>
        <w:t>wholesale</w:t>
      </w:r>
      <w:r w:rsidR="003158B0" w:rsidRPr="004E51B7">
        <w:rPr>
          <w:rFonts w:ascii="Franklin Gothic Book" w:hAnsi="Franklin Gothic Book"/>
        </w:rPr>
        <w:t xml:space="preserve"> </w:t>
      </w:r>
      <w:r w:rsidR="003158B0">
        <w:rPr>
          <w:rFonts w:ascii="Franklin Gothic Book" w:hAnsi="Franklin Gothic Book"/>
        </w:rPr>
        <w:t>acquisition cost</w:t>
      </w:r>
      <w:r w:rsidRPr="004E51B7">
        <w:rPr>
          <w:rFonts w:ascii="Franklin Gothic Book" w:hAnsi="Franklin Gothic Book"/>
        </w:rPr>
        <w:t xml:space="preserve"> for </w:t>
      </w:r>
      <w:r w:rsidRPr="005F176B">
        <w:rPr>
          <w:rFonts w:ascii="Franklin Gothic Book" w:hAnsi="Franklin Gothic Book"/>
          <w:vertAlign w:val="superscript"/>
        </w:rPr>
        <w:t>177</w:t>
      </w:r>
      <w:r w:rsidRPr="004E51B7">
        <w:rPr>
          <w:rFonts w:ascii="Franklin Gothic Book" w:hAnsi="Franklin Gothic Book"/>
        </w:rPr>
        <w:t>Lu</w:t>
      </w:r>
      <w:r>
        <w:rPr>
          <w:rFonts w:ascii="Franklin Gothic Book" w:hAnsi="Franklin Gothic Book"/>
        </w:rPr>
        <w:t> </w:t>
      </w:r>
      <w:r w:rsidRPr="004E51B7">
        <w:rPr>
          <w:rFonts w:ascii="Franklin Gothic Book" w:hAnsi="Franklin Gothic Book"/>
        </w:rPr>
        <w:t>PSMA</w:t>
      </w:r>
      <w:r>
        <w:rPr>
          <w:rFonts w:ascii="Franklin Gothic Book" w:hAnsi="Franklin Gothic Book"/>
        </w:rPr>
        <w:t> </w:t>
      </w:r>
      <w:r w:rsidRPr="004E51B7">
        <w:rPr>
          <w:rFonts w:ascii="Franklin Gothic Book" w:hAnsi="Franklin Gothic Book"/>
        </w:rPr>
        <w:t xml:space="preserve">617 are quoted as US$42,500 per </w:t>
      </w:r>
      <w:r w:rsidR="003158B0">
        <w:rPr>
          <w:rFonts w:ascii="Franklin Gothic Book" w:hAnsi="Franklin Gothic Book"/>
        </w:rPr>
        <w:t>dose</w:t>
      </w:r>
      <w:r w:rsidR="003158B0">
        <w:rPr>
          <w:rStyle w:val="FootnoteReference"/>
          <w:rFonts w:ascii="Franklin Gothic Book" w:hAnsi="Franklin Gothic Book"/>
        </w:rPr>
        <w:footnoteReference w:id="11"/>
      </w:r>
      <w:r w:rsidRPr="004E51B7">
        <w:rPr>
          <w:rFonts w:ascii="Franklin Gothic Book" w:hAnsi="Franklin Gothic Book"/>
        </w:rPr>
        <w:t xml:space="preserve"> (AUD$63,168), capped at six doses administered 6 weeks apart, leading to a maximum cost per patient of 6 cycles=~US$255K, (AUD~$384K). Cost of administration and selection with PSMA PET/CT would </w:t>
      </w:r>
      <w:r>
        <w:rPr>
          <w:rFonts w:ascii="Franklin Gothic Book" w:hAnsi="Franklin Gothic Book"/>
        </w:rPr>
        <w:t xml:space="preserve">also </w:t>
      </w:r>
      <w:r w:rsidRPr="004E51B7">
        <w:rPr>
          <w:rFonts w:ascii="Franklin Gothic Book" w:hAnsi="Franklin Gothic Book"/>
        </w:rPr>
        <w:t>need to be added.</w:t>
      </w:r>
    </w:p>
    <w:p w14:paraId="4841ED54" w14:textId="46B81F45" w:rsidR="00C22786" w:rsidRPr="00295AD6" w:rsidRDefault="00C22786" w:rsidP="00C22786">
      <w:pPr>
        <w:spacing w:after="0"/>
        <w:rPr>
          <w:b/>
          <w:bCs/>
          <w:lang w:val="en-US"/>
        </w:rPr>
      </w:pPr>
      <w:r w:rsidRPr="00242718">
        <w:rPr>
          <w:b/>
          <w:bCs/>
          <w:lang w:val="en-US"/>
        </w:rPr>
        <w:t>Addendum to the FFP DCAR</w:t>
      </w:r>
    </w:p>
    <w:p w14:paraId="2AB9A01D" w14:textId="3A2839D5" w:rsidR="008D0C3A" w:rsidRDefault="00BE702A" w:rsidP="008D0C3A">
      <w:pPr>
        <w:spacing w:after="0" w:line="240" w:lineRule="auto"/>
        <w:rPr>
          <w:lang w:val="en-US"/>
        </w:rPr>
      </w:pPr>
      <w:r>
        <w:rPr>
          <w:lang w:val="en-US"/>
        </w:rPr>
        <w:t>In response to the ESC</w:t>
      </w:r>
      <w:r w:rsidR="00E27F0E">
        <w:rPr>
          <w:lang w:val="en-US"/>
        </w:rPr>
        <w:t xml:space="preserve"> request for additional modelling</w:t>
      </w:r>
      <w:r w:rsidR="00AC2FA9">
        <w:rPr>
          <w:lang w:val="en-US"/>
        </w:rPr>
        <w:t xml:space="preserve"> </w:t>
      </w:r>
      <w:r w:rsidR="00AC2FA9">
        <w:t>with respect to treatment cost based on two limit cases (minimum and maximum discontinuations).</w:t>
      </w:r>
      <w:r w:rsidR="008A2C1E">
        <w:rPr>
          <w:lang w:val="en-US"/>
        </w:rPr>
        <w:t xml:space="preserve"> (see Section 1</w:t>
      </w:r>
      <w:r w:rsidR="00AC2FA9">
        <w:rPr>
          <w:lang w:val="en-US"/>
        </w:rPr>
        <w:t>6. Key issues from ESC to MSAC)</w:t>
      </w:r>
      <w:r w:rsidR="008B0D81">
        <w:rPr>
          <w:lang w:val="en-US"/>
        </w:rPr>
        <w:t xml:space="preserve">, the </w:t>
      </w:r>
      <w:r w:rsidR="00A0624E">
        <w:rPr>
          <w:lang w:val="en-US"/>
        </w:rPr>
        <w:t>assessment group</w:t>
      </w:r>
      <w:r w:rsidR="00251E0D">
        <w:rPr>
          <w:lang w:val="en-US"/>
        </w:rPr>
        <w:t xml:space="preserve"> </w:t>
      </w:r>
      <w:r w:rsidR="000843E2">
        <w:rPr>
          <w:lang w:val="en-US"/>
        </w:rPr>
        <w:t xml:space="preserve">conducted further </w:t>
      </w:r>
      <w:r w:rsidR="008D0C3A" w:rsidRPr="007C4966">
        <w:rPr>
          <w:lang w:val="en-US"/>
        </w:rPr>
        <w:t>scenarios testing differing clinical rules for progression</w:t>
      </w:r>
      <w:r w:rsidR="008A2C1E">
        <w:rPr>
          <w:lang w:val="en-US"/>
        </w:rPr>
        <w:t xml:space="preserve"> (</w:t>
      </w:r>
      <w:r w:rsidR="008B654B" w:rsidRPr="008B654B">
        <w:rPr>
          <w:lang w:val="en-US"/>
        </w:rPr>
        <w:fldChar w:fldCharType="begin"/>
      </w:r>
      <w:r w:rsidR="008B654B" w:rsidRPr="008B654B">
        <w:rPr>
          <w:lang w:val="en-US"/>
        </w:rPr>
        <w:instrText xml:space="preserve"> REF _Ref164161626 \h  \* MERGEFORMAT </w:instrText>
      </w:r>
      <w:r w:rsidR="008B654B" w:rsidRPr="008B654B">
        <w:rPr>
          <w:lang w:val="en-US"/>
        </w:rPr>
      </w:r>
      <w:r w:rsidR="008B654B" w:rsidRPr="008B654B">
        <w:rPr>
          <w:lang w:val="en-US"/>
        </w:rPr>
        <w:fldChar w:fldCharType="separate"/>
      </w:r>
      <w:r w:rsidR="00BF6F93" w:rsidRPr="00D71CB6">
        <w:rPr>
          <w:lang w:val="en-US"/>
        </w:rPr>
        <w:t xml:space="preserve">Table </w:t>
      </w:r>
      <w:r w:rsidR="00BF6F93" w:rsidRPr="00D71CB6">
        <w:rPr>
          <w:noProof/>
          <w:lang w:val="en-US"/>
        </w:rPr>
        <w:t>13</w:t>
      </w:r>
      <w:r w:rsidR="008B654B" w:rsidRPr="008B654B">
        <w:rPr>
          <w:lang w:val="en-US"/>
        </w:rPr>
        <w:fldChar w:fldCharType="end"/>
      </w:r>
      <w:r w:rsidR="008A2C1E">
        <w:rPr>
          <w:lang w:val="en-US"/>
        </w:rPr>
        <w:t>)</w:t>
      </w:r>
      <w:r w:rsidR="00A6386F">
        <w:rPr>
          <w:lang w:val="en-US"/>
        </w:rPr>
        <w:t>.</w:t>
      </w:r>
    </w:p>
    <w:p w14:paraId="2E40371A" w14:textId="7BD08620" w:rsidR="008D0C3A" w:rsidRPr="00D967BB" w:rsidRDefault="008D0C3A" w:rsidP="008D0C3A">
      <w:pPr>
        <w:keepNext/>
        <w:spacing w:after="0"/>
        <w:rPr>
          <w:rFonts w:ascii="Arial Narrow" w:hAnsi="Arial Narrow"/>
          <w:b/>
          <w:bCs/>
          <w:sz w:val="20"/>
          <w:szCs w:val="20"/>
          <w:lang w:val="en-US"/>
        </w:rPr>
      </w:pPr>
      <w:bookmarkStart w:id="44" w:name="_Ref164161626"/>
      <w:r w:rsidRPr="00662CF7">
        <w:rPr>
          <w:rFonts w:ascii="Arial Narrow" w:hAnsi="Arial Narrow"/>
          <w:b/>
          <w:bCs/>
          <w:sz w:val="20"/>
          <w:szCs w:val="20"/>
          <w:lang w:val="en-US"/>
        </w:rPr>
        <w:lastRenderedPageBreak/>
        <w:t xml:space="preserve">Table </w:t>
      </w:r>
      <w:r w:rsidRPr="00662CF7">
        <w:rPr>
          <w:rFonts w:ascii="Arial Narrow" w:hAnsi="Arial Narrow"/>
          <w:b/>
          <w:bCs/>
          <w:sz w:val="20"/>
          <w:szCs w:val="20"/>
          <w:lang w:val="en-US"/>
        </w:rPr>
        <w:fldChar w:fldCharType="begin"/>
      </w:r>
      <w:r w:rsidRPr="00662CF7">
        <w:rPr>
          <w:rFonts w:ascii="Arial Narrow" w:hAnsi="Arial Narrow"/>
          <w:b/>
          <w:bCs/>
          <w:sz w:val="20"/>
          <w:szCs w:val="20"/>
          <w:lang w:val="en-US"/>
        </w:rPr>
        <w:instrText xml:space="preserve"> SEQ Table \* ARABIC </w:instrText>
      </w:r>
      <w:r w:rsidRPr="00662CF7">
        <w:rPr>
          <w:rFonts w:ascii="Arial Narrow" w:hAnsi="Arial Narrow"/>
          <w:b/>
          <w:bCs/>
          <w:sz w:val="20"/>
          <w:szCs w:val="20"/>
          <w:lang w:val="en-US"/>
        </w:rPr>
        <w:fldChar w:fldCharType="separate"/>
      </w:r>
      <w:r w:rsidR="00BF6F93">
        <w:rPr>
          <w:rFonts w:ascii="Arial Narrow" w:hAnsi="Arial Narrow"/>
          <w:b/>
          <w:bCs/>
          <w:noProof/>
          <w:sz w:val="20"/>
          <w:szCs w:val="20"/>
          <w:lang w:val="en-US"/>
        </w:rPr>
        <w:t>13</w:t>
      </w:r>
      <w:r w:rsidRPr="00662CF7">
        <w:rPr>
          <w:rFonts w:ascii="Arial Narrow" w:hAnsi="Arial Narrow"/>
          <w:b/>
          <w:bCs/>
          <w:sz w:val="20"/>
          <w:szCs w:val="20"/>
          <w:lang w:val="en-US"/>
        </w:rPr>
        <w:fldChar w:fldCharType="end"/>
      </w:r>
      <w:bookmarkEnd w:id="44"/>
      <w:r>
        <w:rPr>
          <w:rFonts w:ascii="Arial Narrow" w:hAnsi="Arial Narrow"/>
          <w:b/>
          <w:bCs/>
          <w:sz w:val="20"/>
          <w:szCs w:val="20"/>
          <w:lang w:val="en-US"/>
        </w:rPr>
        <w:t xml:space="preserve">: </w:t>
      </w:r>
      <w:r w:rsidRPr="00D967BB">
        <w:rPr>
          <w:rFonts w:ascii="Arial Narrow" w:hAnsi="Arial Narrow"/>
          <w:b/>
          <w:bCs/>
          <w:sz w:val="20"/>
          <w:szCs w:val="20"/>
          <w:lang w:val="en-US"/>
        </w:rPr>
        <w:t>Results from the</w:t>
      </w:r>
      <w:r w:rsidR="008B654B">
        <w:rPr>
          <w:rFonts w:ascii="Arial Narrow" w:hAnsi="Arial Narrow"/>
          <w:b/>
          <w:bCs/>
          <w:sz w:val="20"/>
          <w:szCs w:val="20"/>
          <w:lang w:val="en-US"/>
        </w:rPr>
        <w:t xml:space="preserve"> </w:t>
      </w:r>
      <w:r w:rsidRPr="00D967BB">
        <w:rPr>
          <w:rFonts w:ascii="Arial Narrow" w:hAnsi="Arial Narrow"/>
          <w:b/>
          <w:bCs/>
          <w:sz w:val="20"/>
          <w:szCs w:val="20"/>
          <w:lang w:val="en-US"/>
        </w:rPr>
        <w:t>MSAC 1686 original model with relevant updates</w:t>
      </w:r>
      <w:r w:rsidR="008B654B">
        <w:rPr>
          <w:rFonts w:ascii="Arial Narrow" w:hAnsi="Arial Narrow"/>
          <w:b/>
          <w:bCs/>
          <w:sz w:val="20"/>
          <w:szCs w:val="20"/>
          <w:lang w:val="en-US"/>
        </w:rPr>
        <w:t>- Addendum</w:t>
      </w:r>
    </w:p>
    <w:tbl>
      <w:tblPr>
        <w:tblStyle w:val="TableGrid"/>
        <w:tblW w:w="5000" w:type="pct"/>
        <w:tblCellMar>
          <w:left w:w="28" w:type="dxa"/>
          <w:right w:w="28" w:type="dxa"/>
        </w:tblCellMar>
        <w:tblLook w:val="04A0" w:firstRow="1" w:lastRow="0" w:firstColumn="1" w:lastColumn="0" w:noHBand="0" w:noVBand="1"/>
      </w:tblPr>
      <w:tblGrid>
        <w:gridCol w:w="420"/>
        <w:gridCol w:w="1917"/>
        <w:gridCol w:w="1287"/>
        <w:gridCol w:w="1219"/>
        <w:gridCol w:w="1369"/>
        <w:gridCol w:w="1349"/>
        <w:gridCol w:w="1455"/>
      </w:tblGrid>
      <w:tr w:rsidR="008D0C3A" w:rsidRPr="006B0414" w14:paraId="5AF986A4" w14:textId="77777777">
        <w:tc>
          <w:tcPr>
            <w:tcW w:w="1296" w:type="pct"/>
            <w:gridSpan w:val="2"/>
            <w:vAlign w:val="center"/>
          </w:tcPr>
          <w:p w14:paraId="708EAD9E" w14:textId="77777777" w:rsidR="008D0C3A" w:rsidRPr="006B0414" w:rsidRDefault="008D0C3A">
            <w:pPr>
              <w:pStyle w:val="TableText"/>
              <w:keepNext/>
              <w:spacing w:before="0" w:after="0"/>
              <w:rPr>
                <w:b/>
                <w:bCs/>
                <w:szCs w:val="20"/>
              </w:rPr>
            </w:pPr>
            <w:r>
              <w:rPr>
                <w:b/>
                <w:bCs/>
                <w:szCs w:val="20"/>
              </w:rPr>
              <w:t>Step</w:t>
            </w:r>
          </w:p>
        </w:tc>
        <w:tc>
          <w:tcPr>
            <w:tcW w:w="714" w:type="pct"/>
            <w:vAlign w:val="center"/>
          </w:tcPr>
          <w:p w14:paraId="2CA78A0D" w14:textId="77777777" w:rsidR="008D0C3A" w:rsidRPr="006B0414" w:rsidRDefault="008D0C3A">
            <w:pPr>
              <w:pStyle w:val="TableText"/>
              <w:keepNext/>
              <w:spacing w:before="0" w:after="0"/>
              <w:jc w:val="center"/>
              <w:rPr>
                <w:b/>
                <w:bCs/>
                <w:szCs w:val="20"/>
              </w:rPr>
            </w:pPr>
            <w:r w:rsidRPr="006B0414">
              <w:rPr>
                <w:b/>
                <w:bCs/>
                <w:szCs w:val="20"/>
              </w:rPr>
              <w:t>Cost</w:t>
            </w:r>
          </w:p>
        </w:tc>
        <w:tc>
          <w:tcPr>
            <w:tcW w:w="676" w:type="pct"/>
            <w:vAlign w:val="center"/>
          </w:tcPr>
          <w:p w14:paraId="3267CDBF" w14:textId="77777777" w:rsidR="008D0C3A" w:rsidRPr="006B0414" w:rsidRDefault="008D0C3A">
            <w:pPr>
              <w:pStyle w:val="TableText"/>
              <w:keepNext/>
              <w:spacing w:before="0" w:after="0"/>
              <w:jc w:val="center"/>
              <w:rPr>
                <w:b/>
                <w:bCs/>
                <w:szCs w:val="20"/>
              </w:rPr>
            </w:pPr>
            <w:r w:rsidRPr="006B0414">
              <w:rPr>
                <w:b/>
                <w:bCs/>
                <w:szCs w:val="20"/>
              </w:rPr>
              <w:t>Incremental cost</w:t>
            </w:r>
          </w:p>
        </w:tc>
        <w:tc>
          <w:tcPr>
            <w:tcW w:w="759" w:type="pct"/>
            <w:vAlign w:val="center"/>
          </w:tcPr>
          <w:p w14:paraId="534CD4A1" w14:textId="77777777" w:rsidR="008D0C3A" w:rsidRPr="006B0414" w:rsidRDefault="008D0C3A">
            <w:pPr>
              <w:pStyle w:val="TableText"/>
              <w:keepNext/>
              <w:spacing w:before="0" w:after="0"/>
              <w:jc w:val="center"/>
              <w:rPr>
                <w:b/>
                <w:bCs/>
                <w:szCs w:val="20"/>
              </w:rPr>
            </w:pPr>
            <w:r w:rsidRPr="006B0414">
              <w:rPr>
                <w:b/>
                <w:bCs/>
                <w:szCs w:val="20"/>
              </w:rPr>
              <w:t>Effectiveness (QALYs)</w:t>
            </w:r>
          </w:p>
        </w:tc>
        <w:tc>
          <w:tcPr>
            <w:tcW w:w="748" w:type="pct"/>
            <w:vAlign w:val="center"/>
          </w:tcPr>
          <w:p w14:paraId="4585FFD3" w14:textId="77777777" w:rsidR="008D0C3A" w:rsidRPr="006B0414" w:rsidRDefault="008D0C3A">
            <w:pPr>
              <w:pStyle w:val="TableText"/>
              <w:keepNext/>
              <w:spacing w:before="0" w:after="0"/>
              <w:jc w:val="center"/>
              <w:rPr>
                <w:b/>
                <w:bCs/>
                <w:szCs w:val="20"/>
              </w:rPr>
            </w:pPr>
            <w:r w:rsidRPr="006B0414">
              <w:rPr>
                <w:b/>
                <w:bCs/>
                <w:szCs w:val="20"/>
              </w:rPr>
              <w:t>Incremental effectiveness (QALYs)</w:t>
            </w:r>
          </w:p>
        </w:tc>
        <w:tc>
          <w:tcPr>
            <w:tcW w:w="807" w:type="pct"/>
            <w:vAlign w:val="center"/>
          </w:tcPr>
          <w:p w14:paraId="40B42B9A" w14:textId="77777777" w:rsidR="008D0C3A" w:rsidRPr="006B0414" w:rsidRDefault="008D0C3A">
            <w:pPr>
              <w:pStyle w:val="TableText"/>
              <w:keepNext/>
              <w:spacing w:before="0" w:after="0"/>
              <w:jc w:val="center"/>
              <w:rPr>
                <w:b/>
                <w:bCs/>
                <w:szCs w:val="20"/>
              </w:rPr>
            </w:pPr>
            <w:r w:rsidRPr="006B0414">
              <w:rPr>
                <w:b/>
                <w:bCs/>
                <w:szCs w:val="20"/>
              </w:rPr>
              <w:t>ICER ($/QALY)</w:t>
            </w:r>
          </w:p>
        </w:tc>
      </w:tr>
      <w:tr w:rsidR="008D0C3A" w:rsidRPr="006B0414" w14:paraId="7A4352E5" w14:textId="77777777">
        <w:tc>
          <w:tcPr>
            <w:tcW w:w="233" w:type="pct"/>
            <w:vMerge w:val="restart"/>
            <w:vAlign w:val="center"/>
          </w:tcPr>
          <w:p w14:paraId="31AF174C" w14:textId="77777777" w:rsidR="008D0C3A" w:rsidRPr="006B0414" w:rsidRDefault="008D0C3A">
            <w:pPr>
              <w:pStyle w:val="TableText"/>
              <w:keepNext/>
              <w:spacing w:before="0" w:after="0"/>
              <w:jc w:val="center"/>
              <w:rPr>
                <w:szCs w:val="20"/>
              </w:rPr>
            </w:pPr>
            <w:r w:rsidRPr="006B0414">
              <w:rPr>
                <w:szCs w:val="20"/>
              </w:rPr>
              <w:t>A</w:t>
            </w:r>
          </w:p>
        </w:tc>
        <w:tc>
          <w:tcPr>
            <w:tcW w:w="4767" w:type="pct"/>
            <w:gridSpan w:val="6"/>
          </w:tcPr>
          <w:p w14:paraId="251D90A8" w14:textId="77777777" w:rsidR="008D0C3A" w:rsidRPr="006B0414" w:rsidRDefault="008D0C3A">
            <w:pPr>
              <w:pStyle w:val="TableText"/>
              <w:keepNext/>
              <w:spacing w:before="0" w:after="0"/>
              <w:rPr>
                <w:szCs w:val="20"/>
              </w:rPr>
            </w:pPr>
            <w:r w:rsidRPr="006B0414">
              <w:rPr>
                <w:szCs w:val="20"/>
              </w:rPr>
              <w:t>Original model</w:t>
            </w:r>
            <w:r>
              <w:rPr>
                <w:szCs w:val="20"/>
              </w:rPr>
              <w:t xml:space="preserve">, as presented in the </w:t>
            </w:r>
            <w:r w:rsidRPr="006B0414">
              <w:rPr>
                <w:szCs w:val="20"/>
              </w:rPr>
              <w:t xml:space="preserve">MSAC </w:t>
            </w:r>
            <w:r w:rsidRPr="00662CF7">
              <w:rPr>
                <w:szCs w:val="20"/>
              </w:rPr>
              <w:t>1686 PSD</w:t>
            </w:r>
            <w:r>
              <w:rPr>
                <w:szCs w:val="20"/>
              </w:rPr>
              <w:t>. Please note that the costs and incremental costs reported in Table 10 of the MSAC 1686 PSD are incorrect for the estimate of the ICER per QALY. The correct costs for each treatment and incremental costs are shown below and are consistent with the costs and incremental costs reported in Table 10 of the MSAC 1686 PSD for the estimate of the ICER per LY.</w:t>
            </w:r>
          </w:p>
        </w:tc>
      </w:tr>
      <w:tr w:rsidR="008D0C3A" w:rsidRPr="006B0414" w14:paraId="4810BB8A" w14:textId="77777777">
        <w:tc>
          <w:tcPr>
            <w:tcW w:w="233" w:type="pct"/>
            <w:vMerge/>
            <w:vAlign w:val="center"/>
          </w:tcPr>
          <w:p w14:paraId="03D0218B" w14:textId="77777777" w:rsidR="008D0C3A" w:rsidRPr="006B0414" w:rsidRDefault="008D0C3A">
            <w:pPr>
              <w:pStyle w:val="TableText"/>
              <w:keepNext/>
              <w:spacing w:before="0" w:after="0"/>
              <w:jc w:val="center"/>
              <w:rPr>
                <w:szCs w:val="20"/>
                <w:vertAlign w:val="superscript"/>
              </w:rPr>
            </w:pPr>
          </w:p>
        </w:tc>
        <w:tc>
          <w:tcPr>
            <w:tcW w:w="1063" w:type="pct"/>
          </w:tcPr>
          <w:p w14:paraId="62A378D5" w14:textId="77777777" w:rsidR="008D0C3A" w:rsidRPr="006B0414" w:rsidRDefault="008D0C3A">
            <w:pPr>
              <w:pStyle w:val="TableText"/>
              <w:keepNext/>
              <w:spacing w:before="0" w:after="0"/>
              <w:rPr>
                <w:szCs w:val="20"/>
              </w:rPr>
            </w:pPr>
            <w:r w:rsidRPr="006B0414">
              <w:rPr>
                <w:szCs w:val="20"/>
                <w:vertAlign w:val="superscript"/>
              </w:rPr>
              <w:t>177</w:t>
            </w:r>
            <w:r w:rsidRPr="006B0414">
              <w:rPr>
                <w:szCs w:val="20"/>
              </w:rPr>
              <w:t>Lu PSMA i&amp;t</w:t>
            </w:r>
          </w:p>
        </w:tc>
        <w:tc>
          <w:tcPr>
            <w:tcW w:w="714" w:type="pct"/>
            <w:vAlign w:val="center"/>
          </w:tcPr>
          <w:p w14:paraId="345F6B15" w14:textId="77777777" w:rsidR="008D0C3A" w:rsidRPr="006B0414" w:rsidRDefault="008D0C3A">
            <w:pPr>
              <w:pStyle w:val="TableText"/>
              <w:keepNext/>
              <w:spacing w:before="0" w:after="0"/>
              <w:jc w:val="center"/>
              <w:rPr>
                <w:szCs w:val="20"/>
              </w:rPr>
            </w:pPr>
            <w:r w:rsidRPr="006B0414">
              <w:rPr>
                <w:szCs w:val="20"/>
              </w:rPr>
              <w:t>$74,380</w:t>
            </w:r>
          </w:p>
        </w:tc>
        <w:tc>
          <w:tcPr>
            <w:tcW w:w="676" w:type="pct"/>
            <w:vMerge w:val="restart"/>
            <w:vAlign w:val="center"/>
          </w:tcPr>
          <w:p w14:paraId="4B9BC717" w14:textId="77777777" w:rsidR="008D0C3A" w:rsidRPr="006B0414" w:rsidRDefault="008D0C3A">
            <w:pPr>
              <w:pStyle w:val="TableText"/>
              <w:keepNext/>
              <w:spacing w:before="0" w:after="0"/>
              <w:jc w:val="center"/>
              <w:rPr>
                <w:szCs w:val="20"/>
              </w:rPr>
            </w:pPr>
            <w:r w:rsidRPr="006B0414">
              <w:rPr>
                <w:szCs w:val="20"/>
              </w:rPr>
              <w:t>$28,799</w:t>
            </w:r>
          </w:p>
        </w:tc>
        <w:tc>
          <w:tcPr>
            <w:tcW w:w="759" w:type="pct"/>
            <w:vAlign w:val="center"/>
          </w:tcPr>
          <w:p w14:paraId="32319B9E" w14:textId="77777777" w:rsidR="008D0C3A" w:rsidRPr="006B0414" w:rsidRDefault="008D0C3A">
            <w:pPr>
              <w:pStyle w:val="TableText"/>
              <w:keepNext/>
              <w:spacing w:before="0" w:after="0"/>
              <w:jc w:val="center"/>
              <w:rPr>
                <w:szCs w:val="20"/>
              </w:rPr>
            </w:pPr>
            <w:r w:rsidRPr="006B0414">
              <w:rPr>
                <w:szCs w:val="20"/>
              </w:rPr>
              <w:t>1.118</w:t>
            </w:r>
          </w:p>
        </w:tc>
        <w:tc>
          <w:tcPr>
            <w:tcW w:w="748" w:type="pct"/>
            <w:vMerge w:val="restart"/>
            <w:vAlign w:val="center"/>
          </w:tcPr>
          <w:p w14:paraId="342BC335" w14:textId="77777777" w:rsidR="008D0C3A" w:rsidRPr="006B0414" w:rsidRDefault="008D0C3A">
            <w:pPr>
              <w:pStyle w:val="TableText"/>
              <w:keepNext/>
              <w:spacing w:before="0" w:after="0"/>
              <w:jc w:val="center"/>
              <w:rPr>
                <w:szCs w:val="20"/>
              </w:rPr>
            </w:pPr>
            <w:r w:rsidRPr="006B0414">
              <w:rPr>
                <w:szCs w:val="20"/>
              </w:rPr>
              <w:t>0.353</w:t>
            </w:r>
          </w:p>
        </w:tc>
        <w:tc>
          <w:tcPr>
            <w:tcW w:w="807" w:type="pct"/>
            <w:vMerge w:val="restart"/>
            <w:vAlign w:val="center"/>
          </w:tcPr>
          <w:p w14:paraId="0DEC94AF" w14:textId="77777777" w:rsidR="008D0C3A" w:rsidRPr="006B0414" w:rsidRDefault="008D0C3A">
            <w:pPr>
              <w:pStyle w:val="TableText"/>
              <w:keepNext/>
              <w:spacing w:before="0" w:after="0"/>
              <w:jc w:val="center"/>
              <w:rPr>
                <w:szCs w:val="20"/>
              </w:rPr>
            </w:pPr>
            <w:r w:rsidRPr="006B0414">
              <w:rPr>
                <w:szCs w:val="20"/>
              </w:rPr>
              <w:t>$81</w:t>
            </w:r>
            <w:r>
              <w:rPr>
                <w:szCs w:val="20"/>
              </w:rPr>
              <w:t>,</w:t>
            </w:r>
            <w:r w:rsidRPr="006B0414">
              <w:rPr>
                <w:szCs w:val="20"/>
              </w:rPr>
              <w:t>653</w:t>
            </w:r>
          </w:p>
        </w:tc>
      </w:tr>
      <w:tr w:rsidR="008D0C3A" w:rsidRPr="006B0414" w14:paraId="493FC14C" w14:textId="77777777">
        <w:tc>
          <w:tcPr>
            <w:tcW w:w="233" w:type="pct"/>
            <w:vMerge/>
            <w:vAlign w:val="center"/>
          </w:tcPr>
          <w:p w14:paraId="44F77F4A" w14:textId="77777777" w:rsidR="008D0C3A" w:rsidRPr="006B0414" w:rsidRDefault="008D0C3A">
            <w:pPr>
              <w:pStyle w:val="TableText"/>
              <w:keepNext/>
              <w:spacing w:before="0" w:after="0"/>
              <w:jc w:val="center"/>
              <w:rPr>
                <w:szCs w:val="20"/>
              </w:rPr>
            </w:pPr>
          </w:p>
        </w:tc>
        <w:tc>
          <w:tcPr>
            <w:tcW w:w="1063" w:type="pct"/>
          </w:tcPr>
          <w:p w14:paraId="65DB11C6" w14:textId="77777777" w:rsidR="008D0C3A" w:rsidRPr="006B0414" w:rsidRDefault="008D0C3A">
            <w:pPr>
              <w:pStyle w:val="TableText"/>
              <w:keepNext/>
              <w:spacing w:before="0" w:after="0"/>
              <w:rPr>
                <w:szCs w:val="20"/>
              </w:rPr>
            </w:pPr>
            <w:r w:rsidRPr="006B0414">
              <w:rPr>
                <w:szCs w:val="20"/>
              </w:rPr>
              <w:t>Cabazitaxel/BSC</w:t>
            </w:r>
          </w:p>
        </w:tc>
        <w:tc>
          <w:tcPr>
            <w:tcW w:w="714" w:type="pct"/>
          </w:tcPr>
          <w:p w14:paraId="2045B53E" w14:textId="77777777" w:rsidR="008D0C3A" w:rsidRPr="006B0414" w:rsidRDefault="008D0C3A">
            <w:pPr>
              <w:pStyle w:val="TableText"/>
              <w:keepNext/>
              <w:spacing w:before="0" w:after="0"/>
              <w:jc w:val="center"/>
              <w:rPr>
                <w:szCs w:val="20"/>
              </w:rPr>
            </w:pPr>
            <w:r w:rsidRPr="006B0414">
              <w:rPr>
                <w:szCs w:val="20"/>
              </w:rPr>
              <w:t>$45,581</w:t>
            </w:r>
          </w:p>
        </w:tc>
        <w:tc>
          <w:tcPr>
            <w:tcW w:w="676" w:type="pct"/>
            <w:vMerge/>
          </w:tcPr>
          <w:p w14:paraId="2D46DCF9" w14:textId="77777777" w:rsidR="008D0C3A" w:rsidRPr="006B0414" w:rsidRDefault="008D0C3A">
            <w:pPr>
              <w:pStyle w:val="TableText"/>
              <w:keepNext/>
              <w:spacing w:before="0" w:after="0"/>
              <w:jc w:val="center"/>
              <w:rPr>
                <w:szCs w:val="20"/>
              </w:rPr>
            </w:pPr>
          </w:p>
        </w:tc>
        <w:tc>
          <w:tcPr>
            <w:tcW w:w="759" w:type="pct"/>
          </w:tcPr>
          <w:p w14:paraId="129800F2" w14:textId="77777777" w:rsidR="008D0C3A" w:rsidRPr="006B0414" w:rsidRDefault="008D0C3A">
            <w:pPr>
              <w:pStyle w:val="TableText"/>
              <w:keepNext/>
              <w:spacing w:before="0" w:after="0"/>
              <w:jc w:val="center"/>
              <w:rPr>
                <w:szCs w:val="20"/>
              </w:rPr>
            </w:pPr>
            <w:r w:rsidRPr="006B0414">
              <w:rPr>
                <w:szCs w:val="20"/>
              </w:rPr>
              <w:t>0.765</w:t>
            </w:r>
          </w:p>
        </w:tc>
        <w:tc>
          <w:tcPr>
            <w:tcW w:w="748" w:type="pct"/>
            <w:vMerge/>
          </w:tcPr>
          <w:p w14:paraId="6C68F823" w14:textId="77777777" w:rsidR="008D0C3A" w:rsidRPr="006B0414" w:rsidRDefault="008D0C3A">
            <w:pPr>
              <w:pStyle w:val="TableText"/>
              <w:keepNext/>
              <w:spacing w:before="0" w:after="0"/>
              <w:jc w:val="center"/>
              <w:rPr>
                <w:szCs w:val="20"/>
              </w:rPr>
            </w:pPr>
          </w:p>
        </w:tc>
        <w:tc>
          <w:tcPr>
            <w:tcW w:w="807" w:type="pct"/>
            <w:vMerge/>
          </w:tcPr>
          <w:p w14:paraId="120447B6" w14:textId="77777777" w:rsidR="008D0C3A" w:rsidRPr="006B0414" w:rsidRDefault="008D0C3A">
            <w:pPr>
              <w:pStyle w:val="TableText"/>
              <w:keepNext/>
              <w:spacing w:before="0" w:after="0"/>
              <w:jc w:val="center"/>
              <w:rPr>
                <w:szCs w:val="20"/>
              </w:rPr>
            </w:pPr>
          </w:p>
        </w:tc>
      </w:tr>
      <w:tr w:rsidR="008D0C3A" w:rsidRPr="006B0414" w14:paraId="2E2D09A6" w14:textId="77777777">
        <w:tc>
          <w:tcPr>
            <w:tcW w:w="233" w:type="pct"/>
            <w:vMerge w:val="restart"/>
            <w:vAlign w:val="center"/>
          </w:tcPr>
          <w:p w14:paraId="2DE75295" w14:textId="77777777" w:rsidR="008D0C3A" w:rsidRPr="006B0414" w:rsidRDefault="008D0C3A">
            <w:pPr>
              <w:pStyle w:val="TableText"/>
              <w:keepNext/>
              <w:spacing w:before="0" w:after="0"/>
              <w:jc w:val="center"/>
              <w:rPr>
                <w:szCs w:val="20"/>
              </w:rPr>
            </w:pPr>
            <w:r w:rsidRPr="006B0414">
              <w:rPr>
                <w:szCs w:val="20"/>
              </w:rPr>
              <w:t>B</w:t>
            </w:r>
          </w:p>
        </w:tc>
        <w:tc>
          <w:tcPr>
            <w:tcW w:w="4767" w:type="pct"/>
            <w:gridSpan w:val="6"/>
            <w:vAlign w:val="center"/>
          </w:tcPr>
          <w:p w14:paraId="1E57ED08" w14:textId="13C879D7" w:rsidR="008D0C3A" w:rsidRPr="006B0414" w:rsidRDefault="008D0C3A">
            <w:pPr>
              <w:pStyle w:val="TableText"/>
              <w:keepNext/>
              <w:spacing w:before="0" w:after="0"/>
              <w:rPr>
                <w:szCs w:val="20"/>
              </w:rPr>
            </w:pPr>
            <w:r w:rsidRPr="006B0414">
              <w:rPr>
                <w:szCs w:val="20"/>
              </w:rPr>
              <w:t>Original model (MSAC 1686): updated</w:t>
            </w:r>
            <w:r w:rsidR="00A02195">
              <w:rPr>
                <w:szCs w:val="20"/>
              </w:rPr>
              <w:t>.</w:t>
            </w:r>
            <w:r w:rsidRPr="00662CF7">
              <w:rPr>
                <w:szCs w:val="20"/>
              </w:rPr>
              <w:t xml:space="preserve"> Continue with weekly treatment costs ($1,333.33 </w:t>
            </w:r>
            <w:r>
              <w:rPr>
                <w:szCs w:val="20"/>
                <w:vertAlign w:val="superscript"/>
              </w:rPr>
              <w:t>177</w:t>
            </w:r>
            <w:r w:rsidRPr="00662CF7">
              <w:rPr>
                <w:szCs w:val="20"/>
              </w:rPr>
              <w:t>Lu</w:t>
            </w:r>
            <w:r>
              <w:rPr>
                <w:szCs w:val="20"/>
              </w:rPr>
              <w:t> </w:t>
            </w:r>
            <w:r w:rsidRPr="00662CF7">
              <w:rPr>
                <w:szCs w:val="20"/>
              </w:rPr>
              <w:t>PSMA</w:t>
            </w:r>
            <w:r>
              <w:rPr>
                <w:szCs w:val="20"/>
              </w:rPr>
              <w:t> i&amp;t</w:t>
            </w:r>
            <w:r w:rsidRPr="00662CF7">
              <w:rPr>
                <w:szCs w:val="20"/>
              </w:rPr>
              <w:t xml:space="preserve"> and $102.65 cabazitaxel [includes prednisolone</w:t>
            </w:r>
            <w:r>
              <w:rPr>
                <w:szCs w:val="20"/>
              </w:rPr>
              <w:t xml:space="preserve">]), applied to patients who remain in PFS on a weekly basis [incorrect application of costs, approach underestimates costs]. This result was reported in Table 10 of the FFP DCAR Executive Summary. </w:t>
            </w:r>
          </w:p>
        </w:tc>
      </w:tr>
      <w:tr w:rsidR="008D0C3A" w:rsidRPr="006B0414" w14:paraId="209B0B5D" w14:textId="77777777">
        <w:tc>
          <w:tcPr>
            <w:tcW w:w="233" w:type="pct"/>
            <w:vMerge/>
            <w:vAlign w:val="center"/>
          </w:tcPr>
          <w:p w14:paraId="10D7F28F" w14:textId="77777777" w:rsidR="008D0C3A" w:rsidRPr="006B0414" w:rsidRDefault="008D0C3A">
            <w:pPr>
              <w:pStyle w:val="TableText"/>
              <w:keepNext/>
              <w:spacing w:before="0" w:after="0"/>
              <w:jc w:val="center"/>
              <w:rPr>
                <w:szCs w:val="20"/>
              </w:rPr>
            </w:pPr>
          </w:p>
        </w:tc>
        <w:tc>
          <w:tcPr>
            <w:tcW w:w="1063" w:type="pct"/>
          </w:tcPr>
          <w:p w14:paraId="478115D7" w14:textId="77777777" w:rsidR="008D0C3A" w:rsidRPr="006B0414" w:rsidRDefault="008D0C3A">
            <w:pPr>
              <w:pStyle w:val="TableText"/>
              <w:keepNext/>
              <w:spacing w:before="0" w:after="0"/>
              <w:rPr>
                <w:szCs w:val="20"/>
              </w:rPr>
            </w:pPr>
            <w:r w:rsidRPr="006B0414">
              <w:rPr>
                <w:szCs w:val="20"/>
                <w:vertAlign w:val="superscript"/>
              </w:rPr>
              <w:t>177</w:t>
            </w:r>
            <w:r w:rsidRPr="006B0414">
              <w:rPr>
                <w:szCs w:val="20"/>
              </w:rPr>
              <w:t>Lu PSMA i&amp;t</w:t>
            </w:r>
          </w:p>
        </w:tc>
        <w:tc>
          <w:tcPr>
            <w:tcW w:w="714" w:type="pct"/>
            <w:vAlign w:val="bottom"/>
          </w:tcPr>
          <w:p w14:paraId="3E2FB44B" w14:textId="77777777" w:rsidR="008D0C3A" w:rsidRPr="006B0414" w:rsidRDefault="008D0C3A">
            <w:pPr>
              <w:pStyle w:val="TableText"/>
              <w:keepNext/>
              <w:spacing w:before="0" w:after="0"/>
              <w:jc w:val="center"/>
              <w:rPr>
                <w:szCs w:val="20"/>
              </w:rPr>
            </w:pPr>
            <w:r>
              <w:rPr>
                <w:szCs w:val="20"/>
              </w:rPr>
              <w:t>$75,711</w:t>
            </w:r>
          </w:p>
        </w:tc>
        <w:tc>
          <w:tcPr>
            <w:tcW w:w="676" w:type="pct"/>
            <w:vMerge w:val="restart"/>
            <w:vAlign w:val="center"/>
          </w:tcPr>
          <w:p w14:paraId="47247D42" w14:textId="77777777" w:rsidR="008D0C3A" w:rsidRPr="006B0414" w:rsidRDefault="008D0C3A">
            <w:pPr>
              <w:pStyle w:val="TableText"/>
              <w:keepNext/>
              <w:spacing w:before="0" w:after="0"/>
              <w:jc w:val="center"/>
              <w:rPr>
                <w:szCs w:val="20"/>
              </w:rPr>
            </w:pPr>
            <w:r>
              <w:rPr>
                <w:szCs w:val="20"/>
              </w:rPr>
              <w:t xml:space="preserve">$32,715 </w:t>
            </w:r>
          </w:p>
        </w:tc>
        <w:tc>
          <w:tcPr>
            <w:tcW w:w="759" w:type="pct"/>
            <w:vAlign w:val="center"/>
          </w:tcPr>
          <w:p w14:paraId="5DE628E9" w14:textId="77777777" w:rsidR="008D0C3A" w:rsidRPr="006B0414" w:rsidRDefault="008D0C3A">
            <w:pPr>
              <w:pStyle w:val="TableText"/>
              <w:keepNext/>
              <w:spacing w:before="0" w:after="0"/>
              <w:jc w:val="center"/>
              <w:rPr>
                <w:szCs w:val="20"/>
              </w:rPr>
            </w:pPr>
            <w:r>
              <w:rPr>
                <w:szCs w:val="20"/>
              </w:rPr>
              <w:t>1.101</w:t>
            </w:r>
          </w:p>
        </w:tc>
        <w:tc>
          <w:tcPr>
            <w:tcW w:w="748" w:type="pct"/>
            <w:vMerge w:val="restart"/>
            <w:vAlign w:val="center"/>
          </w:tcPr>
          <w:p w14:paraId="61BC6DFA" w14:textId="77777777" w:rsidR="008D0C3A" w:rsidRPr="006B0414" w:rsidRDefault="008D0C3A">
            <w:pPr>
              <w:pStyle w:val="TableText"/>
              <w:keepNext/>
              <w:spacing w:before="0" w:after="0"/>
              <w:jc w:val="center"/>
              <w:rPr>
                <w:szCs w:val="20"/>
              </w:rPr>
            </w:pPr>
            <w:r>
              <w:rPr>
                <w:szCs w:val="20"/>
              </w:rPr>
              <w:t>0.301</w:t>
            </w:r>
          </w:p>
        </w:tc>
        <w:tc>
          <w:tcPr>
            <w:tcW w:w="807" w:type="pct"/>
            <w:vMerge w:val="restart"/>
            <w:vAlign w:val="center"/>
          </w:tcPr>
          <w:p w14:paraId="14D3E8EA" w14:textId="77777777" w:rsidR="008D0C3A" w:rsidRPr="006B0414" w:rsidRDefault="008D0C3A">
            <w:pPr>
              <w:pStyle w:val="TableText"/>
              <w:keepNext/>
              <w:spacing w:before="0" w:after="0"/>
              <w:jc w:val="center"/>
              <w:rPr>
                <w:szCs w:val="20"/>
              </w:rPr>
            </w:pPr>
            <w:r>
              <w:rPr>
                <w:szCs w:val="20"/>
              </w:rPr>
              <w:t>$108,743</w:t>
            </w:r>
          </w:p>
        </w:tc>
      </w:tr>
      <w:tr w:rsidR="008D0C3A" w:rsidRPr="006B0414" w14:paraId="408D58DE" w14:textId="77777777">
        <w:tc>
          <w:tcPr>
            <w:tcW w:w="233" w:type="pct"/>
            <w:vMerge/>
            <w:tcBorders>
              <w:bottom w:val="double" w:sz="4" w:space="0" w:color="auto"/>
            </w:tcBorders>
            <w:vAlign w:val="center"/>
          </w:tcPr>
          <w:p w14:paraId="770FA4A8" w14:textId="77777777" w:rsidR="008D0C3A" w:rsidRPr="006B0414" w:rsidRDefault="008D0C3A">
            <w:pPr>
              <w:pStyle w:val="TableText"/>
              <w:keepNext/>
              <w:spacing w:before="0" w:after="0"/>
              <w:jc w:val="center"/>
              <w:rPr>
                <w:szCs w:val="20"/>
              </w:rPr>
            </w:pPr>
          </w:p>
        </w:tc>
        <w:tc>
          <w:tcPr>
            <w:tcW w:w="1063" w:type="pct"/>
            <w:tcBorders>
              <w:bottom w:val="double" w:sz="4" w:space="0" w:color="auto"/>
            </w:tcBorders>
          </w:tcPr>
          <w:p w14:paraId="2E2CB1E0" w14:textId="77777777" w:rsidR="008D0C3A" w:rsidRPr="006B0414" w:rsidRDefault="008D0C3A">
            <w:pPr>
              <w:pStyle w:val="TableText"/>
              <w:keepNext/>
              <w:spacing w:before="0" w:after="0"/>
              <w:rPr>
                <w:szCs w:val="20"/>
              </w:rPr>
            </w:pPr>
            <w:r w:rsidRPr="006B0414">
              <w:rPr>
                <w:szCs w:val="20"/>
              </w:rPr>
              <w:t>Cabazitaxel/BSC</w:t>
            </w:r>
          </w:p>
        </w:tc>
        <w:tc>
          <w:tcPr>
            <w:tcW w:w="714" w:type="pct"/>
            <w:tcBorders>
              <w:bottom w:val="double" w:sz="4" w:space="0" w:color="auto"/>
            </w:tcBorders>
            <w:vAlign w:val="bottom"/>
          </w:tcPr>
          <w:p w14:paraId="03B0A722" w14:textId="77777777" w:rsidR="008D0C3A" w:rsidRPr="006B0414" w:rsidRDefault="008D0C3A">
            <w:pPr>
              <w:pStyle w:val="TableText"/>
              <w:keepNext/>
              <w:spacing w:before="0" w:after="0"/>
              <w:jc w:val="center"/>
              <w:rPr>
                <w:szCs w:val="20"/>
              </w:rPr>
            </w:pPr>
            <w:r>
              <w:rPr>
                <w:szCs w:val="20"/>
              </w:rPr>
              <w:t>$42,996</w:t>
            </w:r>
          </w:p>
        </w:tc>
        <w:tc>
          <w:tcPr>
            <w:tcW w:w="676" w:type="pct"/>
            <w:vMerge/>
            <w:tcBorders>
              <w:bottom w:val="double" w:sz="4" w:space="0" w:color="auto"/>
            </w:tcBorders>
            <w:vAlign w:val="bottom"/>
          </w:tcPr>
          <w:p w14:paraId="2B088524" w14:textId="77777777" w:rsidR="008D0C3A" w:rsidRPr="006B0414" w:rsidRDefault="008D0C3A">
            <w:pPr>
              <w:pStyle w:val="TableText"/>
              <w:keepNext/>
              <w:spacing w:before="0" w:after="0"/>
              <w:jc w:val="center"/>
              <w:rPr>
                <w:szCs w:val="20"/>
              </w:rPr>
            </w:pPr>
          </w:p>
        </w:tc>
        <w:tc>
          <w:tcPr>
            <w:tcW w:w="759" w:type="pct"/>
            <w:tcBorders>
              <w:bottom w:val="double" w:sz="4" w:space="0" w:color="auto"/>
            </w:tcBorders>
            <w:vAlign w:val="bottom"/>
          </w:tcPr>
          <w:p w14:paraId="00E87BFE" w14:textId="77777777" w:rsidR="008D0C3A" w:rsidRPr="006B0414" w:rsidRDefault="008D0C3A">
            <w:pPr>
              <w:pStyle w:val="TableText"/>
              <w:keepNext/>
              <w:spacing w:before="0" w:after="0"/>
              <w:jc w:val="center"/>
              <w:rPr>
                <w:szCs w:val="20"/>
              </w:rPr>
            </w:pPr>
            <w:r>
              <w:rPr>
                <w:szCs w:val="20"/>
              </w:rPr>
              <w:t>0.800</w:t>
            </w:r>
          </w:p>
        </w:tc>
        <w:tc>
          <w:tcPr>
            <w:tcW w:w="748" w:type="pct"/>
            <w:vMerge/>
            <w:tcBorders>
              <w:bottom w:val="double" w:sz="4" w:space="0" w:color="auto"/>
            </w:tcBorders>
            <w:vAlign w:val="bottom"/>
          </w:tcPr>
          <w:p w14:paraId="71E95E71" w14:textId="77777777" w:rsidR="008D0C3A" w:rsidRPr="006B0414" w:rsidRDefault="008D0C3A">
            <w:pPr>
              <w:pStyle w:val="TableText"/>
              <w:keepNext/>
              <w:spacing w:before="0" w:after="0"/>
              <w:jc w:val="center"/>
              <w:rPr>
                <w:szCs w:val="20"/>
              </w:rPr>
            </w:pPr>
          </w:p>
        </w:tc>
        <w:tc>
          <w:tcPr>
            <w:tcW w:w="807" w:type="pct"/>
            <w:vMerge/>
            <w:vAlign w:val="bottom"/>
          </w:tcPr>
          <w:p w14:paraId="20D90479" w14:textId="77777777" w:rsidR="008D0C3A" w:rsidRPr="006B0414" w:rsidRDefault="008D0C3A">
            <w:pPr>
              <w:pStyle w:val="TableText"/>
              <w:keepNext/>
              <w:spacing w:before="0" w:after="0"/>
              <w:jc w:val="center"/>
              <w:rPr>
                <w:szCs w:val="20"/>
              </w:rPr>
            </w:pPr>
          </w:p>
        </w:tc>
      </w:tr>
      <w:tr w:rsidR="008D0C3A" w:rsidRPr="006B0414" w14:paraId="5C33EC89" w14:textId="77777777">
        <w:tc>
          <w:tcPr>
            <w:tcW w:w="233" w:type="pct"/>
            <w:vMerge w:val="restart"/>
            <w:tcBorders>
              <w:top w:val="double" w:sz="4" w:space="0" w:color="auto"/>
            </w:tcBorders>
            <w:vAlign w:val="center"/>
          </w:tcPr>
          <w:p w14:paraId="09971E5C" w14:textId="77777777" w:rsidR="008D0C3A" w:rsidRPr="00C26B0B" w:rsidRDefault="008D0C3A">
            <w:pPr>
              <w:pStyle w:val="TableText"/>
              <w:keepNext/>
              <w:spacing w:before="0" w:after="0"/>
              <w:jc w:val="center"/>
              <w:rPr>
                <w:szCs w:val="20"/>
              </w:rPr>
            </w:pPr>
            <w:r w:rsidRPr="00C26B0B">
              <w:rPr>
                <w:szCs w:val="20"/>
              </w:rPr>
              <w:t>C</w:t>
            </w:r>
          </w:p>
        </w:tc>
        <w:tc>
          <w:tcPr>
            <w:tcW w:w="4767" w:type="pct"/>
            <w:gridSpan w:val="6"/>
            <w:tcBorders>
              <w:top w:val="double" w:sz="4" w:space="0" w:color="auto"/>
            </w:tcBorders>
          </w:tcPr>
          <w:p w14:paraId="05745D82" w14:textId="77777777" w:rsidR="008D0C3A" w:rsidRPr="006B0414" w:rsidRDefault="008D0C3A">
            <w:pPr>
              <w:pStyle w:val="TableText"/>
              <w:keepNext/>
              <w:spacing w:before="0" w:after="0"/>
              <w:rPr>
                <w:b/>
                <w:bCs/>
                <w:szCs w:val="20"/>
              </w:rPr>
            </w:pPr>
            <w:r w:rsidRPr="006B0414">
              <w:rPr>
                <w:szCs w:val="20"/>
              </w:rPr>
              <w:t xml:space="preserve">Original model (MSAC 1686): </w:t>
            </w:r>
            <w:r>
              <w:rPr>
                <w:szCs w:val="20"/>
              </w:rPr>
              <w:t xml:space="preserve">As per B and cost of </w:t>
            </w:r>
            <w:r>
              <w:rPr>
                <w:szCs w:val="20"/>
                <w:vertAlign w:val="superscript"/>
              </w:rPr>
              <w:t>177</w:t>
            </w:r>
            <w:r w:rsidRPr="00662CF7">
              <w:rPr>
                <w:szCs w:val="20"/>
              </w:rPr>
              <w:t>Lu</w:t>
            </w:r>
            <w:r>
              <w:rPr>
                <w:szCs w:val="20"/>
              </w:rPr>
              <w:t> </w:t>
            </w:r>
            <w:r w:rsidRPr="00662CF7">
              <w:rPr>
                <w:szCs w:val="20"/>
              </w:rPr>
              <w:t>PSMA</w:t>
            </w:r>
            <w:r>
              <w:rPr>
                <w:szCs w:val="20"/>
              </w:rPr>
              <w:t xml:space="preserve"> i&amp;t and cabazitaxel) applied every 6 weeks ($8,000) and 3 </w:t>
            </w:r>
            <w:r w:rsidRPr="00662CF7">
              <w:rPr>
                <w:szCs w:val="20"/>
              </w:rPr>
              <w:t>weeks ($307.94, including prednisolone),</w:t>
            </w:r>
            <w:r>
              <w:rPr>
                <w:szCs w:val="20"/>
              </w:rPr>
              <w:t xml:space="preserve"> respectively. All patients get one cycle, then only those in PFS get subsequent </w:t>
            </w:r>
            <w:r>
              <w:rPr>
                <w:szCs w:val="20"/>
                <w:vertAlign w:val="superscript"/>
              </w:rPr>
              <w:t>177</w:t>
            </w:r>
            <w:r w:rsidRPr="00662CF7">
              <w:rPr>
                <w:szCs w:val="20"/>
              </w:rPr>
              <w:t>Lu</w:t>
            </w:r>
            <w:r>
              <w:rPr>
                <w:szCs w:val="20"/>
              </w:rPr>
              <w:t> </w:t>
            </w:r>
            <w:r w:rsidRPr="00662CF7">
              <w:rPr>
                <w:szCs w:val="20"/>
              </w:rPr>
              <w:t>PSMA</w:t>
            </w:r>
            <w:r>
              <w:rPr>
                <w:szCs w:val="20"/>
              </w:rPr>
              <w:t xml:space="preserve"> i&amp;t. Best case and optimistic scenario [absolute maximum discontinuations]. </w:t>
            </w:r>
          </w:p>
        </w:tc>
      </w:tr>
      <w:tr w:rsidR="008D0C3A" w:rsidRPr="006B0414" w14:paraId="7F3BACBF" w14:textId="77777777">
        <w:tc>
          <w:tcPr>
            <w:tcW w:w="233" w:type="pct"/>
            <w:vMerge/>
            <w:vAlign w:val="center"/>
          </w:tcPr>
          <w:p w14:paraId="4F063955" w14:textId="77777777" w:rsidR="008D0C3A" w:rsidRPr="006B0414" w:rsidRDefault="008D0C3A">
            <w:pPr>
              <w:pStyle w:val="TableText"/>
              <w:keepNext/>
              <w:spacing w:before="0" w:after="0"/>
              <w:jc w:val="center"/>
              <w:rPr>
                <w:szCs w:val="20"/>
                <w:vertAlign w:val="superscript"/>
              </w:rPr>
            </w:pPr>
          </w:p>
        </w:tc>
        <w:tc>
          <w:tcPr>
            <w:tcW w:w="1063" w:type="pct"/>
          </w:tcPr>
          <w:p w14:paraId="3CD24B7E" w14:textId="77777777" w:rsidR="008D0C3A" w:rsidRPr="006B0414" w:rsidRDefault="008D0C3A">
            <w:pPr>
              <w:pStyle w:val="TableText"/>
              <w:keepNext/>
              <w:spacing w:before="0" w:after="0"/>
              <w:rPr>
                <w:szCs w:val="20"/>
              </w:rPr>
            </w:pPr>
            <w:r w:rsidRPr="006B0414">
              <w:rPr>
                <w:szCs w:val="20"/>
                <w:vertAlign w:val="superscript"/>
              </w:rPr>
              <w:t>177</w:t>
            </w:r>
            <w:r w:rsidRPr="006B0414">
              <w:rPr>
                <w:szCs w:val="20"/>
              </w:rPr>
              <w:t>Lu PSMA i&amp;t</w:t>
            </w:r>
          </w:p>
        </w:tc>
        <w:tc>
          <w:tcPr>
            <w:tcW w:w="714" w:type="pct"/>
            <w:vAlign w:val="bottom"/>
          </w:tcPr>
          <w:p w14:paraId="6AA703E7" w14:textId="77777777" w:rsidR="008D0C3A" w:rsidRPr="006B0414" w:rsidRDefault="008D0C3A">
            <w:pPr>
              <w:pStyle w:val="TableText"/>
              <w:keepNext/>
              <w:spacing w:before="0" w:after="0"/>
              <w:jc w:val="center"/>
              <w:rPr>
                <w:szCs w:val="20"/>
              </w:rPr>
            </w:pPr>
            <w:r w:rsidRPr="006B0414">
              <w:rPr>
                <w:szCs w:val="20"/>
              </w:rPr>
              <w:t>$77,019</w:t>
            </w:r>
          </w:p>
        </w:tc>
        <w:tc>
          <w:tcPr>
            <w:tcW w:w="676" w:type="pct"/>
            <w:vMerge w:val="restart"/>
            <w:vAlign w:val="center"/>
          </w:tcPr>
          <w:p w14:paraId="244D9AAC" w14:textId="77777777" w:rsidR="008D0C3A" w:rsidRPr="006B0414" w:rsidRDefault="008D0C3A">
            <w:pPr>
              <w:pStyle w:val="TableText"/>
              <w:keepNext/>
              <w:spacing w:before="0" w:after="0"/>
              <w:jc w:val="center"/>
              <w:rPr>
                <w:szCs w:val="20"/>
              </w:rPr>
            </w:pPr>
            <w:r w:rsidRPr="006B0414">
              <w:rPr>
                <w:szCs w:val="20"/>
              </w:rPr>
              <w:t>$34,005</w:t>
            </w:r>
          </w:p>
        </w:tc>
        <w:tc>
          <w:tcPr>
            <w:tcW w:w="759" w:type="pct"/>
            <w:vAlign w:val="center"/>
          </w:tcPr>
          <w:p w14:paraId="50338596" w14:textId="77777777" w:rsidR="008D0C3A" w:rsidRPr="006B0414" w:rsidRDefault="008D0C3A">
            <w:pPr>
              <w:pStyle w:val="TableText"/>
              <w:keepNext/>
              <w:spacing w:before="0" w:after="0"/>
              <w:jc w:val="center"/>
              <w:rPr>
                <w:szCs w:val="20"/>
              </w:rPr>
            </w:pPr>
            <w:r w:rsidRPr="006B0414">
              <w:rPr>
                <w:szCs w:val="20"/>
              </w:rPr>
              <w:t>1.101</w:t>
            </w:r>
          </w:p>
        </w:tc>
        <w:tc>
          <w:tcPr>
            <w:tcW w:w="748" w:type="pct"/>
            <w:vMerge w:val="restart"/>
            <w:vAlign w:val="center"/>
          </w:tcPr>
          <w:p w14:paraId="6398A1CF" w14:textId="77777777" w:rsidR="008D0C3A" w:rsidRPr="006B0414" w:rsidRDefault="008D0C3A">
            <w:pPr>
              <w:pStyle w:val="TableText"/>
              <w:keepNext/>
              <w:spacing w:before="0" w:after="0"/>
              <w:jc w:val="center"/>
              <w:rPr>
                <w:szCs w:val="20"/>
              </w:rPr>
            </w:pPr>
            <w:r w:rsidRPr="006B0414">
              <w:rPr>
                <w:szCs w:val="20"/>
              </w:rPr>
              <w:t>0.301</w:t>
            </w:r>
          </w:p>
        </w:tc>
        <w:tc>
          <w:tcPr>
            <w:tcW w:w="807" w:type="pct"/>
            <w:vMerge w:val="restart"/>
            <w:vAlign w:val="center"/>
          </w:tcPr>
          <w:p w14:paraId="718465A0" w14:textId="77777777" w:rsidR="008D0C3A" w:rsidRPr="005D018F" w:rsidRDefault="008D0C3A">
            <w:pPr>
              <w:pStyle w:val="TableText"/>
              <w:keepNext/>
              <w:spacing w:before="0" w:after="0"/>
              <w:jc w:val="center"/>
              <w:rPr>
                <w:szCs w:val="20"/>
              </w:rPr>
            </w:pPr>
            <w:r w:rsidRPr="005D018F">
              <w:rPr>
                <w:szCs w:val="20"/>
              </w:rPr>
              <w:t>$113,033</w:t>
            </w:r>
          </w:p>
        </w:tc>
      </w:tr>
      <w:tr w:rsidR="008D0C3A" w:rsidRPr="006B0414" w14:paraId="74AF3B26" w14:textId="77777777">
        <w:tc>
          <w:tcPr>
            <w:tcW w:w="233" w:type="pct"/>
            <w:vMerge/>
            <w:vAlign w:val="center"/>
          </w:tcPr>
          <w:p w14:paraId="2F5F24E2" w14:textId="77777777" w:rsidR="008D0C3A" w:rsidRPr="006B0414" w:rsidRDefault="008D0C3A">
            <w:pPr>
              <w:pStyle w:val="TableText"/>
              <w:keepNext/>
              <w:spacing w:before="0" w:after="0"/>
              <w:jc w:val="center"/>
              <w:rPr>
                <w:szCs w:val="20"/>
              </w:rPr>
            </w:pPr>
          </w:p>
        </w:tc>
        <w:tc>
          <w:tcPr>
            <w:tcW w:w="1063" w:type="pct"/>
            <w:vAlign w:val="center"/>
          </w:tcPr>
          <w:p w14:paraId="7016B190" w14:textId="77777777" w:rsidR="008D0C3A" w:rsidRPr="006B0414" w:rsidRDefault="008D0C3A">
            <w:pPr>
              <w:pStyle w:val="TableText"/>
              <w:keepNext/>
              <w:spacing w:before="0" w:after="0"/>
              <w:rPr>
                <w:szCs w:val="20"/>
              </w:rPr>
            </w:pPr>
            <w:r w:rsidRPr="006B0414">
              <w:rPr>
                <w:szCs w:val="20"/>
              </w:rPr>
              <w:t>Cabazitaxel/BSC</w:t>
            </w:r>
          </w:p>
        </w:tc>
        <w:tc>
          <w:tcPr>
            <w:tcW w:w="714" w:type="pct"/>
            <w:vAlign w:val="bottom"/>
          </w:tcPr>
          <w:p w14:paraId="31A6DBBF" w14:textId="77777777" w:rsidR="008D0C3A" w:rsidRPr="006B0414" w:rsidRDefault="008D0C3A">
            <w:pPr>
              <w:pStyle w:val="TableText"/>
              <w:keepNext/>
              <w:spacing w:before="0" w:after="0"/>
              <w:jc w:val="center"/>
              <w:rPr>
                <w:szCs w:val="20"/>
              </w:rPr>
            </w:pPr>
            <w:r w:rsidRPr="006B0414">
              <w:rPr>
                <w:szCs w:val="20"/>
              </w:rPr>
              <w:t>$43,014</w:t>
            </w:r>
          </w:p>
        </w:tc>
        <w:tc>
          <w:tcPr>
            <w:tcW w:w="676" w:type="pct"/>
            <w:vMerge/>
            <w:vAlign w:val="center"/>
          </w:tcPr>
          <w:p w14:paraId="694900BB" w14:textId="77777777" w:rsidR="008D0C3A" w:rsidRPr="006B0414" w:rsidRDefault="008D0C3A">
            <w:pPr>
              <w:pStyle w:val="TableText"/>
              <w:keepNext/>
              <w:spacing w:before="0" w:after="0"/>
              <w:jc w:val="center"/>
              <w:rPr>
                <w:szCs w:val="20"/>
              </w:rPr>
            </w:pPr>
          </w:p>
        </w:tc>
        <w:tc>
          <w:tcPr>
            <w:tcW w:w="759" w:type="pct"/>
            <w:vAlign w:val="bottom"/>
          </w:tcPr>
          <w:p w14:paraId="30ADF7AD" w14:textId="77777777" w:rsidR="008D0C3A" w:rsidRPr="006B0414" w:rsidRDefault="008D0C3A">
            <w:pPr>
              <w:pStyle w:val="TableText"/>
              <w:keepNext/>
              <w:spacing w:before="0" w:after="0"/>
              <w:jc w:val="center"/>
              <w:rPr>
                <w:szCs w:val="20"/>
              </w:rPr>
            </w:pPr>
            <w:r w:rsidRPr="006B0414">
              <w:rPr>
                <w:szCs w:val="20"/>
              </w:rPr>
              <w:t>0.800</w:t>
            </w:r>
          </w:p>
        </w:tc>
        <w:tc>
          <w:tcPr>
            <w:tcW w:w="748" w:type="pct"/>
            <w:vMerge/>
            <w:vAlign w:val="bottom"/>
          </w:tcPr>
          <w:p w14:paraId="1D037759" w14:textId="77777777" w:rsidR="008D0C3A" w:rsidRPr="006B0414" w:rsidRDefault="008D0C3A">
            <w:pPr>
              <w:pStyle w:val="TableText"/>
              <w:keepNext/>
              <w:spacing w:before="0" w:after="0"/>
              <w:jc w:val="center"/>
              <w:rPr>
                <w:szCs w:val="20"/>
              </w:rPr>
            </w:pPr>
          </w:p>
        </w:tc>
        <w:tc>
          <w:tcPr>
            <w:tcW w:w="807" w:type="pct"/>
            <w:vMerge/>
            <w:vAlign w:val="bottom"/>
          </w:tcPr>
          <w:p w14:paraId="29066075" w14:textId="77777777" w:rsidR="008D0C3A" w:rsidRPr="006B0414" w:rsidRDefault="008D0C3A">
            <w:pPr>
              <w:pStyle w:val="TableText"/>
              <w:keepNext/>
              <w:spacing w:before="0" w:after="0"/>
              <w:jc w:val="center"/>
              <w:rPr>
                <w:b/>
                <w:bCs/>
                <w:szCs w:val="20"/>
              </w:rPr>
            </w:pPr>
          </w:p>
        </w:tc>
      </w:tr>
      <w:tr w:rsidR="008D0C3A" w:rsidRPr="006B0414" w14:paraId="1B5DF399" w14:textId="77777777">
        <w:tc>
          <w:tcPr>
            <w:tcW w:w="233" w:type="pct"/>
            <w:vMerge w:val="restart"/>
            <w:shd w:val="clear" w:color="auto" w:fill="D9D9D9" w:themeFill="background1" w:themeFillShade="D9"/>
            <w:vAlign w:val="center"/>
          </w:tcPr>
          <w:p w14:paraId="017D080F" w14:textId="77777777" w:rsidR="008D0C3A" w:rsidRPr="006B0414" w:rsidRDefault="008D0C3A">
            <w:pPr>
              <w:pStyle w:val="TableText"/>
              <w:keepNext/>
              <w:spacing w:before="0" w:after="0"/>
              <w:jc w:val="center"/>
              <w:rPr>
                <w:szCs w:val="20"/>
              </w:rPr>
            </w:pPr>
            <w:r>
              <w:rPr>
                <w:szCs w:val="20"/>
              </w:rPr>
              <w:t>D</w:t>
            </w:r>
          </w:p>
        </w:tc>
        <w:tc>
          <w:tcPr>
            <w:tcW w:w="4767" w:type="pct"/>
            <w:gridSpan w:val="6"/>
            <w:shd w:val="clear" w:color="auto" w:fill="D9D9D9" w:themeFill="background1" w:themeFillShade="D9"/>
          </w:tcPr>
          <w:p w14:paraId="34AAE69D" w14:textId="77777777" w:rsidR="008D0C3A" w:rsidRPr="002B6FB4" w:rsidRDefault="008D0C3A">
            <w:pPr>
              <w:pStyle w:val="TableText"/>
              <w:keepNext/>
              <w:spacing w:before="0" w:after="0"/>
              <w:rPr>
                <w:b/>
                <w:bCs/>
                <w:szCs w:val="20"/>
              </w:rPr>
            </w:pPr>
            <w:r w:rsidRPr="002B6FB4">
              <w:rPr>
                <w:szCs w:val="20"/>
              </w:rPr>
              <w:t xml:space="preserve">Original model (MSAC 1686): As per C and cost of </w:t>
            </w:r>
            <w:r>
              <w:rPr>
                <w:szCs w:val="20"/>
                <w:vertAlign w:val="superscript"/>
              </w:rPr>
              <w:t>177</w:t>
            </w:r>
            <w:r w:rsidRPr="00662CF7">
              <w:rPr>
                <w:szCs w:val="20"/>
              </w:rPr>
              <w:t>Lu</w:t>
            </w:r>
            <w:r>
              <w:rPr>
                <w:szCs w:val="20"/>
              </w:rPr>
              <w:t> </w:t>
            </w:r>
            <w:r w:rsidRPr="00662CF7">
              <w:rPr>
                <w:szCs w:val="20"/>
              </w:rPr>
              <w:t>PSMA</w:t>
            </w:r>
            <w:r>
              <w:rPr>
                <w:szCs w:val="20"/>
              </w:rPr>
              <w:t> i&amp;t</w:t>
            </w:r>
            <w:r w:rsidRPr="002B6FB4">
              <w:rPr>
                <w:szCs w:val="20"/>
              </w:rPr>
              <w:t xml:space="preserve"> applied to all surviving patients (rather than those in PFS) for first two cycles, according to item descriptor </w:t>
            </w:r>
            <w:r w:rsidRPr="002B6FB4">
              <w:rPr>
                <w:b/>
                <w:bCs/>
                <w:szCs w:val="20"/>
              </w:rPr>
              <w:t>BASE CASE</w:t>
            </w:r>
            <w:r>
              <w:rPr>
                <w:b/>
                <w:bCs/>
                <w:szCs w:val="20"/>
              </w:rPr>
              <w:t xml:space="preserve"> </w:t>
            </w:r>
            <w:r w:rsidRPr="008A3EE1">
              <w:rPr>
                <w:szCs w:val="20"/>
              </w:rPr>
              <w:t>[</w:t>
            </w:r>
            <w:r w:rsidRPr="009C739A">
              <w:rPr>
                <w:szCs w:val="20"/>
                <w:u w:val="single"/>
              </w:rPr>
              <w:t>maximum</w:t>
            </w:r>
            <w:r>
              <w:rPr>
                <w:szCs w:val="20"/>
              </w:rPr>
              <w:t xml:space="preserve"> discontinuations]</w:t>
            </w:r>
            <w:r>
              <w:rPr>
                <w:b/>
                <w:bCs/>
                <w:szCs w:val="20"/>
              </w:rPr>
              <w:t>.</w:t>
            </w:r>
          </w:p>
        </w:tc>
      </w:tr>
      <w:tr w:rsidR="008D0C3A" w:rsidRPr="006B0414" w14:paraId="64CA2779" w14:textId="77777777">
        <w:tc>
          <w:tcPr>
            <w:tcW w:w="233" w:type="pct"/>
            <w:vMerge/>
            <w:shd w:val="clear" w:color="auto" w:fill="D9D9D9" w:themeFill="background1" w:themeFillShade="D9"/>
            <w:vAlign w:val="center"/>
          </w:tcPr>
          <w:p w14:paraId="7E56FC66" w14:textId="77777777" w:rsidR="008D0C3A" w:rsidRPr="006B0414" w:rsidRDefault="008D0C3A">
            <w:pPr>
              <w:pStyle w:val="TableText"/>
              <w:keepNext/>
              <w:spacing w:before="0" w:after="0"/>
              <w:jc w:val="center"/>
              <w:rPr>
                <w:szCs w:val="20"/>
                <w:vertAlign w:val="superscript"/>
              </w:rPr>
            </w:pPr>
          </w:p>
        </w:tc>
        <w:tc>
          <w:tcPr>
            <w:tcW w:w="1063" w:type="pct"/>
            <w:shd w:val="clear" w:color="auto" w:fill="D9D9D9" w:themeFill="background1" w:themeFillShade="D9"/>
          </w:tcPr>
          <w:p w14:paraId="6A1DC602" w14:textId="77777777" w:rsidR="008D0C3A" w:rsidRPr="002B6FB4" w:rsidRDefault="008D0C3A">
            <w:pPr>
              <w:pStyle w:val="TableText"/>
              <w:keepNext/>
              <w:spacing w:before="0" w:after="0"/>
              <w:rPr>
                <w:b/>
                <w:bCs/>
                <w:szCs w:val="20"/>
              </w:rPr>
            </w:pPr>
            <w:r w:rsidRPr="002B6FB4">
              <w:rPr>
                <w:szCs w:val="20"/>
                <w:vertAlign w:val="superscript"/>
              </w:rPr>
              <w:t>177</w:t>
            </w:r>
            <w:r w:rsidRPr="002B6FB4">
              <w:rPr>
                <w:szCs w:val="20"/>
              </w:rPr>
              <w:t>Lu PSMA i&amp;t</w:t>
            </w:r>
          </w:p>
        </w:tc>
        <w:tc>
          <w:tcPr>
            <w:tcW w:w="714" w:type="pct"/>
            <w:shd w:val="clear" w:color="auto" w:fill="D9D9D9" w:themeFill="background1" w:themeFillShade="D9"/>
            <w:vAlign w:val="bottom"/>
          </w:tcPr>
          <w:p w14:paraId="13422102" w14:textId="77777777" w:rsidR="008D0C3A" w:rsidRPr="002B6FB4" w:rsidRDefault="008D0C3A">
            <w:pPr>
              <w:pStyle w:val="TableText"/>
              <w:keepNext/>
              <w:spacing w:before="0" w:after="0"/>
              <w:jc w:val="center"/>
              <w:rPr>
                <w:szCs w:val="20"/>
              </w:rPr>
            </w:pPr>
            <w:r w:rsidRPr="002B6FB4">
              <w:rPr>
                <w:szCs w:val="20"/>
              </w:rPr>
              <w:t>$77,113</w:t>
            </w:r>
          </w:p>
        </w:tc>
        <w:tc>
          <w:tcPr>
            <w:tcW w:w="676" w:type="pct"/>
            <w:vMerge w:val="restart"/>
            <w:shd w:val="clear" w:color="auto" w:fill="D9D9D9" w:themeFill="background1" w:themeFillShade="D9"/>
            <w:vAlign w:val="center"/>
          </w:tcPr>
          <w:p w14:paraId="6AF8FAE1" w14:textId="77777777" w:rsidR="008D0C3A" w:rsidRPr="002B6FB4" w:rsidRDefault="008D0C3A">
            <w:pPr>
              <w:pStyle w:val="TableText"/>
              <w:keepNext/>
              <w:spacing w:before="0" w:after="0"/>
              <w:jc w:val="center"/>
              <w:rPr>
                <w:szCs w:val="20"/>
              </w:rPr>
            </w:pPr>
            <w:r w:rsidRPr="002B6FB4">
              <w:rPr>
                <w:szCs w:val="20"/>
              </w:rPr>
              <w:t>$34,100</w:t>
            </w:r>
          </w:p>
        </w:tc>
        <w:tc>
          <w:tcPr>
            <w:tcW w:w="759" w:type="pct"/>
            <w:shd w:val="clear" w:color="auto" w:fill="D9D9D9" w:themeFill="background1" w:themeFillShade="D9"/>
            <w:vAlign w:val="center"/>
          </w:tcPr>
          <w:p w14:paraId="6CBD6992" w14:textId="77777777" w:rsidR="008D0C3A" w:rsidRPr="002B6FB4" w:rsidRDefault="008D0C3A">
            <w:pPr>
              <w:pStyle w:val="TableText"/>
              <w:keepNext/>
              <w:spacing w:before="0" w:after="0"/>
              <w:jc w:val="center"/>
              <w:rPr>
                <w:szCs w:val="20"/>
              </w:rPr>
            </w:pPr>
            <w:r w:rsidRPr="002B6FB4">
              <w:rPr>
                <w:szCs w:val="20"/>
              </w:rPr>
              <w:t>1.101</w:t>
            </w:r>
          </w:p>
        </w:tc>
        <w:tc>
          <w:tcPr>
            <w:tcW w:w="748" w:type="pct"/>
            <w:vMerge w:val="restart"/>
            <w:shd w:val="clear" w:color="auto" w:fill="D9D9D9" w:themeFill="background1" w:themeFillShade="D9"/>
            <w:vAlign w:val="center"/>
          </w:tcPr>
          <w:p w14:paraId="3987EC2B" w14:textId="77777777" w:rsidR="008D0C3A" w:rsidRPr="002B6FB4" w:rsidRDefault="008D0C3A">
            <w:pPr>
              <w:pStyle w:val="TableText"/>
              <w:keepNext/>
              <w:spacing w:before="0" w:after="0"/>
              <w:jc w:val="center"/>
              <w:rPr>
                <w:szCs w:val="20"/>
              </w:rPr>
            </w:pPr>
            <w:r w:rsidRPr="002B6FB4">
              <w:rPr>
                <w:szCs w:val="20"/>
              </w:rPr>
              <w:t>0.301</w:t>
            </w:r>
          </w:p>
        </w:tc>
        <w:tc>
          <w:tcPr>
            <w:tcW w:w="807" w:type="pct"/>
            <w:vMerge w:val="restart"/>
            <w:shd w:val="clear" w:color="auto" w:fill="D9D9D9" w:themeFill="background1" w:themeFillShade="D9"/>
            <w:vAlign w:val="center"/>
          </w:tcPr>
          <w:p w14:paraId="2E7BF747" w14:textId="77777777" w:rsidR="008D0C3A" w:rsidRPr="002B6FB4" w:rsidRDefault="008D0C3A">
            <w:pPr>
              <w:pStyle w:val="TableText"/>
              <w:keepNext/>
              <w:spacing w:before="0" w:after="0"/>
              <w:jc w:val="center"/>
              <w:rPr>
                <w:b/>
                <w:bCs/>
                <w:szCs w:val="20"/>
              </w:rPr>
            </w:pPr>
            <w:r w:rsidRPr="002B6FB4">
              <w:rPr>
                <w:b/>
                <w:bCs/>
                <w:szCs w:val="20"/>
              </w:rPr>
              <w:t>$113,346</w:t>
            </w:r>
          </w:p>
        </w:tc>
      </w:tr>
      <w:tr w:rsidR="008D0C3A" w:rsidRPr="006B0414" w14:paraId="627FEC7E" w14:textId="77777777">
        <w:tc>
          <w:tcPr>
            <w:tcW w:w="233" w:type="pct"/>
            <w:vMerge/>
            <w:shd w:val="clear" w:color="auto" w:fill="E2EFD9" w:themeFill="accent6" w:themeFillTint="33"/>
            <w:vAlign w:val="center"/>
          </w:tcPr>
          <w:p w14:paraId="3A592E24" w14:textId="77777777" w:rsidR="008D0C3A" w:rsidRPr="006B0414" w:rsidRDefault="008D0C3A">
            <w:pPr>
              <w:pStyle w:val="TableText"/>
              <w:keepNext/>
              <w:spacing w:before="0" w:after="0"/>
              <w:jc w:val="center"/>
              <w:rPr>
                <w:szCs w:val="20"/>
              </w:rPr>
            </w:pPr>
          </w:p>
        </w:tc>
        <w:tc>
          <w:tcPr>
            <w:tcW w:w="1063" w:type="pct"/>
            <w:shd w:val="clear" w:color="auto" w:fill="D9D9D9" w:themeFill="background1" w:themeFillShade="D9"/>
            <w:vAlign w:val="center"/>
          </w:tcPr>
          <w:p w14:paraId="0A4BE51C" w14:textId="77777777" w:rsidR="008D0C3A" w:rsidRPr="002B6FB4" w:rsidRDefault="008D0C3A">
            <w:pPr>
              <w:pStyle w:val="TableText"/>
              <w:keepNext/>
              <w:spacing w:before="0" w:after="0"/>
              <w:rPr>
                <w:b/>
                <w:bCs/>
                <w:szCs w:val="20"/>
              </w:rPr>
            </w:pPr>
            <w:r w:rsidRPr="002B6FB4">
              <w:rPr>
                <w:szCs w:val="20"/>
              </w:rPr>
              <w:t>Cabazitaxel/BSC</w:t>
            </w:r>
          </w:p>
        </w:tc>
        <w:tc>
          <w:tcPr>
            <w:tcW w:w="714" w:type="pct"/>
            <w:shd w:val="clear" w:color="auto" w:fill="D9D9D9" w:themeFill="background1" w:themeFillShade="D9"/>
            <w:vAlign w:val="bottom"/>
          </w:tcPr>
          <w:p w14:paraId="1CA12855" w14:textId="77777777" w:rsidR="008D0C3A" w:rsidRPr="002B6FB4" w:rsidRDefault="008D0C3A">
            <w:pPr>
              <w:pStyle w:val="TableText"/>
              <w:keepNext/>
              <w:spacing w:before="0" w:after="0"/>
              <w:jc w:val="center"/>
              <w:rPr>
                <w:szCs w:val="20"/>
              </w:rPr>
            </w:pPr>
            <w:r w:rsidRPr="002B6FB4">
              <w:rPr>
                <w:szCs w:val="20"/>
              </w:rPr>
              <w:t>$43,014</w:t>
            </w:r>
          </w:p>
        </w:tc>
        <w:tc>
          <w:tcPr>
            <w:tcW w:w="676" w:type="pct"/>
            <w:vMerge/>
            <w:shd w:val="clear" w:color="auto" w:fill="D9D9D9" w:themeFill="background1" w:themeFillShade="D9"/>
            <w:vAlign w:val="bottom"/>
          </w:tcPr>
          <w:p w14:paraId="6D951174" w14:textId="77777777" w:rsidR="008D0C3A" w:rsidRPr="002B6FB4" w:rsidRDefault="008D0C3A">
            <w:pPr>
              <w:pStyle w:val="TableText"/>
              <w:keepNext/>
              <w:spacing w:before="0" w:after="0"/>
              <w:jc w:val="center"/>
              <w:rPr>
                <w:szCs w:val="20"/>
              </w:rPr>
            </w:pPr>
          </w:p>
        </w:tc>
        <w:tc>
          <w:tcPr>
            <w:tcW w:w="759" w:type="pct"/>
            <w:shd w:val="clear" w:color="auto" w:fill="D9D9D9" w:themeFill="background1" w:themeFillShade="D9"/>
            <w:vAlign w:val="bottom"/>
          </w:tcPr>
          <w:p w14:paraId="0ACB8169" w14:textId="77777777" w:rsidR="008D0C3A" w:rsidRPr="002B6FB4" w:rsidRDefault="008D0C3A">
            <w:pPr>
              <w:pStyle w:val="TableText"/>
              <w:keepNext/>
              <w:spacing w:before="0" w:after="0"/>
              <w:jc w:val="center"/>
              <w:rPr>
                <w:szCs w:val="20"/>
              </w:rPr>
            </w:pPr>
            <w:r w:rsidRPr="002B6FB4">
              <w:rPr>
                <w:szCs w:val="20"/>
              </w:rPr>
              <w:t>0.800</w:t>
            </w:r>
          </w:p>
        </w:tc>
        <w:tc>
          <w:tcPr>
            <w:tcW w:w="748" w:type="pct"/>
            <w:vMerge/>
            <w:shd w:val="clear" w:color="auto" w:fill="D9D9D9" w:themeFill="background1" w:themeFillShade="D9"/>
            <w:vAlign w:val="bottom"/>
          </w:tcPr>
          <w:p w14:paraId="3C304CC5" w14:textId="77777777" w:rsidR="008D0C3A" w:rsidRPr="002B6FB4" w:rsidRDefault="008D0C3A">
            <w:pPr>
              <w:pStyle w:val="TableText"/>
              <w:keepNext/>
              <w:spacing w:before="0" w:after="0"/>
              <w:jc w:val="center"/>
              <w:rPr>
                <w:b/>
                <w:bCs/>
                <w:szCs w:val="20"/>
              </w:rPr>
            </w:pPr>
          </w:p>
        </w:tc>
        <w:tc>
          <w:tcPr>
            <w:tcW w:w="807" w:type="pct"/>
            <w:vMerge/>
            <w:shd w:val="clear" w:color="auto" w:fill="E2EFD9" w:themeFill="accent6" w:themeFillTint="33"/>
            <w:vAlign w:val="bottom"/>
          </w:tcPr>
          <w:p w14:paraId="23FE012D" w14:textId="77777777" w:rsidR="008D0C3A" w:rsidRPr="002B6FB4" w:rsidRDefault="008D0C3A">
            <w:pPr>
              <w:pStyle w:val="TableText"/>
              <w:keepNext/>
              <w:spacing w:before="0" w:after="0"/>
              <w:jc w:val="center"/>
              <w:rPr>
                <w:b/>
                <w:bCs/>
                <w:szCs w:val="20"/>
              </w:rPr>
            </w:pPr>
          </w:p>
        </w:tc>
      </w:tr>
      <w:tr w:rsidR="008D0C3A" w:rsidRPr="006B0414" w14:paraId="12362E05" w14:textId="77777777">
        <w:tc>
          <w:tcPr>
            <w:tcW w:w="233" w:type="pct"/>
            <w:vMerge w:val="restart"/>
            <w:vAlign w:val="center"/>
          </w:tcPr>
          <w:p w14:paraId="60A0931C" w14:textId="77777777" w:rsidR="008D0C3A" w:rsidRPr="005D018F" w:rsidRDefault="008D0C3A">
            <w:pPr>
              <w:pStyle w:val="TableText"/>
              <w:keepNext/>
              <w:spacing w:before="0" w:after="0"/>
              <w:jc w:val="center"/>
              <w:rPr>
                <w:szCs w:val="20"/>
              </w:rPr>
            </w:pPr>
            <w:r>
              <w:rPr>
                <w:szCs w:val="20"/>
              </w:rPr>
              <w:t>E</w:t>
            </w:r>
          </w:p>
        </w:tc>
        <w:tc>
          <w:tcPr>
            <w:tcW w:w="4767" w:type="pct"/>
            <w:gridSpan w:val="6"/>
          </w:tcPr>
          <w:p w14:paraId="0B38843F" w14:textId="77777777" w:rsidR="008D0C3A" w:rsidRPr="002B6FB4" w:rsidRDefault="008D0C3A">
            <w:pPr>
              <w:pStyle w:val="TableText"/>
              <w:keepNext/>
              <w:spacing w:before="0" w:after="0"/>
              <w:rPr>
                <w:szCs w:val="20"/>
              </w:rPr>
            </w:pPr>
            <w:r w:rsidRPr="002B6FB4">
              <w:rPr>
                <w:szCs w:val="20"/>
              </w:rPr>
              <w:t xml:space="preserve">Original model (MSAC 1686): As per C and cost of </w:t>
            </w:r>
            <w:r>
              <w:rPr>
                <w:szCs w:val="20"/>
                <w:vertAlign w:val="superscript"/>
              </w:rPr>
              <w:t>177</w:t>
            </w:r>
            <w:r w:rsidRPr="00662CF7">
              <w:rPr>
                <w:szCs w:val="20"/>
              </w:rPr>
              <w:t>Lu</w:t>
            </w:r>
            <w:r>
              <w:rPr>
                <w:szCs w:val="20"/>
              </w:rPr>
              <w:t> </w:t>
            </w:r>
            <w:r w:rsidRPr="00662CF7">
              <w:rPr>
                <w:szCs w:val="20"/>
              </w:rPr>
              <w:t>PSMA</w:t>
            </w:r>
            <w:r>
              <w:rPr>
                <w:szCs w:val="20"/>
              </w:rPr>
              <w:t> i&amp;t</w:t>
            </w:r>
            <w:r w:rsidRPr="002B6FB4">
              <w:rPr>
                <w:szCs w:val="20"/>
              </w:rPr>
              <w:t xml:space="preserve"> applied to all surviving patients (rather than those in PFS) for four cycles, based on VISION [</w:t>
            </w:r>
            <w:r w:rsidRPr="009C739A">
              <w:rPr>
                <w:szCs w:val="20"/>
                <w:u w:val="single"/>
              </w:rPr>
              <w:t>minimum</w:t>
            </w:r>
            <w:r>
              <w:rPr>
                <w:szCs w:val="20"/>
              </w:rPr>
              <w:t xml:space="preserve"> discontinuations</w:t>
            </w:r>
            <w:r w:rsidRPr="002B6FB4">
              <w:rPr>
                <w:szCs w:val="20"/>
              </w:rPr>
              <w:t>]</w:t>
            </w:r>
            <w:r>
              <w:rPr>
                <w:szCs w:val="20"/>
              </w:rPr>
              <w:t>.</w:t>
            </w:r>
          </w:p>
        </w:tc>
      </w:tr>
      <w:tr w:rsidR="008D0C3A" w:rsidRPr="006B0414" w14:paraId="42D2FA7C" w14:textId="77777777">
        <w:tc>
          <w:tcPr>
            <w:tcW w:w="233" w:type="pct"/>
            <w:vMerge/>
            <w:vAlign w:val="center"/>
          </w:tcPr>
          <w:p w14:paraId="43903415" w14:textId="77777777" w:rsidR="008D0C3A" w:rsidRPr="006B0414" w:rsidRDefault="008D0C3A">
            <w:pPr>
              <w:pStyle w:val="TableText"/>
              <w:keepNext/>
              <w:spacing w:before="0" w:after="0"/>
              <w:jc w:val="center"/>
              <w:rPr>
                <w:szCs w:val="20"/>
                <w:vertAlign w:val="superscript"/>
              </w:rPr>
            </w:pPr>
          </w:p>
        </w:tc>
        <w:tc>
          <w:tcPr>
            <w:tcW w:w="1063" w:type="pct"/>
          </w:tcPr>
          <w:p w14:paraId="0E2AE14C" w14:textId="77777777" w:rsidR="008D0C3A" w:rsidRPr="002B6FB4" w:rsidRDefault="008D0C3A">
            <w:pPr>
              <w:pStyle w:val="TableText"/>
              <w:keepNext/>
              <w:spacing w:before="0" w:after="0"/>
              <w:rPr>
                <w:szCs w:val="20"/>
              </w:rPr>
            </w:pPr>
            <w:r w:rsidRPr="002B6FB4">
              <w:rPr>
                <w:szCs w:val="20"/>
                <w:vertAlign w:val="superscript"/>
              </w:rPr>
              <w:t>177</w:t>
            </w:r>
            <w:r w:rsidRPr="002B6FB4">
              <w:rPr>
                <w:szCs w:val="20"/>
              </w:rPr>
              <w:t>Lu PSMA i&amp;t</w:t>
            </w:r>
          </w:p>
        </w:tc>
        <w:tc>
          <w:tcPr>
            <w:tcW w:w="714" w:type="pct"/>
            <w:vAlign w:val="bottom"/>
          </w:tcPr>
          <w:p w14:paraId="1E11E805" w14:textId="77777777" w:rsidR="008D0C3A" w:rsidRPr="002B6FB4" w:rsidRDefault="008D0C3A">
            <w:pPr>
              <w:pStyle w:val="TableText"/>
              <w:keepNext/>
              <w:spacing w:before="0" w:after="0"/>
              <w:jc w:val="center"/>
              <w:rPr>
                <w:szCs w:val="20"/>
              </w:rPr>
            </w:pPr>
            <w:r w:rsidRPr="002B6FB4">
              <w:rPr>
                <w:szCs w:val="20"/>
              </w:rPr>
              <w:t>$79,557</w:t>
            </w:r>
          </w:p>
        </w:tc>
        <w:tc>
          <w:tcPr>
            <w:tcW w:w="676" w:type="pct"/>
            <w:vMerge w:val="restart"/>
            <w:vAlign w:val="center"/>
          </w:tcPr>
          <w:p w14:paraId="2FFEBF44" w14:textId="77777777" w:rsidR="008D0C3A" w:rsidRPr="002B6FB4" w:rsidRDefault="008D0C3A">
            <w:pPr>
              <w:pStyle w:val="TableText"/>
              <w:keepNext/>
              <w:spacing w:before="0" w:after="0"/>
              <w:jc w:val="center"/>
              <w:rPr>
                <w:szCs w:val="20"/>
              </w:rPr>
            </w:pPr>
            <w:r w:rsidRPr="002B6FB4">
              <w:rPr>
                <w:szCs w:val="20"/>
              </w:rPr>
              <w:t>$36,563</w:t>
            </w:r>
          </w:p>
        </w:tc>
        <w:tc>
          <w:tcPr>
            <w:tcW w:w="759" w:type="pct"/>
            <w:vAlign w:val="center"/>
          </w:tcPr>
          <w:p w14:paraId="5AFC5710" w14:textId="77777777" w:rsidR="008D0C3A" w:rsidRPr="002B6FB4" w:rsidRDefault="008D0C3A">
            <w:pPr>
              <w:pStyle w:val="TableText"/>
              <w:keepNext/>
              <w:spacing w:before="0" w:after="0"/>
              <w:jc w:val="center"/>
              <w:rPr>
                <w:szCs w:val="20"/>
              </w:rPr>
            </w:pPr>
            <w:r w:rsidRPr="002B6FB4">
              <w:rPr>
                <w:szCs w:val="20"/>
              </w:rPr>
              <w:t>1.101</w:t>
            </w:r>
          </w:p>
        </w:tc>
        <w:tc>
          <w:tcPr>
            <w:tcW w:w="748" w:type="pct"/>
            <w:vMerge w:val="restart"/>
            <w:vAlign w:val="center"/>
          </w:tcPr>
          <w:p w14:paraId="1DA4E5F8" w14:textId="77777777" w:rsidR="008D0C3A" w:rsidRPr="002B6FB4" w:rsidRDefault="008D0C3A">
            <w:pPr>
              <w:pStyle w:val="TableText"/>
              <w:keepNext/>
              <w:spacing w:before="0" w:after="0"/>
              <w:jc w:val="center"/>
              <w:rPr>
                <w:szCs w:val="20"/>
              </w:rPr>
            </w:pPr>
            <w:r w:rsidRPr="002B6FB4">
              <w:rPr>
                <w:szCs w:val="20"/>
              </w:rPr>
              <w:t>0.301</w:t>
            </w:r>
          </w:p>
        </w:tc>
        <w:tc>
          <w:tcPr>
            <w:tcW w:w="807" w:type="pct"/>
            <w:vMerge w:val="restart"/>
            <w:vAlign w:val="center"/>
          </w:tcPr>
          <w:p w14:paraId="5A1716CF" w14:textId="77777777" w:rsidR="008D0C3A" w:rsidRPr="002B6FB4" w:rsidRDefault="008D0C3A">
            <w:pPr>
              <w:pStyle w:val="TableText"/>
              <w:keepNext/>
              <w:spacing w:before="0" w:after="0"/>
              <w:jc w:val="center"/>
              <w:rPr>
                <w:szCs w:val="20"/>
              </w:rPr>
            </w:pPr>
            <w:r w:rsidRPr="002B6FB4">
              <w:rPr>
                <w:szCs w:val="20"/>
              </w:rPr>
              <w:t>$121,535</w:t>
            </w:r>
          </w:p>
        </w:tc>
      </w:tr>
      <w:tr w:rsidR="008D0C3A" w:rsidRPr="006B0414" w14:paraId="543F09B9" w14:textId="77777777">
        <w:tc>
          <w:tcPr>
            <w:tcW w:w="233" w:type="pct"/>
            <w:vMerge/>
            <w:vAlign w:val="center"/>
          </w:tcPr>
          <w:p w14:paraId="32E0477B" w14:textId="77777777" w:rsidR="008D0C3A" w:rsidRPr="006B0414" w:rsidRDefault="008D0C3A">
            <w:pPr>
              <w:pStyle w:val="TableText"/>
              <w:keepNext/>
              <w:spacing w:before="0" w:after="0"/>
              <w:jc w:val="center"/>
              <w:rPr>
                <w:szCs w:val="20"/>
              </w:rPr>
            </w:pPr>
          </w:p>
        </w:tc>
        <w:tc>
          <w:tcPr>
            <w:tcW w:w="1063" w:type="pct"/>
            <w:vAlign w:val="center"/>
          </w:tcPr>
          <w:p w14:paraId="61230AC1" w14:textId="77777777" w:rsidR="008D0C3A" w:rsidRPr="002B6FB4" w:rsidRDefault="008D0C3A">
            <w:pPr>
              <w:pStyle w:val="TableText"/>
              <w:keepNext/>
              <w:spacing w:before="0" w:after="0"/>
              <w:rPr>
                <w:szCs w:val="20"/>
              </w:rPr>
            </w:pPr>
            <w:r w:rsidRPr="002B6FB4">
              <w:rPr>
                <w:szCs w:val="20"/>
              </w:rPr>
              <w:t>Cabazitaxel/BSC</w:t>
            </w:r>
          </w:p>
        </w:tc>
        <w:tc>
          <w:tcPr>
            <w:tcW w:w="714" w:type="pct"/>
            <w:vAlign w:val="bottom"/>
          </w:tcPr>
          <w:p w14:paraId="18607C7C" w14:textId="77777777" w:rsidR="008D0C3A" w:rsidRPr="002B6FB4" w:rsidRDefault="008D0C3A">
            <w:pPr>
              <w:pStyle w:val="TableText"/>
              <w:keepNext/>
              <w:spacing w:before="0" w:after="0"/>
              <w:jc w:val="center"/>
              <w:rPr>
                <w:szCs w:val="20"/>
              </w:rPr>
            </w:pPr>
            <w:r w:rsidRPr="002B6FB4">
              <w:rPr>
                <w:szCs w:val="20"/>
              </w:rPr>
              <w:t>$43,</w:t>
            </w:r>
            <w:r>
              <w:rPr>
                <w:szCs w:val="20"/>
              </w:rPr>
              <w:t>014</w:t>
            </w:r>
          </w:p>
        </w:tc>
        <w:tc>
          <w:tcPr>
            <w:tcW w:w="676" w:type="pct"/>
            <w:vMerge/>
            <w:vAlign w:val="bottom"/>
          </w:tcPr>
          <w:p w14:paraId="489469E1" w14:textId="77777777" w:rsidR="008D0C3A" w:rsidRPr="002B6FB4" w:rsidRDefault="008D0C3A">
            <w:pPr>
              <w:pStyle w:val="TableText"/>
              <w:keepNext/>
              <w:spacing w:before="0" w:after="0"/>
              <w:jc w:val="center"/>
              <w:rPr>
                <w:szCs w:val="20"/>
              </w:rPr>
            </w:pPr>
          </w:p>
        </w:tc>
        <w:tc>
          <w:tcPr>
            <w:tcW w:w="759" w:type="pct"/>
            <w:vAlign w:val="bottom"/>
          </w:tcPr>
          <w:p w14:paraId="00AEA57F" w14:textId="77777777" w:rsidR="008D0C3A" w:rsidRPr="002B6FB4" w:rsidRDefault="008D0C3A">
            <w:pPr>
              <w:pStyle w:val="TableText"/>
              <w:keepNext/>
              <w:spacing w:before="0" w:after="0"/>
              <w:jc w:val="center"/>
              <w:rPr>
                <w:szCs w:val="20"/>
              </w:rPr>
            </w:pPr>
            <w:r w:rsidRPr="002B6FB4">
              <w:rPr>
                <w:szCs w:val="20"/>
              </w:rPr>
              <w:t>0.800</w:t>
            </w:r>
          </w:p>
        </w:tc>
        <w:tc>
          <w:tcPr>
            <w:tcW w:w="748" w:type="pct"/>
            <w:vMerge/>
            <w:vAlign w:val="bottom"/>
          </w:tcPr>
          <w:p w14:paraId="470FBAEC" w14:textId="77777777" w:rsidR="008D0C3A" w:rsidRPr="002B6FB4" w:rsidRDefault="008D0C3A">
            <w:pPr>
              <w:pStyle w:val="TableText"/>
              <w:keepNext/>
              <w:spacing w:before="0" w:after="0"/>
              <w:jc w:val="center"/>
              <w:rPr>
                <w:szCs w:val="20"/>
              </w:rPr>
            </w:pPr>
          </w:p>
        </w:tc>
        <w:tc>
          <w:tcPr>
            <w:tcW w:w="807" w:type="pct"/>
            <w:vMerge/>
            <w:vAlign w:val="bottom"/>
          </w:tcPr>
          <w:p w14:paraId="4182DC02" w14:textId="77777777" w:rsidR="008D0C3A" w:rsidRPr="002B6FB4" w:rsidRDefault="008D0C3A">
            <w:pPr>
              <w:pStyle w:val="TableText"/>
              <w:keepNext/>
              <w:spacing w:before="0" w:after="0"/>
              <w:jc w:val="center"/>
              <w:rPr>
                <w:szCs w:val="20"/>
              </w:rPr>
            </w:pPr>
          </w:p>
        </w:tc>
      </w:tr>
      <w:tr w:rsidR="008D0C3A" w:rsidRPr="006B0414" w14:paraId="563FE881" w14:textId="77777777">
        <w:tc>
          <w:tcPr>
            <w:tcW w:w="233" w:type="pct"/>
            <w:vMerge w:val="restart"/>
            <w:vAlign w:val="center"/>
          </w:tcPr>
          <w:p w14:paraId="1164E59C" w14:textId="77777777" w:rsidR="008D0C3A" w:rsidRPr="006B0414" w:rsidRDefault="008D0C3A">
            <w:pPr>
              <w:pStyle w:val="TableText"/>
              <w:keepNext/>
              <w:spacing w:before="0" w:after="0"/>
              <w:jc w:val="center"/>
              <w:rPr>
                <w:szCs w:val="20"/>
              </w:rPr>
            </w:pPr>
            <w:r>
              <w:rPr>
                <w:szCs w:val="20"/>
              </w:rPr>
              <w:t>F</w:t>
            </w:r>
          </w:p>
        </w:tc>
        <w:tc>
          <w:tcPr>
            <w:tcW w:w="4767" w:type="pct"/>
            <w:gridSpan w:val="6"/>
          </w:tcPr>
          <w:p w14:paraId="66C95E9F" w14:textId="77777777" w:rsidR="008D0C3A" w:rsidRPr="002B6FB4" w:rsidRDefault="008D0C3A">
            <w:pPr>
              <w:pStyle w:val="TableText"/>
              <w:keepNext/>
              <w:spacing w:before="0" w:after="0"/>
              <w:rPr>
                <w:b/>
                <w:bCs/>
                <w:szCs w:val="20"/>
              </w:rPr>
            </w:pPr>
            <w:r w:rsidRPr="002B6FB4">
              <w:rPr>
                <w:szCs w:val="20"/>
              </w:rPr>
              <w:t xml:space="preserve">Original model (MSAC 1686): As per C and cost </w:t>
            </w:r>
            <w:r>
              <w:rPr>
                <w:szCs w:val="20"/>
                <w:vertAlign w:val="superscript"/>
              </w:rPr>
              <w:t>177</w:t>
            </w:r>
            <w:r w:rsidRPr="00662CF7">
              <w:rPr>
                <w:szCs w:val="20"/>
              </w:rPr>
              <w:t>Lu</w:t>
            </w:r>
            <w:r>
              <w:rPr>
                <w:szCs w:val="20"/>
              </w:rPr>
              <w:t> </w:t>
            </w:r>
            <w:r w:rsidRPr="00662CF7">
              <w:rPr>
                <w:szCs w:val="20"/>
              </w:rPr>
              <w:t>PSMA</w:t>
            </w:r>
            <w:r>
              <w:rPr>
                <w:szCs w:val="20"/>
              </w:rPr>
              <w:t> i&amp;t</w:t>
            </w:r>
            <w:r w:rsidRPr="00662CF7">
              <w:rPr>
                <w:szCs w:val="20"/>
              </w:rPr>
              <w:t xml:space="preserve"> </w:t>
            </w:r>
            <w:r w:rsidRPr="002B6FB4">
              <w:rPr>
                <w:szCs w:val="20"/>
              </w:rPr>
              <w:t>applied to all surviving patients (rather than those in PFS) for six cycles</w:t>
            </w:r>
            <w:r>
              <w:rPr>
                <w:szCs w:val="20"/>
              </w:rPr>
              <w:t>.</w:t>
            </w:r>
            <w:r w:rsidRPr="002B6FB4">
              <w:rPr>
                <w:szCs w:val="20"/>
              </w:rPr>
              <w:t xml:space="preserve"> </w:t>
            </w:r>
            <w:r>
              <w:rPr>
                <w:szCs w:val="20"/>
              </w:rPr>
              <w:t>W</w:t>
            </w:r>
            <w:r w:rsidRPr="002B6FB4">
              <w:rPr>
                <w:szCs w:val="20"/>
              </w:rPr>
              <w:t xml:space="preserve">orst case scenario [absolute </w:t>
            </w:r>
            <w:r>
              <w:rPr>
                <w:szCs w:val="20"/>
              </w:rPr>
              <w:t>minimum discontinuations</w:t>
            </w:r>
            <w:r w:rsidRPr="002B6FB4">
              <w:rPr>
                <w:szCs w:val="20"/>
              </w:rPr>
              <w:t>]</w:t>
            </w:r>
            <w:r>
              <w:rPr>
                <w:szCs w:val="20"/>
              </w:rPr>
              <w:t>.</w:t>
            </w:r>
          </w:p>
        </w:tc>
      </w:tr>
      <w:tr w:rsidR="008D0C3A" w:rsidRPr="006B0414" w14:paraId="4A8139DF" w14:textId="77777777">
        <w:tc>
          <w:tcPr>
            <w:tcW w:w="233" w:type="pct"/>
            <w:vMerge/>
            <w:vAlign w:val="center"/>
          </w:tcPr>
          <w:p w14:paraId="6CC78888" w14:textId="77777777" w:rsidR="008D0C3A" w:rsidRPr="006B0414" w:rsidRDefault="008D0C3A">
            <w:pPr>
              <w:pStyle w:val="TableText"/>
              <w:keepNext/>
              <w:spacing w:before="0" w:after="0"/>
              <w:jc w:val="center"/>
              <w:rPr>
                <w:szCs w:val="20"/>
                <w:vertAlign w:val="superscript"/>
              </w:rPr>
            </w:pPr>
          </w:p>
        </w:tc>
        <w:tc>
          <w:tcPr>
            <w:tcW w:w="1063" w:type="pct"/>
          </w:tcPr>
          <w:p w14:paraId="3DCDCA49" w14:textId="77777777" w:rsidR="008D0C3A" w:rsidRPr="006B0414" w:rsidRDefault="008D0C3A">
            <w:pPr>
              <w:pStyle w:val="TableText"/>
              <w:keepNext/>
              <w:spacing w:before="0" w:after="0"/>
              <w:rPr>
                <w:szCs w:val="20"/>
              </w:rPr>
            </w:pPr>
            <w:r w:rsidRPr="006B0414">
              <w:rPr>
                <w:szCs w:val="20"/>
                <w:vertAlign w:val="superscript"/>
              </w:rPr>
              <w:t>177</w:t>
            </w:r>
            <w:r w:rsidRPr="006B0414">
              <w:rPr>
                <w:szCs w:val="20"/>
              </w:rPr>
              <w:t>Lu PSMA i&amp;t</w:t>
            </w:r>
          </w:p>
        </w:tc>
        <w:tc>
          <w:tcPr>
            <w:tcW w:w="714" w:type="pct"/>
            <w:vAlign w:val="bottom"/>
          </w:tcPr>
          <w:p w14:paraId="1AD6162F" w14:textId="77777777" w:rsidR="008D0C3A" w:rsidRPr="006B0414" w:rsidRDefault="008D0C3A">
            <w:pPr>
              <w:pStyle w:val="TableText"/>
              <w:keepNext/>
              <w:spacing w:before="0" w:after="0"/>
              <w:jc w:val="center"/>
              <w:rPr>
                <w:szCs w:val="20"/>
              </w:rPr>
            </w:pPr>
            <w:r>
              <w:rPr>
                <w:szCs w:val="20"/>
              </w:rPr>
              <w:t>$82,750</w:t>
            </w:r>
          </w:p>
        </w:tc>
        <w:tc>
          <w:tcPr>
            <w:tcW w:w="676" w:type="pct"/>
            <w:vMerge w:val="restart"/>
            <w:vAlign w:val="center"/>
          </w:tcPr>
          <w:p w14:paraId="221DBD60" w14:textId="77777777" w:rsidR="008D0C3A" w:rsidRPr="006B0414" w:rsidRDefault="008D0C3A">
            <w:pPr>
              <w:pStyle w:val="TableText"/>
              <w:keepNext/>
              <w:spacing w:before="0" w:after="0"/>
              <w:jc w:val="center"/>
              <w:rPr>
                <w:szCs w:val="20"/>
              </w:rPr>
            </w:pPr>
            <w:r>
              <w:rPr>
                <w:szCs w:val="20"/>
              </w:rPr>
              <w:t>$39,757</w:t>
            </w:r>
          </w:p>
        </w:tc>
        <w:tc>
          <w:tcPr>
            <w:tcW w:w="759" w:type="pct"/>
            <w:vAlign w:val="center"/>
          </w:tcPr>
          <w:p w14:paraId="69F6DD78" w14:textId="77777777" w:rsidR="008D0C3A" w:rsidRPr="006B0414" w:rsidRDefault="008D0C3A">
            <w:pPr>
              <w:pStyle w:val="TableText"/>
              <w:keepNext/>
              <w:spacing w:before="0" w:after="0"/>
              <w:jc w:val="center"/>
              <w:rPr>
                <w:szCs w:val="20"/>
              </w:rPr>
            </w:pPr>
            <w:r w:rsidRPr="002514D6">
              <w:rPr>
                <w:szCs w:val="20"/>
              </w:rPr>
              <w:t>1.101</w:t>
            </w:r>
          </w:p>
        </w:tc>
        <w:tc>
          <w:tcPr>
            <w:tcW w:w="748" w:type="pct"/>
            <w:vMerge w:val="restart"/>
            <w:vAlign w:val="center"/>
          </w:tcPr>
          <w:p w14:paraId="3E9B3D61" w14:textId="77777777" w:rsidR="008D0C3A" w:rsidRPr="006B0414" w:rsidRDefault="008D0C3A">
            <w:pPr>
              <w:pStyle w:val="TableText"/>
              <w:keepNext/>
              <w:spacing w:before="0" w:after="0"/>
              <w:jc w:val="center"/>
              <w:rPr>
                <w:szCs w:val="20"/>
              </w:rPr>
            </w:pPr>
            <w:r>
              <w:rPr>
                <w:szCs w:val="20"/>
              </w:rPr>
              <w:t>0.301</w:t>
            </w:r>
          </w:p>
        </w:tc>
        <w:tc>
          <w:tcPr>
            <w:tcW w:w="807" w:type="pct"/>
            <w:vMerge w:val="restart"/>
            <w:vAlign w:val="center"/>
          </w:tcPr>
          <w:p w14:paraId="648E8495" w14:textId="77777777" w:rsidR="008D0C3A" w:rsidRPr="002514D6" w:rsidRDefault="008D0C3A">
            <w:pPr>
              <w:pStyle w:val="TableText"/>
              <w:keepNext/>
              <w:spacing w:before="0" w:after="0"/>
              <w:jc w:val="center"/>
              <w:rPr>
                <w:szCs w:val="20"/>
              </w:rPr>
            </w:pPr>
            <w:r w:rsidRPr="002514D6">
              <w:rPr>
                <w:szCs w:val="20"/>
              </w:rPr>
              <w:t>$132,083</w:t>
            </w:r>
          </w:p>
        </w:tc>
      </w:tr>
      <w:tr w:rsidR="008D0C3A" w:rsidRPr="006B0414" w14:paraId="70E4BAE6" w14:textId="77777777">
        <w:tc>
          <w:tcPr>
            <w:tcW w:w="233" w:type="pct"/>
            <w:vMerge/>
            <w:vAlign w:val="center"/>
          </w:tcPr>
          <w:p w14:paraId="5A95EF82" w14:textId="77777777" w:rsidR="008D0C3A" w:rsidRPr="006B0414" w:rsidRDefault="008D0C3A">
            <w:pPr>
              <w:pStyle w:val="TableText"/>
              <w:keepNext/>
              <w:spacing w:before="0" w:after="0"/>
              <w:jc w:val="center"/>
              <w:rPr>
                <w:szCs w:val="20"/>
              </w:rPr>
            </w:pPr>
          </w:p>
        </w:tc>
        <w:tc>
          <w:tcPr>
            <w:tcW w:w="1063" w:type="pct"/>
            <w:vAlign w:val="center"/>
          </w:tcPr>
          <w:p w14:paraId="451243B7" w14:textId="77777777" w:rsidR="008D0C3A" w:rsidRPr="006B0414" w:rsidRDefault="008D0C3A">
            <w:pPr>
              <w:pStyle w:val="TableText"/>
              <w:keepNext/>
              <w:spacing w:before="0" w:after="0"/>
              <w:rPr>
                <w:szCs w:val="20"/>
              </w:rPr>
            </w:pPr>
            <w:r w:rsidRPr="006B0414">
              <w:rPr>
                <w:szCs w:val="20"/>
              </w:rPr>
              <w:t>Cabazitaxel/BSC</w:t>
            </w:r>
          </w:p>
        </w:tc>
        <w:tc>
          <w:tcPr>
            <w:tcW w:w="714" w:type="pct"/>
            <w:vAlign w:val="bottom"/>
          </w:tcPr>
          <w:p w14:paraId="68BC9620" w14:textId="77777777" w:rsidR="008D0C3A" w:rsidRPr="006B0414" w:rsidRDefault="008D0C3A">
            <w:pPr>
              <w:pStyle w:val="TableText"/>
              <w:keepNext/>
              <w:spacing w:before="0" w:after="0"/>
              <w:jc w:val="center"/>
              <w:rPr>
                <w:szCs w:val="20"/>
              </w:rPr>
            </w:pPr>
            <w:r>
              <w:rPr>
                <w:szCs w:val="20"/>
              </w:rPr>
              <w:t>$43,014</w:t>
            </w:r>
          </w:p>
        </w:tc>
        <w:tc>
          <w:tcPr>
            <w:tcW w:w="676" w:type="pct"/>
            <w:vMerge/>
            <w:vAlign w:val="bottom"/>
          </w:tcPr>
          <w:p w14:paraId="25D830E1" w14:textId="77777777" w:rsidR="008D0C3A" w:rsidRPr="006B0414" w:rsidRDefault="008D0C3A">
            <w:pPr>
              <w:pStyle w:val="TableText"/>
              <w:keepNext/>
              <w:spacing w:before="0" w:after="0"/>
              <w:jc w:val="center"/>
              <w:rPr>
                <w:szCs w:val="20"/>
              </w:rPr>
            </w:pPr>
          </w:p>
        </w:tc>
        <w:tc>
          <w:tcPr>
            <w:tcW w:w="759" w:type="pct"/>
            <w:vAlign w:val="bottom"/>
          </w:tcPr>
          <w:p w14:paraId="71D7E6C0" w14:textId="77777777" w:rsidR="008D0C3A" w:rsidRPr="006B0414" w:rsidRDefault="008D0C3A">
            <w:pPr>
              <w:pStyle w:val="TableText"/>
              <w:keepNext/>
              <w:spacing w:before="0" w:after="0"/>
              <w:jc w:val="center"/>
              <w:rPr>
                <w:szCs w:val="20"/>
              </w:rPr>
            </w:pPr>
            <w:r w:rsidRPr="002514D6">
              <w:rPr>
                <w:szCs w:val="20"/>
              </w:rPr>
              <w:t>0.800</w:t>
            </w:r>
          </w:p>
        </w:tc>
        <w:tc>
          <w:tcPr>
            <w:tcW w:w="748" w:type="pct"/>
            <w:vMerge/>
            <w:vAlign w:val="bottom"/>
          </w:tcPr>
          <w:p w14:paraId="02BC4ABD" w14:textId="77777777" w:rsidR="008D0C3A" w:rsidRPr="006B0414" w:rsidRDefault="008D0C3A">
            <w:pPr>
              <w:pStyle w:val="TableText"/>
              <w:keepNext/>
              <w:spacing w:before="0" w:after="0"/>
              <w:jc w:val="center"/>
              <w:rPr>
                <w:szCs w:val="20"/>
              </w:rPr>
            </w:pPr>
          </w:p>
        </w:tc>
        <w:tc>
          <w:tcPr>
            <w:tcW w:w="807" w:type="pct"/>
            <w:vMerge/>
            <w:vAlign w:val="bottom"/>
          </w:tcPr>
          <w:p w14:paraId="0C8BF939" w14:textId="77777777" w:rsidR="008D0C3A" w:rsidRPr="006B0414" w:rsidRDefault="008D0C3A">
            <w:pPr>
              <w:pStyle w:val="TableText"/>
              <w:keepNext/>
              <w:spacing w:before="0" w:after="0"/>
              <w:jc w:val="center"/>
              <w:rPr>
                <w:b/>
                <w:bCs/>
                <w:szCs w:val="20"/>
              </w:rPr>
            </w:pPr>
          </w:p>
        </w:tc>
      </w:tr>
    </w:tbl>
    <w:p w14:paraId="11E30D6C" w14:textId="77777777" w:rsidR="008D0C3A" w:rsidRDefault="008D0C3A" w:rsidP="008D0C3A">
      <w:pPr>
        <w:spacing w:after="0" w:line="240" w:lineRule="auto"/>
        <w:rPr>
          <w:lang w:val="en-US"/>
        </w:rPr>
      </w:pPr>
      <w:r>
        <w:rPr>
          <w:lang w:val="en-US"/>
        </w:rPr>
        <w:t xml:space="preserve">Step C assumes all patients receive one cycle of </w:t>
      </w:r>
      <w:r w:rsidRPr="00B6092F">
        <w:rPr>
          <w:vertAlign w:val="superscript"/>
          <w:lang w:val="en-US"/>
        </w:rPr>
        <w:t>177</w:t>
      </w:r>
      <w:r w:rsidRPr="00B6092F">
        <w:rPr>
          <w:lang w:val="en-US"/>
        </w:rPr>
        <w:t>Lu PSMA i&amp;t</w:t>
      </w:r>
      <w:r>
        <w:rPr>
          <w:lang w:val="en-US"/>
        </w:rPr>
        <w:t xml:space="preserve"> and all subsequent treatment is restricted to those who remain progression-free. This analysis is considered to be the ‘best case scenario’ in terms of estimating the ICER; and represents the absolute maximum in terms of the number of patients who discontinue. Although inconsistent with the proposed two-step item descriptors (see below), there is potential for patients to discontinue following a single cycle of </w:t>
      </w:r>
      <w:r w:rsidRPr="00B6092F">
        <w:rPr>
          <w:vertAlign w:val="superscript"/>
          <w:lang w:val="en-US"/>
        </w:rPr>
        <w:t>177</w:t>
      </w:r>
      <w:r w:rsidRPr="00B6092F">
        <w:rPr>
          <w:lang w:val="en-US"/>
        </w:rPr>
        <w:t>Lu PSMA i&amp;t</w:t>
      </w:r>
      <w:r>
        <w:rPr>
          <w:lang w:val="en-US"/>
        </w:rPr>
        <w:t xml:space="preserve"> given progression is defined as “…</w:t>
      </w:r>
      <w:r w:rsidRPr="006C67D5">
        <w:rPr>
          <w:lang w:val="en-US"/>
        </w:rPr>
        <w:t xml:space="preserve"> a rise in PSA of &gt;2 ng/mL confirmed by 2 tests a minimum 2 weeks apart and/or evidence of new soft tissue metastases on diagnostic CT as per RECIST criteria</w:t>
      </w:r>
      <w:r>
        <w:rPr>
          <w:lang w:val="en-US"/>
        </w:rPr>
        <w:t>”.</w:t>
      </w:r>
    </w:p>
    <w:p w14:paraId="4E86A6F3" w14:textId="77777777" w:rsidR="008D0C3A" w:rsidRDefault="008D0C3A" w:rsidP="008D0C3A">
      <w:pPr>
        <w:spacing w:after="0" w:line="240" w:lineRule="auto"/>
        <w:rPr>
          <w:lang w:val="en-US"/>
        </w:rPr>
      </w:pPr>
      <w:r>
        <w:rPr>
          <w:lang w:val="en-US"/>
        </w:rPr>
        <w:t xml:space="preserve">Step D assumes all surviving patients receive two cycles of </w:t>
      </w:r>
      <w:r w:rsidRPr="00B6092F">
        <w:rPr>
          <w:vertAlign w:val="superscript"/>
          <w:lang w:val="en-US"/>
        </w:rPr>
        <w:t>177</w:t>
      </w:r>
      <w:r w:rsidRPr="00B6092F">
        <w:rPr>
          <w:lang w:val="en-US"/>
        </w:rPr>
        <w:t>Lu PSMA i&amp;t</w:t>
      </w:r>
      <w:r>
        <w:rPr>
          <w:lang w:val="en-US"/>
        </w:rPr>
        <w:t xml:space="preserve">. This analysis is consistent with the two-step initial (two cycles) and continuing (up to four cycles) item descriptors proposed in the MSAC 1686.1 ADAR resubmission and assumed in the FFP DCAR and is thus considered to be the updated </w:t>
      </w:r>
      <w:r w:rsidRPr="006C67D5">
        <w:rPr>
          <w:u w:val="single"/>
          <w:lang w:val="en-US"/>
        </w:rPr>
        <w:t>base case</w:t>
      </w:r>
      <w:r>
        <w:rPr>
          <w:lang w:val="en-US"/>
        </w:rPr>
        <w:t>. Based on the proposed item descriptor, this represents the maximum in terms of the number of patients who discontinue.</w:t>
      </w:r>
    </w:p>
    <w:p w14:paraId="08E89569" w14:textId="77777777" w:rsidR="008D0C3A" w:rsidRDefault="008D0C3A" w:rsidP="008D0C3A">
      <w:pPr>
        <w:spacing w:after="0" w:line="240" w:lineRule="auto"/>
        <w:rPr>
          <w:lang w:val="en-US"/>
        </w:rPr>
      </w:pPr>
      <w:r>
        <w:rPr>
          <w:lang w:val="en-US"/>
        </w:rPr>
        <w:t xml:space="preserve">Step E assumes all surviving patients receive four cycles of </w:t>
      </w:r>
      <w:r w:rsidRPr="00B6092F">
        <w:rPr>
          <w:vertAlign w:val="superscript"/>
          <w:lang w:val="en-US"/>
        </w:rPr>
        <w:t>177</w:t>
      </w:r>
      <w:r w:rsidRPr="00B6092F">
        <w:rPr>
          <w:lang w:val="en-US"/>
        </w:rPr>
        <w:t>Lu PSMA i&amp;t</w:t>
      </w:r>
      <w:r>
        <w:rPr>
          <w:lang w:val="en-US"/>
        </w:rPr>
        <w:t>. This analysis is consistent with the VISION trial where all patients received four cycles; “t</w:t>
      </w:r>
      <w:r w:rsidRPr="006C67D5">
        <w:rPr>
          <w:lang w:val="en-US"/>
        </w:rPr>
        <w:t>wo additional cycles (up to six cycles in</w:t>
      </w:r>
      <w:r>
        <w:rPr>
          <w:lang w:val="en-US"/>
        </w:rPr>
        <w:t xml:space="preserve"> </w:t>
      </w:r>
      <w:r w:rsidRPr="006C67D5">
        <w:rPr>
          <w:lang w:val="en-US"/>
        </w:rPr>
        <w:t>total) could be administered, at the discretion of</w:t>
      </w:r>
      <w:r>
        <w:rPr>
          <w:lang w:val="en-US"/>
        </w:rPr>
        <w:t xml:space="preserve"> </w:t>
      </w:r>
      <w:r w:rsidRPr="006C67D5">
        <w:rPr>
          <w:lang w:val="en-US"/>
        </w:rPr>
        <w:t>the treating physician, in patients who had evidence of response</w:t>
      </w:r>
      <w:r>
        <w:rPr>
          <w:lang w:val="en-US"/>
        </w:rPr>
        <w:t>”. This represents the minimum in terms of the number of patients who discontinue.</w:t>
      </w:r>
    </w:p>
    <w:p w14:paraId="5DB889E0" w14:textId="77777777" w:rsidR="008D0C3A" w:rsidRDefault="008D0C3A" w:rsidP="008D0C3A">
      <w:pPr>
        <w:spacing w:after="0" w:line="240" w:lineRule="auto"/>
        <w:rPr>
          <w:lang w:val="en-US"/>
        </w:rPr>
      </w:pPr>
      <w:r>
        <w:rPr>
          <w:lang w:val="en-US"/>
        </w:rPr>
        <w:t xml:space="preserve">Finally, Step F assumes that all surviving patients receive all six cycles of </w:t>
      </w:r>
      <w:r w:rsidRPr="00B6092F">
        <w:rPr>
          <w:vertAlign w:val="superscript"/>
          <w:lang w:val="en-US"/>
        </w:rPr>
        <w:t>177</w:t>
      </w:r>
      <w:r w:rsidRPr="00B6092F">
        <w:rPr>
          <w:lang w:val="en-US"/>
        </w:rPr>
        <w:t>Lu PSMA i&amp;t</w:t>
      </w:r>
      <w:r>
        <w:rPr>
          <w:lang w:val="en-US"/>
        </w:rPr>
        <w:t>. While possible, may not be probable and represents the absolute minimum in terms of the number of patients who discontinue (i.e., zero) for reasons other than death.</w:t>
      </w:r>
    </w:p>
    <w:p w14:paraId="0B8E4114" w14:textId="77777777" w:rsidR="008D0C3A" w:rsidRDefault="008D0C3A" w:rsidP="008D0C3A">
      <w:pPr>
        <w:spacing w:after="0" w:line="240" w:lineRule="auto"/>
        <w:rPr>
          <w:lang w:val="en-US"/>
        </w:rPr>
      </w:pPr>
      <w:r>
        <w:rPr>
          <w:lang w:val="en-US"/>
        </w:rPr>
        <w:lastRenderedPageBreak/>
        <w:t>As noted, Steps D ($113,346/QALY) and E ($121,535/QALY) are considered to represent the likely maximum and minimum discontinuations from treatment, respectively. The variation in the ICER between the base case (Step D; maximum) and (Step E; minimum) is +7.2%.</w:t>
      </w:r>
    </w:p>
    <w:p w14:paraId="6B63428D" w14:textId="5F157FAA" w:rsidR="008D0C3A" w:rsidRDefault="008F1366" w:rsidP="008D0C3A">
      <w:pPr>
        <w:spacing w:after="0" w:line="240" w:lineRule="auto"/>
        <w:rPr>
          <w:lang w:val="en-US"/>
        </w:rPr>
      </w:pPr>
      <w:r w:rsidRPr="008F1366">
        <w:rPr>
          <w:lang w:val="en-US"/>
        </w:rPr>
        <w:fldChar w:fldCharType="begin"/>
      </w:r>
      <w:r w:rsidRPr="008F1366">
        <w:rPr>
          <w:lang w:val="en-US"/>
        </w:rPr>
        <w:instrText xml:space="preserve"> REF _Ref164242437 \h  \* MERGEFORMAT </w:instrText>
      </w:r>
      <w:r w:rsidRPr="008F1366">
        <w:rPr>
          <w:lang w:val="en-US"/>
        </w:rPr>
      </w:r>
      <w:r w:rsidRPr="008F1366">
        <w:rPr>
          <w:lang w:val="en-US"/>
        </w:rPr>
        <w:fldChar w:fldCharType="separate"/>
      </w:r>
      <w:r w:rsidRPr="008F1366">
        <w:t xml:space="preserve">Table </w:t>
      </w:r>
      <w:r w:rsidRPr="00D71CB6">
        <w:rPr>
          <w:noProof/>
        </w:rPr>
        <w:t>14</w:t>
      </w:r>
      <w:r w:rsidRPr="008F1366">
        <w:rPr>
          <w:lang w:val="en-US"/>
        </w:rPr>
        <w:fldChar w:fldCharType="end"/>
      </w:r>
      <w:r>
        <w:rPr>
          <w:lang w:val="en-US"/>
        </w:rPr>
        <w:t xml:space="preserve"> </w:t>
      </w:r>
      <w:r w:rsidR="008D0C3A">
        <w:rPr>
          <w:lang w:val="en-US"/>
        </w:rPr>
        <w:fldChar w:fldCharType="begin"/>
      </w:r>
      <w:r w:rsidR="008D0C3A">
        <w:rPr>
          <w:lang w:val="en-US"/>
        </w:rPr>
        <w:instrText xml:space="preserve"> REF _Ref160759679 \h  \* MERGEFORMAT </w:instrText>
      </w:r>
      <w:r w:rsidR="008D0C3A">
        <w:rPr>
          <w:lang w:val="en-US"/>
        </w:rPr>
      </w:r>
      <w:r w:rsidR="008D0C3A">
        <w:rPr>
          <w:lang w:val="en-US"/>
        </w:rPr>
        <w:fldChar w:fldCharType="end"/>
      </w:r>
      <w:r w:rsidR="008D0C3A">
        <w:rPr>
          <w:lang w:val="en-US"/>
        </w:rPr>
        <w:t>presents sensitivity analyses, varying several parameters in the model, for the updated base case.</w:t>
      </w:r>
    </w:p>
    <w:p w14:paraId="00A75CE8" w14:textId="21B6176C" w:rsidR="00655A36" w:rsidRPr="003122DC" w:rsidRDefault="00655A36" w:rsidP="00443961">
      <w:pPr>
        <w:tabs>
          <w:tab w:val="left" w:pos="0"/>
        </w:tabs>
        <w:spacing w:before="240" w:after="0"/>
        <w:rPr>
          <w:rFonts w:ascii="Arial Narrow" w:hAnsi="Arial Narrow"/>
          <w:b/>
          <w:sz w:val="20"/>
          <w:szCs w:val="20"/>
          <w:lang w:val="en-US"/>
        </w:rPr>
      </w:pPr>
      <w:bookmarkStart w:id="45" w:name="_Ref164242437"/>
      <w:r w:rsidRPr="00D71CB6">
        <w:rPr>
          <w:rFonts w:ascii="Arial Narrow" w:hAnsi="Arial Narrow"/>
          <w:b/>
          <w:bCs/>
          <w:sz w:val="20"/>
          <w:szCs w:val="20"/>
        </w:rPr>
        <w:t xml:space="preserve">Table </w:t>
      </w:r>
      <w:r w:rsidRPr="00D71CB6">
        <w:rPr>
          <w:rFonts w:ascii="Arial Narrow" w:hAnsi="Arial Narrow"/>
          <w:b/>
          <w:bCs/>
          <w:sz w:val="20"/>
          <w:szCs w:val="20"/>
        </w:rPr>
        <w:fldChar w:fldCharType="begin"/>
      </w:r>
      <w:r w:rsidRPr="00D71CB6">
        <w:rPr>
          <w:rFonts w:ascii="Arial Narrow" w:hAnsi="Arial Narrow"/>
          <w:b/>
          <w:bCs/>
          <w:sz w:val="20"/>
          <w:szCs w:val="20"/>
        </w:rPr>
        <w:instrText xml:space="preserve"> SEQ Table \* ARABIC </w:instrText>
      </w:r>
      <w:r w:rsidRPr="00D71CB6">
        <w:rPr>
          <w:rFonts w:ascii="Arial Narrow" w:hAnsi="Arial Narrow"/>
          <w:b/>
          <w:bCs/>
          <w:sz w:val="20"/>
          <w:szCs w:val="20"/>
        </w:rPr>
        <w:fldChar w:fldCharType="separate"/>
      </w:r>
      <w:r w:rsidR="00BF6F93">
        <w:rPr>
          <w:rFonts w:ascii="Arial Narrow" w:hAnsi="Arial Narrow"/>
          <w:b/>
          <w:bCs/>
          <w:noProof/>
          <w:sz w:val="20"/>
          <w:szCs w:val="20"/>
        </w:rPr>
        <w:t>14</w:t>
      </w:r>
      <w:r w:rsidRPr="00D71CB6">
        <w:rPr>
          <w:rFonts w:ascii="Arial Narrow" w:hAnsi="Arial Narrow"/>
          <w:b/>
          <w:bCs/>
          <w:sz w:val="20"/>
          <w:szCs w:val="20"/>
        </w:rPr>
        <w:fldChar w:fldCharType="end"/>
      </w:r>
      <w:bookmarkEnd w:id="45"/>
      <w:r w:rsidRPr="00D71CB6">
        <w:rPr>
          <w:sz w:val="20"/>
          <w:szCs w:val="20"/>
        </w:rPr>
        <w:t xml:space="preserve"> </w:t>
      </w:r>
      <w:r>
        <w:rPr>
          <w:rFonts w:ascii="Arial Narrow" w:hAnsi="Arial Narrow"/>
          <w:b/>
          <w:bCs/>
          <w:sz w:val="20"/>
          <w:szCs w:val="20"/>
          <w:lang w:val="en-US"/>
        </w:rPr>
        <w:t xml:space="preserve">Sensitivity analyses on the updated base case </w:t>
      </w:r>
      <w:r w:rsidRPr="00D967BB">
        <w:rPr>
          <w:rFonts w:ascii="Arial Narrow" w:hAnsi="Arial Narrow"/>
          <w:b/>
          <w:bCs/>
          <w:sz w:val="20"/>
          <w:szCs w:val="20"/>
          <w:lang w:val="en-US"/>
        </w:rPr>
        <w:t>(</w:t>
      </w:r>
      <w:r>
        <w:rPr>
          <w:rFonts w:ascii="Arial Narrow" w:hAnsi="Arial Narrow"/>
          <w:b/>
          <w:bCs/>
          <w:sz w:val="20"/>
          <w:szCs w:val="20"/>
        </w:rPr>
        <w:t>Step D</w:t>
      </w:r>
      <w:r w:rsidR="006C18C3">
        <w:rPr>
          <w:rFonts w:ascii="Arial Narrow" w:hAnsi="Arial Narrow"/>
          <w:b/>
          <w:bCs/>
          <w:sz w:val="20"/>
          <w:szCs w:val="20"/>
        </w:rPr>
        <w:t xml:space="preserve"> above) </w:t>
      </w:r>
      <w:r w:rsidRPr="00D967BB">
        <w:rPr>
          <w:rFonts w:ascii="Arial Narrow" w:hAnsi="Arial Narrow"/>
          <w:b/>
          <w:bCs/>
          <w:sz w:val="20"/>
          <w:szCs w:val="20"/>
        </w:rPr>
        <w:t xml:space="preserve">and cost of </w:t>
      </w:r>
      <w:r>
        <w:rPr>
          <w:rFonts w:ascii="Arial Narrow" w:hAnsi="Arial Narrow"/>
          <w:b/>
          <w:bCs/>
          <w:sz w:val="20"/>
          <w:szCs w:val="20"/>
          <w:vertAlign w:val="superscript"/>
        </w:rPr>
        <w:t>177</w:t>
      </w:r>
      <w:r w:rsidRPr="00D967BB">
        <w:rPr>
          <w:rFonts w:ascii="Arial Narrow" w:hAnsi="Arial Narrow"/>
          <w:b/>
          <w:bCs/>
          <w:sz w:val="20"/>
          <w:szCs w:val="20"/>
        </w:rPr>
        <w:t>Lu</w:t>
      </w:r>
      <w:r>
        <w:rPr>
          <w:rFonts w:ascii="Arial Narrow" w:hAnsi="Arial Narrow"/>
          <w:b/>
          <w:bCs/>
          <w:sz w:val="20"/>
          <w:szCs w:val="20"/>
        </w:rPr>
        <w:t> </w:t>
      </w:r>
      <w:r w:rsidRPr="00D967BB">
        <w:rPr>
          <w:rFonts w:ascii="Arial Narrow" w:hAnsi="Arial Narrow"/>
          <w:b/>
          <w:bCs/>
          <w:sz w:val="20"/>
          <w:szCs w:val="20"/>
        </w:rPr>
        <w:t>PSMA</w:t>
      </w:r>
      <w:r>
        <w:rPr>
          <w:rFonts w:ascii="Arial Narrow" w:hAnsi="Arial Narrow"/>
          <w:b/>
          <w:bCs/>
          <w:sz w:val="20"/>
          <w:szCs w:val="20"/>
        </w:rPr>
        <w:t> i&amp;t</w:t>
      </w:r>
      <w:r w:rsidRPr="00D967BB">
        <w:rPr>
          <w:rFonts w:ascii="Arial Narrow" w:hAnsi="Arial Narrow"/>
          <w:b/>
          <w:bCs/>
          <w:sz w:val="20"/>
          <w:szCs w:val="20"/>
        </w:rPr>
        <w:t xml:space="preserve"> applied to all surviving patients (rather than those in PFS) </w:t>
      </w:r>
      <w:r w:rsidRPr="005B31F3">
        <w:rPr>
          <w:rFonts w:ascii="Arial Narrow" w:hAnsi="Arial Narrow"/>
          <w:b/>
          <w:bCs/>
          <w:sz w:val="20"/>
          <w:szCs w:val="20"/>
        </w:rPr>
        <w:t>for first two cycles</w:t>
      </w:r>
      <w:r w:rsidRPr="00D967BB">
        <w:rPr>
          <w:rFonts w:ascii="Arial Narrow" w:hAnsi="Arial Narrow"/>
          <w:b/>
          <w:bCs/>
          <w:sz w:val="20"/>
          <w:szCs w:val="20"/>
        </w:rPr>
        <w:t>, according to item descriptor</w:t>
      </w:r>
      <w:r>
        <w:rPr>
          <w:rFonts w:ascii="Arial Narrow" w:hAnsi="Arial Narrow"/>
          <w:b/>
          <w:bCs/>
          <w:sz w:val="20"/>
          <w:szCs w:val="20"/>
        </w:rPr>
        <w:t>)</w:t>
      </w:r>
      <w:r w:rsidR="006C18C3">
        <w:rPr>
          <w:rFonts w:ascii="Arial Narrow" w:hAnsi="Arial Narrow"/>
          <w:b/>
          <w:bCs/>
          <w:sz w:val="20"/>
          <w:szCs w:val="20"/>
        </w:rPr>
        <w:t>- Addendum</w:t>
      </w:r>
    </w:p>
    <w:tbl>
      <w:tblPr>
        <w:tblStyle w:val="TableGrid"/>
        <w:tblW w:w="5344" w:type="pct"/>
        <w:tblCellMar>
          <w:left w:w="28" w:type="dxa"/>
          <w:right w:w="28" w:type="dxa"/>
        </w:tblCellMar>
        <w:tblLook w:val="04A0" w:firstRow="1" w:lastRow="0" w:firstColumn="1" w:lastColumn="0" w:noHBand="0" w:noVBand="1"/>
      </w:tblPr>
      <w:tblGrid>
        <w:gridCol w:w="576"/>
        <w:gridCol w:w="3868"/>
        <w:gridCol w:w="1401"/>
        <w:gridCol w:w="1401"/>
        <w:gridCol w:w="1401"/>
        <w:gridCol w:w="989"/>
      </w:tblGrid>
      <w:tr w:rsidR="008D0C3A" w:rsidRPr="00B75CE0" w14:paraId="4A30CF54" w14:textId="77777777">
        <w:tc>
          <w:tcPr>
            <w:tcW w:w="2306" w:type="pct"/>
            <w:gridSpan w:val="2"/>
            <w:vAlign w:val="center"/>
          </w:tcPr>
          <w:p w14:paraId="6F3B887F" w14:textId="77777777" w:rsidR="008D0C3A" w:rsidRPr="00B75CE0" w:rsidRDefault="008D0C3A">
            <w:pPr>
              <w:pStyle w:val="TableText"/>
              <w:spacing w:before="0" w:after="0"/>
              <w:rPr>
                <w:rFonts w:eastAsia="Times New Roman" w:cs="Times New Roman"/>
                <w:bCs/>
                <w:szCs w:val="20"/>
                <w:lang w:eastAsia="en-AU"/>
              </w:rPr>
            </w:pPr>
          </w:p>
        </w:tc>
        <w:tc>
          <w:tcPr>
            <w:tcW w:w="727" w:type="pct"/>
            <w:vAlign w:val="center"/>
          </w:tcPr>
          <w:p w14:paraId="59F0597C" w14:textId="77777777" w:rsidR="008D0C3A" w:rsidRPr="00B75CE0" w:rsidRDefault="008D0C3A">
            <w:pPr>
              <w:pStyle w:val="TableText"/>
              <w:spacing w:before="0" w:after="0"/>
              <w:jc w:val="center"/>
              <w:rPr>
                <w:rFonts w:eastAsia="Times New Roman" w:cs="Times New Roman"/>
                <w:b/>
                <w:szCs w:val="20"/>
                <w:lang w:eastAsia="en-AU"/>
              </w:rPr>
            </w:pPr>
            <w:r w:rsidRPr="00B75CE0">
              <w:rPr>
                <w:rFonts w:eastAsia="Times New Roman" w:cs="Times New Roman"/>
                <w:b/>
                <w:szCs w:val="20"/>
                <w:lang w:eastAsia="en-AU"/>
              </w:rPr>
              <w:t xml:space="preserve">Incremental </w:t>
            </w:r>
            <w:r>
              <w:rPr>
                <w:rFonts w:eastAsia="Times New Roman" w:cs="Times New Roman"/>
                <w:b/>
                <w:szCs w:val="20"/>
                <w:lang w:eastAsia="en-AU"/>
              </w:rPr>
              <w:br/>
            </w:r>
            <w:r w:rsidRPr="00B75CE0">
              <w:rPr>
                <w:rFonts w:eastAsia="Times New Roman" w:cs="Times New Roman"/>
                <w:b/>
                <w:szCs w:val="20"/>
                <w:lang w:eastAsia="en-AU"/>
              </w:rPr>
              <w:t>cost</w:t>
            </w:r>
          </w:p>
        </w:tc>
        <w:tc>
          <w:tcPr>
            <w:tcW w:w="727" w:type="pct"/>
            <w:vAlign w:val="center"/>
          </w:tcPr>
          <w:p w14:paraId="74A5D2DE" w14:textId="77777777" w:rsidR="008D0C3A" w:rsidRPr="00B75CE0" w:rsidRDefault="008D0C3A">
            <w:pPr>
              <w:pStyle w:val="TableText"/>
              <w:spacing w:before="0" w:after="0"/>
              <w:jc w:val="center"/>
              <w:rPr>
                <w:rFonts w:eastAsia="Times New Roman" w:cs="Times New Roman"/>
                <w:b/>
                <w:szCs w:val="20"/>
                <w:lang w:eastAsia="en-AU"/>
              </w:rPr>
            </w:pPr>
            <w:r w:rsidRPr="00B75CE0">
              <w:rPr>
                <w:rFonts w:eastAsia="Times New Roman" w:cs="Times New Roman"/>
                <w:b/>
                <w:szCs w:val="20"/>
                <w:lang w:eastAsia="en-AU"/>
              </w:rPr>
              <w:t>Incremental QALYs</w:t>
            </w:r>
          </w:p>
        </w:tc>
        <w:tc>
          <w:tcPr>
            <w:tcW w:w="727" w:type="pct"/>
            <w:vAlign w:val="center"/>
          </w:tcPr>
          <w:p w14:paraId="18979346" w14:textId="77777777" w:rsidR="008D0C3A" w:rsidRPr="00B75CE0" w:rsidRDefault="008D0C3A">
            <w:pPr>
              <w:pStyle w:val="TableText"/>
              <w:spacing w:before="0" w:after="0"/>
              <w:jc w:val="center"/>
              <w:rPr>
                <w:rFonts w:eastAsia="Times New Roman" w:cs="Times New Roman"/>
                <w:b/>
                <w:szCs w:val="20"/>
                <w:lang w:eastAsia="en-AU"/>
              </w:rPr>
            </w:pPr>
            <w:r w:rsidRPr="00B75CE0">
              <w:rPr>
                <w:rFonts w:eastAsia="Times New Roman" w:cs="Times New Roman"/>
                <w:b/>
                <w:szCs w:val="20"/>
                <w:lang w:eastAsia="en-AU"/>
              </w:rPr>
              <w:t>ICER</w:t>
            </w:r>
          </w:p>
        </w:tc>
        <w:tc>
          <w:tcPr>
            <w:tcW w:w="513" w:type="pct"/>
            <w:vAlign w:val="center"/>
          </w:tcPr>
          <w:p w14:paraId="09F9AB64" w14:textId="77777777" w:rsidR="008D0C3A" w:rsidRPr="00B75CE0" w:rsidRDefault="008D0C3A">
            <w:pPr>
              <w:pStyle w:val="TableText"/>
              <w:spacing w:before="0" w:after="0"/>
              <w:jc w:val="center"/>
              <w:rPr>
                <w:rFonts w:eastAsia="Times New Roman" w:cs="Times New Roman"/>
                <w:b/>
                <w:szCs w:val="20"/>
                <w:lang w:eastAsia="en-AU"/>
              </w:rPr>
            </w:pPr>
            <w:r w:rsidRPr="00B75CE0">
              <w:rPr>
                <w:rFonts w:eastAsia="Times New Roman" w:cs="Times New Roman"/>
                <w:b/>
                <w:szCs w:val="20"/>
                <w:lang w:eastAsia="en-AU"/>
              </w:rPr>
              <w:t>Impact</w:t>
            </w:r>
          </w:p>
        </w:tc>
      </w:tr>
      <w:tr w:rsidR="008D0C3A" w:rsidRPr="00B75CE0" w14:paraId="777C4555" w14:textId="77777777">
        <w:tc>
          <w:tcPr>
            <w:tcW w:w="2306" w:type="pct"/>
            <w:gridSpan w:val="2"/>
            <w:vAlign w:val="center"/>
          </w:tcPr>
          <w:p w14:paraId="4D8EA59A" w14:textId="753FEF6B" w:rsidR="008D0C3A" w:rsidRPr="00B75CE0" w:rsidRDefault="008D0C3A">
            <w:pPr>
              <w:pStyle w:val="TableText"/>
              <w:spacing w:before="0" w:after="0"/>
              <w:rPr>
                <w:rFonts w:eastAsia="Times New Roman" w:cs="Times New Roman"/>
                <w:b/>
                <w:szCs w:val="20"/>
                <w:lang w:eastAsia="en-AU"/>
              </w:rPr>
            </w:pPr>
            <w:r w:rsidRPr="00B75CE0">
              <w:rPr>
                <w:rFonts w:eastAsia="Times New Roman" w:cs="Times New Roman"/>
                <w:b/>
                <w:szCs w:val="20"/>
                <w:lang w:eastAsia="en-AU"/>
              </w:rPr>
              <w:t>Base-</w:t>
            </w:r>
            <w:r w:rsidRPr="00D71CB6">
              <w:rPr>
                <w:rFonts w:eastAsia="Times New Roman" w:cs="Times New Roman"/>
                <w:bCs/>
                <w:szCs w:val="20"/>
                <w:lang w:eastAsia="en-AU"/>
              </w:rPr>
              <w:t xml:space="preserve">case </w:t>
            </w:r>
            <w:r w:rsidRPr="006C18C3">
              <w:rPr>
                <w:rFonts w:eastAsia="Times New Roman" w:cs="Times New Roman"/>
                <w:bCs/>
                <w:szCs w:val="20"/>
                <w:lang w:eastAsia="en-AU"/>
              </w:rPr>
              <w:t>(Step D</w:t>
            </w:r>
            <w:r w:rsidR="006C18C3">
              <w:rPr>
                <w:rFonts w:eastAsia="Times New Roman" w:cs="Times New Roman"/>
                <w:bCs/>
                <w:szCs w:val="20"/>
                <w:lang w:eastAsia="en-AU"/>
              </w:rPr>
              <w:t xml:space="preserve"> as above</w:t>
            </w:r>
            <w:r w:rsidRPr="006C18C3">
              <w:rPr>
                <w:rFonts w:eastAsia="Times New Roman" w:cs="Times New Roman"/>
                <w:bCs/>
                <w:szCs w:val="20"/>
                <w:lang w:eastAsia="en-AU"/>
              </w:rPr>
              <w:t xml:space="preserve"> in </w:t>
            </w:r>
            <w:r w:rsidRPr="006C18C3">
              <w:rPr>
                <w:rFonts w:eastAsia="Times New Roman" w:cs="Times New Roman"/>
                <w:bCs/>
                <w:szCs w:val="20"/>
                <w:lang w:eastAsia="en-AU"/>
              </w:rPr>
              <w:fldChar w:fldCharType="begin"/>
            </w:r>
            <w:r w:rsidRPr="006C18C3">
              <w:rPr>
                <w:rFonts w:eastAsia="Times New Roman" w:cs="Times New Roman"/>
                <w:bCs/>
                <w:szCs w:val="20"/>
                <w:lang w:eastAsia="en-AU"/>
              </w:rPr>
              <w:instrText xml:space="preserve"> REF _Ref160754878 \h  \* MERGEFORMAT </w:instrText>
            </w:r>
            <w:r w:rsidRPr="006C18C3">
              <w:rPr>
                <w:rFonts w:eastAsia="Times New Roman" w:cs="Times New Roman"/>
                <w:bCs/>
                <w:szCs w:val="20"/>
                <w:lang w:eastAsia="en-AU"/>
              </w:rPr>
            </w:r>
            <w:r w:rsidRPr="006C18C3">
              <w:rPr>
                <w:rFonts w:eastAsia="Times New Roman" w:cs="Times New Roman"/>
                <w:bCs/>
                <w:szCs w:val="20"/>
                <w:lang w:eastAsia="en-AU"/>
              </w:rPr>
              <w:fldChar w:fldCharType="end"/>
            </w:r>
            <w:r w:rsidRPr="006C18C3">
              <w:rPr>
                <w:rFonts w:eastAsia="Times New Roman" w:cs="Times New Roman"/>
                <w:bCs/>
                <w:szCs w:val="20"/>
                <w:lang w:eastAsia="en-AU"/>
              </w:rPr>
              <w:t>)</w:t>
            </w:r>
          </w:p>
        </w:tc>
        <w:tc>
          <w:tcPr>
            <w:tcW w:w="727" w:type="pct"/>
          </w:tcPr>
          <w:p w14:paraId="7473E7D9" w14:textId="77777777" w:rsidR="008D0C3A" w:rsidRPr="00B75CE0" w:rsidRDefault="008D0C3A">
            <w:pPr>
              <w:pStyle w:val="TableText"/>
              <w:spacing w:before="0" w:after="0"/>
              <w:jc w:val="center"/>
              <w:rPr>
                <w:rFonts w:eastAsia="Times New Roman" w:cs="Times New Roman"/>
                <w:b/>
                <w:bCs/>
                <w:szCs w:val="20"/>
                <w:lang w:eastAsia="en-AU"/>
              </w:rPr>
            </w:pPr>
            <w:r>
              <w:rPr>
                <w:rFonts w:eastAsia="Times New Roman" w:cs="Times New Roman"/>
                <w:b/>
                <w:bCs/>
                <w:szCs w:val="20"/>
                <w:lang w:eastAsia="en-AU"/>
              </w:rPr>
              <w:t>$34,100</w:t>
            </w:r>
          </w:p>
        </w:tc>
        <w:tc>
          <w:tcPr>
            <w:tcW w:w="727" w:type="pct"/>
          </w:tcPr>
          <w:p w14:paraId="1D92670C" w14:textId="77777777" w:rsidR="008D0C3A" w:rsidRPr="00B75CE0" w:rsidRDefault="008D0C3A">
            <w:pPr>
              <w:pStyle w:val="TableText"/>
              <w:spacing w:before="0" w:after="0"/>
              <w:jc w:val="center"/>
              <w:rPr>
                <w:rFonts w:eastAsia="Times New Roman" w:cs="Times New Roman"/>
                <w:b/>
                <w:bCs/>
                <w:szCs w:val="20"/>
                <w:lang w:eastAsia="en-AU"/>
              </w:rPr>
            </w:pPr>
            <w:r>
              <w:rPr>
                <w:rFonts w:eastAsia="Times New Roman" w:cs="Times New Roman"/>
                <w:b/>
                <w:bCs/>
                <w:szCs w:val="20"/>
                <w:lang w:eastAsia="en-AU"/>
              </w:rPr>
              <w:t>0.301</w:t>
            </w:r>
          </w:p>
        </w:tc>
        <w:tc>
          <w:tcPr>
            <w:tcW w:w="727" w:type="pct"/>
          </w:tcPr>
          <w:p w14:paraId="1487EA8A" w14:textId="77777777" w:rsidR="008D0C3A" w:rsidRPr="00B75CE0" w:rsidRDefault="008D0C3A">
            <w:pPr>
              <w:pStyle w:val="TableText"/>
              <w:spacing w:before="0" w:after="0"/>
              <w:jc w:val="center"/>
              <w:rPr>
                <w:rFonts w:eastAsia="Times New Roman" w:cs="Times New Roman"/>
                <w:b/>
                <w:bCs/>
                <w:szCs w:val="20"/>
                <w:lang w:eastAsia="en-AU"/>
              </w:rPr>
            </w:pPr>
            <w:r w:rsidRPr="001F5DA9">
              <w:rPr>
                <w:rFonts w:eastAsia="Times New Roman" w:cs="Times New Roman"/>
                <w:b/>
                <w:bCs/>
                <w:szCs w:val="20"/>
                <w:lang w:eastAsia="en-AU"/>
              </w:rPr>
              <w:t>$113,346</w:t>
            </w:r>
          </w:p>
        </w:tc>
        <w:tc>
          <w:tcPr>
            <w:tcW w:w="513" w:type="pct"/>
          </w:tcPr>
          <w:p w14:paraId="3D3D65EF"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w:t>
            </w:r>
          </w:p>
        </w:tc>
      </w:tr>
      <w:tr w:rsidR="008D0C3A" w:rsidRPr="00B75CE0" w14:paraId="4E03C3EF" w14:textId="77777777">
        <w:tc>
          <w:tcPr>
            <w:tcW w:w="5000" w:type="pct"/>
            <w:gridSpan w:val="6"/>
            <w:vAlign w:val="center"/>
          </w:tcPr>
          <w:p w14:paraId="757CC0F7" w14:textId="77777777" w:rsidR="008D0C3A" w:rsidRPr="00B75CE0" w:rsidRDefault="008D0C3A">
            <w:pPr>
              <w:pStyle w:val="TableText"/>
              <w:spacing w:before="0" w:after="0"/>
              <w:rPr>
                <w:szCs w:val="20"/>
              </w:rPr>
            </w:pPr>
            <w:r w:rsidRPr="00B75CE0">
              <w:rPr>
                <w:rFonts w:eastAsia="Times New Roman" w:cs="Times New Roman"/>
                <w:b/>
                <w:bCs/>
                <w:szCs w:val="20"/>
                <w:lang w:eastAsia="en-AU"/>
              </w:rPr>
              <w:t>Modelling assumptions</w:t>
            </w:r>
            <w:r w:rsidRPr="00B75CE0">
              <w:rPr>
                <w:szCs w:val="20"/>
              </w:rPr>
              <w:t xml:space="preserve"> </w:t>
            </w:r>
          </w:p>
        </w:tc>
      </w:tr>
      <w:tr w:rsidR="008D0C3A" w:rsidRPr="00B75CE0" w14:paraId="0A2D1A15" w14:textId="77777777">
        <w:tc>
          <w:tcPr>
            <w:tcW w:w="299" w:type="pct"/>
            <w:vAlign w:val="center"/>
          </w:tcPr>
          <w:p w14:paraId="01807993" w14:textId="77777777" w:rsidR="008D0C3A" w:rsidRPr="00B75CE0" w:rsidRDefault="008D0C3A">
            <w:pPr>
              <w:pStyle w:val="TableText"/>
              <w:spacing w:before="0" w:after="0"/>
              <w:jc w:val="center"/>
              <w:rPr>
                <w:rFonts w:eastAsia="Times New Roman" w:cs="Times New Roman"/>
                <w:bCs/>
                <w:szCs w:val="20"/>
                <w:lang w:eastAsia="en-AU"/>
              </w:rPr>
            </w:pPr>
            <w:r>
              <w:rPr>
                <w:rFonts w:eastAsia="Times New Roman" w:cs="Times New Roman"/>
                <w:bCs/>
                <w:szCs w:val="20"/>
                <w:lang w:eastAsia="en-AU"/>
              </w:rPr>
              <w:t>A</w:t>
            </w:r>
          </w:p>
        </w:tc>
        <w:tc>
          <w:tcPr>
            <w:tcW w:w="2007" w:type="pct"/>
          </w:tcPr>
          <w:p w14:paraId="38C4B666" w14:textId="77777777" w:rsidR="008D0C3A" w:rsidRPr="00B75CE0" w:rsidRDefault="008D0C3A">
            <w:pPr>
              <w:pStyle w:val="TableText"/>
              <w:spacing w:before="0" w:after="0"/>
              <w:rPr>
                <w:rFonts w:eastAsia="Times New Roman" w:cs="Times New Roman"/>
                <w:bCs/>
                <w:szCs w:val="20"/>
                <w:lang w:eastAsia="en-AU"/>
              </w:rPr>
            </w:pPr>
            <w:r w:rsidRPr="00B75CE0">
              <w:rPr>
                <w:rFonts w:eastAsia="Times New Roman" w:cs="Times New Roman"/>
                <w:bCs/>
                <w:szCs w:val="20"/>
                <w:lang w:eastAsia="en-AU"/>
              </w:rPr>
              <w:t>Discount rate 0% for costs and outcomes</w:t>
            </w:r>
          </w:p>
        </w:tc>
        <w:tc>
          <w:tcPr>
            <w:tcW w:w="727" w:type="pct"/>
          </w:tcPr>
          <w:p w14:paraId="6D963128"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$35,130</w:t>
            </w:r>
          </w:p>
        </w:tc>
        <w:tc>
          <w:tcPr>
            <w:tcW w:w="727" w:type="pct"/>
          </w:tcPr>
          <w:p w14:paraId="35E8C97D"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0.341</w:t>
            </w:r>
          </w:p>
        </w:tc>
        <w:tc>
          <w:tcPr>
            <w:tcW w:w="727" w:type="pct"/>
          </w:tcPr>
          <w:p w14:paraId="3E8680ED" w14:textId="77777777" w:rsidR="008D0C3A" w:rsidRPr="005055FE" w:rsidRDefault="008D0C3A">
            <w:pPr>
              <w:pStyle w:val="TableText"/>
              <w:spacing w:before="0" w:after="0"/>
              <w:jc w:val="center"/>
              <w:rPr>
                <w:rFonts w:eastAsia="Times New Roman" w:cs="Times New Roman"/>
                <w:szCs w:val="20"/>
                <w:lang w:eastAsia="en-AU"/>
              </w:rPr>
            </w:pPr>
            <w:r w:rsidRPr="005055FE">
              <w:rPr>
                <w:rFonts w:eastAsia="Times New Roman" w:cs="Times New Roman"/>
                <w:szCs w:val="20"/>
                <w:lang w:eastAsia="en-AU"/>
              </w:rPr>
              <w:t>$102,936</w:t>
            </w:r>
          </w:p>
        </w:tc>
        <w:tc>
          <w:tcPr>
            <w:tcW w:w="513" w:type="pct"/>
          </w:tcPr>
          <w:p w14:paraId="490CC6A2"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-9.2%</w:t>
            </w:r>
          </w:p>
        </w:tc>
      </w:tr>
      <w:tr w:rsidR="008D0C3A" w:rsidRPr="00B75CE0" w14:paraId="63E6D4CF" w14:textId="77777777">
        <w:tc>
          <w:tcPr>
            <w:tcW w:w="299" w:type="pct"/>
            <w:vAlign w:val="center"/>
          </w:tcPr>
          <w:p w14:paraId="7F4E5A50" w14:textId="77777777" w:rsidR="008D0C3A" w:rsidRPr="00B75CE0" w:rsidRDefault="008D0C3A">
            <w:pPr>
              <w:pStyle w:val="TableText"/>
              <w:spacing w:before="0" w:after="0"/>
              <w:jc w:val="center"/>
              <w:rPr>
                <w:rFonts w:eastAsia="Times New Roman" w:cs="Times New Roman"/>
                <w:bCs/>
                <w:szCs w:val="20"/>
                <w:lang w:eastAsia="en-AU"/>
              </w:rPr>
            </w:pPr>
            <w:r>
              <w:rPr>
                <w:rFonts w:eastAsia="Times New Roman" w:cs="Times New Roman"/>
                <w:szCs w:val="20"/>
                <w:lang w:eastAsia="en-AU"/>
              </w:rPr>
              <w:t>B</w:t>
            </w:r>
          </w:p>
        </w:tc>
        <w:tc>
          <w:tcPr>
            <w:tcW w:w="2007" w:type="pct"/>
          </w:tcPr>
          <w:p w14:paraId="7BEBA239" w14:textId="77777777" w:rsidR="008D0C3A" w:rsidRPr="00B75CE0" w:rsidRDefault="008D0C3A">
            <w:pPr>
              <w:pStyle w:val="TableText"/>
              <w:spacing w:before="0" w:after="0"/>
              <w:rPr>
                <w:rFonts w:eastAsia="Times New Roman" w:cs="Times New Roman"/>
                <w:bCs/>
                <w:szCs w:val="20"/>
                <w:lang w:eastAsia="en-AU"/>
              </w:rPr>
            </w:pPr>
            <w:r w:rsidRPr="00B75CE0">
              <w:rPr>
                <w:rFonts w:eastAsia="Times New Roman" w:cs="Times New Roman"/>
                <w:bCs/>
                <w:szCs w:val="20"/>
                <w:lang w:eastAsia="en-AU"/>
              </w:rPr>
              <w:t>Discount rate 3.5% for costs and outcomes</w:t>
            </w:r>
          </w:p>
        </w:tc>
        <w:tc>
          <w:tcPr>
            <w:tcW w:w="727" w:type="pct"/>
          </w:tcPr>
          <w:p w14:paraId="19BB6BF5"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$34,387</w:t>
            </w:r>
          </w:p>
        </w:tc>
        <w:tc>
          <w:tcPr>
            <w:tcW w:w="727" w:type="pct"/>
          </w:tcPr>
          <w:p w14:paraId="4629443C"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0.312</w:t>
            </w:r>
          </w:p>
        </w:tc>
        <w:tc>
          <w:tcPr>
            <w:tcW w:w="727" w:type="pct"/>
          </w:tcPr>
          <w:p w14:paraId="382B8E69" w14:textId="77777777" w:rsidR="008D0C3A" w:rsidRPr="005055FE" w:rsidRDefault="008D0C3A">
            <w:pPr>
              <w:pStyle w:val="TableText"/>
              <w:spacing w:before="0" w:after="0"/>
              <w:jc w:val="center"/>
              <w:rPr>
                <w:rFonts w:eastAsia="Times New Roman" w:cs="Times New Roman"/>
                <w:szCs w:val="20"/>
                <w:lang w:eastAsia="en-AU"/>
              </w:rPr>
            </w:pPr>
            <w:r w:rsidRPr="005055FE">
              <w:rPr>
                <w:rFonts w:eastAsia="Times New Roman" w:cs="Times New Roman"/>
                <w:szCs w:val="20"/>
                <w:lang w:eastAsia="en-AU"/>
              </w:rPr>
              <w:t>$110,216</w:t>
            </w:r>
          </w:p>
        </w:tc>
        <w:tc>
          <w:tcPr>
            <w:tcW w:w="513" w:type="pct"/>
          </w:tcPr>
          <w:p w14:paraId="7A031919"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-2.8%</w:t>
            </w:r>
          </w:p>
        </w:tc>
      </w:tr>
      <w:tr w:rsidR="008D0C3A" w:rsidRPr="00B75CE0" w14:paraId="2079592B" w14:textId="77777777">
        <w:tc>
          <w:tcPr>
            <w:tcW w:w="299" w:type="pct"/>
            <w:tcBorders>
              <w:bottom w:val="single" w:sz="4" w:space="0" w:color="auto"/>
            </w:tcBorders>
            <w:vAlign w:val="center"/>
          </w:tcPr>
          <w:p w14:paraId="297EE570"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C</w:t>
            </w:r>
          </w:p>
        </w:tc>
        <w:tc>
          <w:tcPr>
            <w:tcW w:w="2007" w:type="pct"/>
            <w:tcBorders>
              <w:bottom w:val="single" w:sz="4" w:space="0" w:color="auto"/>
            </w:tcBorders>
          </w:tcPr>
          <w:p w14:paraId="0434C42C"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Time horizon of 5 years</w:t>
            </w:r>
          </w:p>
        </w:tc>
        <w:tc>
          <w:tcPr>
            <w:tcW w:w="727" w:type="pct"/>
            <w:tcBorders>
              <w:bottom w:val="single" w:sz="4" w:space="0" w:color="auto"/>
            </w:tcBorders>
          </w:tcPr>
          <w:p w14:paraId="77566E39"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$33,430</w:t>
            </w:r>
          </w:p>
        </w:tc>
        <w:tc>
          <w:tcPr>
            <w:tcW w:w="727" w:type="pct"/>
            <w:tcBorders>
              <w:bottom w:val="single" w:sz="4" w:space="0" w:color="auto"/>
            </w:tcBorders>
          </w:tcPr>
          <w:p w14:paraId="49CF8149"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0.267</w:t>
            </w:r>
          </w:p>
        </w:tc>
        <w:tc>
          <w:tcPr>
            <w:tcW w:w="727" w:type="pct"/>
            <w:tcBorders>
              <w:bottom w:val="single" w:sz="4" w:space="0" w:color="auto"/>
            </w:tcBorders>
          </w:tcPr>
          <w:p w14:paraId="389F9BAC" w14:textId="77777777" w:rsidR="008D0C3A" w:rsidRPr="005055FE" w:rsidRDefault="008D0C3A">
            <w:pPr>
              <w:pStyle w:val="TableText"/>
              <w:spacing w:before="0" w:after="0"/>
              <w:jc w:val="center"/>
              <w:rPr>
                <w:rFonts w:eastAsia="Times New Roman" w:cs="Times New Roman"/>
                <w:szCs w:val="20"/>
                <w:lang w:eastAsia="en-AU"/>
              </w:rPr>
            </w:pPr>
            <w:r w:rsidRPr="005055FE">
              <w:rPr>
                <w:rFonts w:eastAsia="Times New Roman" w:cs="Times New Roman"/>
                <w:szCs w:val="20"/>
                <w:lang w:eastAsia="en-AU"/>
              </w:rPr>
              <w:t>$125,381</w:t>
            </w:r>
          </w:p>
        </w:tc>
        <w:tc>
          <w:tcPr>
            <w:tcW w:w="513" w:type="pct"/>
            <w:tcBorders>
              <w:bottom w:val="single" w:sz="4" w:space="0" w:color="auto"/>
            </w:tcBorders>
          </w:tcPr>
          <w:p w14:paraId="5E23DA44"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10.6%</w:t>
            </w:r>
          </w:p>
        </w:tc>
      </w:tr>
      <w:tr w:rsidR="008D0C3A" w:rsidRPr="00B75CE0" w14:paraId="3A089CD3" w14:textId="77777777">
        <w:tc>
          <w:tcPr>
            <w:tcW w:w="2306" w:type="pct"/>
            <w:gridSpan w:val="2"/>
            <w:tcBorders>
              <w:right w:val="nil"/>
            </w:tcBorders>
            <w:vAlign w:val="center"/>
          </w:tcPr>
          <w:p w14:paraId="6A5E80C3" w14:textId="77777777" w:rsidR="008D0C3A" w:rsidRPr="00B75CE0" w:rsidRDefault="008D0C3A">
            <w:pPr>
              <w:pStyle w:val="TableText"/>
              <w:spacing w:before="0" w:after="0"/>
              <w:rPr>
                <w:rFonts w:eastAsia="Times New Roman" w:cs="Times New Roman"/>
                <w:b/>
                <w:bCs/>
                <w:szCs w:val="20"/>
                <w:lang w:eastAsia="en-AU"/>
              </w:rPr>
            </w:pPr>
            <w:r w:rsidRPr="00B75CE0">
              <w:rPr>
                <w:rFonts w:eastAsia="Times New Roman" w:cs="Times New Roman"/>
                <w:b/>
                <w:bCs/>
                <w:szCs w:val="20"/>
                <w:lang w:eastAsia="en-AU"/>
              </w:rPr>
              <w:t xml:space="preserve">Comparator </w:t>
            </w:r>
          </w:p>
        </w:tc>
        <w:tc>
          <w:tcPr>
            <w:tcW w:w="727" w:type="pct"/>
            <w:tcBorders>
              <w:left w:val="nil"/>
              <w:right w:val="nil"/>
            </w:tcBorders>
          </w:tcPr>
          <w:p w14:paraId="467EB73E" w14:textId="77777777" w:rsidR="008D0C3A" w:rsidRPr="00B75CE0" w:rsidRDefault="008D0C3A">
            <w:pPr>
              <w:pStyle w:val="TableText"/>
              <w:spacing w:before="0" w:after="0"/>
              <w:jc w:val="center"/>
              <w:rPr>
                <w:rFonts w:eastAsia="Times New Roman" w:cs="Times New Roman"/>
                <w:szCs w:val="20"/>
                <w:lang w:eastAsia="en-AU"/>
              </w:rPr>
            </w:pPr>
          </w:p>
        </w:tc>
        <w:tc>
          <w:tcPr>
            <w:tcW w:w="727" w:type="pct"/>
            <w:tcBorders>
              <w:left w:val="nil"/>
              <w:right w:val="nil"/>
            </w:tcBorders>
          </w:tcPr>
          <w:p w14:paraId="0648AFC7" w14:textId="77777777" w:rsidR="008D0C3A" w:rsidRPr="00B75CE0" w:rsidRDefault="008D0C3A">
            <w:pPr>
              <w:pStyle w:val="TableText"/>
              <w:spacing w:before="0" w:after="0"/>
              <w:jc w:val="center"/>
              <w:rPr>
                <w:rFonts w:eastAsia="Times New Roman" w:cs="Times New Roman"/>
                <w:szCs w:val="20"/>
                <w:lang w:eastAsia="en-AU"/>
              </w:rPr>
            </w:pPr>
          </w:p>
        </w:tc>
        <w:tc>
          <w:tcPr>
            <w:tcW w:w="727" w:type="pct"/>
            <w:tcBorders>
              <w:left w:val="nil"/>
              <w:right w:val="nil"/>
            </w:tcBorders>
          </w:tcPr>
          <w:p w14:paraId="2D8C0823" w14:textId="77777777" w:rsidR="008D0C3A" w:rsidRPr="00B75CE0" w:rsidRDefault="008D0C3A">
            <w:pPr>
              <w:pStyle w:val="TableText"/>
              <w:spacing w:before="0" w:after="0"/>
              <w:jc w:val="center"/>
              <w:rPr>
                <w:rFonts w:eastAsia="Times New Roman" w:cs="Times New Roman"/>
                <w:szCs w:val="20"/>
                <w:lang w:eastAsia="en-AU"/>
              </w:rPr>
            </w:pPr>
          </w:p>
        </w:tc>
        <w:tc>
          <w:tcPr>
            <w:tcW w:w="513" w:type="pct"/>
            <w:tcBorders>
              <w:left w:val="nil"/>
            </w:tcBorders>
          </w:tcPr>
          <w:p w14:paraId="7020EBF2" w14:textId="77777777" w:rsidR="008D0C3A" w:rsidRPr="00B75CE0" w:rsidRDefault="008D0C3A">
            <w:pPr>
              <w:pStyle w:val="TableText"/>
              <w:spacing w:before="0" w:after="0"/>
              <w:jc w:val="center"/>
              <w:rPr>
                <w:rFonts w:eastAsia="Times New Roman" w:cs="Times New Roman"/>
                <w:szCs w:val="20"/>
                <w:lang w:eastAsia="en-AU"/>
              </w:rPr>
            </w:pPr>
          </w:p>
        </w:tc>
      </w:tr>
      <w:tr w:rsidR="008D0C3A" w:rsidRPr="00B75CE0" w14:paraId="0B2D8239" w14:textId="77777777">
        <w:tc>
          <w:tcPr>
            <w:tcW w:w="299" w:type="pct"/>
            <w:vAlign w:val="center"/>
          </w:tcPr>
          <w:p w14:paraId="77751281" w14:textId="77777777" w:rsidR="008D0C3A" w:rsidRPr="00B75CE0" w:rsidRDefault="008D0C3A">
            <w:pPr>
              <w:pStyle w:val="TableText"/>
              <w:spacing w:before="0" w:after="0"/>
              <w:jc w:val="center"/>
              <w:rPr>
                <w:rFonts w:eastAsia="Times New Roman" w:cs="Times New Roman"/>
                <w:szCs w:val="20"/>
                <w:lang w:eastAsia="en-AU"/>
              </w:rPr>
            </w:pPr>
            <w:r w:rsidRPr="002F5D1E">
              <w:rPr>
                <w:rFonts w:eastAsia="Times New Roman" w:cs="Times New Roman"/>
                <w:szCs w:val="20"/>
                <w:lang w:eastAsia="en-AU"/>
              </w:rPr>
              <w:t>D</w:t>
            </w:r>
          </w:p>
        </w:tc>
        <w:tc>
          <w:tcPr>
            <w:tcW w:w="2007" w:type="pct"/>
            <w:vAlign w:val="center"/>
          </w:tcPr>
          <w:p w14:paraId="6153E67B"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 xml:space="preserve">Lower bound 95% CI </w:t>
            </w:r>
            <w:r w:rsidRPr="00991477">
              <w:rPr>
                <w:rFonts w:eastAsia="Times New Roman" w:cs="Times New Roman"/>
                <w:szCs w:val="20"/>
                <w:vertAlign w:val="superscript"/>
                <w:lang w:eastAsia="en-AU"/>
              </w:rPr>
              <w:t>177</w:t>
            </w:r>
            <w:r>
              <w:rPr>
                <w:rFonts w:eastAsia="Times New Roman" w:cs="Times New Roman"/>
                <w:szCs w:val="20"/>
                <w:lang w:eastAsia="en-AU"/>
              </w:rPr>
              <w:t xml:space="preserve">Lu PSMA i&amp;t vs BSC </w:t>
            </w:r>
            <w:r w:rsidRPr="00B75CE0">
              <w:rPr>
                <w:rFonts w:eastAsia="Times New Roman" w:cs="Times New Roman"/>
                <w:szCs w:val="20"/>
                <w:lang w:eastAsia="en-AU"/>
              </w:rPr>
              <w:t>OS HR (from 0.62 to 0.52)</w:t>
            </w:r>
          </w:p>
        </w:tc>
        <w:tc>
          <w:tcPr>
            <w:tcW w:w="727" w:type="pct"/>
            <w:vAlign w:val="center"/>
          </w:tcPr>
          <w:p w14:paraId="6ABDF431"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$33,839</w:t>
            </w:r>
          </w:p>
        </w:tc>
        <w:tc>
          <w:tcPr>
            <w:tcW w:w="727" w:type="pct"/>
            <w:vAlign w:val="center"/>
          </w:tcPr>
          <w:p w14:paraId="144DF124"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0.373</w:t>
            </w:r>
          </w:p>
        </w:tc>
        <w:tc>
          <w:tcPr>
            <w:tcW w:w="727" w:type="pct"/>
            <w:vAlign w:val="center"/>
          </w:tcPr>
          <w:p w14:paraId="0D28B6CA"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$90,807</w:t>
            </w:r>
          </w:p>
        </w:tc>
        <w:tc>
          <w:tcPr>
            <w:tcW w:w="513" w:type="pct"/>
            <w:vAlign w:val="center"/>
          </w:tcPr>
          <w:p w14:paraId="6DF92C83" w14:textId="77777777" w:rsidR="008D0C3A" w:rsidRPr="00656E93" w:rsidRDefault="008D0C3A">
            <w:pPr>
              <w:pStyle w:val="TableText"/>
              <w:spacing w:before="0" w:after="0"/>
              <w:jc w:val="center"/>
              <w:rPr>
                <w:rFonts w:eastAsia="Times New Roman" w:cs="Times New Roman"/>
                <w:b/>
                <w:bCs/>
                <w:szCs w:val="20"/>
                <w:lang w:eastAsia="en-AU"/>
              </w:rPr>
            </w:pPr>
            <w:r w:rsidRPr="00656E93">
              <w:rPr>
                <w:rFonts w:eastAsia="Times New Roman" w:cs="Times New Roman"/>
                <w:b/>
                <w:bCs/>
                <w:szCs w:val="20"/>
                <w:lang w:eastAsia="en-AU"/>
              </w:rPr>
              <w:t>-19.9%</w:t>
            </w:r>
          </w:p>
        </w:tc>
      </w:tr>
      <w:tr w:rsidR="008D0C3A" w:rsidRPr="00B75CE0" w14:paraId="54405957" w14:textId="77777777">
        <w:tc>
          <w:tcPr>
            <w:tcW w:w="299" w:type="pct"/>
            <w:vAlign w:val="center"/>
          </w:tcPr>
          <w:p w14:paraId="6BE97615"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E</w:t>
            </w:r>
          </w:p>
        </w:tc>
        <w:tc>
          <w:tcPr>
            <w:tcW w:w="2007" w:type="pct"/>
            <w:vAlign w:val="center"/>
          </w:tcPr>
          <w:p w14:paraId="7663F85D"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 xml:space="preserve">Upper bound 95% CI for </w:t>
            </w:r>
            <w:r w:rsidRPr="00991477">
              <w:rPr>
                <w:rFonts w:eastAsia="Times New Roman" w:cs="Times New Roman"/>
                <w:szCs w:val="20"/>
                <w:vertAlign w:val="superscript"/>
                <w:lang w:eastAsia="en-AU"/>
              </w:rPr>
              <w:t>177</w:t>
            </w:r>
            <w:r>
              <w:rPr>
                <w:rFonts w:eastAsia="Times New Roman" w:cs="Times New Roman"/>
                <w:szCs w:val="20"/>
                <w:lang w:eastAsia="en-AU"/>
              </w:rPr>
              <w:t xml:space="preserve">Lu PSMA i&amp;t vs BSC </w:t>
            </w:r>
            <w:r w:rsidRPr="00B75CE0">
              <w:rPr>
                <w:rFonts w:eastAsia="Times New Roman" w:cs="Times New Roman"/>
                <w:szCs w:val="20"/>
                <w:lang w:eastAsia="en-AU"/>
              </w:rPr>
              <w:t>OS HR (from 0.62 to 0.74)</w:t>
            </w:r>
          </w:p>
        </w:tc>
        <w:tc>
          <w:tcPr>
            <w:tcW w:w="727" w:type="pct"/>
            <w:vAlign w:val="center"/>
          </w:tcPr>
          <w:p w14:paraId="743C07FC"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$34,449</w:t>
            </w:r>
          </w:p>
        </w:tc>
        <w:tc>
          <w:tcPr>
            <w:tcW w:w="727" w:type="pct"/>
            <w:vAlign w:val="center"/>
          </w:tcPr>
          <w:p w14:paraId="3E0B46A8"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0.220</w:t>
            </w:r>
          </w:p>
        </w:tc>
        <w:tc>
          <w:tcPr>
            <w:tcW w:w="727" w:type="pct"/>
            <w:vAlign w:val="center"/>
          </w:tcPr>
          <w:p w14:paraId="51A27B77"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$156,727</w:t>
            </w:r>
          </w:p>
        </w:tc>
        <w:tc>
          <w:tcPr>
            <w:tcW w:w="513" w:type="pct"/>
            <w:vAlign w:val="center"/>
          </w:tcPr>
          <w:p w14:paraId="6167554D" w14:textId="77777777" w:rsidR="008D0C3A" w:rsidRPr="00656E93" w:rsidRDefault="008D0C3A">
            <w:pPr>
              <w:pStyle w:val="TableText"/>
              <w:spacing w:before="0" w:after="0"/>
              <w:jc w:val="center"/>
              <w:rPr>
                <w:rFonts w:eastAsia="Times New Roman" w:cs="Times New Roman"/>
                <w:b/>
                <w:bCs/>
                <w:szCs w:val="20"/>
                <w:lang w:eastAsia="en-AU"/>
              </w:rPr>
            </w:pPr>
            <w:r w:rsidRPr="00656E93">
              <w:rPr>
                <w:rFonts w:eastAsia="Times New Roman" w:cs="Times New Roman"/>
                <w:b/>
                <w:bCs/>
                <w:szCs w:val="20"/>
                <w:lang w:eastAsia="en-AU"/>
              </w:rPr>
              <w:t>38.3%</w:t>
            </w:r>
          </w:p>
        </w:tc>
      </w:tr>
      <w:tr w:rsidR="008D0C3A" w:rsidRPr="00B75CE0" w14:paraId="27391767" w14:textId="77777777">
        <w:tc>
          <w:tcPr>
            <w:tcW w:w="299" w:type="pct"/>
            <w:vAlign w:val="center"/>
          </w:tcPr>
          <w:p w14:paraId="43B04DCD"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F</w:t>
            </w:r>
          </w:p>
        </w:tc>
        <w:tc>
          <w:tcPr>
            <w:tcW w:w="2007" w:type="pct"/>
          </w:tcPr>
          <w:p w14:paraId="5DA57A3A"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Assume 100% BSC</w:t>
            </w:r>
          </w:p>
        </w:tc>
        <w:tc>
          <w:tcPr>
            <w:tcW w:w="727" w:type="pct"/>
            <w:vAlign w:val="center"/>
          </w:tcPr>
          <w:p w14:paraId="304EEB39"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$34,936</w:t>
            </w:r>
          </w:p>
        </w:tc>
        <w:tc>
          <w:tcPr>
            <w:tcW w:w="727" w:type="pct"/>
            <w:vAlign w:val="center"/>
          </w:tcPr>
          <w:p w14:paraId="5EA2AF9D"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0.354</w:t>
            </w:r>
          </w:p>
        </w:tc>
        <w:tc>
          <w:tcPr>
            <w:tcW w:w="727" w:type="pct"/>
            <w:vAlign w:val="center"/>
          </w:tcPr>
          <w:p w14:paraId="223805EF"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$98,586</w:t>
            </w:r>
          </w:p>
        </w:tc>
        <w:tc>
          <w:tcPr>
            <w:tcW w:w="513" w:type="pct"/>
            <w:vAlign w:val="center"/>
          </w:tcPr>
          <w:p w14:paraId="5A486AE1"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-13.0%</w:t>
            </w:r>
          </w:p>
        </w:tc>
      </w:tr>
      <w:tr w:rsidR="008D0C3A" w:rsidRPr="00B75CE0" w14:paraId="7D55BB67" w14:textId="77777777">
        <w:tc>
          <w:tcPr>
            <w:tcW w:w="299" w:type="pct"/>
            <w:vAlign w:val="center"/>
          </w:tcPr>
          <w:p w14:paraId="54437FD7"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G</w:t>
            </w:r>
          </w:p>
        </w:tc>
        <w:tc>
          <w:tcPr>
            <w:tcW w:w="2007" w:type="pct"/>
          </w:tcPr>
          <w:p w14:paraId="3C8C4880"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 xml:space="preserve">Historic </w:t>
            </w:r>
            <w:r>
              <w:rPr>
                <w:rFonts w:eastAsia="Times New Roman" w:cs="Times New Roman"/>
                <w:szCs w:val="20"/>
                <w:lang w:eastAsia="en-AU"/>
              </w:rPr>
              <w:t>price</w:t>
            </w:r>
            <w:r w:rsidRPr="00B75CE0">
              <w:rPr>
                <w:rFonts w:eastAsia="Times New Roman" w:cs="Times New Roman"/>
                <w:szCs w:val="20"/>
                <w:lang w:eastAsia="en-AU"/>
              </w:rPr>
              <w:t xml:space="preserve"> of cabazitaxel (February 2022)</w:t>
            </w:r>
            <w:r>
              <w:rPr>
                <w:rFonts w:eastAsia="Times New Roman" w:cs="Times New Roman"/>
                <w:szCs w:val="20"/>
                <w:lang w:eastAsia="en-AU"/>
              </w:rPr>
              <w:t xml:space="preserve"> Weighted public:private price of </w:t>
            </w:r>
            <w:r w:rsidRPr="00B75CE0">
              <w:rPr>
                <w:szCs w:val="20"/>
              </w:rPr>
              <w:t>$1,068.78</w:t>
            </w:r>
          </w:p>
        </w:tc>
        <w:tc>
          <w:tcPr>
            <w:tcW w:w="727" w:type="pct"/>
            <w:vAlign w:val="center"/>
          </w:tcPr>
          <w:p w14:paraId="6CC637D4"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$33,625</w:t>
            </w:r>
          </w:p>
        </w:tc>
        <w:tc>
          <w:tcPr>
            <w:tcW w:w="727" w:type="pct"/>
            <w:vAlign w:val="center"/>
          </w:tcPr>
          <w:p w14:paraId="0B58BE59"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0.301</w:t>
            </w:r>
          </w:p>
        </w:tc>
        <w:tc>
          <w:tcPr>
            <w:tcW w:w="727" w:type="pct"/>
            <w:vAlign w:val="center"/>
          </w:tcPr>
          <w:p w14:paraId="668B1966"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$111,770</w:t>
            </w:r>
          </w:p>
        </w:tc>
        <w:tc>
          <w:tcPr>
            <w:tcW w:w="513" w:type="pct"/>
            <w:vAlign w:val="center"/>
          </w:tcPr>
          <w:p w14:paraId="015A3952"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-1.4%</w:t>
            </w:r>
          </w:p>
        </w:tc>
      </w:tr>
      <w:tr w:rsidR="008D0C3A" w:rsidRPr="00B75CE0" w14:paraId="7C04B26C" w14:textId="77777777">
        <w:tc>
          <w:tcPr>
            <w:tcW w:w="2306" w:type="pct"/>
            <w:gridSpan w:val="2"/>
            <w:tcBorders>
              <w:right w:val="nil"/>
            </w:tcBorders>
            <w:vAlign w:val="center"/>
          </w:tcPr>
          <w:p w14:paraId="5D035C99" w14:textId="77777777" w:rsidR="008D0C3A" w:rsidRPr="00B75CE0" w:rsidRDefault="008D0C3A">
            <w:pPr>
              <w:pStyle w:val="TableText"/>
              <w:spacing w:before="0" w:after="0"/>
              <w:rPr>
                <w:rFonts w:eastAsia="Times New Roman" w:cs="Times New Roman"/>
                <w:b/>
                <w:bCs/>
                <w:szCs w:val="20"/>
                <w:lang w:eastAsia="en-AU"/>
              </w:rPr>
            </w:pPr>
            <w:r w:rsidRPr="00B75CE0">
              <w:rPr>
                <w:rFonts w:eastAsia="Times New Roman" w:cs="Times New Roman"/>
                <w:b/>
                <w:bCs/>
                <w:szCs w:val="20"/>
                <w:lang w:eastAsia="en-AU"/>
              </w:rPr>
              <w:t>Utilities</w:t>
            </w:r>
          </w:p>
        </w:tc>
        <w:tc>
          <w:tcPr>
            <w:tcW w:w="727" w:type="pct"/>
            <w:tcBorders>
              <w:left w:val="nil"/>
              <w:right w:val="nil"/>
            </w:tcBorders>
          </w:tcPr>
          <w:p w14:paraId="65043A76" w14:textId="77777777" w:rsidR="008D0C3A" w:rsidRPr="00B75CE0" w:rsidRDefault="008D0C3A">
            <w:pPr>
              <w:pStyle w:val="TableText"/>
              <w:spacing w:before="0" w:after="0"/>
              <w:jc w:val="center"/>
              <w:rPr>
                <w:rFonts w:eastAsia="Times New Roman" w:cs="Times New Roman"/>
                <w:szCs w:val="20"/>
                <w:lang w:eastAsia="en-AU"/>
              </w:rPr>
            </w:pPr>
          </w:p>
        </w:tc>
        <w:tc>
          <w:tcPr>
            <w:tcW w:w="727" w:type="pct"/>
            <w:tcBorders>
              <w:left w:val="nil"/>
              <w:right w:val="nil"/>
            </w:tcBorders>
          </w:tcPr>
          <w:p w14:paraId="6E43BBBF" w14:textId="77777777" w:rsidR="008D0C3A" w:rsidRPr="00B75CE0" w:rsidRDefault="008D0C3A">
            <w:pPr>
              <w:pStyle w:val="TableText"/>
              <w:spacing w:before="0" w:after="0"/>
              <w:jc w:val="center"/>
              <w:rPr>
                <w:rFonts w:eastAsia="Times New Roman" w:cs="Times New Roman"/>
                <w:szCs w:val="20"/>
                <w:lang w:eastAsia="en-AU"/>
              </w:rPr>
            </w:pPr>
          </w:p>
        </w:tc>
        <w:tc>
          <w:tcPr>
            <w:tcW w:w="727" w:type="pct"/>
            <w:tcBorders>
              <w:left w:val="nil"/>
              <w:right w:val="nil"/>
            </w:tcBorders>
          </w:tcPr>
          <w:p w14:paraId="37868A65" w14:textId="77777777" w:rsidR="008D0C3A" w:rsidRPr="00A3077A" w:rsidRDefault="008D0C3A">
            <w:pPr>
              <w:pStyle w:val="TableText"/>
              <w:spacing w:before="0" w:after="0"/>
              <w:jc w:val="center"/>
              <w:rPr>
                <w:rFonts w:eastAsia="Times New Roman" w:cs="Times New Roman"/>
                <w:szCs w:val="20"/>
                <w:lang w:eastAsia="en-AU"/>
              </w:rPr>
            </w:pPr>
          </w:p>
        </w:tc>
        <w:tc>
          <w:tcPr>
            <w:tcW w:w="513" w:type="pct"/>
            <w:tcBorders>
              <w:left w:val="nil"/>
            </w:tcBorders>
          </w:tcPr>
          <w:p w14:paraId="3F780FD8" w14:textId="77777777" w:rsidR="008D0C3A" w:rsidRPr="00B75CE0" w:rsidRDefault="008D0C3A">
            <w:pPr>
              <w:pStyle w:val="TableText"/>
              <w:spacing w:before="0" w:after="0"/>
              <w:jc w:val="center"/>
              <w:rPr>
                <w:rFonts w:eastAsia="Times New Roman" w:cs="Times New Roman"/>
                <w:szCs w:val="20"/>
                <w:lang w:eastAsia="en-AU"/>
              </w:rPr>
            </w:pPr>
          </w:p>
        </w:tc>
      </w:tr>
      <w:tr w:rsidR="008D0C3A" w:rsidRPr="00B75CE0" w14:paraId="68E70A8F" w14:textId="77777777">
        <w:tc>
          <w:tcPr>
            <w:tcW w:w="299" w:type="pct"/>
            <w:vAlign w:val="center"/>
          </w:tcPr>
          <w:p w14:paraId="5B3DDB15"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H</w:t>
            </w:r>
          </w:p>
        </w:tc>
        <w:tc>
          <w:tcPr>
            <w:tcW w:w="2007" w:type="pct"/>
          </w:tcPr>
          <w:p w14:paraId="6F0AAC96"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15D utility values from Torvinen et al. (2013) (PFS: 0.80, PD: 0.67)</w:t>
            </w:r>
          </w:p>
        </w:tc>
        <w:tc>
          <w:tcPr>
            <w:tcW w:w="727" w:type="pct"/>
            <w:vAlign w:val="center"/>
          </w:tcPr>
          <w:p w14:paraId="078BEF48"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$34,100</w:t>
            </w:r>
          </w:p>
        </w:tc>
        <w:tc>
          <w:tcPr>
            <w:tcW w:w="727" w:type="pct"/>
            <w:vAlign w:val="center"/>
          </w:tcPr>
          <w:p w14:paraId="1E674924"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0.321</w:t>
            </w:r>
          </w:p>
        </w:tc>
        <w:tc>
          <w:tcPr>
            <w:tcW w:w="727" w:type="pct"/>
            <w:vAlign w:val="center"/>
          </w:tcPr>
          <w:p w14:paraId="7B6DB574"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$106,364</w:t>
            </w:r>
          </w:p>
        </w:tc>
        <w:tc>
          <w:tcPr>
            <w:tcW w:w="513" w:type="pct"/>
            <w:vAlign w:val="center"/>
          </w:tcPr>
          <w:p w14:paraId="3AD71901"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-6.2%</w:t>
            </w:r>
          </w:p>
        </w:tc>
      </w:tr>
      <w:tr w:rsidR="008D0C3A" w:rsidRPr="00B75CE0" w14:paraId="0947C632" w14:textId="77777777">
        <w:tc>
          <w:tcPr>
            <w:tcW w:w="299" w:type="pct"/>
            <w:tcBorders>
              <w:bottom w:val="single" w:sz="4" w:space="0" w:color="auto"/>
            </w:tcBorders>
            <w:vAlign w:val="center"/>
          </w:tcPr>
          <w:p w14:paraId="028D0FEE"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I</w:t>
            </w:r>
          </w:p>
        </w:tc>
        <w:tc>
          <w:tcPr>
            <w:tcW w:w="2007" w:type="pct"/>
            <w:tcBorders>
              <w:bottom w:val="single" w:sz="4" w:space="0" w:color="auto"/>
            </w:tcBorders>
          </w:tcPr>
          <w:p w14:paraId="78A8DA3A"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 xml:space="preserve">PFS: 0.86 </w:t>
            </w:r>
            <w:r w:rsidRPr="00B75CE0">
              <w:rPr>
                <w:rFonts w:eastAsia="Times New Roman" w:cs="Times New Roman"/>
                <w:szCs w:val="20"/>
                <w:lang w:eastAsia="en-AU"/>
              </w:rPr>
              <w:fldChar w:fldCharType="begin"/>
            </w:r>
            <w:r w:rsidRPr="00B75CE0">
              <w:rPr>
                <w:rFonts w:eastAsia="Times New Roman" w:cs="Times New Roman"/>
                <w:szCs w:val="20"/>
                <w:lang w:eastAsia="en-AU"/>
              </w:rPr>
              <w:instrText xml:space="preserve"> ADDIN EN.CITE &lt;EndNote&gt;&lt;Cite&gt;&lt;Author&gt;Krahn&lt;/Author&gt;&lt;Year&gt;2007&lt;/Year&gt;&lt;RecNum&gt;40&lt;/RecNum&gt;&lt;DisplayText&gt;(Krahn et al., 2007)&lt;/DisplayText&gt;&lt;record&gt;&lt;rec-number&gt;40&lt;/rec-number&gt;&lt;foreign-keys&gt;&lt;key app="EN" db-id="fpzesst98x95suetv2hxppzt995wtxas9fet" timestamp="1643345208"&gt;40&lt;/key&gt;&lt;/foreign-keys&gt;&lt;ref-type name="Journal Article"&gt;17&lt;/ref-type&gt;&lt;contributors&gt;&lt;authors&gt;&lt;author&gt;Krahn, M.&lt;/author&gt;&lt;author&gt;Bremner, K. E.&lt;/author&gt;&lt;author&gt;Tomlinson, G.&lt;/author&gt;&lt;author&gt;Ritvo, P.&lt;/author&gt;&lt;author&gt;Irvine, J.&lt;/author&gt;&lt;author&gt;Naglie, G.&lt;/author&gt;&lt;/authors&gt;&lt;/contributors&gt;&lt;auth-address&gt;Department of Medicine, University of Toronto, Toronto, Ontario, Canada. murray.krahn@uhn.on.ca&lt;/auth-address&gt;&lt;titles&gt;&lt;title&gt;Responsiveness of disease-specific and generic utility instruments in prostate cancer patients&lt;/title&gt;&lt;secondary-title&gt;Qual Life Res&lt;/secondary-title&gt;&lt;/titles&gt;&lt;periodical&gt;&lt;full-title&gt;Qual Life Res&lt;/full-title&gt;&lt;/periodical&gt;&lt;pages&gt;509-22&lt;/pages&gt;&lt;volume&gt;16&lt;/volume&gt;&lt;number&gt;3&lt;/number&gt;&lt;edition&gt;2006/11/09&lt;/edition&gt;&lt;keywords&gt;&lt;keyword&gt;Aged&lt;/keyword&gt;&lt;keyword&gt;Aged, 80 and over&lt;/keyword&gt;&lt;keyword&gt;Attitude to Health&lt;/keyword&gt;&lt;keyword&gt;Humans&lt;/keyword&gt;&lt;keyword&gt;Male&lt;/keyword&gt;&lt;keyword&gt;Mental Health&lt;/keyword&gt;&lt;keyword&gt;Middle Aged&lt;/keyword&gt;&lt;keyword&gt;Ontario&lt;/keyword&gt;&lt;keyword&gt;Prospective Studies&lt;/keyword&gt;&lt;keyword&gt;Prostatic Neoplasms/economics/*psychology/therapy&lt;/keyword&gt;&lt;keyword&gt;Psychometrics/*instrumentation&lt;/keyword&gt;&lt;keyword&gt;Quality of Life/*psychology&lt;/keyword&gt;&lt;keyword&gt;Sensitivity and Specificity&lt;/keyword&gt;&lt;keyword&gt;*Sickness Impact Profile&lt;/keyword&gt;&lt;keyword&gt;Surveys and Questionnaires&lt;/keyword&gt;&lt;keyword&gt;*Treatment Outcome&lt;/keyword&gt;&lt;/keywords&gt;&lt;dates&gt;&lt;year&gt;2007&lt;/year&gt;&lt;pub-dates&gt;&lt;date&gt;Apr&lt;/date&gt;&lt;/pub-dates&gt;&lt;/dates&gt;&lt;isbn&gt;0962-9343 (Print)&amp;#xD;0962-9343&lt;/isbn&gt;&lt;accession-num&gt;17091359&lt;/accession-num&gt;&lt;urls&gt;&lt;/urls&gt;&lt;electronic-resource-num&gt;10.1007/s11136-006-9132-x&lt;/electronic-resource-num&gt;&lt;remote-database-provider&gt;NLM&lt;/remote-database-provider&gt;&lt;language&gt;eng&lt;/language&gt;&lt;/record&gt;&lt;/Cite&gt;&lt;/EndNote&gt;</w:instrText>
            </w:r>
            <w:r w:rsidRPr="00B75CE0">
              <w:rPr>
                <w:rFonts w:eastAsia="Times New Roman" w:cs="Times New Roman"/>
                <w:szCs w:val="20"/>
                <w:lang w:eastAsia="en-AU"/>
              </w:rPr>
              <w:fldChar w:fldCharType="separate"/>
            </w:r>
            <w:r w:rsidRPr="00B75CE0">
              <w:rPr>
                <w:rFonts w:eastAsia="Times New Roman" w:cs="Times New Roman"/>
                <w:noProof/>
                <w:szCs w:val="20"/>
                <w:lang w:eastAsia="en-AU"/>
              </w:rPr>
              <w:t>(Krahn et al., 2007)</w:t>
            </w:r>
            <w:r w:rsidRPr="00B75CE0">
              <w:rPr>
                <w:rFonts w:eastAsia="Times New Roman" w:cs="Times New Roman"/>
                <w:szCs w:val="20"/>
                <w:lang w:eastAsia="en-AU"/>
              </w:rPr>
              <w:fldChar w:fldCharType="end"/>
            </w:r>
            <w:r w:rsidRPr="00B75CE0">
              <w:rPr>
                <w:rFonts w:eastAsia="Times New Roman" w:cs="Times New Roman"/>
                <w:szCs w:val="20"/>
                <w:lang w:eastAsia="en-AU"/>
              </w:rPr>
              <w:t xml:space="preserve">, PD: 0.635 </w:t>
            </w:r>
            <w:r w:rsidRPr="00B75CE0">
              <w:rPr>
                <w:rFonts w:eastAsia="Times New Roman" w:cs="Times New Roman"/>
                <w:szCs w:val="20"/>
                <w:lang w:eastAsia="en-AU"/>
              </w:rPr>
              <w:fldChar w:fldCharType="begin"/>
            </w:r>
            <w:r w:rsidRPr="00B75CE0">
              <w:rPr>
                <w:rFonts w:eastAsia="Times New Roman" w:cs="Times New Roman"/>
                <w:szCs w:val="20"/>
                <w:lang w:eastAsia="en-AU"/>
              </w:rPr>
              <w:instrText xml:space="preserve"> ADDIN EN.CITE &lt;EndNote&gt;&lt;Cite&gt;&lt;Author&gt;Wu&lt;/Author&gt;&lt;Year&gt;2007&lt;/Year&gt;&lt;RecNum&gt;41&lt;/RecNum&gt;&lt;DisplayText&gt;(Wu et al., 2007)&lt;/DisplayText&gt;&lt;record&gt;&lt;rec-number&gt;41&lt;/rec-number&gt;&lt;foreign-keys&gt;&lt;key app="EN" db-id="fpzesst98x95suetv2hxppzt995wtxas9fet" timestamp="1643345339"&gt;41&lt;/key&gt;&lt;/foreign-keys&gt;&lt;ref-type name="Journal Article"&gt;17&lt;/ref-type&gt;&lt;contributors&gt;&lt;authors&gt;&lt;author&gt;Wu, Eric Q.&lt;/author&gt;&lt;author&gt;Mulani, Parvez&lt;/author&gt;&lt;author&gt;Farrell, Max H.&lt;/author&gt;&lt;author&gt;Sleep, Darryl&lt;/author&gt;&lt;/authors&gt;&lt;/contributors&gt;&lt;titles&gt;&lt;title&gt;Mapping FACT-P and EORTC QLQ-C30 to Patient Health Status Measured by EQ-5D in Metastatic Hormone-Refractory Prostate Cancer Patients&lt;/title&gt;&lt;secondary-title&gt;Value in Health&lt;/secondary-title&gt;&lt;/titles&gt;&lt;periodical&gt;&lt;full-title&gt;Value in Health&lt;/full-title&gt;&lt;/periodical&gt;&lt;pages&gt;408-414&lt;/pages&gt;&lt;volume&gt;10&lt;/volume&gt;&lt;number&gt;5&lt;/number&gt;&lt;keywords&gt;&lt;keyword&gt;EORTC QLQ-C30&lt;/keyword&gt;&lt;keyword&gt;EQ-5D&lt;/keyword&gt;&lt;keyword&gt;FACT-P&lt;/keyword&gt;&lt;keyword&gt;preference-adjusted health status&lt;/keyword&gt;&lt;keyword&gt;quality of life&lt;/keyword&gt;&lt;/keywords&gt;&lt;dates&gt;&lt;year&gt;2007&lt;/year&gt;&lt;pub-dates&gt;&lt;date&gt;2007/09/01&lt;/date&gt;&lt;/pub-dates&gt;&lt;/dates&gt;&lt;publisher&gt;John Wiley &amp;amp; Sons, Ltd&lt;/publisher&gt;&lt;isbn&gt;1098-3015&lt;/isbn&gt;&lt;work-type&gt;https://doi.org/10.1111/j.1524-4733.2007.00195.x&lt;/work-type&gt;&lt;urls&gt;&lt;related-urls&gt;&lt;url&gt;https://doi.org/10.1111/j.1524-4733.2007.00195.x&lt;/url&gt;&lt;/related-urls&gt;&lt;/urls&gt;&lt;electronic-resource-num&gt;https://doi.org/10.1111/j.1524-4733.2007.00195.x&lt;/electronic-resource-num&gt;&lt;access-date&gt;2022/01/27&lt;/access-date&gt;&lt;/record&gt;&lt;/Cite&gt;&lt;/EndNote&gt;</w:instrText>
            </w:r>
            <w:r w:rsidRPr="00B75CE0">
              <w:rPr>
                <w:rFonts w:eastAsia="Times New Roman" w:cs="Times New Roman"/>
                <w:szCs w:val="20"/>
                <w:lang w:eastAsia="en-AU"/>
              </w:rPr>
              <w:fldChar w:fldCharType="separate"/>
            </w:r>
            <w:r w:rsidRPr="00B75CE0">
              <w:rPr>
                <w:rFonts w:eastAsia="Times New Roman" w:cs="Times New Roman"/>
                <w:noProof/>
                <w:szCs w:val="20"/>
                <w:lang w:eastAsia="en-AU"/>
              </w:rPr>
              <w:t>(Wu et al., 2007)</w:t>
            </w:r>
            <w:r w:rsidRPr="00B75CE0">
              <w:rPr>
                <w:rFonts w:eastAsia="Times New Roman" w:cs="Times New Roman"/>
                <w:szCs w:val="20"/>
                <w:lang w:eastAsia="en-AU"/>
              </w:rPr>
              <w:fldChar w:fldCharType="end"/>
            </w:r>
            <w:r w:rsidRPr="00B75CE0">
              <w:rPr>
                <w:rFonts w:eastAsia="Times New Roman" w:cs="Times New Roman"/>
                <w:szCs w:val="20"/>
                <w:lang w:eastAsia="en-AU"/>
              </w:rPr>
              <w:t xml:space="preserve"> both sourced from Magnus et al. (2019)</w:t>
            </w:r>
          </w:p>
        </w:tc>
        <w:tc>
          <w:tcPr>
            <w:tcW w:w="727" w:type="pct"/>
            <w:tcBorders>
              <w:bottom w:val="single" w:sz="4" w:space="0" w:color="auto"/>
            </w:tcBorders>
            <w:vAlign w:val="center"/>
          </w:tcPr>
          <w:p w14:paraId="00C8C8D4"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$34,100</w:t>
            </w:r>
          </w:p>
        </w:tc>
        <w:tc>
          <w:tcPr>
            <w:tcW w:w="727" w:type="pct"/>
            <w:tcBorders>
              <w:bottom w:val="single" w:sz="4" w:space="0" w:color="auto"/>
            </w:tcBorders>
            <w:vAlign w:val="center"/>
          </w:tcPr>
          <w:p w14:paraId="31CD2AD5"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0.345</w:t>
            </w:r>
          </w:p>
        </w:tc>
        <w:tc>
          <w:tcPr>
            <w:tcW w:w="727" w:type="pct"/>
            <w:tcBorders>
              <w:bottom w:val="single" w:sz="4" w:space="0" w:color="auto"/>
            </w:tcBorders>
            <w:vAlign w:val="center"/>
          </w:tcPr>
          <w:p w14:paraId="26F1019A"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$98,832</w:t>
            </w:r>
          </w:p>
        </w:tc>
        <w:tc>
          <w:tcPr>
            <w:tcW w:w="513" w:type="pct"/>
            <w:tcBorders>
              <w:bottom w:val="single" w:sz="4" w:space="0" w:color="auto"/>
            </w:tcBorders>
            <w:vAlign w:val="center"/>
          </w:tcPr>
          <w:p w14:paraId="06D73638"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-12.8%</w:t>
            </w:r>
          </w:p>
        </w:tc>
      </w:tr>
      <w:tr w:rsidR="008D0C3A" w:rsidRPr="00B75CE0" w14:paraId="5EC175A2" w14:textId="77777777">
        <w:tc>
          <w:tcPr>
            <w:tcW w:w="299" w:type="pct"/>
            <w:tcBorders>
              <w:bottom w:val="single" w:sz="4" w:space="0" w:color="auto"/>
            </w:tcBorders>
            <w:vAlign w:val="center"/>
          </w:tcPr>
          <w:p w14:paraId="218B1EB5" w14:textId="77777777" w:rsidR="008D0C3A" w:rsidRPr="00B75CE0" w:rsidRDefault="008D0C3A">
            <w:pPr>
              <w:pStyle w:val="TableText"/>
              <w:spacing w:before="0" w:after="0"/>
              <w:jc w:val="center"/>
              <w:rPr>
                <w:szCs w:val="20"/>
              </w:rPr>
            </w:pPr>
            <w:r>
              <w:rPr>
                <w:szCs w:val="20"/>
              </w:rPr>
              <w:t>J</w:t>
            </w:r>
          </w:p>
        </w:tc>
        <w:tc>
          <w:tcPr>
            <w:tcW w:w="2007" w:type="pct"/>
            <w:tcBorders>
              <w:bottom w:val="single" w:sz="4" w:space="0" w:color="auto"/>
            </w:tcBorders>
          </w:tcPr>
          <w:p w14:paraId="7125B9DD" w14:textId="77777777" w:rsidR="008D0C3A" w:rsidRPr="00B75CE0" w:rsidRDefault="008D0C3A">
            <w:pPr>
              <w:pStyle w:val="TableText"/>
              <w:spacing w:before="0" w:after="0"/>
              <w:rPr>
                <w:rFonts w:eastAsia="Times New Roman" w:cs="Times New Roman"/>
                <w:szCs w:val="20"/>
                <w:lang w:eastAsia="en-AU"/>
              </w:rPr>
            </w:pPr>
            <w:r w:rsidRPr="00B75CE0">
              <w:rPr>
                <w:szCs w:val="20"/>
              </w:rPr>
              <w:t>Utility cabazitaxel = 0.7 and BS</w:t>
            </w:r>
            <w:r>
              <w:rPr>
                <w:szCs w:val="20"/>
              </w:rPr>
              <w:t>C</w:t>
            </w:r>
            <w:r w:rsidRPr="00B75CE0">
              <w:rPr>
                <w:szCs w:val="20"/>
              </w:rPr>
              <w:t xml:space="preserve"> = 0.7 for PFS health state</w:t>
            </w:r>
            <w:r>
              <w:rPr>
                <w:szCs w:val="20"/>
              </w:rPr>
              <w:t xml:space="preserve"> in the comparator arm</w:t>
            </w:r>
            <w:r w:rsidRPr="00B75CE0">
              <w:rPr>
                <w:szCs w:val="20"/>
              </w:rPr>
              <w:t xml:space="preserve"> (the Applicant’s pre-</w:t>
            </w:r>
            <w:r>
              <w:rPr>
                <w:szCs w:val="20"/>
              </w:rPr>
              <w:t>MSAC</w:t>
            </w:r>
            <w:r w:rsidRPr="00B75CE0">
              <w:rPr>
                <w:szCs w:val="20"/>
              </w:rPr>
              <w:t xml:space="preserve"> response)</w:t>
            </w:r>
          </w:p>
        </w:tc>
        <w:tc>
          <w:tcPr>
            <w:tcW w:w="727" w:type="pct"/>
            <w:tcBorders>
              <w:bottom w:val="single" w:sz="4" w:space="0" w:color="auto"/>
            </w:tcBorders>
            <w:vAlign w:val="center"/>
          </w:tcPr>
          <w:p w14:paraId="4F584D01"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$34,100</w:t>
            </w:r>
          </w:p>
        </w:tc>
        <w:tc>
          <w:tcPr>
            <w:tcW w:w="727" w:type="pct"/>
            <w:tcBorders>
              <w:bottom w:val="single" w:sz="4" w:space="0" w:color="auto"/>
            </w:tcBorders>
            <w:vAlign w:val="center"/>
          </w:tcPr>
          <w:p w14:paraId="098F0F62" w14:textId="77777777" w:rsidR="008D0C3A" w:rsidRPr="00B554E2" w:rsidRDefault="008D0C3A">
            <w:pPr>
              <w:pStyle w:val="TableText"/>
              <w:spacing w:before="0" w:after="0"/>
              <w:jc w:val="center"/>
              <w:rPr>
                <w:rFonts w:eastAsia="Times New Roman" w:cs="Times New Roman"/>
                <w:szCs w:val="20"/>
                <w:lang w:eastAsia="en-AU"/>
              </w:rPr>
            </w:pPr>
            <w:r w:rsidRPr="005B31F3">
              <w:rPr>
                <w:rFonts w:eastAsia="Times New Roman" w:cs="Times New Roman"/>
                <w:szCs w:val="20"/>
                <w:lang w:eastAsia="en-AU"/>
              </w:rPr>
              <w:t>0.</w:t>
            </w:r>
            <w:r>
              <w:rPr>
                <w:rFonts w:eastAsia="Times New Roman" w:cs="Times New Roman"/>
                <w:szCs w:val="20"/>
                <w:lang w:eastAsia="en-AU"/>
              </w:rPr>
              <w:t>314</w:t>
            </w:r>
          </w:p>
        </w:tc>
        <w:tc>
          <w:tcPr>
            <w:tcW w:w="727" w:type="pct"/>
            <w:tcBorders>
              <w:bottom w:val="single" w:sz="4" w:space="0" w:color="auto"/>
            </w:tcBorders>
            <w:vAlign w:val="center"/>
          </w:tcPr>
          <w:p w14:paraId="504DEB48"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$108,711</w:t>
            </w:r>
          </w:p>
        </w:tc>
        <w:tc>
          <w:tcPr>
            <w:tcW w:w="513" w:type="pct"/>
            <w:tcBorders>
              <w:bottom w:val="single" w:sz="4" w:space="0" w:color="auto"/>
            </w:tcBorders>
            <w:vAlign w:val="center"/>
          </w:tcPr>
          <w:p w14:paraId="58480A56"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-4.1%</w:t>
            </w:r>
          </w:p>
        </w:tc>
      </w:tr>
      <w:tr w:rsidR="008D0C3A" w:rsidRPr="00B75CE0" w14:paraId="64FFFBF2" w14:textId="77777777">
        <w:tc>
          <w:tcPr>
            <w:tcW w:w="2306" w:type="pct"/>
            <w:gridSpan w:val="2"/>
            <w:tcBorders>
              <w:right w:val="nil"/>
            </w:tcBorders>
            <w:vAlign w:val="center"/>
          </w:tcPr>
          <w:p w14:paraId="3ECAB360" w14:textId="77777777" w:rsidR="008D0C3A" w:rsidRPr="00B75CE0" w:rsidRDefault="008D0C3A">
            <w:pPr>
              <w:pStyle w:val="TableText"/>
              <w:spacing w:before="0" w:after="0"/>
              <w:rPr>
                <w:rFonts w:eastAsia="Times New Roman" w:cs="Times New Roman"/>
                <w:b/>
                <w:bCs/>
                <w:szCs w:val="20"/>
                <w:lang w:eastAsia="en-AU"/>
              </w:rPr>
            </w:pPr>
            <w:r w:rsidRPr="00B75CE0">
              <w:rPr>
                <w:rFonts w:eastAsia="Times New Roman" w:cs="Times New Roman"/>
                <w:b/>
                <w:bCs/>
                <w:szCs w:val="20"/>
                <w:lang w:eastAsia="en-AU"/>
              </w:rPr>
              <w:t>Costs</w:t>
            </w:r>
          </w:p>
        </w:tc>
        <w:tc>
          <w:tcPr>
            <w:tcW w:w="727" w:type="pct"/>
            <w:tcBorders>
              <w:left w:val="nil"/>
              <w:right w:val="nil"/>
            </w:tcBorders>
          </w:tcPr>
          <w:p w14:paraId="01503675" w14:textId="77777777" w:rsidR="008D0C3A" w:rsidRPr="00B75CE0" w:rsidRDefault="008D0C3A">
            <w:pPr>
              <w:pStyle w:val="TableText"/>
              <w:spacing w:before="0" w:after="0"/>
              <w:jc w:val="center"/>
              <w:rPr>
                <w:rFonts w:eastAsia="Times New Roman" w:cs="Times New Roman"/>
                <w:szCs w:val="20"/>
                <w:lang w:eastAsia="en-AU"/>
              </w:rPr>
            </w:pPr>
          </w:p>
        </w:tc>
        <w:tc>
          <w:tcPr>
            <w:tcW w:w="727" w:type="pct"/>
            <w:tcBorders>
              <w:left w:val="nil"/>
              <w:right w:val="nil"/>
            </w:tcBorders>
          </w:tcPr>
          <w:p w14:paraId="7D45CC0A" w14:textId="77777777" w:rsidR="008D0C3A" w:rsidRPr="00B75CE0" w:rsidRDefault="008D0C3A">
            <w:pPr>
              <w:pStyle w:val="TableText"/>
              <w:spacing w:before="0" w:after="0"/>
              <w:jc w:val="center"/>
              <w:rPr>
                <w:rFonts w:eastAsia="Times New Roman" w:cs="Times New Roman"/>
                <w:szCs w:val="20"/>
                <w:lang w:eastAsia="en-AU"/>
              </w:rPr>
            </w:pPr>
          </w:p>
        </w:tc>
        <w:tc>
          <w:tcPr>
            <w:tcW w:w="727" w:type="pct"/>
            <w:tcBorders>
              <w:left w:val="nil"/>
              <w:right w:val="nil"/>
            </w:tcBorders>
          </w:tcPr>
          <w:p w14:paraId="79B19BE8" w14:textId="77777777" w:rsidR="008D0C3A" w:rsidRPr="00B75CE0" w:rsidRDefault="008D0C3A">
            <w:pPr>
              <w:pStyle w:val="TableText"/>
              <w:spacing w:before="0" w:after="0"/>
              <w:jc w:val="center"/>
              <w:rPr>
                <w:rFonts w:eastAsia="Times New Roman" w:cs="Times New Roman"/>
                <w:szCs w:val="20"/>
                <w:lang w:eastAsia="en-AU"/>
              </w:rPr>
            </w:pPr>
          </w:p>
        </w:tc>
        <w:tc>
          <w:tcPr>
            <w:tcW w:w="513" w:type="pct"/>
            <w:tcBorders>
              <w:left w:val="nil"/>
            </w:tcBorders>
          </w:tcPr>
          <w:p w14:paraId="2DB71DD3" w14:textId="77777777" w:rsidR="008D0C3A" w:rsidRPr="00B75CE0" w:rsidRDefault="008D0C3A">
            <w:pPr>
              <w:pStyle w:val="TableText"/>
              <w:spacing w:before="0" w:after="0"/>
              <w:jc w:val="center"/>
              <w:rPr>
                <w:rFonts w:eastAsia="Times New Roman" w:cs="Times New Roman"/>
                <w:szCs w:val="20"/>
                <w:lang w:eastAsia="en-AU"/>
              </w:rPr>
            </w:pPr>
          </w:p>
        </w:tc>
      </w:tr>
      <w:tr w:rsidR="008D0C3A" w:rsidRPr="00B75CE0" w14:paraId="4C249C53" w14:textId="77777777">
        <w:trPr>
          <w:trHeight w:val="127"/>
        </w:trPr>
        <w:tc>
          <w:tcPr>
            <w:tcW w:w="299" w:type="pct"/>
            <w:vAlign w:val="center"/>
          </w:tcPr>
          <w:p w14:paraId="4B715A04"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K</w:t>
            </w:r>
          </w:p>
        </w:tc>
        <w:tc>
          <w:tcPr>
            <w:tcW w:w="2007" w:type="pct"/>
          </w:tcPr>
          <w:p w14:paraId="569722E5"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 xml:space="preserve">Decrease terminal care costs ($41,569) by 20% </w:t>
            </w:r>
          </w:p>
        </w:tc>
        <w:tc>
          <w:tcPr>
            <w:tcW w:w="727" w:type="pct"/>
            <w:vAlign w:val="center"/>
          </w:tcPr>
          <w:p w14:paraId="7F22840E"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$34,387</w:t>
            </w:r>
          </w:p>
        </w:tc>
        <w:tc>
          <w:tcPr>
            <w:tcW w:w="727" w:type="pct"/>
            <w:vAlign w:val="center"/>
          </w:tcPr>
          <w:p w14:paraId="6A30F742"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0.301</w:t>
            </w:r>
          </w:p>
        </w:tc>
        <w:tc>
          <w:tcPr>
            <w:tcW w:w="727" w:type="pct"/>
            <w:vAlign w:val="center"/>
          </w:tcPr>
          <w:p w14:paraId="738A87A6"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$114,301</w:t>
            </w:r>
          </w:p>
        </w:tc>
        <w:tc>
          <w:tcPr>
            <w:tcW w:w="513" w:type="pct"/>
            <w:vAlign w:val="center"/>
          </w:tcPr>
          <w:p w14:paraId="2482E1FE"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0.8%</w:t>
            </w:r>
          </w:p>
        </w:tc>
      </w:tr>
      <w:tr w:rsidR="008D0C3A" w:rsidRPr="00B75CE0" w14:paraId="633850AC" w14:textId="77777777">
        <w:tc>
          <w:tcPr>
            <w:tcW w:w="299" w:type="pct"/>
            <w:vAlign w:val="center"/>
          </w:tcPr>
          <w:p w14:paraId="338DE7D5"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L</w:t>
            </w:r>
          </w:p>
        </w:tc>
        <w:tc>
          <w:tcPr>
            <w:tcW w:w="2007" w:type="pct"/>
          </w:tcPr>
          <w:p w14:paraId="66039B63" w14:textId="77777777" w:rsidR="008D0C3A" w:rsidRPr="00B75CE0" w:rsidRDefault="008D0C3A">
            <w:pPr>
              <w:pStyle w:val="TableText"/>
              <w:spacing w:before="0" w:after="0"/>
              <w:rPr>
                <w:rFonts w:eastAsia="Times New Roman" w:cs="Times New Roman"/>
                <w:szCs w:val="20"/>
                <w:lang w:eastAsia="en-AU"/>
              </w:rPr>
            </w:pPr>
            <w:r w:rsidRPr="00B75CE0">
              <w:rPr>
                <w:rFonts w:eastAsia="Times New Roman" w:cs="Times New Roman"/>
                <w:szCs w:val="20"/>
                <w:lang w:eastAsia="en-AU"/>
              </w:rPr>
              <w:t>Increase terminal care costs ($41,569) by 20%</w:t>
            </w:r>
          </w:p>
        </w:tc>
        <w:tc>
          <w:tcPr>
            <w:tcW w:w="727" w:type="pct"/>
            <w:vAlign w:val="center"/>
          </w:tcPr>
          <w:p w14:paraId="336D09F8"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$33,812</w:t>
            </w:r>
          </w:p>
        </w:tc>
        <w:tc>
          <w:tcPr>
            <w:tcW w:w="727" w:type="pct"/>
            <w:vAlign w:val="center"/>
          </w:tcPr>
          <w:p w14:paraId="7924433C"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0.301</w:t>
            </w:r>
          </w:p>
        </w:tc>
        <w:tc>
          <w:tcPr>
            <w:tcW w:w="727" w:type="pct"/>
            <w:vAlign w:val="center"/>
          </w:tcPr>
          <w:p w14:paraId="7F345452"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$112,391</w:t>
            </w:r>
          </w:p>
        </w:tc>
        <w:tc>
          <w:tcPr>
            <w:tcW w:w="513" w:type="pct"/>
            <w:vAlign w:val="center"/>
          </w:tcPr>
          <w:p w14:paraId="1593D3FD"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-0.8%</w:t>
            </w:r>
          </w:p>
        </w:tc>
      </w:tr>
      <w:tr w:rsidR="008D0C3A" w:rsidRPr="00B75CE0" w14:paraId="71B74C2A" w14:textId="77777777">
        <w:tc>
          <w:tcPr>
            <w:tcW w:w="299" w:type="pct"/>
            <w:vAlign w:val="center"/>
          </w:tcPr>
          <w:p w14:paraId="027BC66E" w14:textId="77777777" w:rsidR="008D0C3A"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M</w:t>
            </w:r>
          </w:p>
        </w:tc>
        <w:tc>
          <w:tcPr>
            <w:tcW w:w="2007" w:type="pct"/>
          </w:tcPr>
          <w:p w14:paraId="61782BAC" w14:textId="77777777" w:rsidR="008D0C3A" w:rsidRPr="00B75CE0" w:rsidRDefault="008D0C3A">
            <w:pPr>
              <w:pStyle w:val="TableText"/>
              <w:spacing w:before="0" w:after="0"/>
              <w:rPr>
                <w:rFonts w:eastAsia="Times New Roman" w:cs="Times New Roman"/>
                <w:szCs w:val="20"/>
                <w:lang w:eastAsia="en-AU"/>
              </w:rPr>
            </w:pPr>
            <w:r>
              <w:rPr>
                <w:rFonts w:eastAsia="Times New Roman" w:cs="Times New Roman"/>
                <w:szCs w:val="20"/>
                <w:lang w:eastAsia="en-AU"/>
              </w:rPr>
              <w:t>I</w:t>
            </w:r>
            <w:r w:rsidRPr="0082783D">
              <w:rPr>
                <w:rFonts w:eastAsia="Times New Roman" w:cs="Times New Roman"/>
                <w:szCs w:val="20"/>
                <w:lang w:eastAsia="en-AU"/>
              </w:rPr>
              <w:t>n the intervention arm</w:t>
            </w:r>
            <w:r>
              <w:rPr>
                <w:rFonts w:eastAsia="Times New Roman" w:cs="Times New Roman"/>
                <w:szCs w:val="20"/>
                <w:lang w:eastAsia="en-AU"/>
              </w:rPr>
              <w:t>,</w:t>
            </w:r>
            <w:r w:rsidRPr="0082783D">
              <w:rPr>
                <w:rFonts w:eastAsia="Times New Roman" w:cs="Times New Roman"/>
                <w:szCs w:val="20"/>
                <w:lang w:eastAsia="en-AU"/>
              </w:rPr>
              <w:t xml:space="preserve"> 25% of progressed patients </w:t>
            </w:r>
            <w:r>
              <w:rPr>
                <w:rFonts w:eastAsia="Times New Roman" w:cs="Times New Roman"/>
                <w:szCs w:val="20"/>
                <w:lang w:eastAsia="en-AU"/>
              </w:rPr>
              <w:t>have subsequent treatment with</w:t>
            </w:r>
            <w:r w:rsidRPr="0082783D">
              <w:rPr>
                <w:rFonts w:eastAsia="Times New Roman" w:cs="Times New Roman"/>
                <w:szCs w:val="20"/>
                <w:lang w:eastAsia="en-AU"/>
              </w:rPr>
              <w:t xml:space="preserve"> cabazitaxel</w:t>
            </w:r>
            <w:r>
              <w:rPr>
                <w:rFonts w:eastAsia="Times New Roman" w:cs="Times New Roman"/>
                <w:szCs w:val="20"/>
                <w:lang w:eastAsia="en-AU"/>
              </w:rPr>
              <w:t xml:space="preserve"> (as in the comparator group)</w:t>
            </w:r>
            <w:r w:rsidRPr="0082783D">
              <w:rPr>
                <w:rFonts w:eastAsia="Times New Roman" w:cs="Times New Roman"/>
                <w:szCs w:val="20"/>
                <w:lang w:eastAsia="en-AU"/>
              </w:rPr>
              <w:t xml:space="preserve"> </w:t>
            </w:r>
          </w:p>
        </w:tc>
        <w:tc>
          <w:tcPr>
            <w:tcW w:w="727" w:type="pct"/>
            <w:vAlign w:val="center"/>
          </w:tcPr>
          <w:p w14:paraId="5A304ACA"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$34,253</w:t>
            </w:r>
          </w:p>
        </w:tc>
        <w:tc>
          <w:tcPr>
            <w:tcW w:w="727" w:type="pct"/>
            <w:vAlign w:val="center"/>
          </w:tcPr>
          <w:p w14:paraId="09B2080B"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0.301</w:t>
            </w:r>
          </w:p>
        </w:tc>
        <w:tc>
          <w:tcPr>
            <w:tcW w:w="727" w:type="pct"/>
            <w:vAlign w:val="center"/>
          </w:tcPr>
          <w:p w14:paraId="0DEB4D9D"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$113,854</w:t>
            </w:r>
          </w:p>
        </w:tc>
        <w:tc>
          <w:tcPr>
            <w:tcW w:w="513" w:type="pct"/>
            <w:vAlign w:val="center"/>
          </w:tcPr>
          <w:p w14:paraId="170D3BAE"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0.4%</w:t>
            </w:r>
          </w:p>
        </w:tc>
      </w:tr>
      <w:tr w:rsidR="008D0C3A" w:rsidRPr="00B75CE0" w14:paraId="46B40F96" w14:textId="77777777">
        <w:tc>
          <w:tcPr>
            <w:tcW w:w="299" w:type="pct"/>
            <w:vAlign w:val="center"/>
          </w:tcPr>
          <w:p w14:paraId="1FF1CBD0" w14:textId="77777777" w:rsidR="008D0C3A"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N</w:t>
            </w:r>
          </w:p>
        </w:tc>
        <w:tc>
          <w:tcPr>
            <w:tcW w:w="2007" w:type="pct"/>
          </w:tcPr>
          <w:p w14:paraId="1A24BB6A" w14:textId="77777777" w:rsidR="008D0C3A" w:rsidRPr="00B75CE0" w:rsidRDefault="008D0C3A">
            <w:pPr>
              <w:pStyle w:val="TableText"/>
              <w:spacing w:before="0" w:after="0"/>
              <w:rPr>
                <w:rFonts w:eastAsia="Times New Roman" w:cs="Times New Roman"/>
                <w:szCs w:val="20"/>
                <w:lang w:eastAsia="en-AU"/>
              </w:rPr>
            </w:pPr>
            <w:r>
              <w:rPr>
                <w:rFonts w:eastAsia="Times New Roman" w:cs="Times New Roman"/>
                <w:szCs w:val="20"/>
                <w:lang w:eastAsia="en-AU"/>
              </w:rPr>
              <w:t>I</w:t>
            </w:r>
            <w:r w:rsidRPr="0082783D">
              <w:rPr>
                <w:rFonts w:eastAsia="Times New Roman" w:cs="Times New Roman"/>
                <w:szCs w:val="20"/>
                <w:lang w:eastAsia="en-AU"/>
              </w:rPr>
              <w:t>n the intervention arm</w:t>
            </w:r>
            <w:r>
              <w:rPr>
                <w:rFonts w:eastAsia="Times New Roman" w:cs="Times New Roman"/>
                <w:szCs w:val="20"/>
                <w:lang w:eastAsia="en-AU"/>
              </w:rPr>
              <w:t>,</w:t>
            </w:r>
            <w:r w:rsidRPr="0082783D">
              <w:rPr>
                <w:rFonts w:eastAsia="Times New Roman" w:cs="Times New Roman"/>
                <w:szCs w:val="20"/>
                <w:lang w:eastAsia="en-AU"/>
              </w:rPr>
              <w:t xml:space="preserve"> 14.</w:t>
            </w:r>
            <w:r>
              <w:rPr>
                <w:rFonts w:eastAsia="Times New Roman" w:cs="Times New Roman"/>
                <w:szCs w:val="20"/>
                <w:lang w:eastAsia="en-AU"/>
              </w:rPr>
              <w:t>9</w:t>
            </w:r>
            <w:r w:rsidRPr="0082783D">
              <w:rPr>
                <w:rFonts w:eastAsia="Times New Roman" w:cs="Times New Roman"/>
                <w:szCs w:val="20"/>
                <w:lang w:eastAsia="en-AU"/>
              </w:rPr>
              <w:t xml:space="preserve">% of progressed patients </w:t>
            </w:r>
            <w:r>
              <w:rPr>
                <w:rFonts w:eastAsia="Times New Roman" w:cs="Times New Roman"/>
                <w:szCs w:val="20"/>
                <w:lang w:eastAsia="en-AU"/>
              </w:rPr>
              <w:t>have subsequent treatment with</w:t>
            </w:r>
            <w:r w:rsidRPr="0082783D">
              <w:rPr>
                <w:rFonts w:eastAsia="Times New Roman" w:cs="Times New Roman"/>
                <w:szCs w:val="20"/>
                <w:lang w:eastAsia="en-AU"/>
              </w:rPr>
              <w:t xml:space="preserve"> </w:t>
            </w:r>
            <w:r>
              <w:rPr>
                <w:rFonts w:eastAsia="Times New Roman" w:cs="Times New Roman"/>
                <w:szCs w:val="20"/>
                <w:lang w:eastAsia="en-AU"/>
              </w:rPr>
              <w:t>cabazitaxel (consistent with VISION trial)</w:t>
            </w:r>
          </w:p>
        </w:tc>
        <w:tc>
          <w:tcPr>
            <w:tcW w:w="727" w:type="pct"/>
            <w:vAlign w:val="center"/>
          </w:tcPr>
          <w:p w14:paraId="0E36849D"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$34,032</w:t>
            </w:r>
          </w:p>
        </w:tc>
        <w:tc>
          <w:tcPr>
            <w:tcW w:w="727" w:type="pct"/>
            <w:vAlign w:val="center"/>
          </w:tcPr>
          <w:p w14:paraId="5C8A29DD"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0.301</w:t>
            </w:r>
          </w:p>
        </w:tc>
        <w:tc>
          <w:tcPr>
            <w:tcW w:w="727" w:type="pct"/>
            <w:vAlign w:val="center"/>
          </w:tcPr>
          <w:p w14:paraId="3B74F148" w14:textId="77777777" w:rsidR="008D0C3A" w:rsidRPr="00A3077A" w:rsidRDefault="008D0C3A">
            <w:pPr>
              <w:pStyle w:val="TableText"/>
              <w:spacing w:before="0" w:after="0"/>
              <w:jc w:val="center"/>
              <w:rPr>
                <w:rFonts w:eastAsia="Times New Roman" w:cs="Times New Roman"/>
                <w:szCs w:val="20"/>
                <w:lang w:eastAsia="en-AU"/>
              </w:rPr>
            </w:pPr>
            <w:r w:rsidRPr="00A3077A">
              <w:rPr>
                <w:rFonts w:eastAsia="Times New Roman" w:cs="Times New Roman"/>
                <w:szCs w:val="20"/>
                <w:lang w:eastAsia="en-AU"/>
              </w:rPr>
              <w:t>$113,121</w:t>
            </w:r>
          </w:p>
        </w:tc>
        <w:tc>
          <w:tcPr>
            <w:tcW w:w="513" w:type="pct"/>
            <w:vAlign w:val="center"/>
          </w:tcPr>
          <w:p w14:paraId="10592383" w14:textId="77777777" w:rsidR="008D0C3A" w:rsidRPr="00B75CE0" w:rsidRDefault="008D0C3A">
            <w:pPr>
              <w:pStyle w:val="TableText"/>
              <w:spacing w:before="0" w:after="0"/>
              <w:jc w:val="center"/>
              <w:rPr>
                <w:rFonts w:eastAsia="Times New Roman" w:cs="Times New Roman"/>
                <w:szCs w:val="20"/>
                <w:lang w:eastAsia="en-AU"/>
              </w:rPr>
            </w:pPr>
            <w:r>
              <w:rPr>
                <w:rFonts w:eastAsia="Times New Roman" w:cs="Times New Roman"/>
                <w:szCs w:val="20"/>
                <w:lang w:eastAsia="en-AU"/>
              </w:rPr>
              <w:t>-0.2%</w:t>
            </w:r>
          </w:p>
        </w:tc>
      </w:tr>
      <w:tr w:rsidR="008D0C3A" w:rsidRPr="00B75CE0" w14:paraId="5AB70415" w14:textId="77777777">
        <w:tc>
          <w:tcPr>
            <w:tcW w:w="5000" w:type="pct"/>
            <w:gridSpan w:val="6"/>
            <w:vAlign w:val="center"/>
          </w:tcPr>
          <w:p w14:paraId="04C6D3C6" w14:textId="77777777" w:rsidR="008D0C3A" w:rsidRPr="00A3077A" w:rsidRDefault="008D0C3A">
            <w:pPr>
              <w:pStyle w:val="TableText"/>
              <w:spacing w:before="0" w:after="0"/>
              <w:rPr>
                <w:rFonts w:eastAsia="Times New Roman" w:cs="Times New Roman"/>
                <w:b/>
                <w:bCs/>
                <w:szCs w:val="20"/>
                <w:lang w:eastAsia="en-AU"/>
              </w:rPr>
            </w:pPr>
            <w:r w:rsidRPr="00A3077A">
              <w:rPr>
                <w:rFonts w:eastAsia="Times New Roman" w:cs="Times New Roman"/>
                <w:b/>
                <w:bCs/>
                <w:szCs w:val="20"/>
                <w:lang w:eastAsia="en-AU"/>
              </w:rPr>
              <w:t>Multivariate analyses</w:t>
            </w:r>
          </w:p>
        </w:tc>
      </w:tr>
      <w:tr w:rsidR="008D0C3A" w:rsidRPr="00B75CE0" w14:paraId="4775B819" w14:textId="77777777">
        <w:tc>
          <w:tcPr>
            <w:tcW w:w="299" w:type="pct"/>
            <w:shd w:val="clear" w:color="auto" w:fill="auto"/>
            <w:vAlign w:val="center"/>
          </w:tcPr>
          <w:p w14:paraId="3A247976" w14:textId="77777777" w:rsidR="008D0C3A" w:rsidRPr="00E250B7" w:rsidRDefault="008D0C3A">
            <w:pPr>
              <w:pStyle w:val="TableText"/>
              <w:spacing w:before="0" w:after="0"/>
              <w:jc w:val="center"/>
              <w:rPr>
                <w:rFonts w:eastAsia="Times New Roman" w:cs="Times New Roman"/>
                <w:szCs w:val="20"/>
                <w:lang w:eastAsia="en-AU"/>
              </w:rPr>
            </w:pPr>
            <w:r w:rsidRPr="00E250B7">
              <w:rPr>
                <w:rFonts w:eastAsia="Times New Roman" w:cs="Times New Roman"/>
                <w:szCs w:val="20"/>
                <w:lang w:eastAsia="en-AU"/>
              </w:rPr>
              <w:t>D+I</w:t>
            </w:r>
          </w:p>
        </w:tc>
        <w:tc>
          <w:tcPr>
            <w:tcW w:w="2007" w:type="pct"/>
            <w:shd w:val="clear" w:color="auto" w:fill="auto"/>
          </w:tcPr>
          <w:p w14:paraId="245489EC" w14:textId="77777777" w:rsidR="008D0C3A" w:rsidRPr="00E250B7" w:rsidRDefault="008D0C3A">
            <w:pPr>
              <w:pStyle w:val="TableText"/>
              <w:spacing w:before="0" w:after="0"/>
              <w:rPr>
                <w:rFonts w:eastAsia="Times New Roman" w:cs="Times New Roman"/>
                <w:szCs w:val="20"/>
                <w:lang w:eastAsia="en-AU"/>
              </w:rPr>
            </w:pPr>
            <w:r w:rsidRPr="00E250B7">
              <w:rPr>
                <w:rFonts w:eastAsia="Times New Roman" w:cs="Times New Roman"/>
                <w:szCs w:val="20"/>
                <w:vertAlign w:val="superscript"/>
                <w:lang w:eastAsia="en-AU"/>
              </w:rPr>
              <w:t>177</w:t>
            </w:r>
            <w:r w:rsidRPr="00E250B7">
              <w:rPr>
                <w:rFonts w:eastAsia="Times New Roman" w:cs="Times New Roman"/>
                <w:szCs w:val="20"/>
                <w:lang w:eastAsia="en-AU"/>
              </w:rPr>
              <w:t xml:space="preserve">Lu PSMA i&amp;t vs BSC OS HR = 0.52; </w:t>
            </w:r>
          </w:p>
          <w:p w14:paraId="5A3BE558" w14:textId="77777777" w:rsidR="008D0C3A" w:rsidRPr="00E250B7" w:rsidRDefault="008D0C3A">
            <w:pPr>
              <w:pStyle w:val="TableText"/>
              <w:spacing w:before="0" w:after="0"/>
              <w:rPr>
                <w:rFonts w:eastAsia="Times New Roman" w:cs="Times New Roman"/>
                <w:szCs w:val="20"/>
                <w:lang w:eastAsia="en-AU"/>
              </w:rPr>
            </w:pPr>
            <w:r w:rsidRPr="00E250B7">
              <w:rPr>
                <w:rFonts w:eastAsia="Times New Roman" w:cs="Times New Roman"/>
                <w:szCs w:val="20"/>
                <w:lang w:eastAsia="en-AU"/>
              </w:rPr>
              <w:t>PFS: 0.86; PD: 0.635 (Magnus et al 2019)</w:t>
            </w:r>
          </w:p>
        </w:tc>
        <w:tc>
          <w:tcPr>
            <w:tcW w:w="727" w:type="pct"/>
            <w:shd w:val="clear" w:color="auto" w:fill="auto"/>
            <w:vAlign w:val="center"/>
          </w:tcPr>
          <w:p w14:paraId="46DA4D2A" w14:textId="77777777" w:rsidR="008D0C3A" w:rsidRPr="00E250B7" w:rsidRDefault="008D0C3A">
            <w:pPr>
              <w:pStyle w:val="TableText"/>
              <w:spacing w:before="0" w:after="0"/>
              <w:jc w:val="center"/>
              <w:rPr>
                <w:rFonts w:eastAsia="Times New Roman" w:cs="Times New Roman"/>
                <w:szCs w:val="20"/>
                <w:lang w:eastAsia="en-AU"/>
              </w:rPr>
            </w:pPr>
            <w:r w:rsidRPr="00E250B7">
              <w:rPr>
                <w:rFonts w:eastAsia="Times New Roman" w:cs="Times New Roman"/>
                <w:szCs w:val="20"/>
                <w:lang w:eastAsia="en-AU"/>
              </w:rPr>
              <w:t>$33,839</w:t>
            </w:r>
          </w:p>
        </w:tc>
        <w:tc>
          <w:tcPr>
            <w:tcW w:w="727" w:type="pct"/>
            <w:shd w:val="clear" w:color="auto" w:fill="auto"/>
            <w:vAlign w:val="center"/>
          </w:tcPr>
          <w:p w14:paraId="3FCF2930" w14:textId="77777777" w:rsidR="008D0C3A" w:rsidRPr="00E250B7" w:rsidRDefault="008D0C3A">
            <w:pPr>
              <w:pStyle w:val="TableText"/>
              <w:spacing w:before="0" w:after="0"/>
              <w:jc w:val="center"/>
              <w:rPr>
                <w:rFonts w:eastAsia="Times New Roman" w:cs="Times New Roman"/>
                <w:szCs w:val="20"/>
                <w:lang w:eastAsia="en-AU"/>
              </w:rPr>
            </w:pPr>
            <w:r w:rsidRPr="00E250B7">
              <w:rPr>
                <w:rFonts w:eastAsia="Times New Roman" w:cs="Times New Roman"/>
                <w:szCs w:val="20"/>
                <w:lang w:eastAsia="en-AU"/>
              </w:rPr>
              <w:t>0.422</w:t>
            </w:r>
          </w:p>
        </w:tc>
        <w:tc>
          <w:tcPr>
            <w:tcW w:w="727" w:type="pct"/>
            <w:shd w:val="clear" w:color="auto" w:fill="auto"/>
            <w:vAlign w:val="center"/>
          </w:tcPr>
          <w:p w14:paraId="096BE39E" w14:textId="77777777" w:rsidR="008D0C3A" w:rsidRPr="00E250B7" w:rsidRDefault="008D0C3A">
            <w:pPr>
              <w:pStyle w:val="TableText"/>
              <w:spacing w:before="0" w:after="0"/>
              <w:jc w:val="center"/>
              <w:rPr>
                <w:rFonts w:eastAsia="Times New Roman" w:cs="Times New Roman"/>
                <w:szCs w:val="20"/>
                <w:lang w:eastAsia="en-AU"/>
              </w:rPr>
            </w:pPr>
            <w:r w:rsidRPr="00E250B7">
              <w:rPr>
                <w:rFonts w:eastAsia="Times New Roman" w:cs="Times New Roman"/>
                <w:szCs w:val="20"/>
                <w:lang w:eastAsia="en-AU"/>
              </w:rPr>
              <w:t>$80,129</w:t>
            </w:r>
          </w:p>
        </w:tc>
        <w:tc>
          <w:tcPr>
            <w:tcW w:w="513" w:type="pct"/>
            <w:shd w:val="clear" w:color="auto" w:fill="auto"/>
            <w:vAlign w:val="center"/>
          </w:tcPr>
          <w:p w14:paraId="0B07DB53" w14:textId="77777777" w:rsidR="008D0C3A" w:rsidRPr="00E250B7" w:rsidRDefault="008D0C3A">
            <w:pPr>
              <w:pStyle w:val="TableText"/>
              <w:spacing w:before="0" w:after="0"/>
              <w:jc w:val="center"/>
              <w:rPr>
                <w:rFonts w:eastAsia="Times New Roman" w:cs="Times New Roman"/>
                <w:szCs w:val="20"/>
                <w:lang w:eastAsia="en-AU"/>
              </w:rPr>
            </w:pPr>
            <w:r w:rsidRPr="00E250B7">
              <w:rPr>
                <w:rFonts w:eastAsia="Times New Roman" w:cs="Times New Roman"/>
                <w:szCs w:val="20"/>
                <w:lang w:eastAsia="en-AU"/>
              </w:rPr>
              <w:t>-29.3%</w:t>
            </w:r>
          </w:p>
        </w:tc>
      </w:tr>
    </w:tbl>
    <w:p w14:paraId="0A2472B9" w14:textId="77777777" w:rsidR="008D0C3A" w:rsidRPr="007F2CFA" w:rsidRDefault="008D0C3A" w:rsidP="008D0C3A">
      <w:pPr>
        <w:tabs>
          <w:tab w:val="left" w:pos="284"/>
        </w:tabs>
        <w:spacing w:after="0" w:line="240" w:lineRule="auto"/>
        <w:ind w:left="284" w:hanging="284"/>
        <w:rPr>
          <w:rFonts w:ascii="Arial Narrow" w:hAnsi="Arial Narrow" w:cs="Calibri"/>
          <w:b/>
          <w:bCs/>
          <w:sz w:val="18"/>
          <w:szCs w:val="18"/>
          <w:lang w:val="en-US"/>
        </w:rPr>
      </w:pPr>
      <w:r w:rsidRPr="007F2CFA">
        <w:rPr>
          <w:rFonts w:ascii="Arial Narrow" w:hAnsi="Arial Narrow" w:cs="Calibri"/>
          <w:b/>
          <w:bCs/>
          <w:sz w:val="18"/>
          <w:szCs w:val="18"/>
          <w:lang w:val="en-US"/>
        </w:rPr>
        <w:t>Bold refers to changes +/- 15% to base-case ICER</w:t>
      </w:r>
    </w:p>
    <w:p w14:paraId="3351DC4E" w14:textId="77777777" w:rsidR="008D0C3A" w:rsidRPr="00031C8D" w:rsidRDefault="008D0C3A" w:rsidP="008D0C3A">
      <w:pPr>
        <w:tabs>
          <w:tab w:val="left" w:pos="284"/>
        </w:tabs>
        <w:spacing w:after="0" w:line="240" w:lineRule="auto"/>
        <w:rPr>
          <w:rFonts w:ascii="Arial Narrow" w:hAnsi="Arial Narrow" w:cs="Calibri"/>
          <w:sz w:val="18"/>
          <w:szCs w:val="18"/>
          <w:lang w:val="en-US"/>
        </w:rPr>
      </w:pPr>
      <w:r w:rsidRPr="007F2CFA">
        <w:rPr>
          <w:rFonts w:ascii="Arial Narrow" w:hAnsi="Arial Narrow" w:cs="Calibri"/>
          <w:sz w:val="18"/>
          <w:szCs w:val="18"/>
          <w:lang w:val="en-US"/>
        </w:rPr>
        <w:t>Abbreviations: BS</w:t>
      </w:r>
      <w:r>
        <w:rPr>
          <w:rFonts w:ascii="Arial Narrow" w:hAnsi="Arial Narrow" w:cs="Calibri"/>
          <w:sz w:val="18"/>
          <w:szCs w:val="18"/>
          <w:lang w:val="en-US"/>
        </w:rPr>
        <w:t>C</w:t>
      </w:r>
      <w:r w:rsidRPr="007F2CFA">
        <w:rPr>
          <w:rFonts w:ascii="Arial Narrow" w:hAnsi="Arial Narrow" w:cs="Calibri"/>
          <w:sz w:val="18"/>
          <w:szCs w:val="18"/>
          <w:lang w:val="en-US"/>
        </w:rPr>
        <w:t xml:space="preserve">, best supportive care; CI, confidence interval; CT, computed tomography; HR, hazard ratio; ICER, incremental cost-effectiveness ratio; </w:t>
      </w:r>
      <w:r w:rsidRPr="007F2CFA">
        <w:rPr>
          <w:rFonts w:ascii="Arial Narrow" w:hAnsi="Arial Narrow" w:cs="Calibri"/>
          <w:sz w:val="18"/>
          <w:szCs w:val="18"/>
          <w:vertAlign w:val="superscript"/>
          <w:lang w:val="en-US"/>
        </w:rPr>
        <w:t>177</w:t>
      </w:r>
      <w:r w:rsidRPr="007F2CFA">
        <w:rPr>
          <w:rFonts w:ascii="Arial Narrow" w:hAnsi="Arial Narrow" w:cs="Calibri"/>
          <w:sz w:val="18"/>
          <w:szCs w:val="18"/>
          <w:lang w:val="en-US"/>
        </w:rPr>
        <w:t>Lu</w:t>
      </w:r>
      <w:r>
        <w:rPr>
          <w:rFonts w:ascii="Arial Narrow" w:hAnsi="Arial Narrow" w:cs="Calibri"/>
          <w:sz w:val="18"/>
          <w:szCs w:val="18"/>
          <w:lang w:val="en-US"/>
        </w:rPr>
        <w:t> PSMA i&amp;t</w:t>
      </w:r>
      <w:r w:rsidRPr="007F2CFA">
        <w:rPr>
          <w:rFonts w:ascii="Arial Narrow" w:hAnsi="Arial Narrow" w:cs="Calibri"/>
          <w:sz w:val="18"/>
          <w:szCs w:val="18"/>
          <w:lang w:val="en-US"/>
        </w:rPr>
        <w:t>, lutetium-177</w:t>
      </w:r>
      <w:r>
        <w:rPr>
          <w:rFonts w:ascii="Arial Narrow" w:hAnsi="Arial Narrow" w:cs="Calibri"/>
          <w:sz w:val="18"/>
          <w:szCs w:val="18"/>
          <w:lang w:val="en-US"/>
        </w:rPr>
        <w:t xml:space="preserve"> prostate-specific membrane antigen imaging and therapy</w:t>
      </w:r>
      <w:r w:rsidRPr="007F2CFA">
        <w:rPr>
          <w:rFonts w:ascii="Arial Narrow" w:hAnsi="Arial Narrow" w:cs="Calibri"/>
          <w:sz w:val="18"/>
          <w:szCs w:val="18"/>
          <w:lang w:val="en-US"/>
        </w:rPr>
        <w:t>; OS, overall survival; PD, progressed disease; PFS, progression-free survival</w:t>
      </w:r>
      <w:r>
        <w:rPr>
          <w:rFonts w:ascii="Arial Narrow" w:hAnsi="Arial Narrow" w:cs="Calibri"/>
          <w:sz w:val="18"/>
          <w:szCs w:val="18"/>
          <w:lang w:val="en-US"/>
        </w:rPr>
        <w:t>.</w:t>
      </w:r>
    </w:p>
    <w:p w14:paraId="1E481E1E" w14:textId="77777777" w:rsidR="007D5026" w:rsidRPr="00E84EE6" w:rsidRDefault="007D5026" w:rsidP="007D5026">
      <w:pPr>
        <w:pStyle w:val="pf0"/>
        <w:rPr>
          <w:rStyle w:val="cf01"/>
          <w:rFonts w:ascii="Franklin Gothic Book" w:eastAsiaTheme="majorEastAsia" w:hAnsi="Franklin Gothic Book" w:cs="Calibri"/>
          <w:sz w:val="22"/>
          <w:szCs w:val="22"/>
        </w:rPr>
      </w:pPr>
      <w:r w:rsidRPr="00E84EE6">
        <w:rPr>
          <w:rStyle w:val="cf01"/>
          <w:rFonts w:ascii="Franklin Gothic Book" w:eastAsiaTheme="majorEastAsia" w:hAnsi="Franklin Gothic Book" w:cs="Calibri"/>
          <w:sz w:val="22"/>
          <w:szCs w:val="22"/>
        </w:rPr>
        <w:t>Overall, variations in most of the parameters (univariate analyses) lead to low to moderate impacts on the ICER (less than 15% change). If considering changes that lead to a greater than 15% change in the ICER represents high impact, the following parameters are of interest:</w:t>
      </w:r>
    </w:p>
    <w:p w14:paraId="4FB823B0" w14:textId="77777777" w:rsidR="007D5026" w:rsidRDefault="007D5026" w:rsidP="007D5026">
      <w:pPr>
        <w:pStyle w:val="pf0"/>
        <w:numPr>
          <w:ilvl w:val="0"/>
          <w:numId w:val="25"/>
        </w:numPr>
        <w:ind w:left="284" w:hanging="284"/>
        <w:rPr>
          <w:rStyle w:val="cf01"/>
          <w:rFonts w:ascii="Franklin Gothic Book" w:eastAsiaTheme="majorEastAsia" w:hAnsi="Franklin Gothic Book" w:cs="Calibri"/>
          <w:sz w:val="22"/>
          <w:szCs w:val="22"/>
        </w:rPr>
      </w:pPr>
      <w:r w:rsidRPr="00E84EE6">
        <w:rPr>
          <w:rStyle w:val="cf01"/>
          <w:rFonts w:ascii="Franklin Gothic Book" w:eastAsiaTheme="majorEastAsia" w:hAnsi="Franklin Gothic Book" w:cs="Calibri"/>
          <w:sz w:val="22"/>
          <w:szCs w:val="22"/>
        </w:rPr>
        <w:t xml:space="preserve">Assumed effectiveness in terms of the incremental benefit of </w:t>
      </w:r>
      <w:r w:rsidRPr="00E84EE6">
        <w:rPr>
          <w:rStyle w:val="cf01"/>
          <w:rFonts w:ascii="Franklin Gothic Book" w:eastAsiaTheme="majorEastAsia" w:hAnsi="Franklin Gothic Book" w:cs="Calibri"/>
          <w:sz w:val="22"/>
          <w:szCs w:val="22"/>
          <w:vertAlign w:val="superscript"/>
        </w:rPr>
        <w:t>177</w:t>
      </w:r>
      <w:r w:rsidRPr="00E84EE6">
        <w:rPr>
          <w:rStyle w:val="cf01"/>
          <w:rFonts w:ascii="Franklin Gothic Book" w:eastAsiaTheme="majorEastAsia" w:hAnsi="Franklin Gothic Book" w:cs="Calibri"/>
          <w:sz w:val="22"/>
          <w:szCs w:val="22"/>
        </w:rPr>
        <w:t xml:space="preserve">Lu PSMA i&amp;t compared with </w:t>
      </w:r>
      <w:r>
        <w:rPr>
          <w:rStyle w:val="cf01"/>
          <w:rFonts w:ascii="Franklin Gothic Book" w:eastAsiaTheme="majorEastAsia" w:hAnsi="Franklin Gothic Book" w:cs="Calibri"/>
          <w:sz w:val="22"/>
          <w:szCs w:val="22"/>
        </w:rPr>
        <w:t xml:space="preserve">BSC </w:t>
      </w:r>
      <w:r w:rsidRPr="00E84EE6">
        <w:rPr>
          <w:rStyle w:val="cf01"/>
          <w:rFonts w:ascii="Franklin Gothic Book" w:eastAsiaTheme="majorEastAsia" w:hAnsi="Franklin Gothic Book" w:cs="Calibri"/>
          <w:sz w:val="22"/>
          <w:szCs w:val="22"/>
        </w:rPr>
        <w:t>in terms of OS.</w:t>
      </w:r>
    </w:p>
    <w:p w14:paraId="663DF904" w14:textId="77777777" w:rsidR="007D5026" w:rsidRPr="00E84EE6" w:rsidRDefault="007D5026" w:rsidP="007D5026">
      <w:pPr>
        <w:pStyle w:val="pf0"/>
        <w:ind w:left="284"/>
        <w:rPr>
          <w:rStyle w:val="cf01"/>
          <w:rFonts w:ascii="Franklin Gothic Book" w:eastAsiaTheme="majorEastAsia" w:hAnsi="Franklin Gothic Book" w:cs="Calibri"/>
          <w:sz w:val="22"/>
          <w:szCs w:val="22"/>
        </w:rPr>
      </w:pPr>
      <w:r w:rsidRPr="00E84EE6">
        <w:rPr>
          <w:rStyle w:val="cf01"/>
          <w:rFonts w:ascii="Franklin Gothic Book" w:eastAsiaTheme="majorEastAsia" w:hAnsi="Franklin Gothic Book" w:cs="Calibri"/>
          <w:sz w:val="22"/>
          <w:szCs w:val="22"/>
        </w:rPr>
        <w:lastRenderedPageBreak/>
        <w:t xml:space="preserve">Sensitivity analyses conducted using the </w:t>
      </w:r>
      <w:r>
        <w:rPr>
          <w:rStyle w:val="cf01"/>
          <w:rFonts w:ascii="Franklin Gothic Book" w:eastAsiaTheme="majorEastAsia" w:hAnsi="Franklin Gothic Book" w:cs="Calibri"/>
          <w:sz w:val="22"/>
          <w:szCs w:val="22"/>
        </w:rPr>
        <w:t>lower</w:t>
      </w:r>
      <w:r w:rsidRPr="00E84EE6">
        <w:rPr>
          <w:rStyle w:val="cf01"/>
          <w:rFonts w:ascii="Franklin Gothic Book" w:eastAsiaTheme="majorEastAsia" w:hAnsi="Franklin Gothic Book" w:cs="Calibri"/>
          <w:sz w:val="22"/>
          <w:szCs w:val="22"/>
        </w:rPr>
        <w:t xml:space="preserve"> and </w:t>
      </w:r>
      <w:r>
        <w:rPr>
          <w:rStyle w:val="cf01"/>
          <w:rFonts w:ascii="Franklin Gothic Book" w:eastAsiaTheme="majorEastAsia" w:hAnsi="Franklin Gothic Book" w:cs="Calibri"/>
          <w:sz w:val="22"/>
          <w:szCs w:val="22"/>
        </w:rPr>
        <w:t>upper</w:t>
      </w:r>
      <w:r w:rsidRPr="00E84EE6">
        <w:rPr>
          <w:rStyle w:val="cf01"/>
          <w:rFonts w:ascii="Franklin Gothic Book" w:eastAsiaTheme="majorEastAsia" w:hAnsi="Franklin Gothic Book" w:cs="Calibri"/>
          <w:sz w:val="22"/>
          <w:szCs w:val="22"/>
        </w:rPr>
        <w:t xml:space="preserve"> 95% confidence interval ranges around the OS HR from VISION </w:t>
      </w:r>
      <w:r>
        <w:rPr>
          <w:rStyle w:val="cf01"/>
          <w:rFonts w:ascii="Franklin Gothic Book" w:eastAsiaTheme="majorEastAsia" w:hAnsi="Franklin Gothic Book" w:cs="Calibri"/>
          <w:sz w:val="22"/>
          <w:szCs w:val="22"/>
        </w:rPr>
        <w:t>(</w:t>
      </w:r>
      <w:r w:rsidRPr="00E250B7">
        <w:rPr>
          <w:rStyle w:val="cf01"/>
          <w:rFonts w:ascii="Franklin Gothic Book" w:eastAsiaTheme="majorEastAsia" w:hAnsi="Franklin Gothic Book" w:cs="Calibri"/>
          <w:sz w:val="22"/>
          <w:szCs w:val="22"/>
          <w:vertAlign w:val="superscript"/>
        </w:rPr>
        <w:t>177</w:t>
      </w:r>
      <w:r w:rsidRPr="00E250B7">
        <w:rPr>
          <w:rStyle w:val="cf01"/>
          <w:rFonts w:ascii="Franklin Gothic Book" w:eastAsiaTheme="majorEastAsia" w:hAnsi="Franklin Gothic Book" w:cs="Calibri"/>
          <w:sz w:val="22"/>
          <w:szCs w:val="22"/>
        </w:rPr>
        <w:t>Lu PSMA i&amp;t vs BSC</w:t>
      </w:r>
      <w:r>
        <w:rPr>
          <w:rStyle w:val="cf01"/>
          <w:rFonts w:ascii="Franklin Gothic Book" w:eastAsiaTheme="majorEastAsia" w:hAnsi="Franklin Gothic Book" w:cs="Calibri"/>
          <w:sz w:val="22"/>
          <w:szCs w:val="22"/>
        </w:rPr>
        <w:t xml:space="preserve">) </w:t>
      </w:r>
      <w:r w:rsidRPr="00E84EE6">
        <w:rPr>
          <w:rStyle w:val="cf01"/>
          <w:rFonts w:ascii="Franklin Gothic Book" w:eastAsiaTheme="majorEastAsia" w:hAnsi="Franklin Gothic Book" w:cs="Calibri"/>
          <w:sz w:val="22"/>
          <w:szCs w:val="22"/>
        </w:rPr>
        <w:t xml:space="preserve">had substantial impacts on the ICER (decreased by 19.9% and increased by 38.3%, respectively). </w:t>
      </w:r>
      <w:r>
        <w:rPr>
          <w:rStyle w:val="cf01"/>
          <w:rFonts w:ascii="Franklin Gothic Book" w:eastAsiaTheme="majorEastAsia" w:hAnsi="Franklin Gothic Book" w:cs="Calibri"/>
          <w:sz w:val="22"/>
          <w:szCs w:val="22"/>
        </w:rPr>
        <w:t xml:space="preserve">It is clear that the comparative effectiveness of </w:t>
      </w:r>
      <w:r w:rsidRPr="00E250B7">
        <w:rPr>
          <w:rStyle w:val="cf01"/>
          <w:rFonts w:ascii="Franklin Gothic Book" w:eastAsiaTheme="majorEastAsia" w:hAnsi="Franklin Gothic Book" w:cs="Calibri"/>
          <w:sz w:val="22"/>
          <w:szCs w:val="22"/>
          <w:vertAlign w:val="superscript"/>
        </w:rPr>
        <w:t>177</w:t>
      </w:r>
      <w:r w:rsidRPr="00E250B7">
        <w:rPr>
          <w:rStyle w:val="cf01"/>
          <w:rFonts w:ascii="Franklin Gothic Book" w:eastAsiaTheme="majorEastAsia" w:hAnsi="Franklin Gothic Book" w:cs="Calibri"/>
          <w:sz w:val="22"/>
          <w:szCs w:val="22"/>
        </w:rPr>
        <w:t>Lu PSMA i&amp;t vs BSC</w:t>
      </w:r>
      <w:r>
        <w:rPr>
          <w:rStyle w:val="cf01"/>
          <w:rFonts w:ascii="Franklin Gothic Book" w:eastAsiaTheme="majorEastAsia" w:hAnsi="Franklin Gothic Book" w:cs="Calibri"/>
          <w:sz w:val="22"/>
          <w:szCs w:val="22"/>
        </w:rPr>
        <w:t xml:space="preserve"> (and vs cabazitaxel) would need to be greater than that accepted by the point estimates observed in the VISION (and TheraP) trials in order for the ICER to decrease meaningfully.</w:t>
      </w:r>
    </w:p>
    <w:p w14:paraId="728705BC" w14:textId="6EF238D8" w:rsidR="007D5026" w:rsidRPr="00E84EE6" w:rsidRDefault="007D5026" w:rsidP="007D5026">
      <w:pPr>
        <w:pStyle w:val="pf0"/>
        <w:ind w:left="284"/>
        <w:rPr>
          <w:rStyle w:val="cf01"/>
          <w:rFonts w:ascii="Franklin Gothic Book" w:hAnsi="Franklin Gothic Book" w:cs="Calibri"/>
          <w:sz w:val="22"/>
          <w:szCs w:val="22"/>
        </w:rPr>
      </w:pPr>
      <w:r w:rsidRPr="003920D9">
        <w:rPr>
          <w:rStyle w:val="cf01"/>
          <w:rFonts w:ascii="Franklin Gothic Book" w:eastAsiaTheme="majorEastAsia" w:hAnsi="Franklin Gothic Book" w:cs="Calibri"/>
          <w:sz w:val="22"/>
          <w:szCs w:val="22"/>
        </w:rPr>
        <w:t>A multivariate analysis</w:t>
      </w:r>
      <w:r w:rsidRPr="00E250B7">
        <w:rPr>
          <w:rStyle w:val="cf01"/>
          <w:rFonts w:ascii="Franklin Gothic Book" w:eastAsiaTheme="majorEastAsia" w:hAnsi="Franklin Gothic Book" w:cs="Calibri"/>
          <w:sz w:val="22"/>
          <w:szCs w:val="22"/>
        </w:rPr>
        <w:t xml:space="preserve"> was conducted to combine the variations in the assumptions about the HRs used in the model. Setting OS HR </w:t>
      </w:r>
      <w:r w:rsidRPr="00E250B7">
        <w:rPr>
          <w:rStyle w:val="cf01"/>
          <w:rFonts w:ascii="Franklin Gothic Book" w:eastAsiaTheme="majorEastAsia" w:hAnsi="Franklin Gothic Book" w:cs="Calibri"/>
          <w:sz w:val="22"/>
          <w:szCs w:val="22"/>
          <w:vertAlign w:val="superscript"/>
        </w:rPr>
        <w:t>177</w:t>
      </w:r>
      <w:r w:rsidRPr="00E250B7">
        <w:rPr>
          <w:rStyle w:val="cf01"/>
          <w:rFonts w:ascii="Franklin Gothic Book" w:eastAsiaTheme="majorEastAsia" w:hAnsi="Franklin Gothic Book" w:cs="Calibri"/>
          <w:sz w:val="22"/>
          <w:szCs w:val="22"/>
        </w:rPr>
        <w:t xml:space="preserve">Lu PSMA i&amp;t vs BSC at 0.52 (lower bound of the 95% CI from VISION) and with utility values from </w:t>
      </w:r>
      <w:r>
        <w:rPr>
          <w:rStyle w:val="cf01"/>
          <w:rFonts w:ascii="Franklin Gothic Book" w:eastAsiaTheme="majorEastAsia" w:hAnsi="Franklin Gothic Book" w:cs="Calibri"/>
          <w:sz w:val="22"/>
          <w:szCs w:val="22"/>
        </w:rPr>
        <w:t>Magnus</w:t>
      </w:r>
      <w:r w:rsidRPr="00E250B7">
        <w:rPr>
          <w:rStyle w:val="cf01"/>
          <w:rFonts w:ascii="Franklin Gothic Book" w:eastAsiaTheme="majorEastAsia" w:hAnsi="Franklin Gothic Book" w:cs="Calibri"/>
          <w:sz w:val="22"/>
          <w:szCs w:val="22"/>
        </w:rPr>
        <w:t xml:space="preserve"> (20</w:t>
      </w:r>
      <w:r>
        <w:rPr>
          <w:rStyle w:val="cf01"/>
          <w:rFonts w:ascii="Franklin Gothic Book" w:eastAsiaTheme="majorEastAsia" w:hAnsi="Franklin Gothic Book" w:cs="Calibri"/>
          <w:sz w:val="22"/>
          <w:szCs w:val="22"/>
        </w:rPr>
        <w:t>19</w:t>
      </w:r>
      <w:r w:rsidRPr="00E250B7">
        <w:rPr>
          <w:rStyle w:val="cf01"/>
          <w:rFonts w:ascii="Franklin Gothic Book" w:eastAsiaTheme="majorEastAsia" w:hAnsi="Franklin Gothic Book" w:cs="Calibri"/>
          <w:sz w:val="22"/>
          <w:szCs w:val="22"/>
        </w:rPr>
        <w:t>)</w:t>
      </w:r>
      <w:r w:rsidR="00B620CF">
        <w:rPr>
          <w:rStyle w:val="FootnoteReference"/>
          <w:rFonts w:ascii="Franklin Gothic Book" w:eastAsiaTheme="majorEastAsia" w:hAnsi="Franklin Gothic Book" w:cs="Calibri"/>
          <w:sz w:val="22"/>
          <w:szCs w:val="22"/>
        </w:rPr>
        <w:footnoteReference w:id="12"/>
      </w:r>
      <w:r w:rsidRPr="00E250B7">
        <w:rPr>
          <w:rStyle w:val="cf01"/>
          <w:rFonts w:ascii="Franklin Gothic Book" w:eastAsiaTheme="majorEastAsia" w:hAnsi="Franklin Gothic Book" w:cs="Calibri"/>
          <w:sz w:val="22"/>
          <w:szCs w:val="22"/>
        </w:rPr>
        <w:t xml:space="preserve"> applied, the reduction would be 29.3%, bringing the ICER to $80,129 (Analyses D+I).</w:t>
      </w:r>
      <w:r w:rsidRPr="00E84EE6">
        <w:rPr>
          <w:rStyle w:val="cf01"/>
          <w:rFonts w:ascii="Franklin Gothic Book" w:eastAsiaTheme="majorEastAsia" w:hAnsi="Franklin Gothic Book" w:cs="Calibri"/>
          <w:sz w:val="22"/>
          <w:szCs w:val="22"/>
        </w:rPr>
        <w:t xml:space="preserve"> </w:t>
      </w:r>
      <w:r>
        <w:rPr>
          <w:rStyle w:val="cf01"/>
          <w:rFonts w:ascii="Franklin Gothic Book" w:eastAsiaTheme="majorEastAsia" w:hAnsi="Franklin Gothic Book" w:cs="Calibri"/>
          <w:sz w:val="22"/>
          <w:szCs w:val="22"/>
        </w:rPr>
        <w:t>Uncertainty pertaining to utilities is discussed below.</w:t>
      </w:r>
    </w:p>
    <w:p w14:paraId="40F40418" w14:textId="77777777" w:rsidR="007D5026" w:rsidRPr="00591D45" w:rsidRDefault="007D5026" w:rsidP="007D5026">
      <w:pPr>
        <w:pStyle w:val="pf0"/>
        <w:numPr>
          <w:ilvl w:val="0"/>
          <w:numId w:val="25"/>
        </w:numPr>
        <w:ind w:left="284" w:hanging="284"/>
        <w:rPr>
          <w:rStyle w:val="cf01"/>
          <w:rFonts w:ascii="Franklin Gothic Book" w:eastAsiaTheme="majorEastAsia" w:hAnsi="Franklin Gothic Book" w:cs="Calibri"/>
          <w:sz w:val="22"/>
          <w:szCs w:val="22"/>
        </w:rPr>
      </w:pPr>
      <w:r w:rsidRPr="00591D45">
        <w:rPr>
          <w:rStyle w:val="cf01"/>
          <w:rFonts w:ascii="Franklin Gothic Book" w:eastAsiaTheme="majorEastAsia" w:hAnsi="Franklin Gothic Book" w:cs="Calibri"/>
          <w:sz w:val="22"/>
          <w:szCs w:val="22"/>
        </w:rPr>
        <w:t>Utilities</w:t>
      </w:r>
    </w:p>
    <w:p w14:paraId="6C4DDDDD" w14:textId="4D2C0266" w:rsidR="007D5026" w:rsidRPr="00E84EE6" w:rsidRDefault="007D5026" w:rsidP="007D5026">
      <w:pPr>
        <w:pStyle w:val="pf0"/>
        <w:ind w:left="284"/>
        <w:rPr>
          <w:rStyle w:val="cf11"/>
          <w:rFonts w:ascii="Franklin Gothic Book" w:eastAsiaTheme="majorEastAsia" w:hAnsi="Franklin Gothic Book" w:cs="Calibri"/>
          <w:sz w:val="22"/>
          <w:szCs w:val="22"/>
        </w:rPr>
      </w:pPr>
      <w:r>
        <w:rPr>
          <w:rStyle w:val="cf11"/>
          <w:rFonts w:ascii="Franklin Gothic Book" w:hAnsi="Franklin Gothic Book" w:cs="Calibri"/>
          <w:sz w:val="22"/>
          <w:szCs w:val="22"/>
        </w:rPr>
        <w:t>In th</w:t>
      </w:r>
      <w:r w:rsidRPr="00E84EE6">
        <w:rPr>
          <w:rStyle w:val="cf11"/>
          <w:rFonts w:ascii="Franklin Gothic Book" w:hAnsi="Franklin Gothic Book" w:cs="Calibri"/>
          <w:sz w:val="22"/>
          <w:szCs w:val="22"/>
        </w:rPr>
        <w:t>e base cas</w:t>
      </w:r>
      <w:r>
        <w:rPr>
          <w:rStyle w:val="cf11"/>
          <w:rFonts w:ascii="Franklin Gothic Book" w:hAnsi="Franklin Gothic Book" w:cs="Calibri"/>
          <w:sz w:val="22"/>
          <w:szCs w:val="22"/>
        </w:rPr>
        <w:t>e,</w:t>
      </w:r>
      <w:r w:rsidRPr="00E84EE6">
        <w:rPr>
          <w:rStyle w:val="cf11"/>
          <w:rFonts w:ascii="Franklin Gothic Book" w:hAnsi="Franklin Gothic Book" w:cs="Calibri"/>
          <w:sz w:val="22"/>
          <w:szCs w:val="22"/>
        </w:rPr>
        <w:t xml:space="preserve"> EQ-5D utilities </w:t>
      </w:r>
      <w:r>
        <w:rPr>
          <w:rStyle w:val="cf11"/>
          <w:rFonts w:ascii="Franklin Gothic Book" w:hAnsi="Franklin Gothic Book" w:cs="Calibri"/>
          <w:sz w:val="22"/>
          <w:szCs w:val="22"/>
        </w:rPr>
        <w:t xml:space="preserve">reported in </w:t>
      </w:r>
      <w:r w:rsidRPr="00E84EE6">
        <w:rPr>
          <w:rStyle w:val="cf11"/>
          <w:rFonts w:ascii="Franklin Gothic Book" w:eastAsiaTheme="majorEastAsia" w:hAnsi="Franklin Gothic Book" w:cs="Calibri"/>
          <w:sz w:val="22"/>
          <w:szCs w:val="22"/>
        </w:rPr>
        <w:t xml:space="preserve">Torvinen </w:t>
      </w:r>
      <w:r>
        <w:rPr>
          <w:rStyle w:val="cf11"/>
          <w:rFonts w:ascii="Franklin Gothic Book" w:eastAsiaTheme="majorEastAsia" w:hAnsi="Franklin Gothic Book" w:cs="Calibri"/>
          <w:sz w:val="22"/>
          <w:szCs w:val="22"/>
        </w:rPr>
        <w:t>(</w:t>
      </w:r>
      <w:r w:rsidRPr="00E84EE6">
        <w:rPr>
          <w:rStyle w:val="cf01"/>
          <w:rFonts w:ascii="Franklin Gothic Book" w:eastAsiaTheme="majorEastAsia" w:hAnsi="Franklin Gothic Book" w:cs="Calibri"/>
          <w:sz w:val="22"/>
          <w:szCs w:val="22"/>
        </w:rPr>
        <w:t>2013</w:t>
      </w:r>
      <w:r w:rsidRPr="00E84EE6">
        <w:rPr>
          <w:rStyle w:val="cf11"/>
          <w:rFonts w:ascii="Franklin Gothic Book" w:eastAsiaTheme="majorEastAsia" w:hAnsi="Franklin Gothic Book" w:cs="Calibri"/>
          <w:sz w:val="22"/>
          <w:szCs w:val="22"/>
        </w:rPr>
        <w:t>)</w:t>
      </w:r>
      <w:r w:rsidR="00522BCE">
        <w:rPr>
          <w:rStyle w:val="FootnoteReference"/>
          <w:rFonts w:ascii="Franklin Gothic Book" w:eastAsiaTheme="majorEastAsia" w:hAnsi="Franklin Gothic Book" w:cs="Calibri"/>
          <w:sz w:val="22"/>
          <w:szCs w:val="22"/>
        </w:rPr>
        <w:footnoteReference w:id="13"/>
      </w:r>
      <w:r w:rsidRPr="00E84EE6">
        <w:rPr>
          <w:rStyle w:val="cf11"/>
          <w:rFonts w:ascii="Franklin Gothic Book" w:eastAsiaTheme="majorEastAsia" w:hAnsi="Franklin Gothic Book" w:cs="Calibri"/>
          <w:sz w:val="22"/>
          <w:szCs w:val="22"/>
        </w:rPr>
        <w:t xml:space="preserve"> were used</w:t>
      </w:r>
      <w:r>
        <w:rPr>
          <w:rStyle w:val="cf11"/>
          <w:rFonts w:ascii="Franklin Gothic Book" w:eastAsiaTheme="majorEastAsia" w:hAnsi="Franklin Gothic Book" w:cs="Calibri"/>
          <w:sz w:val="22"/>
          <w:szCs w:val="22"/>
        </w:rPr>
        <w:t>. The u</w:t>
      </w:r>
      <w:r w:rsidRPr="00A3077A">
        <w:rPr>
          <w:rStyle w:val="cf11"/>
          <w:rFonts w:ascii="Franklin Gothic Book" w:eastAsiaTheme="majorEastAsia" w:hAnsi="Franklin Gothic Book" w:cs="Calibri"/>
          <w:sz w:val="22"/>
          <w:szCs w:val="22"/>
        </w:rPr>
        <w:t xml:space="preserve">tility estimates </w:t>
      </w:r>
      <w:r>
        <w:rPr>
          <w:rStyle w:val="cf11"/>
          <w:rFonts w:ascii="Franklin Gothic Book" w:eastAsiaTheme="majorEastAsia" w:hAnsi="Franklin Gothic Book" w:cs="Calibri"/>
          <w:sz w:val="22"/>
          <w:szCs w:val="22"/>
        </w:rPr>
        <w:t>in Torvinen (2013) were elicited from a relatively small</w:t>
      </w:r>
      <w:r w:rsidRPr="00A3077A">
        <w:rPr>
          <w:rStyle w:val="cf11"/>
          <w:rFonts w:ascii="Franklin Gothic Book" w:eastAsiaTheme="majorEastAsia" w:hAnsi="Franklin Gothic Book" w:cs="Calibri"/>
          <w:sz w:val="22"/>
          <w:szCs w:val="22"/>
        </w:rPr>
        <w:t xml:space="preserve"> </w:t>
      </w:r>
      <w:r>
        <w:rPr>
          <w:rStyle w:val="cf11"/>
          <w:rFonts w:ascii="Franklin Gothic Book" w:eastAsiaTheme="majorEastAsia" w:hAnsi="Franklin Gothic Book" w:cs="Calibri"/>
          <w:sz w:val="22"/>
          <w:szCs w:val="22"/>
        </w:rPr>
        <w:t>s</w:t>
      </w:r>
      <w:r w:rsidRPr="00A3077A">
        <w:rPr>
          <w:rStyle w:val="cf11"/>
          <w:rFonts w:ascii="Franklin Gothic Book" w:eastAsiaTheme="majorEastAsia" w:hAnsi="Franklin Gothic Book" w:cs="Calibri"/>
          <w:sz w:val="22"/>
          <w:szCs w:val="22"/>
        </w:rPr>
        <w:t>ample size</w:t>
      </w:r>
      <w:r>
        <w:rPr>
          <w:rStyle w:val="cf11"/>
          <w:rFonts w:ascii="Franklin Gothic Book" w:eastAsiaTheme="majorEastAsia" w:hAnsi="Franklin Gothic Book" w:cs="Calibri"/>
          <w:sz w:val="22"/>
          <w:szCs w:val="22"/>
        </w:rPr>
        <w:t xml:space="preserve"> (n</w:t>
      </w:r>
      <w:r w:rsidRPr="00A3077A">
        <w:rPr>
          <w:rStyle w:val="cf11"/>
          <w:rFonts w:ascii="Franklin Gothic Book" w:eastAsiaTheme="majorEastAsia" w:hAnsi="Franklin Gothic Book" w:cs="Calibri"/>
          <w:sz w:val="22"/>
          <w:szCs w:val="22"/>
        </w:rPr>
        <w:t xml:space="preserve">=17 </w:t>
      </w:r>
      <w:r>
        <w:rPr>
          <w:rStyle w:val="cf11"/>
          <w:rFonts w:ascii="Franklin Gothic Book" w:eastAsiaTheme="majorEastAsia" w:hAnsi="Franklin Gothic Book" w:cs="Calibri"/>
          <w:sz w:val="22"/>
          <w:szCs w:val="22"/>
        </w:rPr>
        <w:t>p</w:t>
      </w:r>
      <w:r w:rsidRPr="00A3077A">
        <w:rPr>
          <w:rStyle w:val="cf11"/>
          <w:rFonts w:ascii="Franklin Gothic Book" w:eastAsiaTheme="majorEastAsia" w:hAnsi="Franklin Gothic Book" w:cs="Calibri"/>
          <w:sz w:val="22"/>
          <w:szCs w:val="22"/>
        </w:rPr>
        <w:t>alliative patients</w:t>
      </w:r>
      <w:r>
        <w:rPr>
          <w:rStyle w:val="cf11"/>
          <w:rFonts w:ascii="Franklin Gothic Book" w:eastAsiaTheme="majorEastAsia" w:hAnsi="Franklin Gothic Book" w:cs="Calibri"/>
          <w:sz w:val="22"/>
          <w:szCs w:val="22"/>
        </w:rPr>
        <w:t>; informing a PD</w:t>
      </w:r>
      <w:r w:rsidRPr="00A3077A">
        <w:rPr>
          <w:rStyle w:val="cf11"/>
          <w:rFonts w:ascii="Franklin Gothic Book" w:eastAsiaTheme="majorEastAsia" w:hAnsi="Franklin Gothic Book" w:cs="Calibri"/>
          <w:sz w:val="22"/>
          <w:szCs w:val="22"/>
        </w:rPr>
        <w:t xml:space="preserve"> </w:t>
      </w:r>
      <w:r>
        <w:rPr>
          <w:rStyle w:val="cf11"/>
          <w:rFonts w:ascii="Franklin Gothic Book" w:eastAsiaTheme="majorEastAsia" w:hAnsi="Franklin Gothic Book" w:cs="Calibri"/>
          <w:sz w:val="22"/>
          <w:szCs w:val="22"/>
        </w:rPr>
        <w:t xml:space="preserve">utility </w:t>
      </w:r>
      <w:r>
        <w:rPr>
          <w:rStyle w:val="cf11"/>
          <w:rFonts w:ascii="Franklin Gothic Book" w:hAnsi="Franklin Gothic Book" w:cs="Calibri"/>
          <w:sz w:val="22"/>
          <w:szCs w:val="22"/>
        </w:rPr>
        <w:t xml:space="preserve">of </w:t>
      </w:r>
      <w:r w:rsidRPr="00E84EE6">
        <w:rPr>
          <w:rStyle w:val="cf11"/>
          <w:rFonts w:ascii="Franklin Gothic Book" w:hAnsi="Franklin Gothic Book" w:cs="Calibri"/>
          <w:sz w:val="22"/>
          <w:szCs w:val="22"/>
        </w:rPr>
        <w:t>0.59 (95%</w:t>
      </w:r>
      <w:r>
        <w:rPr>
          <w:rStyle w:val="cf11"/>
          <w:rFonts w:ascii="Franklin Gothic Book" w:hAnsi="Franklin Gothic Book" w:cs="Calibri"/>
          <w:sz w:val="22"/>
          <w:szCs w:val="22"/>
        </w:rPr>
        <w:t xml:space="preserve"> </w:t>
      </w:r>
      <w:r w:rsidRPr="00E84EE6">
        <w:rPr>
          <w:rStyle w:val="cf11"/>
          <w:rFonts w:ascii="Franklin Gothic Book" w:hAnsi="Franklin Gothic Book" w:cs="Calibri"/>
          <w:sz w:val="22"/>
          <w:szCs w:val="22"/>
        </w:rPr>
        <w:t>CI</w:t>
      </w:r>
      <w:r>
        <w:rPr>
          <w:rStyle w:val="cf11"/>
          <w:rFonts w:ascii="Franklin Gothic Book" w:hAnsi="Franklin Gothic Book" w:cs="Calibri"/>
          <w:sz w:val="22"/>
          <w:szCs w:val="22"/>
        </w:rPr>
        <w:t>:</w:t>
      </w:r>
      <w:r w:rsidRPr="00E84EE6">
        <w:rPr>
          <w:rStyle w:val="cf11"/>
          <w:rFonts w:ascii="Franklin Gothic Book" w:hAnsi="Franklin Gothic Book" w:cs="Calibri"/>
          <w:sz w:val="22"/>
          <w:szCs w:val="22"/>
        </w:rPr>
        <w:t xml:space="preserve"> </w:t>
      </w:r>
      <w:r w:rsidRPr="00E84EE6">
        <w:rPr>
          <w:rFonts w:ascii="Franklin Gothic Book" w:hAnsi="Franklin Gothic Book"/>
          <w:sz w:val="22"/>
          <w:szCs w:val="22"/>
        </w:rPr>
        <w:t>0.48</w:t>
      </w:r>
      <w:r>
        <w:rPr>
          <w:rFonts w:ascii="Franklin Gothic Book" w:hAnsi="Franklin Gothic Book"/>
          <w:sz w:val="22"/>
          <w:szCs w:val="22"/>
        </w:rPr>
        <w:t xml:space="preserve">, </w:t>
      </w:r>
      <w:r w:rsidRPr="00E84EE6">
        <w:rPr>
          <w:rFonts w:ascii="Franklin Gothic Book" w:hAnsi="Franklin Gothic Book"/>
          <w:sz w:val="22"/>
          <w:szCs w:val="22"/>
        </w:rPr>
        <w:t>0.70)</w:t>
      </w:r>
      <w:r w:rsidRPr="00E84EE6">
        <w:rPr>
          <w:rStyle w:val="cf11"/>
          <w:rFonts w:ascii="Franklin Gothic Book" w:hAnsi="Franklin Gothic Book" w:cs="Calibri"/>
          <w:sz w:val="22"/>
          <w:szCs w:val="22"/>
        </w:rPr>
        <w:t xml:space="preserve"> </w:t>
      </w:r>
      <w:r w:rsidRPr="00A3077A">
        <w:rPr>
          <w:rStyle w:val="cf11"/>
          <w:rFonts w:ascii="Franklin Gothic Book" w:eastAsiaTheme="majorEastAsia" w:hAnsi="Franklin Gothic Book" w:cs="Calibri"/>
          <w:sz w:val="22"/>
          <w:szCs w:val="22"/>
        </w:rPr>
        <w:t xml:space="preserve">and </w:t>
      </w:r>
      <w:r>
        <w:rPr>
          <w:rStyle w:val="cf11"/>
          <w:rFonts w:ascii="Franklin Gothic Book" w:eastAsiaTheme="majorEastAsia" w:hAnsi="Franklin Gothic Book" w:cs="Calibri"/>
          <w:sz w:val="22"/>
          <w:szCs w:val="22"/>
        </w:rPr>
        <w:t>n</w:t>
      </w:r>
      <w:r w:rsidRPr="00A3077A">
        <w:rPr>
          <w:rStyle w:val="cf11"/>
          <w:rFonts w:ascii="Franklin Gothic Book" w:eastAsiaTheme="majorEastAsia" w:hAnsi="Franklin Gothic Book" w:cs="Calibri"/>
          <w:sz w:val="22"/>
          <w:szCs w:val="22"/>
        </w:rPr>
        <w:t>=85 metastatic patients</w:t>
      </w:r>
      <w:r>
        <w:rPr>
          <w:rStyle w:val="cf11"/>
          <w:rFonts w:ascii="Franklin Gothic Book" w:eastAsiaTheme="majorEastAsia" w:hAnsi="Franklin Gothic Book" w:cs="Calibri"/>
          <w:sz w:val="22"/>
          <w:szCs w:val="22"/>
        </w:rPr>
        <w:t xml:space="preserve">; informing a PFS utility </w:t>
      </w:r>
      <w:r>
        <w:rPr>
          <w:rStyle w:val="cf11"/>
          <w:rFonts w:ascii="Franklin Gothic Book" w:hAnsi="Franklin Gothic Book" w:cs="Calibri"/>
          <w:sz w:val="22"/>
          <w:szCs w:val="22"/>
        </w:rPr>
        <w:t xml:space="preserve">of </w:t>
      </w:r>
      <w:r w:rsidRPr="00E84EE6">
        <w:rPr>
          <w:rStyle w:val="cf11"/>
          <w:rFonts w:ascii="Franklin Gothic Book" w:hAnsi="Franklin Gothic Book" w:cs="Calibri"/>
          <w:sz w:val="22"/>
          <w:szCs w:val="22"/>
        </w:rPr>
        <w:t>0.74 (95%</w:t>
      </w:r>
      <w:r>
        <w:rPr>
          <w:rStyle w:val="cf11"/>
          <w:rFonts w:ascii="Franklin Gothic Book" w:hAnsi="Franklin Gothic Book" w:cs="Calibri"/>
          <w:sz w:val="22"/>
          <w:szCs w:val="22"/>
        </w:rPr>
        <w:t xml:space="preserve"> </w:t>
      </w:r>
      <w:r w:rsidRPr="00E84EE6">
        <w:rPr>
          <w:rStyle w:val="cf11"/>
          <w:rFonts w:ascii="Franklin Gothic Book" w:hAnsi="Franklin Gothic Book" w:cs="Calibri"/>
          <w:sz w:val="22"/>
          <w:szCs w:val="22"/>
        </w:rPr>
        <w:t>CI</w:t>
      </w:r>
      <w:r>
        <w:rPr>
          <w:rStyle w:val="cf11"/>
          <w:rFonts w:ascii="Franklin Gothic Book" w:hAnsi="Franklin Gothic Book" w:cs="Calibri"/>
          <w:sz w:val="22"/>
          <w:szCs w:val="22"/>
        </w:rPr>
        <w:t>:</w:t>
      </w:r>
      <w:r w:rsidRPr="00E84EE6">
        <w:rPr>
          <w:rStyle w:val="cf11"/>
          <w:rFonts w:ascii="Franklin Gothic Book" w:hAnsi="Franklin Gothic Book" w:cs="Calibri"/>
          <w:sz w:val="22"/>
          <w:szCs w:val="22"/>
        </w:rPr>
        <w:t xml:space="preserve"> </w:t>
      </w:r>
      <w:r w:rsidRPr="00E84EE6">
        <w:rPr>
          <w:rFonts w:ascii="Franklin Gothic Book" w:hAnsi="Franklin Gothic Book"/>
          <w:sz w:val="22"/>
          <w:szCs w:val="22"/>
        </w:rPr>
        <w:t>0.69</w:t>
      </w:r>
      <w:r>
        <w:rPr>
          <w:rFonts w:ascii="Franklin Gothic Book" w:hAnsi="Franklin Gothic Book"/>
          <w:sz w:val="22"/>
          <w:szCs w:val="22"/>
        </w:rPr>
        <w:t xml:space="preserve">, </w:t>
      </w:r>
      <w:r w:rsidRPr="00E84EE6">
        <w:rPr>
          <w:rFonts w:ascii="Franklin Gothic Book" w:hAnsi="Franklin Gothic Book"/>
          <w:sz w:val="22"/>
          <w:szCs w:val="22"/>
        </w:rPr>
        <w:t>0.80)</w:t>
      </w:r>
      <w:r>
        <w:rPr>
          <w:rStyle w:val="cf11"/>
          <w:rFonts w:ascii="Franklin Gothic Book" w:hAnsi="Franklin Gothic Book" w:cs="Calibri"/>
          <w:sz w:val="22"/>
          <w:szCs w:val="22"/>
        </w:rPr>
        <w:t xml:space="preserve">. These utilities have been applied </w:t>
      </w:r>
      <w:r w:rsidRPr="00E84EE6">
        <w:rPr>
          <w:rStyle w:val="cf11"/>
          <w:rFonts w:ascii="Franklin Gothic Book" w:hAnsi="Franklin Gothic Book" w:cs="Calibri"/>
          <w:sz w:val="22"/>
          <w:szCs w:val="22"/>
        </w:rPr>
        <w:t xml:space="preserve">since </w:t>
      </w:r>
      <w:r w:rsidRPr="00E84EE6">
        <w:rPr>
          <w:rStyle w:val="cf11"/>
          <w:rFonts w:ascii="Franklin Gothic Book" w:eastAsiaTheme="majorEastAsia" w:hAnsi="Franklin Gothic Book" w:cs="Calibri"/>
          <w:sz w:val="22"/>
          <w:szCs w:val="22"/>
        </w:rPr>
        <w:t xml:space="preserve">the original MSAC 1686 </w:t>
      </w:r>
      <w:r>
        <w:rPr>
          <w:rStyle w:val="cf11"/>
          <w:rFonts w:ascii="Franklin Gothic Book" w:eastAsiaTheme="majorEastAsia" w:hAnsi="Franklin Gothic Book" w:cs="Calibri"/>
          <w:sz w:val="22"/>
          <w:szCs w:val="22"/>
        </w:rPr>
        <w:t>ADAR</w:t>
      </w:r>
      <w:r w:rsidRPr="00E84EE6">
        <w:rPr>
          <w:rStyle w:val="cf11"/>
          <w:rFonts w:ascii="Franklin Gothic Book" w:hAnsi="Franklin Gothic Book" w:cs="Calibri"/>
          <w:sz w:val="22"/>
          <w:szCs w:val="22"/>
        </w:rPr>
        <w:t>, however</w:t>
      </w:r>
      <w:r w:rsidRPr="00E84EE6">
        <w:rPr>
          <w:rStyle w:val="cf11"/>
          <w:rFonts w:ascii="Franklin Gothic Book" w:eastAsiaTheme="majorEastAsia" w:hAnsi="Franklin Gothic Book" w:cs="Calibri"/>
          <w:sz w:val="22"/>
          <w:szCs w:val="22"/>
        </w:rPr>
        <w:t xml:space="preserve"> </w:t>
      </w:r>
      <w:r>
        <w:rPr>
          <w:rStyle w:val="cf11"/>
          <w:rFonts w:ascii="Franklin Gothic Book" w:eastAsiaTheme="majorEastAsia" w:hAnsi="Franklin Gothic Book" w:cs="Calibri"/>
          <w:sz w:val="22"/>
          <w:szCs w:val="22"/>
        </w:rPr>
        <w:t>they have been</w:t>
      </w:r>
      <w:r w:rsidRPr="00E84EE6">
        <w:rPr>
          <w:rStyle w:val="cf11"/>
          <w:rFonts w:ascii="Franklin Gothic Book" w:hAnsi="Franklin Gothic Book" w:cs="Calibri"/>
          <w:sz w:val="22"/>
          <w:szCs w:val="22"/>
        </w:rPr>
        <w:t xml:space="preserve"> </w:t>
      </w:r>
      <w:r w:rsidRPr="00E84EE6">
        <w:rPr>
          <w:rStyle w:val="cf11"/>
          <w:rFonts w:ascii="Franklin Gothic Book" w:eastAsiaTheme="majorEastAsia" w:hAnsi="Franklin Gothic Book" w:cs="Calibri"/>
          <w:sz w:val="22"/>
          <w:szCs w:val="22"/>
        </w:rPr>
        <w:t xml:space="preserve">criticised for lacking applicability to the treatment arms in the model. The </w:t>
      </w:r>
      <w:r>
        <w:rPr>
          <w:rStyle w:val="cf11"/>
          <w:rFonts w:ascii="Franklin Gothic Book" w:eastAsiaTheme="majorEastAsia" w:hAnsi="Franklin Gothic Book" w:cs="Calibri"/>
          <w:sz w:val="22"/>
          <w:szCs w:val="22"/>
        </w:rPr>
        <w:t>c</w:t>
      </w:r>
      <w:r w:rsidRPr="00E84EE6">
        <w:rPr>
          <w:rStyle w:val="cf11"/>
          <w:rFonts w:ascii="Franklin Gothic Book" w:eastAsiaTheme="majorEastAsia" w:hAnsi="Franklin Gothic Book" w:cs="Calibri"/>
          <w:sz w:val="22"/>
          <w:szCs w:val="22"/>
        </w:rPr>
        <w:t xml:space="preserve">ommentary to </w:t>
      </w:r>
      <w:r>
        <w:rPr>
          <w:rStyle w:val="cf11"/>
          <w:rFonts w:ascii="Franklin Gothic Book" w:eastAsiaTheme="majorEastAsia" w:hAnsi="Franklin Gothic Book" w:cs="Calibri"/>
          <w:sz w:val="22"/>
          <w:szCs w:val="22"/>
        </w:rPr>
        <w:t xml:space="preserve">the MSAC </w:t>
      </w:r>
      <w:r w:rsidRPr="00E84EE6">
        <w:rPr>
          <w:rStyle w:val="cf11"/>
          <w:rFonts w:ascii="Franklin Gothic Book" w:eastAsiaTheme="majorEastAsia" w:hAnsi="Franklin Gothic Book" w:cs="Calibri"/>
          <w:sz w:val="22"/>
          <w:szCs w:val="22"/>
        </w:rPr>
        <w:t xml:space="preserve">1686 ADAR noted that “Torvinen (2013) did not provide details on how patients were defined as being metastatic or palliative. As such, it is unclear whether these patients adequately correspond to progression-free and progressed patients in the model (p.183)”. To be precise, criteria for progressing to “palliative” care </w:t>
      </w:r>
      <w:r>
        <w:rPr>
          <w:rStyle w:val="cf11"/>
          <w:rFonts w:ascii="Franklin Gothic Book" w:eastAsiaTheme="majorEastAsia" w:hAnsi="Franklin Gothic Book" w:cs="Calibri"/>
          <w:sz w:val="22"/>
          <w:szCs w:val="22"/>
        </w:rPr>
        <w:t xml:space="preserve">was </w:t>
      </w:r>
      <w:r w:rsidRPr="00E84EE6">
        <w:rPr>
          <w:rStyle w:val="cf11"/>
          <w:rFonts w:ascii="Franklin Gothic Book" w:eastAsiaTheme="majorEastAsia" w:hAnsi="Franklin Gothic Book" w:cs="Calibri"/>
          <w:sz w:val="22"/>
          <w:szCs w:val="22"/>
        </w:rPr>
        <w:t xml:space="preserve">unlikely to correspond to the criteria for disease progression used in </w:t>
      </w:r>
      <w:r>
        <w:rPr>
          <w:rStyle w:val="cf11"/>
          <w:rFonts w:ascii="Franklin Gothic Book" w:eastAsiaTheme="majorEastAsia" w:hAnsi="Franklin Gothic Book" w:cs="Calibri"/>
          <w:sz w:val="22"/>
          <w:szCs w:val="22"/>
        </w:rPr>
        <w:t xml:space="preserve">the </w:t>
      </w:r>
      <w:r w:rsidRPr="00E84EE6">
        <w:rPr>
          <w:rStyle w:val="cf11"/>
          <w:rFonts w:ascii="Franklin Gothic Book" w:eastAsiaTheme="majorEastAsia" w:hAnsi="Franklin Gothic Book" w:cs="Calibri"/>
          <w:sz w:val="22"/>
          <w:szCs w:val="22"/>
        </w:rPr>
        <w:t>TheraP or VISION trials that informed the model. Nevertheless, the base</w:t>
      </w:r>
      <w:r>
        <w:rPr>
          <w:rStyle w:val="cf11"/>
          <w:rFonts w:ascii="Franklin Gothic Book" w:eastAsiaTheme="majorEastAsia" w:hAnsi="Franklin Gothic Book" w:cs="Calibri"/>
          <w:sz w:val="22"/>
          <w:szCs w:val="22"/>
        </w:rPr>
        <w:t xml:space="preserve"> </w:t>
      </w:r>
      <w:r w:rsidRPr="00E84EE6">
        <w:rPr>
          <w:rStyle w:val="cf11"/>
          <w:rFonts w:ascii="Franklin Gothic Book" w:eastAsiaTheme="majorEastAsia" w:hAnsi="Franklin Gothic Book" w:cs="Calibri"/>
          <w:sz w:val="22"/>
          <w:szCs w:val="22"/>
        </w:rPr>
        <w:t xml:space="preserve">case MSAC 1686 utility values were consistent with those used in </w:t>
      </w:r>
      <w:r>
        <w:rPr>
          <w:rStyle w:val="cf11"/>
          <w:rFonts w:ascii="Franklin Gothic Book" w:eastAsiaTheme="majorEastAsia" w:hAnsi="Franklin Gothic Book" w:cs="Calibri"/>
          <w:sz w:val="22"/>
          <w:szCs w:val="22"/>
        </w:rPr>
        <w:t xml:space="preserve">the </w:t>
      </w:r>
      <w:r w:rsidRPr="00E84EE6">
        <w:rPr>
          <w:rStyle w:val="cf11"/>
          <w:rFonts w:ascii="Franklin Gothic Book" w:eastAsiaTheme="majorEastAsia" w:hAnsi="Franklin Gothic Book" w:cs="Calibri"/>
          <w:sz w:val="22"/>
          <w:szCs w:val="22"/>
        </w:rPr>
        <w:t>Olaparib (March 2021 PBAC PSD) and Abiraterone submissions to the PBAC (November 2012 PSD).</w:t>
      </w:r>
    </w:p>
    <w:p w14:paraId="02455CA1" w14:textId="746DA533" w:rsidR="007D5026" w:rsidRPr="00E84EE6" w:rsidRDefault="007D5026" w:rsidP="007D5026">
      <w:pPr>
        <w:pStyle w:val="pf0"/>
        <w:ind w:left="284"/>
        <w:rPr>
          <w:rStyle w:val="cf11"/>
          <w:rFonts w:ascii="Franklin Gothic Book" w:eastAsiaTheme="majorEastAsia" w:hAnsi="Franklin Gothic Book" w:cs="Calibri"/>
          <w:sz w:val="22"/>
          <w:szCs w:val="22"/>
        </w:rPr>
      </w:pPr>
      <w:r w:rsidRPr="00E84EE6">
        <w:rPr>
          <w:rStyle w:val="cf01"/>
          <w:rFonts w:ascii="Franklin Gothic Book" w:eastAsiaTheme="majorEastAsia" w:hAnsi="Franklin Gothic Book" w:cs="Calibri"/>
          <w:sz w:val="22"/>
          <w:szCs w:val="22"/>
        </w:rPr>
        <w:t xml:space="preserve">Generally, MSAC indicated </w:t>
      </w:r>
      <w:r>
        <w:rPr>
          <w:rStyle w:val="cf01"/>
          <w:rFonts w:ascii="Franklin Gothic Book" w:eastAsiaTheme="majorEastAsia" w:hAnsi="Franklin Gothic Book" w:cs="Calibri"/>
          <w:sz w:val="22"/>
          <w:szCs w:val="22"/>
        </w:rPr>
        <w:t>a</w:t>
      </w:r>
      <w:r w:rsidRPr="00E84EE6">
        <w:rPr>
          <w:rStyle w:val="cf01"/>
          <w:rFonts w:ascii="Franklin Gothic Book" w:eastAsiaTheme="majorEastAsia" w:hAnsi="Franklin Gothic Book" w:cs="Calibri"/>
          <w:sz w:val="22"/>
          <w:szCs w:val="22"/>
        </w:rPr>
        <w:t xml:space="preserve"> preference for a health state specific utilities rather than treatment specific utilities. However, the PBS also previously accepted a separate utility decrement associated with chemotherapy, although the value of a decrement and details on how the potential double-</w:t>
      </w:r>
      <w:r w:rsidRPr="00F262B1">
        <w:rPr>
          <w:rStyle w:val="cf11"/>
          <w:rFonts w:ascii="Franklin Gothic Book" w:eastAsiaTheme="majorEastAsia" w:hAnsi="Franklin Gothic Book" w:cs="Calibri"/>
          <w:sz w:val="22"/>
          <w:szCs w:val="22"/>
        </w:rPr>
        <w:t>counting</w:t>
      </w:r>
      <w:r w:rsidRPr="00E84EE6">
        <w:rPr>
          <w:rStyle w:val="cf01"/>
          <w:rFonts w:ascii="Franklin Gothic Book" w:eastAsiaTheme="majorEastAsia" w:hAnsi="Franklin Gothic Book" w:cs="Calibri"/>
          <w:sz w:val="22"/>
          <w:szCs w:val="22"/>
        </w:rPr>
        <w:t xml:space="preserve"> was avoided are not readily available. </w:t>
      </w:r>
      <w:hyperlink r:id="rId17" w:history="1">
        <w:r w:rsidRPr="00E25830">
          <w:rPr>
            <w:rStyle w:val="Hyperlink"/>
            <w:rFonts w:ascii="Franklin Gothic Book" w:eastAsiaTheme="majorEastAsia" w:hAnsi="Franklin Gothic Book" w:cs="Calibri"/>
            <w:sz w:val="22"/>
            <w:szCs w:val="22"/>
          </w:rPr>
          <w:t>https://www.pbs.gov.au/info/industry/listing/elements/pbac-meetings/psd/2013-07/erlotinib</w:t>
        </w:r>
      </w:hyperlink>
      <w:r w:rsidRPr="00E84EE6">
        <w:rPr>
          <w:rStyle w:val="cf01"/>
          <w:rFonts w:ascii="Franklin Gothic Book" w:eastAsiaTheme="majorEastAsia" w:hAnsi="Franklin Gothic Book" w:cs="Calibri"/>
          <w:sz w:val="22"/>
          <w:szCs w:val="22"/>
        </w:rPr>
        <w:t>.</w:t>
      </w:r>
    </w:p>
    <w:p w14:paraId="39FF2AFC" w14:textId="65C4B23C" w:rsidR="007D5026" w:rsidRPr="00E84EE6" w:rsidRDefault="006C44A7" w:rsidP="007D5026">
      <w:pPr>
        <w:pStyle w:val="pf0"/>
        <w:ind w:left="284"/>
        <w:rPr>
          <w:rStyle w:val="cf01"/>
          <w:rFonts w:ascii="Franklin Gothic Book" w:eastAsiaTheme="majorEastAsia" w:hAnsi="Franklin Gothic Book" w:cs="Calibri"/>
          <w:sz w:val="22"/>
          <w:szCs w:val="22"/>
        </w:rPr>
      </w:pPr>
      <w:r>
        <w:rPr>
          <w:rStyle w:val="cf01"/>
          <w:rFonts w:ascii="Franklin Gothic Book" w:eastAsiaTheme="majorEastAsia" w:hAnsi="Franklin Gothic Book" w:cs="Calibri"/>
          <w:sz w:val="22"/>
          <w:szCs w:val="22"/>
        </w:rPr>
        <w:t>A</w:t>
      </w:r>
      <w:r w:rsidR="007D5026" w:rsidRPr="00E84EE6">
        <w:rPr>
          <w:rStyle w:val="cf01"/>
          <w:rFonts w:ascii="Franklin Gothic Book" w:eastAsiaTheme="majorEastAsia" w:hAnsi="Franklin Gothic Book" w:cs="Calibri"/>
          <w:sz w:val="22"/>
          <w:szCs w:val="22"/>
        </w:rPr>
        <w:t xml:space="preserve">n extensive review of all published utilities in the </w:t>
      </w:r>
      <w:r w:rsidR="007D5026">
        <w:rPr>
          <w:rStyle w:val="cf01"/>
          <w:rFonts w:ascii="Franklin Gothic Book" w:eastAsiaTheme="majorEastAsia" w:hAnsi="Franklin Gothic Book" w:cs="Calibri"/>
          <w:sz w:val="22"/>
          <w:szCs w:val="22"/>
        </w:rPr>
        <w:t xml:space="preserve">commentary to the MSAC </w:t>
      </w:r>
      <w:r w:rsidR="007D5026" w:rsidRPr="00E84EE6">
        <w:rPr>
          <w:rStyle w:val="cf01"/>
          <w:rFonts w:ascii="Franklin Gothic Book" w:eastAsiaTheme="majorEastAsia" w:hAnsi="Franklin Gothic Book" w:cs="Calibri"/>
          <w:sz w:val="22"/>
          <w:szCs w:val="22"/>
        </w:rPr>
        <w:t>1686.1 ADAR</w:t>
      </w:r>
      <w:r>
        <w:rPr>
          <w:rStyle w:val="cf01"/>
          <w:rFonts w:ascii="Franklin Gothic Book" w:eastAsiaTheme="majorEastAsia" w:hAnsi="Franklin Gothic Book" w:cs="Calibri"/>
          <w:sz w:val="22"/>
          <w:szCs w:val="22"/>
        </w:rPr>
        <w:t xml:space="preserve"> was provided</w:t>
      </w:r>
      <w:r w:rsidR="007D5026" w:rsidRPr="00E84EE6">
        <w:rPr>
          <w:rStyle w:val="cf01"/>
          <w:rFonts w:ascii="Franklin Gothic Book" w:eastAsiaTheme="majorEastAsia" w:hAnsi="Franklin Gothic Book" w:cs="Calibri"/>
          <w:sz w:val="22"/>
          <w:szCs w:val="22"/>
        </w:rPr>
        <w:t xml:space="preserve"> and found that there </w:t>
      </w:r>
      <w:r w:rsidR="007D5026">
        <w:rPr>
          <w:rStyle w:val="cf01"/>
          <w:rFonts w:ascii="Franklin Gothic Book" w:eastAsiaTheme="majorEastAsia" w:hAnsi="Franklin Gothic Book" w:cs="Calibri"/>
          <w:sz w:val="22"/>
          <w:szCs w:val="22"/>
        </w:rPr>
        <w:t>wa</w:t>
      </w:r>
      <w:r w:rsidR="007D5026" w:rsidRPr="00E84EE6">
        <w:rPr>
          <w:rStyle w:val="cf01"/>
          <w:rFonts w:ascii="Franklin Gothic Book" w:eastAsiaTheme="majorEastAsia" w:hAnsi="Franklin Gothic Book" w:cs="Calibri"/>
          <w:sz w:val="22"/>
          <w:szCs w:val="22"/>
        </w:rPr>
        <w:t xml:space="preserve">s a non-linear relationship between the symptom scores (diarrhoea, fatigue, urinary, bowel and erectile dysfunction that differentiate </w:t>
      </w:r>
      <w:r w:rsidR="007D5026">
        <w:rPr>
          <w:rStyle w:val="cf01"/>
          <w:rFonts w:ascii="Franklin Gothic Book" w:eastAsiaTheme="majorEastAsia" w:hAnsi="Franklin Gothic Book" w:cs="Calibri"/>
          <w:sz w:val="22"/>
          <w:szCs w:val="22"/>
          <w:vertAlign w:val="superscript"/>
        </w:rPr>
        <w:t>177</w:t>
      </w:r>
      <w:r w:rsidR="007D5026" w:rsidRPr="00E84EE6">
        <w:rPr>
          <w:rStyle w:val="cf01"/>
          <w:rFonts w:ascii="Franklin Gothic Book" w:eastAsiaTheme="majorEastAsia" w:hAnsi="Franklin Gothic Book" w:cs="Calibri"/>
          <w:sz w:val="22"/>
          <w:szCs w:val="22"/>
        </w:rPr>
        <w:t>Lu</w:t>
      </w:r>
      <w:r w:rsidR="007D5026">
        <w:rPr>
          <w:rStyle w:val="cf01"/>
          <w:rFonts w:ascii="Franklin Gothic Book" w:eastAsiaTheme="majorEastAsia" w:hAnsi="Franklin Gothic Book" w:cs="Calibri"/>
          <w:sz w:val="22"/>
          <w:szCs w:val="22"/>
        </w:rPr>
        <w:t> </w:t>
      </w:r>
      <w:r w:rsidR="007D5026" w:rsidRPr="00E84EE6">
        <w:rPr>
          <w:rStyle w:val="cf01"/>
          <w:rFonts w:ascii="Franklin Gothic Book" w:eastAsiaTheme="majorEastAsia" w:hAnsi="Franklin Gothic Book" w:cs="Calibri"/>
          <w:sz w:val="22"/>
          <w:szCs w:val="22"/>
        </w:rPr>
        <w:t xml:space="preserve">PSMA from cabazitaxel) and the QoL results, indicating that adjusting the utility value by a fixed number may not be methodologically correct. We found some evidence of disutility (-0.04) associated with chemotherapy (Diels, 2015), but the decisive factor for accepting the treatment-specific utility </w:t>
      </w:r>
      <w:r w:rsidR="007D5026">
        <w:rPr>
          <w:rStyle w:val="cf01"/>
          <w:rFonts w:ascii="Franklin Gothic Book" w:eastAsiaTheme="majorEastAsia" w:hAnsi="Franklin Gothic Book" w:cs="Calibri"/>
          <w:sz w:val="22"/>
          <w:szCs w:val="22"/>
        </w:rPr>
        <w:t>was</w:t>
      </w:r>
      <w:r w:rsidR="007D5026" w:rsidRPr="00E84EE6">
        <w:rPr>
          <w:rStyle w:val="cf01"/>
          <w:rFonts w:ascii="Franklin Gothic Book" w:eastAsiaTheme="majorEastAsia" w:hAnsi="Franklin Gothic Book" w:cs="Calibri"/>
          <w:sz w:val="22"/>
          <w:szCs w:val="22"/>
        </w:rPr>
        <w:t xml:space="preserve"> that it was previously used by another assessment group in PET/CT application (Song, 2022). However, to avoid double-counting, Song (2022) used a separate set of disutilities for urinary, bowel and erectile dysfunction and applied Torvinen’s (2013) utility values only to the proportion of patients who did not experience any of these </w:t>
      </w:r>
      <w:r w:rsidR="007D5026">
        <w:rPr>
          <w:rStyle w:val="cf01"/>
          <w:rFonts w:ascii="Franklin Gothic Book" w:eastAsiaTheme="majorEastAsia" w:hAnsi="Franklin Gothic Book" w:cs="Calibri"/>
          <w:sz w:val="22"/>
          <w:szCs w:val="22"/>
        </w:rPr>
        <w:t>symptoms</w:t>
      </w:r>
      <w:r w:rsidR="007D5026" w:rsidRPr="00E84EE6">
        <w:rPr>
          <w:rStyle w:val="cf01"/>
          <w:rFonts w:ascii="Franklin Gothic Book" w:eastAsiaTheme="majorEastAsia" w:hAnsi="Franklin Gothic Book" w:cs="Calibri"/>
          <w:sz w:val="22"/>
          <w:szCs w:val="22"/>
        </w:rPr>
        <w:t xml:space="preserve">. The potential for double-counting was noted in the commentary to </w:t>
      </w:r>
      <w:r w:rsidR="007D5026">
        <w:rPr>
          <w:rStyle w:val="cf01"/>
          <w:rFonts w:ascii="Franklin Gothic Book" w:eastAsiaTheme="majorEastAsia" w:hAnsi="Franklin Gothic Book" w:cs="Calibri"/>
          <w:sz w:val="22"/>
          <w:szCs w:val="22"/>
        </w:rPr>
        <w:t xml:space="preserve">the MSAC </w:t>
      </w:r>
      <w:r w:rsidR="007D5026" w:rsidRPr="00E84EE6">
        <w:rPr>
          <w:rStyle w:val="cf01"/>
          <w:rFonts w:ascii="Franklin Gothic Book" w:eastAsiaTheme="majorEastAsia" w:hAnsi="Franklin Gothic Book" w:cs="Calibri"/>
          <w:sz w:val="22"/>
          <w:szCs w:val="22"/>
        </w:rPr>
        <w:t xml:space="preserve">1686 ADAR, which stated that 41% of metastatic patients in Torvinen (2013) were reported as having chemotherapy during metastatic disease. As such, the utility values from Torvinen (2013) </w:t>
      </w:r>
      <w:r w:rsidR="007D5026" w:rsidRPr="00E84EE6">
        <w:rPr>
          <w:rStyle w:val="cf01"/>
          <w:rFonts w:ascii="Franklin Gothic Book" w:eastAsiaTheme="majorEastAsia" w:hAnsi="Franklin Gothic Book" w:cs="Calibri"/>
          <w:sz w:val="22"/>
          <w:szCs w:val="22"/>
        </w:rPr>
        <w:lastRenderedPageBreak/>
        <w:t xml:space="preserve">informing </w:t>
      </w:r>
      <w:r w:rsidR="007D5026">
        <w:rPr>
          <w:rStyle w:val="cf01"/>
          <w:rFonts w:ascii="Franklin Gothic Book" w:eastAsiaTheme="majorEastAsia" w:hAnsi="Franklin Gothic Book" w:cs="Calibri"/>
          <w:sz w:val="22"/>
          <w:szCs w:val="22"/>
        </w:rPr>
        <w:t xml:space="preserve">the </w:t>
      </w:r>
      <w:r w:rsidR="007D5026" w:rsidRPr="00E84EE6">
        <w:rPr>
          <w:rStyle w:val="cf01"/>
          <w:rFonts w:ascii="Franklin Gothic Book" w:eastAsiaTheme="majorEastAsia" w:hAnsi="Franklin Gothic Book" w:cs="Calibri"/>
          <w:sz w:val="22"/>
          <w:szCs w:val="22"/>
        </w:rPr>
        <w:t>progression-free health state may incorporate</w:t>
      </w:r>
      <w:r w:rsidR="007D5026">
        <w:rPr>
          <w:rStyle w:val="cf01"/>
          <w:rFonts w:ascii="Franklin Gothic Book" w:eastAsiaTheme="majorEastAsia" w:hAnsi="Franklin Gothic Book" w:cs="Calibri"/>
          <w:sz w:val="22"/>
          <w:szCs w:val="22"/>
        </w:rPr>
        <w:t>,</w:t>
      </w:r>
      <w:r w:rsidR="007D5026" w:rsidRPr="00E84EE6">
        <w:rPr>
          <w:rStyle w:val="cf01"/>
          <w:rFonts w:ascii="Franklin Gothic Book" w:eastAsiaTheme="majorEastAsia" w:hAnsi="Franklin Gothic Book" w:cs="Calibri"/>
          <w:sz w:val="22"/>
          <w:szCs w:val="22"/>
        </w:rPr>
        <w:t xml:space="preserve"> to some extent</w:t>
      </w:r>
      <w:r w:rsidR="007D5026">
        <w:rPr>
          <w:rStyle w:val="cf01"/>
          <w:rFonts w:ascii="Franklin Gothic Book" w:eastAsiaTheme="majorEastAsia" w:hAnsi="Franklin Gothic Book" w:cs="Calibri"/>
          <w:sz w:val="22"/>
          <w:szCs w:val="22"/>
        </w:rPr>
        <w:t>,</w:t>
      </w:r>
      <w:r w:rsidR="007D5026" w:rsidRPr="00E84EE6">
        <w:rPr>
          <w:rStyle w:val="cf01"/>
          <w:rFonts w:ascii="Franklin Gothic Book" w:eastAsiaTheme="majorEastAsia" w:hAnsi="Franklin Gothic Book" w:cs="Calibri"/>
          <w:sz w:val="22"/>
          <w:szCs w:val="22"/>
        </w:rPr>
        <w:t xml:space="preserve"> cabazitaxel-related disutility (p.197).</w:t>
      </w:r>
    </w:p>
    <w:p w14:paraId="0D20DC9F" w14:textId="40727A03" w:rsidR="007D5026" w:rsidRPr="00E84EE6" w:rsidRDefault="007D5026" w:rsidP="007D5026">
      <w:pPr>
        <w:pStyle w:val="pf0"/>
        <w:ind w:left="284"/>
        <w:rPr>
          <w:rStyle w:val="cf11"/>
          <w:rFonts w:ascii="Franklin Gothic Book" w:hAnsi="Franklin Gothic Book" w:cs="Calibri"/>
          <w:sz w:val="22"/>
          <w:szCs w:val="22"/>
        </w:rPr>
      </w:pPr>
      <w:r w:rsidRPr="00E84EE6">
        <w:rPr>
          <w:rStyle w:val="cf11"/>
          <w:rFonts w:ascii="Franklin Gothic Book" w:hAnsi="Franklin Gothic Book" w:cs="Calibri"/>
          <w:sz w:val="22"/>
          <w:szCs w:val="22"/>
        </w:rPr>
        <w:t xml:space="preserve">The utility values tested in the sensitivity analyses are the same as in the original </w:t>
      </w:r>
      <w:r>
        <w:rPr>
          <w:rStyle w:val="cf11"/>
          <w:rFonts w:ascii="Franklin Gothic Book" w:hAnsi="Franklin Gothic Book" w:cs="Calibri"/>
          <w:sz w:val="22"/>
          <w:szCs w:val="22"/>
        </w:rPr>
        <w:t xml:space="preserve">MSAC </w:t>
      </w:r>
      <w:r w:rsidRPr="00E84EE6">
        <w:rPr>
          <w:rStyle w:val="cf11"/>
          <w:rFonts w:ascii="Franklin Gothic Book" w:hAnsi="Franklin Gothic Book" w:cs="Calibri"/>
          <w:sz w:val="22"/>
          <w:szCs w:val="22"/>
        </w:rPr>
        <w:t xml:space="preserve">1686 ADAR and in the </w:t>
      </w:r>
      <w:r>
        <w:rPr>
          <w:rStyle w:val="cf11"/>
          <w:rFonts w:ascii="Franklin Gothic Book" w:hAnsi="Franklin Gothic Book" w:cs="Calibri"/>
          <w:sz w:val="22"/>
          <w:szCs w:val="22"/>
        </w:rPr>
        <w:t xml:space="preserve">MSAC </w:t>
      </w:r>
      <w:r w:rsidRPr="00E84EE6">
        <w:rPr>
          <w:rStyle w:val="cf11"/>
          <w:rFonts w:ascii="Franklin Gothic Book" w:hAnsi="Franklin Gothic Book" w:cs="Calibri"/>
          <w:sz w:val="22"/>
          <w:szCs w:val="22"/>
        </w:rPr>
        <w:t>1686.1 ADAR</w:t>
      </w:r>
      <w:r>
        <w:rPr>
          <w:rStyle w:val="cf11"/>
          <w:rFonts w:ascii="Franklin Gothic Book" w:hAnsi="Franklin Gothic Book" w:cs="Calibri"/>
          <w:sz w:val="22"/>
          <w:szCs w:val="22"/>
        </w:rPr>
        <w:t xml:space="preserve"> </w:t>
      </w:r>
      <w:r w:rsidRPr="00E84EE6">
        <w:rPr>
          <w:rStyle w:val="cf11"/>
          <w:rFonts w:ascii="Franklin Gothic Book" w:hAnsi="Franklin Gothic Book" w:cs="Calibri"/>
          <w:sz w:val="22"/>
          <w:szCs w:val="22"/>
        </w:rPr>
        <w:t xml:space="preserve">resubmission. With </w:t>
      </w:r>
      <w:r>
        <w:rPr>
          <w:rStyle w:val="cf11"/>
          <w:rFonts w:ascii="Franklin Gothic Book" w:hAnsi="Franklin Gothic Book" w:cs="Calibri"/>
          <w:sz w:val="22"/>
          <w:szCs w:val="22"/>
        </w:rPr>
        <w:t xml:space="preserve">the </w:t>
      </w:r>
      <w:r w:rsidRPr="00E84EE6">
        <w:rPr>
          <w:rStyle w:val="cf11"/>
          <w:rFonts w:ascii="Franklin Gothic Book" w:hAnsi="Franklin Gothic Book" w:cs="Calibri"/>
          <w:sz w:val="22"/>
          <w:szCs w:val="22"/>
        </w:rPr>
        <w:t>exception of utility for PFS of 0.86 (Krahn 2007)</w:t>
      </w:r>
      <w:r w:rsidR="00876740">
        <w:rPr>
          <w:rStyle w:val="FootnoteReference"/>
          <w:rFonts w:ascii="Franklin Gothic Book" w:hAnsi="Franklin Gothic Book" w:cs="Calibri"/>
          <w:sz w:val="22"/>
          <w:szCs w:val="22"/>
        </w:rPr>
        <w:footnoteReference w:id="14"/>
      </w:r>
      <w:r w:rsidRPr="00E84EE6">
        <w:rPr>
          <w:rStyle w:val="cf11"/>
          <w:rFonts w:ascii="Franklin Gothic Book" w:hAnsi="Franklin Gothic Book" w:cs="Calibri"/>
          <w:sz w:val="22"/>
          <w:szCs w:val="22"/>
        </w:rPr>
        <w:t xml:space="preserve">, the values fall within the 95% confidence intervals reported in </w:t>
      </w:r>
      <w:r w:rsidRPr="00E84EE6">
        <w:rPr>
          <w:rStyle w:val="cf11"/>
          <w:rFonts w:ascii="Franklin Gothic Book" w:eastAsiaTheme="majorEastAsia" w:hAnsi="Franklin Gothic Book" w:cs="Calibri"/>
          <w:sz w:val="22"/>
          <w:szCs w:val="22"/>
        </w:rPr>
        <w:t>Torvinen (2013)</w:t>
      </w:r>
      <w:r w:rsidRPr="00E84EE6">
        <w:rPr>
          <w:rStyle w:val="cf11"/>
          <w:rFonts w:ascii="Franklin Gothic Book" w:hAnsi="Franklin Gothic Book" w:cs="Calibri"/>
          <w:sz w:val="22"/>
          <w:szCs w:val="22"/>
        </w:rPr>
        <w:t>. However, none of these utilities were adjusted for toxicity of cabazitaxel (or chemotherapy in general) since it was not possible to judge the degree of potential double-counting.</w:t>
      </w:r>
    </w:p>
    <w:p w14:paraId="40BC666D" w14:textId="7AE5C392" w:rsidR="007D5026" w:rsidRPr="00E84EE6" w:rsidRDefault="007D5026" w:rsidP="007D5026">
      <w:pPr>
        <w:pStyle w:val="pf0"/>
        <w:ind w:left="284"/>
        <w:rPr>
          <w:rStyle w:val="cf01"/>
          <w:rFonts w:ascii="Franklin Gothic Book" w:eastAsiaTheme="majorEastAsia" w:hAnsi="Franklin Gothic Book" w:cs="Calibri"/>
          <w:sz w:val="22"/>
          <w:szCs w:val="22"/>
        </w:rPr>
      </w:pPr>
      <w:r w:rsidRPr="00E84EE6">
        <w:rPr>
          <w:rStyle w:val="cf11"/>
          <w:rFonts w:ascii="Franklin Gothic Book" w:hAnsi="Franklin Gothic Book" w:cs="Calibri"/>
          <w:sz w:val="22"/>
          <w:szCs w:val="22"/>
        </w:rPr>
        <w:t>In its pre-MSAC 1686.1 response</w:t>
      </w:r>
      <w:r>
        <w:rPr>
          <w:rStyle w:val="cf11"/>
          <w:rFonts w:ascii="Franklin Gothic Book" w:hAnsi="Franklin Gothic Book" w:cs="Calibri"/>
          <w:sz w:val="22"/>
          <w:szCs w:val="22"/>
        </w:rPr>
        <w:t>,</w:t>
      </w:r>
      <w:r w:rsidRPr="00E84EE6">
        <w:rPr>
          <w:rStyle w:val="cf11"/>
          <w:rFonts w:ascii="Franklin Gothic Book" w:hAnsi="Franklin Gothic Book" w:cs="Calibri"/>
          <w:sz w:val="22"/>
          <w:szCs w:val="22"/>
        </w:rPr>
        <w:t xml:space="preserve"> the </w:t>
      </w:r>
      <w:r>
        <w:rPr>
          <w:rStyle w:val="cf11"/>
          <w:rFonts w:ascii="Franklin Gothic Book" w:hAnsi="Franklin Gothic Book" w:cs="Calibri"/>
          <w:sz w:val="22"/>
          <w:szCs w:val="22"/>
        </w:rPr>
        <w:t>a</w:t>
      </w:r>
      <w:r w:rsidRPr="00E84EE6">
        <w:rPr>
          <w:rStyle w:val="cf11"/>
          <w:rFonts w:ascii="Franklin Gothic Book" w:hAnsi="Franklin Gothic Book" w:cs="Calibri"/>
          <w:sz w:val="22"/>
          <w:szCs w:val="22"/>
        </w:rPr>
        <w:t xml:space="preserve">pplicant acknowledged the difficulties and uncertainties associated with assigning utility values to health states in the </w:t>
      </w:r>
      <w:r>
        <w:rPr>
          <w:rStyle w:val="cf11"/>
          <w:rFonts w:ascii="Franklin Gothic Book" w:hAnsi="Franklin Gothic Book" w:cs="Calibri"/>
          <w:sz w:val="22"/>
          <w:szCs w:val="22"/>
        </w:rPr>
        <w:t xml:space="preserve">model </w:t>
      </w:r>
      <w:r w:rsidRPr="00E84EE6">
        <w:rPr>
          <w:rStyle w:val="cf11"/>
          <w:rFonts w:ascii="Franklin Gothic Book" w:hAnsi="Franklin Gothic Book" w:cs="Calibri"/>
          <w:sz w:val="22"/>
          <w:szCs w:val="22"/>
        </w:rPr>
        <w:t xml:space="preserve">as EQ-5D utility values by progression status from VISION remain unpublished. </w:t>
      </w:r>
      <w:r w:rsidRPr="00E84EE6">
        <w:rPr>
          <w:rStyle w:val="cf01"/>
          <w:rFonts w:ascii="Franklin Gothic Book" w:eastAsiaTheme="majorEastAsia" w:hAnsi="Franklin Gothic Book" w:cs="Calibri"/>
          <w:sz w:val="22"/>
          <w:szCs w:val="22"/>
        </w:rPr>
        <w:t>The most recent publication of the VISION trial results (F</w:t>
      </w:r>
      <w:r>
        <w:rPr>
          <w:rStyle w:val="cf01"/>
          <w:rFonts w:ascii="Franklin Gothic Book" w:eastAsiaTheme="majorEastAsia" w:hAnsi="Franklin Gothic Book" w:cs="Calibri"/>
          <w:sz w:val="22"/>
          <w:szCs w:val="22"/>
        </w:rPr>
        <w:t>i</w:t>
      </w:r>
      <w:r w:rsidRPr="00E84EE6">
        <w:rPr>
          <w:rStyle w:val="cf01"/>
          <w:rFonts w:ascii="Franklin Gothic Book" w:eastAsiaTheme="majorEastAsia" w:hAnsi="Franklin Gothic Book" w:cs="Calibri"/>
          <w:sz w:val="22"/>
          <w:szCs w:val="22"/>
        </w:rPr>
        <w:t>zazi, 2023)</w:t>
      </w:r>
      <w:r w:rsidR="00BF6F93">
        <w:rPr>
          <w:rStyle w:val="FootnoteReference"/>
          <w:rFonts w:ascii="Franklin Gothic Book" w:eastAsiaTheme="majorEastAsia" w:hAnsi="Franklin Gothic Book" w:cs="Calibri"/>
          <w:sz w:val="22"/>
          <w:szCs w:val="22"/>
        </w:rPr>
        <w:footnoteReference w:id="15"/>
      </w:r>
      <w:r w:rsidRPr="00E84EE6">
        <w:rPr>
          <w:rStyle w:val="cf01"/>
          <w:rFonts w:ascii="Franklin Gothic Book" w:eastAsiaTheme="majorEastAsia" w:hAnsi="Franklin Gothic Book" w:cs="Calibri"/>
          <w:sz w:val="22"/>
          <w:szCs w:val="22"/>
        </w:rPr>
        <w:t xml:space="preserve"> </w:t>
      </w:r>
      <w:r w:rsidRPr="00F262B1">
        <w:rPr>
          <w:rStyle w:val="cf11"/>
          <w:rFonts w:ascii="Franklin Gothic Book" w:hAnsi="Franklin Gothic Book" w:cs="Calibri"/>
          <w:sz w:val="22"/>
          <w:szCs w:val="22"/>
        </w:rPr>
        <w:t>reported</w:t>
      </w:r>
      <w:r w:rsidRPr="00E84EE6">
        <w:rPr>
          <w:rStyle w:val="cf01"/>
          <w:rFonts w:ascii="Franklin Gothic Book" w:eastAsiaTheme="majorEastAsia" w:hAnsi="Franklin Gothic Book" w:cs="Calibri"/>
          <w:sz w:val="22"/>
          <w:szCs w:val="22"/>
        </w:rPr>
        <w:t xml:space="preserve"> </w:t>
      </w:r>
      <w:r>
        <w:rPr>
          <w:rStyle w:val="cf01"/>
          <w:rFonts w:ascii="Franklin Gothic Book" w:eastAsiaTheme="majorEastAsia" w:hAnsi="Franklin Gothic Book" w:cs="Calibri"/>
          <w:sz w:val="22"/>
          <w:szCs w:val="22"/>
        </w:rPr>
        <w:t>an</w:t>
      </w:r>
      <w:r w:rsidRPr="00E84EE6">
        <w:rPr>
          <w:rStyle w:val="cf01"/>
          <w:rFonts w:ascii="Franklin Gothic Book" w:eastAsiaTheme="majorEastAsia" w:hAnsi="Franklin Gothic Book" w:cs="Calibri"/>
          <w:sz w:val="22"/>
          <w:szCs w:val="22"/>
        </w:rPr>
        <w:t xml:space="preserve"> observed EQ-5D-5L utility values for BSC of 0.5, consistent with the 0.59 used in the model, but also the unrealistically high utility score of 0.9 for patients in </w:t>
      </w:r>
      <w:r>
        <w:rPr>
          <w:rStyle w:val="cf01"/>
          <w:rFonts w:ascii="Franklin Gothic Book" w:eastAsiaTheme="majorEastAsia" w:hAnsi="Franklin Gothic Book" w:cs="Calibri"/>
          <w:sz w:val="22"/>
          <w:szCs w:val="22"/>
          <w:vertAlign w:val="superscript"/>
        </w:rPr>
        <w:t>177</w:t>
      </w:r>
      <w:r w:rsidRPr="00E84EE6">
        <w:rPr>
          <w:rStyle w:val="cf01"/>
          <w:rFonts w:ascii="Franklin Gothic Book" w:eastAsiaTheme="majorEastAsia" w:hAnsi="Franklin Gothic Book" w:cs="Calibri"/>
          <w:sz w:val="22"/>
          <w:szCs w:val="22"/>
        </w:rPr>
        <w:t>Lu</w:t>
      </w:r>
      <w:r>
        <w:rPr>
          <w:rStyle w:val="cf01"/>
          <w:rFonts w:ascii="Franklin Gothic Book" w:eastAsiaTheme="majorEastAsia" w:hAnsi="Franklin Gothic Book" w:cs="Calibri"/>
          <w:sz w:val="22"/>
          <w:szCs w:val="22"/>
        </w:rPr>
        <w:t> </w:t>
      </w:r>
      <w:r w:rsidRPr="00E84EE6">
        <w:rPr>
          <w:rStyle w:val="cf01"/>
          <w:rFonts w:ascii="Franklin Gothic Book" w:eastAsiaTheme="majorEastAsia" w:hAnsi="Franklin Gothic Book" w:cs="Calibri"/>
          <w:sz w:val="22"/>
          <w:szCs w:val="22"/>
        </w:rPr>
        <w:t>PSMA</w:t>
      </w:r>
      <w:r>
        <w:rPr>
          <w:rStyle w:val="cf01"/>
          <w:rFonts w:ascii="Franklin Gothic Book" w:eastAsiaTheme="majorEastAsia" w:hAnsi="Franklin Gothic Book" w:cs="Calibri"/>
          <w:sz w:val="22"/>
          <w:szCs w:val="22"/>
        </w:rPr>
        <w:t> </w:t>
      </w:r>
      <w:r w:rsidRPr="00E84EE6">
        <w:rPr>
          <w:rStyle w:val="cf01"/>
          <w:rFonts w:ascii="Franklin Gothic Book" w:eastAsiaTheme="majorEastAsia" w:hAnsi="Franklin Gothic Book" w:cs="Calibri"/>
          <w:sz w:val="22"/>
          <w:szCs w:val="22"/>
        </w:rPr>
        <w:t>617 arm (median age 71 years). In comparison, the mean EQ-5D-5L utility score in general population of Australian males aged 65-74 years is 0.87 (SD</w:t>
      </w:r>
      <w:r>
        <w:rPr>
          <w:rStyle w:val="cf01"/>
          <w:rFonts w:ascii="Franklin Gothic Book" w:eastAsiaTheme="majorEastAsia" w:hAnsi="Franklin Gothic Book" w:cs="Calibri"/>
          <w:sz w:val="22"/>
          <w:szCs w:val="22"/>
        </w:rPr>
        <w:t xml:space="preserve"> </w:t>
      </w:r>
      <w:r w:rsidRPr="00E84EE6">
        <w:rPr>
          <w:rStyle w:val="cf01"/>
          <w:rFonts w:ascii="Franklin Gothic Book" w:eastAsiaTheme="majorEastAsia" w:hAnsi="Franklin Gothic Book" w:cs="Calibri"/>
          <w:sz w:val="22"/>
          <w:szCs w:val="22"/>
        </w:rPr>
        <w:t>=</w:t>
      </w:r>
      <w:r>
        <w:rPr>
          <w:rStyle w:val="cf01"/>
          <w:rFonts w:ascii="Franklin Gothic Book" w:eastAsiaTheme="majorEastAsia" w:hAnsi="Franklin Gothic Book" w:cs="Calibri"/>
          <w:sz w:val="22"/>
          <w:szCs w:val="22"/>
        </w:rPr>
        <w:t xml:space="preserve"> </w:t>
      </w:r>
      <w:r w:rsidRPr="00E84EE6">
        <w:rPr>
          <w:rStyle w:val="cf01"/>
          <w:rFonts w:ascii="Franklin Gothic Book" w:eastAsiaTheme="majorEastAsia" w:hAnsi="Franklin Gothic Book" w:cs="Calibri"/>
          <w:sz w:val="22"/>
          <w:szCs w:val="22"/>
        </w:rPr>
        <w:t>0.16) (McCaffrey, 2016</w:t>
      </w:r>
      <w:r w:rsidR="00FB53C4">
        <w:rPr>
          <w:rStyle w:val="FootnoteReference"/>
          <w:rFonts w:ascii="Franklin Gothic Book" w:eastAsiaTheme="majorEastAsia" w:hAnsi="Franklin Gothic Book" w:cs="Calibri"/>
          <w:sz w:val="22"/>
          <w:szCs w:val="22"/>
        </w:rPr>
        <w:footnoteReference w:id="16"/>
      </w:r>
      <w:r w:rsidRPr="00E84EE6">
        <w:rPr>
          <w:rStyle w:val="cf01"/>
          <w:rFonts w:ascii="Franklin Gothic Book" w:eastAsiaTheme="majorEastAsia" w:hAnsi="Franklin Gothic Book" w:cs="Calibri"/>
          <w:sz w:val="22"/>
          <w:szCs w:val="22"/>
        </w:rPr>
        <w:t>). It is unlikely that the American males diagnosed with metastatic castration-resistant prostate cancer would have a higher quality of life than the average Australian male of the same age.</w:t>
      </w:r>
    </w:p>
    <w:p w14:paraId="07DE17D7" w14:textId="4F48512D" w:rsidR="007163A6" w:rsidRPr="00E826F0" w:rsidRDefault="007D5026" w:rsidP="007D5026">
      <w:pPr>
        <w:pStyle w:val="BodyText"/>
        <w:jc w:val="left"/>
        <w:rPr>
          <w:rFonts w:ascii="Franklin Gothic Book" w:hAnsi="Franklin Gothic Book"/>
        </w:rPr>
      </w:pPr>
      <w:r w:rsidRPr="00E84EE6">
        <w:rPr>
          <w:rStyle w:val="cf11"/>
          <w:rFonts w:ascii="Franklin Gothic Book" w:hAnsi="Franklin Gothic Book" w:cs="Calibri"/>
          <w:sz w:val="22"/>
          <w:szCs w:val="22"/>
        </w:rPr>
        <w:t>In its pre-MSAC 1686.1 response</w:t>
      </w:r>
      <w:r>
        <w:rPr>
          <w:rStyle w:val="cf11"/>
          <w:rFonts w:ascii="Franklin Gothic Book" w:hAnsi="Franklin Gothic Book" w:cs="Calibri"/>
          <w:sz w:val="22"/>
          <w:szCs w:val="22"/>
        </w:rPr>
        <w:t>,</w:t>
      </w:r>
      <w:r w:rsidRPr="00E84EE6">
        <w:rPr>
          <w:rStyle w:val="cf11"/>
          <w:rFonts w:ascii="Franklin Gothic Book" w:hAnsi="Franklin Gothic Book" w:cs="Calibri"/>
          <w:sz w:val="22"/>
          <w:szCs w:val="22"/>
        </w:rPr>
        <w:t xml:space="preserve"> the </w:t>
      </w:r>
      <w:r>
        <w:rPr>
          <w:rStyle w:val="cf11"/>
          <w:rFonts w:ascii="Franklin Gothic Book" w:hAnsi="Franklin Gothic Book" w:cs="Calibri"/>
          <w:sz w:val="22"/>
          <w:szCs w:val="22"/>
        </w:rPr>
        <w:t>a</w:t>
      </w:r>
      <w:r w:rsidRPr="00E84EE6">
        <w:rPr>
          <w:rStyle w:val="cf11"/>
          <w:rFonts w:ascii="Franklin Gothic Book" w:hAnsi="Franklin Gothic Book" w:cs="Calibri"/>
          <w:sz w:val="22"/>
          <w:szCs w:val="22"/>
        </w:rPr>
        <w:t>pplicant argued that a scenario assuming a 0.04 decrement in the PFS health state for both BS</w:t>
      </w:r>
      <w:r>
        <w:rPr>
          <w:rStyle w:val="cf11"/>
          <w:rFonts w:ascii="Franklin Gothic Book" w:hAnsi="Franklin Gothic Book" w:cs="Calibri"/>
          <w:sz w:val="22"/>
          <w:szCs w:val="22"/>
        </w:rPr>
        <w:t>C</w:t>
      </w:r>
      <w:r w:rsidRPr="00E84EE6">
        <w:rPr>
          <w:rStyle w:val="cf11"/>
          <w:rFonts w:ascii="Franklin Gothic Book" w:hAnsi="Franklin Gothic Book" w:cs="Calibri"/>
          <w:sz w:val="22"/>
          <w:szCs w:val="22"/>
        </w:rPr>
        <w:t xml:space="preserve"> and cabazitaxel should be considered (Table 2, pre-MSAC 1686.1 response). This </w:t>
      </w:r>
      <w:r w:rsidRPr="00F262B1">
        <w:rPr>
          <w:rStyle w:val="cf01"/>
          <w:rFonts w:ascii="Franklin Gothic Book" w:eastAsiaTheme="majorEastAsia" w:hAnsi="Franklin Gothic Book" w:cs="Calibri"/>
          <w:sz w:val="22"/>
          <w:szCs w:val="22"/>
        </w:rPr>
        <w:t>is</w:t>
      </w:r>
      <w:r w:rsidRPr="00E84EE6">
        <w:rPr>
          <w:rStyle w:val="cf11"/>
          <w:rFonts w:ascii="Franklin Gothic Book" w:hAnsi="Franklin Gothic Book" w:cs="Calibri"/>
          <w:sz w:val="22"/>
          <w:szCs w:val="22"/>
        </w:rPr>
        <w:t xml:space="preserve"> also reproduced in </w:t>
      </w:r>
      <w:r>
        <w:rPr>
          <w:rStyle w:val="cf11"/>
          <w:rFonts w:ascii="Franklin Gothic Book" w:hAnsi="Franklin Gothic Book" w:cs="Calibri"/>
          <w:sz w:val="22"/>
          <w:szCs w:val="22"/>
        </w:rPr>
        <w:fldChar w:fldCharType="begin"/>
      </w:r>
      <w:r>
        <w:rPr>
          <w:rStyle w:val="cf11"/>
          <w:rFonts w:ascii="Franklin Gothic Book" w:hAnsi="Franklin Gothic Book" w:cs="Calibri"/>
          <w:sz w:val="22"/>
          <w:szCs w:val="22"/>
        </w:rPr>
        <w:instrText xml:space="preserve"> REF _Ref160759679 \h  \* MERGEFORMAT </w:instrText>
      </w:r>
      <w:r>
        <w:rPr>
          <w:rStyle w:val="cf11"/>
          <w:rFonts w:ascii="Franklin Gothic Book" w:hAnsi="Franklin Gothic Book" w:cs="Calibri"/>
          <w:sz w:val="22"/>
          <w:szCs w:val="22"/>
        </w:rPr>
      </w:r>
      <w:r>
        <w:rPr>
          <w:rStyle w:val="cf11"/>
          <w:rFonts w:ascii="Franklin Gothic Book" w:hAnsi="Franklin Gothic Book" w:cs="Calibri"/>
          <w:sz w:val="22"/>
          <w:szCs w:val="22"/>
        </w:rPr>
        <w:fldChar w:fldCharType="end"/>
      </w:r>
      <w:r w:rsidRPr="00E84EE6">
        <w:rPr>
          <w:rStyle w:val="cf11"/>
          <w:rFonts w:ascii="Franklin Gothic Book" w:hAnsi="Franklin Gothic Book" w:cs="Calibri"/>
          <w:sz w:val="22"/>
          <w:szCs w:val="22"/>
        </w:rPr>
        <w:t xml:space="preserve"> with amended parameters of the model. </w:t>
      </w:r>
      <w:r w:rsidRPr="00D02D8C">
        <w:rPr>
          <w:rStyle w:val="cf11"/>
          <w:rFonts w:ascii="Franklin Gothic Book" w:hAnsi="Franklin Gothic Book" w:cs="Calibri"/>
          <w:sz w:val="22"/>
          <w:szCs w:val="22"/>
        </w:rPr>
        <w:t>The ICER was moderately sensitive to the variation in utility parameters</w:t>
      </w:r>
      <w:r w:rsidRPr="00E84EE6">
        <w:rPr>
          <w:rStyle w:val="cf01"/>
          <w:rFonts w:ascii="Franklin Gothic Book" w:eastAsiaTheme="majorEastAsia" w:hAnsi="Franklin Gothic Book" w:cs="Calibri"/>
          <w:sz w:val="22"/>
          <w:szCs w:val="22"/>
        </w:rPr>
        <w:t xml:space="preserve"> presented in </w:t>
      </w:r>
      <w:r>
        <w:rPr>
          <w:rStyle w:val="cf11"/>
          <w:rFonts w:ascii="Franklin Gothic Book" w:hAnsi="Franklin Gothic Book" w:cs="Calibri"/>
          <w:sz w:val="22"/>
          <w:szCs w:val="22"/>
        </w:rPr>
        <w:fldChar w:fldCharType="begin"/>
      </w:r>
      <w:r>
        <w:rPr>
          <w:rStyle w:val="cf11"/>
          <w:rFonts w:ascii="Franklin Gothic Book" w:hAnsi="Franklin Gothic Book" w:cs="Calibri"/>
          <w:sz w:val="22"/>
          <w:szCs w:val="22"/>
        </w:rPr>
        <w:instrText xml:space="preserve"> REF _Ref160759679 \h  \* MERGEFORMAT </w:instrText>
      </w:r>
      <w:r>
        <w:rPr>
          <w:rStyle w:val="cf11"/>
          <w:rFonts w:ascii="Franklin Gothic Book" w:hAnsi="Franklin Gothic Book" w:cs="Calibri"/>
          <w:sz w:val="22"/>
          <w:szCs w:val="22"/>
        </w:rPr>
      </w:r>
      <w:r>
        <w:rPr>
          <w:rStyle w:val="cf11"/>
          <w:rFonts w:ascii="Franklin Gothic Book" w:hAnsi="Franklin Gothic Book" w:cs="Calibri"/>
          <w:sz w:val="22"/>
          <w:szCs w:val="22"/>
        </w:rPr>
        <w:fldChar w:fldCharType="end"/>
      </w:r>
      <w:r>
        <w:rPr>
          <w:rStyle w:val="cf11"/>
          <w:rFonts w:ascii="Franklin Gothic Book" w:hAnsi="Franklin Gothic Book" w:cs="Calibri"/>
          <w:sz w:val="22"/>
          <w:szCs w:val="22"/>
        </w:rPr>
        <w:t xml:space="preserve">, </w:t>
      </w:r>
      <w:r w:rsidRPr="00E84EE6">
        <w:rPr>
          <w:rStyle w:val="cf01"/>
          <w:rFonts w:ascii="Franklin Gothic Book" w:eastAsiaTheme="majorEastAsia" w:hAnsi="Franklin Gothic Book" w:cs="Calibri"/>
          <w:sz w:val="22"/>
          <w:szCs w:val="22"/>
        </w:rPr>
        <w:t>with a maximum decrease by 12.8% under the assumption of PFS utility set at 0.86. There is a high degree of uncertainty associated with measuring the QoL in the mCRPC population.</w:t>
      </w:r>
    </w:p>
    <w:p w14:paraId="25AE2BAC" w14:textId="45498432" w:rsidR="00772829" w:rsidRDefault="00C36633" w:rsidP="002A18BE">
      <w:pPr>
        <w:pStyle w:val="Heading2"/>
        <w:numPr>
          <w:ilvl w:val="0"/>
          <w:numId w:val="0"/>
        </w:numPr>
      </w:pPr>
      <w:r>
        <w:t>1</w:t>
      </w:r>
      <w:r w:rsidR="00295AD6">
        <w:t>4</w:t>
      </w:r>
      <w:r>
        <w:t>.</w:t>
      </w:r>
      <w:r>
        <w:tab/>
      </w:r>
      <w:r w:rsidR="00772829" w:rsidRPr="00CE28E3">
        <w:t>Financial/budgetary impacts</w:t>
      </w:r>
      <w:bookmarkEnd w:id="42"/>
    </w:p>
    <w:p w14:paraId="3C0CB55B" w14:textId="2A42EA67" w:rsidR="00082D94" w:rsidRDefault="00082D94" w:rsidP="00082D94">
      <w:r>
        <w:t>The use of health technology in practice presented in this FFP DCAR is based on some changes to the previous ADARs and is based on the financial impacts presented for MSAC 1686 and 1686.1. The specified changes are listed below.</w:t>
      </w:r>
    </w:p>
    <w:p w14:paraId="4E964504" w14:textId="10BD1463" w:rsidR="00082D94" w:rsidRDefault="00082D94" w:rsidP="00082D94">
      <w:r w:rsidRPr="004D7132">
        <w:t xml:space="preserve">The financial implications to the MBS and PBS/RPBS resulting from the proposed listing of PSMA PET/CT and </w:t>
      </w:r>
      <w:r w:rsidRPr="00082D94">
        <w:rPr>
          <w:vertAlign w:val="superscript"/>
        </w:rPr>
        <w:t>177</w:t>
      </w:r>
      <w:r w:rsidRPr="004D7132">
        <w:t>Lu</w:t>
      </w:r>
      <w:r>
        <w:t> </w:t>
      </w:r>
      <w:r w:rsidRPr="004D7132">
        <w:t>PSMA</w:t>
      </w:r>
      <w:r>
        <w:t> i&amp;t</w:t>
      </w:r>
      <w:r w:rsidRPr="004D7132">
        <w:t xml:space="preserve">, presented in </w:t>
      </w:r>
      <w:r>
        <w:t xml:space="preserve">this FFP DCAR </w:t>
      </w:r>
      <w:r w:rsidRPr="004D7132">
        <w:t xml:space="preserve">are summarised in </w:t>
      </w:r>
      <w:r>
        <w:fldChar w:fldCharType="begin"/>
      </w:r>
      <w:r>
        <w:instrText xml:space="preserve"> REF _Ref126057420 \h </w:instrText>
      </w:r>
      <w:r>
        <w:fldChar w:fldCharType="separate"/>
      </w:r>
      <w:r w:rsidR="00BF6F93" w:rsidRPr="00F465E6">
        <w:t xml:space="preserve">Table </w:t>
      </w:r>
      <w:r w:rsidR="00BF6F93">
        <w:rPr>
          <w:noProof/>
        </w:rPr>
        <w:t>15</w:t>
      </w:r>
      <w:r>
        <w:fldChar w:fldCharType="end"/>
      </w:r>
      <w:r>
        <w:t>.</w:t>
      </w:r>
    </w:p>
    <w:p w14:paraId="75E285F0" w14:textId="0A6A476E" w:rsidR="00082D94" w:rsidRDefault="00082D94" w:rsidP="00082D94">
      <w:r>
        <w:t>The estimates are derived using the following assumptions:</w:t>
      </w:r>
    </w:p>
    <w:p w14:paraId="0E394013" w14:textId="5981B0C5" w:rsidR="00082D94" w:rsidRDefault="00082D94" w:rsidP="001359E7">
      <w:pPr>
        <w:pStyle w:val="ListParagraph"/>
        <w:numPr>
          <w:ilvl w:val="0"/>
          <w:numId w:val="15"/>
        </w:numPr>
        <w:ind w:left="284" w:hanging="284"/>
      </w:pPr>
      <w:r>
        <w:t xml:space="preserve">the estimated population with mCRPC has been updated as the ABS has provided updated data for deaths for 2020, 2021 and 2022 [ABS, 3303.0]. The population commences in </w:t>
      </w:r>
      <w:r w:rsidR="00596780">
        <w:t xml:space="preserve">2024 </w:t>
      </w:r>
      <w:r>
        <w:t xml:space="preserve">but now goes through to </w:t>
      </w:r>
      <w:r w:rsidR="00596780">
        <w:t>2029</w:t>
      </w:r>
      <w:r w:rsidR="006C6D43">
        <w:t>.</w:t>
      </w:r>
    </w:p>
    <w:p w14:paraId="455BE45B" w14:textId="683D5E68" w:rsidR="00082D94" w:rsidRDefault="00082D94" w:rsidP="001359E7">
      <w:pPr>
        <w:pStyle w:val="ListParagraph"/>
        <w:numPr>
          <w:ilvl w:val="0"/>
          <w:numId w:val="15"/>
        </w:numPr>
        <w:ind w:left="284" w:hanging="284"/>
      </w:pPr>
      <w:r>
        <w:lastRenderedPageBreak/>
        <w:t xml:space="preserve">The average growth rate for mCRPC has been increased to 1.418% </w:t>
      </w:r>
      <w:r w:rsidR="006C6D43">
        <w:t xml:space="preserve">(from 1.3%) </w:t>
      </w:r>
      <w:r>
        <w:t>due to these new releases from the ABS</w:t>
      </w:r>
      <w:r w:rsidR="006C6D43">
        <w:t>.</w:t>
      </w:r>
    </w:p>
    <w:p w14:paraId="71544D86" w14:textId="7472BB2C" w:rsidR="00082D94" w:rsidRDefault="006C6D43" w:rsidP="001359E7">
      <w:pPr>
        <w:pStyle w:val="ListParagraph"/>
        <w:numPr>
          <w:ilvl w:val="0"/>
          <w:numId w:val="15"/>
        </w:numPr>
        <w:ind w:left="284" w:hanging="284"/>
      </w:pPr>
      <w:r>
        <w:t>T</w:t>
      </w:r>
      <w:r w:rsidR="00082D94">
        <w:t xml:space="preserve">he proportion of patients otherwise treated with cabazitaxel is 25% from 75% as in the </w:t>
      </w:r>
      <w:r>
        <w:t>resubmission</w:t>
      </w:r>
      <w:r w:rsidR="00082D94">
        <w:t xml:space="preserve"> ADAR </w:t>
      </w:r>
      <w:r>
        <w:t xml:space="preserve">(MSAC </w:t>
      </w:r>
      <w:r w:rsidR="00082D94">
        <w:t>1686.1</w:t>
      </w:r>
      <w:r>
        <w:t>)</w:t>
      </w:r>
      <w:r w:rsidR="00082D94">
        <w:t>.</w:t>
      </w:r>
    </w:p>
    <w:p w14:paraId="4A2EFF0C" w14:textId="42A68C89" w:rsidR="00082D94" w:rsidRDefault="00082D94" w:rsidP="001359E7">
      <w:pPr>
        <w:pStyle w:val="ListParagraph"/>
        <w:numPr>
          <w:ilvl w:val="0"/>
          <w:numId w:val="15"/>
        </w:numPr>
        <w:ind w:left="284" w:hanging="284"/>
      </w:pPr>
      <w:r>
        <w:t xml:space="preserve">Average number of </w:t>
      </w:r>
      <w:r w:rsidR="006C6D43" w:rsidRPr="00082D94">
        <w:rPr>
          <w:vertAlign w:val="superscript"/>
        </w:rPr>
        <w:t>177</w:t>
      </w:r>
      <w:r w:rsidR="006C6D43" w:rsidRPr="004D7132">
        <w:t>Lu</w:t>
      </w:r>
      <w:r w:rsidR="006C6D43">
        <w:t> </w:t>
      </w:r>
      <w:r w:rsidR="006C6D43" w:rsidRPr="004D7132">
        <w:t>PSMA</w:t>
      </w:r>
      <w:r w:rsidR="006C6D43">
        <w:t xml:space="preserve"> i&amp;t </w:t>
      </w:r>
      <w:r>
        <w:t xml:space="preserve">cycles is 3.63 cycles for the base case (from TheraP and was a reduction when compared to 4.7 in the </w:t>
      </w:r>
      <w:r w:rsidR="00596780">
        <w:t xml:space="preserve">original </w:t>
      </w:r>
      <w:r>
        <w:t>ADAR).</w:t>
      </w:r>
    </w:p>
    <w:p w14:paraId="07FB4275" w14:textId="3831DD35" w:rsidR="00082D94" w:rsidRDefault="00596780" w:rsidP="001359E7">
      <w:pPr>
        <w:pStyle w:val="ListParagraph"/>
        <w:numPr>
          <w:ilvl w:val="0"/>
          <w:numId w:val="15"/>
        </w:numPr>
        <w:ind w:left="284" w:hanging="284"/>
      </w:pPr>
      <w:r>
        <w:t>A</w:t>
      </w:r>
      <w:r w:rsidR="00082D94">
        <w:t xml:space="preserve"> two-step approach </w:t>
      </w:r>
      <w:r>
        <w:t xml:space="preserve">is also presented </w:t>
      </w:r>
      <w:r w:rsidR="00082D94">
        <w:t>as described in the proposed MBS item descriptor.</w:t>
      </w:r>
    </w:p>
    <w:p w14:paraId="4D3146D7" w14:textId="77777777" w:rsidR="00082D94" w:rsidRDefault="00082D94" w:rsidP="001359E7">
      <w:pPr>
        <w:pStyle w:val="ListParagraph"/>
        <w:numPr>
          <w:ilvl w:val="1"/>
          <w:numId w:val="15"/>
        </w:numPr>
        <w:ind w:left="567" w:hanging="283"/>
      </w:pPr>
      <w:r>
        <w:t>The first step is the financial implications of all eligible patients receiving two cycles.</w:t>
      </w:r>
    </w:p>
    <w:p w14:paraId="767772C1" w14:textId="77777777" w:rsidR="00082D94" w:rsidRDefault="00082D94" w:rsidP="001359E7">
      <w:pPr>
        <w:pStyle w:val="ListParagraph"/>
        <w:numPr>
          <w:ilvl w:val="1"/>
          <w:numId w:val="15"/>
        </w:numPr>
        <w:ind w:left="567" w:hanging="283"/>
      </w:pPr>
      <w:r>
        <w:t xml:space="preserve">The next step is the financial implications if all eligible patients who respond after two cycles (69% based on Emmett et al., 2023) are then eligible for an additional cycle. </w:t>
      </w:r>
    </w:p>
    <w:p w14:paraId="5F7A4F58" w14:textId="511F8E65" w:rsidR="00082D94" w:rsidRDefault="00596780" w:rsidP="001359E7">
      <w:pPr>
        <w:pStyle w:val="ListParagraph"/>
        <w:numPr>
          <w:ilvl w:val="1"/>
          <w:numId w:val="15"/>
        </w:numPr>
        <w:ind w:left="567" w:hanging="283"/>
      </w:pPr>
      <w:r>
        <w:t>T</w:t>
      </w:r>
      <w:r w:rsidR="00082D94">
        <w:t>he final step is the financial implications if, as reported by Emmett</w:t>
      </w:r>
      <w:r>
        <w:t xml:space="preserve"> et al., 2023</w:t>
      </w:r>
      <w:r w:rsidR="00082D94">
        <w:t xml:space="preserve"> a proportion of responders, also receive an additional cycle (4</w:t>
      </w:r>
      <w:r w:rsidR="00082D94" w:rsidRPr="001E7E5B">
        <w:rPr>
          <w:vertAlign w:val="superscript"/>
        </w:rPr>
        <w:t>th</w:t>
      </w:r>
      <w:r w:rsidR="00082D94">
        <w:t xml:space="preserve"> cycle; 34% of responders). Although, individual patients may be eligible to receive up to six cycles, evidence from TheraP and Flegar 2023</w:t>
      </w:r>
      <w:r>
        <w:rPr>
          <w:rStyle w:val="FootnoteReference"/>
        </w:rPr>
        <w:footnoteReference w:id="17"/>
      </w:r>
      <w:r w:rsidR="00082D94">
        <w:t xml:space="preserve"> are reporting average number of cycles around 3-4. Evidence to calculate additional cycles was not available.</w:t>
      </w:r>
    </w:p>
    <w:p w14:paraId="7242DF46" w14:textId="59ED2FF1" w:rsidR="00082D94" w:rsidRDefault="00082D94" w:rsidP="001359E7">
      <w:pPr>
        <w:pStyle w:val="ListParagraph"/>
        <w:numPr>
          <w:ilvl w:val="0"/>
          <w:numId w:val="15"/>
        </w:numPr>
        <w:ind w:left="284" w:hanging="284"/>
      </w:pPr>
      <w:r>
        <w:t xml:space="preserve">Uptake has been changed to be consistent with the Application </w:t>
      </w:r>
      <w:r w:rsidR="006C6D43">
        <w:t xml:space="preserve">form </w:t>
      </w:r>
      <w:r>
        <w:t xml:space="preserve">(for both </w:t>
      </w:r>
      <w:r w:rsidR="006C6D43">
        <w:t xml:space="preserve">MSAC </w:t>
      </w:r>
      <w:r>
        <w:t xml:space="preserve">1686 and 1686.1) and from the available evidence that reports on the adoption of </w:t>
      </w:r>
      <w:r w:rsidRPr="006C6D43">
        <w:rPr>
          <w:vertAlign w:val="superscript"/>
        </w:rPr>
        <w:t>177</w:t>
      </w:r>
      <w:r>
        <w:t>Lu</w:t>
      </w:r>
      <w:r w:rsidR="006C6D43">
        <w:t> </w:t>
      </w:r>
      <w:r>
        <w:t xml:space="preserve">PSMA [Flegar 2023]. Using these two sources, the initial uptake is 25% (which is greater than the 11.5% originally modelled) and each year this grows by 20% until by </w:t>
      </w:r>
      <w:r w:rsidR="00596780">
        <w:t xml:space="preserve">2029 </w:t>
      </w:r>
      <w:r>
        <w:t xml:space="preserve">60% of the eligible population receive the intervention. This is consistent with the Application </w:t>
      </w:r>
      <w:r w:rsidR="006C6D43">
        <w:t xml:space="preserve">form </w:t>
      </w:r>
      <w:r>
        <w:t xml:space="preserve">for </w:t>
      </w:r>
      <w:r w:rsidR="006C6D43">
        <w:t>this intervention</w:t>
      </w:r>
      <w:r>
        <w:t xml:space="preserve"> which stated that it was anticipated that 60% of the population would be treated. The issue of 20% growth each year in uptake (as opposed to a lower 10-15%) is to reflect the available evidence which describes a fast take up of </w:t>
      </w:r>
      <w:r w:rsidR="006C6D43" w:rsidRPr="00082D94">
        <w:rPr>
          <w:vertAlign w:val="superscript"/>
        </w:rPr>
        <w:t>177</w:t>
      </w:r>
      <w:r w:rsidR="006C6D43" w:rsidRPr="004D7132">
        <w:t>Lu</w:t>
      </w:r>
      <w:r w:rsidR="006C6D43">
        <w:t> </w:t>
      </w:r>
      <w:r w:rsidR="006C6D43" w:rsidRPr="004D7132">
        <w:t>PSMA</w:t>
      </w:r>
      <w:r w:rsidR="006C6D43">
        <w:t xml:space="preserve"> i&amp;t </w:t>
      </w:r>
      <w:r>
        <w:t xml:space="preserve">in the mCRPC population (sensitivity analysis is presented for the 10, and 15% growth rate).  </w:t>
      </w:r>
    </w:p>
    <w:p w14:paraId="0A7C6763" w14:textId="7D5BD4BD" w:rsidR="00082D94" w:rsidRDefault="00082D94" w:rsidP="001359E7">
      <w:pPr>
        <w:pStyle w:val="ListParagraph"/>
        <w:numPr>
          <w:ilvl w:val="0"/>
          <w:numId w:val="15"/>
        </w:numPr>
        <w:ind w:left="284" w:hanging="284"/>
      </w:pPr>
      <w:r>
        <w:t xml:space="preserve">The cost of cabazitaxel and its administration have been updated to reflect the current costs, of </w:t>
      </w:r>
      <w:r w:rsidR="006C6D43">
        <w:t>$</w:t>
      </w:r>
      <w:r>
        <w:t xml:space="preserve">241.15 DPMA public and </w:t>
      </w:r>
      <w:r w:rsidR="006C6D43">
        <w:t>$</w:t>
      </w:r>
      <w:r>
        <w:t xml:space="preserve">286.58 DPMA private (weighted average $271.54). </w:t>
      </w:r>
    </w:p>
    <w:p w14:paraId="6196E441" w14:textId="20FB0B4F" w:rsidR="00082D94" w:rsidRDefault="00082D94" w:rsidP="001359E7">
      <w:pPr>
        <w:pStyle w:val="ListParagraph"/>
        <w:numPr>
          <w:ilvl w:val="0"/>
          <w:numId w:val="15"/>
        </w:numPr>
        <w:ind w:left="284" w:hanging="284"/>
      </w:pPr>
      <w:r>
        <w:t xml:space="preserve">A post </w:t>
      </w:r>
      <w:r w:rsidR="006C6D43" w:rsidRPr="00082D94">
        <w:rPr>
          <w:vertAlign w:val="superscript"/>
        </w:rPr>
        <w:t>177</w:t>
      </w:r>
      <w:r w:rsidR="006C6D43" w:rsidRPr="004D7132">
        <w:t>Lu</w:t>
      </w:r>
      <w:r w:rsidR="006C6D43">
        <w:t> </w:t>
      </w:r>
      <w:r w:rsidR="006C6D43" w:rsidRPr="004D7132">
        <w:t>PSMA</w:t>
      </w:r>
      <w:r w:rsidR="006C6D43">
        <w:t xml:space="preserve"> i&amp;t </w:t>
      </w:r>
      <w:r>
        <w:t>use of cabazitaxel of 18%</w:t>
      </w:r>
      <w:r w:rsidR="00596780">
        <w:t>.</w:t>
      </w:r>
    </w:p>
    <w:p w14:paraId="74BF80A7" w14:textId="15709813" w:rsidR="00082D94" w:rsidRDefault="00082D94" w:rsidP="001359E7">
      <w:pPr>
        <w:pStyle w:val="ListParagraph"/>
        <w:numPr>
          <w:ilvl w:val="0"/>
          <w:numId w:val="15"/>
        </w:numPr>
        <w:ind w:left="284" w:hanging="284"/>
      </w:pPr>
      <w:r>
        <w:t xml:space="preserve">As </w:t>
      </w:r>
      <w:r w:rsidR="006C6D43" w:rsidRPr="00082D94">
        <w:rPr>
          <w:vertAlign w:val="superscript"/>
        </w:rPr>
        <w:t>177</w:t>
      </w:r>
      <w:r w:rsidR="006C6D43" w:rsidRPr="004D7132">
        <w:t>Lu</w:t>
      </w:r>
      <w:r w:rsidR="006C6D43">
        <w:t> </w:t>
      </w:r>
      <w:r w:rsidR="006C6D43" w:rsidRPr="004D7132">
        <w:t>PSMA</w:t>
      </w:r>
      <w:r w:rsidR="006C6D43">
        <w:t xml:space="preserve"> i&amp;t </w:t>
      </w:r>
      <w:r>
        <w:t>is given in an outpatient setting (this is not necessarily the case in other countries) the maximum permissible gap of $</w:t>
      </w:r>
      <w:r w:rsidR="00FA5465">
        <w:t>98.70</w:t>
      </w:r>
      <w:r>
        <w:t xml:space="preserve"> applies.</w:t>
      </w:r>
    </w:p>
    <w:p w14:paraId="4FD87E32" w14:textId="1B86C581" w:rsidR="00082D94" w:rsidRDefault="00082D94" w:rsidP="00082D94">
      <w:pPr>
        <w:pStyle w:val="ListParagraph"/>
        <w:numPr>
          <w:ilvl w:val="0"/>
          <w:numId w:val="15"/>
        </w:numPr>
        <w:ind w:left="284" w:hanging="284"/>
      </w:pPr>
      <w:r>
        <w:t>PBS co-payment for general patients is $30.00</w:t>
      </w:r>
      <w:r w:rsidR="001817D9">
        <w:t>.</w:t>
      </w:r>
    </w:p>
    <w:p w14:paraId="3F6E1397" w14:textId="36724890" w:rsidR="00082D94" w:rsidRPr="00F465E6" w:rsidRDefault="00082D94" w:rsidP="00082D94">
      <w:pPr>
        <w:pStyle w:val="Caption"/>
      </w:pPr>
      <w:bookmarkStart w:id="46" w:name="_Ref126057420"/>
      <w:r w:rsidRPr="00F465E6">
        <w:lastRenderedPageBreak/>
        <w:t xml:space="preserve">Table </w:t>
      </w:r>
      <w:r w:rsidR="004D6242">
        <w:fldChar w:fldCharType="begin"/>
      </w:r>
      <w:r w:rsidR="004D6242">
        <w:instrText xml:space="preserve"> SEQ Table \* ARABIC </w:instrText>
      </w:r>
      <w:r w:rsidR="004D6242">
        <w:fldChar w:fldCharType="separate"/>
      </w:r>
      <w:r w:rsidR="00BF6F93">
        <w:rPr>
          <w:noProof/>
        </w:rPr>
        <w:t>15</w:t>
      </w:r>
      <w:r w:rsidR="004D6242">
        <w:rPr>
          <w:noProof/>
        </w:rPr>
        <w:fldChar w:fldCharType="end"/>
      </w:r>
      <w:bookmarkEnd w:id="46"/>
      <w:r w:rsidRPr="00F465E6">
        <w:tab/>
        <w:t>Net cost to the MBS and R/PBS</w:t>
      </w:r>
      <w:r>
        <w:t xml:space="preserve"> (Base Case = 3.63 cycles)</w:t>
      </w:r>
    </w:p>
    <w:tbl>
      <w:tblPr>
        <w:tblStyle w:val="TableGrid1"/>
        <w:tblW w:w="5110" w:type="pct"/>
        <w:tblLayout w:type="fixed"/>
        <w:tblLook w:val="04A0" w:firstRow="1" w:lastRow="0" w:firstColumn="1" w:lastColumn="0" w:noHBand="0" w:noVBand="1"/>
        <w:tblCaption w:val="Summary of financial impact"/>
        <w:tblDescription w:val="This table outlines the financial impact on the MBS for the first 5 years of listing EndoPredict. The table includes the estimated eligible population based off AIHW data, uptake rate, number of MBS services, estimated pricing tier and total costs to MBS and patient contributions."/>
      </w:tblPr>
      <w:tblGrid>
        <w:gridCol w:w="2409"/>
        <w:gridCol w:w="1135"/>
        <w:gridCol w:w="1135"/>
        <w:gridCol w:w="1135"/>
        <w:gridCol w:w="1135"/>
        <w:gridCol w:w="1135"/>
        <w:gridCol w:w="1130"/>
      </w:tblGrid>
      <w:tr w:rsidR="006337A0" w:rsidRPr="006C6D43" w14:paraId="027EE61F" w14:textId="77777777" w:rsidTr="006C6D43">
        <w:trPr>
          <w:cnfStyle w:val="100000000000" w:firstRow="1" w:lastRow="0" w:firstColumn="0" w:lastColumn="0" w:oddVBand="0" w:evenVBand="0" w:oddHBand="0" w:evenHBand="0" w:firstRowFirstColumn="0" w:firstRowLastColumn="0" w:lastRowFirstColumn="0" w:lastRowLastColumn="0"/>
          <w:trHeight w:val="290"/>
        </w:trPr>
        <w:tc>
          <w:tcPr>
            <w:tcW w:w="1307" w:type="pct"/>
            <w:noWrap/>
            <w:hideMark/>
          </w:tcPr>
          <w:p w14:paraId="7CF25002" w14:textId="77777777" w:rsidR="006337A0" w:rsidRPr="006C6D43" w:rsidRDefault="006337A0" w:rsidP="006337A0">
            <w:pPr>
              <w:pStyle w:val="Tabletext0"/>
              <w:keepNext/>
              <w:rPr>
                <w:b/>
                <w:bCs/>
                <w:lang w:eastAsia="en-US"/>
              </w:rPr>
            </w:pPr>
            <w:r w:rsidRPr="006C6D43">
              <w:rPr>
                <w:b/>
                <w:bCs/>
                <w:lang w:eastAsia="en-US"/>
              </w:rPr>
              <w:t>Year</w:t>
            </w:r>
          </w:p>
        </w:tc>
        <w:tc>
          <w:tcPr>
            <w:tcW w:w="616" w:type="pct"/>
            <w:noWrap/>
            <w:vAlign w:val="center"/>
            <w:hideMark/>
          </w:tcPr>
          <w:p w14:paraId="76F459DB" w14:textId="0A1A5D61" w:rsidR="006337A0" w:rsidRPr="006337A0" w:rsidRDefault="006337A0" w:rsidP="006337A0">
            <w:pPr>
              <w:pStyle w:val="Tabletext0"/>
              <w:keepNext/>
              <w:jc w:val="center"/>
              <w:rPr>
                <w:b/>
                <w:lang w:eastAsia="en-US"/>
              </w:rPr>
            </w:pPr>
            <w:r w:rsidRPr="006D5080">
              <w:rPr>
                <w:rFonts w:cs="Times New Roman"/>
                <w:b/>
                <w:szCs w:val="18"/>
              </w:rPr>
              <w:t>2024</w:t>
            </w:r>
          </w:p>
        </w:tc>
        <w:tc>
          <w:tcPr>
            <w:tcW w:w="616" w:type="pct"/>
            <w:noWrap/>
            <w:vAlign w:val="center"/>
            <w:hideMark/>
          </w:tcPr>
          <w:p w14:paraId="17280D96" w14:textId="307D19CC" w:rsidR="006337A0" w:rsidRPr="006337A0" w:rsidRDefault="006337A0" w:rsidP="006337A0">
            <w:pPr>
              <w:pStyle w:val="Tabletext0"/>
              <w:keepNext/>
              <w:jc w:val="center"/>
              <w:rPr>
                <w:b/>
                <w:lang w:eastAsia="en-US"/>
              </w:rPr>
            </w:pPr>
            <w:r w:rsidRPr="006D5080">
              <w:rPr>
                <w:rFonts w:cs="Times New Roman"/>
                <w:b/>
                <w:szCs w:val="18"/>
              </w:rPr>
              <w:t>2025</w:t>
            </w:r>
          </w:p>
        </w:tc>
        <w:tc>
          <w:tcPr>
            <w:tcW w:w="616" w:type="pct"/>
            <w:noWrap/>
            <w:vAlign w:val="center"/>
            <w:hideMark/>
          </w:tcPr>
          <w:p w14:paraId="769E0409" w14:textId="4A536C7E" w:rsidR="006337A0" w:rsidRPr="006337A0" w:rsidRDefault="006337A0" w:rsidP="006337A0">
            <w:pPr>
              <w:pStyle w:val="Tabletext0"/>
              <w:keepNext/>
              <w:jc w:val="center"/>
              <w:rPr>
                <w:b/>
                <w:lang w:eastAsia="en-US"/>
              </w:rPr>
            </w:pPr>
            <w:r w:rsidRPr="006D5080">
              <w:rPr>
                <w:rFonts w:cs="Times New Roman"/>
                <w:b/>
                <w:szCs w:val="18"/>
              </w:rPr>
              <w:t>2026</w:t>
            </w:r>
          </w:p>
        </w:tc>
        <w:tc>
          <w:tcPr>
            <w:tcW w:w="616" w:type="pct"/>
            <w:noWrap/>
            <w:vAlign w:val="center"/>
            <w:hideMark/>
          </w:tcPr>
          <w:p w14:paraId="270DD797" w14:textId="7D75FF40" w:rsidR="006337A0" w:rsidRPr="006337A0" w:rsidRDefault="006337A0" w:rsidP="006337A0">
            <w:pPr>
              <w:pStyle w:val="Tabletext0"/>
              <w:keepNext/>
              <w:jc w:val="center"/>
              <w:rPr>
                <w:b/>
                <w:lang w:eastAsia="en-US"/>
              </w:rPr>
            </w:pPr>
            <w:r w:rsidRPr="006D5080">
              <w:rPr>
                <w:rFonts w:cs="Times New Roman"/>
                <w:b/>
                <w:szCs w:val="18"/>
              </w:rPr>
              <w:t>2027</w:t>
            </w:r>
          </w:p>
        </w:tc>
        <w:tc>
          <w:tcPr>
            <w:tcW w:w="616" w:type="pct"/>
            <w:noWrap/>
            <w:vAlign w:val="center"/>
            <w:hideMark/>
          </w:tcPr>
          <w:p w14:paraId="59147B52" w14:textId="32CE4684" w:rsidR="006337A0" w:rsidRPr="006337A0" w:rsidRDefault="006337A0" w:rsidP="006337A0">
            <w:pPr>
              <w:pStyle w:val="Tabletext0"/>
              <w:keepNext/>
              <w:jc w:val="center"/>
              <w:rPr>
                <w:b/>
                <w:lang w:eastAsia="en-US"/>
              </w:rPr>
            </w:pPr>
            <w:r w:rsidRPr="006D5080">
              <w:rPr>
                <w:rFonts w:cs="Times New Roman"/>
                <w:b/>
                <w:szCs w:val="18"/>
              </w:rPr>
              <w:t>2028</w:t>
            </w:r>
          </w:p>
        </w:tc>
        <w:tc>
          <w:tcPr>
            <w:tcW w:w="613" w:type="pct"/>
            <w:vAlign w:val="center"/>
          </w:tcPr>
          <w:p w14:paraId="01CBCCDD" w14:textId="2E7410FE" w:rsidR="006337A0" w:rsidRPr="006337A0" w:rsidRDefault="006337A0" w:rsidP="006337A0">
            <w:pPr>
              <w:pStyle w:val="Tabletext0"/>
              <w:keepNext/>
              <w:jc w:val="center"/>
              <w:rPr>
                <w:b/>
                <w:lang w:eastAsia="en-US"/>
              </w:rPr>
            </w:pPr>
            <w:r w:rsidRPr="006D5080">
              <w:rPr>
                <w:rFonts w:cs="Times New Roman"/>
                <w:b/>
                <w:szCs w:val="18"/>
              </w:rPr>
              <w:t>2029</w:t>
            </w:r>
          </w:p>
        </w:tc>
      </w:tr>
      <w:tr w:rsidR="006337A0" w:rsidRPr="006C6D43" w14:paraId="1DE03BA0" w14:textId="77777777" w:rsidTr="006C6D43">
        <w:trPr>
          <w:trHeight w:val="290"/>
        </w:trPr>
        <w:tc>
          <w:tcPr>
            <w:tcW w:w="1307" w:type="pct"/>
            <w:noWrap/>
            <w:vAlign w:val="center"/>
            <w:hideMark/>
          </w:tcPr>
          <w:p w14:paraId="594EF0B4" w14:textId="77777777" w:rsidR="006337A0" w:rsidRPr="006C6D43" w:rsidRDefault="006337A0" w:rsidP="006337A0">
            <w:pPr>
              <w:pStyle w:val="Tabletext0"/>
              <w:keepNext/>
              <w:jc w:val="left"/>
              <w:rPr>
                <w:lang w:eastAsia="en-US"/>
              </w:rPr>
            </w:pPr>
            <w:r w:rsidRPr="006C6D43">
              <w:rPr>
                <w:lang w:eastAsia="en-US"/>
              </w:rPr>
              <w:t>Eligible Population</w:t>
            </w:r>
          </w:p>
        </w:tc>
        <w:tc>
          <w:tcPr>
            <w:tcW w:w="616" w:type="pct"/>
            <w:noWrap/>
            <w:vAlign w:val="center"/>
          </w:tcPr>
          <w:p w14:paraId="44751821" w14:textId="35BCAE5A" w:rsidR="006337A0" w:rsidRPr="006C6D43" w:rsidRDefault="006337A0" w:rsidP="006337A0">
            <w:pPr>
              <w:pStyle w:val="Tabletext0"/>
              <w:keepNext/>
              <w:jc w:val="center"/>
            </w:pPr>
            <w:r w:rsidRPr="00F82CA3">
              <w:t>3,126</w:t>
            </w:r>
          </w:p>
        </w:tc>
        <w:tc>
          <w:tcPr>
            <w:tcW w:w="616" w:type="pct"/>
            <w:noWrap/>
            <w:vAlign w:val="center"/>
          </w:tcPr>
          <w:p w14:paraId="5B2B8E04" w14:textId="22797083" w:rsidR="006337A0" w:rsidRPr="006C6D43" w:rsidRDefault="006337A0" w:rsidP="006337A0">
            <w:pPr>
              <w:pStyle w:val="Tabletext0"/>
              <w:keepNext/>
              <w:jc w:val="center"/>
            </w:pPr>
            <w:r w:rsidRPr="00F82CA3">
              <w:t>3,170</w:t>
            </w:r>
          </w:p>
        </w:tc>
        <w:tc>
          <w:tcPr>
            <w:tcW w:w="616" w:type="pct"/>
            <w:noWrap/>
            <w:vAlign w:val="center"/>
          </w:tcPr>
          <w:p w14:paraId="30F41C1A" w14:textId="27DE25D0" w:rsidR="006337A0" w:rsidRPr="006C6D43" w:rsidRDefault="006337A0" w:rsidP="006337A0">
            <w:pPr>
              <w:pStyle w:val="Tabletext0"/>
              <w:keepNext/>
              <w:jc w:val="center"/>
            </w:pPr>
            <w:r w:rsidRPr="00F82CA3">
              <w:t>3,215</w:t>
            </w:r>
          </w:p>
        </w:tc>
        <w:tc>
          <w:tcPr>
            <w:tcW w:w="616" w:type="pct"/>
            <w:noWrap/>
            <w:vAlign w:val="center"/>
          </w:tcPr>
          <w:p w14:paraId="1FE6D376" w14:textId="105D5656" w:rsidR="006337A0" w:rsidRPr="006C6D43" w:rsidRDefault="006337A0" w:rsidP="006337A0">
            <w:pPr>
              <w:pStyle w:val="Tabletext0"/>
              <w:keepNext/>
              <w:jc w:val="center"/>
            </w:pPr>
            <w:r w:rsidRPr="00F82CA3">
              <w:t>3,261</w:t>
            </w:r>
          </w:p>
        </w:tc>
        <w:tc>
          <w:tcPr>
            <w:tcW w:w="616" w:type="pct"/>
            <w:noWrap/>
            <w:vAlign w:val="center"/>
          </w:tcPr>
          <w:p w14:paraId="754B0A50" w14:textId="67C5D670" w:rsidR="006337A0" w:rsidRPr="006C6D43" w:rsidRDefault="006337A0" w:rsidP="006337A0">
            <w:pPr>
              <w:pStyle w:val="Tabletext0"/>
              <w:keepNext/>
              <w:jc w:val="center"/>
            </w:pPr>
            <w:r w:rsidRPr="00F82CA3">
              <w:t>3,307</w:t>
            </w:r>
          </w:p>
        </w:tc>
        <w:tc>
          <w:tcPr>
            <w:tcW w:w="613" w:type="pct"/>
            <w:vAlign w:val="center"/>
          </w:tcPr>
          <w:p w14:paraId="5AD7A4F5" w14:textId="2BC0858B" w:rsidR="006337A0" w:rsidRPr="006C6D43" w:rsidRDefault="006337A0" w:rsidP="006337A0">
            <w:pPr>
              <w:pStyle w:val="Tabletext0"/>
              <w:keepNext/>
              <w:jc w:val="center"/>
            </w:pPr>
            <w:r>
              <w:t>3,354</w:t>
            </w:r>
          </w:p>
        </w:tc>
      </w:tr>
      <w:tr w:rsidR="00082D94" w:rsidRPr="006C6D43" w14:paraId="3FD322C1" w14:textId="77777777" w:rsidTr="006C6D43">
        <w:trPr>
          <w:trHeight w:val="290"/>
        </w:trPr>
        <w:tc>
          <w:tcPr>
            <w:tcW w:w="1307" w:type="pct"/>
            <w:noWrap/>
            <w:vAlign w:val="center"/>
            <w:hideMark/>
          </w:tcPr>
          <w:p w14:paraId="3E5C1CD3" w14:textId="77777777" w:rsidR="00082D94" w:rsidRPr="006C6D43" w:rsidRDefault="00082D94" w:rsidP="006C6D43">
            <w:pPr>
              <w:pStyle w:val="Tabletext0"/>
              <w:keepNext/>
              <w:jc w:val="left"/>
              <w:rPr>
                <w:lang w:eastAsia="en-US"/>
              </w:rPr>
            </w:pPr>
            <w:r w:rsidRPr="006C6D43">
              <w:rPr>
                <w:lang w:eastAsia="en-US"/>
              </w:rPr>
              <w:t>Uptake rate</w:t>
            </w:r>
          </w:p>
        </w:tc>
        <w:tc>
          <w:tcPr>
            <w:tcW w:w="616" w:type="pct"/>
            <w:noWrap/>
            <w:vAlign w:val="center"/>
          </w:tcPr>
          <w:p w14:paraId="6ECAB13A" w14:textId="77777777" w:rsidR="00082D94" w:rsidRPr="006C6D43" w:rsidRDefault="00082D94" w:rsidP="00082D94">
            <w:pPr>
              <w:pStyle w:val="Tabletext0"/>
              <w:keepNext/>
              <w:jc w:val="center"/>
            </w:pPr>
            <w:r w:rsidRPr="006C6D43">
              <w:t>25.0%</w:t>
            </w:r>
          </w:p>
        </w:tc>
        <w:tc>
          <w:tcPr>
            <w:tcW w:w="616" w:type="pct"/>
            <w:noWrap/>
            <w:vAlign w:val="center"/>
          </w:tcPr>
          <w:p w14:paraId="70FDF175" w14:textId="77777777" w:rsidR="00082D94" w:rsidRPr="006C6D43" w:rsidRDefault="00082D94" w:rsidP="00082D94">
            <w:pPr>
              <w:pStyle w:val="Tabletext0"/>
              <w:keepNext/>
              <w:jc w:val="center"/>
            </w:pPr>
            <w:r w:rsidRPr="006C6D43">
              <w:t>30.0%</w:t>
            </w:r>
          </w:p>
        </w:tc>
        <w:tc>
          <w:tcPr>
            <w:tcW w:w="616" w:type="pct"/>
            <w:noWrap/>
            <w:vAlign w:val="center"/>
          </w:tcPr>
          <w:p w14:paraId="59250B37" w14:textId="77777777" w:rsidR="00082D94" w:rsidRPr="006C6D43" w:rsidRDefault="00082D94" w:rsidP="00082D94">
            <w:pPr>
              <w:pStyle w:val="Tabletext0"/>
              <w:keepNext/>
              <w:jc w:val="center"/>
            </w:pPr>
            <w:r w:rsidRPr="006C6D43">
              <w:t>36.0%</w:t>
            </w:r>
          </w:p>
        </w:tc>
        <w:tc>
          <w:tcPr>
            <w:tcW w:w="616" w:type="pct"/>
            <w:noWrap/>
            <w:vAlign w:val="center"/>
          </w:tcPr>
          <w:p w14:paraId="7D2C249A" w14:textId="77777777" w:rsidR="00082D94" w:rsidRPr="006C6D43" w:rsidRDefault="00082D94" w:rsidP="00082D94">
            <w:pPr>
              <w:pStyle w:val="Tabletext0"/>
              <w:keepNext/>
              <w:jc w:val="center"/>
            </w:pPr>
            <w:r w:rsidRPr="006C6D43">
              <w:t>43.2%</w:t>
            </w:r>
          </w:p>
        </w:tc>
        <w:tc>
          <w:tcPr>
            <w:tcW w:w="616" w:type="pct"/>
            <w:noWrap/>
            <w:vAlign w:val="center"/>
          </w:tcPr>
          <w:p w14:paraId="2185302B" w14:textId="77777777" w:rsidR="00082D94" w:rsidRPr="006C6D43" w:rsidRDefault="00082D94" w:rsidP="00082D94">
            <w:pPr>
              <w:pStyle w:val="Tabletext0"/>
              <w:keepNext/>
              <w:jc w:val="center"/>
            </w:pPr>
            <w:r w:rsidRPr="006C6D43">
              <w:t>51.8%</w:t>
            </w:r>
          </w:p>
        </w:tc>
        <w:tc>
          <w:tcPr>
            <w:tcW w:w="613" w:type="pct"/>
            <w:vAlign w:val="center"/>
          </w:tcPr>
          <w:p w14:paraId="0D959DCB" w14:textId="77777777" w:rsidR="00082D94" w:rsidRPr="006C6D43" w:rsidRDefault="00082D94" w:rsidP="00082D94">
            <w:pPr>
              <w:pStyle w:val="Tabletext0"/>
              <w:keepNext/>
              <w:jc w:val="center"/>
            </w:pPr>
            <w:r w:rsidRPr="006C6D43">
              <w:t>62.2%</w:t>
            </w:r>
          </w:p>
        </w:tc>
      </w:tr>
      <w:tr w:rsidR="006337A0" w:rsidRPr="006C6D43" w14:paraId="32B34170" w14:textId="77777777" w:rsidTr="006C6D43">
        <w:trPr>
          <w:trHeight w:val="290"/>
        </w:trPr>
        <w:tc>
          <w:tcPr>
            <w:tcW w:w="1307" w:type="pct"/>
            <w:noWrap/>
            <w:vAlign w:val="center"/>
            <w:hideMark/>
          </w:tcPr>
          <w:p w14:paraId="21E90DD2" w14:textId="77777777" w:rsidR="006337A0" w:rsidRPr="006C6D43" w:rsidRDefault="006337A0" w:rsidP="006337A0">
            <w:pPr>
              <w:pStyle w:val="Tabletext0"/>
              <w:keepNext/>
              <w:jc w:val="left"/>
              <w:rPr>
                <w:lang w:eastAsia="en-US"/>
              </w:rPr>
            </w:pPr>
            <w:r w:rsidRPr="006C6D43">
              <w:rPr>
                <w:lang w:eastAsia="en-US"/>
              </w:rPr>
              <w:t>Number of MBS Services (PSMA PET)</w:t>
            </w:r>
          </w:p>
        </w:tc>
        <w:tc>
          <w:tcPr>
            <w:tcW w:w="616" w:type="pct"/>
            <w:noWrap/>
            <w:vAlign w:val="center"/>
          </w:tcPr>
          <w:p w14:paraId="04C4049D" w14:textId="13CFECD5" w:rsidR="006337A0" w:rsidRPr="006C6D43" w:rsidRDefault="006337A0" w:rsidP="006337A0">
            <w:pPr>
              <w:pStyle w:val="Tabletext0"/>
              <w:keepNext/>
              <w:jc w:val="center"/>
            </w:pPr>
            <w:r>
              <w:t>781</w:t>
            </w:r>
          </w:p>
        </w:tc>
        <w:tc>
          <w:tcPr>
            <w:tcW w:w="616" w:type="pct"/>
            <w:noWrap/>
            <w:vAlign w:val="center"/>
          </w:tcPr>
          <w:p w14:paraId="6EF1ADE9" w14:textId="2ABD57DC" w:rsidR="006337A0" w:rsidRPr="006C6D43" w:rsidRDefault="006337A0" w:rsidP="006337A0">
            <w:pPr>
              <w:pStyle w:val="Tabletext0"/>
              <w:keepNext/>
              <w:jc w:val="center"/>
            </w:pPr>
            <w:r>
              <w:t>951</w:t>
            </w:r>
          </w:p>
        </w:tc>
        <w:tc>
          <w:tcPr>
            <w:tcW w:w="616" w:type="pct"/>
            <w:noWrap/>
            <w:vAlign w:val="center"/>
          </w:tcPr>
          <w:p w14:paraId="48A9AA4C" w14:textId="3CE05A67" w:rsidR="006337A0" w:rsidRPr="006C6D43" w:rsidRDefault="006337A0" w:rsidP="006337A0">
            <w:pPr>
              <w:pStyle w:val="Tabletext0"/>
              <w:keepNext/>
              <w:jc w:val="center"/>
            </w:pPr>
            <w:r w:rsidRPr="005A162F">
              <w:t>1</w:t>
            </w:r>
            <w:r>
              <w:t>157</w:t>
            </w:r>
          </w:p>
        </w:tc>
        <w:tc>
          <w:tcPr>
            <w:tcW w:w="616" w:type="pct"/>
            <w:noWrap/>
            <w:vAlign w:val="center"/>
          </w:tcPr>
          <w:p w14:paraId="2FF6F9C1" w14:textId="05F90633" w:rsidR="006337A0" w:rsidRPr="006C6D43" w:rsidRDefault="006337A0" w:rsidP="006337A0">
            <w:pPr>
              <w:pStyle w:val="Tabletext0"/>
              <w:keepNext/>
              <w:jc w:val="center"/>
            </w:pPr>
            <w:r>
              <w:t>1409</w:t>
            </w:r>
          </w:p>
        </w:tc>
        <w:tc>
          <w:tcPr>
            <w:tcW w:w="616" w:type="pct"/>
            <w:noWrap/>
            <w:vAlign w:val="center"/>
          </w:tcPr>
          <w:p w14:paraId="30D83A47" w14:textId="3D6F91C4" w:rsidR="006337A0" w:rsidRPr="006C6D43" w:rsidRDefault="006337A0" w:rsidP="006337A0">
            <w:pPr>
              <w:pStyle w:val="Tabletext0"/>
              <w:keepNext/>
              <w:jc w:val="center"/>
            </w:pPr>
            <w:r>
              <w:t>1714</w:t>
            </w:r>
          </w:p>
        </w:tc>
        <w:tc>
          <w:tcPr>
            <w:tcW w:w="613" w:type="pct"/>
            <w:vAlign w:val="center"/>
          </w:tcPr>
          <w:p w14:paraId="72409579" w14:textId="7C37F1BA" w:rsidR="006337A0" w:rsidRPr="006C6D43" w:rsidRDefault="006337A0" w:rsidP="006337A0">
            <w:pPr>
              <w:pStyle w:val="Tabletext0"/>
              <w:keepNext/>
              <w:jc w:val="center"/>
            </w:pPr>
            <w:r>
              <w:t>2086</w:t>
            </w:r>
          </w:p>
        </w:tc>
      </w:tr>
      <w:tr w:rsidR="006337A0" w:rsidRPr="006C6D43" w14:paraId="37FBD99E" w14:textId="77777777" w:rsidTr="006D5080">
        <w:trPr>
          <w:trHeight w:val="290"/>
        </w:trPr>
        <w:tc>
          <w:tcPr>
            <w:tcW w:w="1307" w:type="pct"/>
            <w:noWrap/>
            <w:vAlign w:val="center"/>
          </w:tcPr>
          <w:p w14:paraId="21E2308B" w14:textId="7770FAF6" w:rsidR="006337A0" w:rsidRPr="006C6D43" w:rsidRDefault="00FA5465" w:rsidP="006337A0">
            <w:pPr>
              <w:pStyle w:val="Tabletext0"/>
              <w:keepNext/>
              <w:jc w:val="left"/>
              <w:rPr>
                <w:lang w:eastAsia="en-US"/>
              </w:rPr>
            </w:pPr>
            <w:r>
              <w:rPr>
                <w:lang w:eastAsia="en-US"/>
              </w:rPr>
              <w:t xml:space="preserve">Net </w:t>
            </w:r>
            <w:r w:rsidR="006337A0" w:rsidRPr="006C6D43">
              <w:rPr>
                <w:lang w:eastAsia="en-US"/>
              </w:rPr>
              <w:t>MBS costs (PSMA PET)</w:t>
            </w:r>
          </w:p>
        </w:tc>
        <w:tc>
          <w:tcPr>
            <w:tcW w:w="616" w:type="pct"/>
            <w:noWrap/>
            <w:vAlign w:val="center"/>
          </w:tcPr>
          <w:p w14:paraId="7D6D0994" w14:textId="0941717F" w:rsidR="006337A0" w:rsidRPr="006C6D43" w:rsidRDefault="006337A0" w:rsidP="006337A0">
            <w:pPr>
              <w:pStyle w:val="Tabletext0"/>
              <w:keepNext/>
              <w:jc w:val="center"/>
              <w:rPr>
                <w:lang w:eastAsia="en-US"/>
              </w:rPr>
            </w:pPr>
            <w:r w:rsidRPr="00711A97">
              <w:rPr>
                <w:rFonts w:cs="Calibri"/>
              </w:rPr>
              <w:t>$1,001,922</w:t>
            </w:r>
          </w:p>
        </w:tc>
        <w:tc>
          <w:tcPr>
            <w:tcW w:w="616" w:type="pct"/>
            <w:noWrap/>
            <w:vAlign w:val="center"/>
          </w:tcPr>
          <w:p w14:paraId="5B155EBC" w14:textId="2EABD19B" w:rsidR="006337A0" w:rsidRPr="006C6D43" w:rsidRDefault="006337A0" w:rsidP="006337A0">
            <w:pPr>
              <w:pStyle w:val="Tabletext0"/>
              <w:keepNext/>
              <w:jc w:val="center"/>
              <w:rPr>
                <w:lang w:eastAsia="en-US"/>
              </w:rPr>
            </w:pPr>
            <w:r w:rsidRPr="00711A97">
              <w:rPr>
                <w:rFonts w:cs="Calibri"/>
              </w:rPr>
              <w:t>$1,219,354</w:t>
            </w:r>
          </w:p>
        </w:tc>
        <w:tc>
          <w:tcPr>
            <w:tcW w:w="616" w:type="pct"/>
            <w:noWrap/>
            <w:vAlign w:val="center"/>
          </w:tcPr>
          <w:p w14:paraId="5DE048C2" w14:textId="1094F131" w:rsidR="006337A0" w:rsidRPr="006C6D43" w:rsidRDefault="006337A0" w:rsidP="006337A0">
            <w:pPr>
              <w:pStyle w:val="Tabletext0"/>
              <w:keepNext/>
              <w:jc w:val="center"/>
              <w:rPr>
                <w:lang w:eastAsia="en-US"/>
              </w:rPr>
            </w:pPr>
            <w:r w:rsidRPr="00711A97">
              <w:rPr>
                <w:rFonts w:cs="Calibri"/>
              </w:rPr>
              <w:t>$1,483,972</w:t>
            </w:r>
          </w:p>
        </w:tc>
        <w:tc>
          <w:tcPr>
            <w:tcW w:w="616" w:type="pct"/>
            <w:noWrap/>
            <w:vAlign w:val="center"/>
          </w:tcPr>
          <w:p w14:paraId="00541AFD" w14:textId="3CF59C06" w:rsidR="006337A0" w:rsidRPr="006C6D43" w:rsidRDefault="006337A0" w:rsidP="006337A0">
            <w:pPr>
              <w:pStyle w:val="Tabletext0"/>
              <w:keepNext/>
              <w:jc w:val="center"/>
              <w:rPr>
                <w:lang w:eastAsia="en-US"/>
              </w:rPr>
            </w:pPr>
            <w:r w:rsidRPr="00711A97">
              <w:rPr>
                <w:rFonts w:cs="Calibri"/>
              </w:rPr>
              <w:t>$1,806,016</w:t>
            </w:r>
          </w:p>
        </w:tc>
        <w:tc>
          <w:tcPr>
            <w:tcW w:w="616" w:type="pct"/>
            <w:noWrap/>
            <w:vAlign w:val="center"/>
          </w:tcPr>
          <w:p w14:paraId="359C0D97" w14:textId="356F6700" w:rsidR="006337A0" w:rsidRPr="006C6D43" w:rsidRDefault="006337A0" w:rsidP="006337A0">
            <w:pPr>
              <w:pStyle w:val="Tabletext0"/>
              <w:keepNext/>
              <w:jc w:val="center"/>
              <w:rPr>
                <w:lang w:eastAsia="en-US"/>
              </w:rPr>
            </w:pPr>
            <w:r w:rsidRPr="00711A97">
              <w:rPr>
                <w:rFonts w:cs="Calibri"/>
              </w:rPr>
              <w:t>$2,197,949</w:t>
            </w:r>
          </w:p>
        </w:tc>
        <w:tc>
          <w:tcPr>
            <w:tcW w:w="613" w:type="pct"/>
            <w:vAlign w:val="center"/>
          </w:tcPr>
          <w:p w14:paraId="3EC21DBE" w14:textId="0DCF3628" w:rsidR="006337A0" w:rsidRPr="006C6D43" w:rsidRDefault="006337A0" w:rsidP="006337A0">
            <w:pPr>
              <w:pStyle w:val="Tabletext0"/>
              <w:keepNext/>
              <w:jc w:val="center"/>
            </w:pPr>
            <w:r w:rsidRPr="00711A97">
              <w:rPr>
                <w:rFonts w:cs="Calibri"/>
              </w:rPr>
              <w:t>$2,674,938</w:t>
            </w:r>
          </w:p>
        </w:tc>
      </w:tr>
      <w:tr w:rsidR="006337A0" w:rsidRPr="006C6D43" w14:paraId="7CE49479" w14:textId="77777777" w:rsidTr="006C6D43">
        <w:trPr>
          <w:trHeight w:val="290"/>
        </w:trPr>
        <w:tc>
          <w:tcPr>
            <w:tcW w:w="1307" w:type="pct"/>
            <w:noWrap/>
            <w:vAlign w:val="center"/>
          </w:tcPr>
          <w:p w14:paraId="53D842D6" w14:textId="12F9549D" w:rsidR="006337A0" w:rsidRPr="006C6D43" w:rsidRDefault="006337A0" w:rsidP="006337A0">
            <w:pPr>
              <w:pStyle w:val="Tabletext0"/>
              <w:keepNext/>
              <w:jc w:val="left"/>
              <w:rPr>
                <w:lang w:eastAsia="en-US"/>
              </w:rPr>
            </w:pPr>
            <w:r w:rsidRPr="006C6D43">
              <w:rPr>
                <w:lang w:eastAsia="en-US"/>
              </w:rPr>
              <w:t xml:space="preserve">Number of patients treated with </w:t>
            </w:r>
            <w:r w:rsidRPr="00082D94">
              <w:rPr>
                <w:vertAlign w:val="superscript"/>
              </w:rPr>
              <w:t>177</w:t>
            </w:r>
            <w:r w:rsidRPr="004D7132">
              <w:t>Lu</w:t>
            </w:r>
            <w:r>
              <w:t> </w:t>
            </w:r>
            <w:r w:rsidRPr="004D7132">
              <w:t>PSMA</w:t>
            </w:r>
            <w:r>
              <w:t> i&amp;t</w:t>
            </w:r>
          </w:p>
        </w:tc>
        <w:tc>
          <w:tcPr>
            <w:tcW w:w="616" w:type="pct"/>
            <w:noWrap/>
            <w:vAlign w:val="center"/>
          </w:tcPr>
          <w:p w14:paraId="2A88EDAD" w14:textId="4CBEC203" w:rsidR="006337A0" w:rsidRPr="006C6D43" w:rsidRDefault="006337A0" w:rsidP="006337A0">
            <w:pPr>
              <w:pStyle w:val="Tabletext0"/>
              <w:keepNext/>
              <w:jc w:val="center"/>
            </w:pPr>
            <w:r w:rsidRPr="004109F8">
              <w:t>704</w:t>
            </w:r>
          </w:p>
        </w:tc>
        <w:tc>
          <w:tcPr>
            <w:tcW w:w="616" w:type="pct"/>
            <w:noWrap/>
            <w:vAlign w:val="center"/>
          </w:tcPr>
          <w:p w14:paraId="6212C8D5" w14:textId="4D25CB20" w:rsidR="006337A0" w:rsidRPr="006C6D43" w:rsidRDefault="006337A0" w:rsidP="006337A0">
            <w:pPr>
              <w:pStyle w:val="Tabletext0"/>
              <w:keepNext/>
              <w:jc w:val="center"/>
            </w:pPr>
            <w:r w:rsidRPr="004109F8">
              <w:t>856</w:t>
            </w:r>
          </w:p>
        </w:tc>
        <w:tc>
          <w:tcPr>
            <w:tcW w:w="616" w:type="pct"/>
            <w:noWrap/>
            <w:vAlign w:val="center"/>
          </w:tcPr>
          <w:p w14:paraId="05AF7C0F" w14:textId="3DEE62E4" w:rsidR="006337A0" w:rsidRPr="006C6D43" w:rsidRDefault="006337A0" w:rsidP="006337A0">
            <w:pPr>
              <w:pStyle w:val="Tabletext0"/>
              <w:keepNext/>
              <w:jc w:val="center"/>
            </w:pPr>
            <w:r w:rsidRPr="004109F8">
              <w:t>1042</w:t>
            </w:r>
          </w:p>
        </w:tc>
        <w:tc>
          <w:tcPr>
            <w:tcW w:w="616" w:type="pct"/>
            <w:noWrap/>
            <w:vAlign w:val="center"/>
          </w:tcPr>
          <w:p w14:paraId="3836F569" w14:textId="7D549D9D" w:rsidR="006337A0" w:rsidRPr="006C6D43" w:rsidRDefault="006337A0" w:rsidP="006337A0">
            <w:pPr>
              <w:pStyle w:val="Tabletext0"/>
              <w:keepNext/>
              <w:jc w:val="center"/>
            </w:pPr>
            <w:r w:rsidRPr="004109F8">
              <w:t>1268</w:t>
            </w:r>
          </w:p>
        </w:tc>
        <w:tc>
          <w:tcPr>
            <w:tcW w:w="616" w:type="pct"/>
            <w:noWrap/>
            <w:vAlign w:val="center"/>
          </w:tcPr>
          <w:p w14:paraId="2F718C32" w14:textId="322F999B" w:rsidR="006337A0" w:rsidRPr="006C6D43" w:rsidRDefault="006337A0" w:rsidP="006337A0">
            <w:pPr>
              <w:pStyle w:val="Tabletext0"/>
              <w:keepNext/>
              <w:jc w:val="center"/>
            </w:pPr>
            <w:r w:rsidRPr="004109F8">
              <w:t>1543</w:t>
            </w:r>
          </w:p>
        </w:tc>
        <w:tc>
          <w:tcPr>
            <w:tcW w:w="613" w:type="pct"/>
            <w:vAlign w:val="center"/>
          </w:tcPr>
          <w:p w14:paraId="321C25D8" w14:textId="672495AA" w:rsidR="006337A0" w:rsidRPr="006C6D43" w:rsidRDefault="006337A0" w:rsidP="006337A0">
            <w:pPr>
              <w:pStyle w:val="Tabletext0"/>
              <w:keepNext/>
              <w:jc w:val="center"/>
            </w:pPr>
            <w:r w:rsidRPr="004109F8">
              <w:t>1878</w:t>
            </w:r>
          </w:p>
        </w:tc>
      </w:tr>
      <w:tr w:rsidR="006337A0" w:rsidRPr="006C6D43" w14:paraId="614C3B2E" w14:textId="77777777" w:rsidTr="006C6D43">
        <w:trPr>
          <w:trHeight w:val="290"/>
        </w:trPr>
        <w:tc>
          <w:tcPr>
            <w:tcW w:w="1307" w:type="pct"/>
            <w:noWrap/>
            <w:vAlign w:val="center"/>
          </w:tcPr>
          <w:p w14:paraId="6820F152" w14:textId="31E5AE3C" w:rsidR="006337A0" w:rsidRPr="006C6D43" w:rsidRDefault="00FA5465" w:rsidP="006337A0">
            <w:pPr>
              <w:pStyle w:val="Tabletext0"/>
              <w:keepNext/>
              <w:jc w:val="left"/>
              <w:rPr>
                <w:lang w:eastAsia="en-US"/>
              </w:rPr>
            </w:pPr>
            <w:r>
              <w:rPr>
                <w:lang w:eastAsia="en-US"/>
              </w:rPr>
              <w:t xml:space="preserve">Net </w:t>
            </w:r>
            <w:r w:rsidR="006337A0" w:rsidRPr="006C6D43">
              <w:rPr>
                <w:lang w:eastAsia="en-US"/>
              </w:rPr>
              <w:t>MBS costs (</w:t>
            </w:r>
            <w:r w:rsidR="006337A0" w:rsidRPr="00082D94">
              <w:rPr>
                <w:vertAlign w:val="superscript"/>
              </w:rPr>
              <w:t>177</w:t>
            </w:r>
            <w:r w:rsidR="006337A0" w:rsidRPr="004D7132">
              <w:t>Lu</w:t>
            </w:r>
            <w:r w:rsidR="006337A0">
              <w:t> </w:t>
            </w:r>
            <w:r w:rsidR="006337A0" w:rsidRPr="004D7132">
              <w:t>PSMA</w:t>
            </w:r>
            <w:r w:rsidR="006337A0">
              <w:t> i&amp;t</w:t>
            </w:r>
            <w:r w:rsidR="006337A0" w:rsidRPr="006C6D43">
              <w:rPr>
                <w:lang w:eastAsia="en-US"/>
              </w:rPr>
              <w:t>)</w:t>
            </w:r>
          </w:p>
        </w:tc>
        <w:tc>
          <w:tcPr>
            <w:tcW w:w="616" w:type="pct"/>
            <w:noWrap/>
            <w:vAlign w:val="center"/>
          </w:tcPr>
          <w:p w14:paraId="52D6D14C" w14:textId="018E8A1B" w:rsidR="006337A0" w:rsidRPr="006C6D43" w:rsidRDefault="006337A0" w:rsidP="006337A0">
            <w:pPr>
              <w:pStyle w:val="Tabletext0"/>
              <w:keepNext/>
              <w:jc w:val="center"/>
            </w:pPr>
            <w:r w:rsidRPr="00700F30">
              <w:t>$20,180,002</w:t>
            </w:r>
          </w:p>
        </w:tc>
        <w:tc>
          <w:tcPr>
            <w:tcW w:w="616" w:type="pct"/>
            <w:noWrap/>
            <w:vAlign w:val="center"/>
          </w:tcPr>
          <w:p w14:paraId="162829C7" w14:textId="5454DE23" w:rsidR="006337A0" w:rsidRPr="006C6D43" w:rsidRDefault="006337A0" w:rsidP="006337A0">
            <w:pPr>
              <w:pStyle w:val="Tabletext0"/>
              <w:keepNext/>
              <w:jc w:val="center"/>
            </w:pPr>
            <w:r w:rsidRPr="00700F30">
              <w:t>$24,559,368</w:t>
            </w:r>
          </w:p>
        </w:tc>
        <w:tc>
          <w:tcPr>
            <w:tcW w:w="616" w:type="pct"/>
            <w:noWrap/>
            <w:vAlign w:val="center"/>
          </w:tcPr>
          <w:p w14:paraId="1DD7709E" w14:textId="56DAC4A0" w:rsidR="006337A0" w:rsidRPr="006C6D43" w:rsidRDefault="006337A0" w:rsidP="006337A0">
            <w:pPr>
              <w:pStyle w:val="Tabletext0"/>
              <w:keepNext/>
              <w:jc w:val="center"/>
            </w:pPr>
            <w:r w:rsidRPr="00700F30">
              <w:t>$29,889,123</w:t>
            </w:r>
          </w:p>
        </w:tc>
        <w:tc>
          <w:tcPr>
            <w:tcW w:w="616" w:type="pct"/>
            <w:noWrap/>
            <w:vAlign w:val="center"/>
          </w:tcPr>
          <w:p w14:paraId="6D080F26" w14:textId="21B60040" w:rsidR="006337A0" w:rsidRPr="006C6D43" w:rsidRDefault="006337A0" w:rsidP="006337A0">
            <w:pPr>
              <w:pStyle w:val="Tabletext0"/>
              <w:keepNext/>
              <w:jc w:val="center"/>
            </w:pPr>
            <w:r w:rsidRPr="00700F30">
              <w:t>$36,375,516</w:t>
            </w:r>
          </w:p>
        </w:tc>
        <w:tc>
          <w:tcPr>
            <w:tcW w:w="616" w:type="pct"/>
            <w:noWrap/>
            <w:vAlign w:val="center"/>
          </w:tcPr>
          <w:p w14:paraId="693A1605" w14:textId="5E344DB9" w:rsidR="006337A0" w:rsidRPr="006C6D43" w:rsidRDefault="006337A0" w:rsidP="006337A0">
            <w:pPr>
              <w:pStyle w:val="Tabletext0"/>
              <w:keepNext/>
              <w:jc w:val="center"/>
            </w:pPr>
            <w:r w:rsidRPr="00700F30">
              <w:t>$44,269,554</w:t>
            </w:r>
          </w:p>
        </w:tc>
        <w:tc>
          <w:tcPr>
            <w:tcW w:w="613" w:type="pct"/>
            <w:vAlign w:val="center"/>
          </w:tcPr>
          <w:p w14:paraId="746BA956" w14:textId="17968E12" w:rsidR="006337A0" w:rsidRPr="006C6D43" w:rsidRDefault="006337A0" w:rsidP="006337A0">
            <w:pPr>
              <w:pStyle w:val="Tabletext0"/>
              <w:keepNext/>
              <w:jc w:val="center"/>
            </w:pPr>
            <w:r w:rsidRPr="00700F30">
              <w:t>$53,876,718</w:t>
            </w:r>
          </w:p>
        </w:tc>
      </w:tr>
      <w:tr w:rsidR="006337A0" w:rsidRPr="006C6D43" w14:paraId="37AAFBC0" w14:textId="77777777" w:rsidTr="006C6D43">
        <w:trPr>
          <w:trHeight w:val="290"/>
        </w:trPr>
        <w:tc>
          <w:tcPr>
            <w:tcW w:w="1307" w:type="pct"/>
            <w:noWrap/>
            <w:vAlign w:val="center"/>
          </w:tcPr>
          <w:p w14:paraId="44874620" w14:textId="6411BC01" w:rsidR="006337A0" w:rsidRPr="006C6D43" w:rsidRDefault="006337A0" w:rsidP="006337A0">
            <w:pPr>
              <w:pStyle w:val="Tabletext0"/>
              <w:keepNext/>
              <w:jc w:val="left"/>
            </w:pPr>
            <w:r w:rsidRPr="006C6D43">
              <w:t xml:space="preserve">Total </w:t>
            </w:r>
            <w:r w:rsidR="00FA5465">
              <w:t xml:space="preserve">net </w:t>
            </w:r>
            <w:r w:rsidRPr="006C6D43">
              <w:t xml:space="preserve">cost of PSMA PET and </w:t>
            </w:r>
            <w:r w:rsidRPr="00082D94">
              <w:rPr>
                <w:vertAlign w:val="superscript"/>
              </w:rPr>
              <w:t>177</w:t>
            </w:r>
            <w:r w:rsidRPr="004D7132">
              <w:t>Lu</w:t>
            </w:r>
            <w:r>
              <w:t> </w:t>
            </w:r>
            <w:r w:rsidRPr="004D7132">
              <w:t>PSMA</w:t>
            </w:r>
            <w:r>
              <w:t> i&amp;t</w:t>
            </w:r>
          </w:p>
        </w:tc>
        <w:tc>
          <w:tcPr>
            <w:tcW w:w="616" w:type="pct"/>
            <w:noWrap/>
            <w:vAlign w:val="center"/>
          </w:tcPr>
          <w:p w14:paraId="149A217B" w14:textId="05D5168B" w:rsidR="006337A0" w:rsidRPr="006C6D43" w:rsidRDefault="006337A0" w:rsidP="006337A0">
            <w:pPr>
              <w:pStyle w:val="Tabletext0"/>
              <w:keepNext/>
              <w:jc w:val="center"/>
            </w:pPr>
            <w:r w:rsidRPr="00711A97">
              <w:rPr>
                <w:rFonts w:cs="Calibri"/>
              </w:rPr>
              <w:t>$21,181,923</w:t>
            </w:r>
          </w:p>
        </w:tc>
        <w:tc>
          <w:tcPr>
            <w:tcW w:w="616" w:type="pct"/>
            <w:noWrap/>
            <w:vAlign w:val="center"/>
          </w:tcPr>
          <w:p w14:paraId="780315B7" w14:textId="5ACE8958" w:rsidR="006337A0" w:rsidRPr="006C6D43" w:rsidRDefault="006337A0" w:rsidP="006337A0">
            <w:pPr>
              <w:pStyle w:val="Tabletext0"/>
              <w:keepNext/>
              <w:jc w:val="center"/>
            </w:pPr>
            <w:r w:rsidRPr="00711A97">
              <w:rPr>
                <w:rFonts w:cs="Calibri"/>
              </w:rPr>
              <w:t>$25,778,722</w:t>
            </w:r>
          </w:p>
        </w:tc>
        <w:tc>
          <w:tcPr>
            <w:tcW w:w="616" w:type="pct"/>
            <w:noWrap/>
            <w:vAlign w:val="center"/>
          </w:tcPr>
          <w:p w14:paraId="296509DD" w14:textId="4077CD4F" w:rsidR="006337A0" w:rsidRPr="006C6D43" w:rsidRDefault="006337A0" w:rsidP="006337A0">
            <w:pPr>
              <w:pStyle w:val="Tabletext0"/>
              <w:keepNext/>
              <w:jc w:val="center"/>
            </w:pPr>
            <w:r w:rsidRPr="00711A97">
              <w:rPr>
                <w:rFonts w:cs="Calibri"/>
              </w:rPr>
              <w:t>$31,373,095</w:t>
            </w:r>
          </w:p>
        </w:tc>
        <w:tc>
          <w:tcPr>
            <w:tcW w:w="616" w:type="pct"/>
            <w:noWrap/>
            <w:vAlign w:val="center"/>
          </w:tcPr>
          <w:p w14:paraId="24382AD8" w14:textId="4F0C2F75" w:rsidR="006337A0" w:rsidRPr="006C6D43" w:rsidRDefault="006337A0" w:rsidP="006337A0">
            <w:pPr>
              <w:pStyle w:val="Tabletext0"/>
              <w:keepNext/>
              <w:jc w:val="center"/>
            </w:pPr>
            <w:r w:rsidRPr="00711A97">
              <w:rPr>
                <w:rFonts w:cs="Calibri"/>
              </w:rPr>
              <w:t>$38,181,532</w:t>
            </w:r>
          </w:p>
        </w:tc>
        <w:tc>
          <w:tcPr>
            <w:tcW w:w="616" w:type="pct"/>
            <w:noWrap/>
            <w:vAlign w:val="center"/>
          </w:tcPr>
          <w:p w14:paraId="19D065DB" w14:textId="21857A97" w:rsidR="006337A0" w:rsidRPr="006C6D43" w:rsidRDefault="006337A0" w:rsidP="006337A0">
            <w:pPr>
              <w:pStyle w:val="Tabletext0"/>
              <w:keepNext/>
              <w:jc w:val="center"/>
            </w:pPr>
            <w:r w:rsidRPr="00711A97">
              <w:rPr>
                <w:rFonts w:cs="Calibri"/>
              </w:rPr>
              <w:t>$46,467,503</w:t>
            </w:r>
          </w:p>
        </w:tc>
        <w:tc>
          <w:tcPr>
            <w:tcW w:w="613" w:type="pct"/>
            <w:vAlign w:val="center"/>
          </w:tcPr>
          <w:p w14:paraId="6AE03DAD" w14:textId="18BCB997" w:rsidR="006337A0" w:rsidRPr="006C6D43" w:rsidRDefault="006337A0" w:rsidP="006337A0">
            <w:pPr>
              <w:pStyle w:val="Tabletext0"/>
              <w:keepNext/>
              <w:jc w:val="center"/>
            </w:pPr>
            <w:r w:rsidRPr="00711A97">
              <w:rPr>
                <w:rFonts w:cs="Calibri"/>
              </w:rPr>
              <w:t>$56,551,656</w:t>
            </w:r>
          </w:p>
        </w:tc>
      </w:tr>
      <w:tr w:rsidR="006C6D43" w:rsidRPr="006C6D43" w14:paraId="58D3DAAF" w14:textId="77777777" w:rsidTr="006C6D43">
        <w:trPr>
          <w:trHeight w:val="290"/>
        </w:trPr>
        <w:tc>
          <w:tcPr>
            <w:tcW w:w="5000" w:type="pct"/>
            <w:gridSpan w:val="7"/>
            <w:noWrap/>
            <w:vAlign w:val="center"/>
          </w:tcPr>
          <w:p w14:paraId="5C984675" w14:textId="5961D5BB" w:rsidR="006C6D43" w:rsidRPr="006C6D43" w:rsidRDefault="006C6D43" w:rsidP="006C6D43">
            <w:pPr>
              <w:pStyle w:val="Tabletext0"/>
              <w:keepNext/>
              <w:jc w:val="left"/>
              <w:rPr>
                <w:b/>
                <w:bCs/>
              </w:rPr>
            </w:pPr>
            <w:r w:rsidRPr="006C6D43">
              <w:rPr>
                <w:b/>
                <w:bCs/>
              </w:rPr>
              <w:t>Savings to the MBS and PBS/RPBS from avoided cabazitaxel treatment</w:t>
            </w:r>
          </w:p>
        </w:tc>
      </w:tr>
      <w:tr w:rsidR="00FA5465" w:rsidRPr="006C6D43" w14:paraId="3BB6EBDE" w14:textId="77777777" w:rsidTr="006D5080">
        <w:trPr>
          <w:trHeight w:val="290"/>
        </w:trPr>
        <w:tc>
          <w:tcPr>
            <w:tcW w:w="1307" w:type="pct"/>
            <w:noWrap/>
            <w:vAlign w:val="center"/>
          </w:tcPr>
          <w:p w14:paraId="52793FCB" w14:textId="1B289B51" w:rsidR="00FA5465" w:rsidRPr="006C6D43" w:rsidRDefault="00FA5465" w:rsidP="00FA5465">
            <w:pPr>
              <w:pStyle w:val="Tabletext0"/>
              <w:keepNext/>
              <w:jc w:val="left"/>
            </w:pPr>
            <w:r>
              <w:t>Net c</w:t>
            </w:r>
            <w:r w:rsidRPr="006C6D43">
              <w:t xml:space="preserve">abazitaxel administration cost to MBS </w:t>
            </w:r>
          </w:p>
        </w:tc>
        <w:tc>
          <w:tcPr>
            <w:tcW w:w="616" w:type="pct"/>
            <w:noWrap/>
            <w:vAlign w:val="center"/>
          </w:tcPr>
          <w:p w14:paraId="10912EE2" w14:textId="7FDB3482" w:rsidR="00FA5465" w:rsidRPr="006C6D43" w:rsidRDefault="00FA5465" w:rsidP="00FA5465">
            <w:pPr>
              <w:pStyle w:val="Tabletext0"/>
              <w:keepNext/>
              <w:jc w:val="center"/>
            </w:pPr>
            <w:r>
              <w:rPr>
                <w:color w:val="000000" w:themeColor="text1"/>
              </w:rPr>
              <w:t>-</w:t>
            </w:r>
            <w:r w:rsidRPr="007174E0">
              <w:rPr>
                <w:color w:val="000000" w:themeColor="text1"/>
              </w:rPr>
              <w:t>$129,824</w:t>
            </w:r>
          </w:p>
        </w:tc>
        <w:tc>
          <w:tcPr>
            <w:tcW w:w="616" w:type="pct"/>
            <w:noWrap/>
            <w:vAlign w:val="center"/>
          </w:tcPr>
          <w:p w14:paraId="2CC0494D" w14:textId="177A6760" w:rsidR="00FA5465" w:rsidRPr="006C6D43" w:rsidRDefault="00FA5465" w:rsidP="00FA5465">
            <w:pPr>
              <w:pStyle w:val="Tabletext0"/>
              <w:keepNext/>
              <w:jc w:val="center"/>
            </w:pPr>
            <w:r>
              <w:rPr>
                <w:color w:val="000000" w:themeColor="text1"/>
              </w:rPr>
              <w:t>-</w:t>
            </w:r>
            <w:r w:rsidRPr="007174E0">
              <w:rPr>
                <w:color w:val="000000" w:themeColor="text1"/>
              </w:rPr>
              <w:t>$157,998</w:t>
            </w:r>
          </w:p>
        </w:tc>
        <w:tc>
          <w:tcPr>
            <w:tcW w:w="616" w:type="pct"/>
            <w:noWrap/>
            <w:vAlign w:val="center"/>
          </w:tcPr>
          <w:p w14:paraId="67C8E776" w14:textId="4DDC8300" w:rsidR="00FA5465" w:rsidRPr="006C6D43" w:rsidRDefault="00FA5465" w:rsidP="00FA5465">
            <w:pPr>
              <w:pStyle w:val="Tabletext0"/>
              <w:keepNext/>
              <w:jc w:val="center"/>
            </w:pPr>
            <w:r>
              <w:rPr>
                <w:color w:val="000000" w:themeColor="text1"/>
              </w:rPr>
              <w:t>-</w:t>
            </w:r>
            <w:r w:rsidRPr="007174E0">
              <w:rPr>
                <w:color w:val="000000" w:themeColor="text1"/>
              </w:rPr>
              <w:t>$192,286</w:t>
            </w:r>
          </w:p>
        </w:tc>
        <w:tc>
          <w:tcPr>
            <w:tcW w:w="616" w:type="pct"/>
            <w:noWrap/>
            <w:vAlign w:val="center"/>
          </w:tcPr>
          <w:p w14:paraId="21648790" w14:textId="1F9A6886" w:rsidR="00FA5465" w:rsidRPr="006C6D43" w:rsidRDefault="00FA5465" w:rsidP="00FA5465">
            <w:pPr>
              <w:pStyle w:val="Tabletext0"/>
              <w:keepNext/>
              <w:jc w:val="center"/>
            </w:pPr>
            <w:r>
              <w:rPr>
                <w:color w:val="000000" w:themeColor="text1"/>
              </w:rPr>
              <w:t>-</w:t>
            </w:r>
            <w:r w:rsidRPr="007174E0">
              <w:rPr>
                <w:color w:val="000000" w:themeColor="text1"/>
              </w:rPr>
              <w:t>$234,015</w:t>
            </w:r>
          </w:p>
        </w:tc>
        <w:tc>
          <w:tcPr>
            <w:tcW w:w="616" w:type="pct"/>
            <w:noWrap/>
            <w:vAlign w:val="center"/>
          </w:tcPr>
          <w:p w14:paraId="28B17628" w14:textId="01A8A823" w:rsidR="00FA5465" w:rsidRPr="006C6D43" w:rsidRDefault="00FA5465" w:rsidP="00FA5465">
            <w:pPr>
              <w:pStyle w:val="Tabletext0"/>
              <w:keepNext/>
              <w:jc w:val="center"/>
            </w:pPr>
            <w:r>
              <w:rPr>
                <w:color w:val="000000" w:themeColor="text1"/>
              </w:rPr>
              <w:t>-</w:t>
            </w:r>
            <w:r w:rsidRPr="007174E0">
              <w:rPr>
                <w:color w:val="000000" w:themeColor="text1"/>
              </w:rPr>
              <w:t>$284,800</w:t>
            </w:r>
          </w:p>
        </w:tc>
        <w:tc>
          <w:tcPr>
            <w:tcW w:w="613" w:type="pct"/>
            <w:vAlign w:val="center"/>
          </w:tcPr>
          <w:p w14:paraId="3B0EA403" w14:textId="3E46F6D2" w:rsidR="00FA5465" w:rsidRPr="006C6D43" w:rsidRDefault="00FA5465" w:rsidP="00FA5465">
            <w:pPr>
              <w:pStyle w:val="Tabletext0"/>
              <w:keepNext/>
              <w:jc w:val="center"/>
            </w:pPr>
            <w:r>
              <w:rPr>
                <w:color w:val="000000" w:themeColor="text1"/>
              </w:rPr>
              <w:t>-</w:t>
            </w:r>
            <w:r w:rsidRPr="007174E0">
              <w:rPr>
                <w:color w:val="000000" w:themeColor="text1"/>
              </w:rPr>
              <w:t>$346,606</w:t>
            </w:r>
          </w:p>
        </w:tc>
      </w:tr>
      <w:tr w:rsidR="00FA5465" w:rsidRPr="006C6D43" w14:paraId="7BF65B7D" w14:textId="77777777" w:rsidTr="006D5080">
        <w:trPr>
          <w:trHeight w:val="290"/>
        </w:trPr>
        <w:tc>
          <w:tcPr>
            <w:tcW w:w="1307" w:type="pct"/>
            <w:noWrap/>
            <w:vAlign w:val="center"/>
          </w:tcPr>
          <w:p w14:paraId="73838940" w14:textId="6DA25B66" w:rsidR="00FA5465" w:rsidRPr="006C6D43" w:rsidRDefault="00FA5465" w:rsidP="00FA5465">
            <w:pPr>
              <w:pStyle w:val="Tabletext0"/>
              <w:keepNext/>
              <w:jc w:val="left"/>
            </w:pPr>
            <w:r>
              <w:t>Net c</w:t>
            </w:r>
            <w:r w:rsidRPr="006C6D43">
              <w:t>abazitaxel cost to PBS/RPBS</w:t>
            </w:r>
          </w:p>
        </w:tc>
        <w:tc>
          <w:tcPr>
            <w:tcW w:w="616" w:type="pct"/>
            <w:noWrap/>
            <w:vAlign w:val="center"/>
          </w:tcPr>
          <w:p w14:paraId="183541C8" w14:textId="089943CE" w:rsidR="00FA5465" w:rsidRPr="006C6D43" w:rsidRDefault="00FA5465" w:rsidP="00FA5465">
            <w:pPr>
              <w:pStyle w:val="Tabletext0"/>
              <w:keepNext/>
              <w:jc w:val="center"/>
            </w:pPr>
            <w:r w:rsidRPr="00FA5465">
              <w:t>-$333,681</w:t>
            </w:r>
          </w:p>
        </w:tc>
        <w:tc>
          <w:tcPr>
            <w:tcW w:w="616" w:type="pct"/>
            <w:noWrap/>
            <w:vAlign w:val="center"/>
          </w:tcPr>
          <w:p w14:paraId="4E294DED" w14:textId="7ACAF11A" w:rsidR="00FA5465" w:rsidRPr="006C6D43" w:rsidRDefault="00FA5465" w:rsidP="00FA5465">
            <w:pPr>
              <w:pStyle w:val="Tabletext0"/>
              <w:keepNext/>
              <w:jc w:val="center"/>
            </w:pPr>
            <w:r w:rsidRPr="00FA5465">
              <w:t>-$406,094</w:t>
            </w:r>
          </w:p>
        </w:tc>
        <w:tc>
          <w:tcPr>
            <w:tcW w:w="616" w:type="pct"/>
            <w:noWrap/>
            <w:vAlign w:val="center"/>
          </w:tcPr>
          <w:p w14:paraId="219F66C0" w14:textId="56906649" w:rsidR="00FA5465" w:rsidRPr="006C6D43" w:rsidRDefault="00FA5465" w:rsidP="00FA5465">
            <w:pPr>
              <w:pStyle w:val="Tabletext0"/>
              <w:keepNext/>
              <w:jc w:val="center"/>
            </w:pPr>
            <w:r w:rsidRPr="00FA5465">
              <w:t>-$494,223</w:t>
            </w:r>
          </w:p>
        </w:tc>
        <w:tc>
          <w:tcPr>
            <w:tcW w:w="616" w:type="pct"/>
            <w:noWrap/>
            <w:vAlign w:val="center"/>
          </w:tcPr>
          <w:p w14:paraId="7B358B91" w14:textId="7CB0D176" w:rsidR="00FA5465" w:rsidRPr="006C6D43" w:rsidRDefault="00FA5465" w:rsidP="00FA5465">
            <w:pPr>
              <w:pStyle w:val="Tabletext0"/>
              <w:keepNext/>
              <w:jc w:val="center"/>
            </w:pPr>
            <w:r w:rsidRPr="00FA5465">
              <w:t>-$601,477</w:t>
            </w:r>
          </w:p>
        </w:tc>
        <w:tc>
          <w:tcPr>
            <w:tcW w:w="616" w:type="pct"/>
            <w:noWrap/>
            <w:vAlign w:val="center"/>
          </w:tcPr>
          <w:p w14:paraId="5038463E" w14:textId="26609EFE" w:rsidR="00FA5465" w:rsidRPr="006C6D43" w:rsidRDefault="00FA5465" w:rsidP="00FA5465">
            <w:pPr>
              <w:pStyle w:val="Tabletext0"/>
              <w:keepNext/>
              <w:jc w:val="center"/>
            </w:pPr>
            <w:r w:rsidRPr="00FA5465">
              <w:t>-$732,007</w:t>
            </w:r>
          </w:p>
        </w:tc>
        <w:tc>
          <w:tcPr>
            <w:tcW w:w="613" w:type="pct"/>
            <w:vAlign w:val="center"/>
          </w:tcPr>
          <w:p w14:paraId="19EB8913" w14:textId="63C04B51" w:rsidR="00FA5465" w:rsidRPr="006C6D43" w:rsidRDefault="00FA5465" w:rsidP="00FA5465">
            <w:pPr>
              <w:pStyle w:val="Tabletext0"/>
              <w:keepNext/>
              <w:jc w:val="center"/>
            </w:pPr>
            <w:r w:rsidRPr="00FA5465">
              <w:t>-$890,863</w:t>
            </w:r>
          </w:p>
        </w:tc>
      </w:tr>
      <w:tr w:rsidR="006C6D43" w:rsidRPr="006C6D43" w14:paraId="252E27AE" w14:textId="77777777" w:rsidTr="006C6D43">
        <w:trPr>
          <w:trHeight w:val="290"/>
        </w:trPr>
        <w:tc>
          <w:tcPr>
            <w:tcW w:w="5000" w:type="pct"/>
            <w:gridSpan w:val="7"/>
            <w:noWrap/>
            <w:vAlign w:val="center"/>
          </w:tcPr>
          <w:p w14:paraId="70F2943F" w14:textId="17E3363D" w:rsidR="006C6D43" w:rsidRPr="006C6D43" w:rsidRDefault="006C6D43" w:rsidP="006C6D43">
            <w:pPr>
              <w:pStyle w:val="Tabletext0"/>
              <w:keepNext/>
              <w:jc w:val="left"/>
              <w:rPr>
                <w:b/>
                <w:bCs/>
              </w:rPr>
            </w:pPr>
            <w:r w:rsidRPr="006C6D43">
              <w:rPr>
                <w:b/>
                <w:bCs/>
              </w:rPr>
              <w:t>Net cost to the MBS and RPBS (cost of proposed listing minus savings from cabazitaxel services avoided)</w:t>
            </w:r>
          </w:p>
        </w:tc>
      </w:tr>
      <w:tr w:rsidR="00FA5465" w:rsidRPr="006C6D43" w14:paraId="12BC67E5" w14:textId="77777777" w:rsidTr="006D5080">
        <w:trPr>
          <w:trHeight w:val="290"/>
        </w:trPr>
        <w:tc>
          <w:tcPr>
            <w:tcW w:w="1307" w:type="pct"/>
            <w:noWrap/>
          </w:tcPr>
          <w:p w14:paraId="76B4FC2C" w14:textId="77777777" w:rsidR="00FA5465" w:rsidRPr="00FA5465" w:rsidRDefault="00FA5465" w:rsidP="00FA5465">
            <w:pPr>
              <w:pStyle w:val="Tabletext0"/>
              <w:keepNext/>
            </w:pPr>
            <w:r w:rsidRPr="00FA5465">
              <w:t>MBS</w:t>
            </w:r>
          </w:p>
        </w:tc>
        <w:tc>
          <w:tcPr>
            <w:tcW w:w="616" w:type="pct"/>
            <w:noWrap/>
            <w:vAlign w:val="bottom"/>
          </w:tcPr>
          <w:p w14:paraId="183B2C82" w14:textId="670CD16A" w:rsidR="00FA5465" w:rsidRPr="00FA5465" w:rsidRDefault="00FA5465" w:rsidP="00FA5465">
            <w:pPr>
              <w:pStyle w:val="Tabletext0"/>
              <w:keepNext/>
              <w:jc w:val="center"/>
            </w:pPr>
            <w:r w:rsidRPr="00FA5465">
              <w:rPr>
                <w:rFonts w:cs="Calibri"/>
              </w:rPr>
              <w:t>$21,052,099</w:t>
            </w:r>
          </w:p>
        </w:tc>
        <w:tc>
          <w:tcPr>
            <w:tcW w:w="616" w:type="pct"/>
            <w:noWrap/>
            <w:vAlign w:val="bottom"/>
          </w:tcPr>
          <w:p w14:paraId="312728E8" w14:textId="71CAB88E" w:rsidR="00FA5465" w:rsidRPr="00FA5465" w:rsidRDefault="00FA5465" w:rsidP="00FA5465">
            <w:pPr>
              <w:pStyle w:val="Tabletext0"/>
              <w:keepNext/>
              <w:jc w:val="center"/>
            </w:pPr>
            <w:r w:rsidRPr="00FA5465">
              <w:rPr>
                <w:rFonts w:cs="Calibri"/>
              </w:rPr>
              <w:t>$25,620,724</w:t>
            </w:r>
          </w:p>
        </w:tc>
        <w:tc>
          <w:tcPr>
            <w:tcW w:w="616" w:type="pct"/>
            <w:noWrap/>
            <w:vAlign w:val="bottom"/>
          </w:tcPr>
          <w:p w14:paraId="4659102B" w14:textId="091712C1" w:rsidR="00FA5465" w:rsidRPr="00FA5465" w:rsidRDefault="00FA5465" w:rsidP="00FA5465">
            <w:pPr>
              <w:pStyle w:val="Tabletext0"/>
              <w:keepNext/>
              <w:jc w:val="center"/>
            </w:pPr>
            <w:r w:rsidRPr="00FA5465">
              <w:rPr>
                <w:rFonts w:cs="Calibri"/>
              </w:rPr>
              <w:t>$31,180,809</w:t>
            </w:r>
          </w:p>
        </w:tc>
        <w:tc>
          <w:tcPr>
            <w:tcW w:w="616" w:type="pct"/>
            <w:noWrap/>
            <w:vAlign w:val="bottom"/>
          </w:tcPr>
          <w:p w14:paraId="61CE0AD3" w14:textId="553730A2" w:rsidR="00FA5465" w:rsidRPr="00FA5465" w:rsidRDefault="00FA5465" w:rsidP="00FA5465">
            <w:pPr>
              <w:pStyle w:val="Tabletext0"/>
              <w:keepNext/>
              <w:jc w:val="center"/>
            </w:pPr>
            <w:r w:rsidRPr="00FA5465">
              <w:rPr>
                <w:rFonts w:cs="Calibri"/>
              </w:rPr>
              <w:t>$37,947,517</w:t>
            </w:r>
          </w:p>
        </w:tc>
        <w:tc>
          <w:tcPr>
            <w:tcW w:w="616" w:type="pct"/>
            <w:noWrap/>
            <w:vAlign w:val="bottom"/>
          </w:tcPr>
          <w:p w14:paraId="38822C40" w14:textId="41518B5F" w:rsidR="00FA5465" w:rsidRPr="00FA5465" w:rsidRDefault="00FA5465" w:rsidP="00FA5465">
            <w:pPr>
              <w:pStyle w:val="Tabletext0"/>
              <w:keepNext/>
              <w:jc w:val="center"/>
            </w:pPr>
            <w:r w:rsidRPr="00FA5465">
              <w:rPr>
                <w:rFonts w:cs="Calibri"/>
              </w:rPr>
              <w:t>$46,182,703</w:t>
            </w:r>
          </w:p>
        </w:tc>
        <w:tc>
          <w:tcPr>
            <w:tcW w:w="613" w:type="pct"/>
            <w:vAlign w:val="bottom"/>
          </w:tcPr>
          <w:p w14:paraId="74E866CB" w14:textId="705C9127" w:rsidR="00FA5465" w:rsidRPr="00FA5465" w:rsidRDefault="00FA5465" w:rsidP="00FA5465">
            <w:pPr>
              <w:pStyle w:val="Tabletext0"/>
              <w:keepNext/>
              <w:jc w:val="center"/>
            </w:pPr>
            <w:r w:rsidRPr="00FA5465">
              <w:rPr>
                <w:rFonts w:cs="Calibri"/>
              </w:rPr>
              <w:t>$56,205,050</w:t>
            </w:r>
          </w:p>
        </w:tc>
      </w:tr>
      <w:tr w:rsidR="00FA5465" w:rsidRPr="006C6D43" w14:paraId="369E82D2" w14:textId="77777777" w:rsidTr="006C6D43">
        <w:trPr>
          <w:trHeight w:val="290"/>
        </w:trPr>
        <w:tc>
          <w:tcPr>
            <w:tcW w:w="1307" w:type="pct"/>
            <w:noWrap/>
          </w:tcPr>
          <w:p w14:paraId="60EA7044" w14:textId="77777777" w:rsidR="00FA5465" w:rsidRPr="006D5080" w:rsidRDefault="00FA5465" w:rsidP="00FA5465">
            <w:pPr>
              <w:pStyle w:val="Tabletext0"/>
              <w:keepNext/>
            </w:pPr>
            <w:r w:rsidRPr="006D5080">
              <w:t>PBS/RPBS</w:t>
            </w:r>
          </w:p>
        </w:tc>
        <w:tc>
          <w:tcPr>
            <w:tcW w:w="616" w:type="pct"/>
            <w:noWrap/>
            <w:vAlign w:val="center"/>
          </w:tcPr>
          <w:p w14:paraId="1CE1C3C3" w14:textId="3BEC839A" w:rsidR="00FA5465" w:rsidRPr="006D5080" w:rsidRDefault="00FA5465" w:rsidP="00FA5465">
            <w:pPr>
              <w:pStyle w:val="Tabletext0"/>
              <w:keepNext/>
              <w:jc w:val="center"/>
            </w:pPr>
            <w:r w:rsidRPr="00FA5465">
              <w:t>-$333,681</w:t>
            </w:r>
          </w:p>
        </w:tc>
        <w:tc>
          <w:tcPr>
            <w:tcW w:w="616" w:type="pct"/>
            <w:noWrap/>
            <w:vAlign w:val="center"/>
          </w:tcPr>
          <w:p w14:paraId="1C1FC843" w14:textId="7B816DEE" w:rsidR="00FA5465" w:rsidRPr="006D5080" w:rsidRDefault="00FA5465" w:rsidP="00FA5465">
            <w:pPr>
              <w:pStyle w:val="Tabletext0"/>
              <w:keepNext/>
              <w:jc w:val="center"/>
            </w:pPr>
            <w:r w:rsidRPr="00FA5465">
              <w:t>-$406,094</w:t>
            </w:r>
          </w:p>
        </w:tc>
        <w:tc>
          <w:tcPr>
            <w:tcW w:w="616" w:type="pct"/>
            <w:noWrap/>
            <w:vAlign w:val="center"/>
          </w:tcPr>
          <w:p w14:paraId="0A528391" w14:textId="2F632C23" w:rsidR="00FA5465" w:rsidRPr="006D5080" w:rsidRDefault="00FA5465" w:rsidP="00FA5465">
            <w:pPr>
              <w:pStyle w:val="Tabletext0"/>
              <w:keepNext/>
              <w:jc w:val="center"/>
            </w:pPr>
            <w:r w:rsidRPr="00FA5465">
              <w:t>-$494,223</w:t>
            </w:r>
          </w:p>
        </w:tc>
        <w:tc>
          <w:tcPr>
            <w:tcW w:w="616" w:type="pct"/>
            <w:noWrap/>
            <w:vAlign w:val="center"/>
          </w:tcPr>
          <w:p w14:paraId="1A8E0142" w14:textId="0AA10B1E" w:rsidR="00FA5465" w:rsidRPr="006D5080" w:rsidRDefault="00FA5465" w:rsidP="00FA5465">
            <w:pPr>
              <w:pStyle w:val="Tabletext0"/>
              <w:keepNext/>
              <w:jc w:val="center"/>
            </w:pPr>
            <w:r w:rsidRPr="00FA5465">
              <w:t>-$601,477</w:t>
            </w:r>
          </w:p>
        </w:tc>
        <w:tc>
          <w:tcPr>
            <w:tcW w:w="616" w:type="pct"/>
            <w:noWrap/>
            <w:vAlign w:val="center"/>
          </w:tcPr>
          <w:p w14:paraId="54D30190" w14:textId="5F342D8D" w:rsidR="00FA5465" w:rsidRPr="006D5080" w:rsidRDefault="00FA5465" w:rsidP="00FA5465">
            <w:pPr>
              <w:pStyle w:val="Tabletext0"/>
              <w:keepNext/>
              <w:jc w:val="center"/>
            </w:pPr>
            <w:r w:rsidRPr="00FA5465">
              <w:t>-$732,007</w:t>
            </w:r>
          </w:p>
        </w:tc>
        <w:tc>
          <w:tcPr>
            <w:tcW w:w="613" w:type="pct"/>
            <w:vAlign w:val="center"/>
          </w:tcPr>
          <w:p w14:paraId="3DEFE12E" w14:textId="6FC46824" w:rsidR="00FA5465" w:rsidRPr="006D5080" w:rsidRDefault="00FA5465" w:rsidP="00FA5465">
            <w:pPr>
              <w:pStyle w:val="Tabletext0"/>
              <w:keepNext/>
              <w:jc w:val="center"/>
            </w:pPr>
            <w:r w:rsidRPr="00FA5465">
              <w:t>-$890,863</w:t>
            </w:r>
          </w:p>
        </w:tc>
      </w:tr>
      <w:tr w:rsidR="00FA5465" w:rsidRPr="006C6D43" w14:paraId="3627B374" w14:textId="77777777" w:rsidTr="006D5080">
        <w:trPr>
          <w:trHeight w:val="290"/>
        </w:trPr>
        <w:tc>
          <w:tcPr>
            <w:tcW w:w="1307" w:type="pct"/>
            <w:noWrap/>
            <w:vAlign w:val="center"/>
          </w:tcPr>
          <w:p w14:paraId="7A0D7559" w14:textId="77777777" w:rsidR="00FA5465" w:rsidRPr="006C6D43" w:rsidRDefault="00FA5465" w:rsidP="00FA5465">
            <w:pPr>
              <w:pStyle w:val="Tabletext0"/>
              <w:keepNext/>
              <w:jc w:val="left"/>
            </w:pPr>
            <w:r w:rsidRPr="006C6D43">
              <w:t>Government (MBS + PBS/RPBS)</w:t>
            </w:r>
          </w:p>
        </w:tc>
        <w:tc>
          <w:tcPr>
            <w:tcW w:w="616" w:type="pct"/>
            <w:noWrap/>
            <w:vAlign w:val="bottom"/>
          </w:tcPr>
          <w:p w14:paraId="715BC6F9" w14:textId="4EB063CE" w:rsidR="00FA5465" w:rsidRPr="00FA5465" w:rsidRDefault="00FA5465" w:rsidP="00FA5465">
            <w:pPr>
              <w:pStyle w:val="Tabletext0"/>
              <w:keepNext/>
              <w:jc w:val="center"/>
            </w:pPr>
            <w:r w:rsidRPr="00FA5465">
              <w:rPr>
                <w:rFonts w:cs="Calibri"/>
              </w:rPr>
              <w:t>$20,718,418</w:t>
            </w:r>
          </w:p>
        </w:tc>
        <w:tc>
          <w:tcPr>
            <w:tcW w:w="616" w:type="pct"/>
            <w:noWrap/>
            <w:vAlign w:val="bottom"/>
          </w:tcPr>
          <w:p w14:paraId="68ED312C" w14:textId="5FF1C6D4" w:rsidR="00FA5465" w:rsidRPr="00FA5465" w:rsidRDefault="00FA5465" w:rsidP="00FA5465">
            <w:pPr>
              <w:pStyle w:val="Tabletext0"/>
              <w:keepNext/>
              <w:jc w:val="center"/>
            </w:pPr>
            <w:r w:rsidRPr="00FA5465">
              <w:rPr>
                <w:rFonts w:cs="Calibri"/>
              </w:rPr>
              <w:t>$25,214,629</w:t>
            </w:r>
          </w:p>
        </w:tc>
        <w:tc>
          <w:tcPr>
            <w:tcW w:w="616" w:type="pct"/>
            <w:noWrap/>
            <w:vAlign w:val="bottom"/>
          </w:tcPr>
          <w:p w14:paraId="6E84426B" w14:textId="5965898E" w:rsidR="00FA5465" w:rsidRPr="00FA5465" w:rsidRDefault="00FA5465" w:rsidP="00FA5465">
            <w:pPr>
              <w:pStyle w:val="Tabletext0"/>
              <w:keepNext/>
              <w:jc w:val="center"/>
            </w:pPr>
            <w:r w:rsidRPr="00FA5465">
              <w:rPr>
                <w:rFonts w:cs="Calibri"/>
              </w:rPr>
              <w:t>$30,686,586</w:t>
            </w:r>
          </w:p>
        </w:tc>
        <w:tc>
          <w:tcPr>
            <w:tcW w:w="616" w:type="pct"/>
            <w:noWrap/>
            <w:vAlign w:val="bottom"/>
          </w:tcPr>
          <w:p w14:paraId="62F4F01D" w14:textId="275B04EC" w:rsidR="00FA5465" w:rsidRPr="00FA5465" w:rsidRDefault="00FA5465" w:rsidP="00FA5465">
            <w:pPr>
              <w:pStyle w:val="Tabletext0"/>
              <w:keepNext/>
              <w:jc w:val="center"/>
            </w:pPr>
            <w:r w:rsidRPr="00FA5465">
              <w:rPr>
                <w:rFonts w:cs="Calibri"/>
              </w:rPr>
              <w:t>$37,346,040</w:t>
            </w:r>
          </w:p>
        </w:tc>
        <w:tc>
          <w:tcPr>
            <w:tcW w:w="616" w:type="pct"/>
            <w:noWrap/>
            <w:vAlign w:val="bottom"/>
          </w:tcPr>
          <w:p w14:paraId="69AC8271" w14:textId="69D8A0A2" w:rsidR="00FA5465" w:rsidRPr="00FA5465" w:rsidRDefault="00FA5465" w:rsidP="00FA5465">
            <w:pPr>
              <w:pStyle w:val="Tabletext0"/>
              <w:keepNext/>
              <w:jc w:val="center"/>
            </w:pPr>
            <w:r w:rsidRPr="00FA5465">
              <w:rPr>
                <w:rFonts w:cs="Calibri"/>
              </w:rPr>
              <w:t>$45,450,697</w:t>
            </w:r>
          </w:p>
        </w:tc>
        <w:tc>
          <w:tcPr>
            <w:tcW w:w="613" w:type="pct"/>
            <w:vAlign w:val="bottom"/>
          </w:tcPr>
          <w:p w14:paraId="1A151733" w14:textId="36974AF5" w:rsidR="00FA5465" w:rsidRPr="00FA5465" w:rsidRDefault="00FA5465" w:rsidP="00FA5465">
            <w:pPr>
              <w:pStyle w:val="Tabletext0"/>
              <w:keepNext/>
              <w:jc w:val="center"/>
            </w:pPr>
            <w:r w:rsidRPr="00FA5465">
              <w:rPr>
                <w:rFonts w:cs="Calibri"/>
              </w:rPr>
              <w:t>$55,314,187</w:t>
            </w:r>
          </w:p>
        </w:tc>
      </w:tr>
      <w:tr w:rsidR="00FA5465" w:rsidRPr="006C6D43" w14:paraId="689192D7" w14:textId="77777777" w:rsidTr="006C6D43">
        <w:trPr>
          <w:trHeight w:val="290"/>
        </w:trPr>
        <w:tc>
          <w:tcPr>
            <w:tcW w:w="1307" w:type="pct"/>
            <w:noWrap/>
            <w:vAlign w:val="center"/>
          </w:tcPr>
          <w:p w14:paraId="2C1C3E43" w14:textId="5ED5EC9F" w:rsidR="00FA5465" w:rsidRPr="006C6D43" w:rsidRDefault="00FA5465" w:rsidP="00FA5465">
            <w:pPr>
              <w:pStyle w:val="Tabletext0"/>
              <w:keepNext/>
              <w:jc w:val="left"/>
            </w:pPr>
            <w:r w:rsidRPr="006C6D43">
              <w:t xml:space="preserve">18% of post </w:t>
            </w:r>
            <w:r w:rsidRPr="00082D94">
              <w:rPr>
                <w:vertAlign w:val="superscript"/>
              </w:rPr>
              <w:t>177</w:t>
            </w:r>
            <w:r w:rsidRPr="004D7132">
              <w:t>Lu</w:t>
            </w:r>
            <w:r>
              <w:t> </w:t>
            </w:r>
            <w:r w:rsidRPr="004D7132">
              <w:t>PSMA</w:t>
            </w:r>
            <w:r>
              <w:t> i&amp;t</w:t>
            </w:r>
            <w:r w:rsidRPr="006C6D43">
              <w:t xml:space="preserve"> receive cabazitaxel </w:t>
            </w:r>
          </w:p>
        </w:tc>
        <w:tc>
          <w:tcPr>
            <w:tcW w:w="616" w:type="pct"/>
            <w:noWrap/>
            <w:vAlign w:val="center"/>
          </w:tcPr>
          <w:p w14:paraId="528D5101" w14:textId="3851787F" w:rsidR="00FA5465" w:rsidRPr="00FA5465" w:rsidRDefault="00FA5465" w:rsidP="00FA5465">
            <w:pPr>
              <w:pStyle w:val="Tabletext0"/>
              <w:keepNext/>
              <w:jc w:val="center"/>
            </w:pPr>
            <w:r w:rsidRPr="00FA5465">
              <w:rPr>
                <w:rFonts w:cs="Calibri"/>
              </w:rPr>
              <w:t>$21,052,142</w:t>
            </w:r>
          </w:p>
        </w:tc>
        <w:tc>
          <w:tcPr>
            <w:tcW w:w="616" w:type="pct"/>
            <w:noWrap/>
            <w:vAlign w:val="center"/>
          </w:tcPr>
          <w:p w14:paraId="126963D7" w14:textId="28887C86" w:rsidR="00FA5465" w:rsidRPr="00FA5465" w:rsidRDefault="00FA5465" w:rsidP="00FA5465">
            <w:pPr>
              <w:pStyle w:val="Tabletext0"/>
              <w:keepNext/>
              <w:jc w:val="center"/>
            </w:pPr>
            <w:r w:rsidRPr="00FA5465">
              <w:rPr>
                <w:rFonts w:cs="Calibri"/>
              </w:rPr>
              <w:t>$25,620,776</w:t>
            </w:r>
          </w:p>
        </w:tc>
        <w:tc>
          <w:tcPr>
            <w:tcW w:w="616" w:type="pct"/>
            <w:noWrap/>
            <w:vAlign w:val="center"/>
          </w:tcPr>
          <w:p w14:paraId="7027E5BA" w14:textId="171DF919" w:rsidR="00FA5465" w:rsidRPr="00FA5465" w:rsidRDefault="00FA5465" w:rsidP="00FA5465">
            <w:pPr>
              <w:pStyle w:val="Tabletext0"/>
              <w:keepNext/>
              <w:jc w:val="center"/>
            </w:pPr>
            <w:r w:rsidRPr="00FA5465">
              <w:rPr>
                <w:rFonts w:cs="Calibri"/>
              </w:rPr>
              <w:t>$31,180,872</w:t>
            </w:r>
          </w:p>
        </w:tc>
        <w:tc>
          <w:tcPr>
            <w:tcW w:w="616" w:type="pct"/>
            <w:noWrap/>
            <w:vAlign w:val="center"/>
          </w:tcPr>
          <w:p w14:paraId="45A4FA5E" w14:textId="73E9F471" w:rsidR="00FA5465" w:rsidRPr="00FA5465" w:rsidRDefault="00FA5465" w:rsidP="00FA5465">
            <w:pPr>
              <w:pStyle w:val="Tabletext0"/>
              <w:keepNext/>
              <w:jc w:val="center"/>
            </w:pPr>
            <w:r w:rsidRPr="00FA5465">
              <w:rPr>
                <w:rFonts w:cs="Calibri"/>
              </w:rPr>
              <w:t>$37,947,594</w:t>
            </w:r>
          </w:p>
        </w:tc>
        <w:tc>
          <w:tcPr>
            <w:tcW w:w="616" w:type="pct"/>
            <w:noWrap/>
            <w:vAlign w:val="center"/>
          </w:tcPr>
          <w:p w14:paraId="6525D445" w14:textId="71539460" w:rsidR="00FA5465" w:rsidRPr="00FA5465" w:rsidRDefault="00FA5465" w:rsidP="00FA5465">
            <w:pPr>
              <w:pStyle w:val="Tabletext0"/>
              <w:keepNext/>
              <w:jc w:val="center"/>
            </w:pPr>
            <w:r w:rsidRPr="00FA5465">
              <w:rPr>
                <w:rFonts w:cs="Calibri"/>
              </w:rPr>
              <w:t>$46,182,797</w:t>
            </w:r>
          </w:p>
        </w:tc>
        <w:tc>
          <w:tcPr>
            <w:tcW w:w="613" w:type="pct"/>
            <w:vAlign w:val="center"/>
          </w:tcPr>
          <w:p w14:paraId="774D3906" w14:textId="2E70147F" w:rsidR="00FA5465" w:rsidRPr="00FA5465" w:rsidRDefault="00FA5465" w:rsidP="00FA5465">
            <w:pPr>
              <w:pStyle w:val="Tabletext0"/>
              <w:keepNext/>
              <w:jc w:val="center"/>
            </w:pPr>
            <w:r w:rsidRPr="00FA5465">
              <w:rPr>
                <w:rFonts w:cs="Calibri"/>
              </w:rPr>
              <w:t>$56,205,165</w:t>
            </w:r>
          </w:p>
        </w:tc>
      </w:tr>
      <w:tr w:rsidR="006C6D43" w:rsidRPr="006C6D43" w14:paraId="4FC1EEEB" w14:textId="77777777" w:rsidTr="006C6D43">
        <w:trPr>
          <w:trHeight w:val="290"/>
        </w:trPr>
        <w:tc>
          <w:tcPr>
            <w:tcW w:w="5000" w:type="pct"/>
            <w:gridSpan w:val="7"/>
            <w:noWrap/>
            <w:vAlign w:val="center"/>
          </w:tcPr>
          <w:p w14:paraId="4DF1C93C" w14:textId="2D7F872D" w:rsidR="006C6D43" w:rsidRPr="006C6D43" w:rsidRDefault="006C6D43" w:rsidP="006C6D43">
            <w:pPr>
              <w:pStyle w:val="Tabletext0"/>
              <w:keepNext/>
              <w:jc w:val="left"/>
              <w:rPr>
                <w:b/>
                <w:bCs/>
                <w:i/>
                <w:iCs/>
              </w:rPr>
            </w:pPr>
            <w:r w:rsidRPr="006C6D43">
              <w:rPr>
                <w:b/>
                <w:bCs/>
                <w:i/>
                <w:iCs/>
              </w:rPr>
              <w:t>Two-step Approach *</w:t>
            </w:r>
          </w:p>
        </w:tc>
      </w:tr>
      <w:tr w:rsidR="00FA5465" w:rsidRPr="006C6D43" w14:paraId="56A8258D" w14:textId="77777777" w:rsidTr="006C6D43">
        <w:trPr>
          <w:trHeight w:val="290"/>
        </w:trPr>
        <w:tc>
          <w:tcPr>
            <w:tcW w:w="1307" w:type="pct"/>
            <w:noWrap/>
            <w:vAlign w:val="center"/>
          </w:tcPr>
          <w:p w14:paraId="5DF78B54" w14:textId="77777777" w:rsidR="00FA5465" w:rsidRPr="006C6D43" w:rsidRDefault="00FA5465" w:rsidP="00FA5465">
            <w:pPr>
              <w:pStyle w:val="Tabletext0"/>
              <w:keepNext/>
              <w:jc w:val="left"/>
            </w:pPr>
            <w:r w:rsidRPr="006C6D43">
              <w:t xml:space="preserve">All eligible patients receive initial 2 cycles </w:t>
            </w:r>
          </w:p>
        </w:tc>
        <w:tc>
          <w:tcPr>
            <w:tcW w:w="616" w:type="pct"/>
            <w:noWrap/>
            <w:vAlign w:val="center"/>
          </w:tcPr>
          <w:p w14:paraId="7CA90D2C" w14:textId="1CCF1C16" w:rsidR="00FA5465" w:rsidRPr="006C6D43" w:rsidRDefault="00FA5465" w:rsidP="00FA5465">
            <w:pPr>
              <w:pStyle w:val="Tabletext0"/>
              <w:keepNext/>
              <w:jc w:val="center"/>
              <w:rPr>
                <w:i/>
                <w:iCs/>
              </w:rPr>
            </w:pPr>
            <w:r w:rsidRPr="00711A97">
              <w:rPr>
                <w:rFonts w:cs="Calibri"/>
              </w:rPr>
              <w:t>$11,990,598</w:t>
            </w:r>
          </w:p>
        </w:tc>
        <w:tc>
          <w:tcPr>
            <w:tcW w:w="616" w:type="pct"/>
            <w:noWrap/>
            <w:vAlign w:val="center"/>
          </w:tcPr>
          <w:p w14:paraId="7C6B5441" w14:textId="50754A90" w:rsidR="00FA5465" w:rsidRPr="006C6D43" w:rsidRDefault="00FA5465" w:rsidP="00FA5465">
            <w:pPr>
              <w:pStyle w:val="Tabletext0"/>
              <w:keepNext/>
              <w:jc w:val="center"/>
              <w:rPr>
                <w:i/>
                <w:iCs/>
              </w:rPr>
            </w:pPr>
            <w:r w:rsidRPr="00711A97">
              <w:rPr>
                <w:rFonts w:cs="Calibri"/>
              </w:rPr>
              <w:t>$14,592,740</w:t>
            </w:r>
          </w:p>
        </w:tc>
        <w:tc>
          <w:tcPr>
            <w:tcW w:w="616" w:type="pct"/>
            <w:noWrap/>
            <w:vAlign w:val="center"/>
          </w:tcPr>
          <w:p w14:paraId="3C8C4ACF" w14:textId="3EBA5699" w:rsidR="00FA5465" w:rsidRPr="006C6D43" w:rsidRDefault="00FA5465" w:rsidP="00FA5465">
            <w:pPr>
              <w:pStyle w:val="Tabletext0"/>
              <w:keepNext/>
              <w:jc w:val="center"/>
              <w:rPr>
                <w:i/>
                <w:iCs/>
              </w:rPr>
            </w:pPr>
            <w:r w:rsidRPr="00711A97">
              <w:rPr>
                <w:rFonts w:cs="Calibri"/>
              </w:rPr>
              <w:t>$17,759,586</w:t>
            </w:r>
          </w:p>
        </w:tc>
        <w:tc>
          <w:tcPr>
            <w:tcW w:w="616" w:type="pct"/>
            <w:noWrap/>
            <w:vAlign w:val="center"/>
          </w:tcPr>
          <w:p w14:paraId="6D1EB127" w14:textId="0D98EEB9" w:rsidR="00FA5465" w:rsidRPr="006C6D43" w:rsidRDefault="00FA5465" w:rsidP="00FA5465">
            <w:pPr>
              <w:pStyle w:val="Tabletext0"/>
              <w:keepNext/>
              <w:jc w:val="center"/>
              <w:rPr>
                <w:i/>
                <w:iCs/>
              </w:rPr>
            </w:pPr>
            <w:r w:rsidRPr="00711A97">
              <w:rPr>
                <w:rFonts w:cs="Calibri"/>
              </w:rPr>
              <w:t>$21,613,685</w:t>
            </w:r>
          </w:p>
        </w:tc>
        <w:tc>
          <w:tcPr>
            <w:tcW w:w="616" w:type="pct"/>
            <w:noWrap/>
            <w:vAlign w:val="center"/>
          </w:tcPr>
          <w:p w14:paraId="4D7F09B9" w14:textId="3F0AD918" w:rsidR="00FA5465" w:rsidRPr="006C6D43" w:rsidRDefault="00FA5465" w:rsidP="00FA5465">
            <w:pPr>
              <w:pStyle w:val="Tabletext0"/>
              <w:keepNext/>
              <w:jc w:val="center"/>
              <w:rPr>
                <w:i/>
                <w:iCs/>
              </w:rPr>
            </w:pPr>
            <w:r w:rsidRPr="00711A97">
              <w:rPr>
                <w:rFonts w:cs="Calibri"/>
              </w:rPr>
              <w:t>$26,304,182</w:t>
            </w:r>
          </w:p>
        </w:tc>
        <w:tc>
          <w:tcPr>
            <w:tcW w:w="613" w:type="pct"/>
            <w:vAlign w:val="center"/>
          </w:tcPr>
          <w:p w14:paraId="1DA4CF0F" w14:textId="1E3735CD" w:rsidR="00FA5465" w:rsidRPr="006C6D43" w:rsidRDefault="00FA5465" w:rsidP="00FA5465">
            <w:pPr>
              <w:pStyle w:val="Tabletext0"/>
              <w:keepNext/>
              <w:jc w:val="center"/>
              <w:rPr>
                <w:i/>
                <w:iCs/>
              </w:rPr>
            </w:pPr>
            <w:r w:rsidRPr="00711A97">
              <w:rPr>
                <w:rFonts w:cs="Calibri"/>
              </w:rPr>
              <w:t>$32,012,589</w:t>
            </w:r>
          </w:p>
        </w:tc>
      </w:tr>
      <w:tr w:rsidR="00FA5465" w:rsidRPr="006C6D43" w14:paraId="365F197D" w14:textId="77777777" w:rsidTr="006C6D43">
        <w:trPr>
          <w:trHeight w:val="290"/>
        </w:trPr>
        <w:tc>
          <w:tcPr>
            <w:tcW w:w="1307" w:type="pct"/>
            <w:noWrap/>
            <w:vAlign w:val="center"/>
          </w:tcPr>
          <w:p w14:paraId="0BB5676B" w14:textId="77777777" w:rsidR="00FA5465" w:rsidRPr="006C6D43" w:rsidRDefault="00FA5465" w:rsidP="00FA5465">
            <w:pPr>
              <w:pStyle w:val="Tabletext0"/>
              <w:keepNext/>
              <w:jc w:val="left"/>
            </w:pPr>
            <w:r w:rsidRPr="006C6D43">
              <w:t>69% of eligible patients who respond after 2 cycles get 3</w:t>
            </w:r>
            <w:r w:rsidRPr="006C6D43">
              <w:rPr>
                <w:vertAlign w:val="superscript"/>
              </w:rPr>
              <w:t>rd</w:t>
            </w:r>
            <w:r w:rsidRPr="006C6D43">
              <w:t xml:space="preserve"> cycle</w:t>
            </w:r>
          </w:p>
        </w:tc>
        <w:tc>
          <w:tcPr>
            <w:tcW w:w="616" w:type="pct"/>
            <w:noWrap/>
            <w:vAlign w:val="center"/>
          </w:tcPr>
          <w:p w14:paraId="494D3B81" w14:textId="4717C945" w:rsidR="00FA5465" w:rsidRPr="006C6D43" w:rsidRDefault="00FA5465" w:rsidP="00FA5465">
            <w:pPr>
              <w:pStyle w:val="Tabletext0"/>
              <w:keepNext/>
              <w:jc w:val="center"/>
              <w:rPr>
                <w:i/>
                <w:iCs/>
              </w:rPr>
            </w:pPr>
            <w:r w:rsidRPr="00711A97">
              <w:rPr>
                <w:rFonts w:cs="Calibri"/>
              </w:rPr>
              <w:t>$15,874,383</w:t>
            </w:r>
          </w:p>
        </w:tc>
        <w:tc>
          <w:tcPr>
            <w:tcW w:w="616" w:type="pct"/>
            <w:noWrap/>
            <w:vAlign w:val="center"/>
          </w:tcPr>
          <w:p w14:paraId="32F09037" w14:textId="76914710" w:rsidR="00FA5465" w:rsidRPr="006C6D43" w:rsidRDefault="00FA5465" w:rsidP="00FA5465">
            <w:pPr>
              <w:pStyle w:val="Tabletext0"/>
              <w:keepNext/>
              <w:jc w:val="center"/>
              <w:rPr>
                <w:i/>
                <w:iCs/>
              </w:rPr>
            </w:pPr>
            <w:r w:rsidRPr="00711A97">
              <w:rPr>
                <w:rFonts w:cs="Calibri"/>
              </w:rPr>
              <w:t>$19,319,364</w:t>
            </w:r>
          </w:p>
        </w:tc>
        <w:tc>
          <w:tcPr>
            <w:tcW w:w="616" w:type="pct"/>
            <w:noWrap/>
            <w:vAlign w:val="center"/>
          </w:tcPr>
          <w:p w14:paraId="51D96B57" w14:textId="3E601957" w:rsidR="00FA5465" w:rsidRPr="006C6D43" w:rsidRDefault="00FA5465" w:rsidP="00FA5465">
            <w:pPr>
              <w:pStyle w:val="Tabletext0"/>
              <w:keepNext/>
              <w:jc w:val="center"/>
              <w:rPr>
                <w:i/>
                <w:iCs/>
              </w:rPr>
            </w:pPr>
            <w:r w:rsidRPr="00711A97">
              <w:rPr>
                <w:rFonts w:cs="Calibri"/>
              </w:rPr>
              <w:t>$23,511,959</w:t>
            </w:r>
          </w:p>
        </w:tc>
        <w:tc>
          <w:tcPr>
            <w:tcW w:w="616" w:type="pct"/>
            <w:noWrap/>
            <w:vAlign w:val="center"/>
          </w:tcPr>
          <w:p w14:paraId="1CF7CEE3" w14:textId="07B8E112" w:rsidR="00FA5465" w:rsidRPr="006C6D43" w:rsidRDefault="00FA5465" w:rsidP="00FA5465">
            <w:pPr>
              <w:pStyle w:val="Tabletext0"/>
              <w:keepNext/>
              <w:jc w:val="center"/>
              <w:rPr>
                <w:i/>
                <w:iCs/>
              </w:rPr>
            </w:pPr>
            <w:r w:rsidRPr="00711A97">
              <w:rPr>
                <w:rFonts w:cs="Calibri"/>
              </w:rPr>
              <w:t>$28,614,411</w:t>
            </w:r>
          </w:p>
        </w:tc>
        <w:tc>
          <w:tcPr>
            <w:tcW w:w="616" w:type="pct"/>
            <w:noWrap/>
            <w:vAlign w:val="center"/>
          </w:tcPr>
          <w:p w14:paraId="69C88B9E" w14:textId="5A9F276F" w:rsidR="00FA5465" w:rsidRPr="006C6D43" w:rsidRDefault="00FA5465" w:rsidP="00FA5465">
            <w:pPr>
              <w:pStyle w:val="Tabletext0"/>
              <w:keepNext/>
              <w:jc w:val="center"/>
              <w:rPr>
                <w:i/>
                <w:iCs/>
              </w:rPr>
            </w:pPr>
            <w:r w:rsidRPr="00711A97">
              <w:rPr>
                <w:rFonts w:cs="Calibri"/>
              </w:rPr>
              <w:t>$34,824,172</w:t>
            </w:r>
          </w:p>
        </w:tc>
        <w:tc>
          <w:tcPr>
            <w:tcW w:w="613" w:type="pct"/>
            <w:vAlign w:val="center"/>
          </w:tcPr>
          <w:p w14:paraId="4DA10C3B" w14:textId="26B8BA7F" w:rsidR="00FA5465" w:rsidRPr="006C6D43" w:rsidRDefault="00FA5465" w:rsidP="00FA5465">
            <w:pPr>
              <w:pStyle w:val="Tabletext0"/>
              <w:keepNext/>
              <w:jc w:val="center"/>
              <w:rPr>
                <w:i/>
                <w:iCs/>
              </w:rPr>
            </w:pPr>
            <w:r w:rsidRPr="00711A97">
              <w:rPr>
                <w:rFonts w:cs="Calibri"/>
              </w:rPr>
              <w:t>$42,381,545</w:t>
            </w:r>
          </w:p>
        </w:tc>
      </w:tr>
      <w:tr w:rsidR="00FA5465" w:rsidRPr="006C6D43" w14:paraId="741A1EE5" w14:textId="77777777" w:rsidTr="006C6D43">
        <w:trPr>
          <w:trHeight w:val="290"/>
        </w:trPr>
        <w:tc>
          <w:tcPr>
            <w:tcW w:w="1307" w:type="pct"/>
            <w:noWrap/>
            <w:vAlign w:val="center"/>
          </w:tcPr>
          <w:p w14:paraId="79619305" w14:textId="77777777" w:rsidR="00FA5465" w:rsidRPr="006C6D43" w:rsidRDefault="00FA5465" w:rsidP="00FA5465">
            <w:pPr>
              <w:pStyle w:val="Tabletext0"/>
              <w:keepNext/>
              <w:jc w:val="left"/>
            </w:pPr>
            <w:r w:rsidRPr="006C6D43">
              <w:t>34% of eligible patients who respond after 2 cycles get 4</w:t>
            </w:r>
            <w:r w:rsidRPr="006C6D43">
              <w:rPr>
                <w:vertAlign w:val="superscript"/>
              </w:rPr>
              <w:t>th</w:t>
            </w:r>
            <w:r w:rsidRPr="006C6D43">
              <w:t xml:space="preserve"> cycle</w:t>
            </w:r>
          </w:p>
        </w:tc>
        <w:tc>
          <w:tcPr>
            <w:tcW w:w="616" w:type="pct"/>
            <w:noWrap/>
            <w:vAlign w:val="center"/>
          </w:tcPr>
          <w:p w14:paraId="2F521304" w14:textId="17D76691" w:rsidR="00FA5465" w:rsidRPr="006C6D43" w:rsidRDefault="00FA5465" w:rsidP="00FA5465">
            <w:pPr>
              <w:pStyle w:val="Tabletext0"/>
              <w:keepNext/>
              <w:jc w:val="center"/>
              <w:rPr>
                <w:i/>
                <w:iCs/>
              </w:rPr>
            </w:pPr>
            <w:r w:rsidRPr="00711A97">
              <w:rPr>
                <w:rFonts w:cs="Calibri"/>
              </w:rPr>
              <w:t>$17,788,131</w:t>
            </w:r>
          </w:p>
        </w:tc>
        <w:tc>
          <w:tcPr>
            <w:tcW w:w="616" w:type="pct"/>
            <w:noWrap/>
            <w:vAlign w:val="center"/>
          </w:tcPr>
          <w:p w14:paraId="7AB03F04" w14:textId="3D8686A4" w:rsidR="00FA5465" w:rsidRPr="006C6D43" w:rsidRDefault="00FA5465" w:rsidP="00FA5465">
            <w:pPr>
              <w:pStyle w:val="Tabletext0"/>
              <w:keepNext/>
              <w:jc w:val="center"/>
              <w:rPr>
                <w:i/>
                <w:iCs/>
              </w:rPr>
            </w:pPr>
            <w:r w:rsidRPr="00711A97">
              <w:rPr>
                <w:rFonts w:cs="Calibri"/>
              </w:rPr>
              <w:t>$21,648,426</w:t>
            </w:r>
          </w:p>
        </w:tc>
        <w:tc>
          <w:tcPr>
            <w:tcW w:w="616" w:type="pct"/>
            <w:noWrap/>
            <w:vAlign w:val="center"/>
          </w:tcPr>
          <w:p w14:paraId="566E6FFE" w14:textId="6CE823BB" w:rsidR="00FA5465" w:rsidRPr="006C6D43" w:rsidRDefault="00FA5465" w:rsidP="00FA5465">
            <w:pPr>
              <w:pStyle w:val="Tabletext0"/>
              <w:keepNext/>
              <w:jc w:val="center"/>
              <w:rPr>
                <w:i/>
                <w:iCs/>
              </w:rPr>
            </w:pPr>
            <w:r w:rsidRPr="00711A97">
              <w:rPr>
                <w:rFonts w:cs="Calibri"/>
              </w:rPr>
              <w:t>$26,346,462</w:t>
            </w:r>
          </w:p>
        </w:tc>
        <w:tc>
          <w:tcPr>
            <w:tcW w:w="616" w:type="pct"/>
            <w:noWrap/>
            <w:vAlign w:val="center"/>
          </w:tcPr>
          <w:p w14:paraId="65CB40B5" w14:textId="20AFBB31" w:rsidR="00FA5465" w:rsidRPr="006C6D43" w:rsidRDefault="00FA5465" w:rsidP="00FA5465">
            <w:pPr>
              <w:pStyle w:val="Tabletext0"/>
              <w:keepNext/>
              <w:jc w:val="center"/>
              <w:rPr>
                <w:i/>
                <w:iCs/>
              </w:rPr>
            </w:pPr>
            <w:r w:rsidRPr="00711A97">
              <w:rPr>
                <w:rFonts w:cs="Calibri"/>
              </w:rPr>
              <w:t>$32,064,044</w:t>
            </w:r>
          </w:p>
        </w:tc>
        <w:tc>
          <w:tcPr>
            <w:tcW w:w="616" w:type="pct"/>
            <w:noWrap/>
            <w:vAlign w:val="center"/>
          </w:tcPr>
          <w:p w14:paraId="417E4D00" w14:textId="10ACFCD4" w:rsidR="00FA5465" w:rsidRPr="006C6D43" w:rsidRDefault="00FA5465" w:rsidP="00FA5465">
            <w:pPr>
              <w:pStyle w:val="Tabletext0"/>
              <w:keepNext/>
              <w:jc w:val="center"/>
              <w:rPr>
                <w:i/>
                <w:iCs/>
              </w:rPr>
            </w:pPr>
            <w:r w:rsidRPr="00711A97">
              <w:rPr>
                <w:rFonts w:cs="Calibri"/>
              </w:rPr>
              <w:t>$39,022,427</w:t>
            </w:r>
          </w:p>
        </w:tc>
        <w:tc>
          <w:tcPr>
            <w:tcW w:w="613" w:type="pct"/>
            <w:vAlign w:val="center"/>
          </w:tcPr>
          <w:p w14:paraId="255CCC66" w14:textId="576C0311" w:rsidR="00FA5465" w:rsidRPr="006C6D43" w:rsidRDefault="00FA5465" w:rsidP="00FA5465">
            <w:pPr>
              <w:pStyle w:val="Tabletext0"/>
              <w:keepNext/>
              <w:jc w:val="center"/>
              <w:rPr>
                <w:i/>
                <w:iCs/>
              </w:rPr>
            </w:pPr>
            <w:r w:rsidRPr="00711A97">
              <w:rPr>
                <w:rFonts w:cs="Calibri"/>
              </w:rPr>
              <w:t>$47,490,885</w:t>
            </w:r>
          </w:p>
        </w:tc>
      </w:tr>
    </w:tbl>
    <w:p w14:paraId="29204016" w14:textId="77777777" w:rsidR="00082D94" w:rsidRPr="008C4113" w:rsidRDefault="00082D94" w:rsidP="00082D94">
      <w:pPr>
        <w:pStyle w:val="TableFigNotes18"/>
        <w:keepNext/>
        <w:rPr>
          <w:rFonts w:ascii="Arial Narrow" w:hAnsi="Arial Narrow"/>
          <w:sz w:val="18"/>
          <w:szCs w:val="18"/>
        </w:rPr>
      </w:pPr>
      <w:r w:rsidRPr="008C4113">
        <w:rPr>
          <w:rFonts w:ascii="Arial Narrow" w:hAnsi="Arial Narrow"/>
          <w:sz w:val="18"/>
          <w:szCs w:val="18"/>
        </w:rPr>
        <w:t>Source: Attachment 2 ‘Mortality method’ sheet</w:t>
      </w:r>
    </w:p>
    <w:p w14:paraId="5547606F" w14:textId="77777777" w:rsidR="00082D94" w:rsidRDefault="00082D94" w:rsidP="00082D94">
      <w:pPr>
        <w:pStyle w:val="TableFigNotes18"/>
        <w:keepNext/>
        <w:rPr>
          <w:rFonts w:ascii="Arial Narrow" w:hAnsi="Arial Narrow"/>
          <w:sz w:val="18"/>
          <w:szCs w:val="22"/>
        </w:rPr>
      </w:pPr>
      <w:r w:rsidRPr="008C4113">
        <w:rPr>
          <w:rFonts w:ascii="Arial Narrow" w:hAnsi="Arial Narrow"/>
          <w:sz w:val="18"/>
          <w:szCs w:val="22"/>
        </w:rPr>
        <w:t>Abbreviations: Lu, Lutetium; MBS, Medicare Benefits Scheme; PSMA, prostate specific membrane antigen; PBS, Pharmaceutical Benefits Scheme; RPBS, Repatriation Pharmaceutical Benefits Scheme</w:t>
      </w:r>
    </w:p>
    <w:p w14:paraId="2E4B775D" w14:textId="77777777" w:rsidR="00082D94" w:rsidRPr="00105022" w:rsidRDefault="00082D94" w:rsidP="00082D94">
      <w:pPr>
        <w:pStyle w:val="TableFigNotes18"/>
        <w:keepNext/>
        <w:rPr>
          <w:rFonts w:ascii="Arial Narrow" w:hAnsi="Arial Narrow"/>
          <w:sz w:val="18"/>
          <w:szCs w:val="22"/>
        </w:rPr>
      </w:pPr>
      <w:r w:rsidRPr="00105022">
        <w:rPr>
          <w:rFonts w:ascii="Arial Narrow" w:hAnsi="Arial Narrow"/>
          <w:sz w:val="18"/>
          <w:szCs w:val="22"/>
        </w:rPr>
        <w:t>*</w:t>
      </w:r>
      <w:r>
        <w:rPr>
          <w:rFonts w:ascii="Arial Narrow" w:hAnsi="Arial Narrow"/>
          <w:sz w:val="18"/>
          <w:szCs w:val="22"/>
        </w:rPr>
        <w:t>Net Costs to the MBS and RPBS is based on the assumption that 18% of post Lu-PSMA patients receive cabazitaxel</w:t>
      </w:r>
      <w:r w:rsidRPr="00105022">
        <w:rPr>
          <w:rFonts w:ascii="Arial Narrow" w:hAnsi="Arial Narrow"/>
          <w:sz w:val="18"/>
          <w:szCs w:val="22"/>
        </w:rPr>
        <w:t>.</w:t>
      </w:r>
    </w:p>
    <w:p w14:paraId="202EF9FD" w14:textId="32867B23" w:rsidR="00082D94" w:rsidRDefault="00082D94" w:rsidP="00082D94">
      <w:r>
        <w:t xml:space="preserve">Compared to the </w:t>
      </w:r>
      <w:r w:rsidR="006C6D43">
        <w:t>original ADAR</w:t>
      </w:r>
      <w:r>
        <w:t xml:space="preserve"> (</w:t>
      </w:r>
      <w:r w:rsidR="006C6D43">
        <w:t xml:space="preserve">MSAC </w:t>
      </w:r>
      <w:r>
        <w:t>1686)</w:t>
      </w:r>
      <w:r w:rsidR="006C6D43">
        <w:t>,</w:t>
      </w:r>
      <w:r>
        <w:t xml:space="preserve"> the savings to the PBS/RPBS is reduced due to the co-payment reduction from $42.50 to $30 and also the significant decrease in the weighted public/private cost of cabazitaxel from $1,165.94 per cycle to $271.56 per cycle.</w:t>
      </w:r>
    </w:p>
    <w:p w14:paraId="45391229" w14:textId="6382F88F" w:rsidR="00082D94" w:rsidRDefault="00082D94" w:rsidP="00082D94">
      <w:r>
        <w:t xml:space="preserve">The base case of 3.63 cycles, based on TheraP, of </w:t>
      </w:r>
      <w:r w:rsidR="006C6D43" w:rsidRPr="00082D94">
        <w:rPr>
          <w:vertAlign w:val="superscript"/>
        </w:rPr>
        <w:t>177</w:t>
      </w:r>
      <w:r w:rsidR="006C6D43" w:rsidRPr="004D7132">
        <w:t>Lu</w:t>
      </w:r>
      <w:r w:rsidR="006C6D43">
        <w:t> </w:t>
      </w:r>
      <w:r w:rsidR="006C6D43" w:rsidRPr="004D7132">
        <w:t>PSMA</w:t>
      </w:r>
      <w:r w:rsidR="006C6D43">
        <w:t xml:space="preserve"> i&amp;t </w:t>
      </w:r>
      <w:r>
        <w:t xml:space="preserve">was chosen due to the articles by Emmett </w:t>
      </w:r>
      <w:r w:rsidR="00596780">
        <w:t xml:space="preserve">et al., </w:t>
      </w:r>
      <w:r>
        <w:t>2023 and Flegar et al., 2023 reporting an average of three cycles per patient in their cohorts.</w:t>
      </w:r>
    </w:p>
    <w:p w14:paraId="397A9206" w14:textId="14F05895" w:rsidR="00082D94" w:rsidRDefault="00082D94" w:rsidP="00082D94">
      <w:r>
        <w:t xml:space="preserve">Increased costs to the MBS are incurred as the </w:t>
      </w:r>
      <w:r w:rsidR="006C6D43">
        <w:t>ADA</w:t>
      </w:r>
      <w:r>
        <w:t xml:space="preserve">Rs assumed patient co-payment of 15% for the PET/CT and </w:t>
      </w:r>
      <w:r w:rsidR="006C6D43" w:rsidRPr="00082D94">
        <w:rPr>
          <w:vertAlign w:val="superscript"/>
        </w:rPr>
        <w:t>177</w:t>
      </w:r>
      <w:r w:rsidR="006C6D43" w:rsidRPr="004D7132">
        <w:t>Lu</w:t>
      </w:r>
      <w:r w:rsidR="006C6D43">
        <w:t> </w:t>
      </w:r>
      <w:r w:rsidR="006C6D43" w:rsidRPr="004D7132">
        <w:t>PSMA</w:t>
      </w:r>
      <w:r w:rsidR="006C6D43">
        <w:t xml:space="preserve"> i&amp;t, </w:t>
      </w:r>
      <w:r>
        <w:t>whereas this assessment assumed that the maximum permissible gap of $</w:t>
      </w:r>
      <w:r w:rsidR="00FA5465">
        <w:t>98.70</w:t>
      </w:r>
      <w:r>
        <w:t xml:space="preserve"> would apply as this is an out-patient procedure.</w:t>
      </w:r>
    </w:p>
    <w:p w14:paraId="2E40D5EF" w14:textId="45B391E2" w:rsidR="00082D94" w:rsidRPr="00596780" w:rsidRDefault="00082D94" w:rsidP="00082D94">
      <w:r w:rsidRPr="00596780">
        <w:lastRenderedPageBreak/>
        <w:t xml:space="preserve">The financial implications of this assessment are considerably higher than for </w:t>
      </w:r>
      <w:r w:rsidR="006C6D43" w:rsidRPr="00596780">
        <w:t>the ADARs</w:t>
      </w:r>
      <w:r w:rsidRPr="00596780">
        <w:t xml:space="preserve"> due to assumptions of higher initial uptake of </w:t>
      </w:r>
      <w:r w:rsidR="006C6D43" w:rsidRPr="00596780">
        <w:rPr>
          <w:vertAlign w:val="superscript"/>
        </w:rPr>
        <w:t>177</w:t>
      </w:r>
      <w:r w:rsidR="006C6D43" w:rsidRPr="00596780">
        <w:t xml:space="preserve">Lu PSMA i&amp;t </w:t>
      </w:r>
      <w:r w:rsidRPr="00596780">
        <w:t>and higher growth in uptake over the six years (11.5% vs 20%). These assumptions are considered reasonable based on the information in the application for</w:t>
      </w:r>
      <w:r w:rsidR="000E58C8" w:rsidRPr="00596780">
        <w:t>m for MSAC</w:t>
      </w:r>
      <w:r w:rsidRPr="00596780">
        <w:t xml:space="preserve"> 1686 &amp; 1686.1 that quoted an initial uptake of approximately 25% of the reported eligible population and an aim that </w:t>
      </w:r>
      <w:r w:rsidR="000E58C8" w:rsidRPr="00596780">
        <w:rPr>
          <w:vertAlign w:val="superscript"/>
        </w:rPr>
        <w:t>177</w:t>
      </w:r>
      <w:r w:rsidR="000E58C8" w:rsidRPr="00596780">
        <w:t xml:space="preserve">Lu PSMA i&amp;t </w:t>
      </w:r>
      <w:r w:rsidRPr="00596780">
        <w:t xml:space="preserve">would be available to 60% of the eligible population. Evidence presented from use of </w:t>
      </w:r>
      <w:r w:rsidR="000E58C8" w:rsidRPr="00596780">
        <w:rPr>
          <w:vertAlign w:val="superscript"/>
        </w:rPr>
        <w:t>177</w:t>
      </w:r>
      <w:r w:rsidR="000E58C8" w:rsidRPr="00596780">
        <w:t xml:space="preserve">Lu PSMA i&amp;t </w:t>
      </w:r>
      <w:r w:rsidRPr="00596780">
        <w:t>in Germany supports a rapid uptake in the eligible population. The initial uptake of 25% is also consistent with the assumption that 25% of the comparator arm would be given cabazitaxel, a drug noted for its toxicity.</w:t>
      </w:r>
    </w:p>
    <w:p w14:paraId="4F6B0C7B" w14:textId="1557AF54" w:rsidR="005E3D87" w:rsidRPr="009A3DC6" w:rsidRDefault="00082D94" w:rsidP="005E3D87">
      <w:pPr>
        <w:rPr>
          <w:i/>
          <w:iCs/>
        </w:rPr>
      </w:pPr>
      <w:r>
        <w:t>A limitation to the uptake of this technology will be the number of nuclear imaging departments able to offer this service currently and in the future. Unfortunately, this information was not available to inform this assessment.</w:t>
      </w:r>
    </w:p>
    <w:p w14:paraId="7838A9FF" w14:textId="1E23C5C1" w:rsidR="00772829" w:rsidRPr="00CE28E3" w:rsidRDefault="00C36633" w:rsidP="002A18BE">
      <w:pPr>
        <w:pStyle w:val="Heading2"/>
        <w:numPr>
          <w:ilvl w:val="0"/>
          <w:numId w:val="0"/>
        </w:numPr>
      </w:pPr>
      <w:bookmarkStart w:id="47" w:name="_Toc69491427"/>
      <w:r>
        <w:t>1</w:t>
      </w:r>
      <w:r w:rsidR="00295AD6">
        <w:t>5</w:t>
      </w:r>
      <w:r>
        <w:t>.</w:t>
      </w:r>
      <w:r>
        <w:tab/>
      </w:r>
      <w:r w:rsidR="00772829" w:rsidRPr="00CE28E3">
        <w:t xml:space="preserve">Other relevant </w:t>
      </w:r>
      <w:bookmarkEnd w:id="47"/>
      <w:r w:rsidR="00FA5766">
        <w:t>information</w:t>
      </w:r>
    </w:p>
    <w:p w14:paraId="30DE9625" w14:textId="138C6F50" w:rsidR="00772829" w:rsidRDefault="00031C8D" w:rsidP="00DE3E35">
      <w:r>
        <w:t>Nil</w:t>
      </w:r>
      <w:r w:rsidR="00C531F2">
        <w:t>.</w:t>
      </w:r>
    </w:p>
    <w:p w14:paraId="0A7E6C5D" w14:textId="77777777" w:rsidR="00031C8D" w:rsidRDefault="00031C8D" w:rsidP="00031C8D">
      <w:pPr>
        <w:pStyle w:val="Heading2"/>
        <w:numPr>
          <w:ilvl w:val="0"/>
          <w:numId w:val="0"/>
        </w:numPr>
      </w:pPr>
      <w:r>
        <w:t>16.</w:t>
      </w:r>
      <w:r>
        <w:tab/>
        <w:t>Key issues from ESC to MSAC</w:t>
      </w:r>
    </w:p>
    <w:p w14:paraId="396C34EB" w14:textId="77777777" w:rsidR="00031C8D" w:rsidRDefault="00031C8D" w:rsidP="00031C8D">
      <w:pPr>
        <w:pStyle w:val="BoxName0"/>
      </w:pPr>
      <w:r w:rsidRPr="00C749CB">
        <w:t>Main issues for MSAC consideration</w:t>
      </w:r>
    </w:p>
    <w:p w14:paraId="0736E76D" w14:textId="77777777" w:rsidR="00031C8D" w:rsidRDefault="00031C8D" w:rsidP="00031C8D">
      <w:pPr>
        <w:pStyle w:val="BoxHeading"/>
      </w:pPr>
      <w:r>
        <w:t>Economic issues:</w:t>
      </w:r>
    </w:p>
    <w:p w14:paraId="60590215" w14:textId="77777777" w:rsidR="00031C8D" w:rsidRDefault="00031C8D" w:rsidP="00031C8D">
      <w:pPr>
        <w:pStyle w:val="BoxBullet"/>
      </w:pPr>
      <w:r>
        <w:t>Despite addressing many of the issues identified by previous MSAC, the fit for purpose (FFP) DCAR hybrid model generated new uncertainty. The hybrid model demonstrated the limitations of the data and evidence, and applying new methods that use these existing data requires assumptions and/or involves input transformations that are inherently uncertain.</w:t>
      </w:r>
    </w:p>
    <w:p w14:paraId="51B1D664" w14:textId="28D77FE4" w:rsidR="00031C8D" w:rsidRDefault="00031C8D" w:rsidP="00031C8D">
      <w:pPr>
        <w:pStyle w:val="BoxBullet"/>
      </w:pPr>
      <w:r>
        <w:t>Despite remaining uncertainty around the ICER it is unlikely to fall below $100,000/QALY. This could potentially be estimated with respect to treatment cost based on two limit cases (minimum and maximum discontinuations).</w:t>
      </w:r>
      <w:r w:rsidRPr="00DB2FC7">
        <w:t xml:space="preserve"> </w:t>
      </w:r>
      <w:r w:rsidRPr="004115F3">
        <w:t xml:space="preserve">ESC advised that this additional remodelling should be </w:t>
      </w:r>
      <w:r>
        <w:t>done and</w:t>
      </w:r>
      <w:r w:rsidRPr="004115F3">
        <w:t xml:space="preserve"> provided before MSAC’s consideration</w:t>
      </w:r>
      <w:r>
        <w:t xml:space="preserve">. Subsequently, the assessment group produced an Addendum (see </w:t>
      </w:r>
      <w:r w:rsidR="009F5493">
        <w:t>above Section 13. Economic Evaluation</w:t>
      </w:r>
      <w:r>
        <w:t xml:space="preserve">) which included </w:t>
      </w:r>
      <w:r w:rsidRPr="007C4966">
        <w:rPr>
          <w:szCs w:val="22"/>
          <w:lang w:val="en-US"/>
        </w:rPr>
        <w:t xml:space="preserve">scenario testing </w:t>
      </w:r>
      <w:r>
        <w:rPr>
          <w:szCs w:val="22"/>
          <w:lang w:val="en-US"/>
        </w:rPr>
        <w:t xml:space="preserve">using </w:t>
      </w:r>
      <w:r w:rsidRPr="007C4966">
        <w:rPr>
          <w:szCs w:val="22"/>
          <w:lang w:val="en-US"/>
        </w:rPr>
        <w:t>differing clinical rules for progression</w:t>
      </w:r>
      <w:r>
        <w:rPr>
          <w:szCs w:val="22"/>
          <w:lang w:val="en-US"/>
        </w:rPr>
        <w:t xml:space="preserve"> to model minimum and maximum treatment discontinuation</w:t>
      </w:r>
      <w:r w:rsidRPr="004115F3">
        <w:t>.</w:t>
      </w:r>
    </w:p>
    <w:p w14:paraId="2E7A9059" w14:textId="77777777" w:rsidR="00031C8D" w:rsidRDefault="00031C8D" w:rsidP="00031C8D">
      <w:pPr>
        <w:pStyle w:val="BoxBullet"/>
      </w:pPr>
      <w:r>
        <w:t>Whether it may be more appropriate to have a simplified item descriptor for therapy whereby continuation is based only on lack of disease progression rather than the number of cycles. However, uncertainty remains regarding how treatment response would be detected and treatment decision-making in practice. Specifically, there is uncertainty whether SPECT/CT would be performed after each cycle for the purposes of both disease progression monitoring and clinical decision-making, and how the decision would be made to terminate treatment in non-responders, and its implications to the economic evaluation.</w:t>
      </w:r>
    </w:p>
    <w:p w14:paraId="2F006DE4" w14:textId="77777777" w:rsidR="00031C8D" w:rsidRDefault="00031C8D" w:rsidP="00031C8D">
      <w:pPr>
        <w:pStyle w:val="BoxHeading"/>
      </w:pPr>
      <w:r w:rsidRPr="0083044E">
        <w:t>Financial</w:t>
      </w:r>
      <w:r>
        <w:t xml:space="preserve"> issues:</w:t>
      </w:r>
    </w:p>
    <w:p w14:paraId="3E848936" w14:textId="77777777" w:rsidR="00031C8D" w:rsidRDefault="00031C8D" w:rsidP="00031C8D">
      <w:pPr>
        <w:pStyle w:val="BoxBullet"/>
      </w:pPr>
      <w:r>
        <w:t>The previously noted issues regarding key assumptions (initial uptake rate, growth of uptake rate, rate of cabazitaxel use) have been addressed.</w:t>
      </w:r>
    </w:p>
    <w:p w14:paraId="739773C6" w14:textId="5A42AB57" w:rsidR="00031C8D" w:rsidRPr="00031C8D" w:rsidRDefault="00031C8D" w:rsidP="00031C8D">
      <w:pPr>
        <w:pStyle w:val="BoxBullet"/>
        <w:rPr>
          <w:rStyle w:val="Strong"/>
          <w:b w:val="0"/>
          <w:bCs w:val="0"/>
        </w:rPr>
      </w:pPr>
      <w:r>
        <w:t>The financial impacts appear more plausible than in previous submissions but are still uncertain.</w:t>
      </w:r>
    </w:p>
    <w:p w14:paraId="1441796E" w14:textId="77777777" w:rsidR="00031C8D" w:rsidRPr="00031C8D" w:rsidRDefault="00031C8D" w:rsidP="00031C8D">
      <w:pPr>
        <w:keepNext/>
        <w:keepLines/>
        <w:rPr>
          <w:rStyle w:val="Strong"/>
          <w:sz w:val="24"/>
          <w:szCs w:val="24"/>
        </w:rPr>
      </w:pPr>
      <w:r w:rsidRPr="00031C8D">
        <w:rPr>
          <w:rStyle w:val="Strong"/>
          <w:sz w:val="24"/>
          <w:szCs w:val="24"/>
        </w:rPr>
        <w:lastRenderedPageBreak/>
        <w:t>ESC discussion</w:t>
      </w:r>
    </w:p>
    <w:p w14:paraId="2EDC3D2A" w14:textId="5658BFD8" w:rsidR="00031C8D" w:rsidRPr="00F560AE" w:rsidRDefault="00031C8D" w:rsidP="00031C8D">
      <w:pPr>
        <w:pStyle w:val="NormalBeforeBullet0"/>
        <w:keepLines/>
      </w:pPr>
      <w:r>
        <w:t xml:space="preserve">ESC noted that this </w:t>
      </w:r>
      <w:r w:rsidRPr="00F560AE">
        <w:t>resubmission request</w:t>
      </w:r>
      <w:r>
        <w:t>ed</w:t>
      </w:r>
      <w:r w:rsidRPr="00F560AE">
        <w:t xml:space="preserve"> Medicare Benefits Schedule (MBS) funding for </w:t>
      </w:r>
      <w:r>
        <w:t xml:space="preserve">a </w:t>
      </w:r>
      <w:r w:rsidRPr="002541C7">
        <w:t>prostate-specific membrane antigen</w:t>
      </w:r>
      <w:r>
        <w:t xml:space="preserve">– (PMSA-) based treatment and diagnostic </w:t>
      </w:r>
      <w:r w:rsidRPr="00F560AE">
        <w:t>technologies</w:t>
      </w:r>
      <w:r>
        <w:t>. The treatment component consists of</w:t>
      </w:r>
      <w:r w:rsidR="00443961">
        <w:t>:</w:t>
      </w:r>
    </w:p>
    <w:p w14:paraId="522343AE" w14:textId="4FB46378" w:rsidR="00031C8D" w:rsidRPr="00381B34" w:rsidRDefault="00031C8D" w:rsidP="00031C8D">
      <w:pPr>
        <w:pStyle w:val="Bullet"/>
        <w:numPr>
          <w:ilvl w:val="0"/>
          <w:numId w:val="24"/>
        </w:numPr>
        <w:spacing w:before="0"/>
        <w:rPr>
          <w:rFonts w:ascii="Franklin Gothic Book" w:hAnsi="Franklin Gothic Book"/>
        </w:rPr>
      </w:pPr>
      <w:r w:rsidRPr="00381B34">
        <w:rPr>
          <w:rFonts w:ascii="Franklin Gothic Book" w:hAnsi="Franklin Gothic Book"/>
          <w:vertAlign w:val="superscript"/>
        </w:rPr>
        <w:t>177</w:t>
      </w:r>
      <w:r w:rsidRPr="00381B34">
        <w:rPr>
          <w:rFonts w:ascii="Franklin Gothic Book" w:hAnsi="Franklin Gothic Book"/>
        </w:rPr>
        <w:t>Lutetium (</w:t>
      </w:r>
      <w:r w:rsidRPr="00381B34">
        <w:rPr>
          <w:rFonts w:ascii="Franklin Gothic Book" w:hAnsi="Franklin Gothic Book"/>
          <w:vertAlign w:val="superscript"/>
        </w:rPr>
        <w:t>177</w:t>
      </w:r>
      <w:r w:rsidRPr="00381B34">
        <w:rPr>
          <w:rFonts w:ascii="Franklin Gothic Book" w:hAnsi="Franklin Gothic Book"/>
        </w:rPr>
        <w:t xml:space="preserve">Lu) PSMA </w:t>
      </w:r>
      <w:r w:rsidRPr="00512976">
        <w:rPr>
          <w:rFonts w:ascii="Franklin Gothic Book" w:hAnsi="Franklin Gothic Book"/>
        </w:rPr>
        <w:t>imaging and therapy (</w:t>
      </w:r>
      <w:r w:rsidRPr="00B35649">
        <w:rPr>
          <w:rFonts w:ascii="Franklin Gothic Book" w:hAnsi="Franklin Gothic Book"/>
          <w:vertAlign w:val="superscript"/>
        </w:rPr>
        <w:t>177</w:t>
      </w:r>
      <w:r w:rsidRPr="00512976">
        <w:rPr>
          <w:rFonts w:ascii="Franklin Gothic Book" w:hAnsi="Franklin Gothic Book"/>
        </w:rPr>
        <w:t>Lu PSMA i&amp;t)</w:t>
      </w:r>
      <w:r w:rsidRPr="00381B34">
        <w:rPr>
          <w:rFonts w:ascii="Franklin Gothic Book" w:hAnsi="Franklin Gothic Book"/>
        </w:rPr>
        <w:t xml:space="preserve"> for treatment of progressive metastatic castrate resistant prostate cancer (mCRPC).</w:t>
      </w:r>
    </w:p>
    <w:p w14:paraId="2DE858BB" w14:textId="77777777" w:rsidR="00031C8D" w:rsidRPr="00381B34" w:rsidRDefault="00031C8D" w:rsidP="00031C8D">
      <w:pPr>
        <w:pStyle w:val="Bullet"/>
        <w:numPr>
          <w:ilvl w:val="0"/>
          <w:numId w:val="0"/>
        </w:numPr>
        <w:rPr>
          <w:rFonts w:ascii="Franklin Gothic Book" w:hAnsi="Franklin Gothic Book"/>
        </w:rPr>
      </w:pPr>
      <w:r w:rsidRPr="00381B34">
        <w:rPr>
          <w:rFonts w:ascii="Franklin Gothic Book" w:hAnsi="Franklin Gothic Book"/>
        </w:rPr>
        <w:t>Eligibility for this treatment is determined by the following diagnostic test:</w:t>
      </w:r>
    </w:p>
    <w:p w14:paraId="45A0D4B3" w14:textId="71D33C12" w:rsidR="00031C8D" w:rsidRDefault="00031C8D" w:rsidP="00031C8D">
      <w:pPr>
        <w:pStyle w:val="BulletLast"/>
        <w:numPr>
          <w:ilvl w:val="0"/>
          <w:numId w:val="24"/>
        </w:numPr>
      </w:pPr>
      <w:r>
        <w:t>W</w:t>
      </w:r>
      <w:r w:rsidRPr="00F560AE">
        <w:t>hole</w:t>
      </w:r>
      <w:r>
        <w:t>-</w:t>
      </w:r>
      <w:r w:rsidRPr="00F560AE">
        <w:t>body PSMA</w:t>
      </w:r>
      <w:r>
        <w:t xml:space="preserve"> </w:t>
      </w:r>
      <w:r w:rsidRPr="00F560AE">
        <w:t>positron emission tomography [PET]/computerised tomography [CT]</w:t>
      </w:r>
      <w:r>
        <w:t>.</w:t>
      </w:r>
    </w:p>
    <w:p w14:paraId="460CBDE7" w14:textId="77777777" w:rsidR="00031C8D" w:rsidRDefault="00031C8D" w:rsidP="00031C8D">
      <w:r>
        <w:t xml:space="preserve">ESC noted that this codependent resubmission had been previously considered by MSAC at its July 2022 and July 2023 meetings. At its most recent consideration, MSAC accepted the previous evidence that </w:t>
      </w:r>
      <w:r w:rsidRPr="004F41B1">
        <w:rPr>
          <w:rStyle w:val="Superscript"/>
        </w:rPr>
        <w:t>177</w:t>
      </w:r>
      <w:r>
        <w:t>Lu PSMA i&amp;t is acceptably safe and effective but continued to have concerns that the incremental cost-effectiveness ratio (ICER) was too high and uncertain. MSAC had also noted that the newly proposed two-step approach to treatment (up to a maximum of 2 cycles initially, then if disease progression had not occurred, up to a maximum of another 4 cycles) was not captured by the structure of the model and had considered that the financial impact was underestimated. MSAC therefore deferred its advice and requested that a revised economic evaluation be conducted, with the model structure corrected to capture the two-step approach to treatment. MSAC also requested a revision to the model to reduce the uncertainty created by the patient-level data from different trials in the same model for determination of progression-free survival (PFS) benefits and costs associated with the intervention. MSAC also requested better justification (or removal) of the selected treatment-specific utility weights. Finally, although MSAC had preferred a more conservative time horizon of 5 years, it had considered a 7.5-year time horizon would likely be acceptable (</w:t>
      </w:r>
      <w:hyperlink r:id="rId18" w:history="1">
        <w:r>
          <w:rPr>
            <w:rStyle w:val="Hyperlink"/>
          </w:rPr>
          <w:t>1686.1 public summary document</w:t>
        </w:r>
      </w:hyperlink>
      <w:r w:rsidRPr="00F3311D">
        <w:t xml:space="preserve"> [PSD]</w:t>
      </w:r>
      <w:r>
        <w:t>).</w:t>
      </w:r>
    </w:p>
    <w:p w14:paraId="71DE2FD1" w14:textId="77777777" w:rsidR="00031C8D" w:rsidRDefault="00031C8D" w:rsidP="00031C8D">
      <w:r>
        <w:t>ESC noted in consultation with the applicant, a fit-for-purpose (FFP) department-contracted assessment report (DCAR) was commissioned to progress the MSAC deferral and requested revisions to the economic model. ESC considered the revised economic model, its outcomes and updated financial analyses at this current meeting.</w:t>
      </w:r>
    </w:p>
    <w:p w14:paraId="73DD4A27" w14:textId="77777777" w:rsidR="00031C8D" w:rsidRDefault="00031C8D" w:rsidP="00031C8D">
      <w:r>
        <w:t>ESC noted the clinical evidence previously presented and considered there were no new clinical issues not previously considered.</w:t>
      </w:r>
    </w:p>
    <w:p w14:paraId="0B72A34C" w14:textId="77777777" w:rsidR="00031C8D" w:rsidRPr="00A45DEF" w:rsidRDefault="00031C8D" w:rsidP="00031C8D">
      <w:pPr>
        <w:pStyle w:val="NormalBeforeBullet0"/>
        <w:rPr>
          <w:rFonts w:eastAsia="Calibri" w:cs="Arial"/>
          <w:bCs/>
        </w:rPr>
      </w:pPr>
      <w:r w:rsidRPr="0045385D">
        <w:rPr>
          <w:rFonts w:eastAsia="Calibri" w:cs="Arial"/>
          <w:bCs/>
          <w:szCs w:val="22"/>
        </w:rPr>
        <w:t>ESC noted and welcomed consultation input from 12 professional organisations and 3 consumer organisations.</w:t>
      </w:r>
      <w:r>
        <w:rPr>
          <w:rFonts w:eastAsia="Calibri" w:cs="Arial"/>
          <w:bCs/>
          <w:szCs w:val="22"/>
        </w:rPr>
        <w:t xml:space="preserve"> ESC noted the strong support for this application from consumers and consumer organisations.</w:t>
      </w:r>
    </w:p>
    <w:p w14:paraId="47EF4817" w14:textId="77777777" w:rsidR="00031C8D" w:rsidRDefault="00031C8D" w:rsidP="00031C8D">
      <w:r>
        <w:t xml:space="preserve">ESC noted consultation feedback from consumer groups that treatment with </w:t>
      </w:r>
      <w:r w:rsidRPr="004F41B1">
        <w:rPr>
          <w:rStyle w:val="Superscript"/>
        </w:rPr>
        <w:t>177</w:t>
      </w:r>
      <w:r>
        <w:t>Lu PSMA i&amp;t has noticeable advantages over other treatments such as chemotherapy and radiation therapy, improving survival and quality of life for patients with mCRPC. Furthermore, it is a safe and efficacious treatment that has significantly less costs for both the government and patients than other treatments.</w:t>
      </w:r>
    </w:p>
    <w:p w14:paraId="41AD7E03" w14:textId="77777777" w:rsidR="00031C8D" w:rsidRDefault="00031C8D" w:rsidP="00031C8D">
      <w:r>
        <w:t xml:space="preserve">ESC noted that the economic evaluation used a hybrid model that apportioned progression free survival (PFS) and overall survival (OS) data from the VISION trial to reflect the proportion of responders in the Re-SPECT trial. As in the previous resubmission model, outcomes for the comparator treatment (a weighted comparator of 25% cabazitaxel and 75% best supportive care) were modelled using a proportional hazards approach, which applied hazard ratios for PFS and OS from the TheraP and VISION trials to the modelled PFS and OS for </w:t>
      </w:r>
      <w:r w:rsidRPr="004F41B1">
        <w:rPr>
          <w:rStyle w:val="Superscript"/>
        </w:rPr>
        <w:t>177</w:t>
      </w:r>
      <w:r>
        <w:t>Lu PSMA i&amp;t.</w:t>
      </w:r>
    </w:p>
    <w:p w14:paraId="37C802E5" w14:textId="77777777" w:rsidR="00031C8D" w:rsidRDefault="00031C8D" w:rsidP="00031C8D">
      <w:r>
        <w:t xml:space="preserve">ESC noted that the patient pathway also remained the same as the previous resubmission. Only patients who had not developed disease progression after receiving </w:t>
      </w:r>
      <w:r w:rsidRPr="004F41B1">
        <w:rPr>
          <w:rStyle w:val="Superscript"/>
        </w:rPr>
        <w:t>177</w:t>
      </w:r>
      <w:r>
        <w:t xml:space="preserve">Lu PSMA i&amp;t in the first 2 cycles (responders) would be eligible to continue the treatment for up to 6 cycles. ESC noted </w:t>
      </w:r>
      <w:r>
        <w:lastRenderedPageBreak/>
        <w:t>that non-responders (patients who developed disease progression in the first 2 cycles) would go on to have subsequent alternative treatment, but ESC considered it unclear how subsequent treatment was captured in the model. ESC noted from the model input summary that 18% of patients were assumed to receive subsequent cabazitaxel treatment. However, 31% of patients enrolled in the Re-SPECT trial were non-responders, and ESC considered that some responders would also progress to subsequent alternative treatment. ESC also queried if, in Australian clinical practice, SPECT/CT assessment would be performed after each cycle for the purposes of both disease progression monitoring and clinical decision-making, and how the decision would be made to terminate treatment in non-responders.</w:t>
      </w:r>
    </w:p>
    <w:p w14:paraId="0F23E1D0" w14:textId="77777777" w:rsidR="00031C8D" w:rsidRDefault="00031C8D" w:rsidP="00031C8D">
      <w:r>
        <w:t>ESC noted that the FFP DCAR model appropriately explored two time-horizons: 7.5 years in the base case and 5 years in a sensitivity analysis. ESC also noted that the time on treatment was updated in the model, now estimated to be 8.88 weeks (or 1.48 cycles) for non-responders and 20.53 weeks (or 3.42 cycles) for responders. Costs were also updated to be current as at November 2023.</w:t>
      </w:r>
    </w:p>
    <w:p w14:paraId="6E9A9B23" w14:textId="77777777" w:rsidR="00031C8D" w:rsidRPr="001139D4" w:rsidRDefault="00031C8D" w:rsidP="00031C8D">
      <w:r>
        <w:t>ESC considered the model inputs and extrapolation methods to be acceptable however, there remained several uncertainties with the FFP DCAR hybrid model. ESC questioned the feasibility of the modelling with respect to the available evidence, specifically regarding the treatment strategies (i.e. </w:t>
      </w:r>
      <w:r w:rsidRPr="004F41B1">
        <w:rPr>
          <w:rStyle w:val="Superscript"/>
        </w:rPr>
        <w:t>177</w:t>
      </w:r>
      <w:r>
        <w:t>Lu PSMA i&amp;t treatment for up to 6 cycles, switching to an alternative treatment at week 6 if disease progression is detected to the current practice of  best supportive care and treatment with cabazitaxel) and the costs based on response (from the Re-SPECT trial) versus PFS/OS outcomes (from the VISION trial). ESC also noted that the limitations of the available evidence translated into input data issues; specifically, a lack of subgroup Kaplan–Meier (KM) curves, time-to-event data, head-to-head data, and a single source for the required parameters.</w:t>
      </w:r>
      <w:r w:rsidRPr="00C54911">
        <w:t xml:space="preserve"> </w:t>
      </w:r>
      <w:r>
        <w:t>ESC also noted that both a state-transition model (STM) and partition-survival model (PSM) were used. ESC considered that this introduced conceptual issues due to the use of two distinct modelling paradigms (‘probability of’ and ‘proportion affected’).</w:t>
      </w:r>
    </w:p>
    <w:p w14:paraId="3C3E7EDB" w14:textId="77777777" w:rsidR="00031C8D" w:rsidRDefault="00031C8D" w:rsidP="00031C8D">
      <w:r>
        <w:t>In addition, ESC noted that the FFP DCAR’s hybrid model assumed that the progression of non-responders could be modelled using the comparator arm. The assessment group stated this was done because all patients were assumed to be identical at baseline in both arms. However, ESC considered that non-responders were likely to be different in each arm, and that it may not be reasonable to assume they would progress in the same way. However, ESC considered it was unclear which direction this would impact the ICER because of the conceptual issues associated with the hybrid model.</w:t>
      </w:r>
    </w:p>
    <w:p w14:paraId="44957C30" w14:textId="694A65C3" w:rsidR="00031C8D" w:rsidRDefault="00031C8D" w:rsidP="00031C8D">
      <w:r>
        <w:t>ESC noted that the FFP DCAR hybrid model resulted in a base case incremental cost of $31,946, a quality-adjusted life year (QALY) gain of 0.208 and an ICER of $153,583/QALY. However, ESC agreed with the assessment group and considered the relationship between PFS, progressed disease (PD) and OS, and responder and non-responder status, suggested the integrity of the model was compromised. ESC noted the hybrid model did not quantify the higher level of uncertainty as a numerical range for alternative interpretations. Therefore, ESC considered these ICER estimates to be unreliable as a basis for decision making.</w:t>
      </w:r>
    </w:p>
    <w:p w14:paraId="35CA151B" w14:textId="77777777" w:rsidR="00031C8D" w:rsidRDefault="00031C8D" w:rsidP="00031C8D">
      <w:r>
        <w:t xml:space="preserve">ESC noted that the assessment group considered the most reliable ICER estimate was informed by an alternative base case model which was revised based on the original PSM model. This was because it relied on VISION trial data for PFS and OS, did not use patient-level data from other studies for PFS benefits and costs, and based time on treatment only on progression (and not on number of cycles). This model resulted in an ICER of $108,742/QALY. </w:t>
      </w:r>
      <w:r w:rsidDel="007518EB">
        <w:t xml:space="preserve">However, </w:t>
      </w:r>
      <w:r>
        <w:t>ESC noted that this model does not explicitly capture response to treatment, instead using PFS as a proxy (as per standard PSM modelling approaches). ESC queried whether this may potentially underestimate the ICER by representing an optimised treatment cost.</w:t>
      </w:r>
    </w:p>
    <w:p w14:paraId="24987438" w14:textId="77777777" w:rsidR="00031C8D" w:rsidRDefault="00031C8D" w:rsidP="00031C8D">
      <w:r>
        <w:lastRenderedPageBreak/>
        <w:t xml:space="preserve">ESC considered that, based on a comparison across several presented models, it appeared that the ICER was unlikely to fall below $100,000/QALY. However, it was unclear whether $108,742 and $153,583 indicated a plausible range. It was also not clear where the true ICER would fit within that range, or if it would be within that range at all. ESC noted the driver across these ICER ranges were the differences in assumptions regarding </w:t>
      </w:r>
      <w:r w:rsidRPr="00592F5F">
        <w:rPr>
          <w:vertAlign w:val="superscript"/>
        </w:rPr>
        <w:t>177</w:t>
      </w:r>
      <w:r w:rsidRPr="00EE7507">
        <w:t>Lu PSMA i&amp;t treatment discontinuation and the approach to treatment cost calculation</w:t>
      </w:r>
      <w:r>
        <w:t xml:space="preserve"> (see Table 10)</w:t>
      </w:r>
      <w:r w:rsidRPr="00EE7507">
        <w:t xml:space="preserve">. </w:t>
      </w:r>
      <w:r>
        <w:t>ESC queried whether the ICER range could be estimated with respect to treatment cost based on two limit cases (minimum and maximum discontinuations).</w:t>
      </w:r>
      <w:r w:rsidRPr="002A174B">
        <w:t xml:space="preserve"> ESC advised that this additional remodelling should be done and provided before MSAC’s consideration</w:t>
      </w:r>
      <w:r>
        <w:t xml:space="preserve"> (see below in box)</w:t>
      </w:r>
      <w:r w:rsidRPr="002A174B">
        <w:t>.</w:t>
      </w:r>
    </w:p>
    <w:p w14:paraId="07AF3FCB" w14:textId="77777777" w:rsidR="00031C8D" w:rsidRDefault="00031C8D" w:rsidP="00031C8D">
      <w:r>
        <w:t xml:space="preserve">ESC considered the sensitivity analyses performed on the FFP DCAR model were not informative for decision making in </w:t>
      </w:r>
      <w:r w:rsidRPr="00C563BE">
        <w:t xml:space="preserve">light of more fundamental problems with the </w:t>
      </w:r>
      <w:r>
        <w:t>base-case</w:t>
      </w:r>
      <w:r w:rsidRPr="00C563BE">
        <w:t xml:space="preserve"> and did not help with the quantification of the key uncertainty of this model</w:t>
      </w:r>
      <w:r>
        <w:t>. In particular, ESC considered the analysis assuming a comparator of 75% cabazitaxel and 25% best supportive care was arbitrary and uninformative.</w:t>
      </w:r>
    </w:p>
    <w:p w14:paraId="692F121B" w14:textId="185E562C" w:rsidR="00031C8D" w:rsidRDefault="00031C8D" w:rsidP="00031C8D">
      <w:pPr>
        <w:pBdr>
          <w:top w:val="single" w:sz="4" w:space="1" w:color="auto"/>
          <w:left w:val="single" w:sz="4" w:space="4" w:color="auto"/>
          <w:bottom w:val="single" w:sz="4" w:space="1" w:color="auto"/>
          <w:right w:val="single" w:sz="4" w:space="4" w:color="auto"/>
        </w:pBdr>
      </w:pPr>
      <w:r>
        <w:t>Note: to further clarify ESC advice to MSAC regarding additional modelling, discussions were held with the assessment group following the ESC meeting. The assessment group produced an Addendum (see</w:t>
      </w:r>
      <w:r w:rsidR="00722472">
        <w:t xml:space="preserve"> </w:t>
      </w:r>
      <w:r w:rsidR="00D20965">
        <w:t xml:space="preserve">above </w:t>
      </w:r>
      <w:r w:rsidR="009E24CA">
        <w:t>Section 13</w:t>
      </w:r>
      <w:r w:rsidR="00D20965">
        <w:t>. Economic Evaluation</w:t>
      </w:r>
      <w:r w:rsidRPr="001566F2">
        <w:t>)</w:t>
      </w:r>
      <w:r>
        <w:rPr>
          <w:b/>
          <w:bCs/>
        </w:rPr>
        <w:t xml:space="preserve"> </w:t>
      </w:r>
      <w:r w:rsidRPr="00B71798">
        <w:t>which included</w:t>
      </w:r>
      <w:r>
        <w:t xml:space="preserve"> </w:t>
      </w:r>
      <w:r w:rsidRPr="00AF423A">
        <w:t>the results of the original model presented in the MSAC 1686 PSD, with a series of various adjustments made to update the time horizon, estimates of effect, comparator split, utilities, unit costs and application of costs from a weekly basis to application of costs at the time of treatment</w:t>
      </w:r>
      <w:r>
        <w:t xml:space="preserve">; and additionally </w:t>
      </w:r>
      <w:r>
        <w:rPr>
          <w:lang w:val="en-US"/>
        </w:rPr>
        <w:t xml:space="preserve">reports </w:t>
      </w:r>
      <w:r w:rsidRPr="007C4966">
        <w:rPr>
          <w:lang w:val="en-US"/>
        </w:rPr>
        <w:t>scenarios testing differing clinical rules for progression</w:t>
      </w:r>
      <w:r>
        <w:rPr>
          <w:lang w:val="en-US"/>
        </w:rPr>
        <w:t xml:space="preserve"> to address </w:t>
      </w:r>
      <w:r w:rsidRPr="008B54EA">
        <w:rPr>
          <w:lang w:val="en-US"/>
        </w:rPr>
        <w:t xml:space="preserve">ESC </w:t>
      </w:r>
      <w:r>
        <w:rPr>
          <w:lang w:val="en-US"/>
        </w:rPr>
        <w:t>request</w:t>
      </w:r>
      <w:r w:rsidRPr="008B54EA">
        <w:rPr>
          <w:lang w:val="en-US"/>
        </w:rPr>
        <w:t xml:space="preserve"> </w:t>
      </w:r>
      <w:r>
        <w:rPr>
          <w:lang w:val="en-US"/>
        </w:rPr>
        <w:t>to estimate</w:t>
      </w:r>
      <w:r w:rsidRPr="008B54EA">
        <w:rPr>
          <w:lang w:val="en-US"/>
        </w:rPr>
        <w:t xml:space="preserve"> </w:t>
      </w:r>
      <w:r>
        <w:rPr>
          <w:lang w:val="en-US"/>
        </w:rPr>
        <w:t xml:space="preserve">what </w:t>
      </w:r>
      <w:r w:rsidRPr="008B54EA">
        <w:rPr>
          <w:lang w:val="en-US"/>
        </w:rPr>
        <w:t xml:space="preserve">the </w:t>
      </w:r>
      <w:r>
        <w:rPr>
          <w:lang w:val="en-US"/>
        </w:rPr>
        <w:t>ICER</w:t>
      </w:r>
      <w:r w:rsidRPr="008B54EA">
        <w:rPr>
          <w:lang w:val="en-US"/>
        </w:rPr>
        <w:t xml:space="preserve"> range could be with respect to treatment cost based on two limit cases [minimum and maximum discontinuations</w:t>
      </w:r>
      <w:r>
        <w:rPr>
          <w:lang w:val="en-US"/>
        </w:rPr>
        <w:t>]. This resulted in an updated base case of $113,346 per QALY which was</w:t>
      </w:r>
      <w:r w:rsidRPr="00CC7844">
        <w:rPr>
          <w:lang w:val="en-US"/>
        </w:rPr>
        <w:t xml:space="preserve"> consistent with the two-step initial (two cycles) and continuing (up to four cycles) item descriptors proposed in the MSAC 1686.1 ADAR resubmission and thus considered to be the updated base case.</w:t>
      </w:r>
      <w:r>
        <w:rPr>
          <w:lang w:val="en-US"/>
        </w:rPr>
        <w:t xml:space="preserve"> As noted in the Addendum, Step D ($113,346/QALY) and E ($121,535/QALY) are considered to represent the likely maximum and minimum discontinuations from treatment, respectively. Sensitivity analyses on the updated base model showed moderate impacts of the assumed health state utility values (the ICER ranging from </w:t>
      </w:r>
      <w:r w:rsidRPr="0043188F">
        <w:rPr>
          <w:lang w:val="en-US"/>
        </w:rPr>
        <w:t>$98,832</w:t>
      </w:r>
      <w:r>
        <w:rPr>
          <w:lang w:val="en-US"/>
        </w:rPr>
        <w:t xml:space="preserve"> to </w:t>
      </w:r>
      <w:r w:rsidRPr="00E2437F">
        <w:rPr>
          <w:lang w:val="en-US"/>
        </w:rPr>
        <w:t>$108,711</w:t>
      </w:r>
      <w:r>
        <w:rPr>
          <w:lang w:val="en-US"/>
        </w:rPr>
        <w:t xml:space="preserve">/QALY over the values tested), and highlighted the incremental OS benefit as a key driver of the model the ICER ranged from $90,807 to $156,727/QALY for the lower and upper bound 95% CI for OS HR in </w:t>
      </w:r>
      <w:r w:rsidRPr="00EE2CF6">
        <w:rPr>
          <w:vertAlign w:val="superscript"/>
          <w:lang w:val="en-US"/>
        </w:rPr>
        <w:t>177</w:t>
      </w:r>
      <w:r w:rsidRPr="0043188F">
        <w:rPr>
          <w:lang w:val="en-US"/>
        </w:rPr>
        <w:t xml:space="preserve">Lu </w:t>
      </w:r>
      <w:r w:rsidRPr="00EE2CF6">
        <w:t>PSMA</w:t>
      </w:r>
      <w:r>
        <w:t> </w:t>
      </w:r>
      <w:r w:rsidRPr="00EE2CF6">
        <w:t>i</w:t>
      </w:r>
      <w:r w:rsidRPr="0043188F">
        <w:rPr>
          <w:lang w:val="en-US"/>
        </w:rPr>
        <w:t xml:space="preserve">&amp;t vs </w:t>
      </w:r>
      <w:r>
        <w:rPr>
          <w:lang w:val="en-US"/>
        </w:rPr>
        <w:t>best supportive care, respectively).</w:t>
      </w:r>
    </w:p>
    <w:p w14:paraId="4DD67AF6" w14:textId="77777777" w:rsidR="00031C8D" w:rsidRDefault="00031C8D" w:rsidP="00031C8D">
      <w:r>
        <w:t>Overall, ESC considered that the FFP DCAR model partly addressed MSAC’s concerns around the use of patient-level data, treatment-agnostic health state utility, and time-horizon but did not reduce uncertainty. Furthermore, ESC considered that the model introduced a new type of uncertainty: the hybrid model is not methodologically robust because it combines two distinct modelling paradigms and uses data that are not sufficiently comprehensive, resulting in the model’s elements not being mathematically precise. Additionally, ESC noted that the assessment group made efforts to capture the two-step treatment approach accurately while recognising that the extent to which clinical decision-making will align with the model and the proposed MBS items for therapy (up to 2 in the initial treatment phase item and up to 4-cycles in the continuing treatment phase treatment item) in practice remained unclear.</w:t>
      </w:r>
    </w:p>
    <w:p w14:paraId="38381173" w14:textId="77777777" w:rsidR="00031C8D" w:rsidRDefault="00031C8D" w:rsidP="00031C8D">
      <w:r>
        <w:t>ESC considered that the availability of new data was unlikely to provide enough detail to fully address uncertainties, and that opportunities for the original investigation had been largely exhausted due to the limitations of the data and methods.</w:t>
      </w:r>
    </w:p>
    <w:p w14:paraId="5A0239B3" w14:textId="77777777" w:rsidR="00031C8D" w:rsidRDefault="00031C8D" w:rsidP="00031C8D">
      <w:r>
        <w:t>In addition, ESC queried w</w:t>
      </w:r>
      <w:r w:rsidRPr="00965037">
        <w:t xml:space="preserve">hether it may be more appropriate to have a simplified item descriptor </w:t>
      </w:r>
      <w:r>
        <w:t>whereby continuation</w:t>
      </w:r>
      <w:r w:rsidRPr="00965037">
        <w:t xml:space="preserve"> is based only on disease progression, </w:t>
      </w:r>
      <w:r>
        <w:t>rather than</w:t>
      </w:r>
      <w:r w:rsidRPr="00965037">
        <w:t xml:space="preserve"> the number of cycles</w:t>
      </w:r>
      <w:r>
        <w:t xml:space="preserve">. </w:t>
      </w:r>
      <w:r w:rsidRPr="00965037">
        <w:t xml:space="preserve"> </w:t>
      </w:r>
      <w:r>
        <w:t>H</w:t>
      </w:r>
      <w:r w:rsidRPr="00965037">
        <w:t>owever</w:t>
      </w:r>
      <w:r>
        <w:t>,</w:t>
      </w:r>
      <w:r w:rsidRPr="00965037">
        <w:t xml:space="preserve"> uncertainty also remains regarding </w:t>
      </w:r>
      <w:r>
        <w:t xml:space="preserve">how </w:t>
      </w:r>
      <w:r w:rsidRPr="00965037">
        <w:t xml:space="preserve">response </w:t>
      </w:r>
      <w:r>
        <w:t>is detected</w:t>
      </w:r>
      <w:r w:rsidRPr="00965037">
        <w:t xml:space="preserve"> and treatment decision-</w:t>
      </w:r>
      <w:r w:rsidRPr="00965037">
        <w:lastRenderedPageBreak/>
        <w:t>making in practice</w:t>
      </w:r>
      <w:r>
        <w:t>.</w:t>
      </w:r>
      <w:r w:rsidRPr="00965037">
        <w:t xml:space="preserve"> </w:t>
      </w:r>
      <w:r>
        <w:t>S</w:t>
      </w:r>
      <w:r w:rsidRPr="00965037">
        <w:t>pecifically</w:t>
      </w:r>
      <w:r>
        <w:t>,</w:t>
      </w:r>
      <w:r w:rsidRPr="00965037">
        <w:t xml:space="preserve"> </w:t>
      </w:r>
      <w:r>
        <w:t>there is uncertainty</w:t>
      </w:r>
      <w:r w:rsidRPr="00965037">
        <w:t xml:space="preserve"> whether SPECT/CT would be performed after each cycle for </w:t>
      </w:r>
      <w:r>
        <w:t xml:space="preserve">the purposes of </w:t>
      </w:r>
      <w:r w:rsidRPr="00965037">
        <w:t>both disease progression monitoring and clinical decision-making, and how the decision would be made to terminate treatment in non-responders, and its</w:t>
      </w:r>
      <w:r>
        <w:t xml:space="preserve"> </w:t>
      </w:r>
      <w:r w:rsidRPr="00965037">
        <w:t>implications to the economic evaluation.</w:t>
      </w:r>
    </w:p>
    <w:p w14:paraId="226C6876" w14:textId="77777777" w:rsidR="00031C8D" w:rsidRPr="008B34FF" w:rsidDel="00081432" w:rsidRDefault="00031C8D" w:rsidP="00031C8D">
      <w:r w:rsidDel="00081432">
        <w:t xml:space="preserve">ESC noted that </w:t>
      </w:r>
      <w:r>
        <w:t xml:space="preserve">the FFP DCAR provided additional information to inform MSAC in determining the justification </w:t>
      </w:r>
      <w:r w:rsidRPr="004E51B7">
        <w:t>of the requested fee</w:t>
      </w:r>
      <w:r>
        <w:t xml:space="preserve"> for </w:t>
      </w:r>
      <w:r>
        <w:rPr>
          <w:vertAlign w:val="superscript"/>
        </w:rPr>
        <w:t>177</w:t>
      </w:r>
      <w:r>
        <w:t>Lu PSMA i&amp;t (see Table 12)</w:t>
      </w:r>
      <w:r w:rsidRPr="004E51B7">
        <w:t xml:space="preserve">. </w:t>
      </w:r>
      <w:r>
        <w:t xml:space="preserve"> T</w:t>
      </w:r>
      <w:r w:rsidDel="00081432">
        <w:t>his was based on a Dutch healthcare payer’s perspective, with all costs inflated to 2021 prices in euros using the consumer price index of the Dutch Central Bureau of Statistics</w:t>
      </w:r>
      <w:r>
        <w:t xml:space="preserve"> </w:t>
      </w:r>
      <w:r w:rsidDel="00081432">
        <w:t xml:space="preserve">and did not include fixed or capital costs. ESC </w:t>
      </w:r>
      <w:r>
        <w:t>noted</w:t>
      </w:r>
      <w:r w:rsidDel="00081432">
        <w:t xml:space="preserve"> these costs </w:t>
      </w:r>
      <w:r>
        <w:t>were not</w:t>
      </w:r>
      <w:r w:rsidDel="00081432">
        <w:t xml:space="preserve"> applicable to the Australian setting.</w:t>
      </w:r>
    </w:p>
    <w:p w14:paraId="33F047F1" w14:textId="77777777" w:rsidR="00031C8D" w:rsidRDefault="00031C8D" w:rsidP="00031C8D">
      <w:r>
        <w:t>ESC noted the approach used to estimate the financial impact. The estimated population with mCRPC was updated to reflect the 2024–29</w:t>
      </w:r>
      <w:r w:rsidRPr="00100F59">
        <w:t xml:space="preserve"> </w:t>
      </w:r>
      <w:r>
        <w:t xml:space="preserve">period, and the average growth rate increased from 1.3% to 1.418% (based on new data from the Australian Bureau of Statistics). The comparator split (25% cabazitaxel and 75% best supportive care) was the same as that used in the previous submission. The average number of </w:t>
      </w:r>
      <w:r w:rsidRPr="004F41B1">
        <w:rPr>
          <w:rStyle w:val="Superscript"/>
        </w:rPr>
        <w:t>177</w:t>
      </w:r>
      <w:r>
        <w:t xml:space="preserve">Lu PSMA i&amp;t cycles in the base case decreased from 4.7 in the original application to 3.63 (based on the TheraP trial). </w:t>
      </w:r>
      <w:r w:rsidRPr="007C2FCB">
        <w:rPr>
          <w:lang w:val="en-GB"/>
        </w:rPr>
        <w:t xml:space="preserve">Cabazitaxel and administration costs </w:t>
      </w:r>
      <w:r>
        <w:rPr>
          <w:lang w:val="en-GB"/>
        </w:rPr>
        <w:t xml:space="preserve">were also </w:t>
      </w:r>
      <w:r w:rsidRPr="007C2FCB">
        <w:rPr>
          <w:lang w:val="en-GB"/>
        </w:rPr>
        <w:t>updated</w:t>
      </w:r>
      <w:r>
        <w:rPr>
          <w:lang w:val="en-GB"/>
        </w:rPr>
        <w:t>.</w:t>
      </w:r>
    </w:p>
    <w:p w14:paraId="2404B08F" w14:textId="77777777" w:rsidR="00031C8D" w:rsidRDefault="00031C8D" w:rsidP="00031C8D">
      <w:pPr>
        <w:pStyle w:val="NormalBeforeBullet0"/>
      </w:pPr>
      <w:r>
        <w:t>Regarding the stepwise approach to treatment, it was assumed that:</w:t>
      </w:r>
    </w:p>
    <w:p w14:paraId="62F626C7" w14:textId="77777777" w:rsidR="00031C8D" w:rsidRPr="007C2FCB" w:rsidRDefault="00031C8D" w:rsidP="00031C8D">
      <w:pPr>
        <w:pStyle w:val="ListParagraph"/>
        <w:numPr>
          <w:ilvl w:val="0"/>
          <w:numId w:val="23"/>
        </w:numPr>
        <w:spacing w:before="0" w:after="240" w:line="240" w:lineRule="auto"/>
      </w:pPr>
      <w:r w:rsidRPr="007C2FCB">
        <w:rPr>
          <w:lang w:val="en-GB"/>
        </w:rPr>
        <w:t xml:space="preserve">All eligible patients receive </w:t>
      </w:r>
      <w:r>
        <w:rPr>
          <w:lang w:val="en-GB"/>
        </w:rPr>
        <w:t>2 </w:t>
      </w:r>
      <w:r w:rsidRPr="007C2FCB">
        <w:rPr>
          <w:lang w:val="en-GB"/>
        </w:rPr>
        <w:t>initial cycles</w:t>
      </w:r>
      <w:r>
        <w:rPr>
          <w:lang w:val="en-GB"/>
        </w:rPr>
        <w:t>.</w:t>
      </w:r>
    </w:p>
    <w:p w14:paraId="183A8F6A" w14:textId="77777777" w:rsidR="00031C8D" w:rsidRPr="007C2FCB" w:rsidRDefault="00031C8D" w:rsidP="00031C8D">
      <w:pPr>
        <w:pStyle w:val="ListParagraph"/>
        <w:numPr>
          <w:ilvl w:val="0"/>
          <w:numId w:val="23"/>
        </w:numPr>
        <w:spacing w:before="0" w:after="240" w:line="240" w:lineRule="auto"/>
      </w:pPr>
      <w:r w:rsidRPr="007C2FCB">
        <w:rPr>
          <w:lang w:val="en-GB"/>
        </w:rPr>
        <w:t xml:space="preserve">All eligible patients who respond after </w:t>
      </w:r>
      <w:r>
        <w:rPr>
          <w:lang w:val="en-GB"/>
        </w:rPr>
        <w:t>2 </w:t>
      </w:r>
      <w:r w:rsidRPr="007C2FCB">
        <w:rPr>
          <w:lang w:val="en-GB"/>
        </w:rPr>
        <w:t>cycles (69% based on Emmett 2023) receive an additional cycle; 34% of responders receive a fourth cycle (Emmett 2023)</w:t>
      </w:r>
      <w:r>
        <w:rPr>
          <w:lang w:val="en-GB"/>
        </w:rPr>
        <w:t>. A</w:t>
      </w:r>
      <w:r w:rsidRPr="00C26286">
        <w:rPr>
          <w:lang w:val="en-GB"/>
        </w:rPr>
        <w:t>lthough individual patients may be eligible to receive up to 6 cycles, evidence (TheraP, Flegar 2023) shows that patients receive an average of between 3 and 4 cycles.</w:t>
      </w:r>
    </w:p>
    <w:p w14:paraId="199C974C" w14:textId="77777777" w:rsidR="00031C8D" w:rsidRPr="007C2FCB" w:rsidRDefault="00031C8D" w:rsidP="00031C8D">
      <w:pPr>
        <w:pStyle w:val="ListParagraph"/>
        <w:numPr>
          <w:ilvl w:val="0"/>
          <w:numId w:val="23"/>
        </w:numPr>
        <w:spacing w:before="0" w:after="240" w:line="240" w:lineRule="auto"/>
      </w:pPr>
      <w:r>
        <w:rPr>
          <w:lang w:val="en-GB"/>
        </w:rPr>
        <w:t>The initial u</w:t>
      </w:r>
      <w:r w:rsidRPr="007C2FCB">
        <w:rPr>
          <w:lang w:val="en-GB"/>
        </w:rPr>
        <w:t xml:space="preserve">ptake </w:t>
      </w:r>
      <w:r>
        <w:rPr>
          <w:lang w:val="en-GB"/>
        </w:rPr>
        <w:t>is</w:t>
      </w:r>
      <w:r w:rsidRPr="007C2FCB">
        <w:rPr>
          <w:lang w:val="en-GB"/>
        </w:rPr>
        <w:t xml:space="preserve"> 25%, </w:t>
      </w:r>
      <w:r>
        <w:rPr>
          <w:lang w:val="en-GB"/>
        </w:rPr>
        <w:t>growing</w:t>
      </w:r>
      <w:r w:rsidRPr="007C2FCB">
        <w:rPr>
          <w:lang w:val="en-GB"/>
        </w:rPr>
        <w:t xml:space="preserve"> by 20% </w:t>
      </w:r>
      <w:r>
        <w:rPr>
          <w:lang w:val="en-GB"/>
        </w:rPr>
        <w:t xml:space="preserve">each year </w:t>
      </w:r>
      <w:r w:rsidRPr="007C2FCB">
        <w:rPr>
          <w:lang w:val="en-GB"/>
        </w:rPr>
        <w:t xml:space="preserve">until reaching 60% of </w:t>
      </w:r>
      <w:r>
        <w:rPr>
          <w:lang w:val="en-GB"/>
        </w:rPr>
        <w:t xml:space="preserve">the </w:t>
      </w:r>
      <w:r w:rsidRPr="007C2FCB">
        <w:rPr>
          <w:lang w:val="en-GB"/>
        </w:rPr>
        <w:t>eligible population in 2029</w:t>
      </w:r>
      <w:r>
        <w:rPr>
          <w:lang w:val="en-GB"/>
        </w:rPr>
        <w:t xml:space="preserve">. The </w:t>
      </w:r>
      <w:r w:rsidRPr="007C2FCB">
        <w:rPr>
          <w:lang w:val="en-GB"/>
        </w:rPr>
        <w:t>initial uptake increased from 11.5% in the original application</w:t>
      </w:r>
      <w:r>
        <w:rPr>
          <w:lang w:val="en-GB"/>
        </w:rPr>
        <w:t xml:space="preserve">. </w:t>
      </w:r>
      <w:r>
        <w:t xml:space="preserve">ESC considered that the higher uptake rate was more appropriate based on the toxicity of cabazitaxel however, uptake may be limited by availability. ESC noted that the higher uptake rate was supported by evidence from Germany. </w:t>
      </w:r>
    </w:p>
    <w:p w14:paraId="27650485" w14:textId="77777777" w:rsidR="00031C8D" w:rsidRPr="007C2FCB" w:rsidRDefault="00031C8D" w:rsidP="00031C8D">
      <w:pPr>
        <w:pStyle w:val="ListParagraph"/>
        <w:numPr>
          <w:ilvl w:val="0"/>
          <w:numId w:val="23"/>
        </w:numPr>
        <w:spacing w:before="0" w:after="240" w:line="240" w:lineRule="auto"/>
      </w:pPr>
      <w:r>
        <w:rPr>
          <w:lang w:val="en-GB"/>
        </w:rPr>
        <w:t>G</w:t>
      </w:r>
      <w:r w:rsidRPr="007C2FCB">
        <w:rPr>
          <w:lang w:val="en-GB"/>
        </w:rPr>
        <w:t xml:space="preserve">rowth rate values </w:t>
      </w:r>
      <w:r>
        <w:rPr>
          <w:lang w:val="en-GB"/>
        </w:rPr>
        <w:t xml:space="preserve">are </w:t>
      </w:r>
      <w:r w:rsidRPr="007C2FCB">
        <w:rPr>
          <w:lang w:val="en-GB"/>
        </w:rPr>
        <w:t>10% and 15%</w:t>
      </w:r>
      <w:r>
        <w:rPr>
          <w:lang w:val="en-GB"/>
        </w:rPr>
        <w:t xml:space="preserve"> (sensitivity tested).</w:t>
      </w:r>
    </w:p>
    <w:p w14:paraId="696B27D9" w14:textId="77777777" w:rsidR="00031C8D" w:rsidRPr="00F728CF" w:rsidRDefault="00031C8D" w:rsidP="00031C8D">
      <w:pPr>
        <w:pStyle w:val="ListParagraph"/>
        <w:numPr>
          <w:ilvl w:val="0"/>
          <w:numId w:val="23"/>
        </w:numPr>
        <w:spacing w:before="0" w:after="240" w:line="240" w:lineRule="auto"/>
      </w:pPr>
      <w:r w:rsidRPr="007C2FCB">
        <w:rPr>
          <w:lang w:val="en-GB"/>
        </w:rPr>
        <w:t xml:space="preserve">Cabazitaxel use after </w:t>
      </w:r>
      <w:r w:rsidRPr="007C2FCB">
        <w:rPr>
          <w:vertAlign w:val="superscript"/>
          <w:lang w:val="en-GB"/>
        </w:rPr>
        <w:t>177</w:t>
      </w:r>
      <w:r w:rsidRPr="007C2FCB">
        <w:rPr>
          <w:lang w:val="en-GB"/>
        </w:rPr>
        <w:t>Lu PSMA i&amp;t</w:t>
      </w:r>
      <w:r>
        <w:rPr>
          <w:lang w:val="en-GB"/>
        </w:rPr>
        <w:t xml:space="preserve"> is</w:t>
      </w:r>
      <w:r w:rsidRPr="007C2FCB">
        <w:rPr>
          <w:lang w:val="en-GB"/>
        </w:rPr>
        <w:t xml:space="preserve"> 18%</w:t>
      </w:r>
      <w:r w:rsidRPr="00F75F58">
        <w:rPr>
          <w:lang w:val="en-GB"/>
        </w:rPr>
        <w:t>.</w:t>
      </w:r>
    </w:p>
    <w:p w14:paraId="4EE49F40" w14:textId="77777777" w:rsidR="00031C8D" w:rsidRPr="00FA5267" w:rsidRDefault="00031C8D" w:rsidP="00031C8D">
      <w:r>
        <w:t>ESC noted that the overall financial impact was estimated to be $21.1 million in Year 1 increasing to $56.2 million in Year 6. ESC considered these figures to be more plausible than in previous applications, but still uncertain.</w:t>
      </w:r>
    </w:p>
    <w:p w14:paraId="2373C16F" w14:textId="63C986BC" w:rsidR="00031C8D" w:rsidRPr="00031C8D" w:rsidRDefault="00031C8D" w:rsidP="00031C8D">
      <w:pPr>
        <w:rPr>
          <w:b/>
          <w:bCs/>
        </w:rPr>
      </w:pPr>
      <w:r>
        <w:t>ESC also noted that, as previously identified by MSAC (</w:t>
      </w:r>
      <w:hyperlink r:id="rId19" w:history="1">
        <w:r>
          <w:rPr>
            <w:rStyle w:val="Hyperlink"/>
          </w:rPr>
          <w:t>1686.1 PSD</w:t>
        </w:r>
      </w:hyperlink>
      <w:r w:rsidRPr="00F3311D">
        <w:t>)</w:t>
      </w:r>
      <w:r>
        <w:t>, patent-related matters  identified during the consultation feedback process would require consideration by government before the listing of any MBS items resulting from this application (if supported).</w:t>
      </w:r>
    </w:p>
    <w:p w14:paraId="4893297A" w14:textId="77777777" w:rsidR="00031C8D" w:rsidRDefault="00031C8D" w:rsidP="00031C8D">
      <w:pPr>
        <w:pStyle w:val="Heading2"/>
        <w:numPr>
          <w:ilvl w:val="0"/>
          <w:numId w:val="0"/>
        </w:numPr>
      </w:pPr>
      <w:r>
        <w:t>17.</w:t>
      </w:r>
      <w:r>
        <w:tab/>
        <w:t>Applicant comments on MSAC’s Public Summary Document</w:t>
      </w:r>
    </w:p>
    <w:p w14:paraId="50AB0B0E" w14:textId="426C1F55" w:rsidR="00031C8D" w:rsidRPr="00316229" w:rsidRDefault="00C64C97" w:rsidP="00031C8D">
      <w:pPr>
        <w:spacing w:after="240"/>
      </w:pPr>
      <w:r w:rsidRPr="00316229">
        <w:t xml:space="preserve">The applicant advises that a review of the item descriptors </w:t>
      </w:r>
      <w:r w:rsidR="00483271" w:rsidRPr="00316229">
        <w:t>would be beneficial to ensure the MBS items are fit for purpose.</w:t>
      </w:r>
    </w:p>
    <w:p w14:paraId="4CD3FAD7" w14:textId="77777777" w:rsidR="00031C8D" w:rsidRDefault="00031C8D" w:rsidP="00031C8D">
      <w:pPr>
        <w:pStyle w:val="Heading2"/>
        <w:numPr>
          <w:ilvl w:val="0"/>
          <w:numId w:val="0"/>
        </w:numPr>
      </w:pPr>
      <w:r>
        <w:t>18.</w:t>
      </w:r>
      <w:r>
        <w:tab/>
        <w:t>Further information on MSAC</w:t>
      </w:r>
    </w:p>
    <w:p w14:paraId="4FB04A94" w14:textId="63E6A8FA" w:rsidR="00295AD6" w:rsidRDefault="00031C8D" w:rsidP="00011D3B">
      <w:pPr>
        <w:pStyle w:val="BodyText"/>
        <w:rPr>
          <w:rFonts w:ascii="Arial Narrow" w:hAnsi="Arial Narrow"/>
          <w:sz w:val="18"/>
          <w:szCs w:val="18"/>
          <w:lang w:val="en-US"/>
        </w:rPr>
      </w:pPr>
      <w:r w:rsidRPr="00F309FA">
        <w:rPr>
          <w:rFonts w:ascii="Franklin Gothic Book" w:hAnsi="Franklin Gothic Book"/>
          <w:bCs/>
          <w:iCs/>
        </w:rPr>
        <w:t xml:space="preserve">MSAC Terms of Reference and other information are available on the MSAC Website: </w:t>
      </w:r>
      <w:hyperlink r:id="rId20" w:tooltip="Link to the MSAC website" w:history="1">
        <w:r w:rsidRPr="00F309FA">
          <w:rPr>
            <w:rStyle w:val="Hyperlink"/>
            <w:rFonts w:ascii="Franklin Gothic Book" w:hAnsi="Franklin Gothic Book"/>
            <w:bCs/>
            <w:iCs/>
          </w:rPr>
          <w:t>visit the MSAC website</w:t>
        </w:r>
      </w:hyperlink>
    </w:p>
    <w:sectPr w:rsidR="00295AD6" w:rsidSect="004B72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3E8E8" w14:textId="77777777" w:rsidR="00986D87" w:rsidRDefault="00986D87" w:rsidP="00B62DF2">
      <w:pPr>
        <w:spacing w:after="0" w:line="240" w:lineRule="auto"/>
      </w:pPr>
      <w:r>
        <w:separator/>
      </w:r>
    </w:p>
  </w:endnote>
  <w:endnote w:type="continuationSeparator" w:id="0">
    <w:p w14:paraId="0E41DE8B" w14:textId="77777777" w:rsidR="00986D87" w:rsidRDefault="00986D87" w:rsidP="00B62DF2">
      <w:pPr>
        <w:spacing w:after="0" w:line="240" w:lineRule="auto"/>
      </w:pPr>
      <w:r>
        <w:continuationSeparator/>
      </w:r>
    </w:p>
  </w:endnote>
  <w:endnote w:type="continuationNotice" w:id="1">
    <w:p w14:paraId="6682EA0E" w14:textId="77777777" w:rsidR="00986D87" w:rsidRDefault="00986D8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PlantinSt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4A67D5DB" w:rsidR="00685D16" w:rsidRPr="006A3715" w:rsidRDefault="006A3715" w:rsidP="00BF4D51">
    <w:pPr>
      <w:pStyle w:val="Footer"/>
      <w:jc w:val="right"/>
    </w:pPr>
    <w:r w:rsidRPr="000B4549">
      <w:fldChar w:fldCharType="begin"/>
    </w:r>
    <w:r w:rsidRPr="000B4549">
      <w:instrText xml:space="preserve"> PAGE   \* MERGEFORMAT </w:instrText>
    </w:r>
    <w:r w:rsidRPr="000B4549">
      <w:fldChar w:fldCharType="separate"/>
    </w:r>
    <w:r>
      <w:t>2</w:t>
    </w:r>
    <w:r w:rsidRPr="000B454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70B1BD86" w:rsidR="00685D16" w:rsidRDefault="006A3715" w:rsidP="00BF4D51">
        <w:pPr>
          <w:pStyle w:val="Footer"/>
          <w:jc w:val="right"/>
        </w:pPr>
        <w:r w:rsidRPr="000B4549">
          <w:fldChar w:fldCharType="begin"/>
        </w:r>
        <w:r w:rsidRPr="000B4549">
          <w:instrText xml:space="preserve"> PAGE   \* MERGEFORMAT </w:instrText>
        </w:r>
        <w:r w:rsidRPr="000B4549">
          <w:fldChar w:fldCharType="separate"/>
        </w:r>
        <w:r>
          <w:t>2</w:t>
        </w:r>
        <w:r w:rsidRPr="000B454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F64D" w14:textId="77777777" w:rsidR="00986D87" w:rsidRDefault="00986D87" w:rsidP="00B62DF2">
      <w:pPr>
        <w:spacing w:after="0" w:line="240" w:lineRule="auto"/>
      </w:pPr>
      <w:r>
        <w:separator/>
      </w:r>
    </w:p>
  </w:footnote>
  <w:footnote w:type="continuationSeparator" w:id="0">
    <w:p w14:paraId="244FB396" w14:textId="77777777" w:rsidR="00986D87" w:rsidRDefault="00986D87" w:rsidP="00B62DF2">
      <w:pPr>
        <w:spacing w:after="0" w:line="240" w:lineRule="auto"/>
      </w:pPr>
      <w:r>
        <w:continuationSeparator/>
      </w:r>
    </w:p>
  </w:footnote>
  <w:footnote w:type="continuationNotice" w:id="1">
    <w:p w14:paraId="16A11CEC" w14:textId="77777777" w:rsidR="00986D87" w:rsidRDefault="00986D87">
      <w:pPr>
        <w:spacing w:before="0" w:after="0" w:line="240" w:lineRule="auto"/>
      </w:pPr>
    </w:p>
  </w:footnote>
  <w:footnote w:id="2">
    <w:p w14:paraId="7D42124E" w14:textId="77777777" w:rsidR="003608AF" w:rsidRDefault="003608AF" w:rsidP="003608AF">
      <w:pPr>
        <w:pStyle w:val="FootnoteText"/>
      </w:pPr>
      <w:r>
        <w:rPr>
          <w:rStyle w:val="FootnoteReference"/>
        </w:rPr>
        <w:footnoteRef/>
      </w:r>
      <w:r>
        <w:t xml:space="preserve"> </w:t>
      </w:r>
      <w:r>
        <w:rPr>
          <w:rFonts w:ascii="Segoe UI" w:hAnsi="Segoe UI" w:cs="Segoe UI"/>
          <w:color w:val="212121"/>
          <w:shd w:val="clear" w:color="auto" w:fill="FFFFFF"/>
        </w:rPr>
        <w:t>Hartrampf PE, Weinzierl FX, Buck AK, et al. Matched-pair analysis of [</w:t>
      </w:r>
      <w:r>
        <w:rPr>
          <w:rFonts w:ascii="Segoe UI" w:hAnsi="Segoe UI" w:cs="Segoe UI"/>
          <w:color w:val="212121"/>
          <w:szCs w:val="18"/>
          <w:shd w:val="clear" w:color="auto" w:fill="FFFFFF"/>
          <w:vertAlign w:val="superscript"/>
        </w:rPr>
        <w:t>177</w:t>
      </w:r>
      <w:r>
        <w:rPr>
          <w:rFonts w:ascii="Segoe UI" w:hAnsi="Segoe UI" w:cs="Segoe UI"/>
          <w:color w:val="212121"/>
          <w:shd w:val="clear" w:color="auto" w:fill="FFFFFF"/>
        </w:rPr>
        <w:t>Lu]Lu PSMA I&amp;T and [</w:t>
      </w:r>
      <w:r>
        <w:rPr>
          <w:rFonts w:ascii="Segoe UI" w:hAnsi="Segoe UI" w:cs="Segoe UI"/>
          <w:color w:val="212121"/>
          <w:szCs w:val="18"/>
          <w:shd w:val="clear" w:color="auto" w:fill="FFFFFF"/>
          <w:vertAlign w:val="superscript"/>
        </w:rPr>
        <w:t>177</w:t>
      </w:r>
      <w:r>
        <w:rPr>
          <w:rFonts w:ascii="Segoe UI" w:hAnsi="Segoe UI" w:cs="Segoe UI"/>
          <w:color w:val="212121"/>
          <w:shd w:val="clear" w:color="auto" w:fill="FFFFFF"/>
        </w:rPr>
        <w:t>Lu]Lu PSMA-617 in patients with metastatic castration-resistant prostate cancer [published online ahead of print, 2022 Mar 4]. </w:t>
      </w:r>
      <w:r>
        <w:rPr>
          <w:rFonts w:ascii="Segoe UI" w:hAnsi="Segoe UI" w:cs="Segoe UI"/>
          <w:i/>
          <w:iCs/>
          <w:color w:val="212121"/>
          <w:shd w:val="clear" w:color="auto" w:fill="FFFFFF"/>
        </w:rPr>
        <w:t>Eur J Nucl Med Mol Imaging</w:t>
      </w:r>
      <w:r>
        <w:rPr>
          <w:rFonts w:ascii="Segoe UI" w:hAnsi="Segoe UI" w:cs="Segoe UI"/>
          <w:color w:val="212121"/>
          <w:shd w:val="clear" w:color="auto" w:fill="FFFFFF"/>
        </w:rPr>
        <w:t>. 2022;10.1007/s00259-022-05744-6</w:t>
      </w:r>
    </w:p>
  </w:footnote>
  <w:footnote w:id="3">
    <w:p w14:paraId="1ECF60C7" w14:textId="77777777" w:rsidR="00303D9B" w:rsidRDefault="00303D9B" w:rsidP="00303D9B">
      <w:pPr>
        <w:pStyle w:val="FootnoteText"/>
      </w:pPr>
      <w:r>
        <w:rPr>
          <w:rStyle w:val="FootnoteReference"/>
        </w:rPr>
        <w:footnoteRef/>
      </w:r>
      <w:r>
        <w:t xml:space="preserve"> </w:t>
      </w:r>
      <w:r w:rsidRPr="00DD7522">
        <w:t>https://www.tga.gov.au/resources/prescription-medicines-under-evaluation/pluvicto-novartis-pharmaceuticals-australia-pty-ltd</w:t>
      </w:r>
    </w:p>
  </w:footnote>
  <w:footnote w:id="4">
    <w:p w14:paraId="4C9CE351" w14:textId="77777777" w:rsidR="009B6877" w:rsidRDefault="009B6877" w:rsidP="009B6877">
      <w:pPr>
        <w:pStyle w:val="FootnoteText"/>
      </w:pPr>
      <w:r>
        <w:rPr>
          <w:rStyle w:val="FootnoteReference"/>
        </w:rPr>
        <w:footnoteRef/>
      </w:r>
      <w:r>
        <w:t xml:space="preserve"> </w:t>
      </w:r>
      <w:r w:rsidRPr="001641C9">
        <w:t>Emmett L, John N, Pathmanandavel S, Counter W, Ayers M, Sharma S et al. (2023). Patient outcomes following a response biomarker-guided approach to treatment using 177Lu-PSMA-I&amp;T in men with metastatic castrate-resistant prostate cancer (Re-SPECT). Ther Adv Med Oncol 15:1–11.</w:t>
      </w:r>
    </w:p>
  </w:footnote>
  <w:footnote w:id="5">
    <w:p w14:paraId="72E5D170" w14:textId="4A7E1164" w:rsidR="009A2480" w:rsidRDefault="009A2480">
      <w:pPr>
        <w:pStyle w:val="FootnoteText"/>
      </w:pPr>
      <w:r>
        <w:rPr>
          <w:rStyle w:val="FootnoteReference"/>
        </w:rPr>
        <w:footnoteRef/>
      </w:r>
      <w:r>
        <w:t xml:space="preserve"> </w:t>
      </w:r>
      <w:r w:rsidRPr="003C595C">
        <w:t>chrome-extension://efaidnbmnnnibpcajpcglclefindmkaj/http://www.msac.gov.au/internet/msac/publishing.nsf/Content/1DDF3E302A42A014CA25894100061C2E/$File/1686.1%20Final%20PSD%20-%20July%202023%20-%20Updated.pdf</w:t>
      </w:r>
    </w:p>
  </w:footnote>
  <w:footnote w:id="6">
    <w:p w14:paraId="39C9850D" w14:textId="77777777" w:rsidR="009B6877" w:rsidRDefault="009B6877" w:rsidP="009B6877">
      <w:pPr>
        <w:pStyle w:val="FootnoteText"/>
      </w:pPr>
      <w:r>
        <w:rPr>
          <w:rStyle w:val="FootnoteReference"/>
        </w:rPr>
        <w:footnoteRef/>
      </w:r>
      <w:r>
        <w:t xml:space="preserve"> In PSM, the K-M data represent the proportions of PFS and OS at each observation point. The PFS and OS health state are structurally independent. The proportion of patients in the progressed disease state (PD) for each modelling cycle is not calculated using transition probabilities as in a state-transition model (e.g. Markov), but by deducting PFS from the OS (PD=OS-PFS). </w:t>
      </w:r>
    </w:p>
  </w:footnote>
  <w:footnote w:id="7">
    <w:p w14:paraId="6B071D98" w14:textId="438981AA" w:rsidR="008F799E" w:rsidRDefault="008F799E">
      <w:pPr>
        <w:pStyle w:val="FootnoteText"/>
      </w:pPr>
      <w:r>
        <w:rPr>
          <w:rStyle w:val="FootnoteReference"/>
        </w:rPr>
        <w:footnoteRef/>
      </w:r>
      <w:r>
        <w:t xml:space="preserve"> </w:t>
      </w:r>
      <w:r w:rsidRPr="00BE2D46">
        <w:t>S</w:t>
      </w:r>
      <w:r>
        <w:t>artor O, De BonoJ, Chi K.N, et al</w:t>
      </w:r>
      <w:r w:rsidRPr="00BE2D46">
        <w:t>. Lutetium-177-PSMA-617 for Metastatic Castration-Resistant Prostate Cancer. N Engl J Med, 2021</w:t>
      </w:r>
      <w:r>
        <w:t xml:space="preserve">; </w:t>
      </w:r>
      <w:r w:rsidRPr="00BE2D46">
        <w:t>385, 1091-1103.</w:t>
      </w:r>
    </w:p>
  </w:footnote>
  <w:footnote w:id="8">
    <w:p w14:paraId="1DE736FB" w14:textId="5F3DF159" w:rsidR="00896A60" w:rsidRDefault="00896A60">
      <w:pPr>
        <w:pStyle w:val="FootnoteText"/>
      </w:pPr>
      <w:r>
        <w:rPr>
          <w:rStyle w:val="FootnoteReference"/>
        </w:rPr>
        <w:footnoteRef/>
      </w:r>
      <w:r>
        <w:t xml:space="preserve"> </w:t>
      </w:r>
      <w:r w:rsidRPr="00896A60">
        <w:t>Hofman MS, Emmett L, Sandhu S, et al. TheraP: 177 Lu-PSMA-617 (LuPSMA) vs. cabazitaxel in metastatic castration-resistant prostate cancer (mCRPC) progressing after docetaxel – overall survival after median followup of 3 years (ANZUP 1603) J Clin Oncol. 2022;40:5000</w:t>
      </w:r>
    </w:p>
  </w:footnote>
  <w:footnote w:id="9">
    <w:p w14:paraId="6DA5C6C8" w14:textId="0BD57312" w:rsidR="00E7354C" w:rsidRPr="006D5080" w:rsidRDefault="00E7354C" w:rsidP="00BE2D46">
      <w:pPr>
        <w:pStyle w:val="EndNoteBibliography"/>
        <w:spacing w:after="0"/>
        <w:ind w:left="720" w:hanging="720"/>
        <w:rPr>
          <w:sz w:val="18"/>
          <w:szCs w:val="18"/>
        </w:rPr>
      </w:pPr>
      <w:r>
        <w:rPr>
          <w:rStyle w:val="FootnoteReference"/>
        </w:rPr>
        <w:footnoteRef/>
      </w:r>
      <w:r>
        <w:t xml:space="preserve"> </w:t>
      </w:r>
      <w:r w:rsidRPr="006D5080">
        <w:rPr>
          <w:sz w:val="18"/>
          <w:szCs w:val="18"/>
        </w:rPr>
        <w:t>Hofman MS, Emmett L, Sandhu S, et al. ¹⁷⁷Lu]Lu-PSMA-617 versus</w:t>
      </w:r>
    </w:p>
    <w:p w14:paraId="0BC7D794" w14:textId="77777777" w:rsidR="00E7354C" w:rsidRPr="006D5080" w:rsidRDefault="00E7354C" w:rsidP="00BE2D46">
      <w:pPr>
        <w:pStyle w:val="EndNoteBibliography"/>
        <w:spacing w:after="0"/>
        <w:rPr>
          <w:sz w:val="18"/>
          <w:szCs w:val="18"/>
        </w:rPr>
      </w:pPr>
      <w:r w:rsidRPr="006D5080">
        <w:rPr>
          <w:sz w:val="18"/>
          <w:szCs w:val="18"/>
        </w:rPr>
        <w:t>cabazitaxel in patients with metastatic castration-resistant prostate cancer (TheraP):</w:t>
      </w:r>
    </w:p>
    <w:p w14:paraId="57F6913E" w14:textId="72727F22" w:rsidR="00E7354C" w:rsidRPr="00295AD6" w:rsidRDefault="00E7354C" w:rsidP="00295AD6">
      <w:pPr>
        <w:pStyle w:val="EndNoteBibliography"/>
        <w:spacing w:after="0"/>
        <w:ind w:left="720" w:hanging="720"/>
        <w:rPr>
          <w:sz w:val="18"/>
          <w:szCs w:val="18"/>
        </w:rPr>
      </w:pPr>
      <w:r w:rsidRPr="006D5080">
        <w:rPr>
          <w:sz w:val="18"/>
          <w:szCs w:val="18"/>
        </w:rPr>
        <w:t>a randomised, open-label, phase 2 trial. Lancet 2021; 397 (10276), p.797-804</w:t>
      </w:r>
    </w:p>
  </w:footnote>
  <w:footnote w:id="10">
    <w:p w14:paraId="01F17D53" w14:textId="599FE334" w:rsidR="00596780" w:rsidRPr="006D5080" w:rsidRDefault="00596780">
      <w:pPr>
        <w:pStyle w:val="FootnoteText"/>
        <w:rPr>
          <w:lang w:val="en-US"/>
        </w:rPr>
      </w:pPr>
      <w:r>
        <w:rPr>
          <w:rStyle w:val="FootnoteReference"/>
        </w:rPr>
        <w:footnoteRef/>
      </w:r>
      <w:r>
        <w:t xml:space="preserve"> </w:t>
      </w:r>
      <w:r>
        <w:rPr>
          <w:lang w:val="en-US"/>
        </w:rPr>
        <w:t>Quist SW, Paulissen JHJ, Wyndaele DNJ, Naga</w:t>
      </w:r>
      <w:r w:rsidR="0060699B">
        <w:rPr>
          <w:lang w:val="en-US"/>
        </w:rPr>
        <w:t xml:space="preserve">rajah J, Frerisk RD (2023). </w:t>
      </w:r>
      <w:r w:rsidR="0060699B" w:rsidRPr="0060699B">
        <w:rPr>
          <w:lang w:val="en-US"/>
        </w:rPr>
        <w:t xml:space="preserve">Costs of radium-223 and the pharmacy preparation </w:t>
      </w:r>
      <w:r w:rsidR="0060699B" w:rsidRPr="006D5080">
        <w:rPr>
          <w:vertAlign w:val="superscript"/>
          <w:lang w:val="en-US"/>
        </w:rPr>
        <w:t>177</w:t>
      </w:r>
      <w:r w:rsidR="0060699B" w:rsidRPr="0060699B">
        <w:rPr>
          <w:lang w:val="en-US"/>
        </w:rPr>
        <w:t>Lu-PSMA-I&amp;T for metastatic castration-resistant prostate cancer in Dutch hospitals</w:t>
      </w:r>
      <w:r w:rsidR="0060699B">
        <w:rPr>
          <w:lang w:val="en-US"/>
        </w:rPr>
        <w:t xml:space="preserve">. </w:t>
      </w:r>
      <w:r w:rsidR="0060699B">
        <w:rPr>
          <w:i/>
          <w:iCs/>
          <w:lang w:val="en-US"/>
        </w:rPr>
        <w:t>Journal of Medical Economics</w:t>
      </w:r>
      <w:r w:rsidR="0060699B">
        <w:rPr>
          <w:lang w:val="en-US"/>
        </w:rPr>
        <w:t xml:space="preserve">, 26:1. </w:t>
      </w:r>
      <w:r w:rsidR="0060699B" w:rsidRPr="0060699B">
        <w:rPr>
          <w:lang w:val="en-US"/>
        </w:rPr>
        <w:t>https://www.tandfonline.com/doi/full/10.1080/13696998.2023.2183618</w:t>
      </w:r>
      <w:r w:rsidR="0060699B">
        <w:rPr>
          <w:lang w:val="en-US"/>
        </w:rPr>
        <w:t xml:space="preserve"> </w:t>
      </w:r>
    </w:p>
  </w:footnote>
  <w:footnote w:id="11">
    <w:p w14:paraId="6E38A1BF" w14:textId="3B0FCCD4" w:rsidR="003158B0" w:rsidRPr="006D5080" w:rsidRDefault="003158B0">
      <w:pPr>
        <w:pStyle w:val="FootnoteText"/>
        <w:rPr>
          <w:lang w:val="en-US"/>
        </w:rPr>
      </w:pPr>
      <w:r>
        <w:rPr>
          <w:rStyle w:val="FootnoteReference"/>
        </w:rPr>
        <w:footnoteRef/>
      </w:r>
      <w:r>
        <w:t xml:space="preserve"> </w:t>
      </w:r>
      <w:hyperlink r:id="rId1" w:history="1">
        <w:r w:rsidRPr="005934D0">
          <w:rPr>
            <w:rStyle w:val="Hyperlink"/>
          </w:rPr>
          <w:t>https://www.thejournalofprecisionmedicine.com/fda-approves-novartis-radiologand-pluvicto-for-psma-positive-mcrpc-with-imaging-cdx/</w:t>
        </w:r>
      </w:hyperlink>
      <w:r>
        <w:t xml:space="preserve"> [accessed 13 December 2023]</w:t>
      </w:r>
    </w:p>
  </w:footnote>
  <w:footnote w:id="12">
    <w:p w14:paraId="5D7B9E81" w14:textId="421CA361" w:rsidR="00B620CF" w:rsidRDefault="00B620CF">
      <w:pPr>
        <w:pStyle w:val="FootnoteText"/>
      </w:pPr>
      <w:r>
        <w:rPr>
          <w:rStyle w:val="FootnoteReference"/>
        </w:rPr>
        <w:footnoteRef/>
      </w:r>
      <w:r>
        <w:t xml:space="preserve"> </w:t>
      </w:r>
      <w:r w:rsidR="00FC3BDA" w:rsidRPr="00FC3BDA">
        <w:t>Magnus, A., et al. 2019. A Systematic Review and Meta-Analysis of Prostate Cancer Utility Values of Patients and Partners Between 2007 and 2016. MDM Policy Pract, 4, 2381468319852332.</w:t>
      </w:r>
    </w:p>
  </w:footnote>
  <w:footnote w:id="13">
    <w:p w14:paraId="2C64EA28" w14:textId="0C6C8501" w:rsidR="00522BCE" w:rsidRDefault="00522BCE">
      <w:pPr>
        <w:pStyle w:val="FootnoteText"/>
      </w:pPr>
      <w:r>
        <w:rPr>
          <w:rStyle w:val="FootnoteReference"/>
        </w:rPr>
        <w:footnoteRef/>
      </w:r>
      <w:r>
        <w:t xml:space="preserve"> </w:t>
      </w:r>
      <w:r w:rsidR="00C75FB4" w:rsidRPr="00C75FB4">
        <w:t>Torvinen S., et al. 2013. Health-related quality of life in prostate cancer. Acta Oncol, 52, 1094-101.</w:t>
      </w:r>
    </w:p>
  </w:footnote>
  <w:footnote w:id="14">
    <w:p w14:paraId="02BFA2AE" w14:textId="14C13B8A" w:rsidR="00876740" w:rsidRDefault="00876740">
      <w:pPr>
        <w:pStyle w:val="FootnoteText"/>
      </w:pPr>
      <w:r>
        <w:rPr>
          <w:rStyle w:val="FootnoteReference"/>
        </w:rPr>
        <w:footnoteRef/>
      </w:r>
      <w:r>
        <w:t xml:space="preserve"> </w:t>
      </w:r>
      <w:r w:rsidR="00522BCE" w:rsidRPr="00522BCE">
        <w:t>Krahn M., et al 2007. Responsiveness of disease-specific and generic utility instruments in prostate cancer patients. Qual Life Res, 16, 509-22.</w:t>
      </w:r>
    </w:p>
  </w:footnote>
  <w:footnote w:id="15">
    <w:p w14:paraId="7B2367CA" w14:textId="196A5755" w:rsidR="00BF6F93" w:rsidRDefault="00BF6F93">
      <w:pPr>
        <w:pStyle w:val="FootnoteText"/>
      </w:pPr>
      <w:r>
        <w:rPr>
          <w:rStyle w:val="FootnoteReference"/>
        </w:rPr>
        <w:footnoteRef/>
      </w:r>
      <w:r>
        <w:t xml:space="preserve"> </w:t>
      </w:r>
      <w:r w:rsidR="00FB53C4" w:rsidRPr="00FB53C4">
        <w:t>Fizazi K, Herrmann K, Krause BJ, Rahbar K, Chi KN, Morris MJ, Sartor O, Tagawa ST, Kendi AT, Vogelzang N, Calais J, Nagarajah J, Wei XX, Koshkin VS, Beauregard JM, Chang B, Ghouse R, DeSilvio M, Messmann RA, de Bono J. Health-related quality of life and pain outcomes with [177Lu]Lu-PSMA-617 plus standard of care versus standard of care in patients with metastatic castration-resistant prostate cancer (VISION): a multicentre, open-label, randomised, phase 3 trial. Lancet Oncol. 2023 Jun;24(6):597-610.</w:t>
      </w:r>
    </w:p>
  </w:footnote>
  <w:footnote w:id="16">
    <w:p w14:paraId="5B8CB7B7" w14:textId="58779DB0" w:rsidR="00FB53C4" w:rsidRDefault="00FB53C4">
      <w:pPr>
        <w:pStyle w:val="FootnoteText"/>
      </w:pPr>
      <w:r>
        <w:rPr>
          <w:rStyle w:val="FootnoteReference"/>
        </w:rPr>
        <w:footnoteRef/>
      </w:r>
      <w:r>
        <w:t xml:space="preserve"> </w:t>
      </w:r>
      <w:r w:rsidR="000E777D" w:rsidRPr="000E777D">
        <w:t>McCaffrey N, Kaambwa B, Currow DC, Ratcliffe J. Health-related quality of life measured using the EQ-5D-5L: South Australian population norms. Health Qual Life Outcomes. 2016 Sep 20;14(1):133. doi: 10.1186/s12955-016-0537-0. PMID: 27644755; PMCID: PMC5028927.</w:t>
      </w:r>
    </w:p>
  </w:footnote>
  <w:footnote w:id="17">
    <w:p w14:paraId="730C9324" w14:textId="77777777" w:rsidR="00596780" w:rsidRPr="00C822A4" w:rsidRDefault="00596780" w:rsidP="00596780">
      <w:pPr>
        <w:pStyle w:val="FootnoteText"/>
        <w:rPr>
          <w:lang w:val="en-US"/>
        </w:rPr>
      </w:pPr>
      <w:r>
        <w:rPr>
          <w:rStyle w:val="FootnoteReference"/>
        </w:rPr>
        <w:footnoteRef/>
      </w:r>
      <w:r>
        <w:t xml:space="preserve"> </w:t>
      </w:r>
      <w:r w:rsidRPr="00FA5465">
        <w:t xml:space="preserve">Flegar L, Thoduka SG, Librizzi D, Luster M, Zacharis A, Heers H, Eisenmenger N, Ahmadzadehfar H, Eiber M, Weber W, Groeben C, Huber J. Adoption of Lutetium-177 PSMA radioligand therapy for metastatic castration resistant prostate cancer: a total population analysis in Germany from 2016 to 2020. </w:t>
      </w:r>
      <w:r w:rsidRPr="00C822A4">
        <w:rPr>
          <w:i/>
          <w:iCs/>
        </w:rPr>
        <w:t>Eur J Nucl Med Mol Imaging</w:t>
      </w:r>
      <w:r w:rsidRPr="00FA5465">
        <w:t>. 2023 Jun;50(7):2188-2195. doi: 10.1007/s00259-023-06139-x. Epub 2023 Feb 24. PMID: 36826478; PMCID: PMC10199877.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73FB"/>
    <w:multiLevelType w:val="hybridMultilevel"/>
    <w:tmpl w:val="51CC4EAE"/>
    <w:lvl w:ilvl="0" w:tplc="0C090001">
      <w:start w:val="1"/>
      <w:numFmt w:val="bullet"/>
      <w:lvlText w:val=""/>
      <w:lvlJc w:val="left"/>
      <w:pPr>
        <w:ind w:left="2769" w:hanging="360"/>
      </w:pPr>
      <w:rPr>
        <w:rFonts w:ascii="Symbol" w:hAnsi="Symbol" w:hint="default"/>
      </w:rPr>
    </w:lvl>
    <w:lvl w:ilvl="1" w:tplc="0C090003" w:tentative="1">
      <w:start w:val="1"/>
      <w:numFmt w:val="bullet"/>
      <w:lvlText w:val="o"/>
      <w:lvlJc w:val="left"/>
      <w:pPr>
        <w:ind w:left="3489" w:hanging="360"/>
      </w:pPr>
      <w:rPr>
        <w:rFonts w:ascii="Courier New" w:hAnsi="Courier New" w:cs="Courier New" w:hint="default"/>
      </w:rPr>
    </w:lvl>
    <w:lvl w:ilvl="2" w:tplc="0C090005" w:tentative="1">
      <w:start w:val="1"/>
      <w:numFmt w:val="bullet"/>
      <w:lvlText w:val=""/>
      <w:lvlJc w:val="left"/>
      <w:pPr>
        <w:ind w:left="4209" w:hanging="360"/>
      </w:pPr>
      <w:rPr>
        <w:rFonts w:ascii="Wingdings" w:hAnsi="Wingdings" w:hint="default"/>
      </w:rPr>
    </w:lvl>
    <w:lvl w:ilvl="3" w:tplc="0C090001" w:tentative="1">
      <w:start w:val="1"/>
      <w:numFmt w:val="bullet"/>
      <w:lvlText w:val=""/>
      <w:lvlJc w:val="left"/>
      <w:pPr>
        <w:ind w:left="4929" w:hanging="360"/>
      </w:pPr>
      <w:rPr>
        <w:rFonts w:ascii="Symbol" w:hAnsi="Symbol" w:hint="default"/>
      </w:rPr>
    </w:lvl>
    <w:lvl w:ilvl="4" w:tplc="0C090003" w:tentative="1">
      <w:start w:val="1"/>
      <w:numFmt w:val="bullet"/>
      <w:lvlText w:val="o"/>
      <w:lvlJc w:val="left"/>
      <w:pPr>
        <w:ind w:left="5649" w:hanging="360"/>
      </w:pPr>
      <w:rPr>
        <w:rFonts w:ascii="Courier New" w:hAnsi="Courier New" w:cs="Courier New" w:hint="default"/>
      </w:rPr>
    </w:lvl>
    <w:lvl w:ilvl="5" w:tplc="0C090005" w:tentative="1">
      <w:start w:val="1"/>
      <w:numFmt w:val="bullet"/>
      <w:lvlText w:val=""/>
      <w:lvlJc w:val="left"/>
      <w:pPr>
        <w:ind w:left="6369" w:hanging="360"/>
      </w:pPr>
      <w:rPr>
        <w:rFonts w:ascii="Wingdings" w:hAnsi="Wingdings" w:hint="default"/>
      </w:rPr>
    </w:lvl>
    <w:lvl w:ilvl="6" w:tplc="0C090001" w:tentative="1">
      <w:start w:val="1"/>
      <w:numFmt w:val="bullet"/>
      <w:lvlText w:val=""/>
      <w:lvlJc w:val="left"/>
      <w:pPr>
        <w:ind w:left="7089" w:hanging="360"/>
      </w:pPr>
      <w:rPr>
        <w:rFonts w:ascii="Symbol" w:hAnsi="Symbol" w:hint="default"/>
      </w:rPr>
    </w:lvl>
    <w:lvl w:ilvl="7" w:tplc="0C090003" w:tentative="1">
      <w:start w:val="1"/>
      <w:numFmt w:val="bullet"/>
      <w:lvlText w:val="o"/>
      <w:lvlJc w:val="left"/>
      <w:pPr>
        <w:ind w:left="7809" w:hanging="360"/>
      </w:pPr>
      <w:rPr>
        <w:rFonts w:ascii="Courier New" w:hAnsi="Courier New" w:cs="Courier New" w:hint="default"/>
      </w:rPr>
    </w:lvl>
    <w:lvl w:ilvl="8" w:tplc="0C090005" w:tentative="1">
      <w:start w:val="1"/>
      <w:numFmt w:val="bullet"/>
      <w:lvlText w:val=""/>
      <w:lvlJc w:val="left"/>
      <w:pPr>
        <w:ind w:left="8529" w:hanging="360"/>
      </w:pPr>
      <w:rPr>
        <w:rFonts w:ascii="Wingdings" w:hAnsi="Wingdings" w:hint="default"/>
      </w:rPr>
    </w:lvl>
  </w:abstractNum>
  <w:abstractNum w:abstractNumId="1" w15:restartNumberingAfterBreak="0">
    <w:nsid w:val="0EAF1207"/>
    <w:multiLevelType w:val="hybridMultilevel"/>
    <w:tmpl w:val="A11074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F935A7"/>
    <w:multiLevelType w:val="hybridMultilevel"/>
    <w:tmpl w:val="96560A6E"/>
    <w:lvl w:ilvl="0" w:tplc="5F9EC3C6">
      <w:start w:val="1"/>
      <w:numFmt w:val="bullet"/>
      <w:pStyle w:val="Bullet12"/>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9180B"/>
    <w:multiLevelType w:val="multilevel"/>
    <w:tmpl w:val="0F88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0E80"/>
    <w:multiLevelType w:val="hybridMultilevel"/>
    <w:tmpl w:val="0A4EB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E26F7D"/>
    <w:multiLevelType w:val="hybridMultilevel"/>
    <w:tmpl w:val="C898E410"/>
    <w:lvl w:ilvl="0" w:tplc="BD68F38C">
      <w:start w:val="1"/>
      <w:numFmt w:val="decimal"/>
      <w:lvlText w:val="%1."/>
      <w:lvlJc w:val="left"/>
      <w:pPr>
        <w:ind w:left="720" w:hanging="360"/>
      </w:pPr>
    </w:lvl>
    <w:lvl w:ilvl="1" w:tplc="EA544000">
      <w:start w:val="1"/>
      <w:numFmt w:val="decimal"/>
      <w:lvlText w:val="%2."/>
      <w:lvlJc w:val="left"/>
      <w:pPr>
        <w:ind w:left="720" w:hanging="360"/>
      </w:pPr>
    </w:lvl>
    <w:lvl w:ilvl="2" w:tplc="B6B849DE">
      <w:start w:val="1"/>
      <w:numFmt w:val="decimal"/>
      <w:lvlText w:val="%3."/>
      <w:lvlJc w:val="left"/>
      <w:pPr>
        <w:ind w:left="720" w:hanging="360"/>
      </w:pPr>
    </w:lvl>
    <w:lvl w:ilvl="3" w:tplc="33F0DB7E">
      <w:start w:val="1"/>
      <w:numFmt w:val="decimal"/>
      <w:lvlText w:val="%4."/>
      <w:lvlJc w:val="left"/>
      <w:pPr>
        <w:ind w:left="720" w:hanging="360"/>
      </w:pPr>
    </w:lvl>
    <w:lvl w:ilvl="4" w:tplc="336E7502">
      <w:start w:val="1"/>
      <w:numFmt w:val="decimal"/>
      <w:lvlText w:val="%5."/>
      <w:lvlJc w:val="left"/>
      <w:pPr>
        <w:ind w:left="720" w:hanging="360"/>
      </w:pPr>
    </w:lvl>
    <w:lvl w:ilvl="5" w:tplc="6DEA1312">
      <w:start w:val="1"/>
      <w:numFmt w:val="decimal"/>
      <w:lvlText w:val="%6."/>
      <w:lvlJc w:val="left"/>
      <w:pPr>
        <w:ind w:left="720" w:hanging="360"/>
      </w:pPr>
    </w:lvl>
    <w:lvl w:ilvl="6" w:tplc="0D189FD4">
      <w:start w:val="1"/>
      <w:numFmt w:val="decimal"/>
      <w:lvlText w:val="%7."/>
      <w:lvlJc w:val="left"/>
      <w:pPr>
        <w:ind w:left="720" w:hanging="360"/>
      </w:pPr>
    </w:lvl>
    <w:lvl w:ilvl="7" w:tplc="F912E7F4">
      <w:start w:val="1"/>
      <w:numFmt w:val="decimal"/>
      <w:lvlText w:val="%8."/>
      <w:lvlJc w:val="left"/>
      <w:pPr>
        <w:ind w:left="720" w:hanging="360"/>
      </w:pPr>
    </w:lvl>
    <w:lvl w:ilvl="8" w:tplc="12D85106">
      <w:start w:val="1"/>
      <w:numFmt w:val="decimal"/>
      <w:lvlText w:val="%9."/>
      <w:lvlJc w:val="left"/>
      <w:pPr>
        <w:ind w:left="720" w:hanging="360"/>
      </w:pPr>
    </w:lvl>
  </w:abstractNum>
  <w:abstractNum w:abstractNumId="8"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9" w15:restartNumberingAfterBreak="0">
    <w:nsid w:val="23B463DD"/>
    <w:multiLevelType w:val="hybridMultilevel"/>
    <w:tmpl w:val="C610E2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D0A1276"/>
    <w:multiLevelType w:val="hybridMultilevel"/>
    <w:tmpl w:val="CFE07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C03FC5"/>
    <w:multiLevelType w:val="hybridMultilevel"/>
    <w:tmpl w:val="F232FDEC"/>
    <w:lvl w:ilvl="0" w:tplc="0C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B2051"/>
    <w:multiLevelType w:val="hybridMultilevel"/>
    <w:tmpl w:val="DFE61808"/>
    <w:lvl w:ilvl="0" w:tplc="2D4E7FF6">
      <w:start w:val="1"/>
      <w:numFmt w:val="decimal"/>
      <w:lvlText w:val="%1."/>
      <w:lvlJc w:val="left"/>
      <w:pPr>
        <w:ind w:left="1440" w:hanging="360"/>
      </w:pPr>
    </w:lvl>
    <w:lvl w:ilvl="1" w:tplc="A54CC432">
      <w:start w:val="1"/>
      <w:numFmt w:val="decimal"/>
      <w:lvlText w:val="%2."/>
      <w:lvlJc w:val="left"/>
      <w:pPr>
        <w:ind w:left="1440" w:hanging="360"/>
      </w:pPr>
    </w:lvl>
    <w:lvl w:ilvl="2" w:tplc="3CA88C68">
      <w:start w:val="1"/>
      <w:numFmt w:val="decimal"/>
      <w:lvlText w:val="%3."/>
      <w:lvlJc w:val="left"/>
      <w:pPr>
        <w:ind w:left="1440" w:hanging="360"/>
      </w:pPr>
    </w:lvl>
    <w:lvl w:ilvl="3" w:tplc="E64228B2">
      <w:start w:val="1"/>
      <w:numFmt w:val="decimal"/>
      <w:lvlText w:val="%4."/>
      <w:lvlJc w:val="left"/>
      <w:pPr>
        <w:ind w:left="1440" w:hanging="360"/>
      </w:pPr>
    </w:lvl>
    <w:lvl w:ilvl="4" w:tplc="9A8C8AAE">
      <w:start w:val="1"/>
      <w:numFmt w:val="decimal"/>
      <w:lvlText w:val="%5."/>
      <w:lvlJc w:val="left"/>
      <w:pPr>
        <w:ind w:left="1440" w:hanging="360"/>
      </w:pPr>
    </w:lvl>
    <w:lvl w:ilvl="5" w:tplc="BF1ACE42">
      <w:start w:val="1"/>
      <w:numFmt w:val="decimal"/>
      <w:lvlText w:val="%6."/>
      <w:lvlJc w:val="left"/>
      <w:pPr>
        <w:ind w:left="1440" w:hanging="360"/>
      </w:pPr>
    </w:lvl>
    <w:lvl w:ilvl="6" w:tplc="5180F55A">
      <w:start w:val="1"/>
      <w:numFmt w:val="decimal"/>
      <w:lvlText w:val="%7."/>
      <w:lvlJc w:val="left"/>
      <w:pPr>
        <w:ind w:left="1440" w:hanging="360"/>
      </w:pPr>
    </w:lvl>
    <w:lvl w:ilvl="7" w:tplc="0BCAA8CE">
      <w:start w:val="1"/>
      <w:numFmt w:val="decimal"/>
      <w:lvlText w:val="%8."/>
      <w:lvlJc w:val="left"/>
      <w:pPr>
        <w:ind w:left="1440" w:hanging="360"/>
      </w:pPr>
    </w:lvl>
    <w:lvl w:ilvl="8" w:tplc="64BACF0E">
      <w:start w:val="1"/>
      <w:numFmt w:val="decimal"/>
      <w:lvlText w:val="%9."/>
      <w:lvlJc w:val="left"/>
      <w:pPr>
        <w:ind w:left="1440" w:hanging="360"/>
      </w:pPr>
    </w:lvl>
  </w:abstractNum>
  <w:abstractNum w:abstractNumId="15"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6426E0"/>
    <w:multiLevelType w:val="hybridMultilevel"/>
    <w:tmpl w:val="4A94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D7148F4"/>
    <w:multiLevelType w:val="hybridMultilevel"/>
    <w:tmpl w:val="EB94480A"/>
    <w:lvl w:ilvl="0" w:tplc="FCB8B2F0">
      <w:start w:val="1"/>
      <w:numFmt w:val="decimal"/>
      <w:lvlText w:val="%1."/>
      <w:lvlJc w:val="left"/>
      <w:pPr>
        <w:ind w:left="720" w:hanging="360"/>
      </w:pPr>
    </w:lvl>
    <w:lvl w:ilvl="1" w:tplc="0D12A7B2">
      <w:start w:val="1"/>
      <w:numFmt w:val="decimal"/>
      <w:lvlText w:val="%2."/>
      <w:lvlJc w:val="left"/>
      <w:pPr>
        <w:ind w:left="720" w:hanging="360"/>
      </w:pPr>
    </w:lvl>
    <w:lvl w:ilvl="2" w:tplc="C55E4418">
      <w:start w:val="1"/>
      <w:numFmt w:val="decimal"/>
      <w:lvlText w:val="%3."/>
      <w:lvlJc w:val="left"/>
      <w:pPr>
        <w:ind w:left="720" w:hanging="360"/>
      </w:pPr>
    </w:lvl>
    <w:lvl w:ilvl="3" w:tplc="DA52FFEA">
      <w:start w:val="1"/>
      <w:numFmt w:val="decimal"/>
      <w:lvlText w:val="%4."/>
      <w:lvlJc w:val="left"/>
      <w:pPr>
        <w:ind w:left="720" w:hanging="360"/>
      </w:pPr>
    </w:lvl>
    <w:lvl w:ilvl="4" w:tplc="46F0F25A">
      <w:start w:val="1"/>
      <w:numFmt w:val="decimal"/>
      <w:lvlText w:val="%5."/>
      <w:lvlJc w:val="left"/>
      <w:pPr>
        <w:ind w:left="720" w:hanging="360"/>
      </w:pPr>
    </w:lvl>
    <w:lvl w:ilvl="5" w:tplc="0688D81A">
      <w:start w:val="1"/>
      <w:numFmt w:val="decimal"/>
      <w:lvlText w:val="%6."/>
      <w:lvlJc w:val="left"/>
      <w:pPr>
        <w:ind w:left="720" w:hanging="360"/>
      </w:pPr>
    </w:lvl>
    <w:lvl w:ilvl="6" w:tplc="15EC7310">
      <w:start w:val="1"/>
      <w:numFmt w:val="decimal"/>
      <w:lvlText w:val="%7."/>
      <w:lvlJc w:val="left"/>
      <w:pPr>
        <w:ind w:left="720" w:hanging="360"/>
      </w:pPr>
    </w:lvl>
    <w:lvl w:ilvl="7" w:tplc="8AAC8B30">
      <w:start w:val="1"/>
      <w:numFmt w:val="decimal"/>
      <w:lvlText w:val="%8."/>
      <w:lvlJc w:val="left"/>
      <w:pPr>
        <w:ind w:left="720" w:hanging="360"/>
      </w:pPr>
    </w:lvl>
    <w:lvl w:ilvl="8" w:tplc="56208FA4">
      <w:start w:val="1"/>
      <w:numFmt w:val="decimal"/>
      <w:lvlText w:val="%9."/>
      <w:lvlJc w:val="left"/>
      <w:pPr>
        <w:ind w:left="720" w:hanging="360"/>
      </w:pPr>
    </w:lvl>
  </w:abstractNum>
  <w:abstractNum w:abstractNumId="20" w15:restartNumberingAfterBreak="0">
    <w:nsid w:val="423400F7"/>
    <w:multiLevelType w:val="multilevel"/>
    <w:tmpl w:val="88EE8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6AF59F6"/>
    <w:multiLevelType w:val="multilevel"/>
    <w:tmpl w:val="DFD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88C6280"/>
    <w:multiLevelType w:val="hybridMultilevel"/>
    <w:tmpl w:val="380C9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84F2D"/>
    <w:multiLevelType w:val="hybridMultilevel"/>
    <w:tmpl w:val="4C829E8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41E46E2"/>
    <w:multiLevelType w:val="multilevel"/>
    <w:tmpl w:val="1F8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785746"/>
    <w:multiLevelType w:val="hybridMultilevel"/>
    <w:tmpl w:val="822423E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5943329D"/>
    <w:multiLevelType w:val="hybridMultilevel"/>
    <w:tmpl w:val="F6CA5E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1865C1"/>
    <w:multiLevelType w:val="hybridMultilevel"/>
    <w:tmpl w:val="F4BE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367BBC"/>
    <w:multiLevelType w:val="multilevel"/>
    <w:tmpl w:val="3F4C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B231BE"/>
    <w:multiLevelType w:val="hybridMultilevel"/>
    <w:tmpl w:val="E61094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681F6E"/>
    <w:multiLevelType w:val="hybridMultilevel"/>
    <w:tmpl w:val="6CA8F5A8"/>
    <w:lvl w:ilvl="0" w:tplc="FFFFFFFF">
      <w:start w:val="1"/>
      <w:numFmt w:val="bullet"/>
      <w:lvlText w:val=""/>
      <w:lvlJc w:val="left"/>
      <w:pPr>
        <w:ind w:left="360" w:hanging="360"/>
      </w:pPr>
      <w:rPr>
        <w:rFonts w:ascii="Symbol" w:hAnsi="Symbol" w:hint="default"/>
      </w:rPr>
    </w:lvl>
    <w:lvl w:ilvl="1" w:tplc="87263FBE">
      <w:numFmt w:val="bullet"/>
      <w:lvlText w:val="-"/>
      <w:lvlJc w:val="left"/>
      <w:pPr>
        <w:ind w:left="1080" w:hanging="360"/>
      </w:pPr>
      <w:rPr>
        <w:rFonts w:ascii="Franklin Gothic Book" w:eastAsiaTheme="minorHAnsi" w:hAnsi="Franklin Gothic Book" w:cstheme="minorBidi" w:hint="default"/>
      </w:rPr>
    </w:lvl>
    <w:lvl w:ilvl="2" w:tplc="F91EAF58">
      <w:numFmt w:val="bullet"/>
      <w:lvlText w:val="•"/>
      <w:lvlJc w:val="left"/>
      <w:pPr>
        <w:ind w:left="1800" w:hanging="360"/>
      </w:pPr>
      <w:rPr>
        <w:rFonts w:ascii="Franklin Gothic Book" w:eastAsiaTheme="minorHAnsi" w:hAnsi="Franklin Gothic Book" w:cstheme="minorBid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773722C"/>
    <w:multiLevelType w:val="hybridMultilevel"/>
    <w:tmpl w:val="BC14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1D1A44"/>
    <w:multiLevelType w:val="multilevel"/>
    <w:tmpl w:val="C2861F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16cid:durableId="304162574">
    <w:abstractNumId w:val="16"/>
  </w:num>
  <w:num w:numId="2" w16cid:durableId="785659913">
    <w:abstractNumId w:val="37"/>
  </w:num>
  <w:num w:numId="3" w16cid:durableId="181432382">
    <w:abstractNumId w:val="2"/>
  </w:num>
  <w:num w:numId="4" w16cid:durableId="1666083389">
    <w:abstractNumId w:val="8"/>
  </w:num>
  <w:num w:numId="5" w16cid:durableId="882667658">
    <w:abstractNumId w:val="34"/>
  </w:num>
  <w:num w:numId="6" w16cid:durableId="116218472">
    <w:abstractNumId w:val="10"/>
  </w:num>
  <w:num w:numId="7" w16cid:durableId="923761371">
    <w:abstractNumId w:val="11"/>
  </w:num>
  <w:num w:numId="8" w16cid:durableId="1337223050">
    <w:abstractNumId w:val="15"/>
  </w:num>
  <w:num w:numId="9" w16cid:durableId="748887973">
    <w:abstractNumId w:val="22"/>
  </w:num>
  <w:num w:numId="10" w16cid:durableId="139005830">
    <w:abstractNumId w:val="6"/>
  </w:num>
  <w:num w:numId="11" w16cid:durableId="711157192">
    <w:abstractNumId w:val="27"/>
  </w:num>
  <w:num w:numId="12" w16cid:durableId="1699357176">
    <w:abstractNumId w:val="36"/>
  </w:num>
  <w:num w:numId="13" w16cid:durableId="181012486">
    <w:abstractNumId w:val="12"/>
  </w:num>
  <w:num w:numId="14" w16cid:durableId="214703393">
    <w:abstractNumId w:val="3"/>
  </w:num>
  <w:num w:numId="15" w16cid:durableId="1773478569">
    <w:abstractNumId w:val="31"/>
  </w:num>
  <w:num w:numId="16" w16cid:durableId="1661959814">
    <w:abstractNumId w:val="26"/>
  </w:num>
  <w:num w:numId="17" w16cid:durableId="1295595915">
    <w:abstractNumId w:val="0"/>
  </w:num>
  <w:num w:numId="18" w16cid:durableId="1080251943">
    <w:abstractNumId w:val="33"/>
  </w:num>
  <w:num w:numId="19" w16cid:durableId="76754323">
    <w:abstractNumId w:val="32"/>
  </w:num>
  <w:num w:numId="20" w16cid:durableId="404228063">
    <w:abstractNumId w:val="30"/>
  </w:num>
  <w:num w:numId="21" w16cid:durableId="456265084">
    <w:abstractNumId w:val="35"/>
  </w:num>
  <w:num w:numId="22" w16cid:durableId="2055499233">
    <w:abstractNumId w:val="5"/>
  </w:num>
  <w:num w:numId="23" w16cid:durableId="523789867">
    <w:abstractNumId w:val="23"/>
  </w:num>
  <w:num w:numId="24" w16cid:durableId="618877021">
    <w:abstractNumId w:val="13"/>
  </w:num>
  <w:num w:numId="25" w16cid:durableId="462160706">
    <w:abstractNumId w:val="24"/>
  </w:num>
  <w:num w:numId="26" w16cid:durableId="378825944">
    <w:abstractNumId w:val="1"/>
  </w:num>
  <w:num w:numId="27" w16cid:durableId="1469398781">
    <w:abstractNumId w:val="25"/>
  </w:num>
  <w:num w:numId="28" w16cid:durableId="507250947">
    <w:abstractNumId w:val="4"/>
  </w:num>
  <w:num w:numId="29" w16cid:durableId="2018775665">
    <w:abstractNumId w:val="20"/>
  </w:num>
  <w:num w:numId="30" w16cid:durableId="648553441">
    <w:abstractNumId w:val="29"/>
  </w:num>
  <w:num w:numId="31" w16cid:durableId="656111213">
    <w:abstractNumId w:val="21"/>
  </w:num>
  <w:num w:numId="32" w16cid:durableId="238710390">
    <w:abstractNumId w:val="18"/>
  </w:num>
  <w:num w:numId="33" w16cid:durableId="1853180040">
    <w:abstractNumId w:val="17"/>
  </w:num>
  <w:num w:numId="34" w16cid:durableId="1410467671">
    <w:abstractNumId w:val="28"/>
  </w:num>
  <w:num w:numId="35" w16cid:durableId="179781456">
    <w:abstractNumId w:val="9"/>
  </w:num>
  <w:num w:numId="36" w16cid:durableId="2080665426">
    <w:abstractNumId w:val="14"/>
  </w:num>
  <w:num w:numId="37" w16cid:durableId="110363674">
    <w:abstractNumId w:val="19"/>
  </w:num>
  <w:num w:numId="38" w16cid:durableId="168724431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0A3B"/>
    <w:rsid w:val="0000109A"/>
    <w:rsid w:val="00001AE6"/>
    <w:rsid w:val="00001AF6"/>
    <w:rsid w:val="00001D55"/>
    <w:rsid w:val="000024A2"/>
    <w:rsid w:val="00003FD3"/>
    <w:rsid w:val="00004031"/>
    <w:rsid w:val="000045A2"/>
    <w:rsid w:val="00004D69"/>
    <w:rsid w:val="00004F7F"/>
    <w:rsid w:val="00005155"/>
    <w:rsid w:val="000054C9"/>
    <w:rsid w:val="000078B8"/>
    <w:rsid w:val="00010902"/>
    <w:rsid w:val="00011282"/>
    <w:rsid w:val="00011568"/>
    <w:rsid w:val="00011D3B"/>
    <w:rsid w:val="00011EF8"/>
    <w:rsid w:val="00012915"/>
    <w:rsid w:val="0001342B"/>
    <w:rsid w:val="00013D68"/>
    <w:rsid w:val="0001442A"/>
    <w:rsid w:val="00014974"/>
    <w:rsid w:val="00014B8F"/>
    <w:rsid w:val="00015039"/>
    <w:rsid w:val="00015562"/>
    <w:rsid w:val="00015E21"/>
    <w:rsid w:val="0001680E"/>
    <w:rsid w:val="000178D6"/>
    <w:rsid w:val="00020F6B"/>
    <w:rsid w:val="00022429"/>
    <w:rsid w:val="0002271C"/>
    <w:rsid w:val="000228B8"/>
    <w:rsid w:val="00022D57"/>
    <w:rsid w:val="00022E8A"/>
    <w:rsid w:val="00023132"/>
    <w:rsid w:val="00023326"/>
    <w:rsid w:val="000236CB"/>
    <w:rsid w:val="0002381B"/>
    <w:rsid w:val="00024EA5"/>
    <w:rsid w:val="0002629A"/>
    <w:rsid w:val="000263DB"/>
    <w:rsid w:val="0002755F"/>
    <w:rsid w:val="00027ECD"/>
    <w:rsid w:val="00030F8F"/>
    <w:rsid w:val="00031C8D"/>
    <w:rsid w:val="00031DFF"/>
    <w:rsid w:val="00033F57"/>
    <w:rsid w:val="0003423A"/>
    <w:rsid w:val="000342DE"/>
    <w:rsid w:val="0003477F"/>
    <w:rsid w:val="00035354"/>
    <w:rsid w:val="0003612E"/>
    <w:rsid w:val="00036580"/>
    <w:rsid w:val="00036999"/>
    <w:rsid w:val="00036AD8"/>
    <w:rsid w:val="00037037"/>
    <w:rsid w:val="00037302"/>
    <w:rsid w:val="00037847"/>
    <w:rsid w:val="0004005D"/>
    <w:rsid w:val="0004052B"/>
    <w:rsid w:val="00040845"/>
    <w:rsid w:val="00040ADF"/>
    <w:rsid w:val="00040AFD"/>
    <w:rsid w:val="00040FB4"/>
    <w:rsid w:val="0004178C"/>
    <w:rsid w:val="00041C48"/>
    <w:rsid w:val="00041F5D"/>
    <w:rsid w:val="00043825"/>
    <w:rsid w:val="00043FEF"/>
    <w:rsid w:val="000443A6"/>
    <w:rsid w:val="0004482A"/>
    <w:rsid w:val="000449D1"/>
    <w:rsid w:val="00045593"/>
    <w:rsid w:val="00045B8D"/>
    <w:rsid w:val="00045CC5"/>
    <w:rsid w:val="00046A9B"/>
    <w:rsid w:val="00046B6A"/>
    <w:rsid w:val="000472AF"/>
    <w:rsid w:val="000472D4"/>
    <w:rsid w:val="00050331"/>
    <w:rsid w:val="000503CC"/>
    <w:rsid w:val="000517C9"/>
    <w:rsid w:val="00051B8D"/>
    <w:rsid w:val="0005252A"/>
    <w:rsid w:val="00052DD3"/>
    <w:rsid w:val="0005326D"/>
    <w:rsid w:val="00053356"/>
    <w:rsid w:val="000537FB"/>
    <w:rsid w:val="00053D7B"/>
    <w:rsid w:val="00053F6C"/>
    <w:rsid w:val="00054128"/>
    <w:rsid w:val="00054C17"/>
    <w:rsid w:val="0005571D"/>
    <w:rsid w:val="0005602C"/>
    <w:rsid w:val="000579A4"/>
    <w:rsid w:val="00057E01"/>
    <w:rsid w:val="00057FB6"/>
    <w:rsid w:val="000617F5"/>
    <w:rsid w:val="000618C8"/>
    <w:rsid w:val="00062960"/>
    <w:rsid w:val="00062A45"/>
    <w:rsid w:val="00062C25"/>
    <w:rsid w:val="0006339C"/>
    <w:rsid w:val="00064783"/>
    <w:rsid w:val="000647C2"/>
    <w:rsid w:val="000649DC"/>
    <w:rsid w:val="00064B55"/>
    <w:rsid w:val="00067212"/>
    <w:rsid w:val="00067ACE"/>
    <w:rsid w:val="00067DD5"/>
    <w:rsid w:val="0007021F"/>
    <w:rsid w:val="000708FB"/>
    <w:rsid w:val="000709A0"/>
    <w:rsid w:val="00070C7C"/>
    <w:rsid w:val="000714F0"/>
    <w:rsid w:val="000726A6"/>
    <w:rsid w:val="00072C97"/>
    <w:rsid w:val="00073301"/>
    <w:rsid w:val="00074199"/>
    <w:rsid w:val="00074B7F"/>
    <w:rsid w:val="00075783"/>
    <w:rsid w:val="00076193"/>
    <w:rsid w:val="00076691"/>
    <w:rsid w:val="00076A56"/>
    <w:rsid w:val="00077BC9"/>
    <w:rsid w:val="00080241"/>
    <w:rsid w:val="00081432"/>
    <w:rsid w:val="00081778"/>
    <w:rsid w:val="000820F7"/>
    <w:rsid w:val="00082D94"/>
    <w:rsid w:val="00082D98"/>
    <w:rsid w:val="000836E1"/>
    <w:rsid w:val="000843E2"/>
    <w:rsid w:val="00084872"/>
    <w:rsid w:val="00084B81"/>
    <w:rsid w:val="00084C20"/>
    <w:rsid w:val="0008541A"/>
    <w:rsid w:val="00086F43"/>
    <w:rsid w:val="000870B6"/>
    <w:rsid w:val="0008724C"/>
    <w:rsid w:val="0009015E"/>
    <w:rsid w:val="00090613"/>
    <w:rsid w:val="00090BD1"/>
    <w:rsid w:val="0009134F"/>
    <w:rsid w:val="00091857"/>
    <w:rsid w:val="00091C59"/>
    <w:rsid w:val="000926A6"/>
    <w:rsid w:val="00092747"/>
    <w:rsid w:val="00092767"/>
    <w:rsid w:val="00092A21"/>
    <w:rsid w:val="00092F1E"/>
    <w:rsid w:val="00093419"/>
    <w:rsid w:val="00093528"/>
    <w:rsid w:val="0009388B"/>
    <w:rsid w:val="00093D9A"/>
    <w:rsid w:val="00094656"/>
    <w:rsid w:val="0009498F"/>
    <w:rsid w:val="00095A01"/>
    <w:rsid w:val="00095C63"/>
    <w:rsid w:val="00096B52"/>
    <w:rsid w:val="000971DF"/>
    <w:rsid w:val="000A0218"/>
    <w:rsid w:val="000A09F1"/>
    <w:rsid w:val="000A0E8C"/>
    <w:rsid w:val="000A10BF"/>
    <w:rsid w:val="000A15F5"/>
    <w:rsid w:val="000A1808"/>
    <w:rsid w:val="000A1D21"/>
    <w:rsid w:val="000A253C"/>
    <w:rsid w:val="000A2ACD"/>
    <w:rsid w:val="000A2B65"/>
    <w:rsid w:val="000A2C8E"/>
    <w:rsid w:val="000A2DA8"/>
    <w:rsid w:val="000A389E"/>
    <w:rsid w:val="000A3F69"/>
    <w:rsid w:val="000A51E3"/>
    <w:rsid w:val="000A54BE"/>
    <w:rsid w:val="000A5C47"/>
    <w:rsid w:val="000A629E"/>
    <w:rsid w:val="000A6B30"/>
    <w:rsid w:val="000B0AB5"/>
    <w:rsid w:val="000B2802"/>
    <w:rsid w:val="000B2DFC"/>
    <w:rsid w:val="000B2E88"/>
    <w:rsid w:val="000B3330"/>
    <w:rsid w:val="000B3491"/>
    <w:rsid w:val="000B3492"/>
    <w:rsid w:val="000B364C"/>
    <w:rsid w:val="000B3E37"/>
    <w:rsid w:val="000B4110"/>
    <w:rsid w:val="000B589B"/>
    <w:rsid w:val="000B61B2"/>
    <w:rsid w:val="000B6CF0"/>
    <w:rsid w:val="000B720C"/>
    <w:rsid w:val="000B7665"/>
    <w:rsid w:val="000B768C"/>
    <w:rsid w:val="000C06C8"/>
    <w:rsid w:val="000C0DDE"/>
    <w:rsid w:val="000C35ED"/>
    <w:rsid w:val="000C49B7"/>
    <w:rsid w:val="000C4D1F"/>
    <w:rsid w:val="000C4D73"/>
    <w:rsid w:val="000C619D"/>
    <w:rsid w:val="000C6440"/>
    <w:rsid w:val="000C67BE"/>
    <w:rsid w:val="000C7AF2"/>
    <w:rsid w:val="000C7C46"/>
    <w:rsid w:val="000C7F25"/>
    <w:rsid w:val="000D08DE"/>
    <w:rsid w:val="000D1491"/>
    <w:rsid w:val="000D1531"/>
    <w:rsid w:val="000D1B52"/>
    <w:rsid w:val="000D303E"/>
    <w:rsid w:val="000D3190"/>
    <w:rsid w:val="000D4BD7"/>
    <w:rsid w:val="000D4C1B"/>
    <w:rsid w:val="000D4D4D"/>
    <w:rsid w:val="000D505B"/>
    <w:rsid w:val="000D5523"/>
    <w:rsid w:val="000D6158"/>
    <w:rsid w:val="000D72B4"/>
    <w:rsid w:val="000D7597"/>
    <w:rsid w:val="000D75FF"/>
    <w:rsid w:val="000D79BE"/>
    <w:rsid w:val="000E0391"/>
    <w:rsid w:val="000E03DC"/>
    <w:rsid w:val="000E1124"/>
    <w:rsid w:val="000E2E88"/>
    <w:rsid w:val="000E2EF5"/>
    <w:rsid w:val="000E3854"/>
    <w:rsid w:val="000E4D96"/>
    <w:rsid w:val="000E5531"/>
    <w:rsid w:val="000E58C8"/>
    <w:rsid w:val="000E6410"/>
    <w:rsid w:val="000E678B"/>
    <w:rsid w:val="000E7119"/>
    <w:rsid w:val="000E71AF"/>
    <w:rsid w:val="000E777D"/>
    <w:rsid w:val="000F104A"/>
    <w:rsid w:val="000F125F"/>
    <w:rsid w:val="000F2C25"/>
    <w:rsid w:val="000F2E01"/>
    <w:rsid w:val="000F398F"/>
    <w:rsid w:val="000F3A52"/>
    <w:rsid w:val="000F450F"/>
    <w:rsid w:val="000F53C6"/>
    <w:rsid w:val="000F54AC"/>
    <w:rsid w:val="000F5A54"/>
    <w:rsid w:val="000F5F99"/>
    <w:rsid w:val="000F788E"/>
    <w:rsid w:val="000F7987"/>
    <w:rsid w:val="0010051C"/>
    <w:rsid w:val="00102042"/>
    <w:rsid w:val="00102354"/>
    <w:rsid w:val="00103904"/>
    <w:rsid w:val="0010448B"/>
    <w:rsid w:val="00104ADC"/>
    <w:rsid w:val="0010521F"/>
    <w:rsid w:val="00105558"/>
    <w:rsid w:val="0010625A"/>
    <w:rsid w:val="00106692"/>
    <w:rsid w:val="0010708A"/>
    <w:rsid w:val="00107524"/>
    <w:rsid w:val="00107DCD"/>
    <w:rsid w:val="00107EF0"/>
    <w:rsid w:val="001100A2"/>
    <w:rsid w:val="001111FC"/>
    <w:rsid w:val="001113F4"/>
    <w:rsid w:val="00111417"/>
    <w:rsid w:val="00111715"/>
    <w:rsid w:val="00111D97"/>
    <w:rsid w:val="00111DEF"/>
    <w:rsid w:val="00112089"/>
    <w:rsid w:val="00112604"/>
    <w:rsid w:val="00113C60"/>
    <w:rsid w:val="001141F3"/>
    <w:rsid w:val="001145F9"/>
    <w:rsid w:val="00114C3B"/>
    <w:rsid w:val="00114CE5"/>
    <w:rsid w:val="00115691"/>
    <w:rsid w:val="00115986"/>
    <w:rsid w:val="0011689F"/>
    <w:rsid w:val="00117039"/>
    <w:rsid w:val="00117F04"/>
    <w:rsid w:val="001206FD"/>
    <w:rsid w:val="00120A83"/>
    <w:rsid w:val="00120BD3"/>
    <w:rsid w:val="00120C44"/>
    <w:rsid w:val="00120EE4"/>
    <w:rsid w:val="00120EFA"/>
    <w:rsid w:val="001210A7"/>
    <w:rsid w:val="001210FA"/>
    <w:rsid w:val="00122AE3"/>
    <w:rsid w:val="00122E7F"/>
    <w:rsid w:val="00122EE1"/>
    <w:rsid w:val="001235D4"/>
    <w:rsid w:val="00123658"/>
    <w:rsid w:val="001237AF"/>
    <w:rsid w:val="0012475B"/>
    <w:rsid w:val="001247EB"/>
    <w:rsid w:val="00124B3C"/>
    <w:rsid w:val="00124F3C"/>
    <w:rsid w:val="001250C1"/>
    <w:rsid w:val="00125B61"/>
    <w:rsid w:val="00126122"/>
    <w:rsid w:val="001261D5"/>
    <w:rsid w:val="001278E5"/>
    <w:rsid w:val="00127C16"/>
    <w:rsid w:val="00131D45"/>
    <w:rsid w:val="001320F0"/>
    <w:rsid w:val="00132219"/>
    <w:rsid w:val="00132800"/>
    <w:rsid w:val="00132A11"/>
    <w:rsid w:val="00132F0D"/>
    <w:rsid w:val="001336E0"/>
    <w:rsid w:val="00133F34"/>
    <w:rsid w:val="0013438F"/>
    <w:rsid w:val="00134C69"/>
    <w:rsid w:val="00135273"/>
    <w:rsid w:val="0013539E"/>
    <w:rsid w:val="001359E7"/>
    <w:rsid w:val="00135FC9"/>
    <w:rsid w:val="00136465"/>
    <w:rsid w:val="0013658E"/>
    <w:rsid w:val="00141F9C"/>
    <w:rsid w:val="00143478"/>
    <w:rsid w:val="00143F2F"/>
    <w:rsid w:val="0014440F"/>
    <w:rsid w:val="001457AD"/>
    <w:rsid w:val="0014582F"/>
    <w:rsid w:val="001459E2"/>
    <w:rsid w:val="00146624"/>
    <w:rsid w:val="0015001B"/>
    <w:rsid w:val="00150376"/>
    <w:rsid w:val="00150BE2"/>
    <w:rsid w:val="001512F7"/>
    <w:rsid w:val="00151DBD"/>
    <w:rsid w:val="001531D6"/>
    <w:rsid w:val="00154B38"/>
    <w:rsid w:val="001553F0"/>
    <w:rsid w:val="00155434"/>
    <w:rsid w:val="00155B47"/>
    <w:rsid w:val="00155BDA"/>
    <w:rsid w:val="001566F2"/>
    <w:rsid w:val="00156DB7"/>
    <w:rsid w:val="00156FA7"/>
    <w:rsid w:val="0016023A"/>
    <w:rsid w:val="00160672"/>
    <w:rsid w:val="0016146E"/>
    <w:rsid w:val="0016217E"/>
    <w:rsid w:val="00162361"/>
    <w:rsid w:val="00162AA8"/>
    <w:rsid w:val="00162DBF"/>
    <w:rsid w:val="00163E6E"/>
    <w:rsid w:val="00164CF8"/>
    <w:rsid w:val="00164F9C"/>
    <w:rsid w:val="001652F2"/>
    <w:rsid w:val="001653AE"/>
    <w:rsid w:val="0016587A"/>
    <w:rsid w:val="001677EB"/>
    <w:rsid w:val="00170D5B"/>
    <w:rsid w:val="00172B8F"/>
    <w:rsid w:val="001736F8"/>
    <w:rsid w:val="00173D85"/>
    <w:rsid w:val="001744D0"/>
    <w:rsid w:val="00174FD4"/>
    <w:rsid w:val="0017567A"/>
    <w:rsid w:val="00176AFC"/>
    <w:rsid w:val="00176E79"/>
    <w:rsid w:val="001801B3"/>
    <w:rsid w:val="00180424"/>
    <w:rsid w:val="0018088A"/>
    <w:rsid w:val="00180E68"/>
    <w:rsid w:val="001817D9"/>
    <w:rsid w:val="00182E8D"/>
    <w:rsid w:val="00183213"/>
    <w:rsid w:val="00184BAE"/>
    <w:rsid w:val="0018598F"/>
    <w:rsid w:val="00185CD3"/>
    <w:rsid w:val="001863E9"/>
    <w:rsid w:val="00186B93"/>
    <w:rsid w:val="00187722"/>
    <w:rsid w:val="00190501"/>
    <w:rsid w:val="0019094D"/>
    <w:rsid w:val="001909FD"/>
    <w:rsid w:val="00191924"/>
    <w:rsid w:val="0019225B"/>
    <w:rsid w:val="00192717"/>
    <w:rsid w:val="00193171"/>
    <w:rsid w:val="0019320A"/>
    <w:rsid w:val="0019362A"/>
    <w:rsid w:val="0019474E"/>
    <w:rsid w:val="00195728"/>
    <w:rsid w:val="001970C0"/>
    <w:rsid w:val="0019762B"/>
    <w:rsid w:val="001A1CB7"/>
    <w:rsid w:val="001A283B"/>
    <w:rsid w:val="001A40CB"/>
    <w:rsid w:val="001A420B"/>
    <w:rsid w:val="001A4B97"/>
    <w:rsid w:val="001A4F7D"/>
    <w:rsid w:val="001A5CBD"/>
    <w:rsid w:val="001A6435"/>
    <w:rsid w:val="001A644D"/>
    <w:rsid w:val="001A6B6B"/>
    <w:rsid w:val="001A6E5E"/>
    <w:rsid w:val="001A7323"/>
    <w:rsid w:val="001A7698"/>
    <w:rsid w:val="001A7B42"/>
    <w:rsid w:val="001A7D8F"/>
    <w:rsid w:val="001B0365"/>
    <w:rsid w:val="001B0A57"/>
    <w:rsid w:val="001B0C59"/>
    <w:rsid w:val="001B13D7"/>
    <w:rsid w:val="001B2467"/>
    <w:rsid w:val="001B2A97"/>
    <w:rsid w:val="001B2CD4"/>
    <w:rsid w:val="001B3243"/>
    <w:rsid w:val="001B3748"/>
    <w:rsid w:val="001B43E7"/>
    <w:rsid w:val="001B4853"/>
    <w:rsid w:val="001B56D3"/>
    <w:rsid w:val="001B5B65"/>
    <w:rsid w:val="001B6949"/>
    <w:rsid w:val="001B6D69"/>
    <w:rsid w:val="001B7329"/>
    <w:rsid w:val="001B7A9C"/>
    <w:rsid w:val="001C09FC"/>
    <w:rsid w:val="001C122A"/>
    <w:rsid w:val="001C15CA"/>
    <w:rsid w:val="001C174A"/>
    <w:rsid w:val="001C1D05"/>
    <w:rsid w:val="001C1EBF"/>
    <w:rsid w:val="001C26DF"/>
    <w:rsid w:val="001C2A48"/>
    <w:rsid w:val="001C2B8B"/>
    <w:rsid w:val="001C32B3"/>
    <w:rsid w:val="001C3F1D"/>
    <w:rsid w:val="001C54C6"/>
    <w:rsid w:val="001C5852"/>
    <w:rsid w:val="001C5BB8"/>
    <w:rsid w:val="001C636D"/>
    <w:rsid w:val="001C69E3"/>
    <w:rsid w:val="001C6D08"/>
    <w:rsid w:val="001C6DFD"/>
    <w:rsid w:val="001C7560"/>
    <w:rsid w:val="001C79DC"/>
    <w:rsid w:val="001C7E40"/>
    <w:rsid w:val="001D0257"/>
    <w:rsid w:val="001D0786"/>
    <w:rsid w:val="001D2D0E"/>
    <w:rsid w:val="001D32C0"/>
    <w:rsid w:val="001D3A64"/>
    <w:rsid w:val="001D4733"/>
    <w:rsid w:val="001D4E73"/>
    <w:rsid w:val="001D5793"/>
    <w:rsid w:val="001D5A04"/>
    <w:rsid w:val="001D5D9E"/>
    <w:rsid w:val="001D74A7"/>
    <w:rsid w:val="001D7DE0"/>
    <w:rsid w:val="001E15F2"/>
    <w:rsid w:val="001E213E"/>
    <w:rsid w:val="001E22F7"/>
    <w:rsid w:val="001E2864"/>
    <w:rsid w:val="001E2FDA"/>
    <w:rsid w:val="001E3234"/>
    <w:rsid w:val="001E3359"/>
    <w:rsid w:val="001E36E4"/>
    <w:rsid w:val="001E3943"/>
    <w:rsid w:val="001E397F"/>
    <w:rsid w:val="001E4216"/>
    <w:rsid w:val="001E465F"/>
    <w:rsid w:val="001E4B46"/>
    <w:rsid w:val="001E5696"/>
    <w:rsid w:val="001E57EC"/>
    <w:rsid w:val="001E6673"/>
    <w:rsid w:val="001E795B"/>
    <w:rsid w:val="001F0597"/>
    <w:rsid w:val="001F097D"/>
    <w:rsid w:val="001F10F5"/>
    <w:rsid w:val="001F16A7"/>
    <w:rsid w:val="001F177C"/>
    <w:rsid w:val="001F2902"/>
    <w:rsid w:val="001F2D20"/>
    <w:rsid w:val="001F3F36"/>
    <w:rsid w:val="001F4607"/>
    <w:rsid w:val="001F462C"/>
    <w:rsid w:val="001F588E"/>
    <w:rsid w:val="001F658C"/>
    <w:rsid w:val="001F675C"/>
    <w:rsid w:val="001F6F44"/>
    <w:rsid w:val="001F74F3"/>
    <w:rsid w:val="001F7501"/>
    <w:rsid w:val="001F7563"/>
    <w:rsid w:val="001F758A"/>
    <w:rsid w:val="001F78A1"/>
    <w:rsid w:val="0020033C"/>
    <w:rsid w:val="002004CD"/>
    <w:rsid w:val="00201080"/>
    <w:rsid w:val="0020109B"/>
    <w:rsid w:val="00202593"/>
    <w:rsid w:val="002027DD"/>
    <w:rsid w:val="00204F5D"/>
    <w:rsid w:val="00205938"/>
    <w:rsid w:val="0020736E"/>
    <w:rsid w:val="00207F59"/>
    <w:rsid w:val="00207FC7"/>
    <w:rsid w:val="002102F3"/>
    <w:rsid w:val="00210F03"/>
    <w:rsid w:val="00211A27"/>
    <w:rsid w:val="00211DC3"/>
    <w:rsid w:val="00213465"/>
    <w:rsid w:val="00213486"/>
    <w:rsid w:val="00214591"/>
    <w:rsid w:val="002146A0"/>
    <w:rsid w:val="00214E6B"/>
    <w:rsid w:val="002151A1"/>
    <w:rsid w:val="002155B6"/>
    <w:rsid w:val="002157E4"/>
    <w:rsid w:val="002158B2"/>
    <w:rsid w:val="00215AFB"/>
    <w:rsid w:val="00215DEA"/>
    <w:rsid w:val="00217965"/>
    <w:rsid w:val="002200D8"/>
    <w:rsid w:val="002205F2"/>
    <w:rsid w:val="00220DB3"/>
    <w:rsid w:val="00221CF5"/>
    <w:rsid w:val="00222516"/>
    <w:rsid w:val="00223664"/>
    <w:rsid w:val="00223A56"/>
    <w:rsid w:val="00223C3F"/>
    <w:rsid w:val="00223D79"/>
    <w:rsid w:val="0022414A"/>
    <w:rsid w:val="00225833"/>
    <w:rsid w:val="00226095"/>
    <w:rsid w:val="00226FB6"/>
    <w:rsid w:val="002277D2"/>
    <w:rsid w:val="00227B89"/>
    <w:rsid w:val="00227C34"/>
    <w:rsid w:val="00227F43"/>
    <w:rsid w:val="002305F1"/>
    <w:rsid w:val="00231BBD"/>
    <w:rsid w:val="002323E8"/>
    <w:rsid w:val="002329DE"/>
    <w:rsid w:val="00232C26"/>
    <w:rsid w:val="002338AB"/>
    <w:rsid w:val="0023392A"/>
    <w:rsid w:val="002339DF"/>
    <w:rsid w:val="00233B2C"/>
    <w:rsid w:val="00234640"/>
    <w:rsid w:val="002347AE"/>
    <w:rsid w:val="00235FA0"/>
    <w:rsid w:val="00236688"/>
    <w:rsid w:val="0023722D"/>
    <w:rsid w:val="00237874"/>
    <w:rsid w:val="00237883"/>
    <w:rsid w:val="00240106"/>
    <w:rsid w:val="00240556"/>
    <w:rsid w:val="00240AB2"/>
    <w:rsid w:val="002411C7"/>
    <w:rsid w:val="0024151E"/>
    <w:rsid w:val="002417BD"/>
    <w:rsid w:val="00241967"/>
    <w:rsid w:val="002419B5"/>
    <w:rsid w:val="00242F4E"/>
    <w:rsid w:val="002430A3"/>
    <w:rsid w:val="002440D8"/>
    <w:rsid w:val="002452A0"/>
    <w:rsid w:val="00246261"/>
    <w:rsid w:val="002463A6"/>
    <w:rsid w:val="00246ADB"/>
    <w:rsid w:val="00250674"/>
    <w:rsid w:val="00250A0C"/>
    <w:rsid w:val="002517A5"/>
    <w:rsid w:val="00251834"/>
    <w:rsid w:val="00251E0D"/>
    <w:rsid w:val="00251F6C"/>
    <w:rsid w:val="0025249C"/>
    <w:rsid w:val="00252FB0"/>
    <w:rsid w:val="00253424"/>
    <w:rsid w:val="002539ED"/>
    <w:rsid w:val="0025440D"/>
    <w:rsid w:val="0025450E"/>
    <w:rsid w:val="00255152"/>
    <w:rsid w:val="0025554E"/>
    <w:rsid w:val="00255BA1"/>
    <w:rsid w:val="00256879"/>
    <w:rsid w:val="00256DD3"/>
    <w:rsid w:val="00256F60"/>
    <w:rsid w:val="002601C4"/>
    <w:rsid w:val="0026274B"/>
    <w:rsid w:val="002638F4"/>
    <w:rsid w:val="002639C7"/>
    <w:rsid w:val="00263C3F"/>
    <w:rsid w:val="00263DC2"/>
    <w:rsid w:val="00264BD1"/>
    <w:rsid w:val="002651F2"/>
    <w:rsid w:val="00265F11"/>
    <w:rsid w:val="00266532"/>
    <w:rsid w:val="002669A3"/>
    <w:rsid w:val="00270308"/>
    <w:rsid w:val="0027160C"/>
    <w:rsid w:val="00271E4A"/>
    <w:rsid w:val="002726B9"/>
    <w:rsid w:val="00272EC8"/>
    <w:rsid w:val="002737DC"/>
    <w:rsid w:val="002751D1"/>
    <w:rsid w:val="00275209"/>
    <w:rsid w:val="00276531"/>
    <w:rsid w:val="00276AB5"/>
    <w:rsid w:val="00276B42"/>
    <w:rsid w:val="00277376"/>
    <w:rsid w:val="00280C07"/>
    <w:rsid w:val="00280EE9"/>
    <w:rsid w:val="0028324D"/>
    <w:rsid w:val="002838B4"/>
    <w:rsid w:val="00283F95"/>
    <w:rsid w:val="00284340"/>
    <w:rsid w:val="002847A2"/>
    <w:rsid w:val="00286A6E"/>
    <w:rsid w:val="00287E78"/>
    <w:rsid w:val="00290676"/>
    <w:rsid w:val="00291462"/>
    <w:rsid w:val="00291479"/>
    <w:rsid w:val="00291572"/>
    <w:rsid w:val="00291C90"/>
    <w:rsid w:val="00291F4D"/>
    <w:rsid w:val="00291FD7"/>
    <w:rsid w:val="00292292"/>
    <w:rsid w:val="0029300E"/>
    <w:rsid w:val="00293534"/>
    <w:rsid w:val="0029384D"/>
    <w:rsid w:val="0029412D"/>
    <w:rsid w:val="002959F8"/>
    <w:rsid w:val="00295AD6"/>
    <w:rsid w:val="00295CBD"/>
    <w:rsid w:val="002963B4"/>
    <w:rsid w:val="002963F3"/>
    <w:rsid w:val="0029645D"/>
    <w:rsid w:val="00296C12"/>
    <w:rsid w:val="00296E7B"/>
    <w:rsid w:val="002970FC"/>
    <w:rsid w:val="002974B7"/>
    <w:rsid w:val="002976F7"/>
    <w:rsid w:val="002978DF"/>
    <w:rsid w:val="002A04B4"/>
    <w:rsid w:val="002A0D37"/>
    <w:rsid w:val="002A145B"/>
    <w:rsid w:val="002A174B"/>
    <w:rsid w:val="002A18BE"/>
    <w:rsid w:val="002A1F03"/>
    <w:rsid w:val="002A36F6"/>
    <w:rsid w:val="002A4084"/>
    <w:rsid w:val="002A40A7"/>
    <w:rsid w:val="002A484D"/>
    <w:rsid w:val="002A4AD6"/>
    <w:rsid w:val="002A6620"/>
    <w:rsid w:val="002A6E7A"/>
    <w:rsid w:val="002A7196"/>
    <w:rsid w:val="002A7655"/>
    <w:rsid w:val="002A76AE"/>
    <w:rsid w:val="002A7A31"/>
    <w:rsid w:val="002A7DE6"/>
    <w:rsid w:val="002B031E"/>
    <w:rsid w:val="002B0401"/>
    <w:rsid w:val="002B0755"/>
    <w:rsid w:val="002B0CC3"/>
    <w:rsid w:val="002B1384"/>
    <w:rsid w:val="002B3000"/>
    <w:rsid w:val="002B316F"/>
    <w:rsid w:val="002B3681"/>
    <w:rsid w:val="002B4483"/>
    <w:rsid w:val="002B456B"/>
    <w:rsid w:val="002B4998"/>
    <w:rsid w:val="002B49FF"/>
    <w:rsid w:val="002B4EA3"/>
    <w:rsid w:val="002B60E6"/>
    <w:rsid w:val="002B6162"/>
    <w:rsid w:val="002B6348"/>
    <w:rsid w:val="002B667C"/>
    <w:rsid w:val="002B6AC4"/>
    <w:rsid w:val="002B710F"/>
    <w:rsid w:val="002B7863"/>
    <w:rsid w:val="002C0321"/>
    <w:rsid w:val="002C05B1"/>
    <w:rsid w:val="002C11CA"/>
    <w:rsid w:val="002C255B"/>
    <w:rsid w:val="002C3809"/>
    <w:rsid w:val="002C45E8"/>
    <w:rsid w:val="002C46FD"/>
    <w:rsid w:val="002C474D"/>
    <w:rsid w:val="002C4B81"/>
    <w:rsid w:val="002C56F7"/>
    <w:rsid w:val="002C662C"/>
    <w:rsid w:val="002C70CE"/>
    <w:rsid w:val="002C725D"/>
    <w:rsid w:val="002C72BB"/>
    <w:rsid w:val="002D0239"/>
    <w:rsid w:val="002D1524"/>
    <w:rsid w:val="002D1C31"/>
    <w:rsid w:val="002D4DF8"/>
    <w:rsid w:val="002D4F36"/>
    <w:rsid w:val="002D5097"/>
    <w:rsid w:val="002D5597"/>
    <w:rsid w:val="002D55E4"/>
    <w:rsid w:val="002D6768"/>
    <w:rsid w:val="002D690D"/>
    <w:rsid w:val="002D7F3E"/>
    <w:rsid w:val="002E0F8F"/>
    <w:rsid w:val="002E22F8"/>
    <w:rsid w:val="002E375E"/>
    <w:rsid w:val="002E3AEB"/>
    <w:rsid w:val="002E4271"/>
    <w:rsid w:val="002E5AFD"/>
    <w:rsid w:val="002E5C94"/>
    <w:rsid w:val="002E5E00"/>
    <w:rsid w:val="002E63BE"/>
    <w:rsid w:val="002E68CB"/>
    <w:rsid w:val="002E6D9C"/>
    <w:rsid w:val="002E7775"/>
    <w:rsid w:val="002E7AD2"/>
    <w:rsid w:val="002E7D53"/>
    <w:rsid w:val="002F11C8"/>
    <w:rsid w:val="002F1399"/>
    <w:rsid w:val="002F1B59"/>
    <w:rsid w:val="002F28DC"/>
    <w:rsid w:val="002F2A4A"/>
    <w:rsid w:val="002F307E"/>
    <w:rsid w:val="002F325C"/>
    <w:rsid w:val="002F32FB"/>
    <w:rsid w:val="002F5611"/>
    <w:rsid w:val="002F5797"/>
    <w:rsid w:val="002F5AE1"/>
    <w:rsid w:val="002F5F5E"/>
    <w:rsid w:val="002F5F85"/>
    <w:rsid w:val="002F693F"/>
    <w:rsid w:val="002F71AB"/>
    <w:rsid w:val="002F75EC"/>
    <w:rsid w:val="002F7805"/>
    <w:rsid w:val="003008CC"/>
    <w:rsid w:val="00301763"/>
    <w:rsid w:val="00301B75"/>
    <w:rsid w:val="00301D2B"/>
    <w:rsid w:val="00302252"/>
    <w:rsid w:val="00302310"/>
    <w:rsid w:val="00302577"/>
    <w:rsid w:val="00303245"/>
    <w:rsid w:val="0030397F"/>
    <w:rsid w:val="00303C60"/>
    <w:rsid w:val="00303D9B"/>
    <w:rsid w:val="003048A3"/>
    <w:rsid w:val="00304961"/>
    <w:rsid w:val="00304FB8"/>
    <w:rsid w:val="00305143"/>
    <w:rsid w:val="00305A91"/>
    <w:rsid w:val="00306A84"/>
    <w:rsid w:val="0030710C"/>
    <w:rsid w:val="00307299"/>
    <w:rsid w:val="003076EF"/>
    <w:rsid w:val="00307BC9"/>
    <w:rsid w:val="00310B9B"/>
    <w:rsid w:val="00310C3F"/>
    <w:rsid w:val="0031163A"/>
    <w:rsid w:val="00311838"/>
    <w:rsid w:val="003122DC"/>
    <w:rsid w:val="003140D2"/>
    <w:rsid w:val="003158B0"/>
    <w:rsid w:val="00316229"/>
    <w:rsid w:val="003167B0"/>
    <w:rsid w:val="00316AB8"/>
    <w:rsid w:val="00316B76"/>
    <w:rsid w:val="00317194"/>
    <w:rsid w:val="00317714"/>
    <w:rsid w:val="00317D8A"/>
    <w:rsid w:val="00317E3E"/>
    <w:rsid w:val="00320450"/>
    <w:rsid w:val="00320A17"/>
    <w:rsid w:val="00322DA9"/>
    <w:rsid w:val="003236E6"/>
    <w:rsid w:val="00323AF6"/>
    <w:rsid w:val="00323B7F"/>
    <w:rsid w:val="003243C2"/>
    <w:rsid w:val="003245F4"/>
    <w:rsid w:val="003249EF"/>
    <w:rsid w:val="00324AA9"/>
    <w:rsid w:val="003251C2"/>
    <w:rsid w:val="00325934"/>
    <w:rsid w:val="00325FA0"/>
    <w:rsid w:val="00326581"/>
    <w:rsid w:val="00326F0A"/>
    <w:rsid w:val="00326F1C"/>
    <w:rsid w:val="00327162"/>
    <w:rsid w:val="003276B2"/>
    <w:rsid w:val="00330A0A"/>
    <w:rsid w:val="00330EAA"/>
    <w:rsid w:val="003315F9"/>
    <w:rsid w:val="00331E25"/>
    <w:rsid w:val="003328A9"/>
    <w:rsid w:val="0033397C"/>
    <w:rsid w:val="003339DB"/>
    <w:rsid w:val="00334947"/>
    <w:rsid w:val="003355CE"/>
    <w:rsid w:val="00335EBB"/>
    <w:rsid w:val="00335FE6"/>
    <w:rsid w:val="003367B8"/>
    <w:rsid w:val="00336999"/>
    <w:rsid w:val="00336CF3"/>
    <w:rsid w:val="00336F32"/>
    <w:rsid w:val="003371B5"/>
    <w:rsid w:val="00337BAF"/>
    <w:rsid w:val="00337DA1"/>
    <w:rsid w:val="00340341"/>
    <w:rsid w:val="003403FE"/>
    <w:rsid w:val="00340984"/>
    <w:rsid w:val="00340B34"/>
    <w:rsid w:val="00340B67"/>
    <w:rsid w:val="003417CB"/>
    <w:rsid w:val="00342902"/>
    <w:rsid w:val="00342969"/>
    <w:rsid w:val="003435A9"/>
    <w:rsid w:val="00343A4A"/>
    <w:rsid w:val="0034431B"/>
    <w:rsid w:val="00344649"/>
    <w:rsid w:val="00344B44"/>
    <w:rsid w:val="00344E1F"/>
    <w:rsid w:val="0034509D"/>
    <w:rsid w:val="00345496"/>
    <w:rsid w:val="003458C8"/>
    <w:rsid w:val="00345BCF"/>
    <w:rsid w:val="003466F9"/>
    <w:rsid w:val="003467EF"/>
    <w:rsid w:val="00347436"/>
    <w:rsid w:val="00350092"/>
    <w:rsid w:val="0035030C"/>
    <w:rsid w:val="00350551"/>
    <w:rsid w:val="00351035"/>
    <w:rsid w:val="003519AD"/>
    <w:rsid w:val="00351CB7"/>
    <w:rsid w:val="00351E0E"/>
    <w:rsid w:val="00351FC4"/>
    <w:rsid w:val="00352EBF"/>
    <w:rsid w:val="00352F35"/>
    <w:rsid w:val="003537A1"/>
    <w:rsid w:val="00353AEC"/>
    <w:rsid w:val="0035413E"/>
    <w:rsid w:val="00354C88"/>
    <w:rsid w:val="00354EB4"/>
    <w:rsid w:val="0035566E"/>
    <w:rsid w:val="00355A61"/>
    <w:rsid w:val="00356487"/>
    <w:rsid w:val="00356D29"/>
    <w:rsid w:val="00356FB4"/>
    <w:rsid w:val="003571C2"/>
    <w:rsid w:val="00357B93"/>
    <w:rsid w:val="0036078C"/>
    <w:rsid w:val="003608AF"/>
    <w:rsid w:val="00361084"/>
    <w:rsid w:val="00361D77"/>
    <w:rsid w:val="00362C5C"/>
    <w:rsid w:val="003631C5"/>
    <w:rsid w:val="003640A7"/>
    <w:rsid w:val="00364E19"/>
    <w:rsid w:val="00364EEF"/>
    <w:rsid w:val="003653D2"/>
    <w:rsid w:val="00365447"/>
    <w:rsid w:val="0036661A"/>
    <w:rsid w:val="0036759D"/>
    <w:rsid w:val="0036794E"/>
    <w:rsid w:val="00367BDF"/>
    <w:rsid w:val="00367CDE"/>
    <w:rsid w:val="003702BB"/>
    <w:rsid w:val="003709CE"/>
    <w:rsid w:val="00372D65"/>
    <w:rsid w:val="0037341E"/>
    <w:rsid w:val="0037346E"/>
    <w:rsid w:val="00373B42"/>
    <w:rsid w:val="00373B84"/>
    <w:rsid w:val="003766DB"/>
    <w:rsid w:val="003767A3"/>
    <w:rsid w:val="00381171"/>
    <w:rsid w:val="00381355"/>
    <w:rsid w:val="0038146C"/>
    <w:rsid w:val="00382367"/>
    <w:rsid w:val="00382577"/>
    <w:rsid w:val="00382609"/>
    <w:rsid w:val="003826F0"/>
    <w:rsid w:val="003841B7"/>
    <w:rsid w:val="00384BF7"/>
    <w:rsid w:val="00385C18"/>
    <w:rsid w:val="00386061"/>
    <w:rsid w:val="00386124"/>
    <w:rsid w:val="003864D5"/>
    <w:rsid w:val="00387BB1"/>
    <w:rsid w:val="00390567"/>
    <w:rsid w:val="00390C0E"/>
    <w:rsid w:val="00390D60"/>
    <w:rsid w:val="0039203D"/>
    <w:rsid w:val="00394448"/>
    <w:rsid w:val="0039644E"/>
    <w:rsid w:val="003966F6"/>
    <w:rsid w:val="0039677D"/>
    <w:rsid w:val="00396A12"/>
    <w:rsid w:val="00396D95"/>
    <w:rsid w:val="00396DF6"/>
    <w:rsid w:val="003972A6"/>
    <w:rsid w:val="003972F0"/>
    <w:rsid w:val="003A02CA"/>
    <w:rsid w:val="003A0660"/>
    <w:rsid w:val="003A0D52"/>
    <w:rsid w:val="003A103D"/>
    <w:rsid w:val="003A1980"/>
    <w:rsid w:val="003A1C2A"/>
    <w:rsid w:val="003A2D7C"/>
    <w:rsid w:val="003A2ED1"/>
    <w:rsid w:val="003A40A7"/>
    <w:rsid w:val="003A48BC"/>
    <w:rsid w:val="003A4C47"/>
    <w:rsid w:val="003A4F9A"/>
    <w:rsid w:val="003A5D8C"/>
    <w:rsid w:val="003A6724"/>
    <w:rsid w:val="003A6C25"/>
    <w:rsid w:val="003A6E1A"/>
    <w:rsid w:val="003A7534"/>
    <w:rsid w:val="003A7DA5"/>
    <w:rsid w:val="003B07D9"/>
    <w:rsid w:val="003B0885"/>
    <w:rsid w:val="003B0BA1"/>
    <w:rsid w:val="003B2260"/>
    <w:rsid w:val="003B2263"/>
    <w:rsid w:val="003B3317"/>
    <w:rsid w:val="003B3ABC"/>
    <w:rsid w:val="003B42FF"/>
    <w:rsid w:val="003B4599"/>
    <w:rsid w:val="003B532F"/>
    <w:rsid w:val="003B5A05"/>
    <w:rsid w:val="003B61B7"/>
    <w:rsid w:val="003B653D"/>
    <w:rsid w:val="003B7862"/>
    <w:rsid w:val="003B78B3"/>
    <w:rsid w:val="003C04C7"/>
    <w:rsid w:val="003C1AE2"/>
    <w:rsid w:val="003C1F73"/>
    <w:rsid w:val="003C3F55"/>
    <w:rsid w:val="003C44C8"/>
    <w:rsid w:val="003C452A"/>
    <w:rsid w:val="003C45C1"/>
    <w:rsid w:val="003C4D6B"/>
    <w:rsid w:val="003C4F8F"/>
    <w:rsid w:val="003C5C08"/>
    <w:rsid w:val="003C655A"/>
    <w:rsid w:val="003C6A4F"/>
    <w:rsid w:val="003C6B59"/>
    <w:rsid w:val="003C714A"/>
    <w:rsid w:val="003C720D"/>
    <w:rsid w:val="003C74C9"/>
    <w:rsid w:val="003C7F11"/>
    <w:rsid w:val="003D0438"/>
    <w:rsid w:val="003D0A24"/>
    <w:rsid w:val="003D1DD2"/>
    <w:rsid w:val="003D299E"/>
    <w:rsid w:val="003D2C3E"/>
    <w:rsid w:val="003D3182"/>
    <w:rsid w:val="003D379F"/>
    <w:rsid w:val="003D3A4B"/>
    <w:rsid w:val="003D3A8B"/>
    <w:rsid w:val="003D4837"/>
    <w:rsid w:val="003D55E1"/>
    <w:rsid w:val="003D641A"/>
    <w:rsid w:val="003D6EFD"/>
    <w:rsid w:val="003D71EB"/>
    <w:rsid w:val="003E07CE"/>
    <w:rsid w:val="003E0B5C"/>
    <w:rsid w:val="003E10F5"/>
    <w:rsid w:val="003E220D"/>
    <w:rsid w:val="003E22CB"/>
    <w:rsid w:val="003E2343"/>
    <w:rsid w:val="003E38CB"/>
    <w:rsid w:val="003E406B"/>
    <w:rsid w:val="003E4F96"/>
    <w:rsid w:val="003E5511"/>
    <w:rsid w:val="003E573E"/>
    <w:rsid w:val="003E5C25"/>
    <w:rsid w:val="003E5CCA"/>
    <w:rsid w:val="003E5D23"/>
    <w:rsid w:val="003E7773"/>
    <w:rsid w:val="003F115E"/>
    <w:rsid w:val="003F14C2"/>
    <w:rsid w:val="003F1F70"/>
    <w:rsid w:val="003F2210"/>
    <w:rsid w:val="003F2B29"/>
    <w:rsid w:val="003F2D50"/>
    <w:rsid w:val="003F31A1"/>
    <w:rsid w:val="003F4B29"/>
    <w:rsid w:val="003F535C"/>
    <w:rsid w:val="003F5FBF"/>
    <w:rsid w:val="003F6410"/>
    <w:rsid w:val="003F6551"/>
    <w:rsid w:val="003F6EA9"/>
    <w:rsid w:val="003F7196"/>
    <w:rsid w:val="003F7402"/>
    <w:rsid w:val="0040068A"/>
    <w:rsid w:val="004008AF"/>
    <w:rsid w:val="004009B2"/>
    <w:rsid w:val="00400B5F"/>
    <w:rsid w:val="00401043"/>
    <w:rsid w:val="00401DBF"/>
    <w:rsid w:val="004025C2"/>
    <w:rsid w:val="004033D9"/>
    <w:rsid w:val="00403DFE"/>
    <w:rsid w:val="0040493E"/>
    <w:rsid w:val="00404A94"/>
    <w:rsid w:val="00404E75"/>
    <w:rsid w:val="0040551F"/>
    <w:rsid w:val="00406BC9"/>
    <w:rsid w:val="0040771F"/>
    <w:rsid w:val="00407DE2"/>
    <w:rsid w:val="00410484"/>
    <w:rsid w:val="004108F2"/>
    <w:rsid w:val="004111F7"/>
    <w:rsid w:val="004115F3"/>
    <w:rsid w:val="00411857"/>
    <w:rsid w:val="00412054"/>
    <w:rsid w:val="00412145"/>
    <w:rsid w:val="0041217D"/>
    <w:rsid w:val="004125C6"/>
    <w:rsid w:val="0041275F"/>
    <w:rsid w:val="00412AB1"/>
    <w:rsid w:val="00413090"/>
    <w:rsid w:val="0041501A"/>
    <w:rsid w:val="004152E4"/>
    <w:rsid w:val="00415A16"/>
    <w:rsid w:val="00416772"/>
    <w:rsid w:val="00416B41"/>
    <w:rsid w:val="00417B3F"/>
    <w:rsid w:val="00417C1C"/>
    <w:rsid w:val="00417CBB"/>
    <w:rsid w:val="0042016B"/>
    <w:rsid w:val="004202E8"/>
    <w:rsid w:val="00420E99"/>
    <w:rsid w:val="00421A89"/>
    <w:rsid w:val="00421EBC"/>
    <w:rsid w:val="00421FCC"/>
    <w:rsid w:val="00422253"/>
    <w:rsid w:val="00422C7B"/>
    <w:rsid w:val="0042304B"/>
    <w:rsid w:val="00423362"/>
    <w:rsid w:val="00424084"/>
    <w:rsid w:val="00425CB5"/>
    <w:rsid w:val="0042703C"/>
    <w:rsid w:val="00427204"/>
    <w:rsid w:val="004273AD"/>
    <w:rsid w:val="004303FF"/>
    <w:rsid w:val="004305AE"/>
    <w:rsid w:val="00431166"/>
    <w:rsid w:val="00431800"/>
    <w:rsid w:val="00432B86"/>
    <w:rsid w:val="00433362"/>
    <w:rsid w:val="00433541"/>
    <w:rsid w:val="0043370F"/>
    <w:rsid w:val="00433B46"/>
    <w:rsid w:val="00434990"/>
    <w:rsid w:val="00436514"/>
    <w:rsid w:val="004372DB"/>
    <w:rsid w:val="00437426"/>
    <w:rsid w:val="00441771"/>
    <w:rsid w:val="004420BD"/>
    <w:rsid w:val="0044213A"/>
    <w:rsid w:val="004423F7"/>
    <w:rsid w:val="00442A40"/>
    <w:rsid w:val="00442A49"/>
    <w:rsid w:val="00442A4F"/>
    <w:rsid w:val="004437BE"/>
    <w:rsid w:val="00443961"/>
    <w:rsid w:val="004462DD"/>
    <w:rsid w:val="0044690B"/>
    <w:rsid w:val="00446BBE"/>
    <w:rsid w:val="00446D64"/>
    <w:rsid w:val="0044756E"/>
    <w:rsid w:val="004476D5"/>
    <w:rsid w:val="0044776B"/>
    <w:rsid w:val="0044782C"/>
    <w:rsid w:val="0045084A"/>
    <w:rsid w:val="0045093D"/>
    <w:rsid w:val="00450E4E"/>
    <w:rsid w:val="00450F5E"/>
    <w:rsid w:val="00451645"/>
    <w:rsid w:val="00452C4C"/>
    <w:rsid w:val="00453572"/>
    <w:rsid w:val="004535D6"/>
    <w:rsid w:val="0045385D"/>
    <w:rsid w:val="00454157"/>
    <w:rsid w:val="00454F8E"/>
    <w:rsid w:val="0045541B"/>
    <w:rsid w:val="00455BDE"/>
    <w:rsid w:val="004568B2"/>
    <w:rsid w:val="004579A7"/>
    <w:rsid w:val="004579B6"/>
    <w:rsid w:val="0046129B"/>
    <w:rsid w:val="00461598"/>
    <w:rsid w:val="00462778"/>
    <w:rsid w:val="00462913"/>
    <w:rsid w:val="00462AD1"/>
    <w:rsid w:val="00463507"/>
    <w:rsid w:val="00463D27"/>
    <w:rsid w:val="004648B0"/>
    <w:rsid w:val="00464F6C"/>
    <w:rsid w:val="00465BF7"/>
    <w:rsid w:val="00466AD2"/>
    <w:rsid w:val="0046741C"/>
    <w:rsid w:val="00467863"/>
    <w:rsid w:val="00467CE9"/>
    <w:rsid w:val="00467E0D"/>
    <w:rsid w:val="0047053D"/>
    <w:rsid w:val="00471ADA"/>
    <w:rsid w:val="00471D0D"/>
    <w:rsid w:val="004723B8"/>
    <w:rsid w:val="00472FE0"/>
    <w:rsid w:val="00473420"/>
    <w:rsid w:val="004735B3"/>
    <w:rsid w:val="0047363F"/>
    <w:rsid w:val="00473E2E"/>
    <w:rsid w:val="00474712"/>
    <w:rsid w:val="0047471E"/>
    <w:rsid w:val="00474E01"/>
    <w:rsid w:val="00477236"/>
    <w:rsid w:val="00477D25"/>
    <w:rsid w:val="004803E4"/>
    <w:rsid w:val="004812B7"/>
    <w:rsid w:val="0048233F"/>
    <w:rsid w:val="00482804"/>
    <w:rsid w:val="00482B47"/>
    <w:rsid w:val="0048323E"/>
    <w:rsid w:val="00483271"/>
    <w:rsid w:val="004838C7"/>
    <w:rsid w:val="00484824"/>
    <w:rsid w:val="00484DC5"/>
    <w:rsid w:val="004854FA"/>
    <w:rsid w:val="00485675"/>
    <w:rsid w:val="004856FF"/>
    <w:rsid w:val="004863CC"/>
    <w:rsid w:val="00486FB4"/>
    <w:rsid w:val="00487C85"/>
    <w:rsid w:val="0049009E"/>
    <w:rsid w:val="00490491"/>
    <w:rsid w:val="00490DC4"/>
    <w:rsid w:val="0049140A"/>
    <w:rsid w:val="0049184D"/>
    <w:rsid w:val="0049210E"/>
    <w:rsid w:val="00492A62"/>
    <w:rsid w:val="004932D6"/>
    <w:rsid w:val="0049334B"/>
    <w:rsid w:val="0049373D"/>
    <w:rsid w:val="00494F64"/>
    <w:rsid w:val="0049571E"/>
    <w:rsid w:val="00497B9F"/>
    <w:rsid w:val="004A104F"/>
    <w:rsid w:val="004A158D"/>
    <w:rsid w:val="004A2084"/>
    <w:rsid w:val="004A24CA"/>
    <w:rsid w:val="004A3384"/>
    <w:rsid w:val="004A4430"/>
    <w:rsid w:val="004A4FDF"/>
    <w:rsid w:val="004A532E"/>
    <w:rsid w:val="004A5489"/>
    <w:rsid w:val="004A5E73"/>
    <w:rsid w:val="004A605B"/>
    <w:rsid w:val="004A61EE"/>
    <w:rsid w:val="004A7A52"/>
    <w:rsid w:val="004A7DE6"/>
    <w:rsid w:val="004B19FE"/>
    <w:rsid w:val="004B1BB8"/>
    <w:rsid w:val="004B2772"/>
    <w:rsid w:val="004B2A4D"/>
    <w:rsid w:val="004B2F45"/>
    <w:rsid w:val="004B33C2"/>
    <w:rsid w:val="004B3636"/>
    <w:rsid w:val="004B3742"/>
    <w:rsid w:val="004B38D7"/>
    <w:rsid w:val="004B4214"/>
    <w:rsid w:val="004B689D"/>
    <w:rsid w:val="004B7200"/>
    <w:rsid w:val="004C0994"/>
    <w:rsid w:val="004C0E97"/>
    <w:rsid w:val="004C0F06"/>
    <w:rsid w:val="004C14F5"/>
    <w:rsid w:val="004C1BBC"/>
    <w:rsid w:val="004C2CA7"/>
    <w:rsid w:val="004C38F8"/>
    <w:rsid w:val="004C48C8"/>
    <w:rsid w:val="004C4F55"/>
    <w:rsid w:val="004C5548"/>
    <w:rsid w:val="004C5749"/>
    <w:rsid w:val="004C598D"/>
    <w:rsid w:val="004C628F"/>
    <w:rsid w:val="004C71C1"/>
    <w:rsid w:val="004D04A2"/>
    <w:rsid w:val="004D0713"/>
    <w:rsid w:val="004D21A6"/>
    <w:rsid w:val="004D332F"/>
    <w:rsid w:val="004D3897"/>
    <w:rsid w:val="004D3C83"/>
    <w:rsid w:val="004D4425"/>
    <w:rsid w:val="004D44F0"/>
    <w:rsid w:val="004D5780"/>
    <w:rsid w:val="004D6242"/>
    <w:rsid w:val="004D625B"/>
    <w:rsid w:val="004D6696"/>
    <w:rsid w:val="004D6A0E"/>
    <w:rsid w:val="004D6FC6"/>
    <w:rsid w:val="004D7F99"/>
    <w:rsid w:val="004E1497"/>
    <w:rsid w:val="004E1659"/>
    <w:rsid w:val="004E182F"/>
    <w:rsid w:val="004E21B3"/>
    <w:rsid w:val="004E227E"/>
    <w:rsid w:val="004E2BD6"/>
    <w:rsid w:val="004E2C8F"/>
    <w:rsid w:val="004E3546"/>
    <w:rsid w:val="004E39B9"/>
    <w:rsid w:val="004E3A73"/>
    <w:rsid w:val="004E4129"/>
    <w:rsid w:val="004E4A73"/>
    <w:rsid w:val="004E4F21"/>
    <w:rsid w:val="004E601D"/>
    <w:rsid w:val="004E612B"/>
    <w:rsid w:val="004E6F40"/>
    <w:rsid w:val="004E7A33"/>
    <w:rsid w:val="004E7FE2"/>
    <w:rsid w:val="004F0ADC"/>
    <w:rsid w:val="004F0CDD"/>
    <w:rsid w:val="004F1D6A"/>
    <w:rsid w:val="004F1DDE"/>
    <w:rsid w:val="004F25DA"/>
    <w:rsid w:val="004F30E0"/>
    <w:rsid w:val="004F325B"/>
    <w:rsid w:val="004F473B"/>
    <w:rsid w:val="004F496C"/>
    <w:rsid w:val="004F4CB4"/>
    <w:rsid w:val="004F4D1D"/>
    <w:rsid w:val="004F4D32"/>
    <w:rsid w:val="004F50CE"/>
    <w:rsid w:val="004F53BE"/>
    <w:rsid w:val="004F5859"/>
    <w:rsid w:val="004F6AD3"/>
    <w:rsid w:val="004F6D4F"/>
    <w:rsid w:val="004F6DF2"/>
    <w:rsid w:val="004F6F4E"/>
    <w:rsid w:val="00501386"/>
    <w:rsid w:val="00501666"/>
    <w:rsid w:val="00501813"/>
    <w:rsid w:val="00501953"/>
    <w:rsid w:val="00501BD9"/>
    <w:rsid w:val="00501C25"/>
    <w:rsid w:val="00502192"/>
    <w:rsid w:val="005027A6"/>
    <w:rsid w:val="00502DAE"/>
    <w:rsid w:val="00502FFB"/>
    <w:rsid w:val="005038A0"/>
    <w:rsid w:val="00503A49"/>
    <w:rsid w:val="00504918"/>
    <w:rsid w:val="00504A82"/>
    <w:rsid w:val="00505400"/>
    <w:rsid w:val="00505E19"/>
    <w:rsid w:val="005103C5"/>
    <w:rsid w:val="00510998"/>
    <w:rsid w:val="00510C3F"/>
    <w:rsid w:val="005116B0"/>
    <w:rsid w:val="00512976"/>
    <w:rsid w:val="005131D3"/>
    <w:rsid w:val="0051352C"/>
    <w:rsid w:val="0051374C"/>
    <w:rsid w:val="00514306"/>
    <w:rsid w:val="00514A76"/>
    <w:rsid w:val="00514BB3"/>
    <w:rsid w:val="00514CBA"/>
    <w:rsid w:val="00514FC2"/>
    <w:rsid w:val="00515482"/>
    <w:rsid w:val="00515BFA"/>
    <w:rsid w:val="00517A86"/>
    <w:rsid w:val="00517B45"/>
    <w:rsid w:val="0052029C"/>
    <w:rsid w:val="00520635"/>
    <w:rsid w:val="00520867"/>
    <w:rsid w:val="00521141"/>
    <w:rsid w:val="005219B8"/>
    <w:rsid w:val="00521E30"/>
    <w:rsid w:val="005222FD"/>
    <w:rsid w:val="00522437"/>
    <w:rsid w:val="00522BCE"/>
    <w:rsid w:val="0052349D"/>
    <w:rsid w:val="00523A2E"/>
    <w:rsid w:val="00523BFB"/>
    <w:rsid w:val="00523D17"/>
    <w:rsid w:val="0052422B"/>
    <w:rsid w:val="005245E5"/>
    <w:rsid w:val="00524BE8"/>
    <w:rsid w:val="0052575D"/>
    <w:rsid w:val="00526C92"/>
    <w:rsid w:val="005273F1"/>
    <w:rsid w:val="005275FC"/>
    <w:rsid w:val="0052768C"/>
    <w:rsid w:val="005278B1"/>
    <w:rsid w:val="005279E5"/>
    <w:rsid w:val="00527B82"/>
    <w:rsid w:val="00527E09"/>
    <w:rsid w:val="00530896"/>
    <w:rsid w:val="005310AF"/>
    <w:rsid w:val="00532C07"/>
    <w:rsid w:val="00533F2D"/>
    <w:rsid w:val="005342C3"/>
    <w:rsid w:val="00534817"/>
    <w:rsid w:val="00534F56"/>
    <w:rsid w:val="00534F64"/>
    <w:rsid w:val="00534FB9"/>
    <w:rsid w:val="00535100"/>
    <w:rsid w:val="0053605C"/>
    <w:rsid w:val="005362F5"/>
    <w:rsid w:val="005369FD"/>
    <w:rsid w:val="0053725B"/>
    <w:rsid w:val="0054097C"/>
    <w:rsid w:val="00540C57"/>
    <w:rsid w:val="00542663"/>
    <w:rsid w:val="00542FA8"/>
    <w:rsid w:val="005432A4"/>
    <w:rsid w:val="00544565"/>
    <w:rsid w:val="00544990"/>
    <w:rsid w:val="00545093"/>
    <w:rsid w:val="00545A61"/>
    <w:rsid w:val="0054739A"/>
    <w:rsid w:val="00547472"/>
    <w:rsid w:val="005477FA"/>
    <w:rsid w:val="005501DB"/>
    <w:rsid w:val="00550657"/>
    <w:rsid w:val="0055289A"/>
    <w:rsid w:val="005531BD"/>
    <w:rsid w:val="00553B28"/>
    <w:rsid w:val="00555589"/>
    <w:rsid w:val="005567B2"/>
    <w:rsid w:val="00556D5C"/>
    <w:rsid w:val="005575C6"/>
    <w:rsid w:val="00557800"/>
    <w:rsid w:val="00557870"/>
    <w:rsid w:val="00560277"/>
    <w:rsid w:val="00560938"/>
    <w:rsid w:val="00560AF1"/>
    <w:rsid w:val="00560BB8"/>
    <w:rsid w:val="00561562"/>
    <w:rsid w:val="00561C24"/>
    <w:rsid w:val="00562657"/>
    <w:rsid w:val="005627D0"/>
    <w:rsid w:val="0056289C"/>
    <w:rsid w:val="00562FED"/>
    <w:rsid w:val="00563C26"/>
    <w:rsid w:val="00563DE6"/>
    <w:rsid w:val="0056402D"/>
    <w:rsid w:val="0056528D"/>
    <w:rsid w:val="00565302"/>
    <w:rsid w:val="00565DC2"/>
    <w:rsid w:val="0056628B"/>
    <w:rsid w:val="00566298"/>
    <w:rsid w:val="005664E8"/>
    <w:rsid w:val="005669E7"/>
    <w:rsid w:val="00570287"/>
    <w:rsid w:val="0057091E"/>
    <w:rsid w:val="005723D6"/>
    <w:rsid w:val="00572919"/>
    <w:rsid w:val="00572C8A"/>
    <w:rsid w:val="005742C2"/>
    <w:rsid w:val="00574A6E"/>
    <w:rsid w:val="00574DEE"/>
    <w:rsid w:val="00575602"/>
    <w:rsid w:val="005764FB"/>
    <w:rsid w:val="00577145"/>
    <w:rsid w:val="005773BE"/>
    <w:rsid w:val="00577CD7"/>
    <w:rsid w:val="00577DC3"/>
    <w:rsid w:val="00577F15"/>
    <w:rsid w:val="00581A1A"/>
    <w:rsid w:val="00581F99"/>
    <w:rsid w:val="00582365"/>
    <w:rsid w:val="00582880"/>
    <w:rsid w:val="0058364A"/>
    <w:rsid w:val="00584111"/>
    <w:rsid w:val="005846AC"/>
    <w:rsid w:val="00584A8D"/>
    <w:rsid w:val="0058597D"/>
    <w:rsid w:val="00585C1B"/>
    <w:rsid w:val="00586E26"/>
    <w:rsid w:val="00587484"/>
    <w:rsid w:val="005874DA"/>
    <w:rsid w:val="00587639"/>
    <w:rsid w:val="00591BBC"/>
    <w:rsid w:val="00591C7D"/>
    <w:rsid w:val="00591CBC"/>
    <w:rsid w:val="00591D45"/>
    <w:rsid w:val="00591D96"/>
    <w:rsid w:val="00591F8A"/>
    <w:rsid w:val="00591FF3"/>
    <w:rsid w:val="00592638"/>
    <w:rsid w:val="00592F5F"/>
    <w:rsid w:val="00593138"/>
    <w:rsid w:val="005935E8"/>
    <w:rsid w:val="00593A33"/>
    <w:rsid w:val="00593C99"/>
    <w:rsid w:val="005947B5"/>
    <w:rsid w:val="00594EA9"/>
    <w:rsid w:val="005950D8"/>
    <w:rsid w:val="005955A1"/>
    <w:rsid w:val="005957F5"/>
    <w:rsid w:val="00595CDC"/>
    <w:rsid w:val="005960BB"/>
    <w:rsid w:val="00596780"/>
    <w:rsid w:val="00597407"/>
    <w:rsid w:val="005A0496"/>
    <w:rsid w:val="005A1267"/>
    <w:rsid w:val="005A1374"/>
    <w:rsid w:val="005A32F8"/>
    <w:rsid w:val="005A393F"/>
    <w:rsid w:val="005A4047"/>
    <w:rsid w:val="005A4207"/>
    <w:rsid w:val="005A4384"/>
    <w:rsid w:val="005A5B9F"/>
    <w:rsid w:val="005A7012"/>
    <w:rsid w:val="005A7A5E"/>
    <w:rsid w:val="005A7AE3"/>
    <w:rsid w:val="005B0E33"/>
    <w:rsid w:val="005B14C8"/>
    <w:rsid w:val="005B1C07"/>
    <w:rsid w:val="005B3432"/>
    <w:rsid w:val="005B3BD6"/>
    <w:rsid w:val="005B4C9B"/>
    <w:rsid w:val="005B5A77"/>
    <w:rsid w:val="005B7776"/>
    <w:rsid w:val="005B7D6C"/>
    <w:rsid w:val="005C0E9A"/>
    <w:rsid w:val="005C1343"/>
    <w:rsid w:val="005C157B"/>
    <w:rsid w:val="005C2D94"/>
    <w:rsid w:val="005C497E"/>
    <w:rsid w:val="005C54A2"/>
    <w:rsid w:val="005C5BB2"/>
    <w:rsid w:val="005C5D0B"/>
    <w:rsid w:val="005C5F39"/>
    <w:rsid w:val="005C7215"/>
    <w:rsid w:val="005C73C4"/>
    <w:rsid w:val="005C76FE"/>
    <w:rsid w:val="005D00EA"/>
    <w:rsid w:val="005D023B"/>
    <w:rsid w:val="005D02C4"/>
    <w:rsid w:val="005D0778"/>
    <w:rsid w:val="005D0BBD"/>
    <w:rsid w:val="005D0CA4"/>
    <w:rsid w:val="005D11C5"/>
    <w:rsid w:val="005D1A84"/>
    <w:rsid w:val="005D1AA3"/>
    <w:rsid w:val="005D2304"/>
    <w:rsid w:val="005D32AA"/>
    <w:rsid w:val="005D380E"/>
    <w:rsid w:val="005D3A04"/>
    <w:rsid w:val="005D48FE"/>
    <w:rsid w:val="005D538C"/>
    <w:rsid w:val="005D6E11"/>
    <w:rsid w:val="005D72FA"/>
    <w:rsid w:val="005D7471"/>
    <w:rsid w:val="005D749D"/>
    <w:rsid w:val="005E0A2C"/>
    <w:rsid w:val="005E1782"/>
    <w:rsid w:val="005E1FAD"/>
    <w:rsid w:val="005E2702"/>
    <w:rsid w:val="005E27E6"/>
    <w:rsid w:val="005E2C00"/>
    <w:rsid w:val="005E2CB7"/>
    <w:rsid w:val="005E2F15"/>
    <w:rsid w:val="005E37E6"/>
    <w:rsid w:val="005E39F1"/>
    <w:rsid w:val="005E3C53"/>
    <w:rsid w:val="005E3D87"/>
    <w:rsid w:val="005E3F65"/>
    <w:rsid w:val="005E5518"/>
    <w:rsid w:val="005E5874"/>
    <w:rsid w:val="005E5BA4"/>
    <w:rsid w:val="005E75D5"/>
    <w:rsid w:val="005F0C96"/>
    <w:rsid w:val="005F0D70"/>
    <w:rsid w:val="005F121E"/>
    <w:rsid w:val="005F14E3"/>
    <w:rsid w:val="005F1555"/>
    <w:rsid w:val="005F1CC2"/>
    <w:rsid w:val="005F1D07"/>
    <w:rsid w:val="005F2978"/>
    <w:rsid w:val="005F2FA8"/>
    <w:rsid w:val="005F406C"/>
    <w:rsid w:val="005F4721"/>
    <w:rsid w:val="005F60E7"/>
    <w:rsid w:val="005F6A83"/>
    <w:rsid w:val="005F7031"/>
    <w:rsid w:val="005F7165"/>
    <w:rsid w:val="005F720A"/>
    <w:rsid w:val="00600102"/>
    <w:rsid w:val="00600230"/>
    <w:rsid w:val="0060027A"/>
    <w:rsid w:val="00600A3F"/>
    <w:rsid w:val="00600EDB"/>
    <w:rsid w:val="00601232"/>
    <w:rsid w:val="00601A7F"/>
    <w:rsid w:val="0060262F"/>
    <w:rsid w:val="00602F43"/>
    <w:rsid w:val="00603A33"/>
    <w:rsid w:val="00603B08"/>
    <w:rsid w:val="00603B76"/>
    <w:rsid w:val="00604B3D"/>
    <w:rsid w:val="00605776"/>
    <w:rsid w:val="00605D85"/>
    <w:rsid w:val="00606918"/>
    <w:rsid w:val="0060699B"/>
    <w:rsid w:val="006079DC"/>
    <w:rsid w:val="00607E37"/>
    <w:rsid w:val="00610162"/>
    <w:rsid w:val="0061034C"/>
    <w:rsid w:val="00610ABA"/>
    <w:rsid w:val="00610D60"/>
    <w:rsid w:val="00611991"/>
    <w:rsid w:val="00612244"/>
    <w:rsid w:val="00613037"/>
    <w:rsid w:val="006135AB"/>
    <w:rsid w:val="006138E4"/>
    <w:rsid w:val="0061398B"/>
    <w:rsid w:val="006144F6"/>
    <w:rsid w:val="00614A98"/>
    <w:rsid w:val="0061594B"/>
    <w:rsid w:val="00615CBD"/>
    <w:rsid w:val="00615FCC"/>
    <w:rsid w:val="00616407"/>
    <w:rsid w:val="00616814"/>
    <w:rsid w:val="00616DED"/>
    <w:rsid w:val="00617F01"/>
    <w:rsid w:val="00617F74"/>
    <w:rsid w:val="00620186"/>
    <w:rsid w:val="00620778"/>
    <w:rsid w:val="00620E5A"/>
    <w:rsid w:val="00621F94"/>
    <w:rsid w:val="00623D8B"/>
    <w:rsid w:val="0062424D"/>
    <w:rsid w:val="006245F0"/>
    <w:rsid w:val="00624A87"/>
    <w:rsid w:val="00624C17"/>
    <w:rsid w:val="006250E9"/>
    <w:rsid w:val="006261A9"/>
    <w:rsid w:val="0062621F"/>
    <w:rsid w:val="006268B4"/>
    <w:rsid w:val="00627034"/>
    <w:rsid w:val="00627236"/>
    <w:rsid w:val="00627379"/>
    <w:rsid w:val="00631099"/>
    <w:rsid w:val="00631434"/>
    <w:rsid w:val="00631591"/>
    <w:rsid w:val="00632773"/>
    <w:rsid w:val="0063355D"/>
    <w:rsid w:val="006337A0"/>
    <w:rsid w:val="00633B2F"/>
    <w:rsid w:val="006354AE"/>
    <w:rsid w:val="006360A3"/>
    <w:rsid w:val="00636538"/>
    <w:rsid w:val="006374A9"/>
    <w:rsid w:val="00640B4C"/>
    <w:rsid w:val="00640C31"/>
    <w:rsid w:val="00641002"/>
    <w:rsid w:val="0064140B"/>
    <w:rsid w:val="00643226"/>
    <w:rsid w:val="0064477C"/>
    <w:rsid w:val="006449BC"/>
    <w:rsid w:val="006459EF"/>
    <w:rsid w:val="00645F04"/>
    <w:rsid w:val="006465F3"/>
    <w:rsid w:val="00646C4F"/>
    <w:rsid w:val="00646C9F"/>
    <w:rsid w:val="0064791B"/>
    <w:rsid w:val="00650290"/>
    <w:rsid w:val="00651410"/>
    <w:rsid w:val="0065188C"/>
    <w:rsid w:val="0065190D"/>
    <w:rsid w:val="0065207A"/>
    <w:rsid w:val="0065285E"/>
    <w:rsid w:val="00652C08"/>
    <w:rsid w:val="006530F4"/>
    <w:rsid w:val="006534BF"/>
    <w:rsid w:val="006537D7"/>
    <w:rsid w:val="006542DB"/>
    <w:rsid w:val="0065444A"/>
    <w:rsid w:val="00654F68"/>
    <w:rsid w:val="00655A36"/>
    <w:rsid w:val="00655CF9"/>
    <w:rsid w:val="00655D45"/>
    <w:rsid w:val="00656236"/>
    <w:rsid w:val="00656CE9"/>
    <w:rsid w:val="0065714C"/>
    <w:rsid w:val="00657495"/>
    <w:rsid w:val="006576AA"/>
    <w:rsid w:val="00657B22"/>
    <w:rsid w:val="00660A74"/>
    <w:rsid w:val="00661743"/>
    <w:rsid w:val="00662182"/>
    <w:rsid w:val="00662767"/>
    <w:rsid w:val="00662E5F"/>
    <w:rsid w:val="0066344E"/>
    <w:rsid w:val="00663B4C"/>
    <w:rsid w:val="00663B82"/>
    <w:rsid w:val="00664434"/>
    <w:rsid w:val="0066561F"/>
    <w:rsid w:val="00665903"/>
    <w:rsid w:val="00666747"/>
    <w:rsid w:val="00666A58"/>
    <w:rsid w:val="00666BA8"/>
    <w:rsid w:val="00667009"/>
    <w:rsid w:val="0067040E"/>
    <w:rsid w:val="00670650"/>
    <w:rsid w:val="00670CD5"/>
    <w:rsid w:val="006712C0"/>
    <w:rsid w:val="006714FD"/>
    <w:rsid w:val="00671D44"/>
    <w:rsid w:val="00672117"/>
    <w:rsid w:val="00673847"/>
    <w:rsid w:val="00673A22"/>
    <w:rsid w:val="006744AC"/>
    <w:rsid w:val="00674C7A"/>
    <w:rsid w:val="00674C7D"/>
    <w:rsid w:val="00675130"/>
    <w:rsid w:val="006752C1"/>
    <w:rsid w:val="006752CC"/>
    <w:rsid w:val="006759CF"/>
    <w:rsid w:val="00676386"/>
    <w:rsid w:val="00677251"/>
    <w:rsid w:val="00677702"/>
    <w:rsid w:val="00680679"/>
    <w:rsid w:val="00680B40"/>
    <w:rsid w:val="00681575"/>
    <w:rsid w:val="00681EC9"/>
    <w:rsid w:val="006822FA"/>
    <w:rsid w:val="0068288C"/>
    <w:rsid w:val="00682BCF"/>
    <w:rsid w:val="00682EBC"/>
    <w:rsid w:val="00683F36"/>
    <w:rsid w:val="00684340"/>
    <w:rsid w:val="00684576"/>
    <w:rsid w:val="00685589"/>
    <w:rsid w:val="006855C4"/>
    <w:rsid w:val="00685D16"/>
    <w:rsid w:val="0068682C"/>
    <w:rsid w:val="0069012A"/>
    <w:rsid w:val="00690A7C"/>
    <w:rsid w:val="006912E4"/>
    <w:rsid w:val="00692DD3"/>
    <w:rsid w:val="00693419"/>
    <w:rsid w:val="0069376A"/>
    <w:rsid w:val="006938AA"/>
    <w:rsid w:val="006946B8"/>
    <w:rsid w:val="0069470E"/>
    <w:rsid w:val="0069474B"/>
    <w:rsid w:val="0069475D"/>
    <w:rsid w:val="00694F92"/>
    <w:rsid w:val="00695D50"/>
    <w:rsid w:val="00695D7D"/>
    <w:rsid w:val="00696A78"/>
    <w:rsid w:val="00696B88"/>
    <w:rsid w:val="00697966"/>
    <w:rsid w:val="006A0CEA"/>
    <w:rsid w:val="006A0F88"/>
    <w:rsid w:val="006A1CE0"/>
    <w:rsid w:val="006A3715"/>
    <w:rsid w:val="006A3A2B"/>
    <w:rsid w:val="006A5E79"/>
    <w:rsid w:val="006A6BF1"/>
    <w:rsid w:val="006A6C13"/>
    <w:rsid w:val="006A7662"/>
    <w:rsid w:val="006A7C36"/>
    <w:rsid w:val="006B1002"/>
    <w:rsid w:val="006B102A"/>
    <w:rsid w:val="006B1153"/>
    <w:rsid w:val="006B186F"/>
    <w:rsid w:val="006B215D"/>
    <w:rsid w:val="006B2527"/>
    <w:rsid w:val="006B2654"/>
    <w:rsid w:val="006B2C79"/>
    <w:rsid w:val="006B2CCA"/>
    <w:rsid w:val="006B3032"/>
    <w:rsid w:val="006B3304"/>
    <w:rsid w:val="006B4B4A"/>
    <w:rsid w:val="006B4CBC"/>
    <w:rsid w:val="006B56A1"/>
    <w:rsid w:val="006B58EF"/>
    <w:rsid w:val="006B6773"/>
    <w:rsid w:val="006B75C6"/>
    <w:rsid w:val="006C0387"/>
    <w:rsid w:val="006C0E9A"/>
    <w:rsid w:val="006C106B"/>
    <w:rsid w:val="006C18C3"/>
    <w:rsid w:val="006C206C"/>
    <w:rsid w:val="006C2E80"/>
    <w:rsid w:val="006C2F26"/>
    <w:rsid w:val="006C354C"/>
    <w:rsid w:val="006C3B76"/>
    <w:rsid w:val="006C4365"/>
    <w:rsid w:val="006C44A7"/>
    <w:rsid w:val="006C4572"/>
    <w:rsid w:val="006C4C3F"/>
    <w:rsid w:val="006C512E"/>
    <w:rsid w:val="006C57AE"/>
    <w:rsid w:val="006C6D43"/>
    <w:rsid w:val="006C79FE"/>
    <w:rsid w:val="006C7B03"/>
    <w:rsid w:val="006D0EC2"/>
    <w:rsid w:val="006D12D5"/>
    <w:rsid w:val="006D1CE0"/>
    <w:rsid w:val="006D2CB6"/>
    <w:rsid w:val="006D2CE5"/>
    <w:rsid w:val="006D2DE8"/>
    <w:rsid w:val="006D49DE"/>
    <w:rsid w:val="006D4C72"/>
    <w:rsid w:val="006D4E1E"/>
    <w:rsid w:val="006D4E4C"/>
    <w:rsid w:val="006D5080"/>
    <w:rsid w:val="006D50F4"/>
    <w:rsid w:val="006D5585"/>
    <w:rsid w:val="006D5F76"/>
    <w:rsid w:val="006D6D96"/>
    <w:rsid w:val="006D7211"/>
    <w:rsid w:val="006D75C8"/>
    <w:rsid w:val="006E02ED"/>
    <w:rsid w:val="006E0707"/>
    <w:rsid w:val="006E0E5F"/>
    <w:rsid w:val="006E11FD"/>
    <w:rsid w:val="006E130B"/>
    <w:rsid w:val="006E1D91"/>
    <w:rsid w:val="006E3504"/>
    <w:rsid w:val="006E659C"/>
    <w:rsid w:val="006E68A2"/>
    <w:rsid w:val="006F047A"/>
    <w:rsid w:val="006F08CF"/>
    <w:rsid w:val="006F08D7"/>
    <w:rsid w:val="006F092A"/>
    <w:rsid w:val="006F0D46"/>
    <w:rsid w:val="006F1448"/>
    <w:rsid w:val="006F1ACB"/>
    <w:rsid w:val="006F1F14"/>
    <w:rsid w:val="006F213C"/>
    <w:rsid w:val="006F23DD"/>
    <w:rsid w:val="006F5158"/>
    <w:rsid w:val="006F7830"/>
    <w:rsid w:val="006F7A35"/>
    <w:rsid w:val="00700950"/>
    <w:rsid w:val="00700B19"/>
    <w:rsid w:val="00701136"/>
    <w:rsid w:val="0070151F"/>
    <w:rsid w:val="00702C34"/>
    <w:rsid w:val="00702CDE"/>
    <w:rsid w:val="0070319A"/>
    <w:rsid w:val="00703CB4"/>
    <w:rsid w:val="00705A33"/>
    <w:rsid w:val="00706748"/>
    <w:rsid w:val="007068FD"/>
    <w:rsid w:val="00707C18"/>
    <w:rsid w:val="007103A9"/>
    <w:rsid w:val="007109F3"/>
    <w:rsid w:val="00713309"/>
    <w:rsid w:val="007159DB"/>
    <w:rsid w:val="007163A6"/>
    <w:rsid w:val="00716AD2"/>
    <w:rsid w:val="00717562"/>
    <w:rsid w:val="007179C3"/>
    <w:rsid w:val="007203CA"/>
    <w:rsid w:val="00720E33"/>
    <w:rsid w:val="007216D1"/>
    <w:rsid w:val="00721D21"/>
    <w:rsid w:val="00722472"/>
    <w:rsid w:val="007226F5"/>
    <w:rsid w:val="0072277B"/>
    <w:rsid w:val="007230B8"/>
    <w:rsid w:val="00723B2C"/>
    <w:rsid w:val="007247A9"/>
    <w:rsid w:val="00724DEC"/>
    <w:rsid w:val="00724ED0"/>
    <w:rsid w:val="00724F92"/>
    <w:rsid w:val="007253D6"/>
    <w:rsid w:val="0072578A"/>
    <w:rsid w:val="0072597A"/>
    <w:rsid w:val="00725A45"/>
    <w:rsid w:val="00726298"/>
    <w:rsid w:val="00727A37"/>
    <w:rsid w:val="00727E21"/>
    <w:rsid w:val="00727EC5"/>
    <w:rsid w:val="00730264"/>
    <w:rsid w:val="007302FA"/>
    <w:rsid w:val="00731E70"/>
    <w:rsid w:val="00733DAF"/>
    <w:rsid w:val="00733F50"/>
    <w:rsid w:val="00735835"/>
    <w:rsid w:val="00735FC0"/>
    <w:rsid w:val="0073624C"/>
    <w:rsid w:val="00736608"/>
    <w:rsid w:val="0073792C"/>
    <w:rsid w:val="00737F06"/>
    <w:rsid w:val="00740021"/>
    <w:rsid w:val="00740B2F"/>
    <w:rsid w:val="00740F78"/>
    <w:rsid w:val="00741CB2"/>
    <w:rsid w:val="0074257A"/>
    <w:rsid w:val="00742F3D"/>
    <w:rsid w:val="00743AB3"/>
    <w:rsid w:val="00745849"/>
    <w:rsid w:val="007461F6"/>
    <w:rsid w:val="00746FE2"/>
    <w:rsid w:val="00747434"/>
    <w:rsid w:val="0074745D"/>
    <w:rsid w:val="0074788B"/>
    <w:rsid w:val="00750AA8"/>
    <w:rsid w:val="00750B30"/>
    <w:rsid w:val="00750FEA"/>
    <w:rsid w:val="00751080"/>
    <w:rsid w:val="0075137C"/>
    <w:rsid w:val="007518EB"/>
    <w:rsid w:val="00752C06"/>
    <w:rsid w:val="007533E9"/>
    <w:rsid w:val="00753F55"/>
    <w:rsid w:val="0075418A"/>
    <w:rsid w:val="00754521"/>
    <w:rsid w:val="00754BF4"/>
    <w:rsid w:val="00756420"/>
    <w:rsid w:val="007566DE"/>
    <w:rsid w:val="00756D79"/>
    <w:rsid w:val="00760090"/>
    <w:rsid w:val="00761373"/>
    <w:rsid w:val="00761E17"/>
    <w:rsid w:val="00762051"/>
    <w:rsid w:val="00762083"/>
    <w:rsid w:val="0076219F"/>
    <w:rsid w:val="007625A2"/>
    <w:rsid w:val="0076260D"/>
    <w:rsid w:val="00763B77"/>
    <w:rsid w:val="007642BD"/>
    <w:rsid w:val="00764401"/>
    <w:rsid w:val="00765A6D"/>
    <w:rsid w:val="00766195"/>
    <w:rsid w:val="0076680B"/>
    <w:rsid w:val="00766B63"/>
    <w:rsid w:val="00766CD7"/>
    <w:rsid w:val="00766D5A"/>
    <w:rsid w:val="0076702C"/>
    <w:rsid w:val="0076796C"/>
    <w:rsid w:val="00767F6C"/>
    <w:rsid w:val="00770407"/>
    <w:rsid w:val="00771753"/>
    <w:rsid w:val="00772829"/>
    <w:rsid w:val="00772DBD"/>
    <w:rsid w:val="0077342E"/>
    <w:rsid w:val="00773F4C"/>
    <w:rsid w:val="00774B4C"/>
    <w:rsid w:val="0077599D"/>
    <w:rsid w:val="00775A55"/>
    <w:rsid w:val="007765E0"/>
    <w:rsid w:val="0077738C"/>
    <w:rsid w:val="00777848"/>
    <w:rsid w:val="00777893"/>
    <w:rsid w:val="007778A9"/>
    <w:rsid w:val="00780CED"/>
    <w:rsid w:val="0078191F"/>
    <w:rsid w:val="00782926"/>
    <w:rsid w:val="00782D0C"/>
    <w:rsid w:val="00782FC0"/>
    <w:rsid w:val="00783121"/>
    <w:rsid w:val="00783EDC"/>
    <w:rsid w:val="00784341"/>
    <w:rsid w:val="0078467B"/>
    <w:rsid w:val="007852E9"/>
    <w:rsid w:val="007855B6"/>
    <w:rsid w:val="00785901"/>
    <w:rsid w:val="00790B15"/>
    <w:rsid w:val="00790F49"/>
    <w:rsid w:val="00791850"/>
    <w:rsid w:val="0079186A"/>
    <w:rsid w:val="00791CEB"/>
    <w:rsid w:val="007924A0"/>
    <w:rsid w:val="00792659"/>
    <w:rsid w:val="007929BB"/>
    <w:rsid w:val="00793084"/>
    <w:rsid w:val="007931CB"/>
    <w:rsid w:val="007932EA"/>
    <w:rsid w:val="007935C6"/>
    <w:rsid w:val="0079387D"/>
    <w:rsid w:val="00794757"/>
    <w:rsid w:val="007951D4"/>
    <w:rsid w:val="007953D8"/>
    <w:rsid w:val="007954D7"/>
    <w:rsid w:val="00795892"/>
    <w:rsid w:val="00795B3F"/>
    <w:rsid w:val="007975C1"/>
    <w:rsid w:val="00797C46"/>
    <w:rsid w:val="00797F54"/>
    <w:rsid w:val="007A06B7"/>
    <w:rsid w:val="007A19F6"/>
    <w:rsid w:val="007A1CB7"/>
    <w:rsid w:val="007A2B65"/>
    <w:rsid w:val="007A2D5A"/>
    <w:rsid w:val="007A32A8"/>
    <w:rsid w:val="007A38BF"/>
    <w:rsid w:val="007A451C"/>
    <w:rsid w:val="007A52DF"/>
    <w:rsid w:val="007A5321"/>
    <w:rsid w:val="007A5617"/>
    <w:rsid w:val="007A572B"/>
    <w:rsid w:val="007A5D07"/>
    <w:rsid w:val="007A6F7E"/>
    <w:rsid w:val="007A78CD"/>
    <w:rsid w:val="007B0245"/>
    <w:rsid w:val="007B0484"/>
    <w:rsid w:val="007B083F"/>
    <w:rsid w:val="007B0880"/>
    <w:rsid w:val="007B0D01"/>
    <w:rsid w:val="007B0D6B"/>
    <w:rsid w:val="007B2085"/>
    <w:rsid w:val="007B2D33"/>
    <w:rsid w:val="007B2FDC"/>
    <w:rsid w:val="007B329F"/>
    <w:rsid w:val="007B38A0"/>
    <w:rsid w:val="007B38B7"/>
    <w:rsid w:val="007B3F66"/>
    <w:rsid w:val="007B441D"/>
    <w:rsid w:val="007B4F7B"/>
    <w:rsid w:val="007B4FA8"/>
    <w:rsid w:val="007B583D"/>
    <w:rsid w:val="007B6399"/>
    <w:rsid w:val="007B6684"/>
    <w:rsid w:val="007B6B21"/>
    <w:rsid w:val="007B7024"/>
    <w:rsid w:val="007B79A3"/>
    <w:rsid w:val="007B7FCE"/>
    <w:rsid w:val="007C0390"/>
    <w:rsid w:val="007C075E"/>
    <w:rsid w:val="007C14A2"/>
    <w:rsid w:val="007C300E"/>
    <w:rsid w:val="007C328D"/>
    <w:rsid w:val="007C336F"/>
    <w:rsid w:val="007C3E38"/>
    <w:rsid w:val="007C41B1"/>
    <w:rsid w:val="007C4E28"/>
    <w:rsid w:val="007C56C2"/>
    <w:rsid w:val="007C5A99"/>
    <w:rsid w:val="007C6671"/>
    <w:rsid w:val="007C6B5D"/>
    <w:rsid w:val="007C79BB"/>
    <w:rsid w:val="007C7F7A"/>
    <w:rsid w:val="007D1596"/>
    <w:rsid w:val="007D1D2E"/>
    <w:rsid w:val="007D1F15"/>
    <w:rsid w:val="007D20C8"/>
    <w:rsid w:val="007D30B7"/>
    <w:rsid w:val="007D3192"/>
    <w:rsid w:val="007D3C94"/>
    <w:rsid w:val="007D3FC9"/>
    <w:rsid w:val="007D4017"/>
    <w:rsid w:val="007D43E8"/>
    <w:rsid w:val="007D4822"/>
    <w:rsid w:val="007D49CB"/>
    <w:rsid w:val="007D5026"/>
    <w:rsid w:val="007D6E74"/>
    <w:rsid w:val="007E0007"/>
    <w:rsid w:val="007E1283"/>
    <w:rsid w:val="007E15AD"/>
    <w:rsid w:val="007E1612"/>
    <w:rsid w:val="007E18F8"/>
    <w:rsid w:val="007E1A8D"/>
    <w:rsid w:val="007E25ED"/>
    <w:rsid w:val="007E29CA"/>
    <w:rsid w:val="007E2BC0"/>
    <w:rsid w:val="007E338C"/>
    <w:rsid w:val="007E35EB"/>
    <w:rsid w:val="007E4BBC"/>
    <w:rsid w:val="007E5E65"/>
    <w:rsid w:val="007E6E60"/>
    <w:rsid w:val="007E7601"/>
    <w:rsid w:val="007E7F96"/>
    <w:rsid w:val="007F018B"/>
    <w:rsid w:val="007F15CD"/>
    <w:rsid w:val="007F2268"/>
    <w:rsid w:val="007F297C"/>
    <w:rsid w:val="007F2C3A"/>
    <w:rsid w:val="007F2C54"/>
    <w:rsid w:val="007F359A"/>
    <w:rsid w:val="007F42D1"/>
    <w:rsid w:val="007F43B9"/>
    <w:rsid w:val="007F5E7E"/>
    <w:rsid w:val="007F67E9"/>
    <w:rsid w:val="007F6A4E"/>
    <w:rsid w:val="007F6C89"/>
    <w:rsid w:val="007F6FCE"/>
    <w:rsid w:val="007F70F1"/>
    <w:rsid w:val="007F7251"/>
    <w:rsid w:val="007F75EA"/>
    <w:rsid w:val="007F7C7B"/>
    <w:rsid w:val="0080176B"/>
    <w:rsid w:val="008019FF"/>
    <w:rsid w:val="00801B06"/>
    <w:rsid w:val="008023EC"/>
    <w:rsid w:val="00802BAF"/>
    <w:rsid w:val="008033EF"/>
    <w:rsid w:val="008040A2"/>
    <w:rsid w:val="00804632"/>
    <w:rsid w:val="00804D6B"/>
    <w:rsid w:val="00805136"/>
    <w:rsid w:val="008054D9"/>
    <w:rsid w:val="00805518"/>
    <w:rsid w:val="00805775"/>
    <w:rsid w:val="00806688"/>
    <w:rsid w:val="008071BA"/>
    <w:rsid w:val="00807406"/>
    <w:rsid w:val="008076DA"/>
    <w:rsid w:val="00807A3E"/>
    <w:rsid w:val="00810338"/>
    <w:rsid w:val="00811BF7"/>
    <w:rsid w:val="00812282"/>
    <w:rsid w:val="00812381"/>
    <w:rsid w:val="0081269E"/>
    <w:rsid w:val="00812A2A"/>
    <w:rsid w:val="00813495"/>
    <w:rsid w:val="00813D6C"/>
    <w:rsid w:val="00813E3F"/>
    <w:rsid w:val="00814875"/>
    <w:rsid w:val="008148E4"/>
    <w:rsid w:val="00814A53"/>
    <w:rsid w:val="00814F69"/>
    <w:rsid w:val="008151C9"/>
    <w:rsid w:val="008157F1"/>
    <w:rsid w:val="008158BE"/>
    <w:rsid w:val="00815B99"/>
    <w:rsid w:val="008162B5"/>
    <w:rsid w:val="00816A2A"/>
    <w:rsid w:val="00816D65"/>
    <w:rsid w:val="00816EC2"/>
    <w:rsid w:val="00817A5A"/>
    <w:rsid w:val="00817B8F"/>
    <w:rsid w:val="00817EC0"/>
    <w:rsid w:val="008202CF"/>
    <w:rsid w:val="00820D78"/>
    <w:rsid w:val="008217F2"/>
    <w:rsid w:val="0082182A"/>
    <w:rsid w:val="008236E1"/>
    <w:rsid w:val="00824036"/>
    <w:rsid w:val="00824458"/>
    <w:rsid w:val="008249F7"/>
    <w:rsid w:val="00824B74"/>
    <w:rsid w:val="00827027"/>
    <w:rsid w:val="00830035"/>
    <w:rsid w:val="0083263B"/>
    <w:rsid w:val="0083276E"/>
    <w:rsid w:val="00832E89"/>
    <w:rsid w:val="00833578"/>
    <w:rsid w:val="0083437E"/>
    <w:rsid w:val="00834F52"/>
    <w:rsid w:val="00835EC9"/>
    <w:rsid w:val="0083681B"/>
    <w:rsid w:val="00837BFA"/>
    <w:rsid w:val="00841265"/>
    <w:rsid w:val="00841388"/>
    <w:rsid w:val="00841A3E"/>
    <w:rsid w:val="00841B90"/>
    <w:rsid w:val="00841EFB"/>
    <w:rsid w:val="00841F44"/>
    <w:rsid w:val="008422D1"/>
    <w:rsid w:val="00842A4C"/>
    <w:rsid w:val="00842C82"/>
    <w:rsid w:val="008436D7"/>
    <w:rsid w:val="008440FE"/>
    <w:rsid w:val="00846119"/>
    <w:rsid w:val="0084614D"/>
    <w:rsid w:val="008474E3"/>
    <w:rsid w:val="00847B28"/>
    <w:rsid w:val="008506C2"/>
    <w:rsid w:val="00850B79"/>
    <w:rsid w:val="0085276A"/>
    <w:rsid w:val="008527ED"/>
    <w:rsid w:val="008532C1"/>
    <w:rsid w:val="008537F7"/>
    <w:rsid w:val="00853E35"/>
    <w:rsid w:val="008546BD"/>
    <w:rsid w:val="008546BE"/>
    <w:rsid w:val="008548DE"/>
    <w:rsid w:val="008550E3"/>
    <w:rsid w:val="00855905"/>
    <w:rsid w:val="00855A33"/>
    <w:rsid w:val="00856074"/>
    <w:rsid w:val="00856264"/>
    <w:rsid w:val="00857133"/>
    <w:rsid w:val="00857365"/>
    <w:rsid w:val="00857949"/>
    <w:rsid w:val="00857DF1"/>
    <w:rsid w:val="00860047"/>
    <w:rsid w:val="008601E9"/>
    <w:rsid w:val="00860ECE"/>
    <w:rsid w:val="00861EBB"/>
    <w:rsid w:val="00862131"/>
    <w:rsid w:val="008621C2"/>
    <w:rsid w:val="0086287D"/>
    <w:rsid w:val="008628BF"/>
    <w:rsid w:val="00862FD3"/>
    <w:rsid w:val="00863138"/>
    <w:rsid w:val="00864243"/>
    <w:rsid w:val="00864449"/>
    <w:rsid w:val="0086485F"/>
    <w:rsid w:val="0086663E"/>
    <w:rsid w:val="008669DF"/>
    <w:rsid w:val="00867736"/>
    <w:rsid w:val="00867AED"/>
    <w:rsid w:val="00870644"/>
    <w:rsid w:val="008719C2"/>
    <w:rsid w:val="00872571"/>
    <w:rsid w:val="0087277A"/>
    <w:rsid w:val="00872A47"/>
    <w:rsid w:val="00873415"/>
    <w:rsid w:val="008736E2"/>
    <w:rsid w:val="00873BB8"/>
    <w:rsid w:val="00874565"/>
    <w:rsid w:val="00874A60"/>
    <w:rsid w:val="008752BC"/>
    <w:rsid w:val="00875E71"/>
    <w:rsid w:val="00876740"/>
    <w:rsid w:val="008768B1"/>
    <w:rsid w:val="00877247"/>
    <w:rsid w:val="008801AE"/>
    <w:rsid w:val="00880AA3"/>
    <w:rsid w:val="008824E2"/>
    <w:rsid w:val="0088267E"/>
    <w:rsid w:val="00882F34"/>
    <w:rsid w:val="00883A94"/>
    <w:rsid w:val="00883C50"/>
    <w:rsid w:val="0088421C"/>
    <w:rsid w:val="0088445B"/>
    <w:rsid w:val="00884906"/>
    <w:rsid w:val="00884B89"/>
    <w:rsid w:val="00884E90"/>
    <w:rsid w:val="008856C7"/>
    <w:rsid w:val="00887B15"/>
    <w:rsid w:val="008906C6"/>
    <w:rsid w:val="0089097E"/>
    <w:rsid w:val="00891087"/>
    <w:rsid w:val="008911A9"/>
    <w:rsid w:val="00891618"/>
    <w:rsid w:val="00891AF6"/>
    <w:rsid w:val="00891BC3"/>
    <w:rsid w:val="00892124"/>
    <w:rsid w:val="008929F2"/>
    <w:rsid w:val="00892CCD"/>
    <w:rsid w:val="008937C8"/>
    <w:rsid w:val="0089388C"/>
    <w:rsid w:val="00895261"/>
    <w:rsid w:val="00895949"/>
    <w:rsid w:val="008967C4"/>
    <w:rsid w:val="00896876"/>
    <w:rsid w:val="00896A60"/>
    <w:rsid w:val="0089727D"/>
    <w:rsid w:val="008A0137"/>
    <w:rsid w:val="008A0D2A"/>
    <w:rsid w:val="008A13C7"/>
    <w:rsid w:val="008A1693"/>
    <w:rsid w:val="008A172E"/>
    <w:rsid w:val="008A23AA"/>
    <w:rsid w:val="008A254F"/>
    <w:rsid w:val="008A2630"/>
    <w:rsid w:val="008A2B05"/>
    <w:rsid w:val="008A2C1E"/>
    <w:rsid w:val="008A2D0B"/>
    <w:rsid w:val="008A3E24"/>
    <w:rsid w:val="008A4458"/>
    <w:rsid w:val="008A449F"/>
    <w:rsid w:val="008A5833"/>
    <w:rsid w:val="008A5C4F"/>
    <w:rsid w:val="008A70F0"/>
    <w:rsid w:val="008A7F0C"/>
    <w:rsid w:val="008B0666"/>
    <w:rsid w:val="008B0D81"/>
    <w:rsid w:val="008B0DED"/>
    <w:rsid w:val="008B1BF1"/>
    <w:rsid w:val="008B30F1"/>
    <w:rsid w:val="008B358C"/>
    <w:rsid w:val="008B3A88"/>
    <w:rsid w:val="008B4BFC"/>
    <w:rsid w:val="008B51B4"/>
    <w:rsid w:val="008B54EA"/>
    <w:rsid w:val="008B5B67"/>
    <w:rsid w:val="008B5D7A"/>
    <w:rsid w:val="008B6259"/>
    <w:rsid w:val="008B634E"/>
    <w:rsid w:val="008B646A"/>
    <w:rsid w:val="008B654B"/>
    <w:rsid w:val="008B66E3"/>
    <w:rsid w:val="008B7848"/>
    <w:rsid w:val="008C08F1"/>
    <w:rsid w:val="008C1E05"/>
    <w:rsid w:val="008C2FCA"/>
    <w:rsid w:val="008C34A8"/>
    <w:rsid w:val="008C34BB"/>
    <w:rsid w:val="008C3FBF"/>
    <w:rsid w:val="008C43B6"/>
    <w:rsid w:val="008C45E2"/>
    <w:rsid w:val="008D0A59"/>
    <w:rsid w:val="008D0C3A"/>
    <w:rsid w:val="008D1238"/>
    <w:rsid w:val="008D23CD"/>
    <w:rsid w:val="008D3726"/>
    <w:rsid w:val="008D4869"/>
    <w:rsid w:val="008D4CB0"/>
    <w:rsid w:val="008D4DFB"/>
    <w:rsid w:val="008D6154"/>
    <w:rsid w:val="008D620B"/>
    <w:rsid w:val="008D6397"/>
    <w:rsid w:val="008D63C6"/>
    <w:rsid w:val="008D690F"/>
    <w:rsid w:val="008D6A85"/>
    <w:rsid w:val="008D6B23"/>
    <w:rsid w:val="008D73C9"/>
    <w:rsid w:val="008E11F7"/>
    <w:rsid w:val="008E13F1"/>
    <w:rsid w:val="008E16BF"/>
    <w:rsid w:val="008E3049"/>
    <w:rsid w:val="008E35A3"/>
    <w:rsid w:val="008E3988"/>
    <w:rsid w:val="008E42C8"/>
    <w:rsid w:val="008E4B47"/>
    <w:rsid w:val="008E4E83"/>
    <w:rsid w:val="008E562B"/>
    <w:rsid w:val="008E5E7F"/>
    <w:rsid w:val="008E7212"/>
    <w:rsid w:val="008E7274"/>
    <w:rsid w:val="008E79D6"/>
    <w:rsid w:val="008E7DE4"/>
    <w:rsid w:val="008F0562"/>
    <w:rsid w:val="008F0A78"/>
    <w:rsid w:val="008F1059"/>
    <w:rsid w:val="008F1366"/>
    <w:rsid w:val="008F1A7C"/>
    <w:rsid w:val="008F260B"/>
    <w:rsid w:val="008F29C0"/>
    <w:rsid w:val="008F2BFA"/>
    <w:rsid w:val="008F34F4"/>
    <w:rsid w:val="008F388B"/>
    <w:rsid w:val="008F412B"/>
    <w:rsid w:val="008F42F0"/>
    <w:rsid w:val="008F4753"/>
    <w:rsid w:val="008F49BA"/>
    <w:rsid w:val="008F5217"/>
    <w:rsid w:val="008F593C"/>
    <w:rsid w:val="008F623A"/>
    <w:rsid w:val="008F685A"/>
    <w:rsid w:val="008F696C"/>
    <w:rsid w:val="008F6D4F"/>
    <w:rsid w:val="008F7627"/>
    <w:rsid w:val="008F76B3"/>
    <w:rsid w:val="008F788D"/>
    <w:rsid w:val="008F799E"/>
    <w:rsid w:val="0090072B"/>
    <w:rsid w:val="009012DE"/>
    <w:rsid w:val="0090143A"/>
    <w:rsid w:val="0090487A"/>
    <w:rsid w:val="009050C2"/>
    <w:rsid w:val="00905421"/>
    <w:rsid w:val="00905C5A"/>
    <w:rsid w:val="00905EB0"/>
    <w:rsid w:val="00906821"/>
    <w:rsid w:val="00906E65"/>
    <w:rsid w:val="009075B8"/>
    <w:rsid w:val="00907C60"/>
    <w:rsid w:val="00907FBC"/>
    <w:rsid w:val="00910572"/>
    <w:rsid w:val="009119F7"/>
    <w:rsid w:val="00911A96"/>
    <w:rsid w:val="00911C43"/>
    <w:rsid w:val="00911FCF"/>
    <w:rsid w:val="00912C76"/>
    <w:rsid w:val="009144D5"/>
    <w:rsid w:val="00914B8D"/>
    <w:rsid w:val="00914EC8"/>
    <w:rsid w:val="009152CB"/>
    <w:rsid w:val="00915F98"/>
    <w:rsid w:val="00915FA3"/>
    <w:rsid w:val="00915FE8"/>
    <w:rsid w:val="00916B83"/>
    <w:rsid w:val="00916BAF"/>
    <w:rsid w:val="0091708B"/>
    <w:rsid w:val="00917B92"/>
    <w:rsid w:val="00917DED"/>
    <w:rsid w:val="009204B8"/>
    <w:rsid w:val="00921104"/>
    <w:rsid w:val="009217F8"/>
    <w:rsid w:val="00921D6D"/>
    <w:rsid w:val="00921F8A"/>
    <w:rsid w:val="0092470E"/>
    <w:rsid w:val="00925187"/>
    <w:rsid w:val="00925615"/>
    <w:rsid w:val="00925C94"/>
    <w:rsid w:val="00926BD9"/>
    <w:rsid w:val="0092709C"/>
    <w:rsid w:val="0092717F"/>
    <w:rsid w:val="00927682"/>
    <w:rsid w:val="00927744"/>
    <w:rsid w:val="00927B05"/>
    <w:rsid w:val="00930F4E"/>
    <w:rsid w:val="00930FD4"/>
    <w:rsid w:val="00931346"/>
    <w:rsid w:val="009315B5"/>
    <w:rsid w:val="00931734"/>
    <w:rsid w:val="00931735"/>
    <w:rsid w:val="00932477"/>
    <w:rsid w:val="0093522E"/>
    <w:rsid w:val="00936062"/>
    <w:rsid w:val="00936943"/>
    <w:rsid w:val="00936D41"/>
    <w:rsid w:val="00937969"/>
    <w:rsid w:val="00937CBE"/>
    <w:rsid w:val="0094110F"/>
    <w:rsid w:val="00941677"/>
    <w:rsid w:val="009418A9"/>
    <w:rsid w:val="009435EE"/>
    <w:rsid w:val="00943E77"/>
    <w:rsid w:val="00944087"/>
    <w:rsid w:val="00944296"/>
    <w:rsid w:val="00944996"/>
    <w:rsid w:val="00944E74"/>
    <w:rsid w:val="00944FF1"/>
    <w:rsid w:val="00945C50"/>
    <w:rsid w:val="00946B89"/>
    <w:rsid w:val="00946CD7"/>
    <w:rsid w:val="009470C7"/>
    <w:rsid w:val="00947C4A"/>
    <w:rsid w:val="0095012E"/>
    <w:rsid w:val="00950821"/>
    <w:rsid w:val="00950895"/>
    <w:rsid w:val="00951702"/>
    <w:rsid w:val="00951934"/>
    <w:rsid w:val="0095207B"/>
    <w:rsid w:val="0095279C"/>
    <w:rsid w:val="009534C6"/>
    <w:rsid w:val="00954C8C"/>
    <w:rsid w:val="00955D27"/>
    <w:rsid w:val="00956183"/>
    <w:rsid w:val="0095684F"/>
    <w:rsid w:val="00956ACE"/>
    <w:rsid w:val="009572A0"/>
    <w:rsid w:val="00957D24"/>
    <w:rsid w:val="00960A17"/>
    <w:rsid w:val="00960C9D"/>
    <w:rsid w:val="00960DCF"/>
    <w:rsid w:val="00961B53"/>
    <w:rsid w:val="009624FE"/>
    <w:rsid w:val="00963264"/>
    <w:rsid w:val="0096389D"/>
    <w:rsid w:val="0096395E"/>
    <w:rsid w:val="00964615"/>
    <w:rsid w:val="009648B9"/>
    <w:rsid w:val="00965037"/>
    <w:rsid w:val="00967106"/>
    <w:rsid w:val="009676C0"/>
    <w:rsid w:val="00967999"/>
    <w:rsid w:val="00967A8C"/>
    <w:rsid w:val="00970033"/>
    <w:rsid w:val="00970040"/>
    <w:rsid w:val="00970C2D"/>
    <w:rsid w:val="009714E7"/>
    <w:rsid w:val="00971A02"/>
    <w:rsid w:val="00973252"/>
    <w:rsid w:val="00973586"/>
    <w:rsid w:val="00973BB9"/>
    <w:rsid w:val="00973FCD"/>
    <w:rsid w:val="00975643"/>
    <w:rsid w:val="009757AF"/>
    <w:rsid w:val="00975B72"/>
    <w:rsid w:val="00975B77"/>
    <w:rsid w:val="00977844"/>
    <w:rsid w:val="0097794A"/>
    <w:rsid w:val="00977CD6"/>
    <w:rsid w:val="00977D0E"/>
    <w:rsid w:val="009803A9"/>
    <w:rsid w:val="009803CB"/>
    <w:rsid w:val="009803D4"/>
    <w:rsid w:val="009807A2"/>
    <w:rsid w:val="0098199C"/>
    <w:rsid w:val="0098290A"/>
    <w:rsid w:val="00983080"/>
    <w:rsid w:val="009833BB"/>
    <w:rsid w:val="00984D08"/>
    <w:rsid w:val="00986421"/>
    <w:rsid w:val="0098656A"/>
    <w:rsid w:val="0098676B"/>
    <w:rsid w:val="00986D87"/>
    <w:rsid w:val="00987025"/>
    <w:rsid w:val="00987065"/>
    <w:rsid w:val="009873F3"/>
    <w:rsid w:val="00992548"/>
    <w:rsid w:val="00992FC1"/>
    <w:rsid w:val="00993100"/>
    <w:rsid w:val="00994154"/>
    <w:rsid w:val="009958C5"/>
    <w:rsid w:val="00995D86"/>
    <w:rsid w:val="00995E98"/>
    <w:rsid w:val="00995F78"/>
    <w:rsid w:val="00996AFC"/>
    <w:rsid w:val="00996B63"/>
    <w:rsid w:val="00996F15"/>
    <w:rsid w:val="00997BA8"/>
    <w:rsid w:val="009A0354"/>
    <w:rsid w:val="009A06F4"/>
    <w:rsid w:val="009A089E"/>
    <w:rsid w:val="009A0A87"/>
    <w:rsid w:val="009A0C2C"/>
    <w:rsid w:val="009A12BA"/>
    <w:rsid w:val="009A2480"/>
    <w:rsid w:val="009A3778"/>
    <w:rsid w:val="009A3E2E"/>
    <w:rsid w:val="009A559A"/>
    <w:rsid w:val="009A60DB"/>
    <w:rsid w:val="009A7F34"/>
    <w:rsid w:val="009B020D"/>
    <w:rsid w:val="009B1BF7"/>
    <w:rsid w:val="009B2104"/>
    <w:rsid w:val="009B2245"/>
    <w:rsid w:val="009B258E"/>
    <w:rsid w:val="009B4BD8"/>
    <w:rsid w:val="009B4ECE"/>
    <w:rsid w:val="009B5997"/>
    <w:rsid w:val="009B5D0E"/>
    <w:rsid w:val="009B6877"/>
    <w:rsid w:val="009B6B23"/>
    <w:rsid w:val="009B7ABD"/>
    <w:rsid w:val="009C1597"/>
    <w:rsid w:val="009C17FA"/>
    <w:rsid w:val="009C1D27"/>
    <w:rsid w:val="009C2D01"/>
    <w:rsid w:val="009C32CC"/>
    <w:rsid w:val="009C3BD9"/>
    <w:rsid w:val="009C45B8"/>
    <w:rsid w:val="009C46BD"/>
    <w:rsid w:val="009C5B82"/>
    <w:rsid w:val="009C61D6"/>
    <w:rsid w:val="009C756E"/>
    <w:rsid w:val="009C76D8"/>
    <w:rsid w:val="009C7835"/>
    <w:rsid w:val="009D0A45"/>
    <w:rsid w:val="009D0B76"/>
    <w:rsid w:val="009D1738"/>
    <w:rsid w:val="009D17FE"/>
    <w:rsid w:val="009D1EBC"/>
    <w:rsid w:val="009D21BE"/>
    <w:rsid w:val="009D2A10"/>
    <w:rsid w:val="009D2E39"/>
    <w:rsid w:val="009D315D"/>
    <w:rsid w:val="009D34DE"/>
    <w:rsid w:val="009D3C3D"/>
    <w:rsid w:val="009D44C2"/>
    <w:rsid w:val="009D5288"/>
    <w:rsid w:val="009D69E1"/>
    <w:rsid w:val="009D707F"/>
    <w:rsid w:val="009D79CB"/>
    <w:rsid w:val="009D7A3A"/>
    <w:rsid w:val="009E0033"/>
    <w:rsid w:val="009E07BF"/>
    <w:rsid w:val="009E13B7"/>
    <w:rsid w:val="009E19E1"/>
    <w:rsid w:val="009E23E2"/>
    <w:rsid w:val="009E24BE"/>
    <w:rsid w:val="009E24CA"/>
    <w:rsid w:val="009E257C"/>
    <w:rsid w:val="009E2AD3"/>
    <w:rsid w:val="009E47E5"/>
    <w:rsid w:val="009E661F"/>
    <w:rsid w:val="009E6F35"/>
    <w:rsid w:val="009E7748"/>
    <w:rsid w:val="009F07B0"/>
    <w:rsid w:val="009F0F87"/>
    <w:rsid w:val="009F1116"/>
    <w:rsid w:val="009F146F"/>
    <w:rsid w:val="009F1735"/>
    <w:rsid w:val="009F19FF"/>
    <w:rsid w:val="009F2A56"/>
    <w:rsid w:val="009F3006"/>
    <w:rsid w:val="009F323F"/>
    <w:rsid w:val="009F3649"/>
    <w:rsid w:val="009F3C75"/>
    <w:rsid w:val="009F4783"/>
    <w:rsid w:val="009F5410"/>
    <w:rsid w:val="009F5493"/>
    <w:rsid w:val="009F56B3"/>
    <w:rsid w:val="009F7EB8"/>
    <w:rsid w:val="00A00205"/>
    <w:rsid w:val="00A0037E"/>
    <w:rsid w:val="00A00C2A"/>
    <w:rsid w:val="00A01303"/>
    <w:rsid w:val="00A013CD"/>
    <w:rsid w:val="00A01EAB"/>
    <w:rsid w:val="00A02195"/>
    <w:rsid w:val="00A0232C"/>
    <w:rsid w:val="00A02C4F"/>
    <w:rsid w:val="00A02D5E"/>
    <w:rsid w:val="00A03C62"/>
    <w:rsid w:val="00A044FD"/>
    <w:rsid w:val="00A045EF"/>
    <w:rsid w:val="00A04A09"/>
    <w:rsid w:val="00A0500B"/>
    <w:rsid w:val="00A053B9"/>
    <w:rsid w:val="00A053EF"/>
    <w:rsid w:val="00A05766"/>
    <w:rsid w:val="00A05821"/>
    <w:rsid w:val="00A05D1D"/>
    <w:rsid w:val="00A05EA2"/>
    <w:rsid w:val="00A0624E"/>
    <w:rsid w:val="00A06899"/>
    <w:rsid w:val="00A076CC"/>
    <w:rsid w:val="00A106CF"/>
    <w:rsid w:val="00A106D3"/>
    <w:rsid w:val="00A10D14"/>
    <w:rsid w:val="00A1165C"/>
    <w:rsid w:val="00A125D6"/>
    <w:rsid w:val="00A12945"/>
    <w:rsid w:val="00A12BCB"/>
    <w:rsid w:val="00A13BA8"/>
    <w:rsid w:val="00A13F19"/>
    <w:rsid w:val="00A1499A"/>
    <w:rsid w:val="00A14E53"/>
    <w:rsid w:val="00A153FD"/>
    <w:rsid w:val="00A15580"/>
    <w:rsid w:val="00A15B67"/>
    <w:rsid w:val="00A16449"/>
    <w:rsid w:val="00A16902"/>
    <w:rsid w:val="00A178A6"/>
    <w:rsid w:val="00A20127"/>
    <w:rsid w:val="00A21815"/>
    <w:rsid w:val="00A22EFC"/>
    <w:rsid w:val="00A239E5"/>
    <w:rsid w:val="00A2558C"/>
    <w:rsid w:val="00A26389"/>
    <w:rsid w:val="00A2725C"/>
    <w:rsid w:val="00A27459"/>
    <w:rsid w:val="00A30334"/>
    <w:rsid w:val="00A303B8"/>
    <w:rsid w:val="00A31030"/>
    <w:rsid w:val="00A3162A"/>
    <w:rsid w:val="00A31FB3"/>
    <w:rsid w:val="00A321CF"/>
    <w:rsid w:val="00A33C69"/>
    <w:rsid w:val="00A34735"/>
    <w:rsid w:val="00A361C3"/>
    <w:rsid w:val="00A36560"/>
    <w:rsid w:val="00A36973"/>
    <w:rsid w:val="00A375ED"/>
    <w:rsid w:val="00A37E53"/>
    <w:rsid w:val="00A410F5"/>
    <w:rsid w:val="00A411FA"/>
    <w:rsid w:val="00A43FE5"/>
    <w:rsid w:val="00A44405"/>
    <w:rsid w:val="00A44E62"/>
    <w:rsid w:val="00A44EC1"/>
    <w:rsid w:val="00A44F61"/>
    <w:rsid w:val="00A451D3"/>
    <w:rsid w:val="00A454B3"/>
    <w:rsid w:val="00A4560D"/>
    <w:rsid w:val="00A45DEF"/>
    <w:rsid w:val="00A45E52"/>
    <w:rsid w:val="00A46464"/>
    <w:rsid w:val="00A46652"/>
    <w:rsid w:val="00A46D15"/>
    <w:rsid w:val="00A4713D"/>
    <w:rsid w:val="00A4749F"/>
    <w:rsid w:val="00A475DC"/>
    <w:rsid w:val="00A47CE6"/>
    <w:rsid w:val="00A50A1F"/>
    <w:rsid w:val="00A513E3"/>
    <w:rsid w:val="00A5186D"/>
    <w:rsid w:val="00A52D72"/>
    <w:rsid w:val="00A53093"/>
    <w:rsid w:val="00A5323B"/>
    <w:rsid w:val="00A53FD9"/>
    <w:rsid w:val="00A54102"/>
    <w:rsid w:val="00A5432F"/>
    <w:rsid w:val="00A54FB4"/>
    <w:rsid w:val="00A5571C"/>
    <w:rsid w:val="00A563E2"/>
    <w:rsid w:val="00A564EC"/>
    <w:rsid w:val="00A56CFF"/>
    <w:rsid w:val="00A56DE0"/>
    <w:rsid w:val="00A6055D"/>
    <w:rsid w:val="00A609D0"/>
    <w:rsid w:val="00A60BA5"/>
    <w:rsid w:val="00A6302C"/>
    <w:rsid w:val="00A6386F"/>
    <w:rsid w:val="00A63C18"/>
    <w:rsid w:val="00A63EFD"/>
    <w:rsid w:val="00A641F1"/>
    <w:rsid w:val="00A6434A"/>
    <w:rsid w:val="00A662DC"/>
    <w:rsid w:val="00A6741B"/>
    <w:rsid w:val="00A70357"/>
    <w:rsid w:val="00A703FC"/>
    <w:rsid w:val="00A70403"/>
    <w:rsid w:val="00A70594"/>
    <w:rsid w:val="00A70F66"/>
    <w:rsid w:val="00A7208F"/>
    <w:rsid w:val="00A730E5"/>
    <w:rsid w:val="00A74226"/>
    <w:rsid w:val="00A74962"/>
    <w:rsid w:val="00A750F2"/>
    <w:rsid w:val="00A757B0"/>
    <w:rsid w:val="00A76C1F"/>
    <w:rsid w:val="00A7711B"/>
    <w:rsid w:val="00A776A4"/>
    <w:rsid w:val="00A777C8"/>
    <w:rsid w:val="00A77BD8"/>
    <w:rsid w:val="00A8049D"/>
    <w:rsid w:val="00A80CE1"/>
    <w:rsid w:val="00A80D81"/>
    <w:rsid w:val="00A81186"/>
    <w:rsid w:val="00A811D6"/>
    <w:rsid w:val="00A811E3"/>
    <w:rsid w:val="00A822C2"/>
    <w:rsid w:val="00A82990"/>
    <w:rsid w:val="00A82A2F"/>
    <w:rsid w:val="00A84C82"/>
    <w:rsid w:val="00A901F9"/>
    <w:rsid w:val="00A90401"/>
    <w:rsid w:val="00A90FF6"/>
    <w:rsid w:val="00A921E3"/>
    <w:rsid w:val="00A93A08"/>
    <w:rsid w:val="00A9421A"/>
    <w:rsid w:val="00A94D20"/>
    <w:rsid w:val="00A96BB3"/>
    <w:rsid w:val="00A9752B"/>
    <w:rsid w:val="00AA00C7"/>
    <w:rsid w:val="00AA0197"/>
    <w:rsid w:val="00AA03EC"/>
    <w:rsid w:val="00AA0EC5"/>
    <w:rsid w:val="00AA1349"/>
    <w:rsid w:val="00AA2461"/>
    <w:rsid w:val="00AA26E1"/>
    <w:rsid w:val="00AA2865"/>
    <w:rsid w:val="00AA2EFB"/>
    <w:rsid w:val="00AA3371"/>
    <w:rsid w:val="00AA3A9B"/>
    <w:rsid w:val="00AA3BF1"/>
    <w:rsid w:val="00AA5410"/>
    <w:rsid w:val="00AA6196"/>
    <w:rsid w:val="00AB21C6"/>
    <w:rsid w:val="00AB2841"/>
    <w:rsid w:val="00AB2BFE"/>
    <w:rsid w:val="00AB3860"/>
    <w:rsid w:val="00AB3E19"/>
    <w:rsid w:val="00AB4A26"/>
    <w:rsid w:val="00AB52F9"/>
    <w:rsid w:val="00AB5BA9"/>
    <w:rsid w:val="00AB61C2"/>
    <w:rsid w:val="00AB6F0A"/>
    <w:rsid w:val="00AB739B"/>
    <w:rsid w:val="00AB7C40"/>
    <w:rsid w:val="00AC0186"/>
    <w:rsid w:val="00AC024D"/>
    <w:rsid w:val="00AC053D"/>
    <w:rsid w:val="00AC0D42"/>
    <w:rsid w:val="00AC26EA"/>
    <w:rsid w:val="00AC28D3"/>
    <w:rsid w:val="00AC2F21"/>
    <w:rsid w:val="00AC2FA9"/>
    <w:rsid w:val="00AC358A"/>
    <w:rsid w:val="00AC3A2F"/>
    <w:rsid w:val="00AC420E"/>
    <w:rsid w:val="00AC47D6"/>
    <w:rsid w:val="00AC48BB"/>
    <w:rsid w:val="00AC54CB"/>
    <w:rsid w:val="00AC5C20"/>
    <w:rsid w:val="00AC6D93"/>
    <w:rsid w:val="00AC6F7D"/>
    <w:rsid w:val="00AC7060"/>
    <w:rsid w:val="00AC720A"/>
    <w:rsid w:val="00AC7540"/>
    <w:rsid w:val="00AC76A0"/>
    <w:rsid w:val="00AD0986"/>
    <w:rsid w:val="00AD0E4E"/>
    <w:rsid w:val="00AD1873"/>
    <w:rsid w:val="00AD2F8E"/>
    <w:rsid w:val="00AD3BAA"/>
    <w:rsid w:val="00AD3CC4"/>
    <w:rsid w:val="00AD5190"/>
    <w:rsid w:val="00AD5BA8"/>
    <w:rsid w:val="00AD60EA"/>
    <w:rsid w:val="00AD67D4"/>
    <w:rsid w:val="00AD72F9"/>
    <w:rsid w:val="00AE0517"/>
    <w:rsid w:val="00AE0978"/>
    <w:rsid w:val="00AE0E0F"/>
    <w:rsid w:val="00AE11DC"/>
    <w:rsid w:val="00AE1E09"/>
    <w:rsid w:val="00AE2319"/>
    <w:rsid w:val="00AE35C2"/>
    <w:rsid w:val="00AE360D"/>
    <w:rsid w:val="00AE4331"/>
    <w:rsid w:val="00AE478E"/>
    <w:rsid w:val="00AE614D"/>
    <w:rsid w:val="00AE61C9"/>
    <w:rsid w:val="00AE6700"/>
    <w:rsid w:val="00AE7376"/>
    <w:rsid w:val="00AE7849"/>
    <w:rsid w:val="00AE7977"/>
    <w:rsid w:val="00AF080A"/>
    <w:rsid w:val="00AF1F10"/>
    <w:rsid w:val="00AF25E1"/>
    <w:rsid w:val="00AF29E2"/>
    <w:rsid w:val="00AF3D39"/>
    <w:rsid w:val="00AF423A"/>
    <w:rsid w:val="00AF497B"/>
    <w:rsid w:val="00AF49D6"/>
    <w:rsid w:val="00AF5F12"/>
    <w:rsid w:val="00AF62F1"/>
    <w:rsid w:val="00AF69EA"/>
    <w:rsid w:val="00AF6A4C"/>
    <w:rsid w:val="00AF6B19"/>
    <w:rsid w:val="00AF6B44"/>
    <w:rsid w:val="00AF7248"/>
    <w:rsid w:val="00B00310"/>
    <w:rsid w:val="00B005D0"/>
    <w:rsid w:val="00B00B37"/>
    <w:rsid w:val="00B00B71"/>
    <w:rsid w:val="00B00D73"/>
    <w:rsid w:val="00B00F50"/>
    <w:rsid w:val="00B01AAA"/>
    <w:rsid w:val="00B01E02"/>
    <w:rsid w:val="00B01E7C"/>
    <w:rsid w:val="00B02183"/>
    <w:rsid w:val="00B030FC"/>
    <w:rsid w:val="00B04535"/>
    <w:rsid w:val="00B047C2"/>
    <w:rsid w:val="00B04CB1"/>
    <w:rsid w:val="00B05635"/>
    <w:rsid w:val="00B057A4"/>
    <w:rsid w:val="00B05AD9"/>
    <w:rsid w:val="00B05E37"/>
    <w:rsid w:val="00B0682C"/>
    <w:rsid w:val="00B06CDE"/>
    <w:rsid w:val="00B07620"/>
    <w:rsid w:val="00B10746"/>
    <w:rsid w:val="00B10F84"/>
    <w:rsid w:val="00B11B58"/>
    <w:rsid w:val="00B124B1"/>
    <w:rsid w:val="00B12775"/>
    <w:rsid w:val="00B12C72"/>
    <w:rsid w:val="00B12CBE"/>
    <w:rsid w:val="00B130E1"/>
    <w:rsid w:val="00B1314F"/>
    <w:rsid w:val="00B134DE"/>
    <w:rsid w:val="00B151CF"/>
    <w:rsid w:val="00B20445"/>
    <w:rsid w:val="00B206D7"/>
    <w:rsid w:val="00B20BB5"/>
    <w:rsid w:val="00B21B20"/>
    <w:rsid w:val="00B223E0"/>
    <w:rsid w:val="00B22D8C"/>
    <w:rsid w:val="00B242D9"/>
    <w:rsid w:val="00B247AD"/>
    <w:rsid w:val="00B24D51"/>
    <w:rsid w:val="00B25937"/>
    <w:rsid w:val="00B25B3F"/>
    <w:rsid w:val="00B25D05"/>
    <w:rsid w:val="00B26622"/>
    <w:rsid w:val="00B26669"/>
    <w:rsid w:val="00B270AD"/>
    <w:rsid w:val="00B276B4"/>
    <w:rsid w:val="00B27BA9"/>
    <w:rsid w:val="00B303F6"/>
    <w:rsid w:val="00B307B7"/>
    <w:rsid w:val="00B31913"/>
    <w:rsid w:val="00B31DD7"/>
    <w:rsid w:val="00B32E14"/>
    <w:rsid w:val="00B33369"/>
    <w:rsid w:val="00B35649"/>
    <w:rsid w:val="00B35D16"/>
    <w:rsid w:val="00B36028"/>
    <w:rsid w:val="00B36739"/>
    <w:rsid w:val="00B371F3"/>
    <w:rsid w:val="00B37251"/>
    <w:rsid w:val="00B37AD6"/>
    <w:rsid w:val="00B40064"/>
    <w:rsid w:val="00B40F6E"/>
    <w:rsid w:val="00B42280"/>
    <w:rsid w:val="00B42B2E"/>
    <w:rsid w:val="00B42F0F"/>
    <w:rsid w:val="00B44731"/>
    <w:rsid w:val="00B4473E"/>
    <w:rsid w:val="00B46F19"/>
    <w:rsid w:val="00B5095A"/>
    <w:rsid w:val="00B50A44"/>
    <w:rsid w:val="00B50D95"/>
    <w:rsid w:val="00B50E48"/>
    <w:rsid w:val="00B51A59"/>
    <w:rsid w:val="00B52161"/>
    <w:rsid w:val="00B52866"/>
    <w:rsid w:val="00B5305E"/>
    <w:rsid w:val="00B538A5"/>
    <w:rsid w:val="00B53D56"/>
    <w:rsid w:val="00B55291"/>
    <w:rsid w:val="00B55524"/>
    <w:rsid w:val="00B55812"/>
    <w:rsid w:val="00B5588D"/>
    <w:rsid w:val="00B56336"/>
    <w:rsid w:val="00B57505"/>
    <w:rsid w:val="00B57574"/>
    <w:rsid w:val="00B575BF"/>
    <w:rsid w:val="00B60C16"/>
    <w:rsid w:val="00B60CE0"/>
    <w:rsid w:val="00B612EA"/>
    <w:rsid w:val="00B61C66"/>
    <w:rsid w:val="00B620CF"/>
    <w:rsid w:val="00B62604"/>
    <w:rsid w:val="00B62A2A"/>
    <w:rsid w:val="00B62DF2"/>
    <w:rsid w:val="00B63B76"/>
    <w:rsid w:val="00B63F82"/>
    <w:rsid w:val="00B64E72"/>
    <w:rsid w:val="00B6590C"/>
    <w:rsid w:val="00B65FA2"/>
    <w:rsid w:val="00B668DC"/>
    <w:rsid w:val="00B66A87"/>
    <w:rsid w:val="00B67214"/>
    <w:rsid w:val="00B706F1"/>
    <w:rsid w:val="00B70FA7"/>
    <w:rsid w:val="00B712D0"/>
    <w:rsid w:val="00B71798"/>
    <w:rsid w:val="00B71A6C"/>
    <w:rsid w:val="00B71F26"/>
    <w:rsid w:val="00B739D9"/>
    <w:rsid w:val="00B73BDD"/>
    <w:rsid w:val="00B73C6F"/>
    <w:rsid w:val="00B740C3"/>
    <w:rsid w:val="00B746D4"/>
    <w:rsid w:val="00B74786"/>
    <w:rsid w:val="00B751B3"/>
    <w:rsid w:val="00B757E5"/>
    <w:rsid w:val="00B76F79"/>
    <w:rsid w:val="00B77A23"/>
    <w:rsid w:val="00B77AFB"/>
    <w:rsid w:val="00B77D83"/>
    <w:rsid w:val="00B80553"/>
    <w:rsid w:val="00B80E67"/>
    <w:rsid w:val="00B8175B"/>
    <w:rsid w:val="00B81F38"/>
    <w:rsid w:val="00B82049"/>
    <w:rsid w:val="00B82E25"/>
    <w:rsid w:val="00B83340"/>
    <w:rsid w:val="00B83B62"/>
    <w:rsid w:val="00B85307"/>
    <w:rsid w:val="00B8535F"/>
    <w:rsid w:val="00B858D3"/>
    <w:rsid w:val="00B85F9E"/>
    <w:rsid w:val="00B86D25"/>
    <w:rsid w:val="00B86DB7"/>
    <w:rsid w:val="00B86FF3"/>
    <w:rsid w:val="00B878CD"/>
    <w:rsid w:val="00B87FC9"/>
    <w:rsid w:val="00B90ED7"/>
    <w:rsid w:val="00B91532"/>
    <w:rsid w:val="00B91CB1"/>
    <w:rsid w:val="00B91F5F"/>
    <w:rsid w:val="00B9249B"/>
    <w:rsid w:val="00B92834"/>
    <w:rsid w:val="00B92BDD"/>
    <w:rsid w:val="00B92E37"/>
    <w:rsid w:val="00B92EDF"/>
    <w:rsid w:val="00B93851"/>
    <w:rsid w:val="00B93D2C"/>
    <w:rsid w:val="00B9536C"/>
    <w:rsid w:val="00B95DFD"/>
    <w:rsid w:val="00B965F0"/>
    <w:rsid w:val="00B96C35"/>
    <w:rsid w:val="00B96C37"/>
    <w:rsid w:val="00B97B5F"/>
    <w:rsid w:val="00BA0F2A"/>
    <w:rsid w:val="00BA1FFB"/>
    <w:rsid w:val="00BA265B"/>
    <w:rsid w:val="00BA2B3F"/>
    <w:rsid w:val="00BA2C8D"/>
    <w:rsid w:val="00BA2F4E"/>
    <w:rsid w:val="00BA4E45"/>
    <w:rsid w:val="00BA59FB"/>
    <w:rsid w:val="00BB08A7"/>
    <w:rsid w:val="00BB14A3"/>
    <w:rsid w:val="00BB173C"/>
    <w:rsid w:val="00BB1DD4"/>
    <w:rsid w:val="00BB2880"/>
    <w:rsid w:val="00BB35F3"/>
    <w:rsid w:val="00BB4542"/>
    <w:rsid w:val="00BB5E96"/>
    <w:rsid w:val="00BB67E4"/>
    <w:rsid w:val="00BC024E"/>
    <w:rsid w:val="00BC0252"/>
    <w:rsid w:val="00BC050C"/>
    <w:rsid w:val="00BC071D"/>
    <w:rsid w:val="00BC15DE"/>
    <w:rsid w:val="00BC17C8"/>
    <w:rsid w:val="00BC1D88"/>
    <w:rsid w:val="00BC27A7"/>
    <w:rsid w:val="00BC3298"/>
    <w:rsid w:val="00BC369C"/>
    <w:rsid w:val="00BC3972"/>
    <w:rsid w:val="00BC47DB"/>
    <w:rsid w:val="00BC4972"/>
    <w:rsid w:val="00BC508C"/>
    <w:rsid w:val="00BC6633"/>
    <w:rsid w:val="00BC6897"/>
    <w:rsid w:val="00BC68AD"/>
    <w:rsid w:val="00BC6B70"/>
    <w:rsid w:val="00BD05F7"/>
    <w:rsid w:val="00BD0657"/>
    <w:rsid w:val="00BD071D"/>
    <w:rsid w:val="00BD1B8D"/>
    <w:rsid w:val="00BD2366"/>
    <w:rsid w:val="00BD2446"/>
    <w:rsid w:val="00BD2B53"/>
    <w:rsid w:val="00BD32DE"/>
    <w:rsid w:val="00BD33D4"/>
    <w:rsid w:val="00BD3AC6"/>
    <w:rsid w:val="00BD40B1"/>
    <w:rsid w:val="00BD52B7"/>
    <w:rsid w:val="00BD5C9B"/>
    <w:rsid w:val="00BD7D82"/>
    <w:rsid w:val="00BE03D0"/>
    <w:rsid w:val="00BE0418"/>
    <w:rsid w:val="00BE15C5"/>
    <w:rsid w:val="00BE1DC4"/>
    <w:rsid w:val="00BE1F47"/>
    <w:rsid w:val="00BE2212"/>
    <w:rsid w:val="00BE2D46"/>
    <w:rsid w:val="00BE307F"/>
    <w:rsid w:val="00BE34AE"/>
    <w:rsid w:val="00BE3BF1"/>
    <w:rsid w:val="00BE4712"/>
    <w:rsid w:val="00BE47BF"/>
    <w:rsid w:val="00BE5374"/>
    <w:rsid w:val="00BE5721"/>
    <w:rsid w:val="00BE5EAE"/>
    <w:rsid w:val="00BE6049"/>
    <w:rsid w:val="00BE627A"/>
    <w:rsid w:val="00BE6CE8"/>
    <w:rsid w:val="00BE702A"/>
    <w:rsid w:val="00BF0D9E"/>
    <w:rsid w:val="00BF4553"/>
    <w:rsid w:val="00BF4664"/>
    <w:rsid w:val="00BF4762"/>
    <w:rsid w:val="00BF4836"/>
    <w:rsid w:val="00BF495A"/>
    <w:rsid w:val="00BF4C1B"/>
    <w:rsid w:val="00BF4D51"/>
    <w:rsid w:val="00BF5EF2"/>
    <w:rsid w:val="00BF6F93"/>
    <w:rsid w:val="00BF71FF"/>
    <w:rsid w:val="00BF7C54"/>
    <w:rsid w:val="00C00571"/>
    <w:rsid w:val="00C00C53"/>
    <w:rsid w:val="00C00E1D"/>
    <w:rsid w:val="00C01D5F"/>
    <w:rsid w:val="00C02731"/>
    <w:rsid w:val="00C02ACA"/>
    <w:rsid w:val="00C031B7"/>
    <w:rsid w:val="00C0345A"/>
    <w:rsid w:val="00C03511"/>
    <w:rsid w:val="00C0361C"/>
    <w:rsid w:val="00C03833"/>
    <w:rsid w:val="00C04C3A"/>
    <w:rsid w:val="00C04F83"/>
    <w:rsid w:val="00C05700"/>
    <w:rsid w:val="00C05995"/>
    <w:rsid w:val="00C06A39"/>
    <w:rsid w:val="00C06D18"/>
    <w:rsid w:val="00C074CD"/>
    <w:rsid w:val="00C077A7"/>
    <w:rsid w:val="00C107C3"/>
    <w:rsid w:val="00C114AD"/>
    <w:rsid w:val="00C13520"/>
    <w:rsid w:val="00C1402A"/>
    <w:rsid w:val="00C14092"/>
    <w:rsid w:val="00C14F9B"/>
    <w:rsid w:val="00C14FAB"/>
    <w:rsid w:val="00C15AC0"/>
    <w:rsid w:val="00C15CF9"/>
    <w:rsid w:val="00C15F42"/>
    <w:rsid w:val="00C1610B"/>
    <w:rsid w:val="00C1611D"/>
    <w:rsid w:val="00C164A9"/>
    <w:rsid w:val="00C16701"/>
    <w:rsid w:val="00C16C9A"/>
    <w:rsid w:val="00C175E4"/>
    <w:rsid w:val="00C17696"/>
    <w:rsid w:val="00C200A9"/>
    <w:rsid w:val="00C21F60"/>
    <w:rsid w:val="00C22786"/>
    <w:rsid w:val="00C229EE"/>
    <w:rsid w:val="00C232E0"/>
    <w:rsid w:val="00C23F26"/>
    <w:rsid w:val="00C24B5E"/>
    <w:rsid w:val="00C251C9"/>
    <w:rsid w:val="00C2534F"/>
    <w:rsid w:val="00C25DD2"/>
    <w:rsid w:val="00C26B2D"/>
    <w:rsid w:val="00C27AF6"/>
    <w:rsid w:val="00C30058"/>
    <w:rsid w:val="00C30601"/>
    <w:rsid w:val="00C30631"/>
    <w:rsid w:val="00C317A2"/>
    <w:rsid w:val="00C31844"/>
    <w:rsid w:val="00C31CC1"/>
    <w:rsid w:val="00C3246B"/>
    <w:rsid w:val="00C324DA"/>
    <w:rsid w:val="00C32E7D"/>
    <w:rsid w:val="00C33BA8"/>
    <w:rsid w:val="00C343FC"/>
    <w:rsid w:val="00C34B83"/>
    <w:rsid w:val="00C351E6"/>
    <w:rsid w:val="00C35715"/>
    <w:rsid w:val="00C3585D"/>
    <w:rsid w:val="00C3651F"/>
    <w:rsid w:val="00C36633"/>
    <w:rsid w:val="00C36CA1"/>
    <w:rsid w:val="00C36E9D"/>
    <w:rsid w:val="00C370BA"/>
    <w:rsid w:val="00C37C86"/>
    <w:rsid w:val="00C400A3"/>
    <w:rsid w:val="00C40B2D"/>
    <w:rsid w:val="00C40B56"/>
    <w:rsid w:val="00C40D42"/>
    <w:rsid w:val="00C412B1"/>
    <w:rsid w:val="00C413A9"/>
    <w:rsid w:val="00C413C8"/>
    <w:rsid w:val="00C41F43"/>
    <w:rsid w:val="00C4274C"/>
    <w:rsid w:val="00C4436C"/>
    <w:rsid w:val="00C44893"/>
    <w:rsid w:val="00C45C0B"/>
    <w:rsid w:val="00C461B2"/>
    <w:rsid w:val="00C466C7"/>
    <w:rsid w:val="00C47046"/>
    <w:rsid w:val="00C47C8E"/>
    <w:rsid w:val="00C50221"/>
    <w:rsid w:val="00C51CFE"/>
    <w:rsid w:val="00C52180"/>
    <w:rsid w:val="00C529DA"/>
    <w:rsid w:val="00C52FD1"/>
    <w:rsid w:val="00C531F2"/>
    <w:rsid w:val="00C5359B"/>
    <w:rsid w:val="00C538E8"/>
    <w:rsid w:val="00C53AF7"/>
    <w:rsid w:val="00C53BC6"/>
    <w:rsid w:val="00C547FC"/>
    <w:rsid w:val="00C54911"/>
    <w:rsid w:val="00C550AA"/>
    <w:rsid w:val="00C554B5"/>
    <w:rsid w:val="00C563BE"/>
    <w:rsid w:val="00C56675"/>
    <w:rsid w:val="00C56EF2"/>
    <w:rsid w:val="00C570A6"/>
    <w:rsid w:val="00C57930"/>
    <w:rsid w:val="00C579F3"/>
    <w:rsid w:val="00C600B3"/>
    <w:rsid w:val="00C60DE1"/>
    <w:rsid w:val="00C613BC"/>
    <w:rsid w:val="00C61464"/>
    <w:rsid w:val="00C615A3"/>
    <w:rsid w:val="00C62657"/>
    <w:rsid w:val="00C6339D"/>
    <w:rsid w:val="00C63FD0"/>
    <w:rsid w:val="00C64C97"/>
    <w:rsid w:val="00C65700"/>
    <w:rsid w:val="00C65F75"/>
    <w:rsid w:val="00C6604D"/>
    <w:rsid w:val="00C6641D"/>
    <w:rsid w:val="00C67E8E"/>
    <w:rsid w:val="00C700BE"/>
    <w:rsid w:val="00C70614"/>
    <w:rsid w:val="00C714B6"/>
    <w:rsid w:val="00C719BB"/>
    <w:rsid w:val="00C72177"/>
    <w:rsid w:val="00C72914"/>
    <w:rsid w:val="00C72A11"/>
    <w:rsid w:val="00C74B8C"/>
    <w:rsid w:val="00C74EA3"/>
    <w:rsid w:val="00C75FB4"/>
    <w:rsid w:val="00C76073"/>
    <w:rsid w:val="00C76832"/>
    <w:rsid w:val="00C76925"/>
    <w:rsid w:val="00C80796"/>
    <w:rsid w:val="00C81523"/>
    <w:rsid w:val="00C82592"/>
    <w:rsid w:val="00C8268F"/>
    <w:rsid w:val="00C83535"/>
    <w:rsid w:val="00C83622"/>
    <w:rsid w:val="00C836A3"/>
    <w:rsid w:val="00C83A6F"/>
    <w:rsid w:val="00C83D84"/>
    <w:rsid w:val="00C83F9E"/>
    <w:rsid w:val="00C86251"/>
    <w:rsid w:val="00C8730B"/>
    <w:rsid w:val="00C87436"/>
    <w:rsid w:val="00C875DB"/>
    <w:rsid w:val="00C8798E"/>
    <w:rsid w:val="00C90678"/>
    <w:rsid w:val="00C91279"/>
    <w:rsid w:val="00C91651"/>
    <w:rsid w:val="00C917A4"/>
    <w:rsid w:val="00C918A5"/>
    <w:rsid w:val="00C922A2"/>
    <w:rsid w:val="00C927B2"/>
    <w:rsid w:val="00C9294C"/>
    <w:rsid w:val="00C92C72"/>
    <w:rsid w:val="00C93773"/>
    <w:rsid w:val="00C9435E"/>
    <w:rsid w:val="00C946C0"/>
    <w:rsid w:val="00C94833"/>
    <w:rsid w:val="00C9500B"/>
    <w:rsid w:val="00C96D34"/>
    <w:rsid w:val="00C97124"/>
    <w:rsid w:val="00C97CEE"/>
    <w:rsid w:val="00CA0B37"/>
    <w:rsid w:val="00CA1634"/>
    <w:rsid w:val="00CA25B2"/>
    <w:rsid w:val="00CA26EA"/>
    <w:rsid w:val="00CA2C53"/>
    <w:rsid w:val="00CA2FB2"/>
    <w:rsid w:val="00CA32D6"/>
    <w:rsid w:val="00CA3585"/>
    <w:rsid w:val="00CA395E"/>
    <w:rsid w:val="00CA3D3A"/>
    <w:rsid w:val="00CA3DF5"/>
    <w:rsid w:val="00CA42D6"/>
    <w:rsid w:val="00CA44E3"/>
    <w:rsid w:val="00CA528A"/>
    <w:rsid w:val="00CA5A6E"/>
    <w:rsid w:val="00CA5C4A"/>
    <w:rsid w:val="00CA6982"/>
    <w:rsid w:val="00CA7666"/>
    <w:rsid w:val="00CB0324"/>
    <w:rsid w:val="00CB15E9"/>
    <w:rsid w:val="00CB15F9"/>
    <w:rsid w:val="00CB2BD5"/>
    <w:rsid w:val="00CB2D03"/>
    <w:rsid w:val="00CB2E60"/>
    <w:rsid w:val="00CB4288"/>
    <w:rsid w:val="00CB49C6"/>
    <w:rsid w:val="00CB5C55"/>
    <w:rsid w:val="00CB5E71"/>
    <w:rsid w:val="00CB7F2E"/>
    <w:rsid w:val="00CC008E"/>
    <w:rsid w:val="00CC05C2"/>
    <w:rsid w:val="00CC11AF"/>
    <w:rsid w:val="00CC13AC"/>
    <w:rsid w:val="00CC1D1A"/>
    <w:rsid w:val="00CC5956"/>
    <w:rsid w:val="00CC595C"/>
    <w:rsid w:val="00CC6260"/>
    <w:rsid w:val="00CC6543"/>
    <w:rsid w:val="00CC7844"/>
    <w:rsid w:val="00CC7B7F"/>
    <w:rsid w:val="00CD06DD"/>
    <w:rsid w:val="00CD087E"/>
    <w:rsid w:val="00CD10E1"/>
    <w:rsid w:val="00CD1404"/>
    <w:rsid w:val="00CD1AE9"/>
    <w:rsid w:val="00CD213F"/>
    <w:rsid w:val="00CD31B3"/>
    <w:rsid w:val="00CD3662"/>
    <w:rsid w:val="00CD3A21"/>
    <w:rsid w:val="00CD3EAA"/>
    <w:rsid w:val="00CD4F8D"/>
    <w:rsid w:val="00CD560D"/>
    <w:rsid w:val="00CD5D29"/>
    <w:rsid w:val="00CD5E3C"/>
    <w:rsid w:val="00CD7251"/>
    <w:rsid w:val="00CD7542"/>
    <w:rsid w:val="00CD789C"/>
    <w:rsid w:val="00CE0410"/>
    <w:rsid w:val="00CE0652"/>
    <w:rsid w:val="00CE0760"/>
    <w:rsid w:val="00CE121E"/>
    <w:rsid w:val="00CE1827"/>
    <w:rsid w:val="00CE213A"/>
    <w:rsid w:val="00CE25B6"/>
    <w:rsid w:val="00CE28E3"/>
    <w:rsid w:val="00CE2B66"/>
    <w:rsid w:val="00CE2C79"/>
    <w:rsid w:val="00CE2CCE"/>
    <w:rsid w:val="00CE3DA2"/>
    <w:rsid w:val="00CE3F43"/>
    <w:rsid w:val="00CE3F73"/>
    <w:rsid w:val="00CE453D"/>
    <w:rsid w:val="00CE4A11"/>
    <w:rsid w:val="00CE4CE1"/>
    <w:rsid w:val="00CE709D"/>
    <w:rsid w:val="00CE781B"/>
    <w:rsid w:val="00CE7E19"/>
    <w:rsid w:val="00CF019B"/>
    <w:rsid w:val="00CF1A2D"/>
    <w:rsid w:val="00CF2913"/>
    <w:rsid w:val="00CF2CB4"/>
    <w:rsid w:val="00CF387B"/>
    <w:rsid w:val="00CF3AD6"/>
    <w:rsid w:val="00CF439F"/>
    <w:rsid w:val="00CF6263"/>
    <w:rsid w:val="00CF66BC"/>
    <w:rsid w:val="00CF6745"/>
    <w:rsid w:val="00CF6E00"/>
    <w:rsid w:val="00CF7057"/>
    <w:rsid w:val="00CF7120"/>
    <w:rsid w:val="00CF724C"/>
    <w:rsid w:val="00CF7DBA"/>
    <w:rsid w:val="00D00189"/>
    <w:rsid w:val="00D001B4"/>
    <w:rsid w:val="00D003B7"/>
    <w:rsid w:val="00D00BFB"/>
    <w:rsid w:val="00D00E36"/>
    <w:rsid w:val="00D01313"/>
    <w:rsid w:val="00D01AAC"/>
    <w:rsid w:val="00D0258A"/>
    <w:rsid w:val="00D028E0"/>
    <w:rsid w:val="00D02CFC"/>
    <w:rsid w:val="00D02F4F"/>
    <w:rsid w:val="00D02FB4"/>
    <w:rsid w:val="00D03B04"/>
    <w:rsid w:val="00D049AB"/>
    <w:rsid w:val="00D04CB3"/>
    <w:rsid w:val="00D0539B"/>
    <w:rsid w:val="00D0553A"/>
    <w:rsid w:val="00D0556C"/>
    <w:rsid w:val="00D05F4F"/>
    <w:rsid w:val="00D0650B"/>
    <w:rsid w:val="00D104DE"/>
    <w:rsid w:val="00D10579"/>
    <w:rsid w:val="00D11E75"/>
    <w:rsid w:val="00D12DB3"/>
    <w:rsid w:val="00D13015"/>
    <w:rsid w:val="00D13676"/>
    <w:rsid w:val="00D143DD"/>
    <w:rsid w:val="00D14E56"/>
    <w:rsid w:val="00D14E59"/>
    <w:rsid w:val="00D14ED8"/>
    <w:rsid w:val="00D15B71"/>
    <w:rsid w:val="00D1793F"/>
    <w:rsid w:val="00D17991"/>
    <w:rsid w:val="00D17D16"/>
    <w:rsid w:val="00D17D68"/>
    <w:rsid w:val="00D17F70"/>
    <w:rsid w:val="00D20031"/>
    <w:rsid w:val="00D20965"/>
    <w:rsid w:val="00D2162C"/>
    <w:rsid w:val="00D21A33"/>
    <w:rsid w:val="00D23548"/>
    <w:rsid w:val="00D23CB4"/>
    <w:rsid w:val="00D24590"/>
    <w:rsid w:val="00D24A71"/>
    <w:rsid w:val="00D266C1"/>
    <w:rsid w:val="00D27443"/>
    <w:rsid w:val="00D308AC"/>
    <w:rsid w:val="00D313B3"/>
    <w:rsid w:val="00D324AD"/>
    <w:rsid w:val="00D3292B"/>
    <w:rsid w:val="00D32AF4"/>
    <w:rsid w:val="00D32CA2"/>
    <w:rsid w:val="00D32DA5"/>
    <w:rsid w:val="00D33B4D"/>
    <w:rsid w:val="00D33F02"/>
    <w:rsid w:val="00D34C28"/>
    <w:rsid w:val="00D3502B"/>
    <w:rsid w:val="00D35291"/>
    <w:rsid w:val="00D358F7"/>
    <w:rsid w:val="00D35BA6"/>
    <w:rsid w:val="00D35D03"/>
    <w:rsid w:val="00D36376"/>
    <w:rsid w:val="00D36B1E"/>
    <w:rsid w:val="00D36E67"/>
    <w:rsid w:val="00D36F4E"/>
    <w:rsid w:val="00D37EF5"/>
    <w:rsid w:val="00D419C9"/>
    <w:rsid w:val="00D428B9"/>
    <w:rsid w:val="00D43246"/>
    <w:rsid w:val="00D438CD"/>
    <w:rsid w:val="00D43ED2"/>
    <w:rsid w:val="00D45750"/>
    <w:rsid w:val="00D457EA"/>
    <w:rsid w:val="00D45C42"/>
    <w:rsid w:val="00D46695"/>
    <w:rsid w:val="00D47480"/>
    <w:rsid w:val="00D507CD"/>
    <w:rsid w:val="00D50FC2"/>
    <w:rsid w:val="00D52A7D"/>
    <w:rsid w:val="00D52E54"/>
    <w:rsid w:val="00D52FF5"/>
    <w:rsid w:val="00D53491"/>
    <w:rsid w:val="00D54CF1"/>
    <w:rsid w:val="00D54ED4"/>
    <w:rsid w:val="00D55711"/>
    <w:rsid w:val="00D55AC3"/>
    <w:rsid w:val="00D55F2F"/>
    <w:rsid w:val="00D56638"/>
    <w:rsid w:val="00D568B8"/>
    <w:rsid w:val="00D56A6D"/>
    <w:rsid w:val="00D56DE4"/>
    <w:rsid w:val="00D56DFA"/>
    <w:rsid w:val="00D57076"/>
    <w:rsid w:val="00D570C1"/>
    <w:rsid w:val="00D574A7"/>
    <w:rsid w:val="00D600FC"/>
    <w:rsid w:val="00D60E22"/>
    <w:rsid w:val="00D61302"/>
    <w:rsid w:val="00D6130E"/>
    <w:rsid w:val="00D6247E"/>
    <w:rsid w:val="00D62A04"/>
    <w:rsid w:val="00D62AB5"/>
    <w:rsid w:val="00D62F4D"/>
    <w:rsid w:val="00D6447A"/>
    <w:rsid w:val="00D64906"/>
    <w:rsid w:val="00D652D9"/>
    <w:rsid w:val="00D65649"/>
    <w:rsid w:val="00D65F57"/>
    <w:rsid w:val="00D666B8"/>
    <w:rsid w:val="00D67A95"/>
    <w:rsid w:val="00D70220"/>
    <w:rsid w:val="00D706D4"/>
    <w:rsid w:val="00D70B1A"/>
    <w:rsid w:val="00D70BE7"/>
    <w:rsid w:val="00D70DDA"/>
    <w:rsid w:val="00D70E3D"/>
    <w:rsid w:val="00D7152F"/>
    <w:rsid w:val="00D71CB6"/>
    <w:rsid w:val="00D73502"/>
    <w:rsid w:val="00D7397B"/>
    <w:rsid w:val="00D73AD9"/>
    <w:rsid w:val="00D75F60"/>
    <w:rsid w:val="00D763BA"/>
    <w:rsid w:val="00D775EE"/>
    <w:rsid w:val="00D806CE"/>
    <w:rsid w:val="00D80877"/>
    <w:rsid w:val="00D80944"/>
    <w:rsid w:val="00D809B3"/>
    <w:rsid w:val="00D80A9E"/>
    <w:rsid w:val="00D80C29"/>
    <w:rsid w:val="00D81AD9"/>
    <w:rsid w:val="00D82A4F"/>
    <w:rsid w:val="00D8316D"/>
    <w:rsid w:val="00D83B51"/>
    <w:rsid w:val="00D83C7B"/>
    <w:rsid w:val="00D84ECA"/>
    <w:rsid w:val="00D8525E"/>
    <w:rsid w:val="00D85E18"/>
    <w:rsid w:val="00D86E32"/>
    <w:rsid w:val="00D87359"/>
    <w:rsid w:val="00D87E66"/>
    <w:rsid w:val="00D9041B"/>
    <w:rsid w:val="00D90907"/>
    <w:rsid w:val="00D90B4D"/>
    <w:rsid w:val="00D90DA7"/>
    <w:rsid w:val="00D90DBB"/>
    <w:rsid w:val="00D90DF8"/>
    <w:rsid w:val="00D9134A"/>
    <w:rsid w:val="00D9141D"/>
    <w:rsid w:val="00D9160D"/>
    <w:rsid w:val="00D91772"/>
    <w:rsid w:val="00D91821"/>
    <w:rsid w:val="00D923C9"/>
    <w:rsid w:val="00D9416B"/>
    <w:rsid w:val="00D9463D"/>
    <w:rsid w:val="00D946C9"/>
    <w:rsid w:val="00D94CF3"/>
    <w:rsid w:val="00D9529A"/>
    <w:rsid w:val="00D95378"/>
    <w:rsid w:val="00D95D70"/>
    <w:rsid w:val="00D967A8"/>
    <w:rsid w:val="00D969B5"/>
    <w:rsid w:val="00D97057"/>
    <w:rsid w:val="00D97F4D"/>
    <w:rsid w:val="00DA0259"/>
    <w:rsid w:val="00DA058E"/>
    <w:rsid w:val="00DA0B3E"/>
    <w:rsid w:val="00DA2A51"/>
    <w:rsid w:val="00DA3F02"/>
    <w:rsid w:val="00DA512C"/>
    <w:rsid w:val="00DA5213"/>
    <w:rsid w:val="00DA5A00"/>
    <w:rsid w:val="00DA5D6F"/>
    <w:rsid w:val="00DA6765"/>
    <w:rsid w:val="00DA7A12"/>
    <w:rsid w:val="00DA7A57"/>
    <w:rsid w:val="00DB003C"/>
    <w:rsid w:val="00DB01C1"/>
    <w:rsid w:val="00DB079E"/>
    <w:rsid w:val="00DB1552"/>
    <w:rsid w:val="00DB1E91"/>
    <w:rsid w:val="00DB1ED8"/>
    <w:rsid w:val="00DB2701"/>
    <w:rsid w:val="00DB2FC7"/>
    <w:rsid w:val="00DB4410"/>
    <w:rsid w:val="00DB47B1"/>
    <w:rsid w:val="00DB4C3C"/>
    <w:rsid w:val="00DB5117"/>
    <w:rsid w:val="00DB51C2"/>
    <w:rsid w:val="00DB541B"/>
    <w:rsid w:val="00DB5E79"/>
    <w:rsid w:val="00DB6031"/>
    <w:rsid w:val="00DB664A"/>
    <w:rsid w:val="00DB7463"/>
    <w:rsid w:val="00DB77F2"/>
    <w:rsid w:val="00DC040A"/>
    <w:rsid w:val="00DC14AF"/>
    <w:rsid w:val="00DC1720"/>
    <w:rsid w:val="00DC3358"/>
    <w:rsid w:val="00DC3633"/>
    <w:rsid w:val="00DC399B"/>
    <w:rsid w:val="00DC4108"/>
    <w:rsid w:val="00DC4A69"/>
    <w:rsid w:val="00DC4EC7"/>
    <w:rsid w:val="00DC4F64"/>
    <w:rsid w:val="00DC50C5"/>
    <w:rsid w:val="00DC50C6"/>
    <w:rsid w:val="00DC64A7"/>
    <w:rsid w:val="00DC7E10"/>
    <w:rsid w:val="00DD07DD"/>
    <w:rsid w:val="00DD0953"/>
    <w:rsid w:val="00DD1291"/>
    <w:rsid w:val="00DD139B"/>
    <w:rsid w:val="00DD1A95"/>
    <w:rsid w:val="00DD1B03"/>
    <w:rsid w:val="00DD1C03"/>
    <w:rsid w:val="00DD298C"/>
    <w:rsid w:val="00DD2C81"/>
    <w:rsid w:val="00DD300B"/>
    <w:rsid w:val="00DD39E0"/>
    <w:rsid w:val="00DD3C2D"/>
    <w:rsid w:val="00DD4875"/>
    <w:rsid w:val="00DD4876"/>
    <w:rsid w:val="00DD4B62"/>
    <w:rsid w:val="00DD5AB7"/>
    <w:rsid w:val="00DD6B51"/>
    <w:rsid w:val="00DD7522"/>
    <w:rsid w:val="00DE074D"/>
    <w:rsid w:val="00DE2346"/>
    <w:rsid w:val="00DE2496"/>
    <w:rsid w:val="00DE3708"/>
    <w:rsid w:val="00DE3E35"/>
    <w:rsid w:val="00DE483C"/>
    <w:rsid w:val="00DE4F49"/>
    <w:rsid w:val="00DE5056"/>
    <w:rsid w:val="00DE64E5"/>
    <w:rsid w:val="00DE66F0"/>
    <w:rsid w:val="00DE7099"/>
    <w:rsid w:val="00DE76B4"/>
    <w:rsid w:val="00DE7ACC"/>
    <w:rsid w:val="00DF0FAA"/>
    <w:rsid w:val="00DF10DD"/>
    <w:rsid w:val="00DF18DA"/>
    <w:rsid w:val="00DF2975"/>
    <w:rsid w:val="00DF2CB4"/>
    <w:rsid w:val="00DF3367"/>
    <w:rsid w:val="00DF341B"/>
    <w:rsid w:val="00DF39E9"/>
    <w:rsid w:val="00DF431B"/>
    <w:rsid w:val="00DF5805"/>
    <w:rsid w:val="00DF5994"/>
    <w:rsid w:val="00DF600C"/>
    <w:rsid w:val="00DF6912"/>
    <w:rsid w:val="00DF74D9"/>
    <w:rsid w:val="00E002D2"/>
    <w:rsid w:val="00E00AD7"/>
    <w:rsid w:val="00E010FB"/>
    <w:rsid w:val="00E01891"/>
    <w:rsid w:val="00E02E56"/>
    <w:rsid w:val="00E0360B"/>
    <w:rsid w:val="00E03640"/>
    <w:rsid w:val="00E03A96"/>
    <w:rsid w:val="00E04B65"/>
    <w:rsid w:val="00E05793"/>
    <w:rsid w:val="00E05CBA"/>
    <w:rsid w:val="00E05D56"/>
    <w:rsid w:val="00E0632D"/>
    <w:rsid w:val="00E070D0"/>
    <w:rsid w:val="00E079B8"/>
    <w:rsid w:val="00E105A9"/>
    <w:rsid w:val="00E10686"/>
    <w:rsid w:val="00E108B6"/>
    <w:rsid w:val="00E11223"/>
    <w:rsid w:val="00E11361"/>
    <w:rsid w:val="00E1199B"/>
    <w:rsid w:val="00E12DBB"/>
    <w:rsid w:val="00E12F9A"/>
    <w:rsid w:val="00E13BFE"/>
    <w:rsid w:val="00E14355"/>
    <w:rsid w:val="00E1497E"/>
    <w:rsid w:val="00E15056"/>
    <w:rsid w:val="00E15633"/>
    <w:rsid w:val="00E15CA8"/>
    <w:rsid w:val="00E15DB1"/>
    <w:rsid w:val="00E1648E"/>
    <w:rsid w:val="00E164B8"/>
    <w:rsid w:val="00E17393"/>
    <w:rsid w:val="00E17552"/>
    <w:rsid w:val="00E2049E"/>
    <w:rsid w:val="00E20ED2"/>
    <w:rsid w:val="00E210E6"/>
    <w:rsid w:val="00E21B03"/>
    <w:rsid w:val="00E22062"/>
    <w:rsid w:val="00E22445"/>
    <w:rsid w:val="00E22B51"/>
    <w:rsid w:val="00E2360A"/>
    <w:rsid w:val="00E2476C"/>
    <w:rsid w:val="00E25387"/>
    <w:rsid w:val="00E25589"/>
    <w:rsid w:val="00E25C24"/>
    <w:rsid w:val="00E26047"/>
    <w:rsid w:val="00E260A3"/>
    <w:rsid w:val="00E26C67"/>
    <w:rsid w:val="00E26D15"/>
    <w:rsid w:val="00E27DDB"/>
    <w:rsid w:val="00E27F0E"/>
    <w:rsid w:val="00E30668"/>
    <w:rsid w:val="00E30C8E"/>
    <w:rsid w:val="00E31702"/>
    <w:rsid w:val="00E31B75"/>
    <w:rsid w:val="00E3242E"/>
    <w:rsid w:val="00E326D5"/>
    <w:rsid w:val="00E32AD4"/>
    <w:rsid w:val="00E330C9"/>
    <w:rsid w:val="00E3330E"/>
    <w:rsid w:val="00E3351F"/>
    <w:rsid w:val="00E33992"/>
    <w:rsid w:val="00E33AA7"/>
    <w:rsid w:val="00E33CE9"/>
    <w:rsid w:val="00E35096"/>
    <w:rsid w:val="00E355CD"/>
    <w:rsid w:val="00E357A2"/>
    <w:rsid w:val="00E361FF"/>
    <w:rsid w:val="00E40DAE"/>
    <w:rsid w:val="00E40F62"/>
    <w:rsid w:val="00E41BD9"/>
    <w:rsid w:val="00E43249"/>
    <w:rsid w:val="00E43391"/>
    <w:rsid w:val="00E436A2"/>
    <w:rsid w:val="00E458D8"/>
    <w:rsid w:val="00E46D3E"/>
    <w:rsid w:val="00E50139"/>
    <w:rsid w:val="00E5093C"/>
    <w:rsid w:val="00E5189E"/>
    <w:rsid w:val="00E518A7"/>
    <w:rsid w:val="00E5246F"/>
    <w:rsid w:val="00E527A8"/>
    <w:rsid w:val="00E529F5"/>
    <w:rsid w:val="00E5356B"/>
    <w:rsid w:val="00E53E00"/>
    <w:rsid w:val="00E541A9"/>
    <w:rsid w:val="00E54221"/>
    <w:rsid w:val="00E54B18"/>
    <w:rsid w:val="00E54C39"/>
    <w:rsid w:val="00E550F4"/>
    <w:rsid w:val="00E5544F"/>
    <w:rsid w:val="00E55675"/>
    <w:rsid w:val="00E5650A"/>
    <w:rsid w:val="00E56BD0"/>
    <w:rsid w:val="00E56D89"/>
    <w:rsid w:val="00E570D0"/>
    <w:rsid w:val="00E574EC"/>
    <w:rsid w:val="00E57F9C"/>
    <w:rsid w:val="00E60822"/>
    <w:rsid w:val="00E60E16"/>
    <w:rsid w:val="00E615F9"/>
    <w:rsid w:val="00E6193C"/>
    <w:rsid w:val="00E61B5F"/>
    <w:rsid w:val="00E62BC2"/>
    <w:rsid w:val="00E63D1F"/>
    <w:rsid w:val="00E63DAA"/>
    <w:rsid w:val="00E642B2"/>
    <w:rsid w:val="00E6699D"/>
    <w:rsid w:val="00E66F17"/>
    <w:rsid w:val="00E674CB"/>
    <w:rsid w:val="00E67E8B"/>
    <w:rsid w:val="00E7007C"/>
    <w:rsid w:val="00E7039A"/>
    <w:rsid w:val="00E705CD"/>
    <w:rsid w:val="00E7221D"/>
    <w:rsid w:val="00E723A9"/>
    <w:rsid w:val="00E723C7"/>
    <w:rsid w:val="00E7261F"/>
    <w:rsid w:val="00E72BCC"/>
    <w:rsid w:val="00E73123"/>
    <w:rsid w:val="00E7354C"/>
    <w:rsid w:val="00E74A51"/>
    <w:rsid w:val="00E74DDA"/>
    <w:rsid w:val="00E75DBC"/>
    <w:rsid w:val="00E7615F"/>
    <w:rsid w:val="00E762BD"/>
    <w:rsid w:val="00E76AE0"/>
    <w:rsid w:val="00E76E0B"/>
    <w:rsid w:val="00E76EF2"/>
    <w:rsid w:val="00E77090"/>
    <w:rsid w:val="00E805E2"/>
    <w:rsid w:val="00E81A87"/>
    <w:rsid w:val="00E82DAF"/>
    <w:rsid w:val="00E83948"/>
    <w:rsid w:val="00E83CF9"/>
    <w:rsid w:val="00E84238"/>
    <w:rsid w:val="00E84B3C"/>
    <w:rsid w:val="00E85195"/>
    <w:rsid w:val="00E85748"/>
    <w:rsid w:val="00E862BF"/>
    <w:rsid w:val="00E8737D"/>
    <w:rsid w:val="00E9273B"/>
    <w:rsid w:val="00E92974"/>
    <w:rsid w:val="00E92F98"/>
    <w:rsid w:val="00E9331D"/>
    <w:rsid w:val="00E9393B"/>
    <w:rsid w:val="00E94732"/>
    <w:rsid w:val="00E95125"/>
    <w:rsid w:val="00E95322"/>
    <w:rsid w:val="00E95490"/>
    <w:rsid w:val="00E957CC"/>
    <w:rsid w:val="00E9594A"/>
    <w:rsid w:val="00E967D7"/>
    <w:rsid w:val="00E968C1"/>
    <w:rsid w:val="00E96F2A"/>
    <w:rsid w:val="00E971F6"/>
    <w:rsid w:val="00E97F05"/>
    <w:rsid w:val="00EA0483"/>
    <w:rsid w:val="00EA0AB9"/>
    <w:rsid w:val="00EA0E54"/>
    <w:rsid w:val="00EA1769"/>
    <w:rsid w:val="00EA1C65"/>
    <w:rsid w:val="00EA285F"/>
    <w:rsid w:val="00EA3321"/>
    <w:rsid w:val="00EA3671"/>
    <w:rsid w:val="00EA3753"/>
    <w:rsid w:val="00EA4C50"/>
    <w:rsid w:val="00EA51FF"/>
    <w:rsid w:val="00EA7CB5"/>
    <w:rsid w:val="00EA7CBD"/>
    <w:rsid w:val="00EB0DEA"/>
    <w:rsid w:val="00EB1787"/>
    <w:rsid w:val="00EB1D2F"/>
    <w:rsid w:val="00EB1F63"/>
    <w:rsid w:val="00EB27BC"/>
    <w:rsid w:val="00EB330E"/>
    <w:rsid w:val="00EB4913"/>
    <w:rsid w:val="00EB4928"/>
    <w:rsid w:val="00EB4E81"/>
    <w:rsid w:val="00EB5D79"/>
    <w:rsid w:val="00EB6A32"/>
    <w:rsid w:val="00EB6A74"/>
    <w:rsid w:val="00EB7820"/>
    <w:rsid w:val="00EB7B6A"/>
    <w:rsid w:val="00EB7E0A"/>
    <w:rsid w:val="00EC0D2E"/>
    <w:rsid w:val="00EC258D"/>
    <w:rsid w:val="00EC277F"/>
    <w:rsid w:val="00EC2C6D"/>
    <w:rsid w:val="00EC33A0"/>
    <w:rsid w:val="00EC376A"/>
    <w:rsid w:val="00EC42A4"/>
    <w:rsid w:val="00EC4836"/>
    <w:rsid w:val="00EC5088"/>
    <w:rsid w:val="00EC699B"/>
    <w:rsid w:val="00EC701A"/>
    <w:rsid w:val="00EC75C8"/>
    <w:rsid w:val="00EC7990"/>
    <w:rsid w:val="00EC7EBE"/>
    <w:rsid w:val="00ED04BC"/>
    <w:rsid w:val="00ED11CB"/>
    <w:rsid w:val="00ED145B"/>
    <w:rsid w:val="00ED1F4D"/>
    <w:rsid w:val="00ED1FE9"/>
    <w:rsid w:val="00ED2186"/>
    <w:rsid w:val="00ED2304"/>
    <w:rsid w:val="00ED2787"/>
    <w:rsid w:val="00ED2EAF"/>
    <w:rsid w:val="00ED3674"/>
    <w:rsid w:val="00ED5E38"/>
    <w:rsid w:val="00ED667A"/>
    <w:rsid w:val="00ED670C"/>
    <w:rsid w:val="00ED6AD6"/>
    <w:rsid w:val="00ED6CC5"/>
    <w:rsid w:val="00ED7CB6"/>
    <w:rsid w:val="00EE0CD2"/>
    <w:rsid w:val="00EE15EF"/>
    <w:rsid w:val="00EE2CF6"/>
    <w:rsid w:val="00EE3490"/>
    <w:rsid w:val="00EE3EED"/>
    <w:rsid w:val="00EE4490"/>
    <w:rsid w:val="00EE48E1"/>
    <w:rsid w:val="00EE4EEF"/>
    <w:rsid w:val="00EE5594"/>
    <w:rsid w:val="00EE6832"/>
    <w:rsid w:val="00EE699D"/>
    <w:rsid w:val="00EE7308"/>
    <w:rsid w:val="00EE7507"/>
    <w:rsid w:val="00EE7BDC"/>
    <w:rsid w:val="00EF02CB"/>
    <w:rsid w:val="00EF0483"/>
    <w:rsid w:val="00EF0ADA"/>
    <w:rsid w:val="00EF110B"/>
    <w:rsid w:val="00EF1755"/>
    <w:rsid w:val="00EF2216"/>
    <w:rsid w:val="00EF364D"/>
    <w:rsid w:val="00EF3A1D"/>
    <w:rsid w:val="00EF3D58"/>
    <w:rsid w:val="00EF7063"/>
    <w:rsid w:val="00EF7084"/>
    <w:rsid w:val="00F00A98"/>
    <w:rsid w:val="00F013D9"/>
    <w:rsid w:val="00F02BE0"/>
    <w:rsid w:val="00F02C35"/>
    <w:rsid w:val="00F0310A"/>
    <w:rsid w:val="00F0399D"/>
    <w:rsid w:val="00F03B39"/>
    <w:rsid w:val="00F04052"/>
    <w:rsid w:val="00F04C68"/>
    <w:rsid w:val="00F04FED"/>
    <w:rsid w:val="00F06061"/>
    <w:rsid w:val="00F06673"/>
    <w:rsid w:val="00F06961"/>
    <w:rsid w:val="00F0707A"/>
    <w:rsid w:val="00F0728F"/>
    <w:rsid w:val="00F10092"/>
    <w:rsid w:val="00F1066F"/>
    <w:rsid w:val="00F11BA2"/>
    <w:rsid w:val="00F13E9E"/>
    <w:rsid w:val="00F1415F"/>
    <w:rsid w:val="00F14201"/>
    <w:rsid w:val="00F14372"/>
    <w:rsid w:val="00F1508C"/>
    <w:rsid w:val="00F15383"/>
    <w:rsid w:val="00F1578E"/>
    <w:rsid w:val="00F16A7A"/>
    <w:rsid w:val="00F16D7D"/>
    <w:rsid w:val="00F175DF"/>
    <w:rsid w:val="00F177CD"/>
    <w:rsid w:val="00F17EF8"/>
    <w:rsid w:val="00F20009"/>
    <w:rsid w:val="00F200EA"/>
    <w:rsid w:val="00F20439"/>
    <w:rsid w:val="00F20459"/>
    <w:rsid w:val="00F204E8"/>
    <w:rsid w:val="00F20763"/>
    <w:rsid w:val="00F21774"/>
    <w:rsid w:val="00F217C9"/>
    <w:rsid w:val="00F220F7"/>
    <w:rsid w:val="00F227C8"/>
    <w:rsid w:val="00F23033"/>
    <w:rsid w:val="00F230B2"/>
    <w:rsid w:val="00F23672"/>
    <w:rsid w:val="00F23CB7"/>
    <w:rsid w:val="00F23DD7"/>
    <w:rsid w:val="00F23F17"/>
    <w:rsid w:val="00F24106"/>
    <w:rsid w:val="00F24DEF"/>
    <w:rsid w:val="00F257B5"/>
    <w:rsid w:val="00F25CAD"/>
    <w:rsid w:val="00F2634D"/>
    <w:rsid w:val="00F26821"/>
    <w:rsid w:val="00F26FCB"/>
    <w:rsid w:val="00F2720E"/>
    <w:rsid w:val="00F2729C"/>
    <w:rsid w:val="00F27642"/>
    <w:rsid w:val="00F2776D"/>
    <w:rsid w:val="00F30373"/>
    <w:rsid w:val="00F30593"/>
    <w:rsid w:val="00F3077B"/>
    <w:rsid w:val="00F31FDE"/>
    <w:rsid w:val="00F321CF"/>
    <w:rsid w:val="00F33196"/>
    <w:rsid w:val="00F33552"/>
    <w:rsid w:val="00F336E0"/>
    <w:rsid w:val="00F346E6"/>
    <w:rsid w:val="00F34F53"/>
    <w:rsid w:val="00F353AD"/>
    <w:rsid w:val="00F353AE"/>
    <w:rsid w:val="00F35C1D"/>
    <w:rsid w:val="00F365B5"/>
    <w:rsid w:val="00F369E4"/>
    <w:rsid w:val="00F36C34"/>
    <w:rsid w:val="00F36F42"/>
    <w:rsid w:val="00F40864"/>
    <w:rsid w:val="00F4153A"/>
    <w:rsid w:val="00F418DC"/>
    <w:rsid w:val="00F419C1"/>
    <w:rsid w:val="00F42BF3"/>
    <w:rsid w:val="00F43168"/>
    <w:rsid w:val="00F438C5"/>
    <w:rsid w:val="00F43A79"/>
    <w:rsid w:val="00F43DEB"/>
    <w:rsid w:val="00F44895"/>
    <w:rsid w:val="00F452E6"/>
    <w:rsid w:val="00F45BE3"/>
    <w:rsid w:val="00F47ED2"/>
    <w:rsid w:val="00F503FF"/>
    <w:rsid w:val="00F50585"/>
    <w:rsid w:val="00F516E3"/>
    <w:rsid w:val="00F539DD"/>
    <w:rsid w:val="00F53A8A"/>
    <w:rsid w:val="00F543CB"/>
    <w:rsid w:val="00F547C1"/>
    <w:rsid w:val="00F547D7"/>
    <w:rsid w:val="00F54832"/>
    <w:rsid w:val="00F55FBD"/>
    <w:rsid w:val="00F5623B"/>
    <w:rsid w:val="00F56792"/>
    <w:rsid w:val="00F5716A"/>
    <w:rsid w:val="00F57885"/>
    <w:rsid w:val="00F6128C"/>
    <w:rsid w:val="00F61746"/>
    <w:rsid w:val="00F64D13"/>
    <w:rsid w:val="00F66144"/>
    <w:rsid w:val="00F66410"/>
    <w:rsid w:val="00F6679E"/>
    <w:rsid w:val="00F6713F"/>
    <w:rsid w:val="00F6739B"/>
    <w:rsid w:val="00F700DA"/>
    <w:rsid w:val="00F7370D"/>
    <w:rsid w:val="00F74583"/>
    <w:rsid w:val="00F74B51"/>
    <w:rsid w:val="00F75E3E"/>
    <w:rsid w:val="00F75F49"/>
    <w:rsid w:val="00F75FD9"/>
    <w:rsid w:val="00F7608C"/>
    <w:rsid w:val="00F771C3"/>
    <w:rsid w:val="00F77B6A"/>
    <w:rsid w:val="00F809E9"/>
    <w:rsid w:val="00F8135F"/>
    <w:rsid w:val="00F81362"/>
    <w:rsid w:val="00F8254B"/>
    <w:rsid w:val="00F829F8"/>
    <w:rsid w:val="00F830CF"/>
    <w:rsid w:val="00F837AA"/>
    <w:rsid w:val="00F84053"/>
    <w:rsid w:val="00F854EE"/>
    <w:rsid w:val="00F858A2"/>
    <w:rsid w:val="00F85B7A"/>
    <w:rsid w:val="00F91353"/>
    <w:rsid w:val="00F920E0"/>
    <w:rsid w:val="00F923E0"/>
    <w:rsid w:val="00F930F3"/>
    <w:rsid w:val="00F93412"/>
    <w:rsid w:val="00F93CCC"/>
    <w:rsid w:val="00F93DEE"/>
    <w:rsid w:val="00F93E16"/>
    <w:rsid w:val="00F93E22"/>
    <w:rsid w:val="00F93F4D"/>
    <w:rsid w:val="00F949BA"/>
    <w:rsid w:val="00F9597D"/>
    <w:rsid w:val="00F9676E"/>
    <w:rsid w:val="00F9684A"/>
    <w:rsid w:val="00F9687B"/>
    <w:rsid w:val="00F9793D"/>
    <w:rsid w:val="00FA0825"/>
    <w:rsid w:val="00FA08AD"/>
    <w:rsid w:val="00FA09FD"/>
    <w:rsid w:val="00FA0D42"/>
    <w:rsid w:val="00FA1C25"/>
    <w:rsid w:val="00FA24DA"/>
    <w:rsid w:val="00FA2F27"/>
    <w:rsid w:val="00FA4150"/>
    <w:rsid w:val="00FA4841"/>
    <w:rsid w:val="00FA50C2"/>
    <w:rsid w:val="00FA5465"/>
    <w:rsid w:val="00FA5766"/>
    <w:rsid w:val="00FA5B4E"/>
    <w:rsid w:val="00FA71E1"/>
    <w:rsid w:val="00FA7D7D"/>
    <w:rsid w:val="00FB0080"/>
    <w:rsid w:val="00FB111E"/>
    <w:rsid w:val="00FB1DAD"/>
    <w:rsid w:val="00FB2598"/>
    <w:rsid w:val="00FB2E9B"/>
    <w:rsid w:val="00FB3396"/>
    <w:rsid w:val="00FB359A"/>
    <w:rsid w:val="00FB4A13"/>
    <w:rsid w:val="00FB5288"/>
    <w:rsid w:val="00FB53C4"/>
    <w:rsid w:val="00FB61AE"/>
    <w:rsid w:val="00FB620D"/>
    <w:rsid w:val="00FB64D5"/>
    <w:rsid w:val="00FB6A07"/>
    <w:rsid w:val="00FB6F67"/>
    <w:rsid w:val="00FB74CA"/>
    <w:rsid w:val="00FC0174"/>
    <w:rsid w:val="00FC0AD7"/>
    <w:rsid w:val="00FC0B29"/>
    <w:rsid w:val="00FC10DE"/>
    <w:rsid w:val="00FC1F71"/>
    <w:rsid w:val="00FC2D5F"/>
    <w:rsid w:val="00FC36F7"/>
    <w:rsid w:val="00FC3BDA"/>
    <w:rsid w:val="00FC3D79"/>
    <w:rsid w:val="00FC3D9D"/>
    <w:rsid w:val="00FC3DA1"/>
    <w:rsid w:val="00FC41CD"/>
    <w:rsid w:val="00FC42D1"/>
    <w:rsid w:val="00FC53FE"/>
    <w:rsid w:val="00FC5603"/>
    <w:rsid w:val="00FC5C6B"/>
    <w:rsid w:val="00FC5D62"/>
    <w:rsid w:val="00FC5F90"/>
    <w:rsid w:val="00FC76BC"/>
    <w:rsid w:val="00FD0B28"/>
    <w:rsid w:val="00FD163F"/>
    <w:rsid w:val="00FD17BA"/>
    <w:rsid w:val="00FD1E32"/>
    <w:rsid w:val="00FD2C9D"/>
    <w:rsid w:val="00FD2CDA"/>
    <w:rsid w:val="00FD2F74"/>
    <w:rsid w:val="00FD33AD"/>
    <w:rsid w:val="00FD3620"/>
    <w:rsid w:val="00FD382B"/>
    <w:rsid w:val="00FD3B19"/>
    <w:rsid w:val="00FD3B94"/>
    <w:rsid w:val="00FD40DD"/>
    <w:rsid w:val="00FD43B3"/>
    <w:rsid w:val="00FD4CB4"/>
    <w:rsid w:val="00FD58C7"/>
    <w:rsid w:val="00FD6295"/>
    <w:rsid w:val="00FD6ABA"/>
    <w:rsid w:val="00FD710E"/>
    <w:rsid w:val="00FD77D4"/>
    <w:rsid w:val="00FD7C1D"/>
    <w:rsid w:val="00FD7C7C"/>
    <w:rsid w:val="00FD7E6B"/>
    <w:rsid w:val="00FE031D"/>
    <w:rsid w:val="00FE1118"/>
    <w:rsid w:val="00FE1157"/>
    <w:rsid w:val="00FE1500"/>
    <w:rsid w:val="00FE3E52"/>
    <w:rsid w:val="00FE40E5"/>
    <w:rsid w:val="00FE4739"/>
    <w:rsid w:val="00FE4DB2"/>
    <w:rsid w:val="00FE4ED8"/>
    <w:rsid w:val="00FE681D"/>
    <w:rsid w:val="00FE74DF"/>
    <w:rsid w:val="00FE7DD6"/>
    <w:rsid w:val="00FF0DBD"/>
    <w:rsid w:val="00FF1329"/>
    <w:rsid w:val="00FF1FC1"/>
    <w:rsid w:val="00FF2100"/>
    <w:rsid w:val="00FF2D2D"/>
    <w:rsid w:val="00FF369C"/>
    <w:rsid w:val="00FF3A07"/>
    <w:rsid w:val="00FF3FEA"/>
    <w:rsid w:val="00FF4C68"/>
    <w:rsid w:val="00FF6A6D"/>
    <w:rsid w:val="02033EB7"/>
    <w:rsid w:val="05E48637"/>
    <w:rsid w:val="0869D51B"/>
    <w:rsid w:val="0A6A2819"/>
    <w:rsid w:val="0EB76024"/>
    <w:rsid w:val="207141D5"/>
    <w:rsid w:val="22E4C309"/>
    <w:rsid w:val="2427F90C"/>
    <w:rsid w:val="2611D15D"/>
    <w:rsid w:val="44910DB9"/>
    <w:rsid w:val="496A0D87"/>
    <w:rsid w:val="4D7E7DC3"/>
    <w:rsid w:val="5A293BD9"/>
    <w:rsid w:val="6023B316"/>
    <w:rsid w:val="619330BC"/>
    <w:rsid w:val="6E22DE17"/>
    <w:rsid w:val="71D3F428"/>
    <w:rsid w:val="74054259"/>
    <w:rsid w:val="741FBF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07"/>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paragraph" w:styleId="Heading5">
    <w:name w:val="heading 5"/>
    <w:basedOn w:val="Normal"/>
    <w:next w:val="Normal"/>
    <w:link w:val="Heading5Char"/>
    <w:uiPriority w:val="9"/>
    <w:semiHidden/>
    <w:unhideWhenUsed/>
    <w:qFormat/>
    <w:rsid w:val="00D806C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1199B"/>
    <w:pPr>
      <w:keepNext/>
      <w:keepLines/>
      <w:spacing w:before="40" w:after="0"/>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E1199B"/>
    <w:pPr>
      <w:keepNext/>
      <w:keepLines/>
      <w:spacing w:before="40" w:after="0"/>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E1199B"/>
    <w:pPr>
      <w:keepNext/>
      <w:keepLines/>
      <w:spacing w:before="0" w:after="0"/>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E1199B"/>
    <w:pPr>
      <w:keepNext/>
      <w:keepLines/>
      <w:spacing w:before="0" w:after="0"/>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1"/>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ontserrat" w:hAnsi="Montserrat"/>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uiPriority w:val="1"/>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ealthConsult,PBAC table,HTAtableplain,Lash Style Table,CMA Table Template,YHEC table,Dossier table,Section 3- footnotes,MSD Table Grid"/>
    <w:basedOn w:val="TableNormal"/>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Styl moj,Akapit z listą1,Figure_name"/>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link w:val="TableHeadingChar0"/>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aliases w:val="Page Footer"/>
    <w:basedOn w:val="Normal"/>
    <w:link w:val="FooterChar"/>
    <w:uiPriority w:val="99"/>
    <w:unhideWhenUsed/>
    <w:qFormat/>
    <w:rsid w:val="00B62DF2"/>
    <w:pPr>
      <w:tabs>
        <w:tab w:val="center" w:pos="4513"/>
        <w:tab w:val="right" w:pos="9026"/>
      </w:tabs>
      <w:spacing w:after="0" w:line="240" w:lineRule="auto"/>
    </w:pPr>
  </w:style>
  <w:style w:type="character" w:customStyle="1" w:styleId="FooterChar">
    <w:name w:val="Footer Char"/>
    <w:aliases w:val="Page 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Montserrat" w:hAnsi="Montserrat"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Montserrat" w:hAnsi="Montserrat"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Montserrat" w:hAnsi="Montserrat"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iPriority w:val="99"/>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uiPriority w:val="9"/>
    <w:qFormat/>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uiPriority w:val="10"/>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uiPriority w:val="10"/>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uiPriority w:val="11"/>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uiPriority w:val="11"/>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9"/>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character" w:customStyle="1" w:styleId="Heading5Char">
    <w:name w:val="Heading 5 Char"/>
    <w:basedOn w:val="DefaultParagraphFont"/>
    <w:link w:val="Heading5"/>
    <w:uiPriority w:val="9"/>
    <w:rsid w:val="00D806CE"/>
    <w:rPr>
      <w:rFonts w:asciiTheme="majorHAnsi" w:eastAsiaTheme="majorEastAsia" w:hAnsiTheme="majorHAnsi" w:cstheme="majorBidi"/>
      <w:color w:val="2E74B5" w:themeColor="accent1" w:themeShade="BF"/>
    </w:rPr>
  </w:style>
  <w:style w:type="table" w:customStyle="1" w:styleId="HealthConsult1">
    <w:name w:val="HealthConsult1"/>
    <w:basedOn w:val="TableNormal"/>
    <w:next w:val="TableGrid"/>
    <w:uiPriority w:val="39"/>
    <w:rsid w:val="00D806CE"/>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0">
    <w:name w:val="Table Heading Char"/>
    <w:basedOn w:val="DefaultParagraphFont"/>
    <w:link w:val="TableHeading0"/>
    <w:locked/>
    <w:rsid w:val="00D806CE"/>
    <w:rPr>
      <w:rFonts w:ascii="Arial Narrow" w:hAnsi="Arial Narrow"/>
      <w:b/>
      <w:sz w:val="20"/>
    </w:rPr>
  </w:style>
  <w:style w:type="paragraph" w:styleId="BodyText">
    <w:name w:val="Body Text"/>
    <w:basedOn w:val="Normal"/>
    <w:link w:val="BodyTextChar"/>
    <w:uiPriority w:val="99"/>
    <w:unhideWhenUsed/>
    <w:qFormat/>
    <w:rsid w:val="001F758A"/>
    <w:pPr>
      <w:jc w:val="both"/>
    </w:pPr>
    <w:rPr>
      <w:rFonts w:asciiTheme="minorHAnsi" w:hAnsiTheme="minorHAnsi"/>
    </w:rPr>
  </w:style>
  <w:style w:type="character" w:customStyle="1" w:styleId="BodyTextChar">
    <w:name w:val="Body Text Char"/>
    <w:basedOn w:val="DefaultParagraphFont"/>
    <w:link w:val="BodyText"/>
    <w:uiPriority w:val="99"/>
    <w:rsid w:val="001F758A"/>
  </w:style>
  <w:style w:type="table" w:customStyle="1" w:styleId="AZTable11">
    <w:name w:val="AZ Table11"/>
    <w:basedOn w:val="TableNormal"/>
    <w:uiPriority w:val="99"/>
    <w:rsid w:val="0029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paragraph" w:customStyle="1" w:styleId="TableH29pt">
    <w:name w:val="Table H2 9pt"/>
    <w:basedOn w:val="BodyText"/>
    <w:next w:val="Tabletext0"/>
    <w:uiPriority w:val="4"/>
    <w:qFormat/>
    <w:rsid w:val="00813D6C"/>
    <w:pPr>
      <w:keepNext/>
      <w:keepLines/>
      <w:spacing w:before="20" w:after="20" w:line="240" w:lineRule="auto"/>
      <w:contextualSpacing/>
      <w:jc w:val="left"/>
    </w:pPr>
    <w:rPr>
      <w:rFonts w:ascii="Montserrat" w:eastAsia="Calibri" w:hAnsi="Montserrat" w:cs="Calibri"/>
      <w:b/>
      <w:sz w:val="18"/>
      <w:szCs w:val="20"/>
    </w:rPr>
  </w:style>
  <w:style w:type="paragraph" w:customStyle="1" w:styleId="TableFigNotes18">
    <w:name w:val="TableFigNotes+18"/>
    <w:basedOn w:val="Normal"/>
    <w:next w:val="BodyText"/>
    <w:link w:val="TableFigNotes18Char"/>
    <w:uiPriority w:val="4"/>
    <w:qFormat/>
    <w:rsid w:val="00813D6C"/>
    <w:pPr>
      <w:spacing w:before="60" w:after="360" w:line="276" w:lineRule="auto"/>
      <w:contextualSpacing/>
    </w:pPr>
    <w:rPr>
      <w:rFonts w:ascii="Montserrat" w:eastAsia="Calibri" w:hAnsi="Montserrat" w:cs="Calibri"/>
      <w:sz w:val="14"/>
      <w:szCs w:val="20"/>
    </w:rPr>
  </w:style>
  <w:style w:type="paragraph" w:customStyle="1" w:styleId="Tabletext9pt">
    <w:name w:val="Table text 9pt"/>
    <w:basedOn w:val="Tabletext0"/>
    <w:qFormat/>
    <w:rsid w:val="00813D6C"/>
    <w:pPr>
      <w:keepNext/>
      <w:keepLines/>
      <w:spacing w:before="20" w:after="20"/>
      <w:jc w:val="left"/>
    </w:pPr>
    <w:rPr>
      <w:rFonts w:ascii="Montserrat" w:eastAsia="Calibri" w:hAnsi="Montserrat" w:cs="Calibri"/>
      <w:sz w:val="18"/>
      <w:szCs w:val="16"/>
      <w:lang w:eastAsia="en-US"/>
    </w:rPr>
  </w:style>
  <w:style w:type="character" w:customStyle="1" w:styleId="TableFigNotes18Char">
    <w:name w:val="TableFigNotes+18 Char"/>
    <w:basedOn w:val="DefaultParagraphFont"/>
    <w:link w:val="TableFigNotes18"/>
    <w:uiPriority w:val="4"/>
    <w:locked/>
    <w:rsid w:val="00813D6C"/>
    <w:rPr>
      <w:rFonts w:ascii="Montserrat" w:eastAsia="Calibri" w:hAnsi="Montserrat" w:cs="Calibri"/>
      <w:sz w:val="14"/>
      <w:szCs w:val="20"/>
    </w:rPr>
  </w:style>
  <w:style w:type="table" w:customStyle="1" w:styleId="LashStyleTable1">
    <w:name w:val="Lash Style Table1"/>
    <w:basedOn w:val="TableNormal"/>
    <w:next w:val="TableGrid"/>
    <w:uiPriority w:val="59"/>
    <w:rsid w:val="00CE453D"/>
    <w:pPr>
      <w:spacing w:after="0" w:line="240" w:lineRule="auto"/>
    </w:pPr>
    <w:rPr>
      <w:rFonts w:eastAsia="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shStyleTable2">
    <w:name w:val="Lash Style Table2"/>
    <w:basedOn w:val="TableNormal"/>
    <w:next w:val="TableGrid"/>
    <w:uiPriority w:val="59"/>
    <w:rsid w:val="00CE453D"/>
    <w:pPr>
      <w:spacing w:after="0" w:line="240" w:lineRule="auto"/>
    </w:pPr>
    <w:rPr>
      <w:rFonts w:eastAsia="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2">
    <w:name w:val="Bullet+12"/>
    <w:basedOn w:val="Normal"/>
    <w:next w:val="BodyText"/>
    <w:uiPriority w:val="2"/>
    <w:qFormat/>
    <w:rsid w:val="003C4D6B"/>
    <w:pPr>
      <w:keepLines/>
      <w:numPr>
        <w:numId w:val="14"/>
      </w:numPr>
      <w:tabs>
        <w:tab w:val="left" w:pos="765"/>
      </w:tabs>
      <w:spacing w:before="0" w:after="240" w:line="288" w:lineRule="auto"/>
      <w:ind w:left="714" w:hanging="357"/>
    </w:pPr>
    <w:rPr>
      <w:rFonts w:ascii="Montserrat" w:eastAsia="Calibri" w:hAnsi="Montserrat" w:cs="Calibri"/>
      <w:sz w:val="18"/>
      <w:szCs w:val="20"/>
    </w:rPr>
  </w:style>
  <w:style w:type="table" w:customStyle="1" w:styleId="LashStyleTable3">
    <w:name w:val="Lash Style Table3"/>
    <w:basedOn w:val="TableNormal"/>
    <w:next w:val="TableGrid"/>
    <w:uiPriority w:val="59"/>
    <w:rsid w:val="003C4D6B"/>
    <w:pPr>
      <w:spacing w:after="0" w:line="240" w:lineRule="auto"/>
    </w:pPr>
    <w:rPr>
      <w:rFonts w:eastAsia="Calibri"/>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E7354C"/>
    <w:pPr>
      <w:spacing w:before="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7354C"/>
    <w:rPr>
      <w:rFonts w:ascii="Calibri" w:hAnsi="Calibri" w:cs="Calibri"/>
      <w:noProof/>
      <w:lang w:val="en-US"/>
    </w:rPr>
  </w:style>
  <w:style w:type="character" w:styleId="UnresolvedMention">
    <w:name w:val="Unresolved Mention"/>
    <w:basedOn w:val="DefaultParagraphFont"/>
    <w:uiPriority w:val="99"/>
    <w:semiHidden/>
    <w:unhideWhenUsed/>
    <w:rsid w:val="003158B0"/>
    <w:rPr>
      <w:color w:val="605E5C"/>
      <w:shd w:val="clear" w:color="auto" w:fill="E1DFDD"/>
    </w:rPr>
  </w:style>
  <w:style w:type="paragraph" w:customStyle="1" w:styleId="TableDash">
    <w:name w:val="TableDash"/>
    <w:basedOn w:val="TableText1"/>
    <w:rsid w:val="00A811D6"/>
    <w:pPr>
      <w:numPr>
        <w:numId w:val="20"/>
      </w:numPr>
      <w:tabs>
        <w:tab w:val="clear" w:pos="216"/>
        <w:tab w:val="num" w:pos="432"/>
      </w:tabs>
      <w:spacing w:before="60" w:after="60" w:line="240" w:lineRule="auto"/>
      <w:jc w:val="left"/>
    </w:pPr>
    <w:rPr>
      <w:rFonts w:ascii="Franklin Gothic Book" w:hAnsi="Franklin Gothic Book" w:cs="Times New Roman"/>
      <w:color w:val="000000"/>
      <w:sz w:val="21"/>
      <w:szCs w:val="21"/>
    </w:rPr>
  </w:style>
  <w:style w:type="paragraph" w:customStyle="1" w:styleId="BulletBeforeDash">
    <w:name w:val="BulletBeforeDash"/>
    <w:basedOn w:val="Normal"/>
    <w:rsid w:val="00A811D6"/>
    <w:pPr>
      <w:numPr>
        <w:numId w:val="21"/>
      </w:numPr>
      <w:spacing w:before="0" w:after="0" w:line="240" w:lineRule="auto"/>
    </w:pPr>
    <w:rPr>
      <w:rFonts w:eastAsia="Times New Roman" w:cs="Times New Roman"/>
      <w:color w:val="000000"/>
      <w:szCs w:val="20"/>
      <w:lang w:eastAsia="en-AU"/>
    </w:rPr>
  </w:style>
  <w:style w:type="paragraph" w:customStyle="1" w:styleId="NormalBeforeBullet0">
    <w:name w:val="NormalBeforeBullet"/>
    <w:basedOn w:val="Normal"/>
    <w:qFormat/>
    <w:rsid w:val="00A811D6"/>
    <w:pPr>
      <w:keepNext/>
      <w:spacing w:before="0" w:after="120" w:line="240" w:lineRule="auto"/>
    </w:pPr>
    <w:rPr>
      <w:rFonts w:eastAsia="Times New Roman" w:cs="Times New Roman"/>
      <w:color w:val="000000"/>
      <w:szCs w:val="20"/>
      <w:lang w:eastAsia="en-AU"/>
    </w:rPr>
  </w:style>
  <w:style w:type="paragraph" w:customStyle="1" w:styleId="BoxName0">
    <w:name w:val="BoxName"/>
    <w:basedOn w:val="Normal"/>
    <w:rsid w:val="00A811D6"/>
    <w:pPr>
      <w:keepNext/>
      <w:pBdr>
        <w:top w:val="single" w:sz="4" w:space="4" w:color="000000"/>
        <w:left w:val="single" w:sz="4" w:space="4" w:color="000000"/>
        <w:bottom w:val="single" w:sz="4" w:space="4" w:color="000000"/>
        <w:right w:val="single" w:sz="4" w:space="4" w:color="000000"/>
      </w:pBdr>
      <w:spacing w:before="240" w:after="240" w:line="240" w:lineRule="auto"/>
      <w:ind w:left="1077" w:hanging="1077"/>
    </w:pPr>
    <w:rPr>
      <w:rFonts w:eastAsia="Times New Roman" w:cs="Times New Roman"/>
      <w:b/>
      <w:bCs/>
      <w:color w:val="000000"/>
      <w:sz w:val="24"/>
      <w:szCs w:val="20"/>
      <w:lang w:eastAsia="en-AU"/>
    </w:rPr>
  </w:style>
  <w:style w:type="paragraph" w:customStyle="1" w:styleId="BoxHeading">
    <w:name w:val="BoxHeading"/>
    <w:basedOn w:val="Normal"/>
    <w:rsid w:val="00A811D6"/>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paragraph" w:customStyle="1" w:styleId="BoxBullet">
    <w:name w:val="BoxBullet"/>
    <w:basedOn w:val="Normal"/>
    <w:rsid w:val="00A811D6"/>
    <w:pPr>
      <w:numPr>
        <w:numId w:val="22"/>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character" w:customStyle="1" w:styleId="Superscript">
    <w:name w:val="Superscript"/>
    <w:basedOn w:val="DefaultParagraphFont"/>
    <w:uiPriority w:val="1"/>
    <w:rsid w:val="00A811D6"/>
    <w:rPr>
      <w:noProof/>
      <w:vertAlign w:val="superscript"/>
    </w:rPr>
  </w:style>
  <w:style w:type="character" w:styleId="Mention">
    <w:name w:val="Mention"/>
    <w:basedOn w:val="DefaultParagraphFont"/>
    <w:uiPriority w:val="99"/>
    <w:unhideWhenUsed/>
    <w:rsid w:val="007B3F66"/>
    <w:rPr>
      <w:color w:val="2B579A"/>
      <w:shd w:val="clear" w:color="auto" w:fill="E1DFDD"/>
    </w:rPr>
  </w:style>
  <w:style w:type="paragraph" w:customStyle="1" w:styleId="BulletLast">
    <w:name w:val="BulletLast"/>
    <w:basedOn w:val="Bullet"/>
    <w:qFormat/>
    <w:rsid w:val="0064140B"/>
    <w:pPr>
      <w:numPr>
        <w:numId w:val="0"/>
      </w:numPr>
      <w:spacing w:before="0" w:after="240"/>
      <w:ind w:left="786" w:hanging="360"/>
    </w:pPr>
    <w:rPr>
      <w:rFonts w:ascii="Franklin Gothic Book" w:eastAsia="Times New Roman" w:hAnsi="Franklin Gothic Book" w:cs="Times New Roman"/>
      <w:color w:val="000000"/>
      <w:szCs w:val="20"/>
      <w:lang w:eastAsia="en-AU"/>
    </w:rPr>
  </w:style>
  <w:style w:type="paragraph" w:customStyle="1" w:styleId="pf0">
    <w:name w:val="pf0"/>
    <w:basedOn w:val="Normal"/>
    <w:rsid w:val="00B91F5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B91F5F"/>
    <w:rPr>
      <w:rFonts w:ascii="Segoe UI" w:hAnsi="Segoe UI" w:cs="Segoe UI" w:hint="default"/>
      <w:sz w:val="18"/>
      <w:szCs w:val="18"/>
    </w:rPr>
  </w:style>
  <w:style w:type="character" w:customStyle="1" w:styleId="cf11">
    <w:name w:val="cf11"/>
    <w:basedOn w:val="DefaultParagraphFont"/>
    <w:rsid w:val="00B91F5F"/>
    <w:rPr>
      <w:rFonts w:ascii="Segoe UI" w:hAnsi="Segoe UI" w:cs="Segoe UI" w:hint="default"/>
      <w:sz w:val="18"/>
      <w:szCs w:val="18"/>
    </w:rPr>
  </w:style>
  <w:style w:type="character" w:customStyle="1" w:styleId="Heading6Char">
    <w:name w:val="Heading 6 Char"/>
    <w:basedOn w:val="DefaultParagraphFont"/>
    <w:link w:val="Heading6"/>
    <w:uiPriority w:val="9"/>
    <w:semiHidden/>
    <w:rsid w:val="00E1199B"/>
    <w:rPr>
      <w:rFonts w:eastAsiaTheme="majorEastAsia" w:cstheme="majorBidi"/>
      <w:i/>
      <w:iCs/>
      <w:color w:val="595959" w:themeColor="text1" w:themeTint="A6"/>
      <w:kern w:val="2"/>
      <w:lang w:val="en-GB"/>
      <w14:ligatures w14:val="standardContextual"/>
    </w:rPr>
  </w:style>
  <w:style w:type="character" w:customStyle="1" w:styleId="Heading7Char">
    <w:name w:val="Heading 7 Char"/>
    <w:basedOn w:val="DefaultParagraphFont"/>
    <w:link w:val="Heading7"/>
    <w:uiPriority w:val="9"/>
    <w:semiHidden/>
    <w:rsid w:val="00E1199B"/>
    <w:rPr>
      <w:rFonts w:eastAsiaTheme="majorEastAsia" w:cstheme="majorBidi"/>
      <w:color w:val="595959" w:themeColor="text1" w:themeTint="A6"/>
      <w:kern w:val="2"/>
      <w:lang w:val="en-GB"/>
      <w14:ligatures w14:val="standardContextual"/>
    </w:rPr>
  </w:style>
  <w:style w:type="character" w:customStyle="1" w:styleId="Heading8Char">
    <w:name w:val="Heading 8 Char"/>
    <w:basedOn w:val="DefaultParagraphFont"/>
    <w:link w:val="Heading8"/>
    <w:uiPriority w:val="9"/>
    <w:semiHidden/>
    <w:rsid w:val="00E1199B"/>
    <w:rPr>
      <w:rFonts w:eastAsiaTheme="majorEastAsia" w:cstheme="majorBidi"/>
      <w:i/>
      <w:iCs/>
      <w:color w:val="272727" w:themeColor="text1" w:themeTint="D8"/>
      <w:kern w:val="2"/>
      <w:lang w:val="en-GB"/>
      <w14:ligatures w14:val="standardContextual"/>
    </w:rPr>
  </w:style>
  <w:style w:type="character" w:customStyle="1" w:styleId="Heading9Char">
    <w:name w:val="Heading 9 Char"/>
    <w:basedOn w:val="DefaultParagraphFont"/>
    <w:link w:val="Heading9"/>
    <w:uiPriority w:val="9"/>
    <w:semiHidden/>
    <w:rsid w:val="00E1199B"/>
    <w:rPr>
      <w:rFonts w:eastAsiaTheme="majorEastAsia" w:cstheme="majorBidi"/>
      <w:color w:val="272727" w:themeColor="text1" w:themeTint="D8"/>
      <w:kern w:val="2"/>
      <w:lang w:val="en-GB"/>
      <w14:ligatures w14:val="standardContextual"/>
    </w:rPr>
  </w:style>
  <w:style w:type="paragraph" w:styleId="Quote">
    <w:name w:val="Quote"/>
    <w:basedOn w:val="Normal"/>
    <w:next w:val="Normal"/>
    <w:link w:val="QuoteChar"/>
    <w:uiPriority w:val="29"/>
    <w:qFormat/>
    <w:rsid w:val="00E1199B"/>
    <w:pPr>
      <w:spacing w:before="160"/>
      <w:jc w:val="center"/>
    </w:pPr>
    <w:rPr>
      <w:rFonts w:asciiTheme="minorHAnsi" w:hAnsiTheme="minorHAns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E1199B"/>
    <w:rPr>
      <w:i/>
      <w:iCs/>
      <w:color w:val="404040" w:themeColor="text1" w:themeTint="BF"/>
      <w:kern w:val="2"/>
      <w:lang w:val="en-GB"/>
      <w14:ligatures w14:val="standardContextual"/>
    </w:rPr>
  </w:style>
  <w:style w:type="character" w:styleId="IntenseEmphasis">
    <w:name w:val="Intense Emphasis"/>
    <w:basedOn w:val="DefaultParagraphFont"/>
    <w:uiPriority w:val="21"/>
    <w:qFormat/>
    <w:rsid w:val="00E1199B"/>
    <w:rPr>
      <w:i/>
      <w:iCs/>
      <w:color w:val="2E74B5" w:themeColor="accent1" w:themeShade="BF"/>
    </w:rPr>
  </w:style>
  <w:style w:type="paragraph" w:styleId="IntenseQuote">
    <w:name w:val="Intense Quote"/>
    <w:basedOn w:val="Normal"/>
    <w:next w:val="Normal"/>
    <w:link w:val="IntenseQuoteChar"/>
    <w:uiPriority w:val="30"/>
    <w:qFormat/>
    <w:rsid w:val="00E1199B"/>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hAnsiTheme="minorHAnsi"/>
      <w:i/>
      <w:iCs/>
      <w:color w:val="2E74B5"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E1199B"/>
    <w:rPr>
      <w:i/>
      <w:iCs/>
      <w:color w:val="2E74B5" w:themeColor="accent1" w:themeShade="BF"/>
      <w:kern w:val="2"/>
      <w:lang w:val="en-GB"/>
      <w14:ligatures w14:val="standardContextual"/>
    </w:rPr>
  </w:style>
  <w:style w:type="character" w:styleId="IntenseReference">
    <w:name w:val="Intense Reference"/>
    <w:basedOn w:val="DefaultParagraphFont"/>
    <w:uiPriority w:val="32"/>
    <w:qFormat/>
    <w:rsid w:val="00E1199B"/>
    <w:rPr>
      <w:b/>
      <w:bCs/>
      <w:smallCaps/>
      <w:color w:val="2E74B5" w:themeColor="accent1" w:themeShade="BF"/>
      <w:spacing w:val="5"/>
    </w:rPr>
  </w:style>
  <w:style w:type="character" w:customStyle="1" w:styleId="cf21">
    <w:name w:val="cf21"/>
    <w:basedOn w:val="DefaultParagraphFont"/>
    <w:rsid w:val="00E1199B"/>
    <w:rPr>
      <w:rFonts w:ascii="Segoe UI" w:hAnsi="Segoe UI" w:cs="Segoe UI" w:hint="default"/>
      <w:color w:val="846867"/>
      <w:sz w:val="18"/>
      <w:szCs w:val="18"/>
    </w:rPr>
  </w:style>
  <w:style w:type="paragraph" w:customStyle="1" w:styleId="paragraph">
    <w:name w:val="paragraph"/>
    <w:basedOn w:val="Normal"/>
    <w:rsid w:val="00295A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95AD6"/>
  </w:style>
  <w:style w:type="character" w:customStyle="1" w:styleId="eop">
    <w:name w:val="eop"/>
    <w:basedOn w:val="DefaultParagraphFont"/>
    <w:rsid w:val="00295AD6"/>
  </w:style>
  <w:style w:type="paragraph" w:styleId="NormalWeb">
    <w:name w:val="Normal (Web)"/>
    <w:basedOn w:val="Normal"/>
    <w:uiPriority w:val="99"/>
    <w:unhideWhenUsed/>
    <w:rsid w:val="006B102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03619127">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22200135">
      <w:bodyDiv w:val="1"/>
      <w:marLeft w:val="0"/>
      <w:marRight w:val="0"/>
      <w:marTop w:val="0"/>
      <w:marBottom w:val="0"/>
      <w:divBdr>
        <w:top w:val="none" w:sz="0" w:space="0" w:color="auto"/>
        <w:left w:val="none" w:sz="0" w:space="0" w:color="auto"/>
        <w:bottom w:val="none" w:sz="0" w:space="0" w:color="auto"/>
        <w:right w:val="none" w:sz="0" w:space="0" w:color="auto"/>
      </w:divBdr>
    </w:div>
    <w:div w:id="334916863">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651375830">
      <w:bodyDiv w:val="1"/>
      <w:marLeft w:val="0"/>
      <w:marRight w:val="0"/>
      <w:marTop w:val="0"/>
      <w:marBottom w:val="0"/>
      <w:divBdr>
        <w:top w:val="none" w:sz="0" w:space="0" w:color="auto"/>
        <w:left w:val="none" w:sz="0" w:space="0" w:color="auto"/>
        <w:bottom w:val="none" w:sz="0" w:space="0" w:color="auto"/>
        <w:right w:val="none" w:sz="0" w:space="0" w:color="auto"/>
      </w:divBdr>
    </w:div>
    <w:div w:id="666589302">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775562164">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55410110">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096513468">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59349005">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30382707">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29214547">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369984696">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487891610">
      <w:bodyDiv w:val="1"/>
      <w:marLeft w:val="0"/>
      <w:marRight w:val="0"/>
      <w:marTop w:val="0"/>
      <w:marBottom w:val="0"/>
      <w:divBdr>
        <w:top w:val="none" w:sz="0" w:space="0" w:color="auto"/>
        <w:left w:val="none" w:sz="0" w:space="0" w:color="auto"/>
        <w:bottom w:val="none" w:sz="0" w:space="0" w:color="auto"/>
        <w:right w:val="none" w:sz="0" w:space="0" w:color="auto"/>
      </w:divBdr>
    </w:div>
    <w:div w:id="1536846361">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85134346">
      <w:bodyDiv w:val="1"/>
      <w:marLeft w:val="0"/>
      <w:marRight w:val="0"/>
      <w:marTop w:val="0"/>
      <w:marBottom w:val="0"/>
      <w:divBdr>
        <w:top w:val="none" w:sz="0" w:space="0" w:color="auto"/>
        <w:left w:val="none" w:sz="0" w:space="0" w:color="auto"/>
        <w:bottom w:val="none" w:sz="0" w:space="0" w:color="auto"/>
        <w:right w:val="none" w:sz="0" w:space="0" w:color="auto"/>
      </w:divBdr>
    </w:div>
    <w:div w:id="1758362241">
      <w:bodyDiv w:val="1"/>
      <w:marLeft w:val="0"/>
      <w:marRight w:val="0"/>
      <w:marTop w:val="0"/>
      <w:marBottom w:val="0"/>
      <w:divBdr>
        <w:top w:val="none" w:sz="0" w:space="0" w:color="auto"/>
        <w:left w:val="none" w:sz="0" w:space="0" w:color="auto"/>
        <w:bottom w:val="none" w:sz="0" w:space="0" w:color="auto"/>
        <w:right w:val="none" w:sz="0" w:space="0" w:color="auto"/>
      </w:divBdr>
    </w:div>
    <w:div w:id="1772360292">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www.msac.gov.au/internet/msac/publishing.nsf/Content/1DDF3E302A42A014CA25894100061C2E/$File/1686.1%20Final%20PSD%20-%20July%202023%20-%20Updated.docx" TargetMode="External"/><Relationship Id="rId18" Type="http://schemas.openxmlformats.org/officeDocument/2006/relationships/hyperlink" Target="http://www.msac.gov.au/internet/msac/publishing.nsf/Content/1686.1-publi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pbs.gov.au/info/industry/listing/elements/pbac-meetings/psd/2013-07/erlotinib" TargetMode="External"/><Relationship Id="rId2" Type="http://schemas.openxmlformats.org/officeDocument/2006/relationships/numbering" Target="numbering.xml"/><Relationship Id="rId16" Type="http://schemas.openxmlformats.org/officeDocument/2006/relationships/hyperlink" Target="https://www.xe.com/currencyconverter/convert/?Amount=35866&amp;From=EUR&amp;To=AUD" TargetMode="External"/><Relationship Id="rId20" Type="http://schemas.openxmlformats.org/officeDocument/2006/relationships/hyperlink" Target="http://msac.gov.au/internet/msac/publishing.nsf/Content/Hom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1.health.gov.au/internet/msac/publishing.nsf/Content/46EBF5FE4400662ECA25876100090CF4/$File/1686%20Final%20PSD_Jul2022.pdf" TargetMode="External"/><Relationship Id="rId19" Type="http://schemas.openxmlformats.org/officeDocument/2006/relationships/hyperlink" Target="http://www.msac.gov.au/internet/msac/publishing.nsf/Content/1686.1-public" TargetMode="External"/><Relationship Id="rId4" Type="http://schemas.openxmlformats.org/officeDocument/2006/relationships/settings" Target="settings.xml"/><Relationship Id="rId9" Type="http://schemas.openxmlformats.org/officeDocument/2006/relationships/hyperlink" Target="http://www.msac.gov.au/internet/msac/publishing.nsf/Content/1686.1-public"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thejournalofprecisionmedicine.com/fda-approves-novartis-radiologand-pluvicto-for-psma-positive-mcrpc-with-imaging-cd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DC64-70D6-4571-857B-9D50DF91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21754</Words>
  <Characters>123998</Characters>
  <Application>Microsoft Office Word</Application>
  <DocSecurity>0</DocSecurity>
  <Lines>1033</Lines>
  <Paragraphs>290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145462</CharactersWithSpaces>
  <SharedDoc>false</SharedDoc>
  <HyperlinkBase/>
  <HLinks>
    <vt:vector size="60" baseType="variant">
      <vt:variant>
        <vt:i4>6684716</vt:i4>
      </vt:variant>
      <vt:variant>
        <vt:i4>209</vt:i4>
      </vt:variant>
      <vt:variant>
        <vt:i4>0</vt:i4>
      </vt:variant>
      <vt:variant>
        <vt:i4>5</vt:i4>
      </vt:variant>
      <vt:variant>
        <vt:lpwstr>http://msac.gov.au/internet/msac/publishing.nsf/Content/Home-1</vt:lpwstr>
      </vt:variant>
      <vt:variant>
        <vt:lpwstr/>
      </vt:variant>
      <vt:variant>
        <vt:i4>1507406</vt:i4>
      </vt:variant>
      <vt:variant>
        <vt:i4>206</vt:i4>
      </vt:variant>
      <vt:variant>
        <vt:i4>0</vt:i4>
      </vt:variant>
      <vt:variant>
        <vt:i4>5</vt:i4>
      </vt:variant>
      <vt:variant>
        <vt:lpwstr>http://www.msac.gov.au/internet/msac/publishing.nsf/Content/1686.1-public</vt:lpwstr>
      </vt:variant>
      <vt:variant>
        <vt:lpwstr/>
      </vt:variant>
      <vt:variant>
        <vt:i4>1507406</vt:i4>
      </vt:variant>
      <vt:variant>
        <vt:i4>203</vt:i4>
      </vt:variant>
      <vt:variant>
        <vt:i4>0</vt:i4>
      </vt:variant>
      <vt:variant>
        <vt:i4>5</vt:i4>
      </vt:variant>
      <vt:variant>
        <vt:lpwstr>http://www.msac.gov.au/internet/msac/publishing.nsf/Content/1686.1-public</vt:lpwstr>
      </vt:variant>
      <vt:variant>
        <vt:lpwstr/>
      </vt:variant>
      <vt:variant>
        <vt:i4>6029392</vt:i4>
      </vt:variant>
      <vt:variant>
        <vt:i4>190</vt:i4>
      </vt:variant>
      <vt:variant>
        <vt:i4>0</vt:i4>
      </vt:variant>
      <vt:variant>
        <vt:i4>5</vt:i4>
      </vt:variant>
      <vt:variant>
        <vt:lpwstr>https://www.pbs.gov.au/info/industry/listing/elements/pbac-meetings/psd/2013-07/erlotinib</vt:lpwstr>
      </vt:variant>
      <vt:variant>
        <vt:lpwstr/>
      </vt:variant>
      <vt:variant>
        <vt:i4>2424943</vt:i4>
      </vt:variant>
      <vt:variant>
        <vt:i4>165</vt:i4>
      </vt:variant>
      <vt:variant>
        <vt:i4>0</vt:i4>
      </vt:variant>
      <vt:variant>
        <vt:i4>5</vt:i4>
      </vt:variant>
      <vt:variant>
        <vt:lpwstr>https://www.xe.com/currencyconverter/convert/?Amount=35866&amp;From=EUR&amp;To=AUD</vt:lpwstr>
      </vt:variant>
      <vt:variant>
        <vt:lpwstr/>
      </vt:variant>
      <vt:variant>
        <vt:i4>3407976</vt:i4>
      </vt:variant>
      <vt:variant>
        <vt:i4>42</vt:i4>
      </vt:variant>
      <vt:variant>
        <vt:i4>0</vt:i4>
      </vt:variant>
      <vt:variant>
        <vt:i4>5</vt:i4>
      </vt:variant>
      <vt:variant>
        <vt:lpwstr>http://www.msac.gov.au/internet/msac/publishing.nsf/Content/1DDF3E302A42A014CA25894100061C2E/$File/1686.1 Final PSD - July 2023 - Updated.docx</vt:lpwstr>
      </vt:variant>
      <vt:variant>
        <vt:lpwstr/>
      </vt:variant>
      <vt:variant>
        <vt:i4>3473476</vt:i4>
      </vt:variant>
      <vt:variant>
        <vt:i4>6</vt:i4>
      </vt:variant>
      <vt:variant>
        <vt:i4>0</vt:i4>
      </vt:variant>
      <vt:variant>
        <vt:i4>5</vt:i4>
      </vt:variant>
      <vt:variant>
        <vt:lpwstr>https://www1.health.gov.au/internet/msac/publishing.nsf/Content/46EBF5FE4400662ECA25876100090CF4/$File/1686 Final PSD_Jul2022.pdf</vt:lpwstr>
      </vt:variant>
      <vt:variant>
        <vt:lpwstr/>
      </vt:variant>
      <vt:variant>
        <vt:i4>1507406</vt:i4>
      </vt:variant>
      <vt:variant>
        <vt:i4>3</vt:i4>
      </vt:variant>
      <vt:variant>
        <vt:i4>0</vt:i4>
      </vt:variant>
      <vt:variant>
        <vt:i4>5</vt:i4>
      </vt:variant>
      <vt:variant>
        <vt:lpwstr>http://www.msac.gov.au/internet/msac/publishing.nsf/Content/1686.1-public</vt:lpwstr>
      </vt:variant>
      <vt:variant>
        <vt:lpwstr/>
      </vt:variant>
      <vt:variant>
        <vt:i4>3997744</vt:i4>
      </vt:variant>
      <vt:variant>
        <vt:i4>0</vt:i4>
      </vt:variant>
      <vt:variant>
        <vt:i4>0</vt:i4>
      </vt:variant>
      <vt:variant>
        <vt:i4>5</vt:i4>
      </vt:variant>
      <vt:variant>
        <vt:lpwstr>http://www.msac.gov.au/</vt:lpwstr>
      </vt:variant>
      <vt:variant>
        <vt:lpwstr/>
      </vt:variant>
      <vt:variant>
        <vt:i4>7602295</vt:i4>
      </vt:variant>
      <vt:variant>
        <vt:i4>0</vt:i4>
      </vt:variant>
      <vt:variant>
        <vt:i4>0</vt:i4>
      </vt:variant>
      <vt:variant>
        <vt:i4>5</vt:i4>
      </vt:variant>
      <vt:variant>
        <vt:lpwstr>https://www.thejournalofprecisionmedicine.com/fda-approves-novartis-radiologand-pluvicto-for-psma-positive-mcrpc-with-imaging-cdx/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2024-07-04T01:13:00Z</dcterms:created>
  <dcterms:modified xsi:type="dcterms:W3CDTF">2024-07-04T01:13:00Z</dcterms:modified>
  <cp:category/>
</cp:coreProperties>
</file>