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0B63C" w14:textId="77777777" w:rsidR="001121C3" w:rsidRPr="00707064" w:rsidRDefault="001121C3" w:rsidP="005843FA">
      <w:pPr>
        <w:spacing w:after="240"/>
        <w:jc w:val="center"/>
        <w:rPr>
          <w:b/>
          <w:i/>
          <w:szCs w:val="24"/>
          <w:highlight w:val="yellow"/>
        </w:rPr>
      </w:pPr>
      <w:r>
        <w:rPr>
          <w:rFonts w:ascii="Arial" w:hAnsi="Arial" w:cs="Arial"/>
          <w:b/>
          <w:noProof/>
          <w:color w:val="000080"/>
          <w:sz w:val="28"/>
          <w:szCs w:val="28"/>
        </w:rPr>
        <w:drawing>
          <wp:inline distT="0" distB="0" distL="0" distR="0" wp14:anchorId="21D103E1" wp14:editId="6A8E8F53">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82BDF03" w14:textId="77777777" w:rsidR="001121C3" w:rsidRPr="00F715D1" w:rsidRDefault="001121C3" w:rsidP="001121C3">
      <w:pPr>
        <w:pStyle w:val="Title"/>
        <w:tabs>
          <w:tab w:val="left" w:pos="1926"/>
          <w:tab w:val="center" w:pos="4513"/>
        </w:tabs>
        <w:jc w:val="left"/>
      </w:pPr>
      <w:r>
        <w:tab/>
      </w:r>
      <w:r>
        <w:tab/>
      </w:r>
      <w:r w:rsidRPr="00F715D1">
        <w:t>Public Summary Document</w:t>
      </w:r>
    </w:p>
    <w:p w14:paraId="661726F1" w14:textId="77777777" w:rsidR="001121C3" w:rsidRPr="00F715D1" w:rsidRDefault="001121C3" w:rsidP="001121C3">
      <w:pPr>
        <w:pStyle w:val="Subtitle"/>
      </w:pPr>
      <w:r w:rsidRPr="00F715D1">
        <w:t xml:space="preserve">Application No. </w:t>
      </w:r>
      <w:r>
        <w:t>1485.1</w:t>
      </w:r>
      <w:r w:rsidRPr="00F715D1">
        <w:t xml:space="preserve"> – </w:t>
      </w:r>
      <w:r>
        <w:rPr>
          <w:rFonts w:cs="Helvetica"/>
        </w:rPr>
        <w:t>Sentinel Lymph Node Biopsy for intermediate thickness melanoma</w:t>
      </w:r>
    </w:p>
    <w:p w14:paraId="213DD5E0" w14:textId="77777777" w:rsidR="001121C3" w:rsidRPr="00F715D1" w:rsidRDefault="001121C3" w:rsidP="001121C3">
      <w:pPr>
        <w:tabs>
          <w:tab w:val="left" w:pos="3686"/>
        </w:tabs>
        <w:spacing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t>The Australian Society of Specialist General Surgeons</w:t>
      </w:r>
    </w:p>
    <w:p w14:paraId="5C42C28C" w14:textId="77777777" w:rsidR="001121C3" w:rsidRPr="00F715D1" w:rsidRDefault="001121C3" w:rsidP="001121C3">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78</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3 April 2020</w:t>
      </w:r>
    </w:p>
    <w:p w14:paraId="082E5C57" w14:textId="77777777" w:rsidR="001121C3" w:rsidRPr="00B03EAB" w:rsidRDefault="001121C3" w:rsidP="001121C3">
      <w:pPr>
        <w:spacing w:after="360"/>
        <w:rPr>
          <w:color w:val="0000FF"/>
          <w:szCs w:val="24"/>
          <w:u w:val="single"/>
        </w:rPr>
      </w:pPr>
      <w:r w:rsidRPr="00F715D1">
        <w:rPr>
          <w:szCs w:val="24"/>
        </w:rPr>
        <w:t xml:space="preserve">Context for decision: </w:t>
      </w:r>
      <w:proofErr w:type="gramStart"/>
      <w:r w:rsidRPr="00F715D1">
        <w:rPr>
          <w:szCs w:val="24"/>
        </w:rPr>
        <w:t>MSAC makes its advice in accordance wit</w:t>
      </w:r>
      <w:r>
        <w:rPr>
          <w:szCs w:val="24"/>
        </w:rPr>
        <w:t>h its Terms of Reference</w:t>
      </w:r>
      <w:proofErr w:type="gramEnd"/>
      <w:r>
        <w:rPr>
          <w:szCs w:val="24"/>
        </w:rPr>
        <w:t>,</w:t>
      </w:r>
      <w:r w:rsidRPr="00F715D1">
        <w:rPr>
          <w:szCs w:val="24"/>
        </w:rPr>
        <w:t xml:space="preserve"> </w:t>
      </w:r>
      <w:hyperlink r:id="rId8" w:tooltip="Link to Medical Services Advisory Committee website" w:history="1">
        <w:proofErr w:type="gramStart"/>
        <w:r w:rsidRPr="00F715D1">
          <w:rPr>
            <w:rStyle w:val="Hyperlink"/>
            <w:szCs w:val="24"/>
          </w:rPr>
          <w:t>visit the MSAC website</w:t>
        </w:r>
        <w:proofErr w:type="gramEnd"/>
      </w:hyperlink>
    </w:p>
    <w:p w14:paraId="75992329" w14:textId="77777777" w:rsidR="001121C3" w:rsidRPr="00F715D1" w:rsidRDefault="00B0434E" w:rsidP="001121C3">
      <w:pPr>
        <w:pStyle w:val="Heading1"/>
      </w:pPr>
      <w:r>
        <w:t>Purpose of application</w:t>
      </w:r>
    </w:p>
    <w:p w14:paraId="0EE6C685" w14:textId="2CB246E4" w:rsidR="00037AF7" w:rsidRDefault="00037AF7" w:rsidP="00037AF7">
      <w:r>
        <w:t xml:space="preserve">A resubmission requesting Medicare Benefits Schedule (MBS) listing for </w:t>
      </w:r>
      <w:r w:rsidRPr="000B361F">
        <w:t>sentinel lymph node biopsy</w:t>
      </w:r>
      <w:r>
        <w:t xml:space="preserve"> (</w:t>
      </w:r>
      <w:proofErr w:type="spellStart"/>
      <w:r>
        <w:t>SLNBx</w:t>
      </w:r>
      <w:proofErr w:type="spellEnd"/>
      <w:r>
        <w:t xml:space="preserve">) in patients </w:t>
      </w:r>
      <w:r w:rsidRPr="000B361F">
        <w:t>with primary melanomas ≥1.0</w:t>
      </w:r>
      <w:r>
        <w:t> </w:t>
      </w:r>
      <w:r w:rsidRPr="000B361F">
        <w:t>m</w:t>
      </w:r>
      <w:r>
        <w:t xml:space="preserve">m Breslow thickness, or </w:t>
      </w:r>
      <w:proofErr w:type="gramStart"/>
      <w:r>
        <w:t>those</w:t>
      </w:r>
      <w:proofErr w:type="gramEnd"/>
      <w:r>
        <w:t xml:space="preserve"> ≥0.8 mm with high-risk features (e.g. ulceration), was received from the Australian Society of Specialist General Surgeons by the Department of Health.</w:t>
      </w:r>
    </w:p>
    <w:p w14:paraId="465AA213" w14:textId="77777777" w:rsidR="001121C3" w:rsidRPr="00F715D1" w:rsidRDefault="001121C3" w:rsidP="001121C3">
      <w:pPr>
        <w:pStyle w:val="Heading1"/>
      </w:pPr>
      <w:r w:rsidRPr="00F715D1">
        <w:t>MSAC’s advice to the Minister</w:t>
      </w:r>
    </w:p>
    <w:p w14:paraId="1E0890DD" w14:textId="2A630CD3" w:rsidR="001121C3" w:rsidRPr="00B0434E" w:rsidRDefault="001121C3" w:rsidP="00B0434E">
      <w:pPr>
        <w:pStyle w:val="Default"/>
        <w:spacing w:after="240"/>
        <w:rPr>
          <w:color w:val="auto"/>
        </w:rPr>
      </w:pPr>
      <w:proofErr w:type="gramStart"/>
      <w:r w:rsidRPr="00B0434E">
        <w:rPr>
          <w:color w:val="auto"/>
        </w:rPr>
        <w:t xml:space="preserve">After considering the strength of the available evidence in relation to </w:t>
      </w:r>
      <w:r w:rsidR="00B0434E" w:rsidRPr="00B0434E">
        <w:rPr>
          <w:color w:val="auto"/>
        </w:rPr>
        <w:t xml:space="preserve">its </w:t>
      </w:r>
      <w:r w:rsidRPr="00B0434E">
        <w:rPr>
          <w:color w:val="auto"/>
        </w:rPr>
        <w:t>safety, clinical effectiveness and cost-effectiveness</w:t>
      </w:r>
      <w:r w:rsidR="00B0434E" w:rsidRPr="00B0434E">
        <w:rPr>
          <w:color w:val="auto"/>
        </w:rPr>
        <w:t>,</w:t>
      </w:r>
      <w:r w:rsidR="00B0434E" w:rsidRPr="00B0434E">
        <w:t xml:space="preserve"> </w:t>
      </w:r>
      <w:r w:rsidR="00B0434E" w:rsidRPr="00AA42B7">
        <w:t>MSAC supported</w:t>
      </w:r>
      <w:r w:rsidR="00B0434E">
        <w:t xml:space="preserve"> public funding for</w:t>
      </w:r>
      <w:r w:rsidR="00B0434E" w:rsidRPr="000B361F">
        <w:t xml:space="preserve"> sentinel lymph node biopsy</w:t>
      </w:r>
      <w:r w:rsidR="00B0434E">
        <w:t xml:space="preserve"> (</w:t>
      </w:r>
      <w:proofErr w:type="spellStart"/>
      <w:r w:rsidR="00B0434E">
        <w:t>SLNBx</w:t>
      </w:r>
      <w:proofErr w:type="spellEnd"/>
      <w:r w:rsidR="00B0434E">
        <w:t xml:space="preserve">) in patients </w:t>
      </w:r>
      <w:r w:rsidR="00B0434E" w:rsidRPr="000B361F">
        <w:t>with primary melanomas ≥1.0</w:t>
      </w:r>
      <w:r w:rsidR="00B0434E">
        <w:t> </w:t>
      </w:r>
      <w:r w:rsidR="00B0434E" w:rsidRPr="000B361F">
        <w:t>m</w:t>
      </w:r>
      <w:r w:rsidR="00B0434E">
        <w:t>m Breslow thickness, or those ≥0.8 mm with high-risk features on the basis that, compared to wide</w:t>
      </w:r>
      <w:r w:rsidR="00E379DA">
        <w:t xml:space="preserve"> </w:t>
      </w:r>
      <w:r w:rsidR="00B0434E">
        <w:t xml:space="preserve">local excision </w:t>
      </w:r>
      <w:r w:rsidR="00E379DA">
        <w:t xml:space="preserve">(WLE) </w:t>
      </w:r>
      <w:r w:rsidR="00B0434E">
        <w:t xml:space="preserve">plus follow-up, </w:t>
      </w:r>
      <w:proofErr w:type="spellStart"/>
      <w:r w:rsidR="00B0434E" w:rsidRPr="0025019A">
        <w:t>SLNB</w:t>
      </w:r>
      <w:r w:rsidR="00B0434E">
        <w:t>x</w:t>
      </w:r>
      <w:proofErr w:type="spellEnd"/>
      <w:r w:rsidR="00B0434E" w:rsidRPr="0025019A">
        <w:t xml:space="preserve"> provides important prognostic information, allows for improved local disease control, and </w:t>
      </w:r>
      <w:r w:rsidR="00B0434E">
        <w:t xml:space="preserve">provides for </w:t>
      </w:r>
      <w:r w:rsidR="00B0434E" w:rsidRPr="0025019A">
        <w:t xml:space="preserve">more effective selection </w:t>
      </w:r>
      <w:r w:rsidR="00B0434E">
        <w:t xml:space="preserve">of </w:t>
      </w:r>
      <w:r w:rsidR="00B0434E" w:rsidRPr="0025019A">
        <w:t xml:space="preserve">patients </w:t>
      </w:r>
      <w:r w:rsidR="00B0434E">
        <w:t>for adjuvant therapy</w:t>
      </w:r>
      <w:r w:rsidR="00B0434E" w:rsidRPr="0025019A">
        <w:t>.</w:t>
      </w:r>
      <w:proofErr w:type="gramEnd"/>
    </w:p>
    <w:p w14:paraId="506E2B12" w14:textId="77777777" w:rsidR="008B418A" w:rsidRDefault="00B0434E" w:rsidP="00B0434E">
      <w:pPr>
        <w:pStyle w:val="Default"/>
        <w:spacing w:after="240"/>
        <w:rPr>
          <w:color w:val="auto"/>
        </w:rPr>
      </w:pPr>
      <w:r w:rsidRPr="00F81EA1">
        <w:rPr>
          <w:color w:val="auto"/>
        </w:rPr>
        <w:t>The MSAC-supp</w:t>
      </w:r>
      <w:r>
        <w:rPr>
          <w:color w:val="auto"/>
        </w:rPr>
        <w:t>o</w:t>
      </w:r>
      <w:r w:rsidRPr="00F81EA1">
        <w:rPr>
          <w:color w:val="auto"/>
        </w:rPr>
        <w:t xml:space="preserve">rted descriptor </w:t>
      </w:r>
      <w:r w:rsidR="0015547E">
        <w:rPr>
          <w:color w:val="auto"/>
        </w:rPr>
        <w:t>reflected the advice of the MSAC-initiated stakeholder meeting</w:t>
      </w:r>
      <w:r w:rsidRPr="00F81EA1">
        <w:rPr>
          <w:color w:val="auto"/>
        </w:rPr>
        <w:t>:</w:t>
      </w:r>
      <w:r>
        <w:rPr>
          <w:color w:val="auto"/>
        </w:rPr>
        <w:t xml:space="preserve"> </w:t>
      </w:r>
    </w:p>
    <w:p w14:paraId="49AA3F95" w14:textId="503305B1" w:rsidR="00B0434E" w:rsidRPr="00B0434E" w:rsidRDefault="00B0434E" w:rsidP="00B0434E">
      <w:pPr>
        <w:pStyle w:val="Default"/>
        <w:spacing w:after="240"/>
        <w:rPr>
          <w:i/>
          <w:color w:val="auto"/>
        </w:rPr>
      </w:pPr>
      <w:r w:rsidRPr="00B0434E">
        <w:rPr>
          <w:i/>
          <w:color w:val="auto"/>
        </w:rPr>
        <w:t xml:space="preserve">SENTINEL LYMPH NODE BIOPSY OR BIOPSIES for cutaneous melanoma, where the primary lesion is greater than 1.0 mm in depth (or at least 0.8 mm in depth in the presence of ulceration), and appropriate excision of the primary melanoma has occurred, using preoperative lymphoscintigraphy and </w:t>
      </w:r>
      <w:proofErr w:type="spellStart"/>
      <w:r w:rsidRPr="00B0434E">
        <w:rPr>
          <w:i/>
          <w:color w:val="auto"/>
        </w:rPr>
        <w:t>lymphotropic</w:t>
      </w:r>
      <w:proofErr w:type="spellEnd"/>
      <w:r w:rsidRPr="00B0434E">
        <w:rPr>
          <w:i/>
          <w:color w:val="auto"/>
        </w:rPr>
        <w:t xml:space="preserve"> dye injection.</w:t>
      </w:r>
    </w:p>
    <w:p w14:paraId="4B962F84" w14:textId="65C399DA" w:rsidR="003D72FA" w:rsidRPr="003D72FA" w:rsidRDefault="00B0434E" w:rsidP="003D72FA">
      <w:pPr>
        <w:pStyle w:val="Default"/>
        <w:spacing w:after="240"/>
        <w:rPr>
          <w:i/>
          <w:color w:val="auto"/>
        </w:rPr>
      </w:pPr>
      <w:r w:rsidRPr="00DD537F">
        <w:rPr>
          <w:i/>
          <w:color w:val="auto"/>
        </w:rPr>
        <w:t xml:space="preserve">Limit </w:t>
      </w:r>
      <w:r w:rsidR="00DD537F" w:rsidRPr="00DD537F">
        <w:rPr>
          <w:i/>
          <w:color w:val="auto"/>
        </w:rPr>
        <w:t>t</w:t>
      </w:r>
      <w:r w:rsidRPr="00DD537F">
        <w:rPr>
          <w:i/>
          <w:color w:val="auto"/>
        </w:rPr>
        <w:t>o one lesion per patient per occasion</w:t>
      </w:r>
      <w:r w:rsidR="0062715D">
        <w:rPr>
          <w:i/>
          <w:color w:val="auto"/>
        </w:rPr>
        <w:t>.</w:t>
      </w:r>
      <w:r w:rsidR="003D72FA">
        <w:rPr>
          <w:i/>
          <w:color w:val="auto"/>
        </w:rPr>
        <w:br w:type="page"/>
      </w:r>
    </w:p>
    <w:tbl>
      <w:tblPr>
        <w:tblStyle w:val="TableGrid"/>
        <w:tblW w:w="0" w:type="auto"/>
        <w:tblLook w:val="04A0" w:firstRow="1" w:lastRow="0" w:firstColumn="1" w:lastColumn="0" w:noHBand="0" w:noVBand="1"/>
        <w:tblCaption w:val="Consumer issues"/>
      </w:tblPr>
      <w:tblGrid>
        <w:gridCol w:w="9016"/>
      </w:tblGrid>
      <w:tr w:rsidR="001121C3" w14:paraId="1A957E1B" w14:textId="77777777" w:rsidTr="00261B83">
        <w:trPr>
          <w:tblHeader/>
        </w:trPr>
        <w:tc>
          <w:tcPr>
            <w:tcW w:w="9016" w:type="dxa"/>
          </w:tcPr>
          <w:p w14:paraId="384BA677" w14:textId="77777777" w:rsidR="001121C3" w:rsidRDefault="001121C3" w:rsidP="00162053">
            <w:pPr>
              <w:pStyle w:val="Default"/>
              <w:spacing w:before="120" w:after="120"/>
              <w:rPr>
                <w:b/>
                <w:color w:val="auto"/>
                <w:sz w:val="24"/>
                <w:szCs w:val="24"/>
              </w:rPr>
            </w:pPr>
            <w:r w:rsidRPr="00162053">
              <w:rPr>
                <w:b/>
                <w:color w:val="auto"/>
                <w:sz w:val="24"/>
                <w:szCs w:val="24"/>
              </w:rPr>
              <w:lastRenderedPageBreak/>
              <w:t>Consumer summary</w:t>
            </w:r>
          </w:p>
          <w:p w14:paraId="493DED1C" w14:textId="5552ED65" w:rsidR="00162053" w:rsidRPr="00162053" w:rsidRDefault="00162053" w:rsidP="00162053">
            <w:pPr>
              <w:pStyle w:val="Default"/>
              <w:spacing w:before="120" w:after="240"/>
              <w:rPr>
                <w:color w:val="auto"/>
                <w:sz w:val="24"/>
                <w:szCs w:val="24"/>
              </w:rPr>
            </w:pPr>
            <w:r w:rsidRPr="00162053">
              <w:rPr>
                <w:color w:val="auto"/>
                <w:sz w:val="24"/>
                <w:szCs w:val="24"/>
              </w:rPr>
              <w:t>The Australian Society of Specialist General Surgeons applied for public funding through the Medicare Benefits Schedule (MBS) for sentinel lymph node biopsy (</w:t>
            </w:r>
            <w:proofErr w:type="spellStart"/>
            <w:r w:rsidRPr="00162053">
              <w:rPr>
                <w:color w:val="auto"/>
                <w:sz w:val="24"/>
                <w:szCs w:val="24"/>
              </w:rPr>
              <w:t>SLNBx</w:t>
            </w:r>
            <w:proofErr w:type="spellEnd"/>
            <w:r w:rsidRPr="00162053">
              <w:rPr>
                <w:color w:val="auto"/>
                <w:sz w:val="24"/>
                <w:szCs w:val="24"/>
              </w:rPr>
              <w:t xml:space="preserve">) for patients with </w:t>
            </w:r>
            <w:r w:rsidR="00331FBF">
              <w:rPr>
                <w:color w:val="auto"/>
                <w:sz w:val="24"/>
                <w:szCs w:val="24"/>
              </w:rPr>
              <w:t xml:space="preserve">a certain type of </w:t>
            </w:r>
            <w:r w:rsidRPr="00162053">
              <w:rPr>
                <w:color w:val="auto"/>
                <w:sz w:val="24"/>
                <w:szCs w:val="24"/>
              </w:rPr>
              <w:t>skin cancer. The</w:t>
            </w:r>
            <w:r w:rsidR="00331FBF">
              <w:rPr>
                <w:color w:val="auto"/>
                <w:sz w:val="24"/>
                <w:szCs w:val="24"/>
              </w:rPr>
              <w:t xml:space="preserve"> Societ</w:t>
            </w:r>
            <w:r w:rsidRPr="00162053">
              <w:rPr>
                <w:color w:val="auto"/>
                <w:sz w:val="24"/>
                <w:szCs w:val="24"/>
              </w:rPr>
              <w:t xml:space="preserve">y </w:t>
            </w:r>
            <w:r w:rsidR="00331FBF">
              <w:rPr>
                <w:color w:val="auto"/>
                <w:sz w:val="24"/>
                <w:szCs w:val="24"/>
              </w:rPr>
              <w:t xml:space="preserve">also </w:t>
            </w:r>
            <w:r w:rsidRPr="00162053">
              <w:rPr>
                <w:color w:val="auto"/>
                <w:sz w:val="24"/>
                <w:szCs w:val="24"/>
              </w:rPr>
              <w:t xml:space="preserve">asked for a fee increase for a new MBS item that is specific for </w:t>
            </w:r>
            <w:proofErr w:type="spellStart"/>
            <w:r w:rsidRPr="00162053">
              <w:rPr>
                <w:color w:val="auto"/>
                <w:sz w:val="24"/>
                <w:szCs w:val="24"/>
              </w:rPr>
              <w:t>SLNBx</w:t>
            </w:r>
            <w:proofErr w:type="spellEnd"/>
            <w:r w:rsidRPr="00162053">
              <w:rPr>
                <w:color w:val="auto"/>
                <w:sz w:val="24"/>
                <w:szCs w:val="24"/>
              </w:rPr>
              <w:t xml:space="preserve">, compared with the non-specific MBS items that </w:t>
            </w:r>
            <w:proofErr w:type="gramStart"/>
            <w:r w:rsidRPr="00162053">
              <w:rPr>
                <w:color w:val="auto"/>
                <w:sz w:val="24"/>
                <w:szCs w:val="24"/>
              </w:rPr>
              <w:t>are used</w:t>
            </w:r>
            <w:proofErr w:type="gramEnd"/>
            <w:r w:rsidRPr="00162053">
              <w:rPr>
                <w:color w:val="auto"/>
                <w:sz w:val="24"/>
                <w:szCs w:val="24"/>
              </w:rPr>
              <w:t xml:space="preserve"> now.</w:t>
            </w:r>
          </w:p>
          <w:p w14:paraId="77DFC86A" w14:textId="44BAD367" w:rsidR="00DD2165" w:rsidRPr="00162053" w:rsidRDefault="00162053" w:rsidP="00DD2165">
            <w:pPr>
              <w:pStyle w:val="Default"/>
              <w:spacing w:before="120" w:after="240"/>
              <w:rPr>
                <w:color w:val="auto"/>
                <w:sz w:val="24"/>
                <w:szCs w:val="24"/>
              </w:rPr>
            </w:pPr>
            <w:r w:rsidRPr="00162053">
              <w:rPr>
                <w:color w:val="auto"/>
                <w:sz w:val="24"/>
                <w:szCs w:val="24"/>
              </w:rPr>
              <w:t xml:space="preserve">Melanoma is a skin cancer in the skin pigment cells (melanocytes). </w:t>
            </w:r>
            <w:r w:rsidR="00612CD8" w:rsidRPr="00162053">
              <w:rPr>
                <w:color w:val="auto"/>
                <w:sz w:val="24"/>
                <w:szCs w:val="24"/>
              </w:rPr>
              <w:t xml:space="preserve">Most </w:t>
            </w:r>
            <w:r w:rsidR="001B14BB">
              <w:rPr>
                <w:color w:val="auto"/>
                <w:sz w:val="24"/>
                <w:szCs w:val="24"/>
              </w:rPr>
              <w:t>patients</w:t>
            </w:r>
            <w:r w:rsidR="00612CD8" w:rsidRPr="00162053">
              <w:rPr>
                <w:color w:val="auto"/>
                <w:sz w:val="24"/>
                <w:szCs w:val="24"/>
              </w:rPr>
              <w:t xml:space="preserve"> </w:t>
            </w:r>
            <w:proofErr w:type="gramStart"/>
            <w:r w:rsidR="00612CD8" w:rsidRPr="00162053">
              <w:rPr>
                <w:color w:val="auto"/>
                <w:sz w:val="24"/>
                <w:szCs w:val="24"/>
              </w:rPr>
              <w:t>are diagnosed</w:t>
            </w:r>
            <w:proofErr w:type="gramEnd"/>
            <w:r w:rsidR="00612CD8" w:rsidRPr="00162053">
              <w:rPr>
                <w:color w:val="auto"/>
                <w:sz w:val="24"/>
                <w:szCs w:val="24"/>
              </w:rPr>
              <w:t xml:space="preserve"> at an early stage</w:t>
            </w:r>
            <w:r w:rsidR="00612CD8">
              <w:rPr>
                <w:color w:val="auto"/>
                <w:sz w:val="24"/>
                <w:szCs w:val="24"/>
              </w:rPr>
              <w:t xml:space="preserve"> by looking at t</w:t>
            </w:r>
            <w:r w:rsidR="00DD2165">
              <w:rPr>
                <w:color w:val="auto"/>
                <w:sz w:val="24"/>
                <w:szCs w:val="24"/>
              </w:rPr>
              <w:t xml:space="preserve">he lesion (skin damage) caused by </w:t>
            </w:r>
            <w:r w:rsidR="00612CD8">
              <w:rPr>
                <w:color w:val="auto"/>
                <w:sz w:val="24"/>
                <w:szCs w:val="24"/>
              </w:rPr>
              <w:t xml:space="preserve">the </w:t>
            </w:r>
            <w:r w:rsidR="00DD2165">
              <w:rPr>
                <w:color w:val="auto"/>
                <w:sz w:val="24"/>
                <w:szCs w:val="24"/>
              </w:rPr>
              <w:t>m</w:t>
            </w:r>
            <w:r w:rsidRPr="00162053">
              <w:rPr>
                <w:color w:val="auto"/>
                <w:sz w:val="24"/>
                <w:szCs w:val="24"/>
              </w:rPr>
              <w:t>elanoma</w:t>
            </w:r>
            <w:r w:rsidR="00612CD8">
              <w:rPr>
                <w:color w:val="auto"/>
                <w:sz w:val="24"/>
                <w:szCs w:val="24"/>
              </w:rPr>
              <w:t>. The thickness of the</w:t>
            </w:r>
            <w:r w:rsidRPr="00162053">
              <w:rPr>
                <w:color w:val="auto"/>
                <w:sz w:val="24"/>
                <w:szCs w:val="24"/>
              </w:rPr>
              <w:t xml:space="preserve"> lesion</w:t>
            </w:r>
            <w:r w:rsidR="001B14BB">
              <w:rPr>
                <w:color w:val="auto"/>
                <w:sz w:val="24"/>
                <w:szCs w:val="24"/>
              </w:rPr>
              <w:t xml:space="preserve"> i</w:t>
            </w:r>
            <w:r w:rsidRPr="00162053">
              <w:rPr>
                <w:color w:val="auto"/>
                <w:sz w:val="24"/>
                <w:szCs w:val="24"/>
              </w:rPr>
              <w:t xml:space="preserve">s </w:t>
            </w:r>
            <w:r w:rsidR="00612CD8">
              <w:rPr>
                <w:color w:val="auto"/>
                <w:sz w:val="24"/>
                <w:szCs w:val="24"/>
              </w:rPr>
              <w:t>important</w:t>
            </w:r>
            <w:r w:rsidRPr="00162053">
              <w:rPr>
                <w:color w:val="auto"/>
                <w:sz w:val="24"/>
                <w:szCs w:val="24"/>
              </w:rPr>
              <w:t>.</w:t>
            </w:r>
            <w:r w:rsidR="00DD2165">
              <w:rPr>
                <w:color w:val="auto"/>
                <w:sz w:val="24"/>
                <w:szCs w:val="24"/>
              </w:rPr>
              <w:t xml:space="preserve"> The</w:t>
            </w:r>
            <w:r w:rsidRPr="00162053">
              <w:rPr>
                <w:color w:val="auto"/>
                <w:sz w:val="24"/>
                <w:szCs w:val="24"/>
              </w:rPr>
              <w:t xml:space="preserve"> </w:t>
            </w:r>
            <w:r w:rsidR="00DD2165">
              <w:rPr>
                <w:color w:val="auto"/>
                <w:sz w:val="24"/>
                <w:szCs w:val="24"/>
              </w:rPr>
              <w:t>thinner</w:t>
            </w:r>
            <w:r w:rsidR="00DD2165" w:rsidRPr="00162053">
              <w:rPr>
                <w:color w:val="auto"/>
                <w:sz w:val="24"/>
                <w:szCs w:val="24"/>
              </w:rPr>
              <w:t xml:space="preserve"> </w:t>
            </w:r>
            <w:r w:rsidRPr="00162053">
              <w:rPr>
                <w:color w:val="auto"/>
                <w:sz w:val="24"/>
                <w:szCs w:val="24"/>
              </w:rPr>
              <w:t xml:space="preserve">the melanoma, the more chance the patient has of </w:t>
            </w:r>
            <w:r w:rsidR="00DD2165">
              <w:rPr>
                <w:color w:val="auto"/>
                <w:sz w:val="24"/>
                <w:szCs w:val="24"/>
              </w:rPr>
              <w:t>recovery</w:t>
            </w:r>
            <w:r w:rsidRPr="00162053">
              <w:rPr>
                <w:color w:val="auto"/>
                <w:sz w:val="24"/>
                <w:szCs w:val="24"/>
              </w:rPr>
              <w:t xml:space="preserve">. </w:t>
            </w:r>
            <w:proofErr w:type="gramStart"/>
            <w:r w:rsidR="00612CD8">
              <w:rPr>
                <w:color w:val="auto"/>
                <w:sz w:val="24"/>
                <w:szCs w:val="24"/>
              </w:rPr>
              <w:t>Also</w:t>
            </w:r>
            <w:proofErr w:type="gramEnd"/>
            <w:r w:rsidR="00612CD8">
              <w:rPr>
                <w:color w:val="auto"/>
                <w:sz w:val="24"/>
                <w:szCs w:val="24"/>
              </w:rPr>
              <w:t>, t</w:t>
            </w:r>
            <w:r w:rsidR="00DD2165">
              <w:rPr>
                <w:color w:val="auto"/>
                <w:sz w:val="24"/>
                <w:szCs w:val="24"/>
              </w:rPr>
              <w:t xml:space="preserve">he further </w:t>
            </w:r>
            <w:r w:rsidR="00612CD8">
              <w:rPr>
                <w:color w:val="auto"/>
                <w:sz w:val="24"/>
                <w:szCs w:val="24"/>
              </w:rPr>
              <w:t xml:space="preserve">the </w:t>
            </w:r>
            <w:r w:rsidR="00DD2165">
              <w:rPr>
                <w:color w:val="auto"/>
                <w:sz w:val="24"/>
                <w:szCs w:val="24"/>
              </w:rPr>
              <w:t>melanoma cells spread</w:t>
            </w:r>
            <w:r w:rsidR="00612CD8">
              <w:rPr>
                <w:color w:val="auto"/>
                <w:sz w:val="24"/>
                <w:szCs w:val="24"/>
              </w:rPr>
              <w:t xml:space="preserve"> beyond the lesion</w:t>
            </w:r>
            <w:r w:rsidR="00DD2165">
              <w:rPr>
                <w:color w:val="auto"/>
                <w:sz w:val="24"/>
                <w:szCs w:val="24"/>
              </w:rPr>
              <w:t>, the harder the melanoma is to treat.</w:t>
            </w:r>
          </w:p>
          <w:p w14:paraId="67BE28C1" w14:textId="25636E29" w:rsidR="00162053" w:rsidRPr="00162053" w:rsidRDefault="00162053" w:rsidP="00162053">
            <w:pPr>
              <w:pStyle w:val="Default"/>
              <w:spacing w:before="120" w:after="240"/>
              <w:rPr>
                <w:color w:val="auto"/>
                <w:sz w:val="24"/>
                <w:szCs w:val="24"/>
              </w:rPr>
            </w:pPr>
            <w:proofErr w:type="spellStart"/>
            <w:r w:rsidRPr="00162053">
              <w:rPr>
                <w:color w:val="auto"/>
                <w:sz w:val="24"/>
                <w:szCs w:val="24"/>
              </w:rPr>
              <w:t>SLNBx</w:t>
            </w:r>
            <w:proofErr w:type="spellEnd"/>
            <w:r w:rsidRPr="00162053">
              <w:rPr>
                <w:color w:val="auto"/>
                <w:sz w:val="24"/>
                <w:szCs w:val="24"/>
              </w:rPr>
              <w:t xml:space="preserve"> </w:t>
            </w:r>
            <w:proofErr w:type="gramStart"/>
            <w:r w:rsidRPr="00162053">
              <w:rPr>
                <w:color w:val="auto"/>
                <w:sz w:val="24"/>
                <w:szCs w:val="24"/>
              </w:rPr>
              <w:t>is done</w:t>
            </w:r>
            <w:proofErr w:type="gramEnd"/>
            <w:r w:rsidRPr="00162053">
              <w:rPr>
                <w:color w:val="auto"/>
                <w:sz w:val="24"/>
                <w:szCs w:val="24"/>
              </w:rPr>
              <w:t xml:space="preserve"> to </w:t>
            </w:r>
            <w:r w:rsidR="00137A3C">
              <w:rPr>
                <w:color w:val="auto"/>
                <w:sz w:val="24"/>
                <w:szCs w:val="24"/>
              </w:rPr>
              <w:t>find out</w:t>
            </w:r>
            <w:r w:rsidRPr="00162053">
              <w:rPr>
                <w:color w:val="auto"/>
                <w:sz w:val="24"/>
                <w:szCs w:val="24"/>
              </w:rPr>
              <w:t xml:space="preserve"> whether any melanoma cells have spread to the lymph nodes </w:t>
            </w:r>
            <w:r w:rsidR="00DD537F">
              <w:rPr>
                <w:color w:val="auto"/>
                <w:sz w:val="24"/>
                <w:szCs w:val="24"/>
              </w:rPr>
              <w:t xml:space="preserve">nearest the </w:t>
            </w:r>
            <w:r w:rsidR="00331FBF">
              <w:rPr>
                <w:color w:val="auto"/>
                <w:sz w:val="24"/>
                <w:szCs w:val="24"/>
              </w:rPr>
              <w:t>site of the</w:t>
            </w:r>
            <w:r w:rsidR="00DD537F">
              <w:rPr>
                <w:color w:val="auto"/>
                <w:sz w:val="24"/>
                <w:szCs w:val="24"/>
              </w:rPr>
              <w:t xml:space="preserve"> </w:t>
            </w:r>
            <w:r w:rsidR="00331FBF">
              <w:rPr>
                <w:color w:val="auto"/>
                <w:sz w:val="24"/>
                <w:szCs w:val="24"/>
              </w:rPr>
              <w:t>original melanoma</w:t>
            </w:r>
            <w:r w:rsidR="00612CD8">
              <w:rPr>
                <w:color w:val="auto"/>
                <w:sz w:val="24"/>
                <w:szCs w:val="24"/>
              </w:rPr>
              <w:t xml:space="preserve"> lesion</w:t>
            </w:r>
            <w:r w:rsidR="00DD2165">
              <w:rPr>
                <w:color w:val="auto"/>
                <w:sz w:val="24"/>
                <w:szCs w:val="24"/>
              </w:rPr>
              <w:t>. I</w:t>
            </w:r>
            <w:r w:rsidR="00331FBF">
              <w:rPr>
                <w:color w:val="auto"/>
                <w:sz w:val="24"/>
                <w:szCs w:val="24"/>
              </w:rPr>
              <w:t xml:space="preserve">f so, they </w:t>
            </w:r>
            <w:proofErr w:type="gramStart"/>
            <w:r w:rsidR="00331FBF">
              <w:rPr>
                <w:color w:val="auto"/>
                <w:sz w:val="24"/>
                <w:szCs w:val="24"/>
              </w:rPr>
              <w:t>are called</w:t>
            </w:r>
            <w:proofErr w:type="gramEnd"/>
            <w:r w:rsidR="00331FBF">
              <w:rPr>
                <w:color w:val="auto"/>
                <w:sz w:val="24"/>
                <w:szCs w:val="24"/>
              </w:rPr>
              <w:t xml:space="preserve"> sentinel lymph nodes</w:t>
            </w:r>
            <w:r w:rsidRPr="00162053">
              <w:rPr>
                <w:color w:val="auto"/>
                <w:sz w:val="24"/>
                <w:szCs w:val="24"/>
              </w:rPr>
              <w:t>.</w:t>
            </w:r>
            <w:r w:rsidR="00121144">
              <w:rPr>
                <w:color w:val="auto"/>
                <w:sz w:val="24"/>
                <w:szCs w:val="24"/>
              </w:rPr>
              <w:t xml:space="preserve"> </w:t>
            </w:r>
            <w:r w:rsidR="00DD2165">
              <w:rPr>
                <w:color w:val="auto"/>
                <w:sz w:val="24"/>
                <w:szCs w:val="24"/>
              </w:rPr>
              <w:t xml:space="preserve">Lymph nodes </w:t>
            </w:r>
            <w:r w:rsidR="001B14BB">
              <w:rPr>
                <w:color w:val="auto"/>
                <w:sz w:val="24"/>
                <w:szCs w:val="24"/>
              </w:rPr>
              <w:t xml:space="preserve">filter fluids from within the body and </w:t>
            </w:r>
            <w:r w:rsidR="00DD2165">
              <w:rPr>
                <w:color w:val="auto"/>
                <w:sz w:val="24"/>
                <w:szCs w:val="24"/>
              </w:rPr>
              <w:t xml:space="preserve">are where you find white blood cells that circulate through the body/bloodstream to help fight </w:t>
            </w:r>
            <w:r w:rsidR="001B14BB">
              <w:rPr>
                <w:color w:val="auto"/>
                <w:sz w:val="24"/>
                <w:szCs w:val="24"/>
              </w:rPr>
              <w:t xml:space="preserve">cancer and </w:t>
            </w:r>
            <w:r w:rsidR="00DD2165">
              <w:rPr>
                <w:color w:val="auto"/>
                <w:sz w:val="24"/>
                <w:szCs w:val="24"/>
              </w:rPr>
              <w:t>infection</w:t>
            </w:r>
            <w:r w:rsidR="001B14BB">
              <w:rPr>
                <w:color w:val="auto"/>
                <w:sz w:val="24"/>
                <w:szCs w:val="24"/>
              </w:rPr>
              <w:t>s</w:t>
            </w:r>
            <w:r w:rsidR="00DD2165">
              <w:rPr>
                <w:color w:val="auto"/>
                <w:sz w:val="24"/>
                <w:szCs w:val="24"/>
              </w:rPr>
              <w:t>.</w:t>
            </w:r>
            <w:r w:rsidR="00C90537">
              <w:rPr>
                <w:color w:val="auto"/>
                <w:sz w:val="24"/>
                <w:szCs w:val="24"/>
              </w:rPr>
              <w:t xml:space="preserve"> If cancer cells reach the </w:t>
            </w:r>
            <w:r w:rsidR="001B14BB">
              <w:rPr>
                <w:color w:val="auto"/>
                <w:sz w:val="24"/>
                <w:szCs w:val="24"/>
              </w:rPr>
              <w:t xml:space="preserve">nearby </w:t>
            </w:r>
            <w:r w:rsidR="00C90537">
              <w:rPr>
                <w:color w:val="auto"/>
                <w:sz w:val="24"/>
                <w:szCs w:val="24"/>
              </w:rPr>
              <w:t xml:space="preserve">lymph </w:t>
            </w:r>
            <w:r w:rsidR="001B14BB">
              <w:rPr>
                <w:color w:val="auto"/>
                <w:sz w:val="24"/>
                <w:szCs w:val="24"/>
              </w:rPr>
              <w:t>nodes,</w:t>
            </w:r>
            <w:r w:rsidR="00C90537">
              <w:rPr>
                <w:color w:val="auto"/>
                <w:sz w:val="24"/>
                <w:szCs w:val="24"/>
              </w:rPr>
              <w:t xml:space="preserve"> they can more easily spread </w:t>
            </w:r>
            <w:r w:rsidR="001B14BB">
              <w:rPr>
                <w:color w:val="auto"/>
                <w:sz w:val="24"/>
                <w:szCs w:val="24"/>
              </w:rPr>
              <w:t xml:space="preserve">further </w:t>
            </w:r>
            <w:r w:rsidR="00C90537">
              <w:rPr>
                <w:color w:val="auto"/>
                <w:sz w:val="24"/>
                <w:szCs w:val="24"/>
              </w:rPr>
              <w:t>in the body.</w:t>
            </w:r>
          </w:p>
          <w:p w14:paraId="052E6F4D" w14:textId="7E4F4C88" w:rsidR="00162053" w:rsidRPr="00162053" w:rsidRDefault="00162053" w:rsidP="00162053">
            <w:pPr>
              <w:pStyle w:val="Default"/>
              <w:spacing w:before="120" w:after="240"/>
              <w:rPr>
                <w:color w:val="auto"/>
                <w:sz w:val="24"/>
                <w:szCs w:val="24"/>
              </w:rPr>
            </w:pPr>
            <w:r w:rsidRPr="00162053">
              <w:rPr>
                <w:color w:val="auto"/>
                <w:sz w:val="24"/>
                <w:szCs w:val="24"/>
              </w:rPr>
              <w:t xml:space="preserve">The </w:t>
            </w:r>
            <w:proofErr w:type="spellStart"/>
            <w:r w:rsidRPr="00162053">
              <w:rPr>
                <w:color w:val="auto"/>
                <w:sz w:val="24"/>
                <w:szCs w:val="24"/>
              </w:rPr>
              <w:t>SLNB</w:t>
            </w:r>
            <w:r w:rsidR="001F3D2E">
              <w:rPr>
                <w:color w:val="auto"/>
                <w:sz w:val="24"/>
                <w:szCs w:val="24"/>
              </w:rPr>
              <w:t>x</w:t>
            </w:r>
            <w:proofErr w:type="spellEnd"/>
            <w:r w:rsidRPr="00162053">
              <w:rPr>
                <w:color w:val="auto"/>
                <w:sz w:val="24"/>
                <w:szCs w:val="24"/>
              </w:rPr>
              <w:t xml:space="preserve"> procedure involves </w:t>
            </w:r>
            <w:r w:rsidR="00DD2165">
              <w:rPr>
                <w:color w:val="auto"/>
                <w:sz w:val="24"/>
                <w:szCs w:val="24"/>
              </w:rPr>
              <w:t>two steps. First,</w:t>
            </w:r>
            <w:r w:rsidRPr="00162053">
              <w:rPr>
                <w:color w:val="auto"/>
                <w:sz w:val="24"/>
                <w:szCs w:val="24"/>
              </w:rPr>
              <w:t xml:space="preserve"> radioactive dye </w:t>
            </w:r>
            <w:proofErr w:type="gramStart"/>
            <w:r w:rsidRPr="00162053">
              <w:rPr>
                <w:color w:val="auto"/>
                <w:sz w:val="24"/>
                <w:szCs w:val="24"/>
              </w:rPr>
              <w:t>is injected</w:t>
            </w:r>
            <w:proofErr w:type="gramEnd"/>
            <w:r w:rsidRPr="00162053">
              <w:rPr>
                <w:color w:val="auto"/>
                <w:sz w:val="24"/>
                <w:szCs w:val="24"/>
              </w:rPr>
              <w:t xml:space="preserve"> around the site of the original melanoma </w:t>
            </w:r>
            <w:r w:rsidR="002F26A5">
              <w:rPr>
                <w:color w:val="auto"/>
                <w:sz w:val="24"/>
                <w:szCs w:val="24"/>
              </w:rPr>
              <w:t>s</w:t>
            </w:r>
            <w:r w:rsidR="002F26A5">
              <w:rPr>
                <w:sz w:val="24"/>
                <w:szCs w:val="24"/>
              </w:rPr>
              <w:t>o</w:t>
            </w:r>
            <w:r w:rsidR="002F26A5" w:rsidRPr="00162053">
              <w:rPr>
                <w:color w:val="auto"/>
                <w:sz w:val="24"/>
                <w:szCs w:val="24"/>
              </w:rPr>
              <w:t xml:space="preserve"> </w:t>
            </w:r>
            <w:r w:rsidRPr="00162053">
              <w:rPr>
                <w:color w:val="auto"/>
                <w:sz w:val="24"/>
                <w:szCs w:val="24"/>
              </w:rPr>
              <w:t xml:space="preserve">a camera can </w:t>
            </w:r>
            <w:r w:rsidR="002F26A5">
              <w:rPr>
                <w:color w:val="auto"/>
                <w:sz w:val="24"/>
                <w:szCs w:val="24"/>
              </w:rPr>
              <w:t xml:space="preserve">find </w:t>
            </w:r>
            <w:r w:rsidRPr="00162053">
              <w:rPr>
                <w:color w:val="auto"/>
                <w:sz w:val="24"/>
                <w:szCs w:val="24"/>
              </w:rPr>
              <w:t xml:space="preserve">the </w:t>
            </w:r>
            <w:r w:rsidR="00331FBF">
              <w:rPr>
                <w:color w:val="auto"/>
                <w:sz w:val="24"/>
                <w:szCs w:val="24"/>
              </w:rPr>
              <w:t>nearest lymph</w:t>
            </w:r>
            <w:r w:rsidRPr="00162053">
              <w:rPr>
                <w:color w:val="auto"/>
                <w:sz w:val="24"/>
                <w:szCs w:val="24"/>
              </w:rPr>
              <w:t xml:space="preserve"> nodes</w:t>
            </w:r>
            <w:r w:rsidR="00DD2165">
              <w:rPr>
                <w:color w:val="auto"/>
                <w:sz w:val="24"/>
                <w:szCs w:val="24"/>
              </w:rPr>
              <w:t>: this is called lymphatic mapping</w:t>
            </w:r>
            <w:r w:rsidRPr="001E50BD">
              <w:rPr>
                <w:color w:val="auto"/>
              </w:rPr>
              <w:t xml:space="preserve">. </w:t>
            </w:r>
            <w:r w:rsidR="001B14BB">
              <w:rPr>
                <w:color w:val="auto"/>
              </w:rPr>
              <w:t>Second, t</w:t>
            </w:r>
            <w:r w:rsidRPr="001E50BD">
              <w:rPr>
                <w:color w:val="auto"/>
              </w:rPr>
              <w:t>he</w:t>
            </w:r>
            <w:r w:rsidR="00331FBF">
              <w:rPr>
                <w:color w:val="auto"/>
              </w:rPr>
              <w:t>se lymph</w:t>
            </w:r>
            <w:r w:rsidRPr="00162053">
              <w:rPr>
                <w:color w:val="auto"/>
                <w:sz w:val="24"/>
                <w:szCs w:val="24"/>
              </w:rPr>
              <w:t xml:space="preserve"> nodes </w:t>
            </w:r>
            <w:proofErr w:type="gramStart"/>
            <w:r w:rsidRPr="00162053">
              <w:rPr>
                <w:color w:val="auto"/>
                <w:sz w:val="24"/>
                <w:szCs w:val="24"/>
              </w:rPr>
              <w:t xml:space="preserve">are </w:t>
            </w:r>
            <w:r w:rsidR="00DD2165">
              <w:rPr>
                <w:color w:val="auto"/>
                <w:sz w:val="24"/>
                <w:szCs w:val="24"/>
              </w:rPr>
              <w:t xml:space="preserve">then </w:t>
            </w:r>
            <w:r w:rsidRPr="00162053">
              <w:rPr>
                <w:color w:val="auto"/>
                <w:sz w:val="24"/>
                <w:szCs w:val="24"/>
              </w:rPr>
              <w:t xml:space="preserve">removed and examined under a microscope </w:t>
            </w:r>
            <w:r w:rsidR="002F26A5">
              <w:rPr>
                <w:color w:val="auto"/>
                <w:sz w:val="24"/>
                <w:szCs w:val="24"/>
              </w:rPr>
              <w:t xml:space="preserve">for evidence of </w:t>
            </w:r>
            <w:r w:rsidR="001E50BD">
              <w:rPr>
                <w:color w:val="auto"/>
                <w:sz w:val="24"/>
                <w:szCs w:val="24"/>
              </w:rPr>
              <w:t>melanoma</w:t>
            </w:r>
            <w:r w:rsidR="002F26A5">
              <w:rPr>
                <w:color w:val="auto"/>
                <w:sz w:val="24"/>
                <w:szCs w:val="24"/>
              </w:rPr>
              <w:t xml:space="preserve"> cells</w:t>
            </w:r>
            <w:proofErr w:type="gramEnd"/>
            <w:r w:rsidRPr="00162053">
              <w:rPr>
                <w:color w:val="auto"/>
                <w:sz w:val="24"/>
                <w:szCs w:val="24"/>
              </w:rPr>
              <w:t>.</w:t>
            </w:r>
            <w:r w:rsidR="00DD2165">
              <w:rPr>
                <w:color w:val="auto"/>
                <w:sz w:val="24"/>
                <w:szCs w:val="24"/>
              </w:rPr>
              <w:t xml:space="preserve"> </w:t>
            </w:r>
          </w:p>
          <w:p w14:paraId="617081C3" w14:textId="0A885CE7" w:rsidR="00162053" w:rsidRPr="00162053" w:rsidRDefault="00162053" w:rsidP="00162053">
            <w:pPr>
              <w:pStyle w:val="Default"/>
              <w:spacing w:before="120" w:after="240"/>
              <w:rPr>
                <w:color w:val="auto"/>
                <w:sz w:val="24"/>
                <w:szCs w:val="24"/>
              </w:rPr>
            </w:pPr>
            <w:r w:rsidRPr="00162053">
              <w:rPr>
                <w:color w:val="auto"/>
                <w:sz w:val="24"/>
                <w:szCs w:val="24"/>
              </w:rPr>
              <w:t xml:space="preserve">MSAC considered that, because of new treatments available to treat </w:t>
            </w:r>
            <w:r w:rsidR="00121144">
              <w:rPr>
                <w:color w:val="auto"/>
                <w:sz w:val="24"/>
                <w:szCs w:val="24"/>
              </w:rPr>
              <w:t xml:space="preserve">some types of </w:t>
            </w:r>
            <w:r w:rsidRPr="00162053">
              <w:rPr>
                <w:color w:val="auto"/>
                <w:sz w:val="24"/>
                <w:szCs w:val="24"/>
              </w:rPr>
              <w:t xml:space="preserve">melanoma, it is important for </w:t>
            </w:r>
            <w:proofErr w:type="spellStart"/>
            <w:r w:rsidRPr="00162053">
              <w:rPr>
                <w:color w:val="auto"/>
                <w:sz w:val="24"/>
                <w:szCs w:val="24"/>
              </w:rPr>
              <w:t>SLNBx</w:t>
            </w:r>
            <w:proofErr w:type="spellEnd"/>
            <w:r w:rsidRPr="00162053">
              <w:rPr>
                <w:color w:val="auto"/>
                <w:sz w:val="24"/>
                <w:szCs w:val="24"/>
              </w:rPr>
              <w:t xml:space="preserve"> to be available to </w:t>
            </w:r>
            <w:r w:rsidR="00121144">
              <w:rPr>
                <w:color w:val="auto"/>
                <w:sz w:val="24"/>
                <w:szCs w:val="24"/>
              </w:rPr>
              <w:t xml:space="preserve">some </w:t>
            </w:r>
            <w:r w:rsidRPr="00162053">
              <w:rPr>
                <w:color w:val="auto"/>
                <w:sz w:val="24"/>
                <w:szCs w:val="24"/>
              </w:rPr>
              <w:t xml:space="preserve">patients with melanoma. This will help to determine </w:t>
            </w:r>
            <w:proofErr w:type="gramStart"/>
            <w:r w:rsidRPr="00162053">
              <w:rPr>
                <w:color w:val="auto"/>
                <w:sz w:val="24"/>
                <w:szCs w:val="24"/>
              </w:rPr>
              <w:t>sooner which</w:t>
            </w:r>
            <w:proofErr w:type="gramEnd"/>
            <w:r w:rsidRPr="00162053">
              <w:rPr>
                <w:color w:val="auto"/>
                <w:sz w:val="24"/>
                <w:szCs w:val="24"/>
              </w:rPr>
              <w:t xml:space="preserve"> patients will benefit from </w:t>
            </w:r>
            <w:r w:rsidR="00121144">
              <w:rPr>
                <w:color w:val="auto"/>
                <w:sz w:val="24"/>
                <w:szCs w:val="24"/>
              </w:rPr>
              <w:t xml:space="preserve">these </w:t>
            </w:r>
            <w:r w:rsidRPr="00162053">
              <w:rPr>
                <w:color w:val="auto"/>
                <w:sz w:val="24"/>
                <w:szCs w:val="24"/>
              </w:rPr>
              <w:t>treatment</w:t>
            </w:r>
            <w:r w:rsidR="00121144">
              <w:rPr>
                <w:color w:val="auto"/>
                <w:sz w:val="24"/>
                <w:szCs w:val="24"/>
              </w:rPr>
              <w:t>s</w:t>
            </w:r>
            <w:r w:rsidRPr="00162053">
              <w:rPr>
                <w:color w:val="auto"/>
                <w:sz w:val="24"/>
                <w:szCs w:val="24"/>
              </w:rPr>
              <w:t>. The evidence shows that</w:t>
            </w:r>
            <w:r w:rsidR="00244D6B">
              <w:rPr>
                <w:color w:val="auto"/>
                <w:sz w:val="24"/>
                <w:szCs w:val="24"/>
              </w:rPr>
              <w:t>, when used in the right patients,</w:t>
            </w:r>
            <w:r w:rsidRPr="00162053">
              <w:rPr>
                <w:color w:val="auto"/>
                <w:sz w:val="24"/>
                <w:szCs w:val="24"/>
              </w:rPr>
              <w:t xml:space="preserve"> there is a</w:t>
            </w:r>
            <w:r w:rsidR="00121144">
              <w:rPr>
                <w:color w:val="auto"/>
                <w:sz w:val="24"/>
                <w:szCs w:val="24"/>
              </w:rPr>
              <w:t>n overall</w:t>
            </w:r>
            <w:r w:rsidRPr="00162053">
              <w:rPr>
                <w:color w:val="auto"/>
                <w:sz w:val="24"/>
                <w:szCs w:val="24"/>
              </w:rPr>
              <w:t xml:space="preserve"> benefit to using </w:t>
            </w:r>
            <w:proofErr w:type="spellStart"/>
            <w:r w:rsidRPr="00162053">
              <w:rPr>
                <w:color w:val="auto"/>
                <w:sz w:val="24"/>
                <w:szCs w:val="24"/>
              </w:rPr>
              <w:t>SLNBx</w:t>
            </w:r>
            <w:proofErr w:type="spellEnd"/>
            <w:r w:rsidRPr="00162053">
              <w:rPr>
                <w:color w:val="auto"/>
                <w:sz w:val="24"/>
                <w:szCs w:val="24"/>
              </w:rPr>
              <w:t xml:space="preserve"> compared with other procedures.</w:t>
            </w:r>
          </w:p>
          <w:p w14:paraId="342EF6CC" w14:textId="3E33CC75" w:rsidR="001121C3" w:rsidRDefault="001121C3" w:rsidP="00162053">
            <w:pPr>
              <w:pStyle w:val="Default"/>
              <w:spacing w:after="120"/>
              <w:rPr>
                <w:b/>
                <w:color w:val="auto"/>
                <w:sz w:val="24"/>
                <w:szCs w:val="24"/>
              </w:rPr>
            </w:pPr>
            <w:r w:rsidRPr="00162053">
              <w:rPr>
                <w:b/>
                <w:color w:val="auto"/>
                <w:sz w:val="24"/>
                <w:szCs w:val="24"/>
              </w:rPr>
              <w:t xml:space="preserve">MSAC’s advice to the Commonwealth Minister </w:t>
            </w:r>
            <w:r w:rsidR="00EC644C">
              <w:rPr>
                <w:b/>
                <w:color w:val="auto"/>
                <w:sz w:val="24"/>
                <w:szCs w:val="24"/>
              </w:rPr>
              <w:t>for</w:t>
            </w:r>
            <w:r w:rsidRPr="00162053">
              <w:rPr>
                <w:b/>
                <w:color w:val="auto"/>
                <w:sz w:val="24"/>
                <w:szCs w:val="24"/>
              </w:rPr>
              <w:t xml:space="preserve"> Health</w:t>
            </w:r>
          </w:p>
          <w:p w14:paraId="08BECB9A" w14:textId="057B6D31" w:rsidR="00162053" w:rsidRPr="00162053" w:rsidRDefault="00162053" w:rsidP="001D3405">
            <w:pPr>
              <w:pStyle w:val="Default"/>
              <w:spacing w:after="240"/>
              <w:rPr>
                <w:color w:val="auto"/>
                <w:sz w:val="24"/>
                <w:szCs w:val="24"/>
              </w:rPr>
            </w:pPr>
            <w:r w:rsidRPr="00162053">
              <w:rPr>
                <w:color w:val="auto"/>
                <w:sz w:val="24"/>
                <w:szCs w:val="24"/>
              </w:rPr>
              <w:t xml:space="preserve">MSAC supported the funding of a new MBS item for </w:t>
            </w:r>
            <w:proofErr w:type="spellStart"/>
            <w:r w:rsidRPr="00162053">
              <w:rPr>
                <w:color w:val="auto"/>
                <w:sz w:val="24"/>
                <w:szCs w:val="24"/>
              </w:rPr>
              <w:t>SLNBx</w:t>
            </w:r>
            <w:proofErr w:type="spellEnd"/>
            <w:r w:rsidRPr="00162053">
              <w:rPr>
                <w:color w:val="auto"/>
                <w:sz w:val="24"/>
                <w:szCs w:val="24"/>
              </w:rPr>
              <w:t xml:space="preserve"> in patients who have high-risk melanomas. MSAC considered that </w:t>
            </w:r>
            <w:proofErr w:type="spellStart"/>
            <w:r w:rsidRPr="00162053">
              <w:rPr>
                <w:color w:val="auto"/>
                <w:sz w:val="24"/>
                <w:szCs w:val="24"/>
              </w:rPr>
              <w:t>SLNBx</w:t>
            </w:r>
            <w:proofErr w:type="spellEnd"/>
            <w:r w:rsidRPr="00162053">
              <w:rPr>
                <w:color w:val="auto"/>
                <w:sz w:val="24"/>
                <w:szCs w:val="24"/>
              </w:rPr>
              <w:t xml:space="preserve"> is safe, </w:t>
            </w:r>
            <w:r w:rsidR="00121144">
              <w:rPr>
                <w:color w:val="auto"/>
                <w:sz w:val="24"/>
                <w:szCs w:val="24"/>
              </w:rPr>
              <w:t xml:space="preserve">clinically </w:t>
            </w:r>
            <w:r w:rsidRPr="00162053">
              <w:rPr>
                <w:color w:val="auto"/>
                <w:sz w:val="24"/>
                <w:szCs w:val="24"/>
              </w:rPr>
              <w:t>effective and cost-effective.</w:t>
            </w:r>
          </w:p>
        </w:tc>
      </w:tr>
    </w:tbl>
    <w:p w14:paraId="74139D42" w14:textId="5BD60FED" w:rsidR="001121C3" w:rsidRPr="00F715D1" w:rsidRDefault="001121C3" w:rsidP="001121C3">
      <w:pPr>
        <w:pStyle w:val="Heading1"/>
      </w:pPr>
      <w:r w:rsidRPr="00F715D1">
        <w:t xml:space="preserve">Summary of consideration </w:t>
      </w:r>
      <w:r w:rsidR="00E379DA">
        <w:t>and rationale for MSAC’s advice</w:t>
      </w:r>
    </w:p>
    <w:p w14:paraId="2F84E9CF" w14:textId="565B088E" w:rsidR="00032929" w:rsidRDefault="00162053" w:rsidP="00162053">
      <w:pPr>
        <w:spacing w:after="240"/>
        <w:rPr>
          <w:szCs w:val="24"/>
        </w:rPr>
      </w:pPr>
      <w:r w:rsidRPr="00162053">
        <w:rPr>
          <w:szCs w:val="24"/>
        </w:rPr>
        <w:t xml:space="preserve">MSAC noted that this resubmission </w:t>
      </w:r>
      <w:r w:rsidR="00E379DA">
        <w:rPr>
          <w:szCs w:val="24"/>
        </w:rPr>
        <w:t xml:space="preserve">sought to address </w:t>
      </w:r>
      <w:r w:rsidR="002E58D6">
        <w:rPr>
          <w:szCs w:val="24"/>
        </w:rPr>
        <w:t xml:space="preserve">the July 2018 </w:t>
      </w:r>
      <w:r w:rsidR="00167EA8">
        <w:rPr>
          <w:szCs w:val="24"/>
        </w:rPr>
        <w:t xml:space="preserve">MSAC </w:t>
      </w:r>
      <w:r w:rsidR="002E58D6">
        <w:rPr>
          <w:szCs w:val="24"/>
        </w:rPr>
        <w:t>meeting</w:t>
      </w:r>
      <w:r w:rsidRPr="00162053">
        <w:rPr>
          <w:szCs w:val="24"/>
        </w:rPr>
        <w:t xml:space="preserve"> </w:t>
      </w:r>
      <w:r w:rsidR="00E379DA">
        <w:rPr>
          <w:szCs w:val="24"/>
        </w:rPr>
        <w:t xml:space="preserve">request for </w:t>
      </w:r>
      <w:r w:rsidRPr="00162053">
        <w:rPr>
          <w:szCs w:val="24"/>
        </w:rPr>
        <w:t>further clarification of the patient selection criteria for adjuvant t</w:t>
      </w:r>
      <w:r w:rsidR="00D8359D">
        <w:rPr>
          <w:szCs w:val="24"/>
        </w:rPr>
        <w:t>herapy</w:t>
      </w:r>
      <w:r w:rsidRPr="00162053">
        <w:rPr>
          <w:szCs w:val="24"/>
        </w:rPr>
        <w:t xml:space="preserve"> of melanoma and the role of </w:t>
      </w:r>
      <w:proofErr w:type="spellStart"/>
      <w:r w:rsidRPr="00162053">
        <w:rPr>
          <w:szCs w:val="24"/>
        </w:rPr>
        <w:t>SLNBx</w:t>
      </w:r>
      <w:proofErr w:type="spellEnd"/>
      <w:r w:rsidRPr="00162053">
        <w:rPr>
          <w:szCs w:val="24"/>
        </w:rPr>
        <w:t xml:space="preserve"> in this patient selection.</w:t>
      </w:r>
    </w:p>
    <w:p w14:paraId="4144DEA7" w14:textId="7745C033" w:rsidR="00162053" w:rsidRPr="00162053" w:rsidRDefault="00032929" w:rsidP="00162053">
      <w:pPr>
        <w:spacing w:after="240"/>
        <w:rPr>
          <w:szCs w:val="24"/>
        </w:rPr>
      </w:pPr>
      <w:r w:rsidRPr="00162053">
        <w:rPr>
          <w:szCs w:val="24"/>
        </w:rPr>
        <w:t>MSAC noted that there has been no new direct evidence since the original application</w:t>
      </w:r>
      <w:r w:rsidR="00121144">
        <w:rPr>
          <w:szCs w:val="24"/>
        </w:rPr>
        <w:t>,</w:t>
      </w:r>
      <w:r w:rsidRPr="00162053">
        <w:rPr>
          <w:szCs w:val="24"/>
        </w:rPr>
        <w:t xml:space="preserve"> but 22</w:t>
      </w:r>
      <w:r>
        <w:rPr>
          <w:szCs w:val="24"/>
        </w:rPr>
        <w:t> </w:t>
      </w:r>
      <w:r w:rsidRPr="00162053">
        <w:rPr>
          <w:szCs w:val="24"/>
        </w:rPr>
        <w:t>studies were included in the resubmission</w:t>
      </w:r>
      <w:r w:rsidR="00250C45">
        <w:rPr>
          <w:szCs w:val="24"/>
        </w:rPr>
        <w:t xml:space="preserve"> as linked evidence</w:t>
      </w:r>
      <w:r w:rsidRPr="00162053">
        <w:rPr>
          <w:szCs w:val="24"/>
        </w:rPr>
        <w:t>.</w:t>
      </w:r>
    </w:p>
    <w:p w14:paraId="0A1E8829" w14:textId="01413A59" w:rsidR="00863E99" w:rsidRDefault="00863E99" w:rsidP="00162053">
      <w:pPr>
        <w:spacing w:after="240"/>
        <w:rPr>
          <w:szCs w:val="24"/>
        </w:rPr>
      </w:pPr>
      <w:r w:rsidRPr="00162053">
        <w:rPr>
          <w:szCs w:val="24"/>
        </w:rPr>
        <w:t xml:space="preserve">MSAC noted that </w:t>
      </w:r>
      <w:proofErr w:type="spellStart"/>
      <w:r w:rsidRPr="00162053">
        <w:rPr>
          <w:szCs w:val="24"/>
        </w:rPr>
        <w:t>SLNBx</w:t>
      </w:r>
      <w:proofErr w:type="spellEnd"/>
      <w:r w:rsidRPr="00162053">
        <w:rPr>
          <w:szCs w:val="24"/>
        </w:rPr>
        <w:t xml:space="preserve"> is already being performed and is relatively safe, with </w:t>
      </w:r>
      <w:r w:rsidRPr="001E50BD">
        <w:rPr>
          <w:szCs w:val="24"/>
        </w:rPr>
        <w:t xml:space="preserve">the </w:t>
      </w:r>
      <w:r w:rsidR="001E50BD" w:rsidRPr="001E50BD">
        <w:rPr>
          <w:szCs w:val="24"/>
        </w:rPr>
        <w:t xml:space="preserve">reported </w:t>
      </w:r>
      <w:r w:rsidRPr="001E50BD">
        <w:rPr>
          <w:szCs w:val="24"/>
        </w:rPr>
        <w:t>risk of</w:t>
      </w:r>
      <w:r w:rsidRPr="00162053">
        <w:rPr>
          <w:szCs w:val="24"/>
        </w:rPr>
        <w:t xml:space="preserve"> adverse events </w:t>
      </w:r>
      <w:r w:rsidR="00121144">
        <w:rPr>
          <w:szCs w:val="24"/>
        </w:rPr>
        <w:t xml:space="preserve">being </w:t>
      </w:r>
      <w:r w:rsidRPr="00162053">
        <w:rPr>
          <w:szCs w:val="24"/>
        </w:rPr>
        <w:t xml:space="preserve">similar between wide local </w:t>
      </w:r>
      <w:proofErr w:type="gramStart"/>
      <w:r w:rsidRPr="00162053">
        <w:rPr>
          <w:szCs w:val="24"/>
        </w:rPr>
        <w:t>excision</w:t>
      </w:r>
      <w:proofErr w:type="gramEnd"/>
      <w:r w:rsidRPr="00162053">
        <w:rPr>
          <w:szCs w:val="24"/>
        </w:rPr>
        <w:t xml:space="preserve"> (WLE) </w:t>
      </w:r>
      <w:r w:rsidR="00121144">
        <w:rPr>
          <w:szCs w:val="24"/>
        </w:rPr>
        <w:t xml:space="preserve">with </w:t>
      </w:r>
      <w:proofErr w:type="spellStart"/>
      <w:r w:rsidRPr="00162053">
        <w:rPr>
          <w:szCs w:val="24"/>
        </w:rPr>
        <w:t>SLNBx</w:t>
      </w:r>
      <w:proofErr w:type="spellEnd"/>
      <w:r w:rsidRPr="00162053">
        <w:rPr>
          <w:szCs w:val="24"/>
        </w:rPr>
        <w:t xml:space="preserve"> </w:t>
      </w:r>
      <w:r w:rsidR="00121144">
        <w:rPr>
          <w:szCs w:val="24"/>
        </w:rPr>
        <w:t xml:space="preserve">versus WLE </w:t>
      </w:r>
      <w:r w:rsidRPr="00162053">
        <w:rPr>
          <w:szCs w:val="24"/>
        </w:rPr>
        <w:t xml:space="preserve">alone. However, given that </w:t>
      </w:r>
      <w:proofErr w:type="spellStart"/>
      <w:r w:rsidRPr="00162053">
        <w:rPr>
          <w:szCs w:val="24"/>
        </w:rPr>
        <w:t>SLNBx</w:t>
      </w:r>
      <w:proofErr w:type="spellEnd"/>
      <w:r w:rsidRPr="00162053">
        <w:rPr>
          <w:szCs w:val="24"/>
        </w:rPr>
        <w:t xml:space="preserve"> is an additional surgical procedure, doing </w:t>
      </w:r>
      <w:proofErr w:type="spellStart"/>
      <w:r w:rsidRPr="00162053">
        <w:rPr>
          <w:szCs w:val="24"/>
        </w:rPr>
        <w:t>SLNBx</w:t>
      </w:r>
      <w:proofErr w:type="spellEnd"/>
      <w:r w:rsidRPr="00162053">
        <w:rPr>
          <w:szCs w:val="24"/>
        </w:rPr>
        <w:t xml:space="preserve"> in addition to WLE means that there is an additional risk of adverse events compared with WLE alone.</w:t>
      </w:r>
    </w:p>
    <w:p w14:paraId="1F90509A" w14:textId="295C0782" w:rsidR="00551260" w:rsidRPr="00162053" w:rsidRDefault="00162053" w:rsidP="00162053">
      <w:pPr>
        <w:spacing w:after="240"/>
        <w:rPr>
          <w:szCs w:val="24"/>
        </w:rPr>
      </w:pPr>
      <w:proofErr w:type="gramStart"/>
      <w:r w:rsidRPr="00162053">
        <w:rPr>
          <w:szCs w:val="24"/>
        </w:rPr>
        <w:lastRenderedPageBreak/>
        <w:t xml:space="preserve">MSAC </w:t>
      </w:r>
      <w:r w:rsidR="00D65CAD">
        <w:rPr>
          <w:szCs w:val="24"/>
        </w:rPr>
        <w:t>recalled</w:t>
      </w:r>
      <w:r w:rsidRPr="00162053">
        <w:rPr>
          <w:szCs w:val="24"/>
        </w:rPr>
        <w:t xml:space="preserve"> that clinical practice </w:t>
      </w:r>
      <w:r w:rsidR="00121144">
        <w:rPr>
          <w:szCs w:val="24"/>
        </w:rPr>
        <w:t>ha</w:t>
      </w:r>
      <w:r w:rsidR="00D65CAD">
        <w:rPr>
          <w:szCs w:val="24"/>
        </w:rPr>
        <w:t>d</w:t>
      </w:r>
      <w:r w:rsidR="00121144">
        <w:rPr>
          <w:szCs w:val="24"/>
        </w:rPr>
        <w:t xml:space="preserve"> </w:t>
      </w:r>
      <w:r w:rsidRPr="00162053">
        <w:rPr>
          <w:szCs w:val="24"/>
        </w:rPr>
        <w:t xml:space="preserve">changed after </w:t>
      </w:r>
      <w:r w:rsidR="00D65CAD">
        <w:rPr>
          <w:szCs w:val="24"/>
        </w:rPr>
        <w:t xml:space="preserve">the initial submission because </w:t>
      </w:r>
      <w:r w:rsidRPr="00162053">
        <w:rPr>
          <w:szCs w:val="24"/>
        </w:rPr>
        <w:t xml:space="preserve">a </w:t>
      </w:r>
      <w:r w:rsidR="00121144">
        <w:rPr>
          <w:szCs w:val="24"/>
        </w:rPr>
        <w:t xml:space="preserve">recent </w:t>
      </w:r>
      <w:r w:rsidRPr="00162053">
        <w:rPr>
          <w:szCs w:val="24"/>
        </w:rPr>
        <w:t xml:space="preserve">study (MSLT-II) showed that there is no survival benefit for complete lymph node dissection (CLND) after a positive </w:t>
      </w:r>
      <w:proofErr w:type="spellStart"/>
      <w:r w:rsidRPr="00162053">
        <w:rPr>
          <w:szCs w:val="24"/>
        </w:rPr>
        <w:t>SLNBx</w:t>
      </w:r>
      <w:proofErr w:type="spellEnd"/>
      <w:r w:rsidRPr="00162053">
        <w:rPr>
          <w:szCs w:val="24"/>
        </w:rPr>
        <w:t xml:space="preserve">. MSAC accepted the </w:t>
      </w:r>
      <w:r w:rsidR="00244D6B">
        <w:rPr>
          <w:szCs w:val="24"/>
        </w:rPr>
        <w:t xml:space="preserve">revised </w:t>
      </w:r>
      <w:r w:rsidRPr="00162053">
        <w:rPr>
          <w:szCs w:val="24"/>
        </w:rPr>
        <w:t xml:space="preserve">clinical claim </w:t>
      </w:r>
      <w:r w:rsidR="00F23D1E">
        <w:rPr>
          <w:szCs w:val="24"/>
        </w:rPr>
        <w:t xml:space="preserve">for the application </w:t>
      </w:r>
      <w:r w:rsidRPr="00162053">
        <w:rPr>
          <w:szCs w:val="24"/>
        </w:rPr>
        <w:t xml:space="preserve">– that </w:t>
      </w:r>
      <w:proofErr w:type="spellStart"/>
      <w:r w:rsidR="00D65CAD">
        <w:rPr>
          <w:szCs w:val="24"/>
        </w:rPr>
        <w:t>SLNBx</w:t>
      </w:r>
      <w:proofErr w:type="spellEnd"/>
      <w:r w:rsidR="00D65CAD">
        <w:rPr>
          <w:szCs w:val="24"/>
        </w:rPr>
        <w:t xml:space="preserve"> would allow </w:t>
      </w:r>
      <w:r w:rsidRPr="00162053">
        <w:rPr>
          <w:szCs w:val="24"/>
        </w:rPr>
        <w:t xml:space="preserve">effective treatment selection </w:t>
      </w:r>
      <w:r w:rsidR="00D65CAD">
        <w:rPr>
          <w:szCs w:val="24"/>
        </w:rPr>
        <w:t xml:space="preserve">by helping determine which </w:t>
      </w:r>
      <w:r w:rsidRPr="00162053">
        <w:rPr>
          <w:szCs w:val="24"/>
        </w:rPr>
        <w:t>patient</w:t>
      </w:r>
      <w:r w:rsidR="00D65CAD">
        <w:rPr>
          <w:szCs w:val="24"/>
        </w:rPr>
        <w:t>s are</w:t>
      </w:r>
      <w:r w:rsidRPr="00162053">
        <w:rPr>
          <w:szCs w:val="24"/>
        </w:rPr>
        <w:t xml:space="preserve"> eligible for newly approved </w:t>
      </w:r>
      <w:r w:rsidR="00244D6B">
        <w:rPr>
          <w:szCs w:val="24"/>
        </w:rPr>
        <w:t>adjuvant</w:t>
      </w:r>
      <w:r w:rsidRPr="00162053">
        <w:rPr>
          <w:szCs w:val="24"/>
        </w:rPr>
        <w:t xml:space="preserve"> therapies.</w:t>
      </w:r>
      <w:proofErr w:type="gramEnd"/>
    </w:p>
    <w:p w14:paraId="7E70EEF2" w14:textId="0623B24D" w:rsidR="00757E4D" w:rsidRDefault="00757E4D" w:rsidP="00013CED">
      <w:pPr>
        <w:spacing w:after="240"/>
        <w:rPr>
          <w:lang w:eastAsia="en-US"/>
        </w:rPr>
      </w:pPr>
      <w:r>
        <w:rPr>
          <w:lang w:eastAsia="en-US"/>
        </w:rPr>
        <w:t>MS</w:t>
      </w:r>
      <w:r w:rsidR="00551260">
        <w:rPr>
          <w:lang w:eastAsia="en-US"/>
        </w:rPr>
        <w:t>A</w:t>
      </w:r>
      <w:r>
        <w:rPr>
          <w:lang w:eastAsia="en-US"/>
        </w:rPr>
        <w:t>C noted that</w:t>
      </w:r>
      <w:r w:rsidRPr="00937CB3">
        <w:rPr>
          <w:lang w:eastAsia="en-US"/>
        </w:rPr>
        <w:t xml:space="preserve"> </w:t>
      </w:r>
      <w:proofErr w:type="spellStart"/>
      <w:r w:rsidRPr="00937CB3">
        <w:rPr>
          <w:lang w:eastAsia="en-US"/>
        </w:rPr>
        <w:t>nivolumab</w:t>
      </w:r>
      <w:proofErr w:type="spellEnd"/>
      <w:r w:rsidRPr="00937CB3">
        <w:rPr>
          <w:lang w:eastAsia="en-US"/>
        </w:rPr>
        <w:t xml:space="preserve"> is now </w:t>
      </w:r>
      <w:r>
        <w:rPr>
          <w:lang w:eastAsia="en-US"/>
        </w:rPr>
        <w:t>PBS-</w:t>
      </w:r>
      <w:r w:rsidRPr="00937CB3">
        <w:rPr>
          <w:lang w:eastAsia="en-US"/>
        </w:rPr>
        <w:t xml:space="preserve">listed for </w:t>
      </w:r>
      <w:r>
        <w:rPr>
          <w:lang w:eastAsia="en-US"/>
        </w:rPr>
        <w:t xml:space="preserve">patients with </w:t>
      </w:r>
      <w:r w:rsidRPr="00937CB3">
        <w:rPr>
          <w:lang w:eastAsia="en-US"/>
        </w:rPr>
        <w:t>Stage</w:t>
      </w:r>
      <w:r>
        <w:rPr>
          <w:lang w:eastAsia="en-US"/>
        </w:rPr>
        <w:t> </w:t>
      </w:r>
      <w:r w:rsidRPr="00662987">
        <w:t>IIIB, Stage</w:t>
      </w:r>
      <w:r w:rsidR="00596515">
        <w:t> </w:t>
      </w:r>
      <w:r w:rsidRPr="00662987">
        <w:t>IIIC or Stage</w:t>
      </w:r>
      <w:r w:rsidR="00596515">
        <w:t> </w:t>
      </w:r>
      <w:r w:rsidRPr="00662987">
        <w:t xml:space="preserve">IIID </w:t>
      </w:r>
      <w:r>
        <w:t>melanoma</w:t>
      </w:r>
      <w:r w:rsidRPr="00937CB3">
        <w:rPr>
          <w:lang w:eastAsia="en-US"/>
        </w:rPr>
        <w:t xml:space="preserve">, </w:t>
      </w:r>
      <w:r>
        <w:rPr>
          <w:lang w:eastAsia="en-US"/>
        </w:rPr>
        <w:t>as well as</w:t>
      </w:r>
      <w:r w:rsidRPr="00937CB3">
        <w:rPr>
          <w:lang w:eastAsia="en-US"/>
        </w:rPr>
        <w:t xml:space="preserve"> dabrafenib and trametinib for </w:t>
      </w:r>
      <w:r>
        <w:rPr>
          <w:lang w:eastAsia="en-US"/>
        </w:rPr>
        <w:t xml:space="preserve">patients who are also </w:t>
      </w:r>
      <w:r w:rsidRPr="00460353">
        <w:rPr>
          <w:i/>
          <w:lang w:eastAsia="en-US"/>
        </w:rPr>
        <w:t>BRAF</w:t>
      </w:r>
      <w:r>
        <w:rPr>
          <w:lang w:eastAsia="en-US"/>
        </w:rPr>
        <w:t>-</w:t>
      </w:r>
      <w:r w:rsidRPr="00937CB3">
        <w:rPr>
          <w:lang w:eastAsia="en-US"/>
        </w:rPr>
        <w:t xml:space="preserve">positive. </w:t>
      </w:r>
      <w:proofErr w:type="spellStart"/>
      <w:r>
        <w:t>Nivolumab</w:t>
      </w:r>
      <w:proofErr w:type="spellEnd"/>
      <w:r>
        <w:t xml:space="preserve"> was PBS-listed for this indication on 1 March 2020, so</w:t>
      </w:r>
      <w:r w:rsidRPr="00937CB3">
        <w:rPr>
          <w:lang w:eastAsia="en-US"/>
        </w:rPr>
        <w:t xml:space="preserve"> </w:t>
      </w:r>
      <w:r w:rsidR="00596515">
        <w:rPr>
          <w:lang w:eastAsia="en-US"/>
        </w:rPr>
        <w:t xml:space="preserve">any </w:t>
      </w:r>
      <w:proofErr w:type="spellStart"/>
      <w:r w:rsidRPr="00937CB3">
        <w:rPr>
          <w:lang w:eastAsia="en-US"/>
        </w:rPr>
        <w:t>SLNBx</w:t>
      </w:r>
      <w:proofErr w:type="spellEnd"/>
      <w:r>
        <w:rPr>
          <w:lang w:eastAsia="en-US"/>
        </w:rPr>
        <w:t>-</w:t>
      </w:r>
      <w:r w:rsidRPr="00937CB3">
        <w:rPr>
          <w:lang w:eastAsia="en-US"/>
        </w:rPr>
        <w:t xml:space="preserve">positive patient </w:t>
      </w:r>
      <w:r>
        <w:rPr>
          <w:lang w:eastAsia="en-US"/>
        </w:rPr>
        <w:t xml:space="preserve">who </w:t>
      </w:r>
      <w:proofErr w:type="gramStart"/>
      <w:r w:rsidR="00596515">
        <w:rPr>
          <w:lang w:eastAsia="en-US"/>
        </w:rPr>
        <w:t>is</w:t>
      </w:r>
      <w:r>
        <w:rPr>
          <w:lang w:eastAsia="en-US"/>
        </w:rPr>
        <w:t xml:space="preserve"> diagnosed</w:t>
      </w:r>
      <w:proofErr w:type="gramEnd"/>
      <w:r>
        <w:rPr>
          <w:lang w:eastAsia="en-US"/>
        </w:rPr>
        <w:t xml:space="preserve"> with Stage</w:t>
      </w:r>
      <w:r w:rsidR="00596515">
        <w:rPr>
          <w:lang w:eastAsia="en-US"/>
        </w:rPr>
        <w:t> </w:t>
      </w:r>
      <w:r w:rsidRPr="00662987">
        <w:t>IIIB, Stage</w:t>
      </w:r>
      <w:r w:rsidR="00596515">
        <w:t> </w:t>
      </w:r>
      <w:r w:rsidRPr="00662987">
        <w:t>IIIC or Stage</w:t>
      </w:r>
      <w:r w:rsidR="00596515">
        <w:t> </w:t>
      </w:r>
      <w:r w:rsidRPr="00662987">
        <w:t xml:space="preserve">IIID </w:t>
      </w:r>
      <w:r>
        <w:t>melanoma</w:t>
      </w:r>
      <w:r w:rsidRPr="00937CB3">
        <w:rPr>
          <w:lang w:eastAsia="en-US"/>
        </w:rPr>
        <w:t xml:space="preserve"> </w:t>
      </w:r>
      <w:r>
        <w:rPr>
          <w:lang w:eastAsia="en-US"/>
        </w:rPr>
        <w:t xml:space="preserve">could be offered </w:t>
      </w:r>
      <w:r w:rsidR="00596515">
        <w:rPr>
          <w:lang w:eastAsia="en-US"/>
        </w:rPr>
        <w:t xml:space="preserve">this </w:t>
      </w:r>
      <w:r>
        <w:rPr>
          <w:lang w:eastAsia="en-US"/>
        </w:rPr>
        <w:t xml:space="preserve">adjuvant therapy. </w:t>
      </w:r>
      <w:r w:rsidR="00863E99">
        <w:rPr>
          <w:lang w:eastAsia="en-US"/>
        </w:rPr>
        <w:t xml:space="preserve">MSAC considered this </w:t>
      </w:r>
      <w:proofErr w:type="gramStart"/>
      <w:r w:rsidR="00863E99">
        <w:rPr>
          <w:lang w:eastAsia="en-US"/>
        </w:rPr>
        <w:t>to be important</w:t>
      </w:r>
      <w:proofErr w:type="gramEnd"/>
      <w:r w:rsidR="00863E99">
        <w:rPr>
          <w:lang w:eastAsia="en-US"/>
        </w:rPr>
        <w:t xml:space="preserve"> because these a</w:t>
      </w:r>
      <w:r w:rsidR="00863E99" w:rsidRPr="00401EB0">
        <w:rPr>
          <w:lang w:eastAsia="en-US"/>
        </w:rPr>
        <w:t xml:space="preserve">djuvant therapies have been demonstrated to improve </w:t>
      </w:r>
      <w:r w:rsidR="00863E99">
        <w:rPr>
          <w:lang w:eastAsia="en-US"/>
        </w:rPr>
        <w:t xml:space="preserve">cancer </w:t>
      </w:r>
      <w:r w:rsidR="00863E99" w:rsidRPr="00401EB0">
        <w:rPr>
          <w:lang w:eastAsia="en-US"/>
        </w:rPr>
        <w:t>outcomes.</w:t>
      </w:r>
      <w:r w:rsidR="00863E99">
        <w:rPr>
          <w:lang w:eastAsia="en-US"/>
        </w:rPr>
        <w:t xml:space="preserve"> </w:t>
      </w:r>
      <w:r>
        <w:rPr>
          <w:lang w:eastAsia="en-US"/>
        </w:rPr>
        <w:t>However, MSAC considered that not all pati</w:t>
      </w:r>
      <w:r w:rsidR="00A72631">
        <w:rPr>
          <w:lang w:eastAsia="en-US"/>
        </w:rPr>
        <w:t xml:space="preserve">ents who will receive </w:t>
      </w:r>
      <w:proofErr w:type="spellStart"/>
      <w:r w:rsidR="00A72631">
        <w:rPr>
          <w:lang w:eastAsia="en-US"/>
        </w:rPr>
        <w:t>SLNBx</w:t>
      </w:r>
      <w:proofErr w:type="spellEnd"/>
      <w:r w:rsidR="00A72631">
        <w:rPr>
          <w:lang w:eastAsia="en-US"/>
        </w:rPr>
        <w:t xml:space="preserve"> would</w:t>
      </w:r>
      <w:r>
        <w:rPr>
          <w:lang w:eastAsia="en-US"/>
        </w:rPr>
        <w:t xml:space="preserve"> be eligible for adjuvant therapies</w:t>
      </w:r>
      <w:r w:rsidR="00A72631">
        <w:rPr>
          <w:lang w:eastAsia="en-US"/>
        </w:rPr>
        <w:t xml:space="preserve"> on the </w:t>
      </w:r>
      <w:r w:rsidR="00863E99">
        <w:rPr>
          <w:lang w:eastAsia="en-US"/>
        </w:rPr>
        <w:t>PBS</w:t>
      </w:r>
      <w:r w:rsidR="00D65CAD">
        <w:rPr>
          <w:lang w:eastAsia="en-US"/>
        </w:rPr>
        <w:t xml:space="preserve"> because the </w:t>
      </w:r>
      <w:r w:rsidR="00B54521">
        <w:rPr>
          <w:lang w:eastAsia="en-US"/>
        </w:rPr>
        <w:t xml:space="preserve">main </w:t>
      </w:r>
      <w:r w:rsidR="00D65CAD">
        <w:rPr>
          <w:lang w:eastAsia="en-US"/>
        </w:rPr>
        <w:t xml:space="preserve">purpose of </w:t>
      </w:r>
      <w:proofErr w:type="spellStart"/>
      <w:r w:rsidR="00D65CAD">
        <w:rPr>
          <w:lang w:eastAsia="en-US"/>
        </w:rPr>
        <w:t>SLNBx</w:t>
      </w:r>
      <w:proofErr w:type="spellEnd"/>
      <w:r w:rsidR="00D65CAD">
        <w:rPr>
          <w:lang w:eastAsia="en-US"/>
        </w:rPr>
        <w:t xml:space="preserve"> would be to help determine which of these patients have </w:t>
      </w:r>
      <w:r w:rsidR="00D65CAD" w:rsidRPr="00937CB3">
        <w:rPr>
          <w:lang w:eastAsia="en-US"/>
        </w:rPr>
        <w:t>Stage</w:t>
      </w:r>
      <w:r w:rsidR="00D65CAD">
        <w:rPr>
          <w:lang w:eastAsia="en-US"/>
        </w:rPr>
        <w:t> </w:t>
      </w:r>
      <w:r w:rsidR="00D65CAD" w:rsidRPr="00662987">
        <w:t>IIIB, Stage</w:t>
      </w:r>
      <w:r w:rsidR="00D65CAD">
        <w:t> </w:t>
      </w:r>
      <w:r w:rsidR="00D65CAD" w:rsidRPr="00662987">
        <w:t>IIIC or Stage</w:t>
      </w:r>
      <w:r w:rsidR="00D65CAD">
        <w:t> </w:t>
      </w:r>
      <w:r w:rsidR="00D65CAD" w:rsidRPr="00662987">
        <w:t xml:space="preserve">IIID </w:t>
      </w:r>
      <w:r w:rsidR="00D65CAD">
        <w:t>melanoma</w:t>
      </w:r>
      <w:r w:rsidR="00716F22">
        <w:t xml:space="preserve"> by identifying </w:t>
      </w:r>
      <w:proofErr w:type="spellStart"/>
      <w:r w:rsidR="00716F22">
        <w:t>micrometastases</w:t>
      </w:r>
      <w:proofErr w:type="spellEnd"/>
      <w:r w:rsidR="00716F22">
        <w:t xml:space="preserve"> in the sentinel lymph node(s) not identified clinically</w:t>
      </w:r>
      <w:r>
        <w:rPr>
          <w:lang w:eastAsia="en-US"/>
        </w:rPr>
        <w:t>.</w:t>
      </w:r>
    </w:p>
    <w:p w14:paraId="036A4E58" w14:textId="24DCB392" w:rsidR="00032929" w:rsidRPr="00596BF0" w:rsidRDefault="00551260" w:rsidP="00013CED">
      <w:pPr>
        <w:spacing w:after="240"/>
      </w:pPr>
      <w:r>
        <w:t>MSAC noted that these new treatments were not included in the simplified economic model presented. MSAC</w:t>
      </w:r>
      <w:r w:rsidR="00697A71">
        <w:t xml:space="preserve"> also agreed with ESC </w:t>
      </w:r>
      <w:r w:rsidRPr="00551260">
        <w:t xml:space="preserve">that the estimates of effectiveness in identifying </w:t>
      </w:r>
      <w:r w:rsidR="00D65CAD">
        <w:t xml:space="preserve">which </w:t>
      </w:r>
      <w:proofErr w:type="spellStart"/>
      <w:r w:rsidRPr="00551260">
        <w:t>SLNBx</w:t>
      </w:r>
      <w:proofErr w:type="spellEnd"/>
      <w:r w:rsidRPr="00551260">
        <w:t xml:space="preserve">-eligible patients </w:t>
      </w:r>
      <w:r w:rsidR="00D65CAD">
        <w:t xml:space="preserve">would </w:t>
      </w:r>
      <w:r w:rsidRPr="00551260">
        <w:t xml:space="preserve">also </w:t>
      </w:r>
      <w:r w:rsidR="00D65CAD">
        <w:t xml:space="preserve">be </w:t>
      </w:r>
      <w:r w:rsidRPr="00551260">
        <w:t xml:space="preserve">eligible for adjuvant therapy used in the base-case </w:t>
      </w:r>
      <w:r w:rsidR="00596BF0">
        <w:t>model</w:t>
      </w:r>
      <w:r w:rsidRPr="00551260">
        <w:t xml:space="preserve"> (15%</w:t>
      </w:r>
      <w:r w:rsidR="00596BF0">
        <w:t xml:space="preserve"> in </w:t>
      </w:r>
      <w:proofErr w:type="spellStart"/>
      <w:r w:rsidR="00596BF0">
        <w:t>SL</w:t>
      </w:r>
      <w:r w:rsidR="00121144">
        <w:t>N</w:t>
      </w:r>
      <w:r w:rsidR="00596BF0">
        <w:t>Bx</w:t>
      </w:r>
      <w:proofErr w:type="spellEnd"/>
      <w:r w:rsidR="00596BF0">
        <w:t xml:space="preserve"> arm</w:t>
      </w:r>
      <w:r w:rsidRPr="00551260">
        <w:t xml:space="preserve"> </w:t>
      </w:r>
      <w:r w:rsidRPr="00D65CAD">
        <w:rPr>
          <w:i/>
        </w:rPr>
        <w:t>vs</w:t>
      </w:r>
      <w:r w:rsidR="00A72631">
        <w:t xml:space="preserve">. </w:t>
      </w:r>
      <w:r w:rsidRPr="00551260">
        <w:t>3.34%</w:t>
      </w:r>
      <w:r w:rsidR="00596BF0">
        <w:t xml:space="preserve"> in WLE plus follow-up arm</w:t>
      </w:r>
      <w:r w:rsidRPr="00551260">
        <w:t>) were in the range that might be expected.</w:t>
      </w:r>
      <w:r w:rsidR="00697A71" w:rsidRPr="00697A71">
        <w:t xml:space="preserve"> </w:t>
      </w:r>
      <w:r w:rsidR="00697A71">
        <w:t xml:space="preserve">Thus, MSAC accepted the </w:t>
      </w:r>
      <w:r w:rsidR="00D65CAD">
        <w:t xml:space="preserve">inferred </w:t>
      </w:r>
      <w:r w:rsidR="00697A71">
        <w:t xml:space="preserve">increased diagnostic yield of patients </w:t>
      </w:r>
      <w:r w:rsidR="00454D42">
        <w:t>eligible for adjuvant therapy</w:t>
      </w:r>
      <w:r w:rsidR="00A910A4">
        <w:t>.</w:t>
      </w:r>
      <w:r w:rsidR="00596BF0">
        <w:t xml:space="preserve"> </w:t>
      </w:r>
      <w:r w:rsidR="00032929" w:rsidRPr="00162053">
        <w:rPr>
          <w:szCs w:val="24"/>
        </w:rPr>
        <w:t xml:space="preserve">MSAC </w:t>
      </w:r>
      <w:r w:rsidR="00520CFF">
        <w:rPr>
          <w:szCs w:val="24"/>
        </w:rPr>
        <w:t xml:space="preserve">also </w:t>
      </w:r>
      <w:r w:rsidR="00032929" w:rsidRPr="00162053">
        <w:rPr>
          <w:szCs w:val="24"/>
        </w:rPr>
        <w:t>considered that PBAC</w:t>
      </w:r>
      <w:r w:rsidR="00D65CAD">
        <w:rPr>
          <w:szCs w:val="24"/>
        </w:rPr>
        <w:t>’s</w:t>
      </w:r>
      <w:r w:rsidR="00032929" w:rsidRPr="00162053">
        <w:rPr>
          <w:szCs w:val="24"/>
        </w:rPr>
        <w:t xml:space="preserve"> accept</w:t>
      </w:r>
      <w:r w:rsidR="00D65CAD">
        <w:rPr>
          <w:szCs w:val="24"/>
        </w:rPr>
        <w:t xml:space="preserve">ance of </w:t>
      </w:r>
      <w:r w:rsidR="00032929" w:rsidRPr="00162053">
        <w:rPr>
          <w:szCs w:val="24"/>
        </w:rPr>
        <w:t xml:space="preserve">the cost-effectiveness of these treatments </w:t>
      </w:r>
      <w:r w:rsidR="00D65CAD">
        <w:rPr>
          <w:szCs w:val="24"/>
        </w:rPr>
        <w:t xml:space="preserve">supported the </w:t>
      </w:r>
      <w:r w:rsidR="00032929" w:rsidRPr="00162053">
        <w:rPr>
          <w:szCs w:val="24"/>
        </w:rPr>
        <w:t xml:space="preserve">clinical utility of </w:t>
      </w:r>
      <w:proofErr w:type="spellStart"/>
      <w:r w:rsidR="00032929" w:rsidRPr="00162053">
        <w:rPr>
          <w:szCs w:val="24"/>
        </w:rPr>
        <w:t>SLNBx</w:t>
      </w:r>
      <w:proofErr w:type="spellEnd"/>
      <w:r w:rsidR="00032929" w:rsidRPr="00162053">
        <w:rPr>
          <w:szCs w:val="24"/>
        </w:rPr>
        <w:t xml:space="preserve"> for </w:t>
      </w:r>
      <w:r w:rsidR="0015547E">
        <w:rPr>
          <w:szCs w:val="24"/>
        </w:rPr>
        <w:t xml:space="preserve">subsequent </w:t>
      </w:r>
      <w:r w:rsidR="00032929" w:rsidRPr="00162053">
        <w:rPr>
          <w:szCs w:val="24"/>
        </w:rPr>
        <w:t>treatment planning.</w:t>
      </w:r>
      <w:r w:rsidR="00520CFF">
        <w:rPr>
          <w:szCs w:val="24"/>
        </w:rPr>
        <w:t xml:space="preserve"> MSAC therefore </w:t>
      </w:r>
      <w:r w:rsidR="00520CFF">
        <w:t xml:space="preserve">considered </w:t>
      </w:r>
      <w:r w:rsidR="00B54521">
        <w:t xml:space="preserve">overall </w:t>
      </w:r>
      <w:r w:rsidR="00520CFF">
        <w:t xml:space="preserve">that </w:t>
      </w:r>
      <w:proofErr w:type="spellStart"/>
      <w:r w:rsidR="00520CFF">
        <w:t>SLNBx</w:t>
      </w:r>
      <w:proofErr w:type="spellEnd"/>
      <w:r w:rsidR="00520CFF">
        <w:t xml:space="preserve"> was acceptably cost-effective compared with WLE plus follow-up with an incremental cost of about $29,000 per extra patient eligible for adjuvant therapy.</w:t>
      </w:r>
    </w:p>
    <w:p w14:paraId="3140A847" w14:textId="241EAAC6" w:rsidR="00B54521" w:rsidRDefault="00B54521" w:rsidP="00B54521">
      <w:pPr>
        <w:spacing w:after="240"/>
        <w:rPr>
          <w:szCs w:val="24"/>
        </w:rPr>
      </w:pPr>
      <w:r>
        <w:rPr>
          <w:szCs w:val="24"/>
        </w:rPr>
        <w:t xml:space="preserve">Overall, </w:t>
      </w:r>
      <w:r w:rsidRPr="00162053">
        <w:rPr>
          <w:szCs w:val="24"/>
        </w:rPr>
        <w:t xml:space="preserve">MSAC </w:t>
      </w:r>
      <w:r>
        <w:rPr>
          <w:szCs w:val="24"/>
        </w:rPr>
        <w:t xml:space="preserve">supported </w:t>
      </w:r>
      <w:proofErr w:type="spellStart"/>
      <w:r>
        <w:rPr>
          <w:szCs w:val="24"/>
        </w:rPr>
        <w:t>SLNBx</w:t>
      </w:r>
      <w:proofErr w:type="spellEnd"/>
      <w:r>
        <w:rPr>
          <w:szCs w:val="24"/>
        </w:rPr>
        <w:t xml:space="preserve"> mostly as </w:t>
      </w:r>
      <w:r w:rsidRPr="00162053">
        <w:rPr>
          <w:szCs w:val="24"/>
        </w:rPr>
        <w:t xml:space="preserve">a staging procedure because there is </w:t>
      </w:r>
      <w:r>
        <w:rPr>
          <w:szCs w:val="24"/>
        </w:rPr>
        <w:t xml:space="preserve">relatively little direct </w:t>
      </w:r>
      <w:r w:rsidRPr="00162053">
        <w:rPr>
          <w:szCs w:val="24"/>
        </w:rPr>
        <w:t xml:space="preserve">therapeutic value associated with it. </w:t>
      </w:r>
      <w:r>
        <w:rPr>
          <w:szCs w:val="24"/>
        </w:rPr>
        <w:t xml:space="preserve">Given the basis of the PBAC’s recommendations about which Stage III patients should be eligible for adjuvant therapy, </w:t>
      </w:r>
      <w:r w:rsidR="00D8359D">
        <w:rPr>
          <w:szCs w:val="24"/>
        </w:rPr>
        <w:t xml:space="preserve">reference to </w:t>
      </w:r>
      <w:proofErr w:type="spellStart"/>
      <w:r w:rsidR="00D8359D">
        <w:rPr>
          <w:szCs w:val="24"/>
        </w:rPr>
        <w:t>SLNBx</w:t>
      </w:r>
      <w:proofErr w:type="spellEnd"/>
      <w:r w:rsidR="00D8359D">
        <w:rPr>
          <w:szCs w:val="24"/>
        </w:rPr>
        <w:t xml:space="preserve"> results to inform the staging assessment</w:t>
      </w:r>
      <w:r w:rsidR="00D8359D" w:rsidRPr="00162053">
        <w:rPr>
          <w:szCs w:val="24"/>
        </w:rPr>
        <w:t xml:space="preserve"> </w:t>
      </w:r>
      <w:r w:rsidRPr="00162053">
        <w:rPr>
          <w:szCs w:val="24"/>
        </w:rPr>
        <w:t xml:space="preserve">will allow </w:t>
      </w:r>
      <w:r w:rsidR="00975F68">
        <w:rPr>
          <w:szCs w:val="24"/>
        </w:rPr>
        <w:t xml:space="preserve">the </w:t>
      </w:r>
      <w:r w:rsidRPr="00162053">
        <w:rPr>
          <w:szCs w:val="24"/>
        </w:rPr>
        <w:t>selecti</w:t>
      </w:r>
      <w:r w:rsidR="00975F68">
        <w:rPr>
          <w:szCs w:val="24"/>
        </w:rPr>
        <w:t>on of</w:t>
      </w:r>
      <w:r w:rsidRPr="00162053">
        <w:rPr>
          <w:szCs w:val="24"/>
        </w:rPr>
        <w:t xml:space="preserve"> patients who will </w:t>
      </w:r>
      <w:r>
        <w:rPr>
          <w:szCs w:val="24"/>
        </w:rPr>
        <w:t xml:space="preserve">most </w:t>
      </w:r>
      <w:r w:rsidRPr="00162053">
        <w:rPr>
          <w:szCs w:val="24"/>
        </w:rPr>
        <w:t xml:space="preserve">benefit from </w:t>
      </w:r>
      <w:r>
        <w:rPr>
          <w:szCs w:val="24"/>
        </w:rPr>
        <w:t>this</w:t>
      </w:r>
      <w:r w:rsidRPr="00162053">
        <w:rPr>
          <w:szCs w:val="24"/>
        </w:rPr>
        <w:t xml:space="preserve"> therapy.</w:t>
      </w:r>
      <w:r w:rsidR="00D8359D">
        <w:rPr>
          <w:szCs w:val="24"/>
        </w:rPr>
        <w:t xml:space="preserve"> However, subsequent a</w:t>
      </w:r>
      <w:r w:rsidR="00D8359D" w:rsidRPr="00162053">
        <w:rPr>
          <w:szCs w:val="24"/>
        </w:rPr>
        <w:t xml:space="preserve">ccess to adjuvant </w:t>
      </w:r>
      <w:r w:rsidR="00D8359D">
        <w:rPr>
          <w:szCs w:val="24"/>
        </w:rPr>
        <w:t>therapy</w:t>
      </w:r>
      <w:r w:rsidR="00D8359D" w:rsidRPr="00162053">
        <w:rPr>
          <w:szCs w:val="24"/>
        </w:rPr>
        <w:t xml:space="preserve"> </w:t>
      </w:r>
      <w:proofErr w:type="gramStart"/>
      <w:r w:rsidR="00D8359D" w:rsidRPr="00162053">
        <w:rPr>
          <w:szCs w:val="24"/>
        </w:rPr>
        <w:t xml:space="preserve">is </w:t>
      </w:r>
      <w:r w:rsidR="00D8359D">
        <w:rPr>
          <w:szCs w:val="24"/>
        </w:rPr>
        <w:t xml:space="preserve">also </w:t>
      </w:r>
      <w:r w:rsidR="00D8359D" w:rsidRPr="00162053">
        <w:rPr>
          <w:szCs w:val="24"/>
        </w:rPr>
        <w:t>predicated</w:t>
      </w:r>
      <w:proofErr w:type="gramEnd"/>
      <w:r w:rsidR="00D8359D" w:rsidRPr="00162053">
        <w:rPr>
          <w:szCs w:val="24"/>
        </w:rPr>
        <w:t xml:space="preserve"> on </w:t>
      </w:r>
      <w:r w:rsidR="00D8359D">
        <w:rPr>
          <w:szCs w:val="24"/>
        </w:rPr>
        <w:t xml:space="preserve">the patient </w:t>
      </w:r>
      <w:r w:rsidR="00D8359D" w:rsidRPr="00162053">
        <w:rPr>
          <w:szCs w:val="24"/>
        </w:rPr>
        <w:t xml:space="preserve">having </w:t>
      </w:r>
      <w:r w:rsidR="00D8359D">
        <w:rPr>
          <w:szCs w:val="24"/>
        </w:rPr>
        <w:t xml:space="preserve">had </w:t>
      </w:r>
      <w:r w:rsidR="00D8359D" w:rsidRPr="00162053">
        <w:rPr>
          <w:szCs w:val="24"/>
        </w:rPr>
        <w:t xml:space="preserve">a </w:t>
      </w:r>
      <w:r w:rsidR="00D8359D">
        <w:rPr>
          <w:szCs w:val="24"/>
        </w:rPr>
        <w:t xml:space="preserve">resected </w:t>
      </w:r>
      <w:r w:rsidR="00D8359D" w:rsidRPr="00162053">
        <w:rPr>
          <w:szCs w:val="24"/>
        </w:rPr>
        <w:t>primary lesion.</w:t>
      </w:r>
    </w:p>
    <w:p w14:paraId="01147552" w14:textId="4FC154CA" w:rsidR="00D8359D" w:rsidRPr="00162053" w:rsidRDefault="00D8359D" w:rsidP="00B54521">
      <w:pPr>
        <w:spacing w:after="240"/>
        <w:rPr>
          <w:szCs w:val="24"/>
        </w:rPr>
      </w:pPr>
      <w:r>
        <w:rPr>
          <w:lang w:eastAsia="en-US"/>
        </w:rPr>
        <w:t>MSAC also conside</w:t>
      </w:r>
      <w:r w:rsidR="00801FD6">
        <w:rPr>
          <w:lang w:eastAsia="en-US"/>
        </w:rPr>
        <w:t>r</w:t>
      </w:r>
      <w:r>
        <w:rPr>
          <w:lang w:eastAsia="en-US"/>
        </w:rPr>
        <w:t xml:space="preserve">ed that </w:t>
      </w:r>
      <w:proofErr w:type="spellStart"/>
      <w:r>
        <w:rPr>
          <w:lang w:eastAsia="en-US"/>
        </w:rPr>
        <w:t>SLNBx</w:t>
      </w:r>
      <w:proofErr w:type="spellEnd"/>
      <w:r>
        <w:rPr>
          <w:lang w:eastAsia="en-US"/>
        </w:rPr>
        <w:t xml:space="preserve"> </w:t>
      </w:r>
      <w:r w:rsidRPr="0025019A">
        <w:t>provides important prognostic information</w:t>
      </w:r>
      <w:r>
        <w:t xml:space="preserve"> and</w:t>
      </w:r>
      <w:r w:rsidRPr="0025019A">
        <w:t xml:space="preserve"> allows for improved local disease control</w:t>
      </w:r>
      <w:r>
        <w:t>.</w:t>
      </w:r>
    </w:p>
    <w:p w14:paraId="6EDCC49C" w14:textId="44DD68E2" w:rsidR="00162053" w:rsidRPr="00162053" w:rsidRDefault="00162053" w:rsidP="00162053">
      <w:pPr>
        <w:spacing w:after="240"/>
        <w:rPr>
          <w:szCs w:val="24"/>
        </w:rPr>
      </w:pPr>
      <w:r w:rsidRPr="00162053">
        <w:rPr>
          <w:szCs w:val="24"/>
        </w:rPr>
        <w:t>MSAC noted that the financial estimates are likely to be an underestimate</w:t>
      </w:r>
      <w:r w:rsidR="00F23D1E">
        <w:rPr>
          <w:szCs w:val="24"/>
        </w:rPr>
        <w:t xml:space="preserve">. Both the original </w:t>
      </w:r>
      <w:r w:rsidRPr="00162053">
        <w:rPr>
          <w:szCs w:val="24"/>
        </w:rPr>
        <w:t xml:space="preserve">application </w:t>
      </w:r>
      <w:r w:rsidR="00F23D1E">
        <w:rPr>
          <w:szCs w:val="24"/>
        </w:rPr>
        <w:t xml:space="preserve">and the resubmission </w:t>
      </w:r>
      <w:r w:rsidRPr="00162053">
        <w:rPr>
          <w:szCs w:val="24"/>
        </w:rPr>
        <w:t xml:space="preserve">used </w:t>
      </w:r>
      <w:proofErr w:type="gramStart"/>
      <w:r w:rsidRPr="00162053">
        <w:rPr>
          <w:szCs w:val="24"/>
        </w:rPr>
        <w:t>a</w:t>
      </w:r>
      <w:proofErr w:type="gramEnd"/>
      <w:r w:rsidRPr="00162053">
        <w:rPr>
          <w:szCs w:val="24"/>
        </w:rPr>
        <w:t xml:space="preserve"> utilisation rate of 49.8%</w:t>
      </w:r>
      <w:r w:rsidR="001F3D2E">
        <w:rPr>
          <w:szCs w:val="24"/>
        </w:rPr>
        <w:t xml:space="preserve"> from </w:t>
      </w:r>
      <w:r w:rsidR="001F3D2E" w:rsidRPr="00D659F5">
        <w:rPr>
          <w:lang w:eastAsia="en-US"/>
        </w:rPr>
        <w:t xml:space="preserve">van der </w:t>
      </w:r>
      <w:proofErr w:type="spellStart"/>
      <w:r w:rsidR="001F3D2E" w:rsidRPr="00D659F5">
        <w:rPr>
          <w:lang w:eastAsia="en-US"/>
        </w:rPr>
        <w:t>Ploeg</w:t>
      </w:r>
      <w:proofErr w:type="spellEnd"/>
      <w:r w:rsidR="001F3D2E" w:rsidRPr="00D659F5">
        <w:rPr>
          <w:lang w:eastAsia="en-US"/>
        </w:rPr>
        <w:t xml:space="preserve"> </w:t>
      </w:r>
      <w:r w:rsidR="001F3D2E">
        <w:rPr>
          <w:lang w:eastAsia="en-US"/>
        </w:rPr>
        <w:t>(</w:t>
      </w:r>
      <w:r w:rsidR="001F3D2E" w:rsidRPr="00D659F5">
        <w:rPr>
          <w:lang w:eastAsia="en-US"/>
        </w:rPr>
        <w:t>2014</w:t>
      </w:r>
      <w:r w:rsidR="001F3D2E">
        <w:rPr>
          <w:lang w:eastAsia="en-US"/>
        </w:rPr>
        <w:t>)</w:t>
      </w:r>
      <w:r w:rsidRPr="00162053">
        <w:rPr>
          <w:szCs w:val="24"/>
        </w:rPr>
        <w:t xml:space="preserve">. Since </w:t>
      </w:r>
      <w:r w:rsidR="00024CCF">
        <w:rPr>
          <w:lang w:eastAsia="en-US"/>
        </w:rPr>
        <w:t>this data related to an older population and the</w:t>
      </w:r>
      <w:r w:rsidRPr="00162053">
        <w:rPr>
          <w:szCs w:val="24"/>
        </w:rPr>
        <w:t xml:space="preserve"> guidelines have changed, this rate may now be much higher. </w:t>
      </w:r>
      <w:r w:rsidR="00716F22">
        <w:rPr>
          <w:szCs w:val="24"/>
        </w:rPr>
        <w:t xml:space="preserve">In addition, the proportion of patients with more than one affected basin is more likely to be 20% </w:t>
      </w:r>
      <w:r w:rsidR="00250C45">
        <w:rPr>
          <w:szCs w:val="24"/>
        </w:rPr>
        <w:t xml:space="preserve">as </w:t>
      </w:r>
      <w:r w:rsidR="00716F22">
        <w:rPr>
          <w:szCs w:val="24"/>
        </w:rPr>
        <w:t xml:space="preserve">used in the sensitivity analysis rather than 0% </w:t>
      </w:r>
      <w:r w:rsidR="00250C45">
        <w:rPr>
          <w:szCs w:val="24"/>
        </w:rPr>
        <w:t xml:space="preserve">as </w:t>
      </w:r>
      <w:r w:rsidR="00716F22">
        <w:rPr>
          <w:szCs w:val="24"/>
        </w:rPr>
        <w:t xml:space="preserve">used in the base case calculations, which would increase the eligible rebate for these patients. </w:t>
      </w:r>
      <w:r w:rsidRPr="00162053">
        <w:rPr>
          <w:szCs w:val="24"/>
        </w:rPr>
        <w:t xml:space="preserve">However, the cost to the Medicare Benefits Schedule (MBS) would still be modest, with the total cost to the MBS estimated to be </w:t>
      </w:r>
      <w:r w:rsidR="00716F22">
        <w:rPr>
          <w:szCs w:val="24"/>
        </w:rPr>
        <w:t xml:space="preserve">about </w:t>
      </w:r>
      <w:r w:rsidRPr="00162053">
        <w:rPr>
          <w:szCs w:val="24"/>
        </w:rPr>
        <w:t>$</w:t>
      </w:r>
      <w:r w:rsidR="00716F22">
        <w:rPr>
          <w:szCs w:val="24"/>
        </w:rPr>
        <w:t>641</w:t>
      </w:r>
      <w:r w:rsidRPr="00162053">
        <w:rPr>
          <w:szCs w:val="24"/>
        </w:rPr>
        <w:t xml:space="preserve">,000 in </w:t>
      </w:r>
      <w:r w:rsidR="00024CCF">
        <w:rPr>
          <w:szCs w:val="24"/>
        </w:rPr>
        <w:t>Y</w:t>
      </w:r>
      <w:r w:rsidRPr="00162053">
        <w:rPr>
          <w:szCs w:val="24"/>
        </w:rPr>
        <w:t>ear 1 rising to $6</w:t>
      </w:r>
      <w:r w:rsidR="00716F22">
        <w:rPr>
          <w:szCs w:val="24"/>
        </w:rPr>
        <w:t>96</w:t>
      </w:r>
      <w:r w:rsidRPr="00162053">
        <w:rPr>
          <w:szCs w:val="24"/>
        </w:rPr>
        <w:t xml:space="preserve">,000 in </w:t>
      </w:r>
      <w:r w:rsidR="00024CCF">
        <w:rPr>
          <w:szCs w:val="24"/>
        </w:rPr>
        <w:t>Y</w:t>
      </w:r>
      <w:r w:rsidRPr="00162053">
        <w:rPr>
          <w:szCs w:val="24"/>
        </w:rPr>
        <w:t xml:space="preserve">ear 5 and an estimated 5-year cost of </w:t>
      </w:r>
      <w:r w:rsidR="00024CCF">
        <w:rPr>
          <w:szCs w:val="24"/>
        </w:rPr>
        <w:t xml:space="preserve">approximately </w:t>
      </w:r>
      <w:r w:rsidRPr="00162053">
        <w:rPr>
          <w:szCs w:val="24"/>
        </w:rPr>
        <w:t>$3</w:t>
      </w:r>
      <w:r w:rsidR="00716F22">
        <w:rPr>
          <w:szCs w:val="24"/>
        </w:rPr>
        <w:t>.3</w:t>
      </w:r>
      <w:r w:rsidRPr="00162053">
        <w:rPr>
          <w:szCs w:val="24"/>
        </w:rPr>
        <w:t xml:space="preserve"> million.</w:t>
      </w:r>
    </w:p>
    <w:p w14:paraId="1EE64732" w14:textId="44448E8B" w:rsidR="00162053" w:rsidRPr="00162053" w:rsidRDefault="00162053" w:rsidP="00162053">
      <w:pPr>
        <w:spacing w:after="240"/>
        <w:rPr>
          <w:szCs w:val="24"/>
        </w:rPr>
      </w:pPr>
      <w:r w:rsidRPr="00162053">
        <w:rPr>
          <w:szCs w:val="24"/>
        </w:rPr>
        <w:t xml:space="preserve">MSAC </w:t>
      </w:r>
      <w:r w:rsidR="007A7A3D" w:rsidRPr="007A7A3D">
        <w:rPr>
          <w:szCs w:val="24"/>
        </w:rPr>
        <w:t xml:space="preserve">noted that </w:t>
      </w:r>
      <w:proofErr w:type="spellStart"/>
      <w:r w:rsidR="007A7A3D" w:rsidRPr="007A7A3D">
        <w:rPr>
          <w:szCs w:val="24"/>
        </w:rPr>
        <w:t>SLNBx</w:t>
      </w:r>
      <w:proofErr w:type="spellEnd"/>
      <w:r w:rsidR="007A7A3D" w:rsidRPr="007A7A3D">
        <w:rPr>
          <w:szCs w:val="24"/>
        </w:rPr>
        <w:t xml:space="preserve"> for melanoma is already being performed in Australia, but this procedure and the MBS items used (30075, 30329, 30332, 31420, and 31423) are general and not specific for melanoma</w:t>
      </w:r>
      <w:proofErr w:type="gramStart"/>
      <w:r w:rsidR="007A7A3D" w:rsidRPr="007A7A3D">
        <w:rPr>
          <w:szCs w:val="24"/>
        </w:rPr>
        <w:t xml:space="preserve">. </w:t>
      </w:r>
      <w:r w:rsidRPr="00162053">
        <w:rPr>
          <w:szCs w:val="24"/>
        </w:rPr>
        <w:t xml:space="preserve"> </w:t>
      </w:r>
      <w:proofErr w:type="gramEnd"/>
      <w:r w:rsidR="007A7A3D">
        <w:rPr>
          <w:szCs w:val="24"/>
        </w:rPr>
        <w:t>MSAC considered a</w:t>
      </w:r>
      <w:r w:rsidRPr="00162053">
        <w:rPr>
          <w:szCs w:val="24"/>
        </w:rPr>
        <w:t xml:space="preserve"> separate </w:t>
      </w:r>
      <w:r w:rsidR="00520CFF">
        <w:rPr>
          <w:szCs w:val="24"/>
        </w:rPr>
        <w:t xml:space="preserve">MBS </w:t>
      </w:r>
      <w:r w:rsidRPr="00162053">
        <w:rPr>
          <w:szCs w:val="24"/>
        </w:rPr>
        <w:t xml:space="preserve">item for </w:t>
      </w:r>
      <w:proofErr w:type="spellStart"/>
      <w:r w:rsidRPr="00162053">
        <w:rPr>
          <w:szCs w:val="24"/>
        </w:rPr>
        <w:t>SLNBx</w:t>
      </w:r>
      <w:proofErr w:type="spellEnd"/>
      <w:r w:rsidRPr="00162053">
        <w:rPr>
          <w:szCs w:val="24"/>
        </w:rPr>
        <w:t xml:space="preserve"> </w:t>
      </w:r>
      <w:r w:rsidR="00DB7043">
        <w:rPr>
          <w:szCs w:val="24"/>
        </w:rPr>
        <w:t xml:space="preserve">in melanoma </w:t>
      </w:r>
      <w:r w:rsidRPr="00162053">
        <w:rPr>
          <w:szCs w:val="24"/>
        </w:rPr>
        <w:t>would facilitate collection of mor</w:t>
      </w:r>
      <w:r w:rsidR="0015547E">
        <w:rPr>
          <w:szCs w:val="24"/>
        </w:rPr>
        <w:t>e informative utilisation data.</w:t>
      </w:r>
      <w:r w:rsidR="00310726">
        <w:rPr>
          <w:szCs w:val="24"/>
        </w:rPr>
        <w:t xml:space="preserve"> A predicted versus actual </w:t>
      </w:r>
      <w:r w:rsidR="00310726">
        <w:rPr>
          <w:szCs w:val="24"/>
        </w:rPr>
        <w:lastRenderedPageBreak/>
        <w:t>utilisation review should be conducted at two years, or earlier if coordinated with a Drug Utilisation Sub-Committee review of the adjuvant therapies.</w:t>
      </w:r>
    </w:p>
    <w:p w14:paraId="03461BBD" w14:textId="735310D5" w:rsidR="00162053" w:rsidRPr="00162053" w:rsidRDefault="00162053" w:rsidP="00162053">
      <w:pPr>
        <w:spacing w:after="240"/>
        <w:rPr>
          <w:szCs w:val="24"/>
        </w:rPr>
      </w:pPr>
      <w:r w:rsidRPr="00162053">
        <w:rPr>
          <w:szCs w:val="24"/>
        </w:rPr>
        <w:t xml:space="preserve">MSAC noted that the applicant did not raise any issues in </w:t>
      </w:r>
      <w:r w:rsidR="0015547E">
        <w:rPr>
          <w:szCs w:val="24"/>
        </w:rPr>
        <w:t>its</w:t>
      </w:r>
      <w:r w:rsidR="00596BF0">
        <w:rPr>
          <w:szCs w:val="24"/>
        </w:rPr>
        <w:t xml:space="preserve"> </w:t>
      </w:r>
      <w:r w:rsidR="0015547E">
        <w:rPr>
          <w:szCs w:val="24"/>
        </w:rPr>
        <w:t>pre-MSAC response</w:t>
      </w:r>
      <w:r w:rsidR="00716F22">
        <w:rPr>
          <w:szCs w:val="24"/>
        </w:rPr>
        <w:t>, and that there was mixed support in the public consultation feedback</w:t>
      </w:r>
      <w:r w:rsidR="0015547E">
        <w:rPr>
          <w:szCs w:val="24"/>
        </w:rPr>
        <w:t>.</w:t>
      </w:r>
    </w:p>
    <w:p w14:paraId="33A2DB95" w14:textId="52E30BB5" w:rsidR="00162053" w:rsidRPr="00162053" w:rsidRDefault="00310726" w:rsidP="00162053">
      <w:pPr>
        <w:spacing w:after="240"/>
        <w:rPr>
          <w:szCs w:val="24"/>
        </w:rPr>
      </w:pPr>
      <w:proofErr w:type="gramStart"/>
      <w:r>
        <w:rPr>
          <w:szCs w:val="24"/>
        </w:rPr>
        <w:t xml:space="preserve">MSAC supported the proposed fee increase </w:t>
      </w:r>
      <w:r w:rsidR="00B54521">
        <w:rPr>
          <w:szCs w:val="24"/>
        </w:rPr>
        <w:t xml:space="preserve">for the new MBS item </w:t>
      </w:r>
      <w:r>
        <w:rPr>
          <w:szCs w:val="24"/>
        </w:rPr>
        <w:t>beyond the existing non-specific items to reflect benchmark</w:t>
      </w:r>
      <w:r w:rsidR="00250C45">
        <w:rPr>
          <w:szCs w:val="24"/>
        </w:rPr>
        <w:t>ing to</w:t>
      </w:r>
      <w:r>
        <w:rPr>
          <w:szCs w:val="24"/>
        </w:rPr>
        <w:t xml:space="preserve"> the </w:t>
      </w:r>
      <w:r w:rsidR="00250C45">
        <w:rPr>
          <w:szCs w:val="24"/>
        </w:rPr>
        <w:t xml:space="preserve">existing MBS item for </w:t>
      </w:r>
      <w:r>
        <w:rPr>
          <w:szCs w:val="24"/>
        </w:rPr>
        <w:t xml:space="preserve">breast </w:t>
      </w:r>
      <w:proofErr w:type="spellStart"/>
      <w:r>
        <w:rPr>
          <w:szCs w:val="24"/>
        </w:rPr>
        <w:t>SLNBx</w:t>
      </w:r>
      <w:proofErr w:type="spellEnd"/>
      <w:r>
        <w:rPr>
          <w:szCs w:val="24"/>
        </w:rPr>
        <w:t xml:space="preserve">, </w:t>
      </w:r>
      <w:r w:rsidR="000F4443">
        <w:rPr>
          <w:szCs w:val="24"/>
        </w:rPr>
        <w:t xml:space="preserve">and </w:t>
      </w:r>
      <w:r w:rsidR="00153A22">
        <w:rPr>
          <w:szCs w:val="24"/>
        </w:rPr>
        <w:t xml:space="preserve">considered </w:t>
      </w:r>
      <w:r w:rsidR="00F55428">
        <w:rPr>
          <w:szCs w:val="24"/>
        </w:rPr>
        <w:t xml:space="preserve">that the item should be restricted to specialist providers only </w:t>
      </w:r>
      <w:r>
        <w:rPr>
          <w:szCs w:val="24"/>
        </w:rPr>
        <w:t>that the multiple operations rule should apply, and that there should be no co-claiming of this item with existing general surgical items.</w:t>
      </w:r>
      <w:proofErr w:type="gramEnd"/>
      <w:r>
        <w:rPr>
          <w:szCs w:val="24"/>
        </w:rPr>
        <w:t xml:space="preserve"> </w:t>
      </w:r>
      <w:r w:rsidR="00162053" w:rsidRPr="00162053">
        <w:rPr>
          <w:szCs w:val="24"/>
        </w:rPr>
        <w:t xml:space="preserve">MSAC noted that whether a patient </w:t>
      </w:r>
      <w:proofErr w:type="gramStart"/>
      <w:r w:rsidR="00162053" w:rsidRPr="00162053">
        <w:rPr>
          <w:szCs w:val="24"/>
        </w:rPr>
        <w:t>is admitted</w:t>
      </w:r>
      <w:proofErr w:type="gramEnd"/>
      <w:r w:rsidR="00162053" w:rsidRPr="00162053">
        <w:rPr>
          <w:szCs w:val="24"/>
        </w:rPr>
        <w:t xml:space="preserve"> as an in-patient is subject to clinical judgement, and concluded that the procedure should </w:t>
      </w:r>
      <w:r w:rsidR="00B54521">
        <w:rPr>
          <w:szCs w:val="24"/>
        </w:rPr>
        <w:t xml:space="preserve">continue to </w:t>
      </w:r>
      <w:r w:rsidR="00162053" w:rsidRPr="00162053">
        <w:rPr>
          <w:szCs w:val="24"/>
        </w:rPr>
        <w:t>be classified as Type A.</w:t>
      </w:r>
    </w:p>
    <w:p w14:paraId="57CD65F4" w14:textId="77777777" w:rsidR="001121C3" w:rsidRPr="00F715D1" w:rsidRDefault="001121C3" w:rsidP="001121C3">
      <w:pPr>
        <w:pStyle w:val="Heading1"/>
      </w:pPr>
      <w:r w:rsidRPr="00F715D1">
        <w:t>Background</w:t>
      </w:r>
    </w:p>
    <w:p w14:paraId="7DCD2704" w14:textId="77777777" w:rsidR="001D3405" w:rsidRDefault="001D3405" w:rsidP="00067DD1">
      <w:pPr>
        <w:pStyle w:val="Default"/>
        <w:spacing w:after="240"/>
      </w:pPr>
      <w:r>
        <w:t>This is the first resubmission of Application 1485.</w:t>
      </w:r>
    </w:p>
    <w:p w14:paraId="425EBB70" w14:textId="390E1803" w:rsidR="001D3405" w:rsidRDefault="001D3405" w:rsidP="00067DD1">
      <w:pPr>
        <w:pStyle w:val="Default"/>
        <w:spacing w:after="240"/>
      </w:pPr>
      <w:proofErr w:type="gramStart"/>
      <w:r>
        <w:t xml:space="preserve">At its July 2018 meeting, MSAC did not accept the rationale for a fee increase for a </w:t>
      </w:r>
      <w:proofErr w:type="spellStart"/>
      <w:r>
        <w:t>SLNBx</w:t>
      </w:r>
      <w:proofErr w:type="spellEnd"/>
      <w:r>
        <w:t>-specific MBS item, compared to the current non-specific MBS items under which this service is currently being claimed, since there was insufficient evidence of a difference in patient health outcomes or clinical man</w:t>
      </w:r>
      <w:bookmarkStart w:id="0" w:name="_GoBack"/>
      <w:bookmarkEnd w:id="0"/>
      <w:r>
        <w:t xml:space="preserve">agement as a consequence of using </w:t>
      </w:r>
      <w:proofErr w:type="spellStart"/>
      <w:r>
        <w:t>SLNBx</w:t>
      </w:r>
      <w:proofErr w:type="spellEnd"/>
      <w:r>
        <w:t xml:space="preserve"> compared to not using it.</w:t>
      </w:r>
      <w:proofErr w:type="gramEnd"/>
      <w:r>
        <w:t xml:space="preserve"> MSAC deferred its advice to request further clarification of the patient selection criteria for adjuvant treatment of melanoma and the role of </w:t>
      </w:r>
      <w:proofErr w:type="spellStart"/>
      <w:r>
        <w:t>SLNBx</w:t>
      </w:r>
      <w:proofErr w:type="spellEnd"/>
      <w:r>
        <w:t xml:space="preserve"> in selecting patients for such treatment (p1, </w:t>
      </w:r>
      <w:hyperlink r:id="rId9" w:tooltip="Link to MSAC website for application 1485" w:history="1">
        <w:r w:rsidRPr="004C066C">
          <w:rPr>
            <w:rStyle w:val="Hyperlink"/>
          </w:rPr>
          <w:t>Public Summary Document [PSD] Application No. 1485</w:t>
        </w:r>
      </w:hyperlink>
      <w:r>
        <w:t>, July 2018).</w:t>
      </w:r>
    </w:p>
    <w:p w14:paraId="4749A29C" w14:textId="141A67F5" w:rsidR="001D3405" w:rsidRDefault="001D3405" w:rsidP="00067DD1">
      <w:pPr>
        <w:pStyle w:val="Default"/>
        <w:spacing w:after="240"/>
      </w:pPr>
      <w:r>
        <w:t>Following this, a stakeholder meeting including members of MSAC, clinicians with experience and expertise in clinical oncology, pathology, dermatology and clinical genetics, representatives of the applicant, consumers and Department of Health was held in November 2018 (</w:t>
      </w:r>
      <w:hyperlink r:id="rId10" w:tooltip="Link to MSAC website for application 1485 - Stakeholder meeting minutes" w:history="1">
        <w:r w:rsidRPr="004C066C">
          <w:rPr>
            <w:rStyle w:val="Hyperlink"/>
          </w:rPr>
          <w:t>Stakeholder Meeting Minutes – Final</w:t>
        </w:r>
      </w:hyperlink>
      <w:r>
        <w:t>, Sentinel lymph node biopsy for intermediate and thick melanoma 2018).</w:t>
      </w:r>
    </w:p>
    <w:p w14:paraId="0C77C9F2" w14:textId="59132512" w:rsidR="001D3405" w:rsidRDefault="001D3405" w:rsidP="003D72FA">
      <w:pPr>
        <w:spacing w:after="240"/>
      </w:pPr>
      <w:r>
        <w:t xml:space="preserve">The resubmission </w:t>
      </w:r>
      <w:proofErr w:type="gramStart"/>
      <w:r>
        <w:t>was informed</w:t>
      </w:r>
      <w:proofErr w:type="gramEnd"/>
      <w:r>
        <w:t xml:space="preserve"> by a department-contracted assessment report (DCAR), which provided (Table 1) a detailed summary of previous MSAC issues from the previous submission (1485) and how they were addressed for the resubmission (Application 1485.1).</w:t>
      </w:r>
    </w:p>
    <w:p w14:paraId="6A8AF98A" w14:textId="77777777" w:rsidR="001D3405" w:rsidRPr="00261B83" w:rsidRDefault="001D3405" w:rsidP="00261B83">
      <w:pPr>
        <w:rPr>
          <w:rFonts w:ascii="Arial Narrow" w:hAnsi="Arial Narrow"/>
          <w:b/>
          <w:sz w:val="20"/>
        </w:rPr>
      </w:pPr>
      <w:bookmarkStart w:id="1" w:name="_Ref29821643"/>
      <w:bookmarkStart w:id="2" w:name="_Toc30088408"/>
      <w:r w:rsidRPr="00261B83">
        <w:rPr>
          <w:rFonts w:ascii="Arial Narrow" w:hAnsi="Arial Narrow"/>
          <w:b/>
          <w:sz w:val="20"/>
        </w:rPr>
        <w:t>Table</w:t>
      </w:r>
      <w:bookmarkEnd w:id="1"/>
      <w:r w:rsidRPr="00261B83">
        <w:rPr>
          <w:rFonts w:ascii="Arial Narrow" w:hAnsi="Arial Narrow"/>
          <w:b/>
          <w:sz w:val="20"/>
        </w:rPr>
        <w:t xml:space="preserve"> 1: Summary of MSAC’s recommendations from MSAC 1485, and approach used for the resubmission</w:t>
      </w:r>
      <w:bookmarkEnd w:id="2"/>
    </w:p>
    <w:tbl>
      <w:tblPr>
        <w:tblStyle w:val="TableGrid"/>
        <w:tblW w:w="0" w:type="auto"/>
        <w:tblCellMar>
          <w:left w:w="28" w:type="dxa"/>
          <w:right w:w="28" w:type="dxa"/>
        </w:tblCellMar>
        <w:tblLook w:val="04A0" w:firstRow="1" w:lastRow="0" w:firstColumn="1" w:lastColumn="0" w:noHBand="0" w:noVBand="1"/>
        <w:tblCaption w:val="Table 1: Summary of MSAC’s recommendations from MSAC 1485, and approach used in the resubmission"/>
        <w:tblDescription w:val="DCARS summary of key issues for resubmissiom"/>
      </w:tblPr>
      <w:tblGrid>
        <w:gridCol w:w="4106"/>
        <w:gridCol w:w="4910"/>
      </w:tblGrid>
      <w:tr w:rsidR="001D3405" w14:paraId="392A61EC" w14:textId="77777777" w:rsidTr="00A46036">
        <w:trPr>
          <w:tblHeader/>
        </w:trPr>
        <w:tc>
          <w:tcPr>
            <w:tcW w:w="4106" w:type="dxa"/>
          </w:tcPr>
          <w:p w14:paraId="70941EE9" w14:textId="77777777" w:rsidR="001D3405" w:rsidRPr="00141232" w:rsidRDefault="001D3405" w:rsidP="001D3405">
            <w:pPr>
              <w:pStyle w:val="Tabletext0"/>
              <w:rPr>
                <w:b/>
              </w:rPr>
            </w:pPr>
            <w:r w:rsidRPr="00141232">
              <w:rPr>
                <w:b/>
              </w:rPr>
              <w:t xml:space="preserve">MSAC issues/recommendations </w:t>
            </w:r>
            <w:r>
              <w:rPr>
                <w:b/>
              </w:rPr>
              <w:t>from</w:t>
            </w:r>
            <w:r w:rsidRPr="00141232">
              <w:rPr>
                <w:b/>
              </w:rPr>
              <w:t xml:space="preserve"> 1485</w:t>
            </w:r>
          </w:p>
        </w:tc>
        <w:tc>
          <w:tcPr>
            <w:tcW w:w="4910" w:type="dxa"/>
          </w:tcPr>
          <w:p w14:paraId="7D72D38A" w14:textId="77777777" w:rsidR="001D3405" w:rsidRPr="00141232" w:rsidRDefault="001D3405" w:rsidP="001D3405">
            <w:pPr>
              <w:pStyle w:val="Tabletext0"/>
              <w:rPr>
                <w:b/>
              </w:rPr>
            </w:pPr>
            <w:r w:rsidRPr="00141232">
              <w:rPr>
                <w:b/>
              </w:rPr>
              <w:t xml:space="preserve">How these have been addressed </w:t>
            </w:r>
            <w:r>
              <w:rPr>
                <w:b/>
              </w:rPr>
              <w:t>for</w:t>
            </w:r>
            <w:r w:rsidRPr="00141232">
              <w:rPr>
                <w:b/>
              </w:rPr>
              <w:t xml:space="preserve"> 1485.1</w:t>
            </w:r>
          </w:p>
        </w:tc>
      </w:tr>
      <w:tr w:rsidR="001D3405" w14:paraId="2C422556" w14:textId="77777777" w:rsidTr="001D3405">
        <w:tc>
          <w:tcPr>
            <w:tcW w:w="4106" w:type="dxa"/>
          </w:tcPr>
          <w:p w14:paraId="29FB8044" w14:textId="77777777" w:rsidR="001D3405" w:rsidRDefault="001D3405" w:rsidP="001D3405">
            <w:pPr>
              <w:pStyle w:val="Tabletext0"/>
            </w:pPr>
            <w:r>
              <w:t xml:space="preserve">Evidence assessing a difference in patient health outcomes or clinical management </w:t>
            </w:r>
            <w:proofErr w:type="gramStart"/>
            <w:r>
              <w:t>as a consequence</w:t>
            </w:r>
            <w:proofErr w:type="gramEnd"/>
            <w:r>
              <w:t xml:space="preserve"> of using </w:t>
            </w:r>
            <w:proofErr w:type="spellStart"/>
            <w:r>
              <w:t>SLNBx</w:t>
            </w:r>
            <w:proofErr w:type="spellEnd"/>
            <w:r>
              <w:t xml:space="preserve"> compared to not using it.</w:t>
            </w:r>
          </w:p>
          <w:p w14:paraId="307468E7" w14:textId="77777777" w:rsidR="001D3405" w:rsidRDefault="001D3405" w:rsidP="001D3405">
            <w:pPr>
              <w:pStyle w:val="Tabletext0"/>
            </w:pPr>
            <w:r>
              <w:t xml:space="preserve">MSAC deferred its advice to request further clarification of the patient selection criteria for adjuvant treatment of melanoma and the role of </w:t>
            </w:r>
            <w:proofErr w:type="spellStart"/>
            <w:r>
              <w:t>SLNBx</w:t>
            </w:r>
            <w:proofErr w:type="spellEnd"/>
            <w:r>
              <w:t xml:space="preserve"> in selecting patients for such treatment (p1, 1485 PSD). </w:t>
            </w:r>
            <w:r w:rsidRPr="00552EF4">
              <w:t xml:space="preserve">See Stakeholder Meeting </w:t>
            </w:r>
            <w:r>
              <w:t>M</w:t>
            </w:r>
            <w:r w:rsidRPr="00552EF4">
              <w:t>inutes below.</w:t>
            </w:r>
          </w:p>
        </w:tc>
        <w:tc>
          <w:tcPr>
            <w:tcW w:w="4910" w:type="dxa"/>
          </w:tcPr>
          <w:p w14:paraId="7CE9223B" w14:textId="77777777" w:rsidR="001D3405" w:rsidRDefault="001D3405" w:rsidP="001D3405">
            <w:pPr>
              <w:pStyle w:val="Tabletext0"/>
            </w:pPr>
            <w:r w:rsidRPr="00F10A20">
              <w:t>Clinical</w:t>
            </w:r>
            <w:r w:rsidRPr="00552EF4">
              <w:t xml:space="preserve"> utility of </w:t>
            </w:r>
            <w:proofErr w:type="spellStart"/>
            <w:r w:rsidRPr="00552EF4">
              <w:t>SLNBx</w:t>
            </w:r>
            <w:proofErr w:type="spellEnd"/>
            <w:r w:rsidRPr="00552EF4">
              <w:t xml:space="preserve"> was determined to be identification of patients eligible for adjuvant therapy listed on the PBS</w:t>
            </w:r>
            <w:r>
              <w:t xml:space="preserve">. Treatment with </w:t>
            </w:r>
            <w:r w:rsidRPr="00F10A20">
              <w:t xml:space="preserve">adjuvant therapy improves overall and relapse-free survival of patients with </w:t>
            </w:r>
            <w:r>
              <w:t>S</w:t>
            </w:r>
            <w:r w:rsidRPr="00F10A20">
              <w:t>tage III melanoma</w:t>
            </w:r>
            <w:r>
              <w:t>.</w:t>
            </w:r>
          </w:p>
          <w:p w14:paraId="16D33A1B" w14:textId="77777777" w:rsidR="001D3405" w:rsidRDefault="001D3405" w:rsidP="001D3405">
            <w:pPr>
              <w:pStyle w:val="Tabletext0"/>
            </w:pPr>
            <w:r w:rsidRPr="00552EF4">
              <w:t xml:space="preserve">In response to the MSAC’s request for further clarification of the patient selection criteria for adjuvant treatment of melanoma and the role of </w:t>
            </w:r>
            <w:proofErr w:type="spellStart"/>
            <w:r w:rsidRPr="00552EF4">
              <w:t>SLNB</w:t>
            </w:r>
            <w:r>
              <w:t>x</w:t>
            </w:r>
            <w:proofErr w:type="spellEnd"/>
            <w:r w:rsidRPr="00552EF4">
              <w:t xml:space="preserve"> in selecting patients for such treatment (p1, 1485 PSD), the following </w:t>
            </w:r>
            <w:r>
              <w:t xml:space="preserve">were notes </w:t>
            </w:r>
            <w:r w:rsidRPr="00552EF4">
              <w:t>in relation to p</w:t>
            </w:r>
            <w:r w:rsidRPr="00F10A20">
              <w:t xml:space="preserve">atients with Stage III </w:t>
            </w:r>
            <w:r>
              <w:t>melanoma</w:t>
            </w:r>
            <w:r w:rsidRPr="00F10A20">
              <w:t>:</w:t>
            </w:r>
          </w:p>
          <w:p w14:paraId="4068DD46" w14:textId="77777777" w:rsidR="001D3405" w:rsidRDefault="001D3405" w:rsidP="001D3405">
            <w:pPr>
              <w:pStyle w:val="Tabletext0"/>
            </w:pPr>
            <w:r>
              <w:t>PBS-subsidised p</w:t>
            </w:r>
            <w:r w:rsidRPr="00F10A20">
              <w:t xml:space="preserve">atients must have resected </w:t>
            </w:r>
            <w:r>
              <w:t>S</w:t>
            </w:r>
            <w:r w:rsidRPr="00552EF4">
              <w:t xml:space="preserve">tage IIIB, IIIC or IIID </w:t>
            </w:r>
            <w:r>
              <w:t>melanoma.</w:t>
            </w:r>
          </w:p>
          <w:p w14:paraId="11FD9A81" w14:textId="77777777" w:rsidR="001D3405" w:rsidRDefault="001D3405" w:rsidP="001D3405">
            <w:pPr>
              <w:pStyle w:val="Tabletext0"/>
            </w:pPr>
            <w:r w:rsidRPr="00552EF4">
              <w:t>With regard to th</w:t>
            </w:r>
            <w:r>
              <w:t>is</w:t>
            </w:r>
            <w:r w:rsidRPr="00552EF4">
              <w:t xml:space="preserve"> requirement for patients to have </w:t>
            </w:r>
            <w:r>
              <w:t>S</w:t>
            </w:r>
            <w:r w:rsidRPr="00552EF4">
              <w:t xml:space="preserve">tage IIIB, IIIC and IIID </w:t>
            </w:r>
            <w:r>
              <w:t>melanoma</w:t>
            </w:r>
            <w:r w:rsidRPr="00552EF4">
              <w:t xml:space="preserve">, </w:t>
            </w:r>
            <w:proofErr w:type="spellStart"/>
            <w:r w:rsidRPr="00552EF4">
              <w:t>SLNBx</w:t>
            </w:r>
            <w:proofErr w:type="spellEnd"/>
            <w:r w:rsidRPr="00552EF4">
              <w:t xml:space="preserve"> plays a key role in accurately staging melanoma in this popula</w:t>
            </w:r>
            <w:r>
              <w:t>tion of patients. Specifically:</w:t>
            </w:r>
          </w:p>
          <w:p w14:paraId="491CF2B2" w14:textId="77777777" w:rsidR="001D3405" w:rsidRPr="00F10A20" w:rsidRDefault="001D3405" w:rsidP="001D3405">
            <w:pPr>
              <w:pStyle w:val="Tabletext0"/>
            </w:pPr>
            <w:r w:rsidRPr="00552EF4">
              <w:t xml:space="preserve">According to the </w:t>
            </w:r>
            <w:r w:rsidRPr="005130C8">
              <w:t>American Joint Committee on Cancer (</w:t>
            </w:r>
            <w:r>
              <w:t>AJCC)</w:t>
            </w:r>
            <w:r w:rsidRPr="00552EF4">
              <w:t xml:space="preserve"> 8</w:t>
            </w:r>
            <w:r w:rsidRPr="005130C8">
              <w:rPr>
                <w:vertAlign w:val="superscript"/>
              </w:rPr>
              <w:t>th</w:t>
            </w:r>
            <w:r>
              <w:t xml:space="preserve"> </w:t>
            </w:r>
            <w:r w:rsidRPr="00552EF4">
              <w:t xml:space="preserve">edition </w:t>
            </w:r>
            <w:r>
              <w:t xml:space="preserve">melanoma </w:t>
            </w:r>
            <w:r w:rsidRPr="00552EF4">
              <w:t xml:space="preserve">staging criteria, </w:t>
            </w:r>
            <w:proofErr w:type="spellStart"/>
            <w:r w:rsidRPr="00552EF4">
              <w:t>SLNBx</w:t>
            </w:r>
            <w:proofErr w:type="spellEnd"/>
            <w:r w:rsidRPr="00552EF4">
              <w:t xml:space="preserve"> </w:t>
            </w:r>
            <w:proofErr w:type="gramStart"/>
            <w:r w:rsidRPr="00552EF4">
              <w:t>is used</w:t>
            </w:r>
            <w:proofErr w:type="gramEnd"/>
            <w:r w:rsidRPr="00552EF4">
              <w:t xml:space="preserve"> to determine the presence or absence of lymph node involvement in patients who </w:t>
            </w:r>
            <w:r w:rsidRPr="00552EF4">
              <w:lastRenderedPageBreak/>
              <w:t xml:space="preserve">do not have clinically apparent metastasis, in order to accurately determine the stage of </w:t>
            </w:r>
            <w:r>
              <w:t>melanoma</w:t>
            </w:r>
            <w:r w:rsidRPr="00552EF4">
              <w:t xml:space="preserve"> (</w:t>
            </w:r>
            <w:proofErr w:type="spellStart"/>
            <w:r w:rsidRPr="00552EF4">
              <w:t>Gershenwald</w:t>
            </w:r>
            <w:proofErr w:type="spellEnd"/>
            <w:r w:rsidRPr="00552EF4">
              <w:t xml:space="preserve"> et al.</w:t>
            </w:r>
            <w:r>
              <w:t xml:space="preserve"> 2017</w:t>
            </w:r>
            <w:r w:rsidRPr="00552EF4">
              <w:t>).</w:t>
            </w:r>
          </w:p>
          <w:p w14:paraId="76977A77" w14:textId="77777777" w:rsidR="001D3405" w:rsidRPr="00552EF4" w:rsidRDefault="001D3405" w:rsidP="001D3405">
            <w:pPr>
              <w:pStyle w:val="Tabletext0"/>
            </w:pPr>
            <w:r w:rsidRPr="00552EF4">
              <w:t xml:space="preserve">Current Australian guidelines recommend </w:t>
            </w:r>
            <w:proofErr w:type="spellStart"/>
            <w:r w:rsidRPr="00552EF4">
              <w:t>SLNBx</w:t>
            </w:r>
            <w:proofErr w:type="spellEnd"/>
            <w:r w:rsidRPr="00552EF4">
              <w:t xml:space="preserve"> to </w:t>
            </w:r>
            <w:proofErr w:type="gramStart"/>
            <w:r w:rsidRPr="00552EF4">
              <w:t>be considered</w:t>
            </w:r>
            <w:proofErr w:type="gramEnd"/>
            <w:r w:rsidRPr="00552EF4">
              <w:t xml:space="preserve"> for all patients with melanoma greater than 1</w:t>
            </w:r>
            <w:r>
              <w:t> </w:t>
            </w:r>
            <w:r w:rsidRPr="00552EF4">
              <w:t xml:space="preserve">mm in thickness and for patients </w:t>
            </w:r>
            <w:r>
              <w:t>with melanoma greater than 0.75 </w:t>
            </w:r>
            <w:r w:rsidRPr="00552EF4">
              <w:t xml:space="preserve">mm with other high-risk pathological features to provide optimal staging and prognostic information and to maximise management options for patients who are node-positive </w:t>
            </w:r>
            <w:r>
              <w:t>(Gyorki et al. 2017).</w:t>
            </w:r>
          </w:p>
        </w:tc>
      </w:tr>
      <w:tr w:rsidR="001D3405" w14:paraId="28B15CFC" w14:textId="77777777" w:rsidTr="001D3405">
        <w:tc>
          <w:tcPr>
            <w:tcW w:w="4106" w:type="dxa"/>
          </w:tcPr>
          <w:p w14:paraId="009F22B2" w14:textId="77777777" w:rsidR="001D3405" w:rsidRDefault="001D3405" w:rsidP="001D3405">
            <w:pPr>
              <w:pStyle w:val="Tabletext0"/>
            </w:pPr>
            <w:r>
              <w:lastRenderedPageBreak/>
              <w:t>MSAC considered that the multiple operations rule should apply if more than one item is required for one episode of care (p2, 1485 PSD).</w:t>
            </w:r>
          </w:p>
        </w:tc>
        <w:tc>
          <w:tcPr>
            <w:tcW w:w="4910" w:type="dxa"/>
          </w:tcPr>
          <w:p w14:paraId="7402C0F5" w14:textId="77777777" w:rsidR="001D3405" w:rsidRDefault="001D3405" w:rsidP="001D3405">
            <w:pPr>
              <w:pStyle w:val="Tabletext0"/>
            </w:pPr>
            <w:r>
              <w:t>The applicant recommends the multiple operations rule be applied to reflect that a proportion of patients have drainage to two (2) or more nodal basins.</w:t>
            </w:r>
          </w:p>
        </w:tc>
      </w:tr>
      <w:tr w:rsidR="001D3405" w14:paraId="101788DD" w14:textId="77777777" w:rsidTr="001D3405">
        <w:tc>
          <w:tcPr>
            <w:tcW w:w="4106" w:type="dxa"/>
          </w:tcPr>
          <w:p w14:paraId="3748F6CE" w14:textId="77777777" w:rsidR="001D3405" w:rsidRDefault="001D3405" w:rsidP="001D3405">
            <w:pPr>
              <w:pStyle w:val="Tabletext0"/>
            </w:pPr>
            <w:r>
              <w:t xml:space="preserve">MSAC suggested that consideration </w:t>
            </w:r>
            <w:proofErr w:type="gramStart"/>
            <w:r>
              <w:t>be given</w:t>
            </w:r>
            <w:proofErr w:type="gramEnd"/>
            <w:r>
              <w:t xml:space="preserve"> to limiting the procedure to centres with appropriate expertise (p2, 1485 PSD).</w:t>
            </w:r>
          </w:p>
        </w:tc>
        <w:tc>
          <w:tcPr>
            <w:tcW w:w="4910" w:type="dxa"/>
          </w:tcPr>
          <w:p w14:paraId="05310CB7" w14:textId="4AD46FB9" w:rsidR="001D3405" w:rsidRDefault="001D3405" w:rsidP="001D3405">
            <w:pPr>
              <w:pStyle w:val="Tabletext0"/>
            </w:pPr>
            <w:r>
              <w:t>In the original application, as well as the re</w:t>
            </w:r>
            <w:r w:rsidR="00F23D1E">
              <w:t>submission</w:t>
            </w:r>
            <w:r>
              <w:t xml:space="preserve">, it </w:t>
            </w:r>
            <w:proofErr w:type="gramStart"/>
            <w:r>
              <w:t>has been recommended</w:t>
            </w:r>
            <w:proofErr w:type="gramEnd"/>
            <w:r>
              <w:t xml:space="preserve"> that </w:t>
            </w:r>
            <w:proofErr w:type="spellStart"/>
            <w:r>
              <w:t>proceduralists</w:t>
            </w:r>
            <w:proofErr w:type="spellEnd"/>
            <w:r>
              <w:t xml:space="preserve"> be trained specifically to undertake </w:t>
            </w:r>
            <w:proofErr w:type="spellStart"/>
            <w:r>
              <w:t>SLNBx</w:t>
            </w:r>
            <w:proofErr w:type="spellEnd"/>
            <w:r>
              <w:t xml:space="preserve"> for melanoma. This is analogous to </w:t>
            </w:r>
            <w:proofErr w:type="spellStart"/>
            <w:r>
              <w:t>SLNBx</w:t>
            </w:r>
            <w:proofErr w:type="spellEnd"/>
            <w:r>
              <w:t xml:space="preserve"> in breast cancer where a minimum of 20 cases </w:t>
            </w:r>
            <w:proofErr w:type="gramStart"/>
            <w:r>
              <w:t>are recommended</w:t>
            </w:r>
            <w:proofErr w:type="gramEnd"/>
            <w:r>
              <w:t xml:space="preserve"> to acquire appropriate skills.</w:t>
            </w:r>
          </w:p>
          <w:p w14:paraId="45C16DB8" w14:textId="77777777" w:rsidR="001D3405" w:rsidRDefault="001D3405" w:rsidP="001D3405">
            <w:pPr>
              <w:pStyle w:val="Tabletext0"/>
            </w:pPr>
            <w:proofErr w:type="spellStart"/>
            <w:r>
              <w:t>Proceduralists</w:t>
            </w:r>
            <w:proofErr w:type="spellEnd"/>
            <w:r>
              <w:t xml:space="preserve"> who already perform </w:t>
            </w:r>
            <w:proofErr w:type="spellStart"/>
            <w:r>
              <w:t>SLNBx</w:t>
            </w:r>
            <w:proofErr w:type="spellEnd"/>
            <w:r>
              <w:t xml:space="preserve"> in breast cancer do not require further training as the skills are transferable.</w:t>
            </w:r>
          </w:p>
          <w:p w14:paraId="289B1040" w14:textId="77777777" w:rsidR="001D3405" w:rsidRDefault="001D3405" w:rsidP="001D3405">
            <w:pPr>
              <w:pStyle w:val="Tabletext0"/>
            </w:pPr>
            <w:r>
              <w:t xml:space="preserve">Similar to breast cancer, an increasing number of melanoma patients around Australia are discussed within a multidisciplinary clinic and this improves the quality of decision-making </w:t>
            </w:r>
            <w:proofErr w:type="gramStart"/>
            <w:r>
              <w:t>and also</w:t>
            </w:r>
            <w:proofErr w:type="gramEnd"/>
            <w:r>
              <w:t xml:space="preserve"> service. The application fully supports the local development of melanoma multidisciplinary discussions.</w:t>
            </w:r>
          </w:p>
          <w:p w14:paraId="5FCB2A02" w14:textId="77777777" w:rsidR="001D3405" w:rsidRDefault="001D3405" w:rsidP="001D3405">
            <w:pPr>
              <w:pStyle w:val="Tabletext0"/>
            </w:pPr>
            <w:r>
              <w:t xml:space="preserve">Finally, it </w:t>
            </w:r>
            <w:proofErr w:type="gramStart"/>
            <w:r>
              <w:t>is recommended</w:t>
            </w:r>
            <w:proofErr w:type="gramEnd"/>
            <w:r>
              <w:t xml:space="preserve"> that a combination of blue dye and radioisotope be used for this procedure.</w:t>
            </w:r>
          </w:p>
        </w:tc>
      </w:tr>
      <w:tr w:rsidR="001D3405" w14:paraId="795195D2" w14:textId="77777777" w:rsidTr="001D3405">
        <w:tc>
          <w:tcPr>
            <w:tcW w:w="4106" w:type="dxa"/>
          </w:tcPr>
          <w:p w14:paraId="71EA3C9B" w14:textId="77777777" w:rsidR="001D3405" w:rsidRDefault="001D3405" w:rsidP="001D3405">
            <w:pPr>
              <w:pStyle w:val="Tabletext0"/>
            </w:pPr>
            <w:r>
              <w:t xml:space="preserve">MSAC noted, however, that clinical practice has changed following these trials, and CLND </w:t>
            </w:r>
            <w:proofErr w:type="gramStart"/>
            <w:r>
              <w:t>is no longer considered</w:t>
            </w:r>
            <w:proofErr w:type="gramEnd"/>
            <w:r>
              <w:t xml:space="preserve"> standard treatment after a positive </w:t>
            </w:r>
            <w:proofErr w:type="spellStart"/>
            <w:r>
              <w:t>SLNBx</w:t>
            </w:r>
            <w:proofErr w:type="spellEnd"/>
            <w:r>
              <w:t xml:space="preserve"> (p2, 1485 PSD).</w:t>
            </w:r>
          </w:p>
        </w:tc>
        <w:tc>
          <w:tcPr>
            <w:tcW w:w="4910" w:type="dxa"/>
          </w:tcPr>
          <w:p w14:paraId="4223FA99" w14:textId="77777777" w:rsidR="001D3405" w:rsidRDefault="001D3405" w:rsidP="001D3405">
            <w:pPr>
              <w:pStyle w:val="Tabletext0"/>
            </w:pPr>
            <w:r>
              <w:t xml:space="preserve">Clinical utility of </w:t>
            </w:r>
            <w:proofErr w:type="spellStart"/>
            <w:r>
              <w:t>SLNBx</w:t>
            </w:r>
            <w:proofErr w:type="spellEnd"/>
            <w:r>
              <w:t xml:space="preserve"> (relative to comparator) is now framed in relation to access to PBS-subsidised adjuvant therapy, which is informed by diagnostic performance of </w:t>
            </w:r>
            <w:proofErr w:type="spellStart"/>
            <w:r>
              <w:t>SLNBx</w:t>
            </w:r>
            <w:proofErr w:type="spellEnd"/>
            <w:r>
              <w:t>.</w:t>
            </w:r>
          </w:p>
        </w:tc>
      </w:tr>
      <w:tr w:rsidR="001D3405" w14:paraId="229175F1" w14:textId="77777777" w:rsidTr="001D3405">
        <w:tc>
          <w:tcPr>
            <w:tcW w:w="4106" w:type="dxa"/>
          </w:tcPr>
          <w:p w14:paraId="49ED9C1D" w14:textId="77777777" w:rsidR="001D3405" w:rsidRDefault="001D3405" w:rsidP="001D3405">
            <w:pPr>
              <w:pStyle w:val="Tabletext0"/>
            </w:pPr>
            <w:r>
              <w:t>Availability of, and eligibility criteria for, adjuvant therapies on the PBS (p1, 1485 PSD).</w:t>
            </w:r>
          </w:p>
        </w:tc>
        <w:tc>
          <w:tcPr>
            <w:tcW w:w="4910" w:type="dxa"/>
          </w:tcPr>
          <w:p w14:paraId="3B8AE412" w14:textId="77777777" w:rsidR="001D3405" w:rsidRPr="00230682" w:rsidRDefault="001D3405" w:rsidP="001D3405">
            <w:pPr>
              <w:pStyle w:val="Tabletext0"/>
            </w:pPr>
            <w:r>
              <w:t xml:space="preserve">As of 1 March 2020, both </w:t>
            </w:r>
            <w:proofErr w:type="spellStart"/>
            <w:r>
              <w:t>nivolumab</w:t>
            </w:r>
            <w:proofErr w:type="spellEnd"/>
            <w:r>
              <w:t xml:space="preserve"> and the combination of dabrafenib </w:t>
            </w:r>
            <w:r w:rsidRPr="00230682">
              <w:t xml:space="preserve">and trametinib </w:t>
            </w:r>
            <w:r>
              <w:t>are</w:t>
            </w:r>
            <w:r w:rsidRPr="00230682">
              <w:t xml:space="preserve"> listed on the PBS for patients with resected Stage IIIB, IIIC or IIID melanoma</w:t>
            </w:r>
            <w:r>
              <w:t xml:space="preserve"> (the combination is further restricted to </w:t>
            </w:r>
            <w:r w:rsidRPr="00460353">
              <w:rPr>
                <w:i/>
              </w:rPr>
              <w:t>BRAF</w:t>
            </w:r>
            <w:r>
              <w:t>-positive patients)</w:t>
            </w:r>
            <w:r w:rsidRPr="00230682">
              <w:t>.</w:t>
            </w:r>
          </w:p>
          <w:p w14:paraId="5A5C50B7" w14:textId="77777777" w:rsidR="001D3405" w:rsidRDefault="001D3405" w:rsidP="001D3405">
            <w:pPr>
              <w:pStyle w:val="Tabletext0"/>
            </w:pPr>
            <w:r w:rsidRPr="00230682">
              <w:t>Other immunotherapy-bas</w:t>
            </w:r>
            <w:r>
              <w:t xml:space="preserve">ed options </w:t>
            </w:r>
            <w:proofErr w:type="gramStart"/>
            <w:r>
              <w:t>have been submitted for PBAC consideration, but not recommended</w:t>
            </w:r>
            <w:proofErr w:type="gramEnd"/>
            <w:r w:rsidRPr="004B3740">
              <w:t>.</w:t>
            </w:r>
          </w:p>
        </w:tc>
      </w:tr>
      <w:tr w:rsidR="001D3405" w14:paraId="6319CB5C" w14:textId="77777777" w:rsidTr="001D3405">
        <w:tc>
          <w:tcPr>
            <w:tcW w:w="4106" w:type="dxa"/>
          </w:tcPr>
          <w:p w14:paraId="416662E3" w14:textId="77777777" w:rsidR="001D3405" w:rsidRDefault="001D3405" w:rsidP="001D3405">
            <w:pPr>
              <w:pStyle w:val="Tabletext0"/>
            </w:pPr>
            <w:r>
              <w:t xml:space="preserve">Applicability of effectiveness outcomes in adjuvant therapy trials for patients with a positive </w:t>
            </w:r>
            <w:proofErr w:type="spellStart"/>
            <w:r>
              <w:t>SLNBx</w:t>
            </w:r>
            <w:proofErr w:type="spellEnd"/>
            <w:r>
              <w:t xml:space="preserve"> (e.g. patients entering trials were not selected </w:t>
            </w:r>
            <w:proofErr w:type="gramStart"/>
            <w:r>
              <w:t>on the basis of</w:t>
            </w:r>
            <w:proofErr w:type="gramEnd"/>
            <w:r>
              <w:t xml:space="preserve"> </w:t>
            </w:r>
            <w:proofErr w:type="spellStart"/>
            <w:r>
              <w:t>SLNBx</w:t>
            </w:r>
            <w:proofErr w:type="spellEnd"/>
            <w:r>
              <w:t xml:space="preserve"> results). If </w:t>
            </w:r>
            <w:proofErr w:type="spellStart"/>
            <w:r>
              <w:t>SLNBx</w:t>
            </w:r>
            <w:proofErr w:type="spellEnd"/>
            <w:r>
              <w:t xml:space="preserve"> results were to be used to assess eligibility of patients for adjuvant therapy in practice, MSAC recommended establishing risk equivalence criteria (p3, 1485 PSD).</w:t>
            </w:r>
          </w:p>
          <w:p w14:paraId="0FEC6B1F" w14:textId="77777777" w:rsidR="001D3405" w:rsidRDefault="001D3405" w:rsidP="001D3405">
            <w:pPr>
              <w:pStyle w:val="Tabletext0"/>
            </w:pPr>
            <w:r w:rsidRPr="00552EF4">
              <w:t xml:space="preserve">See Stakeholder Meeting </w:t>
            </w:r>
            <w:r>
              <w:t>M</w:t>
            </w:r>
            <w:r w:rsidRPr="00552EF4">
              <w:t>inutes below.</w:t>
            </w:r>
          </w:p>
        </w:tc>
        <w:tc>
          <w:tcPr>
            <w:tcW w:w="4910" w:type="dxa"/>
          </w:tcPr>
          <w:p w14:paraId="7BD630C4" w14:textId="77777777" w:rsidR="001D3405" w:rsidRDefault="001D3405" w:rsidP="001D3405">
            <w:pPr>
              <w:pStyle w:val="Tabletext0"/>
            </w:pPr>
            <w:r>
              <w:t xml:space="preserve">Only patients with Stage IIIB, IIIC or IIID melanoma </w:t>
            </w:r>
            <w:proofErr w:type="gramStart"/>
            <w:r>
              <w:t>were considered</w:t>
            </w:r>
            <w:proofErr w:type="gramEnd"/>
            <w:r>
              <w:t xml:space="preserve"> eligible for adjuvant therapy. Melanoma-specific survival curves for Stage III subgroups (IIIA, IIIB, IIIC and IIID) </w:t>
            </w:r>
            <w:proofErr w:type="gramStart"/>
            <w:r>
              <w:t>were presented</w:t>
            </w:r>
            <w:proofErr w:type="gramEnd"/>
            <w:r>
              <w:t xml:space="preserve"> in clinical validity section. The proportion of patients in each subgroup </w:t>
            </w:r>
            <w:proofErr w:type="gramStart"/>
            <w:r>
              <w:t>was estimated</w:t>
            </w:r>
            <w:proofErr w:type="gramEnd"/>
            <w:r>
              <w:t xml:space="preserve"> for the base case using Australian data presented by </w:t>
            </w:r>
            <w:proofErr w:type="spellStart"/>
            <w:r>
              <w:t>Haydu</w:t>
            </w:r>
            <w:proofErr w:type="spellEnd"/>
            <w:r>
              <w:t xml:space="preserve"> et al. 2017.</w:t>
            </w:r>
          </w:p>
        </w:tc>
      </w:tr>
      <w:tr w:rsidR="001D3405" w14:paraId="44F043B5" w14:textId="77777777" w:rsidTr="001D3405">
        <w:tc>
          <w:tcPr>
            <w:tcW w:w="4106" w:type="dxa"/>
          </w:tcPr>
          <w:p w14:paraId="6F9B6182" w14:textId="77777777" w:rsidR="001D3405" w:rsidRDefault="001D3405" w:rsidP="001D3405">
            <w:pPr>
              <w:pStyle w:val="Tabletext0"/>
            </w:pPr>
            <w:r>
              <w:t>Economic issues (p3, 1485 PSD):</w:t>
            </w:r>
          </w:p>
          <w:p w14:paraId="36F8B74E" w14:textId="77777777" w:rsidR="001D3405" w:rsidRDefault="001D3405" w:rsidP="001D3405">
            <w:pPr>
              <w:pStyle w:val="Tabletext0"/>
            </w:pPr>
            <w:r>
              <w:t>Underestimated follow-up costs in the model (e.g. proportion modelled for follow up with specialists)</w:t>
            </w:r>
          </w:p>
          <w:p w14:paraId="7E9D0792" w14:textId="77777777" w:rsidR="001D3405" w:rsidRDefault="001D3405" w:rsidP="001D3405">
            <w:pPr>
              <w:pStyle w:val="Tabletext0"/>
            </w:pPr>
            <w:r>
              <w:t>Out-of-pocket costs and Medicare Safety not explored</w:t>
            </w:r>
          </w:p>
        </w:tc>
        <w:tc>
          <w:tcPr>
            <w:tcW w:w="4910" w:type="dxa"/>
          </w:tcPr>
          <w:p w14:paraId="69385CE1" w14:textId="77777777" w:rsidR="001D3405" w:rsidRDefault="001D3405" w:rsidP="001D3405">
            <w:pPr>
              <w:pStyle w:val="Tabletext0"/>
            </w:pPr>
            <w:r>
              <w:t xml:space="preserve">Follow-up cost: Addressed. It </w:t>
            </w:r>
            <w:proofErr w:type="gramStart"/>
            <w:r>
              <w:t>was assumed</w:t>
            </w:r>
            <w:proofErr w:type="gramEnd"/>
            <w:r>
              <w:t xml:space="preserve"> that all patients with a positive </w:t>
            </w:r>
            <w:proofErr w:type="spellStart"/>
            <w:r>
              <w:t>SLNBx</w:t>
            </w:r>
            <w:proofErr w:type="spellEnd"/>
            <w:r>
              <w:t xml:space="preserve"> would receive specialist follow-up, and the frequency of follow-up was determined based on </w:t>
            </w:r>
            <w:proofErr w:type="spellStart"/>
            <w:r>
              <w:t>Faries</w:t>
            </w:r>
            <w:proofErr w:type="spellEnd"/>
            <w:r>
              <w:t xml:space="preserve"> et al. 2017. This </w:t>
            </w:r>
            <w:proofErr w:type="gramStart"/>
            <w:r>
              <w:t>is also aligned</w:t>
            </w:r>
            <w:proofErr w:type="gramEnd"/>
            <w:r>
              <w:t xml:space="preserve"> with Australian guidelines.</w:t>
            </w:r>
          </w:p>
          <w:p w14:paraId="325012DC" w14:textId="77777777" w:rsidR="001D3405" w:rsidRDefault="001D3405" w:rsidP="001D3405">
            <w:pPr>
              <w:pStyle w:val="Tabletext0"/>
            </w:pPr>
            <w:r>
              <w:t>Out-of-pocket costs: Not addressed.</w:t>
            </w:r>
          </w:p>
        </w:tc>
      </w:tr>
      <w:tr w:rsidR="001D3405" w14:paraId="6D247CC8" w14:textId="77777777" w:rsidTr="001D3405">
        <w:tc>
          <w:tcPr>
            <w:tcW w:w="4106" w:type="dxa"/>
          </w:tcPr>
          <w:p w14:paraId="50626306" w14:textId="77777777" w:rsidR="001D3405" w:rsidRDefault="001D3405" w:rsidP="001D3405">
            <w:pPr>
              <w:pStyle w:val="Tabletext0"/>
            </w:pPr>
            <w:r>
              <w:t>Highly uncertain financial estimates (p3, 1485 PSD):</w:t>
            </w:r>
          </w:p>
          <w:p w14:paraId="697DC913" w14:textId="77777777" w:rsidR="001D3405" w:rsidRDefault="001D3405" w:rsidP="001D3405">
            <w:pPr>
              <w:pStyle w:val="Tabletext0"/>
            </w:pPr>
            <w:r>
              <w:t xml:space="preserve">Cost of </w:t>
            </w:r>
            <w:proofErr w:type="spellStart"/>
            <w:r>
              <w:t>SLNBx</w:t>
            </w:r>
            <w:proofErr w:type="spellEnd"/>
            <w:r>
              <w:t xml:space="preserve"> from current data</w:t>
            </w:r>
          </w:p>
          <w:p w14:paraId="1997CD53" w14:textId="77777777" w:rsidR="001D3405" w:rsidRDefault="001D3405" w:rsidP="001D3405">
            <w:pPr>
              <w:pStyle w:val="Tabletext0"/>
            </w:pPr>
            <w:r>
              <w:t>Extent of cost offsets</w:t>
            </w:r>
          </w:p>
        </w:tc>
        <w:tc>
          <w:tcPr>
            <w:tcW w:w="4910" w:type="dxa"/>
          </w:tcPr>
          <w:p w14:paraId="6FACA072" w14:textId="77777777" w:rsidR="001D3405" w:rsidRDefault="001D3405" w:rsidP="001D3405">
            <w:pPr>
              <w:pStyle w:val="Tabletext0"/>
            </w:pPr>
            <w:r w:rsidRPr="004B3740">
              <w:t>Improved data on current and likely utilisation is impossible with current MBS descriptors.</w:t>
            </w:r>
          </w:p>
          <w:p w14:paraId="4C943790" w14:textId="77777777" w:rsidR="001D3405" w:rsidRDefault="001D3405" w:rsidP="001D3405">
            <w:pPr>
              <w:pStyle w:val="Tabletext0"/>
            </w:pPr>
            <w:r>
              <w:t>Not addressed</w:t>
            </w:r>
          </w:p>
        </w:tc>
      </w:tr>
    </w:tbl>
    <w:p w14:paraId="2BD3ECF5" w14:textId="77777777" w:rsidR="001D3405" w:rsidRDefault="001D3405" w:rsidP="001D3405">
      <w:pPr>
        <w:pStyle w:val="TFAbbrevs18"/>
        <w:spacing w:after="0"/>
      </w:pPr>
      <w:r w:rsidDel="000E14A6">
        <w:t xml:space="preserve">PBS = Pharmaceutical Benefits Scheme; </w:t>
      </w:r>
      <w:proofErr w:type="spellStart"/>
      <w:r w:rsidDel="000E14A6">
        <w:t>SLNBx</w:t>
      </w:r>
      <w:proofErr w:type="spellEnd"/>
      <w:r w:rsidDel="000E14A6">
        <w:t xml:space="preserve"> = sentinel lymph node biopsy</w:t>
      </w:r>
    </w:p>
    <w:p w14:paraId="7C3646D8" w14:textId="77777777" w:rsidR="001D3405" w:rsidRDefault="001D3405" w:rsidP="001D3405">
      <w:pPr>
        <w:pStyle w:val="TFAbbrevs18"/>
        <w:keepNext w:val="0"/>
        <w:keepLines w:val="0"/>
        <w:spacing w:after="240"/>
      </w:pPr>
      <w:r>
        <w:t>Source: Table 11, pp31-32 of the DCAR</w:t>
      </w:r>
    </w:p>
    <w:p w14:paraId="4948D67D" w14:textId="77777777" w:rsidR="001D3405" w:rsidRDefault="001D3405" w:rsidP="001D3405">
      <w:pPr>
        <w:pStyle w:val="Heading2"/>
      </w:pPr>
      <w:r>
        <w:lastRenderedPageBreak/>
        <w:t>Stakeholder meeting</w:t>
      </w:r>
    </w:p>
    <w:p w14:paraId="1D7A2B57" w14:textId="4A85FF4E" w:rsidR="001D3405" w:rsidRDefault="001D3405" w:rsidP="003D72FA">
      <w:pPr>
        <w:spacing w:after="240"/>
      </w:pPr>
      <w:r>
        <w:t>Following the MSAC July 2018 meeting, a stakeholder meeting including members of MSAC, clinicians with experience and expertise in clinical oncology, pathology, dermatology and clinical genetics, representatives of the applicant, consumers and Department of Health was held in November 2018 (Stakeholder Meeting Minutes – Final, Sentinel lymph node biopsy for intermediate and thick melanoma 2018). The DCAR summarised this for Table 2.</w:t>
      </w:r>
    </w:p>
    <w:p w14:paraId="72DD794D" w14:textId="77777777" w:rsidR="001D3405" w:rsidRPr="00261B83" w:rsidRDefault="001D3405" w:rsidP="00261B83">
      <w:pPr>
        <w:rPr>
          <w:rFonts w:ascii="Arial Narrow" w:hAnsi="Arial Narrow"/>
          <w:b/>
          <w:sz w:val="20"/>
        </w:rPr>
      </w:pPr>
      <w:bookmarkStart w:id="3" w:name="_Ref29821674"/>
      <w:bookmarkStart w:id="4" w:name="_Toc30088409"/>
      <w:r w:rsidRPr="00261B83">
        <w:rPr>
          <w:rFonts w:ascii="Arial Narrow" w:hAnsi="Arial Narrow"/>
          <w:b/>
          <w:sz w:val="20"/>
        </w:rPr>
        <w:t>Table</w:t>
      </w:r>
      <w:bookmarkEnd w:id="3"/>
      <w:r w:rsidRPr="00261B83">
        <w:rPr>
          <w:rFonts w:ascii="Arial Narrow" w:hAnsi="Arial Narrow"/>
          <w:b/>
          <w:sz w:val="20"/>
        </w:rPr>
        <w:t xml:space="preserve"> 2: Summary of Stakeholder Meeting Minutes from MSAC 1485, and approach used for the resubmission</w:t>
      </w:r>
      <w:bookmarkEnd w:id="4"/>
    </w:p>
    <w:tbl>
      <w:tblPr>
        <w:tblStyle w:val="TableGrid"/>
        <w:tblW w:w="0" w:type="auto"/>
        <w:tblCellMar>
          <w:left w:w="28" w:type="dxa"/>
          <w:right w:w="28" w:type="dxa"/>
        </w:tblCellMar>
        <w:tblLook w:val="04A0" w:firstRow="1" w:lastRow="0" w:firstColumn="1" w:lastColumn="0" w:noHBand="0" w:noVBand="1"/>
        <w:tblCaption w:val="Table 2: Summary of Stakeholder Meeting minutes from MSAC 1485, and approach used in the resubmission"/>
        <w:tblDescription w:val="DCAR's summary of Staekholder meeting"/>
      </w:tblPr>
      <w:tblGrid>
        <w:gridCol w:w="3964"/>
        <w:gridCol w:w="5052"/>
      </w:tblGrid>
      <w:tr w:rsidR="001D3405" w14:paraId="6C019F16" w14:textId="77777777" w:rsidTr="001D3405">
        <w:trPr>
          <w:tblHeader/>
        </w:trPr>
        <w:tc>
          <w:tcPr>
            <w:tcW w:w="3964" w:type="dxa"/>
            <w:tcBorders>
              <w:bottom w:val="single" w:sz="4" w:space="0" w:color="auto"/>
            </w:tcBorders>
          </w:tcPr>
          <w:p w14:paraId="358370DD" w14:textId="77777777" w:rsidR="001D3405" w:rsidRDefault="001D3405" w:rsidP="001D3405">
            <w:pPr>
              <w:pStyle w:val="Tabletext0"/>
            </w:pPr>
            <w:r w:rsidRPr="00383312">
              <w:rPr>
                <w:b/>
              </w:rPr>
              <w:t>M</w:t>
            </w:r>
            <w:r>
              <w:rPr>
                <w:b/>
              </w:rPr>
              <w:t>inutes</w:t>
            </w:r>
            <w:r w:rsidRPr="00383312">
              <w:rPr>
                <w:b/>
              </w:rPr>
              <w:t xml:space="preserve"> </w:t>
            </w:r>
            <w:r>
              <w:rPr>
                <w:b/>
              </w:rPr>
              <w:t>issues/</w:t>
            </w:r>
            <w:r w:rsidRPr="00383312">
              <w:rPr>
                <w:b/>
              </w:rPr>
              <w:t>recommendation</w:t>
            </w:r>
            <w:r>
              <w:rPr>
                <w:b/>
              </w:rPr>
              <w:t>s</w:t>
            </w:r>
            <w:r w:rsidRPr="00383312">
              <w:rPr>
                <w:b/>
              </w:rPr>
              <w:t xml:space="preserve"> based on</w:t>
            </w:r>
            <w:r>
              <w:rPr>
                <w:b/>
              </w:rPr>
              <w:t xml:space="preserve"> 1485</w:t>
            </w:r>
          </w:p>
        </w:tc>
        <w:tc>
          <w:tcPr>
            <w:tcW w:w="5052" w:type="dxa"/>
            <w:tcBorders>
              <w:bottom w:val="single" w:sz="4" w:space="0" w:color="auto"/>
            </w:tcBorders>
          </w:tcPr>
          <w:p w14:paraId="0E8DABB9" w14:textId="77777777" w:rsidR="001D3405" w:rsidRDefault="001D3405" w:rsidP="001D3405">
            <w:pPr>
              <w:pStyle w:val="Tabletext0"/>
            </w:pPr>
            <w:r w:rsidRPr="00383312">
              <w:rPr>
                <w:b/>
              </w:rPr>
              <w:t xml:space="preserve">How these have been addressed </w:t>
            </w:r>
            <w:r>
              <w:rPr>
                <w:b/>
              </w:rPr>
              <w:t>for 1485.1</w:t>
            </w:r>
          </w:p>
        </w:tc>
      </w:tr>
      <w:tr w:rsidR="001D3405" w14:paraId="52CAB268" w14:textId="77777777" w:rsidTr="001D3405">
        <w:tc>
          <w:tcPr>
            <w:tcW w:w="3964" w:type="dxa"/>
            <w:tcBorders>
              <w:top w:val="single" w:sz="4" w:space="0" w:color="auto"/>
              <w:left w:val="single" w:sz="4" w:space="0" w:color="auto"/>
              <w:bottom w:val="single" w:sz="4" w:space="0" w:color="auto"/>
              <w:right w:val="single" w:sz="4" w:space="0" w:color="auto"/>
            </w:tcBorders>
          </w:tcPr>
          <w:p w14:paraId="154108C1" w14:textId="77777777" w:rsidR="001D3405" w:rsidRDefault="001D3405" w:rsidP="001D3405">
            <w:pPr>
              <w:pStyle w:val="Tabletext0"/>
            </w:pPr>
            <w:r>
              <w:t>Guidelines recommendations for SLNB</w:t>
            </w:r>
          </w:p>
        </w:tc>
        <w:tc>
          <w:tcPr>
            <w:tcW w:w="5052" w:type="dxa"/>
            <w:tcBorders>
              <w:top w:val="single" w:sz="4" w:space="0" w:color="auto"/>
              <w:left w:val="single" w:sz="4" w:space="0" w:color="auto"/>
              <w:bottom w:val="single" w:sz="4" w:space="0" w:color="auto"/>
              <w:right w:val="single" w:sz="4" w:space="0" w:color="auto"/>
            </w:tcBorders>
          </w:tcPr>
          <w:p w14:paraId="7AF98E08" w14:textId="52CEF482" w:rsidR="001D3405" w:rsidRDefault="001D3405" w:rsidP="00F23D1E">
            <w:pPr>
              <w:pStyle w:val="Tabletext0"/>
            </w:pPr>
            <w:r>
              <w:t>The indication for th</w:t>
            </w:r>
            <w:r w:rsidR="00F23D1E">
              <w:t>e resubmission</w:t>
            </w:r>
            <w:r>
              <w:t xml:space="preserve"> was broadened to all melanoma greater than 1 mm thick, and melanoma at least 0.8 mm thick in the presence of ulceration as this was consistent with Australian and international guidelines.</w:t>
            </w:r>
          </w:p>
        </w:tc>
      </w:tr>
      <w:tr w:rsidR="001D3405" w14:paraId="47EDD9C0" w14:textId="77777777" w:rsidTr="001D3405">
        <w:tc>
          <w:tcPr>
            <w:tcW w:w="3964" w:type="dxa"/>
            <w:tcBorders>
              <w:top w:val="single" w:sz="4" w:space="0" w:color="auto"/>
              <w:left w:val="single" w:sz="4" w:space="0" w:color="auto"/>
              <w:bottom w:val="single" w:sz="4" w:space="0" w:color="auto"/>
              <w:right w:val="single" w:sz="4" w:space="0" w:color="auto"/>
            </w:tcBorders>
          </w:tcPr>
          <w:p w14:paraId="452B1008" w14:textId="77777777" w:rsidR="001D3405" w:rsidRDefault="001D3405" w:rsidP="001D3405">
            <w:pPr>
              <w:pStyle w:val="Tabletext0"/>
            </w:pPr>
            <w:r>
              <w:t>Pathology: advice on method (immunohistochemistry or polymerase chain reaction [PCR]) of assessment of lymph nodes and the definition of positive (for each method)</w:t>
            </w:r>
          </w:p>
        </w:tc>
        <w:tc>
          <w:tcPr>
            <w:tcW w:w="5052" w:type="dxa"/>
            <w:tcBorders>
              <w:top w:val="single" w:sz="4" w:space="0" w:color="auto"/>
              <w:left w:val="single" w:sz="4" w:space="0" w:color="auto"/>
              <w:bottom w:val="single" w:sz="4" w:space="0" w:color="auto"/>
              <w:right w:val="single" w:sz="4" w:space="0" w:color="auto"/>
            </w:tcBorders>
          </w:tcPr>
          <w:p w14:paraId="2012CAFD" w14:textId="77777777" w:rsidR="001D3405" w:rsidRDefault="001D3405" w:rsidP="001D3405">
            <w:pPr>
              <w:pStyle w:val="Tabletext0"/>
            </w:pPr>
            <w:r>
              <w:t>Not addressed.</w:t>
            </w:r>
          </w:p>
          <w:p w14:paraId="0C021BB6" w14:textId="77777777" w:rsidR="001D3405" w:rsidRDefault="001D3405" w:rsidP="001D3405">
            <w:pPr>
              <w:pStyle w:val="Tabletext0"/>
            </w:pPr>
            <w:proofErr w:type="spellStart"/>
            <w:r>
              <w:t>SLNBx</w:t>
            </w:r>
            <w:proofErr w:type="spellEnd"/>
            <w:r>
              <w:t xml:space="preserve"> positivity was taken from the MLST-I trial (15.84%), which used immunohistochemically analysis (Morton et al. 2006).</w:t>
            </w:r>
          </w:p>
        </w:tc>
      </w:tr>
      <w:tr w:rsidR="001D3405" w14:paraId="6B14A500" w14:textId="77777777" w:rsidTr="001D3405">
        <w:tc>
          <w:tcPr>
            <w:tcW w:w="3964" w:type="dxa"/>
            <w:tcBorders>
              <w:top w:val="single" w:sz="4" w:space="0" w:color="auto"/>
            </w:tcBorders>
          </w:tcPr>
          <w:p w14:paraId="0AC78347" w14:textId="77777777" w:rsidR="001D3405" w:rsidRDefault="001D3405" w:rsidP="001D3405">
            <w:pPr>
              <w:pStyle w:val="Tabletext0"/>
            </w:pPr>
            <w:r>
              <w:t>Access, equity and education issues</w:t>
            </w:r>
          </w:p>
        </w:tc>
        <w:tc>
          <w:tcPr>
            <w:tcW w:w="5052" w:type="dxa"/>
            <w:tcBorders>
              <w:top w:val="single" w:sz="4" w:space="0" w:color="auto"/>
            </w:tcBorders>
          </w:tcPr>
          <w:p w14:paraId="2303FD2E" w14:textId="77777777" w:rsidR="001D3405" w:rsidRDefault="001D3405" w:rsidP="001D3405">
            <w:pPr>
              <w:pStyle w:val="Tabletext0"/>
            </w:pPr>
            <w:r>
              <w:t xml:space="preserve">The relevance of </w:t>
            </w:r>
            <w:proofErr w:type="spellStart"/>
            <w:r>
              <w:t>SLNBx</w:t>
            </w:r>
            <w:proofErr w:type="spellEnd"/>
            <w:r>
              <w:t xml:space="preserve"> in clinical management has changed because a positive </w:t>
            </w:r>
            <w:proofErr w:type="spellStart"/>
            <w:r>
              <w:t>SLNBx</w:t>
            </w:r>
            <w:proofErr w:type="spellEnd"/>
            <w:r>
              <w:t xml:space="preserve"> will now inform suitability for PBS-subsidised adjuvant therapy for some patients.</w:t>
            </w:r>
          </w:p>
        </w:tc>
      </w:tr>
      <w:tr w:rsidR="001D3405" w14:paraId="78796FC3" w14:textId="77777777" w:rsidTr="001D3405">
        <w:tc>
          <w:tcPr>
            <w:tcW w:w="3964" w:type="dxa"/>
          </w:tcPr>
          <w:p w14:paraId="120AE24B" w14:textId="77777777" w:rsidR="001D3405" w:rsidRDefault="001D3405" w:rsidP="001D3405">
            <w:pPr>
              <w:pStyle w:val="Tabletext0"/>
            </w:pPr>
            <w:r>
              <w:t>MBS item descriptor and proposed fee</w:t>
            </w:r>
          </w:p>
        </w:tc>
        <w:tc>
          <w:tcPr>
            <w:tcW w:w="5052" w:type="dxa"/>
          </w:tcPr>
          <w:p w14:paraId="4698234C" w14:textId="77777777" w:rsidR="001D3405" w:rsidRDefault="001D3405" w:rsidP="001D3405">
            <w:pPr>
              <w:pStyle w:val="Tabletext0"/>
            </w:pPr>
            <w:r>
              <w:t xml:space="preserve">The applicant suggested that the fee for melanoma </w:t>
            </w:r>
            <w:proofErr w:type="spellStart"/>
            <w:r>
              <w:t>SLNBx</w:t>
            </w:r>
            <w:proofErr w:type="spellEnd"/>
            <w:r>
              <w:t xml:space="preserve"> be equivalent to the fee for breast </w:t>
            </w:r>
            <w:proofErr w:type="spellStart"/>
            <w:r>
              <w:t>SLNBx</w:t>
            </w:r>
            <w:proofErr w:type="spellEnd"/>
            <w:r>
              <w:t xml:space="preserve">. This was despite melanoma patients being more likely to have multiple sentinel nodes within a nodal basin than breast cancer </w:t>
            </w:r>
            <w:proofErr w:type="gramStart"/>
            <w:r>
              <w:t>patients</w:t>
            </w:r>
            <w:proofErr w:type="gramEnd"/>
            <w:r>
              <w:t>.</w:t>
            </w:r>
          </w:p>
          <w:p w14:paraId="558F0276" w14:textId="77777777" w:rsidR="001D3405" w:rsidRDefault="001D3405" w:rsidP="001D3405">
            <w:pPr>
              <w:pStyle w:val="Tabletext0"/>
            </w:pPr>
            <w:r>
              <w:t xml:space="preserve">The applicant also expressed a preference for simplification of the MBS item(s) by not tying them to specific sites. </w:t>
            </w:r>
            <w:proofErr w:type="spellStart"/>
            <w:r>
              <w:t>SLNBx</w:t>
            </w:r>
            <w:proofErr w:type="spellEnd"/>
            <w:r>
              <w:t xml:space="preserve"> of the groin is potentially (but not always technically) simpler than other </w:t>
            </w:r>
            <w:proofErr w:type="gramStart"/>
            <w:r>
              <w:t>areas,</w:t>
            </w:r>
            <w:proofErr w:type="gramEnd"/>
            <w:r>
              <w:t xml:space="preserve"> however the aftercare following biopsy is often more involved.</w:t>
            </w:r>
          </w:p>
          <w:p w14:paraId="6A5E3943" w14:textId="77777777" w:rsidR="001D3405" w:rsidRDefault="001D3405" w:rsidP="001D3405">
            <w:pPr>
              <w:pStyle w:val="Tabletext0"/>
            </w:pPr>
            <w:r>
              <w:t>Similarly, within the neck, some areas are straightforward and others more technically complex.</w:t>
            </w:r>
          </w:p>
          <w:p w14:paraId="3BC7BBB9" w14:textId="77777777" w:rsidR="001D3405" w:rsidRDefault="001D3405" w:rsidP="001D3405">
            <w:pPr>
              <w:pStyle w:val="Tabletext0"/>
            </w:pPr>
            <w:r>
              <w:t xml:space="preserve">Finally, site-specific numbers do not take into account atypical nodal sites, for example, popliteal, </w:t>
            </w:r>
            <w:proofErr w:type="spellStart"/>
            <w:r>
              <w:t>epitrochlear</w:t>
            </w:r>
            <w:proofErr w:type="spellEnd"/>
            <w:r>
              <w:t>, and scapular regions. The applicant would be willing to negotiate on this.</w:t>
            </w:r>
          </w:p>
        </w:tc>
      </w:tr>
      <w:tr w:rsidR="001D3405" w14:paraId="3953741A" w14:textId="77777777" w:rsidTr="001D3405">
        <w:tc>
          <w:tcPr>
            <w:tcW w:w="3964" w:type="dxa"/>
          </w:tcPr>
          <w:p w14:paraId="65C17796" w14:textId="77777777" w:rsidR="001D3405" w:rsidRDefault="001D3405" w:rsidP="001D3405">
            <w:pPr>
              <w:pStyle w:val="Tabletext0"/>
            </w:pPr>
            <w:r>
              <w:t>Risk equivalence</w:t>
            </w:r>
          </w:p>
        </w:tc>
        <w:tc>
          <w:tcPr>
            <w:tcW w:w="5052" w:type="dxa"/>
          </w:tcPr>
          <w:p w14:paraId="4A159720" w14:textId="77777777" w:rsidR="001D3405" w:rsidRDefault="001D3405" w:rsidP="001D3405">
            <w:pPr>
              <w:pStyle w:val="Tabletext0"/>
            </w:pPr>
            <w:r>
              <w:t xml:space="preserve">Only patients with Stage IIIB, IIIC and IIID melanoma </w:t>
            </w:r>
            <w:proofErr w:type="gramStart"/>
            <w:r>
              <w:t>would be considered</w:t>
            </w:r>
            <w:proofErr w:type="gramEnd"/>
            <w:r>
              <w:t xml:space="preserve"> eligible for PBS-subsidised adjuvant therapy. Melanoma-specific survival curves for Stage III subgroups (IIIA, IIIB, IIIC and IIID) </w:t>
            </w:r>
            <w:proofErr w:type="gramStart"/>
            <w:r>
              <w:t>were presented</w:t>
            </w:r>
            <w:proofErr w:type="gramEnd"/>
            <w:r>
              <w:t xml:space="preserve"> in the clinical validity section. The proportion of patients in each subgroup </w:t>
            </w:r>
            <w:proofErr w:type="gramStart"/>
            <w:r>
              <w:t>was estimated</w:t>
            </w:r>
            <w:proofErr w:type="gramEnd"/>
            <w:r>
              <w:t xml:space="preserve"> for the base case using Australian data presented by </w:t>
            </w:r>
            <w:proofErr w:type="spellStart"/>
            <w:r>
              <w:t>Haydu</w:t>
            </w:r>
            <w:proofErr w:type="spellEnd"/>
            <w:r>
              <w:t xml:space="preserve"> et al. 2017.</w:t>
            </w:r>
          </w:p>
        </w:tc>
      </w:tr>
      <w:tr w:rsidR="001D3405" w14:paraId="32E540F8" w14:textId="77777777" w:rsidTr="001D3405">
        <w:tc>
          <w:tcPr>
            <w:tcW w:w="3964" w:type="dxa"/>
          </w:tcPr>
          <w:p w14:paraId="5199DC3E" w14:textId="77777777" w:rsidR="001D3405" w:rsidRDefault="001D3405" w:rsidP="001D3405">
            <w:pPr>
              <w:pStyle w:val="Tabletext0"/>
            </w:pPr>
            <w:r>
              <w:t>Trigger for access to adjuvant therapy</w:t>
            </w:r>
          </w:p>
        </w:tc>
        <w:tc>
          <w:tcPr>
            <w:tcW w:w="5052" w:type="dxa"/>
          </w:tcPr>
          <w:p w14:paraId="16A3055A" w14:textId="77777777" w:rsidR="001D3405" w:rsidRDefault="001D3405" w:rsidP="001D3405">
            <w:pPr>
              <w:pStyle w:val="Tabletext0"/>
            </w:pPr>
            <w:r>
              <w:t>Sentinel nodes status is now a guide for adjuvant treatment. Patients who are determined to have Stage IIIB, IIIC or IIID melanoma would be eligible for PBS-subsidised adjuvant therapy.</w:t>
            </w:r>
          </w:p>
          <w:p w14:paraId="07110479" w14:textId="77777777" w:rsidR="001D3405" w:rsidRDefault="001D3405" w:rsidP="001D3405">
            <w:pPr>
              <w:pStyle w:val="Tabletext0"/>
            </w:pPr>
            <w:r>
              <w:t>A negative sentinel node is a positive prognostic sign and thus patients intuitively require less intensive follow-up. There is a paucity of research in the area of melanoma follow-up and guidelines generally defer to expert opinion.</w:t>
            </w:r>
          </w:p>
        </w:tc>
      </w:tr>
    </w:tbl>
    <w:p w14:paraId="1FFA279D" w14:textId="77777777" w:rsidR="001D3405" w:rsidRDefault="001D3405" w:rsidP="001D3405">
      <w:pPr>
        <w:pStyle w:val="TFAbbrevs18"/>
        <w:spacing w:after="0"/>
      </w:pPr>
      <w:proofErr w:type="spellStart"/>
      <w:r w:rsidRPr="00584F82">
        <w:t>SLN</w:t>
      </w:r>
      <w:r>
        <w:t>Bx</w:t>
      </w:r>
      <w:proofErr w:type="spellEnd"/>
      <w:r>
        <w:t xml:space="preserve"> </w:t>
      </w:r>
      <w:r w:rsidRPr="00584F82">
        <w:t>= sentinel lymph node</w:t>
      </w:r>
      <w:r>
        <w:t xml:space="preserve"> biopsy</w:t>
      </w:r>
    </w:p>
    <w:p w14:paraId="5ACE6A61" w14:textId="77777777" w:rsidR="001D3405" w:rsidRDefault="001D3405" w:rsidP="001D3405">
      <w:pPr>
        <w:pStyle w:val="TFAbbrevs18"/>
        <w:keepNext w:val="0"/>
        <w:keepLines w:val="0"/>
        <w:spacing w:after="240"/>
      </w:pPr>
      <w:r>
        <w:t>Source: extended from Table 12, pp32-33 of the DCAR</w:t>
      </w:r>
    </w:p>
    <w:p w14:paraId="3BD3FBDB" w14:textId="77777777" w:rsidR="001121C3" w:rsidRPr="00F715D1" w:rsidRDefault="001121C3" w:rsidP="001121C3">
      <w:pPr>
        <w:pStyle w:val="Heading1"/>
      </w:pPr>
      <w:r w:rsidRPr="00F715D1">
        <w:t>Prerequisites to implementation of any funding advice</w:t>
      </w:r>
    </w:p>
    <w:p w14:paraId="4E71DA9F" w14:textId="77777777" w:rsidR="001D3405" w:rsidRDefault="001D3405" w:rsidP="001D3405">
      <w:proofErr w:type="spellStart"/>
      <w:r>
        <w:t>SLNBx</w:t>
      </w:r>
      <w:proofErr w:type="spellEnd"/>
      <w:r>
        <w:t xml:space="preserve"> for melanoma </w:t>
      </w:r>
      <w:proofErr w:type="gramStart"/>
      <w:r>
        <w:t>is already being claimed</w:t>
      </w:r>
      <w:proofErr w:type="gramEnd"/>
      <w:r>
        <w:t xml:space="preserve"> on the MBS.</w:t>
      </w:r>
    </w:p>
    <w:p w14:paraId="00DCEC58" w14:textId="77777777" w:rsidR="001121C3" w:rsidRPr="00F715D1" w:rsidRDefault="001121C3" w:rsidP="001121C3">
      <w:pPr>
        <w:pStyle w:val="Heading1"/>
      </w:pPr>
      <w:r w:rsidRPr="00F715D1">
        <w:t>Proposal for public funding</w:t>
      </w:r>
    </w:p>
    <w:p w14:paraId="366392A2" w14:textId="77777777" w:rsidR="001D3405" w:rsidRDefault="001D3405" w:rsidP="001D3405">
      <w:r w:rsidRPr="00183E4D">
        <w:t>The proposed MBS item descriptor is summarised in</w:t>
      </w:r>
      <w:r>
        <w:t xml:space="preserve"> Table 3.</w:t>
      </w:r>
    </w:p>
    <w:p w14:paraId="1DC9378B" w14:textId="37A5BC5C" w:rsidR="001D3405" w:rsidRPr="00261B83" w:rsidRDefault="001D3405" w:rsidP="00261B83">
      <w:pPr>
        <w:spacing w:before="240"/>
        <w:rPr>
          <w:rFonts w:ascii="Arial Narrow" w:hAnsi="Arial Narrow"/>
          <w:b/>
          <w:sz w:val="20"/>
        </w:rPr>
      </w:pPr>
      <w:bookmarkStart w:id="5" w:name="_Ref28337025"/>
      <w:bookmarkStart w:id="6" w:name="_Toc30088411"/>
      <w:r w:rsidRPr="00261B83">
        <w:rPr>
          <w:rFonts w:ascii="Arial Narrow" w:hAnsi="Arial Narrow"/>
          <w:b/>
          <w:sz w:val="20"/>
        </w:rPr>
        <w:lastRenderedPageBreak/>
        <w:t xml:space="preserve">Table </w:t>
      </w:r>
      <w:bookmarkEnd w:id="5"/>
      <w:r w:rsidRPr="00261B83">
        <w:rPr>
          <w:rFonts w:ascii="Arial Narrow" w:hAnsi="Arial Narrow"/>
          <w:b/>
          <w:sz w:val="20"/>
        </w:rPr>
        <w:t>3: Proposed MBS item descriptor</w:t>
      </w:r>
      <w:bookmarkEnd w:id="6"/>
    </w:p>
    <w:tbl>
      <w:tblPr>
        <w:tblStyle w:val="TableGrid1"/>
        <w:tblW w:w="5000" w:type="pct"/>
        <w:tblLook w:val="04A0" w:firstRow="1" w:lastRow="0" w:firstColumn="1" w:lastColumn="0" w:noHBand="0" w:noVBand="1"/>
        <w:tblCaption w:val="Table 3: Proposed MBS item descriptor"/>
        <w:tblDescription w:val="This table provides the proposed description of the requested Medicare Benefits Schedule item."/>
      </w:tblPr>
      <w:tblGrid>
        <w:gridCol w:w="9016"/>
      </w:tblGrid>
      <w:tr w:rsidR="001D3405" w:rsidRPr="00183E4D" w14:paraId="6EB5C5F0" w14:textId="77777777" w:rsidTr="00697326">
        <w:trPr>
          <w:cnfStyle w:val="100000000000" w:firstRow="1" w:lastRow="0" w:firstColumn="0" w:lastColumn="0" w:oddVBand="0" w:evenVBand="0" w:oddHBand="0" w:evenHBand="0" w:firstRowFirstColumn="0" w:firstRowLastColumn="0" w:lastRowFirstColumn="0" w:lastRowLastColumn="0"/>
          <w:tblHeader/>
        </w:trPr>
        <w:tc>
          <w:tcPr>
            <w:tcW w:w="5000" w:type="pct"/>
          </w:tcPr>
          <w:p w14:paraId="4B64A25E" w14:textId="77777777" w:rsidR="001D3405" w:rsidRPr="00183E4D" w:rsidRDefault="001D3405" w:rsidP="001D3405">
            <w:pPr>
              <w:pStyle w:val="Tabletext0"/>
              <w:widowControl w:val="0"/>
            </w:pPr>
            <w:r w:rsidRPr="000B722F">
              <w:t xml:space="preserve">Category 3 – </w:t>
            </w:r>
            <w:r w:rsidRPr="00A876EC">
              <w:t>Treatment of Malignant Melanoma and Locally Aggressive Skin Tumours</w:t>
            </w:r>
          </w:p>
        </w:tc>
      </w:tr>
      <w:tr w:rsidR="001D3405" w:rsidRPr="00183E4D" w14:paraId="2928CB75" w14:textId="77777777" w:rsidTr="00697326">
        <w:tc>
          <w:tcPr>
            <w:tcW w:w="5000" w:type="pct"/>
          </w:tcPr>
          <w:p w14:paraId="5A98976C" w14:textId="6559131F" w:rsidR="001D3405" w:rsidRDefault="001D3405" w:rsidP="001D3405">
            <w:pPr>
              <w:pStyle w:val="Tabletext0"/>
              <w:widowControl w:val="0"/>
            </w:pPr>
            <w:r>
              <w:t xml:space="preserve">SENTINEL LYMPH NODE BIOPSY OR BIOPSIES for cutaneous melanoma, where the primary lesion is greater than 1.0 mm in depth </w:t>
            </w:r>
            <w:r w:rsidRPr="005B6E62">
              <w:t>(</w:t>
            </w:r>
            <w:r>
              <w:t xml:space="preserve">or at least 0.8 mm in depth </w:t>
            </w:r>
            <w:r w:rsidRPr="005B6E62">
              <w:t>in the presence of ulceration)</w:t>
            </w:r>
            <w:r>
              <w:t xml:space="preserve">, and appropriate excision of the primary melanoma has occurred, using preoperative lymphoscintigraphy and </w:t>
            </w:r>
            <w:proofErr w:type="spellStart"/>
            <w:r>
              <w:t>lymphotropic</w:t>
            </w:r>
            <w:proofErr w:type="spellEnd"/>
            <w:r>
              <w:t xml:space="preserve"> dye injection.</w:t>
            </w:r>
          </w:p>
          <w:p w14:paraId="2AF5EA98" w14:textId="77777777" w:rsidR="001D3405" w:rsidRDefault="001D3405" w:rsidP="003D72FA">
            <w:pPr>
              <w:pStyle w:val="Tabletext0"/>
              <w:widowControl w:val="0"/>
              <w:spacing w:before="240" w:after="240"/>
            </w:pPr>
            <w:r>
              <w:t>Limit of one lesion per patient per occasion*</w:t>
            </w:r>
          </w:p>
          <w:p w14:paraId="45C1C99D" w14:textId="2B2407CE" w:rsidR="001D3405" w:rsidRDefault="001D3405" w:rsidP="001D3405">
            <w:pPr>
              <w:pStyle w:val="Tabletext0"/>
              <w:widowControl w:val="0"/>
            </w:pPr>
            <w:r>
              <w:t>(</w:t>
            </w:r>
            <w:proofErr w:type="spellStart"/>
            <w:r>
              <w:t>Anaes</w:t>
            </w:r>
            <w:proofErr w:type="spellEnd"/>
            <w:r>
              <w:t>.) (Assist.)</w:t>
            </w:r>
          </w:p>
          <w:p w14:paraId="36605850" w14:textId="77777777" w:rsidR="001D3405" w:rsidRPr="00183E4D" w:rsidRDefault="001D3405" w:rsidP="003D72FA">
            <w:pPr>
              <w:pStyle w:val="Tabletext0"/>
              <w:widowControl w:val="0"/>
              <w:spacing w:before="240"/>
            </w:pPr>
            <w:r>
              <w:t xml:space="preserve">Fee: $637.45  </w:t>
            </w:r>
            <w:r w:rsidRPr="00F410EE">
              <w:t>Benefit: 75% = $478.00  85% = $541.75</w:t>
            </w:r>
          </w:p>
        </w:tc>
      </w:tr>
    </w:tbl>
    <w:p w14:paraId="1D120B8B" w14:textId="77777777" w:rsidR="001D3405" w:rsidRDefault="001D3405" w:rsidP="001D3405">
      <w:pPr>
        <w:pStyle w:val="TFAbbrevs18"/>
        <w:keepNext w:val="0"/>
        <w:keepLines w:val="0"/>
        <w:widowControl w:val="0"/>
        <w:spacing w:after="240"/>
      </w:pPr>
      <w:r>
        <w:t xml:space="preserve">* </w:t>
      </w:r>
      <w:r w:rsidRPr="005B6E62">
        <w:t>The applicant recommend</w:t>
      </w:r>
      <w:r>
        <w:t xml:space="preserve">ed that </w:t>
      </w:r>
      <w:r w:rsidRPr="005B6E62">
        <w:t xml:space="preserve">the multiple </w:t>
      </w:r>
      <w:r>
        <w:t xml:space="preserve">operations </w:t>
      </w:r>
      <w:r w:rsidRPr="005B6E62">
        <w:t xml:space="preserve">rule be applicable in the situation of more than one lymph node basin </w:t>
      </w:r>
      <w:proofErr w:type="gramStart"/>
      <w:r w:rsidRPr="005B6E62">
        <w:t>being</w:t>
      </w:r>
      <w:r>
        <w:t xml:space="preserve"> sampled</w:t>
      </w:r>
      <w:proofErr w:type="gramEnd"/>
    </w:p>
    <w:p w14:paraId="58518446" w14:textId="6886F312" w:rsidR="001D3405" w:rsidRDefault="001D3405" w:rsidP="001D3405">
      <w:r>
        <w:t xml:space="preserve">In its pre-ESC response, the applicant stated the proposed fee </w:t>
      </w:r>
      <w:proofErr w:type="gramStart"/>
      <w:r>
        <w:t>should be aligned</w:t>
      </w:r>
      <w:proofErr w:type="gramEnd"/>
      <w:r>
        <w:t xml:space="preserve"> with the existing MBS fee for </w:t>
      </w:r>
      <w:proofErr w:type="spellStart"/>
      <w:r>
        <w:t>SLNBx</w:t>
      </w:r>
      <w:proofErr w:type="spellEnd"/>
      <w:r>
        <w:t xml:space="preserve"> for breast cancer (MBS item 30299; $647.65).</w:t>
      </w:r>
    </w:p>
    <w:p w14:paraId="4A4C54C9" w14:textId="04EE5419" w:rsidR="001121C3" w:rsidRPr="00F715D1" w:rsidRDefault="001121C3" w:rsidP="001121C3">
      <w:pPr>
        <w:pStyle w:val="Heading1"/>
      </w:pPr>
      <w:r w:rsidRPr="00F715D1">
        <w:t xml:space="preserve">Summary of </w:t>
      </w:r>
      <w:r>
        <w:t>public c</w:t>
      </w:r>
      <w:r w:rsidRPr="00F715D1">
        <w:t>onsultation</w:t>
      </w:r>
      <w:r>
        <w:t xml:space="preserve"> f</w:t>
      </w:r>
      <w:r w:rsidRPr="00F715D1">
        <w:t>eedback</w:t>
      </w:r>
      <w:r>
        <w:t>/c</w:t>
      </w:r>
      <w:r w:rsidRPr="00F715D1">
        <w:t xml:space="preserve">onsumer </w:t>
      </w:r>
      <w:r w:rsidR="00716F22" w:rsidRPr="00F715D1">
        <w:t>i</w:t>
      </w:r>
      <w:r w:rsidRPr="00F715D1">
        <w:t>ssues</w:t>
      </w:r>
    </w:p>
    <w:p w14:paraId="6D5D7750" w14:textId="77777777" w:rsidR="001D3405" w:rsidRDefault="001D3405" w:rsidP="001D3405">
      <w:r>
        <w:t xml:space="preserve">Targeted consultation </w:t>
      </w:r>
      <w:proofErr w:type="gramStart"/>
      <w:r>
        <w:t>was received</w:t>
      </w:r>
      <w:proofErr w:type="gramEnd"/>
      <w:r>
        <w:t xml:space="preserve"> from several sources:</w:t>
      </w:r>
    </w:p>
    <w:p w14:paraId="35B71F2A" w14:textId="67490306" w:rsidR="001D3405" w:rsidRDefault="001D3405" w:rsidP="001D3405">
      <w:pPr>
        <w:pStyle w:val="ListParagraph"/>
        <w:numPr>
          <w:ilvl w:val="0"/>
          <w:numId w:val="5"/>
        </w:numPr>
      </w:pPr>
      <w:r>
        <w:t>Two professional medical organisations and a patient support group provided supportive letters</w:t>
      </w:r>
    </w:p>
    <w:p w14:paraId="4D3365B3" w14:textId="1C27DD32" w:rsidR="001D3405" w:rsidRDefault="001D3405" w:rsidP="001D3405">
      <w:pPr>
        <w:pStyle w:val="ListParagraph"/>
        <w:numPr>
          <w:ilvl w:val="0"/>
          <w:numId w:val="5"/>
        </w:numPr>
      </w:pPr>
      <w:r>
        <w:t>Two professional medical organisations did not support the re</w:t>
      </w:r>
      <w:r w:rsidR="00F23D1E">
        <w:t>submission</w:t>
      </w:r>
      <w:r>
        <w:t xml:space="preserve"> for the following reasons:</w:t>
      </w:r>
    </w:p>
    <w:p w14:paraId="47D15CE4" w14:textId="34FE9B9C" w:rsidR="001D3405" w:rsidRDefault="001D3405" w:rsidP="001D3405">
      <w:pPr>
        <w:pStyle w:val="ListParagraph"/>
        <w:numPr>
          <w:ilvl w:val="1"/>
          <w:numId w:val="5"/>
        </w:numPr>
      </w:pPr>
      <w:proofErr w:type="spellStart"/>
      <w:r>
        <w:t>SLNBx</w:t>
      </w:r>
      <w:proofErr w:type="spellEnd"/>
      <w:r>
        <w:t xml:space="preserve"> provided some limited information on prognosis, albeit not sensitive or accurate for most patients. This feedback also considered that the technique </w:t>
      </w:r>
      <w:r w:rsidRPr="00C01D9D">
        <w:t xml:space="preserve">has been identified consistently over decades as a poor-quality </w:t>
      </w:r>
      <w:proofErr w:type="gramStart"/>
      <w:r w:rsidRPr="00C01D9D">
        <w:t>t</w:t>
      </w:r>
      <w:r>
        <w:t>est which</w:t>
      </w:r>
      <w:proofErr w:type="gramEnd"/>
      <w:r>
        <w:t xml:space="preserve"> causes patient harm. Furthermore, they raised concern</w:t>
      </w:r>
      <w:r w:rsidR="00E379DA">
        <w:t>s</w:t>
      </w:r>
      <w:r>
        <w:t xml:space="preserve"> with the use of </w:t>
      </w:r>
      <w:proofErr w:type="spellStart"/>
      <w:r>
        <w:t>SLNBx</w:t>
      </w:r>
      <w:proofErr w:type="spellEnd"/>
      <w:r>
        <w:t xml:space="preserve"> as a gatekeeper to the current biological trial agents</w:t>
      </w:r>
    </w:p>
    <w:p w14:paraId="45E58100" w14:textId="77777777" w:rsidR="001D3405" w:rsidRDefault="001D3405" w:rsidP="001D3405">
      <w:pPr>
        <w:pStyle w:val="ListParagraph"/>
        <w:numPr>
          <w:ilvl w:val="1"/>
          <w:numId w:val="5"/>
        </w:numPr>
      </w:pPr>
      <w:proofErr w:type="spellStart"/>
      <w:r>
        <w:t>SLNBx</w:t>
      </w:r>
      <w:proofErr w:type="spellEnd"/>
      <w:r>
        <w:t xml:space="preserve"> provides added prognostic advice that </w:t>
      </w:r>
      <w:proofErr w:type="gramStart"/>
      <w:r>
        <w:t>can be obtained</w:t>
      </w:r>
      <w:proofErr w:type="gramEnd"/>
      <w:r>
        <w:t xml:space="preserve"> more cheaply with less invasive methods. Further, this feedback highlighted that there are many concerns raised for </w:t>
      </w:r>
      <w:proofErr w:type="spellStart"/>
      <w:r>
        <w:t>SLNBx</w:t>
      </w:r>
      <w:proofErr w:type="spellEnd"/>
      <w:r>
        <w:t xml:space="preserve"> in the published literature</w:t>
      </w:r>
    </w:p>
    <w:p w14:paraId="1092C59A" w14:textId="405D90F8" w:rsidR="001D3405" w:rsidRPr="009357F7" w:rsidRDefault="001D3405" w:rsidP="001D3405">
      <w:pPr>
        <w:pStyle w:val="ListParagraph"/>
        <w:numPr>
          <w:ilvl w:val="0"/>
          <w:numId w:val="5"/>
        </w:numPr>
        <w:ind w:left="714" w:hanging="357"/>
      </w:pPr>
      <w:r>
        <w:t>One specialist did not support the re</w:t>
      </w:r>
      <w:r w:rsidR="00F23D1E">
        <w:t>submission</w:t>
      </w:r>
      <w:r>
        <w:t xml:space="preserve"> as they considered that </w:t>
      </w:r>
      <w:proofErr w:type="spellStart"/>
      <w:r>
        <w:t>SLNBx</w:t>
      </w:r>
      <w:proofErr w:type="spellEnd"/>
      <w:r>
        <w:t xml:space="preserve"> had no therapeutic benefit, but rather is a prognostic test marginally better in some instances than Breslow thickness/ulceration – though </w:t>
      </w:r>
      <w:proofErr w:type="gramStart"/>
      <w:r>
        <w:t>this is disputed by many experts</w:t>
      </w:r>
      <w:proofErr w:type="gramEnd"/>
      <w:r>
        <w:t>.</w:t>
      </w:r>
    </w:p>
    <w:p w14:paraId="69B36E4C" w14:textId="77777777" w:rsidR="001121C3" w:rsidRPr="00F715D1" w:rsidRDefault="001121C3" w:rsidP="001121C3">
      <w:pPr>
        <w:pStyle w:val="Heading1"/>
      </w:pPr>
      <w:r w:rsidRPr="00F715D1">
        <w:t>Proposed intervention’s place in clinical management</w:t>
      </w:r>
    </w:p>
    <w:p w14:paraId="239B5325" w14:textId="77777777" w:rsidR="001121C3" w:rsidRDefault="001121C3" w:rsidP="00013CED">
      <w:pPr>
        <w:keepNext/>
        <w:spacing w:after="120"/>
        <w:rPr>
          <w:b/>
          <w:szCs w:val="24"/>
        </w:rPr>
      </w:pPr>
      <w:r w:rsidRPr="00CF4E81">
        <w:rPr>
          <w:b/>
          <w:szCs w:val="24"/>
        </w:rPr>
        <w:t xml:space="preserve">Description of </w:t>
      </w:r>
      <w:r w:rsidR="00B0434E" w:rsidRPr="00CF4E81">
        <w:rPr>
          <w:b/>
          <w:szCs w:val="24"/>
        </w:rPr>
        <w:t>proposed in</w:t>
      </w:r>
      <w:r w:rsidRPr="00CF4E81">
        <w:rPr>
          <w:b/>
          <w:szCs w:val="24"/>
        </w:rPr>
        <w:t>tervention</w:t>
      </w:r>
    </w:p>
    <w:p w14:paraId="18D17DBF" w14:textId="0EAA21A3" w:rsidR="00037AF7" w:rsidRDefault="00037AF7" w:rsidP="00037AF7">
      <w:r w:rsidRPr="00C22D7B">
        <w:t xml:space="preserve">The proposed </w:t>
      </w:r>
      <w:r>
        <w:t xml:space="preserve">medical service </w:t>
      </w:r>
      <w:r w:rsidRPr="00C22D7B">
        <w:t xml:space="preserve">is </w:t>
      </w:r>
      <w:proofErr w:type="spellStart"/>
      <w:r>
        <w:t>SLNBx</w:t>
      </w:r>
      <w:proofErr w:type="spellEnd"/>
      <w:r>
        <w:t>,</w:t>
      </w:r>
      <w:r w:rsidRPr="009F7991">
        <w:t xml:space="preserve"> </w:t>
      </w:r>
      <w:r>
        <w:t xml:space="preserve">in addition to wide local incision (WLE) </w:t>
      </w:r>
      <w:r w:rsidRPr="00C22D7B">
        <w:t>of lymph node(s) identified by a combination of lymphoscintigraphy/gamma probe and blue dye (</w:t>
      </w:r>
      <w:proofErr w:type="spellStart"/>
      <w:r w:rsidRPr="00C22D7B">
        <w:t>lymphotropic</w:t>
      </w:r>
      <w:proofErr w:type="spellEnd"/>
      <w:r w:rsidRPr="00C22D7B">
        <w:t xml:space="preserve"> dye injection)</w:t>
      </w:r>
      <w:r>
        <w:t xml:space="preserve">.The DCAR stated that </w:t>
      </w:r>
      <w:proofErr w:type="spellStart"/>
      <w:r>
        <w:t>SLNBx</w:t>
      </w:r>
      <w:proofErr w:type="spellEnd"/>
      <w:r>
        <w:t xml:space="preserve"> can identify </w:t>
      </w:r>
      <w:proofErr w:type="spellStart"/>
      <w:r w:rsidR="00801FD6" w:rsidRPr="00FC1C8D">
        <w:t>micrometastases</w:t>
      </w:r>
      <w:proofErr w:type="spellEnd"/>
      <w:r w:rsidRPr="00FC1C8D">
        <w:t xml:space="preserve"> in sentinel lymph node(s) that cannot be identified by clinical examination.</w:t>
      </w:r>
    </w:p>
    <w:p w14:paraId="37D1D0EB" w14:textId="77777777" w:rsidR="00037AF7" w:rsidRPr="00037AF7" w:rsidRDefault="00037AF7" w:rsidP="00037AF7">
      <w:pPr>
        <w:spacing w:before="240"/>
      </w:pPr>
      <w:proofErr w:type="spellStart"/>
      <w:r>
        <w:t>SLNBx</w:t>
      </w:r>
      <w:proofErr w:type="spellEnd"/>
      <w:r>
        <w:t xml:space="preserve"> for melanoma </w:t>
      </w:r>
      <w:proofErr w:type="gramStart"/>
      <w:r>
        <w:t>is already being performed</w:t>
      </w:r>
      <w:proofErr w:type="gramEnd"/>
      <w:r>
        <w:t xml:space="preserve"> in Australia, but this procedure and the item numbers used (MBS 30075, 30329, 30332, 31420, 31423) are not coded on the MBS for melanoma.</w:t>
      </w:r>
    </w:p>
    <w:p w14:paraId="07489A9F" w14:textId="77777777" w:rsidR="001121C3" w:rsidRDefault="001121C3" w:rsidP="00013CED">
      <w:pPr>
        <w:keepNext/>
        <w:autoSpaceDE w:val="0"/>
        <w:autoSpaceDN w:val="0"/>
        <w:adjustRightInd w:val="0"/>
        <w:spacing w:before="240" w:after="120"/>
        <w:rPr>
          <w:b/>
        </w:rPr>
      </w:pPr>
      <w:r w:rsidRPr="00CF4E81">
        <w:rPr>
          <w:b/>
        </w:rPr>
        <w:t xml:space="preserve">Description of </w:t>
      </w:r>
      <w:r w:rsidR="00B0434E" w:rsidRPr="00CF4E81">
        <w:rPr>
          <w:b/>
        </w:rPr>
        <w:t>medical c</w:t>
      </w:r>
      <w:r w:rsidRPr="00CF4E81">
        <w:rPr>
          <w:b/>
        </w:rPr>
        <w:t>ondition(s)</w:t>
      </w:r>
    </w:p>
    <w:p w14:paraId="076071AC" w14:textId="77777777" w:rsidR="00037AF7" w:rsidRPr="001D3405" w:rsidRDefault="00037AF7" w:rsidP="00067DD1">
      <w:r w:rsidRPr="004C066C">
        <w:t xml:space="preserve">The proposed population for </w:t>
      </w:r>
      <w:proofErr w:type="spellStart"/>
      <w:r>
        <w:t>SLNBx</w:t>
      </w:r>
      <w:proofErr w:type="spellEnd"/>
      <w:r w:rsidRPr="004C066C">
        <w:t xml:space="preserve"> is all patients with malignant cu</w:t>
      </w:r>
      <w:r>
        <w:t>taneous melanoma greater than 1 </w:t>
      </w:r>
      <w:r w:rsidRPr="004C066C">
        <w:t>mm in depth (or at least 0.8</w:t>
      </w:r>
      <w:r>
        <w:t> </w:t>
      </w:r>
      <w:r w:rsidRPr="004C066C">
        <w:t xml:space="preserve">mm depth in the presence of ulceration). </w:t>
      </w:r>
      <w:proofErr w:type="spellStart"/>
      <w:r w:rsidRPr="004C066C">
        <w:t>SLNBx</w:t>
      </w:r>
      <w:proofErr w:type="spellEnd"/>
      <w:r w:rsidRPr="004C066C">
        <w:t xml:space="preserve"> </w:t>
      </w:r>
      <w:proofErr w:type="gramStart"/>
      <w:r w:rsidRPr="004C066C">
        <w:t>is not indicated</w:t>
      </w:r>
      <w:proofErr w:type="gramEnd"/>
      <w:r w:rsidRPr="004C066C">
        <w:t xml:space="preserve"> in patients with established lymph node involvement or distant metastases.</w:t>
      </w:r>
    </w:p>
    <w:p w14:paraId="19F597E6" w14:textId="77777777" w:rsidR="001121C3" w:rsidRDefault="001D3405" w:rsidP="00013CED">
      <w:pPr>
        <w:keepNext/>
        <w:autoSpaceDE w:val="0"/>
        <w:autoSpaceDN w:val="0"/>
        <w:adjustRightInd w:val="0"/>
        <w:spacing w:before="240" w:after="120"/>
        <w:rPr>
          <w:b/>
        </w:rPr>
      </w:pPr>
      <w:r w:rsidRPr="001D3405">
        <w:rPr>
          <w:b/>
        </w:rPr>
        <w:lastRenderedPageBreak/>
        <w:t>Place in clinical management</w:t>
      </w:r>
    </w:p>
    <w:p w14:paraId="7DD0FFCF" w14:textId="77777777" w:rsidR="001D3405" w:rsidRDefault="001D3405" w:rsidP="00013CED">
      <w:pPr>
        <w:spacing w:after="240"/>
      </w:pPr>
      <w:r w:rsidRPr="007632AB">
        <w:t xml:space="preserve">As the intervention is already widely used, the clinical management algorithm is the same for both current management and proposed management </w:t>
      </w:r>
      <w:r>
        <w:t>(Figure 1).</w:t>
      </w:r>
    </w:p>
    <w:p w14:paraId="5789DC4E" w14:textId="77777777" w:rsidR="001D3405" w:rsidRDefault="001D3405" w:rsidP="00013CED">
      <w:pPr>
        <w:spacing w:after="240"/>
      </w:pPr>
      <w:r w:rsidRPr="001C5125">
        <w:t>The clinical management algorithm presented by the applicant was similar to the previous consideration, with modification</w:t>
      </w:r>
      <w:r>
        <w:t>s</w:t>
      </w:r>
      <w:r w:rsidRPr="001C5125">
        <w:t xml:space="preserve"> </w:t>
      </w:r>
      <w:r>
        <w:t xml:space="preserve">to include melanoma &gt;0.8 mm </w:t>
      </w:r>
      <w:r w:rsidRPr="001C5125">
        <w:t xml:space="preserve">with </w:t>
      </w:r>
      <w:r>
        <w:t>ulceration</w:t>
      </w:r>
      <w:r w:rsidRPr="001C5125">
        <w:t xml:space="preserve"> and an option for </w:t>
      </w:r>
      <w:r>
        <w:t xml:space="preserve">PBS-subsidised </w:t>
      </w:r>
      <w:r w:rsidRPr="001C5125">
        <w:t>adjuvant therapies.</w:t>
      </w:r>
      <w:r>
        <w:t xml:space="preserve"> The proposed algorithm was somewhat simplistic and </w:t>
      </w:r>
      <w:proofErr w:type="gramStart"/>
      <w:r>
        <w:t>was modified</w:t>
      </w:r>
      <w:proofErr w:type="gramEnd"/>
      <w:r>
        <w:t xml:space="preserve"> in the DCAR (Figure 1). This figure does not specify how patients receiving therapeutic complete lymph node dissection (CLND) are then determined to be eligible for adjuvant therapy or surveillance, including by reference to Stage III sub-categories.</w:t>
      </w:r>
    </w:p>
    <w:p w14:paraId="3E88097E" w14:textId="77777777" w:rsidR="001D3405" w:rsidRDefault="001D3405" w:rsidP="001D3405">
      <w:pPr>
        <w:keepNext/>
        <w:jc w:val="both"/>
      </w:pPr>
      <w:r w:rsidRPr="00AE7DA4">
        <w:rPr>
          <w:noProof/>
        </w:rPr>
        <w:drawing>
          <wp:inline distT="0" distB="0" distL="0" distR="0" wp14:anchorId="7A1D5304" wp14:editId="5206C7EC">
            <wp:extent cx="5829300" cy="3602990"/>
            <wp:effectExtent l="0" t="0" r="0" b="0"/>
            <wp:docPr id="4" name="Picture 4" descr="Schematic of DCAR's proposed algorithm" title="Figure 1: Clinical management algorithm of SLNBx relative to current clin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AHE\Research Projects\MSAC\2019 Projects\1485.1 DCAR Melanoma\Consolidated\To Department\Proposed clinical management algorith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4617" cy="3618638"/>
                    </a:xfrm>
                    <a:prstGeom prst="rect">
                      <a:avLst/>
                    </a:prstGeom>
                    <a:noFill/>
                    <a:ln>
                      <a:noFill/>
                    </a:ln>
                  </pic:spPr>
                </pic:pic>
              </a:graphicData>
            </a:graphic>
          </wp:inline>
        </w:drawing>
      </w:r>
    </w:p>
    <w:p w14:paraId="03E10962" w14:textId="77777777" w:rsidR="001D3405" w:rsidRPr="00261B83" w:rsidRDefault="001D3405" w:rsidP="00261B83">
      <w:pPr>
        <w:rPr>
          <w:rFonts w:ascii="Arial Narrow" w:hAnsi="Arial Narrow"/>
          <w:b/>
          <w:sz w:val="20"/>
        </w:rPr>
      </w:pPr>
      <w:bookmarkStart w:id="7" w:name="_Ref28788146"/>
      <w:bookmarkStart w:id="8" w:name="_Toc30088470"/>
      <w:r w:rsidRPr="00261B83">
        <w:rPr>
          <w:rFonts w:ascii="Arial Narrow" w:hAnsi="Arial Narrow"/>
          <w:b/>
          <w:sz w:val="20"/>
        </w:rPr>
        <w:t xml:space="preserve">Figure </w:t>
      </w:r>
      <w:bookmarkEnd w:id="7"/>
      <w:r w:rsidRPr="00261B83">
        <w:rPr>
          <w:rFonts w:ascii="Arial Narrow" w:hAnsi="Arial Narrow"/>
          <w:b/>
          <w:sz w:val="20"/>
        </w:rPr>
        <w:t>1:</w:t>
      </w:r>
      <w:r w:rsidRPr="00261B83">
        <w:rPr>
          <w:rFonts w:ascii="Arial Narrow" w:hAnsi="Arial Narrow"/>
          <w:b/>
          <w:sz w:val="20"/>
        </w:rPr>
        <w:tab/>
        <w:t xml:space="preserve"> Clinical management algorithm of </w:t>
      </w:r>
      <w:proofErr w:type="spellStart"/>
      <w:r w:rsidRPr="00261B83">
        <w:rPr>
          <w:rFonts w:ascii="Arial Narrow" w:hAnsi="Arial Narrow"/>
          <w:b/>
          <w:sz w:val="20"/>
        </w:rPr>
        <w:t>SLNBx</w:t>
      </w:r>
      <w:proofErr w:type="spellEnd"/>
      <w:r w:rsidRPr="00261B83">
        <w:rPr>
          <w:rFonts w:ascii="Arial Narrow" w:hAnsi="Arial Narrow"/>
          <w:b/>
          <w:sz w:val="20"/>
        </w:rPr>
        <w:t xml:space="preserve"> relative to current clinical practice</w:t>
      </w:r>
      <w:bookmarkEnd w:id="8"/>
    </w:p>
    <w:p w14:paraId="6B31A993" w14:textId="77777777" w:rsidR="001D3405" w:rsidRDefault="001D3405" w:rsidP="001D3405">
      <w:pPr>
        <w:pStyle w:val="TableFooter"/>
        <w:jc w:val="left"/>
      </w:pPr>
      <w:r>
        <w:t xml:space="preserve">CLND = complete lymph node dissection; GP = general practitioner; </w:t>
      </w:r>
      <w:proofErr w:type="spellStart"/>
      <w:r>
        <w:t>SLNBx</w:t>
      </w:r>
      <w:proofErr w:type="spellEnd"/>
      <w:r>
        <w:t xml:space="preserve"> = sentinel lymph node biopsy</w:t>
      </w:r>
    </w:p>
    <w:p w14:paraId="6B435659" w14:textId="77777777" w:rsidR="001D3405" w:rsidRPr="00705352" w:rsidRDefault="001D3405" w:rsidP="001D3405">
      <w:pPr>
        <w:pStyle w:val="TableFooter"/>
        <w:spacing w:after="240"/>
        <w:jc w:val="left"/>
      </w:pPr>
      <w:r>
        <w:t>Source: modified from the previous DCAR</w:t>
      </w:r>
    </w:p>
    <w:p w14:paraId="11548E8B" w14:textId="77777777" w:rsidR="001D3405" w:rsidRPr="001D3405" w:rsidRDefault="001D3405" w:rsidP="001D3405">
      <w:r>
        <w:t xml:space="preserve">The applicant noted that the clinical management algorithm for cutaneous melanoma has changed since the results of MSLT-II </w:t>
      </w:r>
      <w:proofErr w:type="gramStart"/>
      <w:r>
        <w:t>were published</w:t>
      </w:r>
      <w:proofErr w:type="gramEnd"/>
      <w:r>
        <w:t xml:space="preserve">. </w:t>
      </w:r>
      <w:r w:rsidRPr="00554550">
        <w:t xml:space="preserve">Previously, all patients who </w:t>
      </w:r>
      <w:r>
        <w:t>were</w:t>
      </w:r>
      <w:r w:rsidRPr="00554550">
        <w:t xml:space="preserve"> </w:t>
      </w:r>
      <w:proofErr w:type="spellStart"/>
      <w:r w:rsidRPr="00554550">
        <w:t>SLNBx</w:t>
      </w:r>
      <w:proofErr w:type="spellEnd"/>
      <w:r w:rsidRPr="00554550">
        <w:t xml:space="preserve"> positive under</w:t>
      </w:r>
      <w:r>
        <w:t>went</w:t>
      </w:r>
      <w:r w:rsidRPr="00554550">
        <w:t xml:space="preserve"> immediate CLND. </w:t>
      </w:r>
      <w:r>
        <w:t xml:space="preserve">Due to lack of survival benefits for CLND based on results of the MSLT-II trial, now CLND </w:t>
      </w:r>
      <w:proofErr w:type="gramStart"/>
      <w:r>
        <w:t>is no longer recommended</w:t>
      </w:r>
      <w:proofErr w:type="gramEnd"/>
      <w:r>
        <w:t xml:space="preserve"> for patients with positive </w:t>
      </w:r>
      <w:proofErr w:type="spellStart"/>
      <w:r>
        <w:t>SLNBx</w:t>
      </w:r>
      <w:proofErr w:type="spellEnd"/>
      <w:r>
        <w:t xml:space="preserve"> results. More recently, in light of the emerging role of adjuvant therapy in melanoma management and associated benefits for survival and recurrence free survival, it is becoming important to stratify patients including with reference to the information retrieved from </w:t>
      </w:r>
      <w:proofErr w:type="spellStart"/>
      <w:r>
        <w:t>SLNBx</w:t>
      </w:r>
      <w:proofErr w:type="spellEnd"/>
      <w:r>
        <w:t xml:space="preserve"> </w:t>
      </w:r>
      <w:r w:rsidRPr="002F66A5">
        <w:t>(</w:t>
      </w:r>
      <w:proofErr w:type="spellStart"/>
      <w:r w:rsidRPr="002F66A5">
        <w:t>Verver</w:t>
      </w:r>
      <w:proofErr w:type="spellEnd"/>
      <w:r w:rsidRPr="002F66A5">
        <w:t xml:space="preserve"> et al. 2018).</w:t>
      </w:r>
    </w:p>
    <w:p w14:paraId="73ED27DC" w14:textId="77777777" w:rsidR="001121C3" w:rsidRPr="00F715D1" w:rsidRDefault="00B0434E" w:rsidP="001121C3">
      <w:pPr>
        <w:pStyle w:val="Heading1"/>
      </w:pPr>
      <w:r>
        <w:t>Comparator</w:t>
      </w:r>
    </w:p>
    <w:p w14:paraId="6C1F1A0E" w14:textId="77777777" w:rsidR="001D3405" w:rsidRDefault="001D3405" w:rsidP="001D3405">
      <w:r>
        <w:t xml:space="preserve">The comparator for </w:t>
      </w:r>
      <w:proofErr w:type="spellStart"/>
      <w:r>
        <w:t>SLNBx</w:t>
      </w:r>
      <w:proofErr w:type="spellEnd"/>
      <w:r>
        <w:t xml:space="preserve"> remained WLE plus follow-up (i.e. surveillance), where follow-up</w:t>
      </w:r>
      <w:r w:rsidRPr="00BF1AD5">
        <w:t xml:space="preserve"> </w:t>
      </w:r>
      <w:r>
        <w:t xml:space="preserve">includes regular observation and surveillance for disease progression. </w:t>
      </w:r>
      <w:r w:rsidRPr="00BF1AD5">
        <w:t xml:space="preserve">Generally, </w:t>
      </w:r>
      <w:proofErr w:type="gramStart"/>
      <w:r w:rsidRPr="00BF1AD5">
        <w:t>clinical surveillance of the regional lymph nodes is performed by the General Practitioner (1-2 per year)</w:t>
      </w:r>
      <w:proofErr w:type="gramEnd"/>
      <w:r w:rsidRPr="00BF1AD5">
        <w:t xml:space="preserve">. If patients develop clinical or imaging evidence of nodal </w:t>
      </w:r>
      <w:r>
        <w:t>melanoma</w:t>
      </w:r>
      <w:r w:rsidRPr="00BF1AD5">
        <w:t xml:space="preserve"> during follow-up </w:t>
      </w:r>
      <w:r w:rsidRPr="00BF1AD5">
        <w:lastRenderedPageBreak/>
        <w:t>(approximately 20% of patients), a therapeutic lymph node dissection is offered to those patients, providing no distant metastases have been detected.</w:t>
      </w:r>
    </w:p>
    <w:p w14:paraId="00378419" w14:textId="77777777" w:rsidR="001121C3" w:rsidRPr="00F715D1" w:rsidRDefault="001121C3" w:rsidP="001121C3">
      <w:pPr>
        <w:pStyle w:val="Heading1"/>
      </w:pPr>
      <w:r w:rsidRPr="00F715D1">
        <w:t>Comparative safety</w:t>
      </w:r>
    </w:p>
    <w:p w14:paraId="0717B659" w14:textId="32256B5E" w:rsidR="001D3405" w:rsidRDefault="001D3405" w:rsidP="001D3405">
      <w:r>
        <w:t xml:space="preserve">No new studies </w:t>
      </w:r>
      <w:proofErr w:type="gramStart"/>
      <w:r>
        <w:t>were identified</w:t>
      </w:r>
      <w:proofErr w:type="gramEnd"/>
      <w:r>
        <w:t xml:space="preserve"> on direct evidence; the DCAR used a</w:t>
      </w:r>
      <w:r w:rsidRPr="00DD1E9D">
        <w:t xml:space="preserve"> linked evidence </w:t>
      </w:r>
      <w:r>
        <w:t xml:space="preserve">approach. Of the eligible studies, one study (that was presented in Application 1485) provided evidence on diagnostic performance, two new studies on clinical validity, two new studies on clinical utility, and 17 studies on safety of </w:t>
      </w:r>
      <w:proofErr w:type="spellStart"/>
      <w:r>
        <w:t>SLNBx</w:t>
      </w:r>
      <w:proofErr w:type="spellEnd"/>
      <w:r>
        <w:t xml:space="preserve"> (without CLND) that was presented in Application 1485 (Table 4).</w:t>
      </w:r>
    </w:p>
    <w:p w14:paraId="33BB28DC" w14:textId="77777777" w:rsidR="001D3405" w:rsidRPr="00261B83" w:rsidRDefault="001D3405" w:rsidP="00261B83">
      <w:pPr>
        <w:spacing w:before="240"/>
        <w:rPr>
          <w:rFonts w:ascii="Arial Narrow" w:hAnsi="Arial Narrow"/>
          <w:b/>
          <w:sz w:val="20"/>
        </w:rPr>
      </w:pPr>
      <w:bookmarkStart w:id="9" w:name="_Ref29908317"/>
      <w:bookmarkStart w:id="10" w:name="_Toc30088399"/>
      <w:r w:rsidRPr="00261B83">
        <w:rPr>
          <w:rFonts w:ascii="Arial Narrow" w:hAnsi="Arial Narrow"/>
          <w:b/>
          <w:sz w:val="20"/>
        </w:rPr>
        <w:t>Table</w:t>
      </w:r>
      <w:bookmarkEnd w:id="9"/>
      <w:r w:rsidRPr="00261B83">
        <w:rPr>
          <w:rFonts w:ascii="Arial Narrow" w:hAnsi="Arial Narrow"/>
          <w:b/>
          <w:sz w:val="20"/>
        </w:rPr>
        <w:t xml:space="preserve"> 4: Key features of the linked evidence</w:t>
      </w:r>
      <w:bookmarkEnd w:id="10"/>
    </w:p>
    <w:tbl>
      <w:tblPr>
        <w:tblStyle w:val="TableGrid"/>
        <w:tblW w:w="5000" w:type="pct"/>
        <w:tblCellMar>
          <w:left w:w="28" w:type="dxa"/>
          <w:right w:w="28" w:type="dxa"/>
        </w:tblCellMar>
        <w:tblLook w:val="04A0" w:firstRow="1" w:lastRow="0" w:firstColumn="1" w:lastColumn="0" w:noHBand="0" w:noVBand="1"/>
        <w:tblCaption w:val="Table 2: Key features of the linked evidence"/>
        <w:tblDescription w:val="Summary of DCAR's evidence"/>
      </w:tblPr>
      <w:tblGrid>
        <w:gridCol w:w="1554"/>
        <w:gridCol w:w="3686"/>
        <w:gridCol w:w="1134"/>
        <w:gridCol w:w="2642"/>
      </w:tblGrid>
      <w:tr w:rsidR="001D3405" w:rsidRPr="00C97BD8" w:rsidDel="000E14A6" w14:paraId="46257C55" w14:textId="77777777" w:rsidTr="001D3405">
        <w:trPr>
          <w:tblHeader/>
        </w:trPr>
        <w:tc>
          <w:tcPr>
            <w:tcW w:w="862" w:type="pct"/>
            <w:tcBorders>
              <w:bottom w:val="single" w:sz="4" w:space="0" w:color="auto"/>
            </w:tcBorders>
          </w:tcPr>
          <w:p w14:paraId="2E1B4010" w14:textId="77777777" w:rsidR="001D3405" w:rsidRPr="008237C2" w:rsidDel="000E14A6" w:rsidRDefault="001D3405" w:rsidP="001D3405">
            <w:pPr>
              <w:widowControl w:val="0"/>
              <w:adjustRightInd w:val="0"/>
              <w:spacing w:before="60" w:after="60"/>
              <w:textAlignment w:val="baseline"/>
              <w:rPr>
                <w:rFonts w:ascii="Arial Narrow" w:eastAsia="SimSun" w:hAnsi="Arial Narrow"/>
                <w:b/>
                <w:sz w:val="20"/>
              </w:rPr>
            </w:pPr>
            <w:r w:rsidRPr="008237C2">
              <w:rPr>
                <w:rFonts w:ascii="Arial Narrow" w:eastAsia="SimSun" w:hAnsi="Arial Narrow"/>
                <w:b/>
                <w:sz w:val="20"/>
              </w:rPr>
              <w:t>Type of evidence</w:t>
            </w:r>
          </w:p>
        </w:tc>
        <w:tc>
          <w:tcPr>
            <w:tcW w:w="2044" w:type="pct"/>
            <w:tcBorders>
              <w:bottom w:val="single" w:sz="4" w:space="0" w:color="auto"/>
            </w:tcBorders>
          </w:tcPr>
          <w:p w14:paraId="66756BDE" w14:textId="77777777" w:rsidR="001D3405" w:rsidRPr="008237C2" w:rsidDel="000E14A6" w:rsidRDefault="001D3405" w:rsidP="00B0434E">
            <w:pPr>
              <w:widowControl w:val="0"/>
              <w:adjustRightInd w:val="0"/>
              <w:spacing w:before="60" w:after="60"/>
              <w:textAlignment w:val="baseline"/>
              <w:rPr>
                <w:rFonts w:ascii="Arial Narrow" w:eastAsia="SimSun" w:hAnsi="Arial Narrow"/>
                <w:b/>
                <w:sz w:val="20"/>
              </w:rPr>
            </w:pPr>
            <w:r w:rsidRPr="008237C2">
              <w:rPr>
                <w:rFonts w:ascii="Arial Narrow" w:eastAsia="SimSun" w:hAnsi="Arial Narrow"/>
                <w:b/>
                <w:sz w:val="20"/>
              </w:rPr>
              <w:t>Description</w:t>
            </w:r>
          </w:p>
        </w:tc>
        <w:tc>
          <w:tcPr>
            <w:tcW w:w="629" w:type="pct"/>
            <w:tcBorders>
              <w:bottom w:val="single" w:sz="4" w:space="0" w:color="auto"/>
            </w:tcBorders>
          </w:tcPr>
          <w:p w14:paraId="41B81D7B" w14:textId="77777777" w:rsidR="001D3405" w:rsidRPr="008237C2" w:rsidDel="000E14A6" w:rsidRDefault="001D3405" w:rsidP="001D3405">
            <w:pPr>
              <w:widowControl w:val="0"/>
              <w:adjustRightInd w:val="0"/>
              <w:spacing w:before="60" w:after="60"/>
              <w:jc w:val="center"/>
              <w:textAlignment w:val="baseline"/>
              <w:rPr>
                <w:rFonts w:ascii="Arial Narrow" w:eastAsia="SimSun" w:hAnsi="Arial Narrow"/>
                <w:b/>
                <w:sz w:val="20"/>
              </w:rPr>
            </w:pPr>
            <w:r w:rsidRPr="008237C2">
              <w:rPr>
                <w:rFonts w:ascii="Arial Narrow" w:eastAsia="SimSun" w:hAnsi="Arial Narrow"/>
                <w:b/>
                <w:sz w:val="20"/>
              </w:rPr>
              <w:t>Number of studies used</w:t>
            </w:r>
          </w:p>
        </w:tc>
        <w:tc>
          <w:tcPr>
            <w:tcW w:w="1465" w:type="pct"/>
            <w:tcBorders>
              <w:bottom w:val="single" w:sz="4" w:space="0" w:color="auto"/>
            </w:tcBorders>
          </w:tcPr>
          <w:p w14:paraId="4F4FDEDC" w14:textId="77777777" w:rsidR="001D3405" w:rsidRPr="008237C2" w:rsidRDefault="001D3405" w:rsidP="00B0434E">
            <w:pPr>
              <w:widowControl w:val="0"/>
              <w:adjustRightInd w:val="0"/>
              <w:spacing w:before="60" w:after="60"/>
              <w:textAlignment w:val="baseline"/>
              <w:rPr>
                <w:rFonts w:ascii="Arial Narrow" w:eastAsia="SimSun" w:hAnsi="Arial Narrow"/>
                <w:b/>
                <w:sz w:val="20"/>
              </w:rPr>
            </w:pPr>
            <w:r w:rsidRPr="008237C2">
              <w:rPr>
                <w:rFonts w:ascii="Arial Narrow" w:eastAsia="SimSun" w:hAnsi="Arial Narrow"/>
                <w:b/>
                <w:sz w:val="20"/>
              </w:rPr>
              <w:t>Number of patients (n) in each study</w:t>
            </w:r>
          </w:p>
        </w:tc>
      </w:tr>
      <w:tr w:rsidR="001D3405" w:rsidRPr="00C97BD8" w:rsidDel="000E14A6" w14:paraId="68A55E38" w14:textId="77777777" w:rsidTr="001D3405">
        <w:tc>
          <w:tcPr>
            <w:tcW w:w="862" w:type="pct"/>
            <w:tcBorders>
              <w:top w:val="single" w:sz="4" w:space="0" w:color="auto"/>
              <w:left w:val="single" w:sz="4" w:space="0" w:color="auto"/>
              <w:bottom w:val="nil"/>
              <w:right w:val="single" w:sz="4" w:space="0" w:color="auto"/>
            </w:tcBorders>
          </w:tcPr>
          <w:p w14:paraId="271F9DA0" w14:textId="77777777" w:rsidR="001D3405" w:rsidRPr="008237C2" w:rsidDel="000E14A6" w:rsidRDefault="001D3405" w:rsidP="001D3405">
            <w:pPr>
              <w:widowControl w:val="0"/>
              <w:spacing w:before="40" w:after="40"/>
              <w:rPr>
                <w:rFonts w:ascii="Arial Narrow" w:hAnsi="Arial Narrow"/>
                <w:b/>
                <w:sz w:val="20"/>
                <w:lang w:eastAsia="en-US"/>
              </w:rPr>
            </w:pPr>
            <w:r w:rsidRPr="008237C2" w:rsidDel="000E14A6">
              <w:rPr>
                <w:rFonts w:ascii="Arial Narrow" w:hAnsi="Arial Narrow"/>
                <w:b/>
                <w:sz w:val="20"/>
                <w:lang w:eastAsia="en-US"/>
              </w:rPr>
              <w:t xml:space="preserve">Diagnostic performance of </w:t>
            </w:r>
            <w:proofErr w:type="spellStart"/>
            <w:r w:rsidRPr="008237C2" w:rsidDel="000E14A6">
              <w:rPr>
                <w:rFonts w:ascii="Arial Narrow" w:hAnsi="Arial Narrow"/>
                <w:b/>
                <w:sz w:val="20"/>
                <w:lang w:eastAsia="en-US"/>
              </w:rPr>
              <w:t>SLNBx</w:t>
            </w:r>
            <w:proofErr w:type="spellEnd"/>
          </w:p>
        </w:tc>
        <w:tc>
          <w:tcPr>
            <w:tcW w:w="2044" w:type="pct"/>
            <w:tcBorders>
              <w:top w:val="single" w:sz="4" w:space="0" w:color="auto"/>
              <w:left w:val="single" w:sz="4" w:space="0" w:color="auto"/>
              <w:bottom w:val="nil"/>
              <w:right w:val="single" w:sz="4" w:space="0" w:color="auto"/>
            </w:tcBorders>
          </w:tcPr>
          <w:p w14:paraId="02EEC750" w14:textId="77777777" w:rsidR="001D3405" w:rsidRPr="008237C2" w:rsidDel="000E14A6" w:rsidRDefault="001D3405" w:rsidP="008237C2">
            <w:pPr>
              <w:widowControl w:val="0"/>
              <w:spacing w:before="40" w:after="40"/>
              <w:rPr>
                <w:rFonts w:ascii="Arial Narrow" w:hAnsi="Arial Narrow"/>
                <w:sz w:val="20"/>
                <w:lang w:eastAsia="en-US"/>
              </w:rPr>
            </w:pPr>
            <w:r w:rsidRPr="008237C2" w:rsidDel="000E14A6">
              <w:rPr>
                <w:rFonts w:ascii="Arial Narrow" w:hAnsi="Arial Narrow"/>
                <w:sz w:val="20"/>
                <w:lang w:eastAsia="en-US"/>
              </w:rPr>
              <w:t xml:space="preserve">The diagnostic performance of </w:t>
            </w:r>
            <w:proofErr w:type="spellStart"/>
            <w:r w:rsidRPr="008237C2" w:rsidDel="000E14A6">
              <w:rPr>
                <w:rFonts w:ascii="Arial Narrow" w:hAnsi="Arial Narrow"/>
                <w:sz w:val="20"/>
                <w:lang w:eastAsia="en-US"/>
              </w:rPr>
              <w:t>SLNBx</w:t>
            </w:r>
            <w:proofErr w:type="spellEnd"/>
            <w:r w:rsidRPr="008237C2" w:rsidDel="000E14A6">
              <w:rPr>
                <w:rFonts w:ascii="Arial Narrow" w:hAnsi="Arial Narrow"/>
                <w:sz w:val="20"/>
                <w:lang w:eastAsia="en-US"/>
              </w:rPr>
              <w:t xml:space="preserve"> is relevant to the proportion of patients undergoing </w:t>
            </w:r>
            <w:proofErr w:type="spellStart"/>
            <w:r w:rsidRPr="008237C2" w:rsidDel="000E14A6">
              <w:rPr>
                <w:rFonts w:ascii="Arial Narrow" w:hAnsi="Arial Narrow"/>
                <w:sz w:val="20"/>
                <w:lang w:eastAsia="en-US"/>
              </w:rPr>
              <w:t>SLNBx</w:t>
            </w:r>
            <w:proofErr w:type="spellEnd"/>
            <w:r w:rsidRPr="008237C2" w:rsidDel="000E14A6">
              <w:rPr>
                <w:rFonts w:ascii="Arial Narrow" w:hAnsi="Arial Narrow"/>
                <w:sz w:val="20"/>
                <w:lang w:eastAsia="en-US"/>
              </w:rPr>
              <w:t xml:space="preserve"> w</w:t>
            </w:r>
            <w:r w:rsidR="008237C2">
              <w:rPr>
                <w:rFonts w:ascii="Arial Narrow" w:hAnsi="Arial Narrow"/>
                <w:sz w:val="20"/>
                <w:lang w:eastAsia="en-US"/>
              </w:rPr>
              <w:t xml:space="preserve">ho </w:t>
            </w:r>
            <w:proofErr w:type="gramStart"/>
            <w:r w:rsidR="00E243ED">
              <w:rPr>
                <w:rFonts w:ascii="Arial Narrow" w:hAnsi="Arial Narrow"/>
                <w:sz w:val="20"/>
                <w:lang w:eastAsia="en-US"/>
              </w:rPr>
              <w:t>are shown</w:t>
            </w:r>
            <w:proofErr w:type="gramEnd"/>
            <w:r w:rsidR="00E243ED">
              <w:rPr>
                <w:rFonts w:ascii="Arial Narrow" w:hAnsi="Arial Narrow"/>
                <w:sz w:val="20"/>
                <w:lang w:eastAsia="en-US"/>
              </w:rPr>
              <w:t xml:space="preserve"> to </w:t>
            </w:r>
            <w:r w:rsidR="008237C2">
              <w:rPr>
                <w:rFonts w:ascii="Arial Narrow" w:hAnsi="Arial Narrow"/>
                <w:sz w:val="20"/>
                <w:lang w:eastAsia="en-US"/>
              </w:rPr>
              <w:t>have</w:t>
            </w:r>
            <w:r w:rsidRPr="008237C2" w:rsidDel="000E14A6">
              <w:rPr>
                <w:rFonts w:ascii="Arial Narrow" w:hAnsi="Arial Narrow"/>
                <w:sz w:val="20"/>
                <w:lang w:eastAsia="en-US"/>
              </w:rPr>
              <w:t xml:space="preserve"> Stage IIIB, IIIC or IIID </w:t>
            </w:r>
            <w:r w:rsidR="008237C2">
              <w:rPr>
                <w:rFonts w:ascii="Arial Narrow" w:hAnsi="Arial Narrow"/>
                <w:sz w:val="20"/>
                <w:lang w:eastAsia="en-US"/>
              </w:rPr>
              <w:t>melanoma</w:t>
            </w:r>
            <w:r w:rsidR="00E243ED">
              <w:rPr>
                <w:rFonts w:ascii="Arial Narrow" w:hAnsi="Arial Narrow"/>
                <w:sz w:val="20"/>
                <w:lang w:eastAsia="en-US"/>
              </w:rPr>
              <w:t>, and</w:t>
            </w:r>
            <w:r w:rsidRPr="008237C2" w:rsidDel="000E14A6">
              <w:rPr>
                <w:rFonts w:ascii="Arial Narrow" w:hAnsi="Arial Narrow"/>
                <w:sz w:val="20"/>
                <w:lang w:eastAsia="en-US"/>
              </w:rPr>
              <w:t xml:space="preserve"> who would</w:t>
            </w:r>
            <w:r w:rsidRPr="008237C2">
              <w:rPr>
                <w:rFonts w:ascii="Arial Narrow" w:hAnsi="Arial Narrow"/>
                <w:sz w:val="20"/>
                <w:lang w:eastAsia="en-US"/>
              </w:rPr>
              <w:t xml:space="preserve"> </w:t>
            </w:r>
            <w:r w:rsidRPr="008237C2" w:rsidDel="000E14A6">
              <w:rPr>
                <w:rFonts w:ascii="Arial Narrow" w:hAnsi="Arial Narrow"/>
                <w:sz w:val="20"/>
                <w:lang w:eastAsia="en-US"/>
              </w:rPr>
              <w:t xml:space="preserve">then be eligible for </w:t>
            </w:r>
            <w:r w:rsidRPr="008237C2">
              <w:rPr>
                <w:rFonts w:ascii="Arial Narrow" w:hAnsi="Arial Narrow"/>
                <w:sz w:val="20"/>
                <w:lang w:eastAsia="en-US"/>
              </w:rPr>
              <w:t xml:space="preserve">PBS-subsidised </w:t>
            </w:r>
            <w:r w:rsidRPr="008237C2" w:rsidDel="000E14A6">
              <w:rPr>
                <w:rFonts w:ascii="Arial Narrow" w:hAnsi="Arial Narrow"/>
                <w:sz w:val="20"/>
                <w:lang w:eastAsia="en-US"/>
              </w:rPr>
              <w:t>adjuvant therapy</w:t>
            </w:r>
            <w:r w:rsidRPr="008237C2">
              <w:rPr>
                <w:rFonts w:ascii="Arial Narrow" w:hAnsi="Arial Narrow"/>
                <w:sz w:val="20"/>
                <w:lang w:eastAsia="en-US"/>
              </w:rPr>
              <w:t>.</w:t>
            </w:r>
          </w:p>
        </w:tc>
        <w:tc>
          <w:tcPr>
            <w:tcW w:w="629" w:type="pct"/>
            <w:tcBorders>
              <w:top w:val="single" w:sz="4" w:space="0" w:color="auto"/>
              <w:left w:val="single" w:sz="4" w:space="0" w:color="auto"/>
              <w:bottom w:val="nil"/>
              <w:right w:val="single" w:sz="4" w:space="0" w:color="auto"/>
            </w:tcBorders>
          </w:tcPr>
          <w:p w14:paraId="1D6106C8" w14:textId="77777777" w:rsidR="001D3405" w:rsidRPr="008237C2" w:rsidDel="000E14A6" w:rsidRDefault="001D3405" w:rsidP="001D3405">
            <w:pPr>
              <w:widowControl w:val="0"/>
              <w:spacing w:before="40" w:after="40"/>
              <w:jc w:val="center"/>
              <w:rPr>
                <w:rFonts w:ascii="Arial Narrow" w:hAnsi="Arial Narrow"/>
                <w:i/>
                <w:sz w:val="20"/>
                <w:lang w:eastAsia="en-US"/>
              </w:rPr>
            </w:pPr>
            <w:r w:rsidRPr="008237C2">
              <w:rPr>
                <w:rFonts w:ascii="Arial Narrow" w:hAnsi="Arial Narrow"/>
                <w:sz w:val="20"/>
                <w:lang w:eastAsia="en-US"/>
              </w:rPr>
              <w:t>1 study</w:t>
            </w:r>
          </w:p>
        </w:tc>
        <w:tc>
          <w:tcPr>
            <w:tcW w:w="1465" w:type="pct"/>
            <w:tcBorders>
              <w:top w:val="single" w:sz="4" w:space="0" w:color="auto"/>
              <w:left w:val="single" w:sz="4" w:space="0" w:color="auto"/>
              <w:bottom w:val="nil"/>
              <w:right w:val="single" w:sz="4" w:space="0" w:color="auto"/>
            </w:tcBorders>
          </w:tcPr>
          <w:p w14:paraId="2E4DDB69" w14:textId="77777777" w:rsidR="001D3405" w:rsidRPr="008237C2" w:rsidRDefault="001D3405" w:rsidP="00B0434E">
            <w:pPr>
              <w:widowControl w:val="0"/>
              <w:spacing w:before="40" w:after="40"/>
              <w:rPr>
                <w:rFonts w:ascii="Arial Narrow" w:hAnsi="Arial Narrow"/>
                <w:sz w:val="20"/>
                <w:lang w:eastAsia="en-US"/>
              </w:rPr>
            </w:pPr>
            <w:r w:rsidRPr="008237C2">
              <w:rPr>
                <w:rFonts w:ascii="Arial Narrow" w:hAnsi="Arial Narrow"/>
                <w:sz w:val="20"/>
                <w:lang w:eastAsia="en-US"/>
              </w:rPr>
              <w:t>Morton et al. 2014 (from MSLT-I):</w:t>
            </w:r>
          </w:p>
          <w:p w14:paraId="7BE710D3" w14:textId="77777777" w:rsidR="001D3405" w:rsidRPr="008237C2" w:rsidRDefault="001D3405" w:rsidP="00B0434E">
            <w:pPr>
              <w:widowControl w:val="0"/>
              <w:spacing w:before="40" w:after="40"/>
              <w:rPr>
                <w:rFonts w:ascii="Arial Narrow" w:hAnsi="Arial Narrow"/>
                <w:sz w:val="20"/>
                <w:lang w:eastAsia="en-US"/>
              </w:rPr>
            </w:pPr>
            <w:r w:rsidRPr="008237C2">
              <w:rPr>
                <w:rFonts w:ascii="Arial Narrow" w:hAnsi="Arial Narrow"/>
                <w:sz w:val="20"/>
                <w:lang w:eastAsia="en-US"/>
              </w:rPr>
              <w:t>Intermediate thickness melanoma (1.2-3.5 mm), n=1270</w:t>
            </w:r>
          </w:p>
          <w:p w14:paraId="6A7D6C01" w14:textId="77777777" w:rsidR="001D3405" w:rsidRPr="008237C2" w:rsidDel="000E14A6" w:rsidRDefault="001D3405" w:rsidP="00B0434E">
            <w:pPr>
              <w:widowControl w:val="0"/>
              <w:spacing w:before="40" w:after="40"/>
              <w:rPr>
                <w:rFonts w:ascii="Arial Narrow" w:hAnsi="Arial Narrow"/>
                <w:sz w:val="20"/>
                <w:lang w:eastAsia="en-US"/>
              </w:rPr>
            </w:pPr>
            <w:r w:rsidRPr="008237C2">
              <w:rPr>
                <w:rFonts w:ascii="Arial Narrow" w:hAnsi="Arial Narrow"/>
                <w:sz w:val="20"/>
                <w:lang w:eastAsia="en-US"/>
              </w:rPr>
              <w:t>Thick melanoma (&gt;3.5 mm), n=290</w:t>
            </w:r>
          </w:p>
        </w:tc>
      </w:tr>
      <w:tr w:rsidR="001D3405" w:rsidRPr="00C97BD8" w:rsidDel="000E14A6" w14:paraId="7F3DC33A" w14:textId="77777777" w:rsidTr="001D3405">
        <w:tc>
          <w:tcPr>
            <w:tcW w:w="862" w:type="pct"/>
            <w:tcBorders>
              <w:top w:val="single" w:sz="4" w:space="0" w:color="auto"/>
            </w:tcBorders>
            <w:shd w:val="clear" w:color="auto" w:fill="auto"/>
          </w:tcPr>
          <w:p w14:paraId="2B1C6DDA" w14:textId="77777777" w:rsidR="001D3405" w:rsidRPr="008237C2" w:rsidDel="000E14A6" w:rsidRDefault="001D3405" w:rsidP="001D3405">
            <w:pPr>
              <w:widowControl w:val="0"/>
              <w:spacing w:before="40" w:after="40"/>
              <w:rPr>
                <w:rFonts w:ascii="Arial Narrow" w:hAnsi="Arial Narrow"/>
                <w:b/>
                <w:sz w:val="20"/>
                <w:lang w:eastAsia="en-US"/>
              </w:rPr>
            </w:pPr>
            <w:r w:rsidRPr="008237C2">
              <w:rPr>
                <w:rFonts w:ascii="Arial Narrow" w:hAnsi="Arial Narrow"/>
                <w:b/>
                <w:sz w:val="20"/>
                <w:lang w:eastAsia="en-US"/>
              </w:rPr>
              <w:t xml:space="preserve">Clinical validity of </w:t>
            </w:r>
            <w:proofErr w:type="spellStart"/>
            <w:r w:rsidRPr="008237C2">
              <w:rPr>
                <w:rFonts w:ascii="Arial Narrow" w:hAnsi="Arial Narrow"/>
                <w:b/>
                <w:sz w:val="20"/>
                <w:lang w:eastAsia="en-US"/>
              </w:rPr>
              <w:t>SLNBx</w:t>
            </w:r>
            <w:proofErr w:type="spellEnd"/>
          </w:p>
        </w:tc>
        <w:tc>
          <w:tcPr>
            <w:tcW w:w="2044" w:type="pct"/>
            <w:tcBorders>
              <w:top w:val="single" w:sz="4" w:space="0" w:color="auto"/>
            </w:tcBorders>
            <w:shd w:val="clear" w:color="auto" w:fill="auto"/>
          </w:tcPr>
          <w:p w14:paraId="7CAF000F" w14:textId="77777777" w:rsidR="001D3405" w:rsidRPr="008237C2" w:rsidDel="000E14A6" w:rsidRDefault="001D3405" w:rsidP="00B0434E">
            <w:pPr>
              <w:widowControl w:val="0"/>
              <w:spacing w:before="40" w:after="40"/>
              <w:rPr>
                <w:rFonts w:ascii="Arial Narrow" w:hAnsi="Arial Narrow"/>
                <w:sz w:val="20"/>
                <w:lang w:eastAsia="en-US"/>
              </w:rPr>
            </w:pPr>
            <w:r w:rsidRPr="008237C2" w:rsidDel="000E14A6">
              <w:rPr>
                <w:rFonts w:ascii="Arial Narrow" w:hAnsi="Arial Narrow"/>
                <w:sz w:val="20"/>
                <w:lang w:eastAsia="en-US"/>
              </w:rPr>
              <w:t xml:space="preserve">Proportion of patients identified by </w:t>
            </w:r>
            <w:proofErr w:type="spellStart"/>
            <w:r w:rsidRPr="008237C2" w:rsidDel="000E14A6">
              <w:rPr>
                <w:rFonts w:ascii="Arial Narrow" w:hAnsi="Arial Narrow"/>
                <w:sz w:val="20"/>
                <w:lang w:eastAsia="en-US"/>
              </w:rPr>
              <w:t>SLNBx</w:t>
            </w:r>
            <w:proofErr w:type="spellEnd"/>
            <w:r w:rsidRPr="008237C2" w:rsidDel="000E14A6">
              <w:rPr>
                <w:rFonts w:ascii="Arial Narrow" w:hAnsi="Arial Narrow"/>
                <w:sz w:val="20"/>
                <w:lang w:eastAsia="en-US"/>
              </w:rPr>
              <w:t xml:space="preserve"> </w:t>
            </w:r>
            <w:r w:rsidR="00E243ED">
              <w:rPr>
                <w:rFonts w:ascii="Arial Narrow" w:hAnsi="Arial Narrow"/>
                <w:sz w:val="20"/>
                <w:lang w:eastAsia="en-US"/>
              </w:rPr>
              <w:t xml:space="preserve">as being </w:t>
            </w:r>
            <w:r w:rsidRPr="008237C2" w:rsidDel="000E14A6">
              <w:rPr>
                <w:rFonts w:ascii="Arial Narrow" w:hAnsi="Arial Narrow"/>
                <w:sz w:val="20"/>
                <w:lang w:eastAsia="en-US"/>
              </w:rPr>
              <w:t>eligible for PBS</w:t>
            </w:r>
            <w:r w:rsidRPr="008237C2">
              <w:rPr>
                <w:rFonts w:ascii="Arial Narrow" w:hAnsi="Arial Narrow"/>
                <w:sz w:val="20"/>
                <w:lang w:eastAsia="en-US"/>
              </w:rPr>
              <w:t>-</w:t>
            </w:r>
            <w:r w:rsidRPr="008237C2" w:rsidDel="000E14A6">
              <w:rPr>
                <w:rFonts w:ascii="Arial Narrow" w:hAnsi="Arial Narrow"/>
                <w:sz w:val="20"/>
                <w:lang w:eastAsia="en-US"/>
              </w:rPr>
              <w:t>subsidised adjuvant therapy in Australian population.</w:t>
            </w:r>
          </w:p>
        </w:tc>
        <w:tc>
          <w:tcPr>
            <w:tcW w:w="629" w:type="pct"/>
            <w:tcBorders>
              <w:top w:val="single" w:sz="4" w:space="0" w:color="auto"/>
            </w:tcBorders>
            <w:shd w:val="clear" w:color="auto" w:fill="auto"/>
          </w:tcPr>
          <w:p w14:paraId="60A244AC" w14:textId="77777777" w:rsidR="001D3405" w:rsidRPr="008237C2" w:rsidDel="000E14A6" w:rsidRDefault="001D3405" w:rsidP="001D3405">
            <w:pPr>
              <w:widowControl w:val="0"/>
              <w:spacing w:before="40" w:after="40"/>
              <w:jc w:val="center"/>
              <w:rPr>
                <w:rFonts w:ascii="Arial Narrow" w:hAnsi="Arial Narrow"/>
                <w:sz w:val="20"/>
                <w:lang w:eastAsia="en-US"/>
              </w:rPr>
            </w:pPr>
            <w:r w:rsidRPr="008237C2">
              <w:rPr>
                <w:rFonts w:ascii="Arial Narrow" w:hAnsi="Arial Narrow"/>
                <w:sz w:val="20"/>
                <w:lang w:eastAsia="en-US"/>
              </w:rPr>
              <w:t>2 studies</w:t>
            </w:r>
          </w:p>
        </w:tc>
        <w:tc>
          <w:tcPr>
            <w:tcW w:w="1465" w:type="pct"/>
            <w:tcBorders>
              <w:top w:val="single" w:sz="4" w:space="0" w:color="auto"/>
            </w:tcBorders>
            <w:shd w:val="clear" w:color="auto" w:fill="auto"/>
          </w:tcPr>
          <w:p w14:paraId="4C3152D3" w14:textId="77777777" w:rsidR="001D3405" w:rsidRPr="008237C2" w:rsidRDefault="00B0434E" w:rsidP="00B0434E">
            <w:pPr>
              <w:widowControl w:val="0"/>
              <w:spacing w:before="40" w:after="40"/>
              <w:rPr>
                <w:rFonts w:ascii="Arial Narrow" w:hAnsi="Arial Narrow"/>
                <w:sz w:val="20"/>
                <w:lang w:eastAsia="en-US"/>
              </w:rPr>
            </w:pPr>
            <w:proofErr w:type="spellStart"/>
            <w:r w:rsidRPr="008237C2">
              <w:rPr>
                <w:rFonts w:ascii="Arial Narrow" w:hAnsi="Arial Narrow"/>
                <w:sz w:val="20"/>
                <w:lang w:eastAsia="en-US"/>
              </w:rPr>
              <w:t>Haydu</w:t>
            </w:r>
            <w:proofErr w:type="spellEnd"/>
            <w:r w:rsidRPr="008237C2">
              <w:rPr>
                <w:rFonts w:ascii="Arial Narrow" w:hAnsi="Arial Narrow"/>
                <w:sz w:val="20"/>
                <w:lang w:eastAsia="en-US"/>
              </w:rPr>
              <w:t xml:space="preserve"> et al. 2017, n=4,540;</w:t>
            </w:r>
          </w:p>
          <w:p w14:paraId="1B43486A" w14:textId="77777777" w:rsidR="001D3405" w:rsidRPr="008237C2" w:rsidDel="000E14A6" w:rsidRDefault="001D3405" w:rsidP="00B0434E">
            <w:pPr>
              <w:widowControl w:val="0"/>
              <w:spacing w:before="40" w:after="40"/>
              <w:rPr>
                <w:rFonts w:ascii="Arial Narrow" w:hAnsi="Arial Narrow"/>
                <w:sz w:val="20"/>
                <w:lang w:eastAsia="en-US"/>
              </w:rPr>
            </w:pPr>
            <w:proofErr w:type="spellStart"/>
            <w:r w:rsidRPr="008237C2">
              <w:rPr>
                <w:rFonts w:ascii="Arial Narrow" w:hAnsi="Arial Narrow"/>
                <w:sz w:val="20"/>
                <w:lang w:eastAsia="en-US"/>
              </w:rPr>
              <w:t>Gershenwald</w:t>
            </w:r>
            <w:proofErr w:type="spellEnd"/>
            <w:r w:rsidRPr="008237C2">
              <w:rPr>
                <w:rFonts w:ascii="Arial Narrow" w:hAnsi="Arial Narrow"/>
                <w:sz w:val="20"/>
                <w:lang w:eastAsia="en-US"/>
              </w:rPr>
              <w:t xml:space="preserve"> et al. 2017, n&gt;46,000</w:t>
            </w:r>
          </w:p>
        </w:tc>
      </w:tr>
      <w:tr w:rsidR="001D3405" w:rsidRPr="00C97BD8" w:rsidDel="000E14A6" w14:paraId="721C30DE" w14:textId="77777777" w:rsidTr="001D3405">
        <w:tc>
          <w:tcPr>
            <w:tcW w:w="862" w:type="pct"/>
            <w:shd w:val="clear" w:color="auto" w:fill="auto"/>
          </w:tcPr>
          <w:p w14:paraId="7F77752A" w14:textId="77777777" w:rsidR="001D3405" w:rsidRPr="008237C2" w:rsidDel="000E14A6" w:rsidRDefault="001D3405" w:rsidP="001D3405">
            <w:pPr>
              <w:widowControl w:val="0"/>
              <w:spacing w:before="40" w:after="40"/>
              <w:rPr>
                <w:rFonts w:ascii="Arial Narrow" w:hAnsi="Arial Narrow"/>
                <w:b/>
                <w:sz w:val="20"/>
                <w:lang w:eastAsia="en-US"/>
              </w:rPr>
            </w:pPr>
            <w:r w:rsidRPr="008237C2" w:rsidDel="000E14A6">
              <w:rPr>
                <w:rFonts w:ascii="Arial Narrow" w:hAnsi="Arial Narrow"/>
                <w:b/>
                <w:sz w:val="20"/>
                <w:lang w:eastAsia="en-US"/>
              </w:rPr>
              <w:t xml:space="preserve">Clinical utility of </w:t>
            </w:r>
            <w:proofErr w:type="spellStart"/>
            <w:r w:rsidRPr="008237C2" w:rsidDel="000E14A6">
              <w:rPr>
                <w:rFonts w:ascii="Arial Narrow" w:hAnsi="Arial Narrow"/>
                <w:b/>
                <w:sz w:val="20"/>
                <w:lang w:eastAsia="en-US"/>
              </w:rPr>
              <w:t>SLNBx</w:t>
            </w:r>
            <w:proofErr w:type="spellEnd"/>
            <w:r w:rsidRPr="008237C2" w:rsidDel="000E14A6">
              <w:rPr>
                <w:rFonts w:ascii="Arial Narrow" w:hAnsi="Arial Narrow"/>
                <w:b/>
                <w:sz w:val="20"/>
                <w:lang w:eastAsia="en-US"/>
              </w:rPr>
              <w:t xml:space="preserve"> and impact on patient management and health outcomes</w:t>
            </w:r>
          </w:p>
        </w:tc>
        <w:tc>
          <w:tcPr>
            <w:tcW w:w="2044" w:type="pct"/>
            <w:shd w:val="clear" w:color="auto" w:fill="auto"/>
          </w:tcPr>
          <w:p w14:paraId="24D6B815" w14:textId="77777777" w:rsidR="001D3405" w:rsidRPr="008237C2" w:rsidDel="000E14A6" w:rsidRDefault="001D3405" w:rsidP="00B0434E">
            <w:pPr>
              <w:widowControl w:val="0"/>
              <w:spacing w:before="40" w:after="40"/>
              <w:rPr>
                <w:rFonts w:ascii="Arial Narrow" w:hAnsi="Arial Narrow"/>
                <w:sz w:val="20"/>
                <w:lang w:eastAsia="en-US"/>
              </w:rPr>
            </w:pPr>
            <w:proofErr w:type="spellStart"/>
            <w:r w:rsidRPr="008237C2" w:rsidDel="000E14A6">
              <w:rPr>
                <w:rFonts w:ascii="Arial Narrow" w:hAnsi="Arial Narrow"/>
                <w:sz w:val="20"/>
                <w:lang w:eastAsia="en-US"/>
              </w:rPr>
              <w:t>SLNBx</w:t>
            </w:r>
            <w:proofErr w:type="spellEnd"/>
            <w:r w:rsidRPr="008237C2" w:rsidDel="000E14A6">
              <w:rPr>
                <w:rFonts w:ascii="Arial Narrow" w:hAnsi="Arial Narrow"/>
                <w:sz w:val="20"/>
                <w:lang w:eastAsia="en-US"/>
              </w:rPr>
              <w:t xml:space="preserve"> results inform subsequent treatment and management of patients, including those who may benefit from adjuvant therapy and frequency of follow up.</w:t>
            </w:r>
          </w:p>
        </w:tc>
        <w:tc>
          <w:tcPr>
            <w:tcW w:w="629" w:type="pct"/>
            <w:shd w:val="clear" w:color="auto" w:fill="auto"/>
          </w:tcPr>
          <w:p w14:paraId="5C60BFCA" w14:textId="77777777" w:rsidR="001D3405" w:rsidRPr="008237C2" w:rsidDel="000E14A6" w:rsidRDefault="001D3405" w:rsidP="001D3405">
            <w:pPr>
              <w:widowControl w:val="0"/>
              <w:spacing w:before="40" w:after="40"/>
              <w:jc w:val="center"/>
              <w:rPr>
                <w:rFonts w:ascii="Arial Narrow" w:hAnsi="Arial Narrow"/>
                <w:sz w:val="20"/>
                <w:lang w:eastAsia="en-US"/>
              </w:rPr>
            </w:pPr>
            <w:r w:rsidRPr="008237C2">
              <w:rPr>
                <w:rFonts w:ascii="Arial Narrow" w:hAnsi="Arial Narrow"/>
                <w:sz w:val="20"/>
                <w:lang w:eastAsia="en-US"/>
              </w:rPr>
              <w:t>2 studies</w:t>
            </w:r>
          </w:p>
        </w:tc>
        <w:tc>
          <w:tcPr>
            <w:tcW w:w="1465" w:type="pct"/>
            <w:shd w:val="clear" w:color="auto" w:fill="auto"/>
          </w:tcPr>
          <w:p w14:paraId="06AA9123" w14:textId="77777777" w:rsidR="001D3405" w:rsidRPr="008237C2" w:rsidRDefault="001D3405" w:rsidP="00B0434E">
            <w:pPr>
              <w:widowControl w:val="0"/>
              <w:spacing w:before="40" w:after="40"/>
              <w:rPr>
                <w:rFonts w:ascii="Arial Narrow" w:hAnsi="Arial Narrow"/>
                <w:sz w:val="20"/>
                <w:lang w:eastAsia="en-US"/>
              </w:rPr>
            </w:pPr>
            <w:r w:rsidRPr="008237C2">
              <w:rPr>
                <w:rFonts w:ascii="Arial Narrow" w:hAnsi="Arial Narrow"/>
                <w:sz w:val="20"/>
                <w:lang w:eastAsia="en-US"/>
              </w:rPr>
              <w:t>COMBI-AD trial by Long et al. 2017, dabrafenib plus trametinib n=438, placebo n=432</w:t>
            </w:r>
            <w:r w:rsidR="00B0434E" w:rsidRPr="008237C2">
              <w:rPr>
                <w:rFonts w:ascii="Arial Narrow" w:hAnsi="Arial Narrow"/>
                <w:sz w:val="20"/>
                <w:lang w:eastAsia="en-US"/>
              </w:rPr>
              <w:t>;</w:t>
            </w:r>
          </w:p>
          <w:p w14:paraId="588E9CA4" w14:textId="77777777" w:rsidR="001D3405" w:rsidRPr="008237C2" w:rsidDel="000E14A6" w:rsidRDefault="001D3405" w:rsidP="00B0434E">
            <w:pPr>
              <w:widowControl w:val="0"/>
              <w:spacing w:before="40" w:after="40"/>
              <w:rPr>
                <w:rFonts w:ascii="Arial Narrow" w:hAnsi="Arial Narrow"/>
                <w:sz w:val="20"/>
                <w:lang w:eastAsia="en-US"/>
              </w:rPr>
            </w:pPr>
            <w:r w:rsidRPr="008237C2">
              <w:rPr>
                <w:rFonts w:ascii="Arial Narrow" w:hAnsi="Arial Narrow"/>
                <w:sz w:val="20"/>
                <w:lang w:eastAsia="en-US"/>
              </w:rPr>
              <w:t xml:space="preserve">CA238 trial by Weber et al. 2017, </w:t>
            </w:r>
            <w:proofErr w:type="spellStart"/>
            <w:r w:rsidRPr="008237C2">
              <w:rPr>
                <w:rFonts w:ascii="Arial Narrow" w:hAnsi="Arial Narrow"/>
                <w:sz w:val="20"/>
                <w:lang w:eastAsia="en-US"/>
              </w:rPr>
              <w:t>nivolumab</w:t>
            </w:r>
            <w:proofErr w:type="spellEnd"/>
            <w:r w:rsidRPr="008237C2">
              <w:rPr>
                <w:rFonts w:ascii="Arial Narrow" w:hAnsi="Arial Narrow"/>
                <w:sz w:val="20"/>
                <w:lang w:eastAsia="en-US"/>
              </w:rPr>
              <w:t xml:space="preserve"> n=453, placebo n=453</w:t>
            </w:r>
          </w:p>
        </w:tc>
      </w:tr>
      <w:tr w:rsidR="001D3405" w:rsidRPr="00C97BD8" w:rsidDel="000E14A6" w14:paraId="1E182EFC" w14:textId="77777777" w:rsidTr="001D3405">
        <w:tc>
          <w:tcPr>
            <w:tcW w:w="862" w:type="pct"/>
          </w:tcPr>
          <w:p w14:paraId="3E8BA710" w14:textId="77777777" w:rsidR="001D3405" w:rsidRPr="008237C2" w:rsidDel="000E14A6" w:rsidRDefault="001D3405" w:rsidP="001D3405">
            <w:pPr>
              <w:widowControl w:val="0"/>
              <w:spacing w:before="40" w:after="40"/>
              <w:rPr>
                <w:rFonts w:ascii="Arial Narrow" w:hAnsi="Arial Narrow"/>
                <w:b/>
                <w:sz w:val="20"/>
                <w:lang w:eastAsia="en-US"/>
              </w:rPr>
            </w:pPr>
            <w:r w:rsidRPr="008237C2" w:rsidDel="000E14A6">
              <w:rPr>
                <w:rFonts w:ascii="Arial Narrow" w:hAnsi="Arial Narrow"/>
                <w:b/>
                <w:sz w:val="20"/>
                <w:lang w:eastAsia="en-US"/>
              </w:rPr>
              <w:t>Impact of repeat testing (if appropriate)</w:t>
            </w:r>
          </w:p>
        </w:tc>
        <w:tc>
          <w:tcPr>
            <w:tcW w:w="2044" w:type="pct"/>
          </w:tcPr>
          <w:p w14:paraId="0E94F8BE" w14:textId="77777777" w:rsidR="001D3405" w:rsidRPr="008237C2" w:rsidDel="000E14A6" w:rsidRDefault="001D3405" w:rsidP="00B0434E">
            <w:pPr>
              <w:widowControl w:val="0"/>
              <w:spacing w:before="40" w:after="40"/>
              <w:rPr>
                <w:rFonts w:ascii="Arial Narrow" w:hAnsi="Arial Narrow"/>
                <w:sz w:val="20"/>
                <w:lang w:eastAsia="en-US"/>
              </w:rPr>
            </w:pPr>
            <w:r w:rsidRPr="008237C2" w:rsidDel="000E14A6">
              <w:rPr>
                <w:rFonts w:ascii="Arial Narrow" w:hAnsi="Arial Narrow"/>
                <w:sz w:val="20"/>
                <w:lang w:eastAsia="en-US"/>
              </w:rPr>
              <w:t xml:space="preserve">It is likely that patients </w:t>
            </w:r>
            <w:r w:rsidRPr="008237C2">
              <w:rPr>
                <w:rFonts w:ascii="Arial Narrow" w:hAnsi="Arial Narrow"/>
                <w:sz w:val="20"/>
                <w:lang w:eastAsia="en-US"/>
              </w:rPr>
              <w:t>who</w:t>
            </w:r>
            <w:r w:rsidRPr="008237C2" w:rsidDel="000E14A6">
              <w:rPr>
                <w:rFonts w:ascii="Arial Narrow" w:hAnsi="Arial Narrow"/>
                <w:sz w:val="20"/>
                <w:lang w:eastAsia="en-US"/>
              </w:rPr>
              <w:t xml:space="preserve"> are </w:t>
            </w:r>
            <w:proofErr w:type="spellStart"/>
            <w:r w:rsidRPr="008237C2" w:rsidDel="000E14A6">
              <w:rPr>
                <w:rFonts w:ascii="Arial Narrow" w:hAnsi="Arial Narrow"/>
                <w:sz w:val="20"/>
                <w:lang w:eastAsia="en-US"/>
              </w:rPr>
              <w:t>SLNBx</w:t>
            </w:r>
            <w:proofErr w:type="spellEnd"/>
            <w:r w:rsidRPr="008237C2" w:rsidDel="000E14A6">
              <w:rPr>
                <w:rFonts w:ascii="Arial Narrow" w:hAnsi="Arial Narrow"/>
                <w:sz w:val="20"/>
                <w:lang w:eastAsia="en-US"/>
              </w:rPr>
              <w:t xml:space="preserve"> positive would receive additional monitoring (specialist follow-up three times per year).</w:t>
            </w:r>
          </w:p>
        </w:tc>
        <w:tc>
          <w:tcPr>
            <w:tcW w:w="629" w:type="pct"/>
          </w:tcPr>
          <w:p w14:paraId="04174208" w14:textId="77777777" w:rsidR="001D3405" w:rsidRPr="008237C2" w:rsidDel="000E14A6" w:rsidRDefault="001D3405" w:rsidP="001D3405">
            <w:pPr>
              <w:widowControl w:val="0"/>
              <w:spacing w:before="40" w:after="40"/>
              <w:jc w:val="center"/>
              <w:rPr>
                <w:rFonts w:ascii="Arial Narrow" w:hAnsi="Arial Narrow"/>
                <w:sz w:val="20"/>
                <w:lang w:eastAsia="en-US"/>
              </w:rPr>
            </w:pPr>
            <w:r w:rsidRPr="008237C2">
              <w:rPr>
                <w:rFonts w:ascii="Arial Narrow" w:hAnsi="Arial Narrow"/>
                <w:sz w:val="20"/>
                <w:lang w:eastAsia="en-US"/>
              </w:rPr>
              <w:t>1 study</w:t>
            </w:r>
          </w:p>
        </w:tc>
        <w:tc>
          <w:tcPr>
            <w:tcW w:w="1465" w:type="pct"/>
          </w:tcPr>
          <w:p w14:paraId="0B4CD871" w14:textId="77777777" w:rsidR="001D3405" w:rsidRPr="008237C2" w:rsidDel="000E14A6" w:rsidRDefault="001D3405" w:rsidP="00B0434E">
            <w:pPr>
              <w:widowControl w:val="0"/>
              <w:spacing w:before="40" w:after="40"/>
              <w:rPr>
                <w:rFonts w:ascii="Arial Narrow" w:hAnsi="Arial Narrow"/>
                <w:sz w:val="20"/>
                <w:lang w:eastAsia="en-US"/>
              </w:rPr>
            </w:pPr>
            <w:proofErr w:type="spellStart"/>
            <w:r w:rsidRPr="008237C2">
              <w:rPr>
                <w:rFonts w:ascii="Arial Narrow" w:hAnsi="Arial Narrow"/>
                <w:sz w:val="20"/>
                <w:lang w:eastAsia="en-US"/>
              </w:rPr>
              <w:t>Faries</w:t>
            </w:r>
            <w:proofErr w:type="spellEnd"/>
            <w:r w:rsidRPr="008237C2">
              <w:rPr>
                <w:rFonts w:ascii="Arial Narrow" w:hAnsi="Arial Narrow"/>
                <w:sz w:val="20"/>
                <w:lang w:eastAsia="en-US"/>
              </w:rPr>
              <w:t xml:space="preserve"> et al. 2017, n=931</w:t>
            </w:r>
          </w:p>
        </w:tc>
      </w:tr>
      <w:tr w:rsidR="001D3405" w:rsidRPr="00C97BD8" w:rsidDel="000E14A6" w14:paraId="70F70171" w14:textId="77777777" w:rsidTr="001D3405">
        <w:tc>
          <w:tcPr>
            <w:tcW w:w="862" w:type="pct"/>
          </w:tcPr>
          <w:p w14:paraId="20CF3B69" w14:textId="77777777" w:rsidR="001D3405" w:rsidRPr="008237C2" w:rsidDel="000E14A6" w:rsidRDefault="001D3405" w:rsidP="001D3405">
            <w:pPr>
              <w:widowControl w:val="0"/>
              <w:spacing w:before="40" w:after="40"/>
              <w:rPr>
                <w:rFonts w:ascii="Arial Narrow" w:hAnsi="Arial Narrow"/>
                <w:b/>
                <w:sz w:val="20"/>
                <w:lang w:eastAsia="en-US"/>
              </w:rPr>
            </w:pPr>
            <w:r w:rsidRPr="008237C2" w:rsidDel="000E14A6">
              <w:rPr>
                <w:rFonts w:ascii="Arial Narrow" w:hAnsi="Arial Narrow"/>
                <w:b/>
                <w:sz w:val="20"/>
                <w:lang w:eastAsia="en-US"/>
              </w:rPr>
              <w:t xml:space="preserve">Relative safety of </w:t>
            </w:r>
            <w:proofErr w:type="spellStart"/>
            <w:r w:rsidRPr="008237C2" w:rsidDel="000E14A6">
              <w:rPr>
                <w:rFonts w:ascii="Arial Narrow" w:hAnsi="Arial Narrow"/>
                <w:b/>
                <w:sz w:val="20"/>
                <w:lang w:eastAsia="en-US"/>
              </w:rPr>
              <w:t>SLNBx</w:t>
            </w:r>
            <w:proofErr w:type="spellEnd"/>
          </w:p>
        </w:tc>
        <w:tc>
          <w:tcPr>
            <w:tcW w:w="2044" w:type="pct"/>
          </w:tcPr>
          <w:p w14:paraId="4926F805" w14:textId="77777777" w:rsidR="001D3405" w:rsidRPr="008237C2" w:rsidDel="000E14A6" w:rsidRDefault="001D3405" w:rsidP="00B0434E">
            <w:pPr>
              <w:widowControl w:val="0"/>
              <w:spacing w:before="40" w:after="40"/>
              <w:rPr>
                <w:rFonts w:ascii="Arial Narrow" w:hAnsi="Arial Narrow"/>
                <w:sz w:val="20"/>
                <w:lang w:eastAsia="en-US"/>
              </w:rPr>
            </w:pPr>
            <w:r w:rsidRPr="008237C2" w:rsidDel="000E14A6">
              <w:rPr>
                <w:rFonts w:ascii="Arial Narrow" w:hAnsi="Arial Narrow"/>
                <w:sz w:val="20"/>
                <w:lang w:eastAsia="en-US"/>
              </w:rPr>
              <w:t xml:space="preserve">The overall safety profile of </w:t>
            </w:r>
            <w:proofErr w:type="spellStart"/>
            <w:r w:rsidRPr="008237C2" w:rsidDel="000E14A6">
              <w:rPr>
                <w:rFonts w:ascii="Arial Narrow" w:hAnsi="Arial Narrow"/>
                <w:sz w:val="20"/>
                <w:lang w:eastAsia="en-US"/>
              </w:rPr>
              <w:t>SLNB</w:t>
            </w:r>
            <w:r w:rsidRPr="008237C2">
              <w:rPr>
                <w:rFonts w:ascii="Arial Narrow" w:hAnsi="Arial Narrow"/>
                <w:sz w:val="20"/>
                <w:lang w:eastAsia="en-US"/>
              </w:rPr>
              <w:t>x</w:t>
            </w:r>
            <w:proofErr w:type="spellEnd"/>
            <w:r w:rsidRPr="008237C2" w:rsidDel="000E14A6">
              <w:rPr>
                <w:rFonts w:ascii="Arial Narrow" w:hAnsi="Arial Narrow"/>
                <w:sz w:val="20"/>
                <w:lang w:eastAsia="en-US"/>
              </w:rPr>
              <w:t xml:space="preserve"> (without CLND) was similar to that of WLE.</w:t>
            </w:r>
          </w:p>
        </w:tc>
        <w:tc>
          <w:tcPr>
            <w:tcW w:w="629" w:type="pct"/>
          </w:tcPr>
          <w:p w14:paraId="7705BF97" w14:textId="77777777" w:rsidR="001D3405" w:rsidRPr="008237C2" w:rsidDel="000E14A6" w:rsidRDefault="001D3405" w:rsidP="001D3405">
            <w:pPr>
              <w:widowControl w:val="0"/>
              <w:spacing w:before="40" w:after="40"/>
              <w:jc w:val="center"/>
              <w:rPr>
                <w:rFonts w:ascii="Arial Narrow" w:hAnsi="Arial Narrow"/>
                <w:sz w:val="20"/>
                <w:lang w:eastAsia="en-US"/>
              </w:rPr>
            </w:pPr>
            <w:r w:rsidRPr="008237C2">
              <w:rPr>
                <w:rFonts w:ascii="Arial Narrow" w:hAnsi="Arial Narrow"/>
                <w:sz w:val="20"/>
                <w:lang w:eastAsia="en-US"/>
              </w:rPr>
              <w:t>17 studies</w:t>
            </w:r>
          </w:p>
        </w:tc>
        <w:tc>
          <w:tcPr>
            <w:tcW w:w="1465" w:type="pct"/>
          </w:tcPr>
          <w:p w14:paraId="3293F3A6" w14:textId="77777777" w:rsidR="001D3405" w:rsidRPr="008237C2" w:rsidDel="000E14A6" w:rsidRDefault="001D3405" w:rsidP="00B0434E">
            <w:pPr>
              <w:widowControl w:val="0"/>
              <w:spacing w:before="40" w:after="40"/>
              <w:ind w:left="35"/>
              <w:rPr>
                <w:rFonts w:ascii="Arial Narrow" w:hAnsi="Arial Narrow"/>
                <w:sz w:val="20"/>
                <w:lang w:eastAsia="en-US"/>
              </w:rPr>
            </w:pPr>
            <w:r w:rsidRPr="008237C2">
              <w:rPr>
                <w:rFonts w:ascii="Arial Narrow" w:hAnsi="Arial Narrow"/>
                <w:sz w:val="20"/>
                <w:lang w:eastAsia="en-US"/>
              </w:rPr>
              <w:t>Study details are provided in Table 24 (p56) of the DCAR</w:t>
            </w:r>
          </w:p>
        </w:tc>
      </w:tr>
    </w:tbl>
    <w:p w14:paraId="4EFF3998" w14:textId="77777777" w:rsidR="001D3405" w:rsidRDefault="001D3405" w:rsidP="001D3405">
      <w:pPr>
        <w:pStyle w:val="TableFooter"/>
        <w:jc w:val="left"/>
      </w:pPr>
      <w:r w:rsidDel="000E14A6">
        <w:t xml:space="preserve">CLND = complete lymph node dissection; PBS = Pharmaceutical Benefits Scheme; </w:t>
      </w:r>
      <w:proofErr w:type="spellStart"/>
      <w:r w:rsidDel="000E14A6">
        <w:t>SLNBx</w:t>
      </w:r>
      <w:proofErr w:type="spellEnd"/>
      <w:r w:rsidDel="000E14A6">
        <w:t xml:space="preserve"> = sentinel lymph node biopsy; WLE = wide local excision</w:t>
      </w:r>
    </w:p>
    <w:p w14:paraId="30516BA3" w14:textId="77777777" w:rsidR="001D3405" w:rsidRPr="00DF7BB3" w:rsidRDefault="001D3405" w:rsidP="001D3405">
      <w:pPr>
        <w:pStyle w:val="TableFooter"/>
        <w:spacing w:after="240"/>
        <w:jc w:val="left"/>
      </w:pPr>
      <w:r>
        <w:t>Source: Table 2, p19 of the DCAR</w:t>
      </w:r>
    </w:p>
    <w:p w14:paraId="3E9B29E0" w14:textId="77777777" w:rsidR="001D3405" w:rsidRPr="00BC1D07" w:rsidRDefault="001D3405" w:rsidP="008237C2">
      <w:pPr>
        <w:autoSpaceDE w:val="0"/>
        <w:autoSpaceDN w:val="0"/>
        <w:adjustRightInd w:val="0"/>
      </w:pPr>
      <w:r>
        <w:rPr>
          <w:rFonts w:ascii="Times New Roman+FPEF" w:eastAsiaTheme="minorHAnsi" w:hAnsi="Times New Roman+FPEF" w:cs="Times New Roman+FPEF"/>
          <w:szCs w:val="24"/>
          <w:lang w:eastAsia="en-US"/>
        </w:rPr>
        <w:t xml:space="preserve">Overall, the DCAR stated that rates of adverse events were similar following WLE (18.9%) and </w:t>
      </w:r>
      <w:proofErr w:type="spellStart"/>
      <w:r>
        <w:rPr>
          <w:rFonts w:ascii="Times New Roman+FPEF" w:eastAsiaTheme="minorHAnsi" w:hAnsi="Times New Roman+FPEF" w:cs="Times New Roman+FPEF"/>
          <w:szCs w:val="24"/>
          <w:lang w:eastAsia="en-US"/>
        </w:rPr>
        <w:t>SLNBx</w:t>
      </w:r>
      <w:proofErr w:type="spellEnd"/>
      <w:r>
        <w:rPr>
          <w:rFonts w:ascii="Times New Roman+FPEF" w:eastAsiaTheme="minorHAnsi" w:hAnsi="Times New Roman+FPEF" w:cs="Times New Roman+FPEF"/>
          <w:szCs w:val="24"/>
          <w:lang w:eastAsia="en-US"/>
        </w:rPr>
        <w:t xml:space="preserve"> alone (4.6-13.8%)</w:t>
      </w:r>
      <w:r>
        <w:t xml:space="preserve"> (p5, 1485 PSD). ESC previously indicated that </w:t>
      </w:r>
      <w:proofErr w:type="spellStart"/>
      <w:r>
        <w:t>SLNBx</w:t>
      </w:r>
      <w:proofErr w:type="spellEnd"/>
      <w:r>
        <w:t xml:space="preserve"> appears to be a relatively safe procedure. However, since it involves an additional surgical procedure, it is implausible that </w:t>
      </w:r>
      <w:proofErr w:type="spellStart"/>
      <w:r>
        <w:t>SLNBx</w:t>
      </w:r>
      <w:proofErr w:type="spellEnd"/>
      <w:r>
        <w:t xml:space="preserve"> plus WLE can be “as safe” as WLE. (p8, 1485 PSD).</w:t>
      </w:r>
    </w:p>
    <w:p w14:paraId="61A25229" w14:textId="77777777" w:rsidR="001121C3" w:rsidRPr="00F715D1" w:rsidRDefault="001121C3" w:rsidP="001121C3">
      <w:pPr>
        <w:pStyle w:val="Heading1"/>
      </w:pPr>
      <w:r w:rsidRPr="00F715D1">
        <w:t>Comparative effectiveness</w:t>
      </w:r>
    </w:p>
    <w:p w14:paraId="2B36DC4B" w14:textId="77777777" w:rsidR="001D3405" w:rsidRDefault="001D3405" w:rsidP="00013CED">
      <w:pPr>
        <w:pStyle w:val="Heading2"/>
        <w:spacing w:after="120"/>
      </w:pPr>
      <w:r>
        <w:t>Linked evidence</w:t>
      </w:r>
    </w:p>
    <w:p w14:paraId="72ADE436" w14:textId="77777777" w:rsidR="001D3405" w:rsidRDefault="001D3405" w:rsidP="001D3405">
      <w:r>
        <w:t>The DCAR identified no</w:t>
      </w:r>
      <w:r w:rsidRPr="00DD1E9D">
        <w:t xml:space="preserve"> direct trial evidence for role of </w:t>
      </w:r>
      <w:proofErr w:type="spellStart"/>
      <w:r w:rsidRPr="00DD1E9D">
        <w:t>SLNBx</w:t>
      </w:r>
      <w:proofErr w:type="spellEnd"/>
      <w:r w:rsidRPr="00DD1E9D">
        <w:t xml:space="preserve"> in risk stratification and access to adjuvant drug therapy, a linked evidence approach was used to explore the possible benefits of </w:t>
      </w:r>
      <w:proofErr w:type="spellStart"/>
      <w:r w:rsidRPr="00DD1E9D">
        <w:t>SLNBx</w:t>
      </w:r>
      <w:proofErr w:type="spellEnd"/>
      <w:r w:rsidRPr="00DD1E9D">
        <w:t xml:space="preserve"> in identifying patients who are would be eligible for adjuvant therapy.</w:t>
      </w:r>
    </w:p>
    <w:p w14:paraId="1418E9F3" w14:textId="77777777" w:rsidR="001D3405" w:rsidRDefault="001D3405" w:rsidP="00013CED">
      <w:pPr>
        <w:pStyle w:val="Heading31"/>
        <w:spacing w:after="120"/>
      </w:pPr>
      <w:r>
        <w:t>Diagnostic accuracy</w:t>
      </w:r>
    </w:p>
    <w:p w14:paraId="1AD3CC59" w14:textId="77777777" w:rsidR="001D3405" w:rsidRDefault="001D3405" w:rsidP="001D3405">
      <w:r>
        <w:t xml:space="preserve">The DCAR did not provide any comparative evidence assessing diagnostic accuracy of </w:t>
      </w:r>
      <w:proofErr w:type="spellStart"/>
      <w:r>
        <w:t>SLNBx</w:t>
      </w:r>
      <w:proofErr w:type="spellEnd"/>
      <w:r>
        <w:t xml:space="preserve"> </w:t>
      </w:r>
      <w:r w:rsidRPr="00FE0051">
        <w:rPr>
          <w:i/>
        </w:rPr>
        <w:t xml:space="preserve">vs. </w:t>
      </w:r>
      <w:r>
        <w:t>WLE + follow-up; rather it provided the following narrative:</w:t>
      </w:r>
    </w:p>
    <w:p w14:paraId="4A53273B" w14:textId="77777777" w:rsidR="001D3405" w:rsidRDefault="001D3405" w:rsidP="001D3405">
      <w:pPr>
        <w:pStyle w:val="ListParagraph"/>
        <w:numPr>
          <w:ilvl w:val="0"/>
          <w:numId w:val="6"/>
        </w:numPr>
        <w:ind w:left="714" w:hanging="357"/>
      </w:pPr>
      <w:proofErr w:type="gramStart"/>
      <w:r>
        <w:t>the</w:t>
      </w:r>
      <w:proofErr w:type="gramEnd"/>
      <w:r>
        <w:t xml:space="preserve"> diagnostic performance that would be most relevant to the clinical utility relates to the proportion of patients undergoing </w:t>
      </w:r>
      <w:proofErr w:type="spellStart"/>
      <w:r>
        <w:t>SLNBx</w:t>
      </w:r>
      <w:proofErr w:type="spellEnd"/>
      <w:r>
        <w:t xml:space="preserve"> who would then be eligible for adjuvant </w:t>
      </w:r>
      <w:r>
        <w:lastRenderedPageBreak/>
        <w:t>therapy.</w:t>
      </w:r>
      <w:r w:rsidRPr="00E631FC">
        <w:t xml:space="preserve"> </w:t>
      </w:r>
      <w:r w:rsidRPr="00846536">
        <w:t xml:space="preserve">However, </w:t>
      </w:r>
      <w:r>
        <w:t>the DCAR identified</w:t>
      </w:r>
      <w:r w:rsidRPr="00B511A1">
        <w:t xml:space="preserve"> no reference</w:t>
      </w:r>
      <w:r>
        <w:t xml:space="preserve"> standard to relate the diagnostic yield of </w:t>
      </w:r>
      <w:proofErr w:type="spellStart"/>
      <w:r>
        <w:t>SLNBx</w:t>
      </w:r>
      <w:proofErr w:type="spellEnd"/>
      <w:r>
        <w:t xml:space="preserve"> to the number of patients identified as eligible for adjuvant therapy</w:t>
      </w:r>
    </w:p>
    <w:p w14:paraId="7314E569" w14:textId="77777777" w:rsidR="001D3405" w:rsidRDefault="001D3405" w:rsidP="001D3405">
      <w:pPr>
        <w:pStyle w:val="ListParagraph"/>
        <w:numPr>
          <w:ilvl w:val="0"/>
          <w:numId w:val="6"/>
        </w:numPr>
        <w:ind w:left="714" w:hanging="357"/>
      </w:pPr>
      <w:r>
        <w:t>the eligibility for adjuvant therapy is a function of three factors:</w:t>
      </w:r>
    </w:p>
    <w:p w14:paraId="03B1EB54" w14:textId="77777777" w:rsidR="001D3405" w:rsidRDefault="001D3405" w:rsidP="001D3405">
      <w:pPr>
        <w:pStyle w:val="ListParagraph"/>
        <w:numPr>
          <w:ilvl w:val="1"/>
          <w:numId w:val="6"/>
        </w:numPr>
      </w:pPr>
      <w:r>
        <w:t>the need for complete resection</w:t>
      </w:r>
    </w:p>
    <w:p w14:paraId="5B9DA47F" w14:textId="77777777" w:rsidR="001D3405" w:rsidRDefault="001D3405" w:rsidP="001D3405">
      <w:pPr>
        <w:pStyle w:val="ListParagraph"/>
        <w:numPr>
          <w:ilvl w:val="1"/>
          <w:numId w:val="6"/>
        </w:numPr>
      </w:pPr>
      <w:r>
        <w:t>the need to have Stage IIIB or Stage IIIC or Stage IIID melanoma</w:t>
      </w:r>
    </w:p>
    <w:p w14:paraId="5D62F0DD" w14:textId="62A4F4EA" w:rsidR="001D3405" w:rsidRDefault="001D3405" w:rsidP="001D3405">
      <w:pPr>
        <w:pStyle w:val="ListParagraph"/>
        <w:numPr>
          <w:ilvl w:val="1"/>
          <w:numId w:val="6"/>
        </w:numPr>
      </w:pPr>
      <w:proofErr w:type="gramStart"/>
      <w:r>
        <w:t>uniquely</w:t>
      </w:r>
      <w:proofErr w:type="gramEnd"/>
      <w:r>
        <w:t xml:space="preserve"> for the combination dabrafenib plus trametinib, the need also to be </w:t>
      </w:r>
      <w:r w:rsidRPr="005A20DA">
        <w:rPr>
          <w:i/>
        </w:rPr>
        <w:t xml:space="preserve">BRAF </w:t>
      </w:r>
      <w:r>
        <w:t xml:space="preserve">positive. The proportion of patients with </w:t>
      </w:r>
      <w:r w:rsidRPr="005A20DA">
        <w:rPr>
          <w:i/>
        </w:rPr>
        <w:t>BRAF V600</w:t>
      </w:r>
      <w:r>
        <w:t xml:space="preserve"> positive melanoma calculated using a prevalence rate (44.5%) was previously accepted by the MSAC when it considered the funding of </w:t>
      </w:r>
      <w:r w:rsidRPr="005A20DA">
        <w:rPr>
          <w:i/>
        </w:rPr>
        <w:t>BRAF</w:t>
      </w:r>
      <w:r>
        <w:t xml:space="preserve"> mutation testing in patients with locally advanced or metastatic melanoma for eligibility for dabrafenib treatment (1172 PSD, April 2013 MSAC meeting).</w:t>
      </w:r>
    </w:p>
    <w:p w14:paraId="37BF2C65" w14:textId="77777777" w:rsidR="001D3405" w:rsidRDefault="001D3405" w:rsidP="003D72FA">
      <w:pPr>
        <w:spacing w:before="240"/>
      </w:pPr>
      <w:r>
        <w:t xml:space="preserve">The DCAR stated that </w:t>
      </w:r>
      <w:proofErr w:type="spellStart"/>
      <w:r>
        <w:t>SLNBx</w:t>
      </w:r>
      <w:proofErr w:type="spellEnd"/>
      <w:r>
        <w:t xml:space="preserve"> positivity </w:t>
      </w:r>
      <w:proofErr w:type="gramStart"/>
      <w:r>
        <w:t>was obtained</w:t>
      </w:r>
      <w:proofErr w:type="gramEnd"/>
      <w:r>
        <w:t xml:space="preserve"> from the MSLT-I trial (presented in Application 1485). From the MSLT-I trial, Morton et al. 2014 reported the number of patients who underwent </w:t>
      </w:r>
      <w:proofErr w:type="spellStart"/>
      <w:r>
        <w:t>SLNBx</w:t>
      </w:r>
      <w:proofErr w:type="spellEnd"/>
      <w:r>
        <w:t xml:space="preserve"> and were then determined to be </w:t>
      </w:r>
      <w:r w:rsidRPr="008160C9">
        <w:t>sentinel node positive (122/770; 15.84%).</w:t>
      </w:r>
      <w:r>
        <w:t xml:space="preserve"> </w:t>
      </w:r>
      <w:proofErr w:type="gramStart"/>
      <w:r w:rsidRPr="00662987">
        <w:t xml:space="preserve">However, this trial did not directly report the proportion of patients who are eligible for </w:t>
      </w:r>
      <w:proofErr w:type="spellStart"/>
      <w:r w:rsidRPr="00662987">
        <w:t>SLNBx</w:t>
      </w:r>
      <w:proofErr w:type="spellEnd"/>
      <w:r w:rsidRPr="00662987">
        <w:t xml:space="preserve"> according to the proposed patient population definition who would then be diagnosed with Stage III melanoma based on the AJCC 8</w:t>
      </w:r>
      <w:r w:rsidRPr="00662987">
        <w:rPr>
          <w:vertAlign w:val="superscript"/>
        </w:rPr>
        <w:t>th</w:t>
      </w:r>
      <w:r w:rsidRPr="00662987">
        <w:t xml:space="preserve"> </w:t>
      </w:r>
      <w:r>
        <w:t xml:space="preserve">edition </w:t>
      </w:r>
      <w:r w:rsidRPr="00662987">
        <w:t>staging system, before then breaking this estimate down into the proportion of these patients with Stage IIIB, Stage IIIC or Stage IIID melanoma.</w:t>
      </w:r>
      <w:proofErr w:type="gramEnd"/>
      <w:r w:rsidRPr="00662987">
        <w:t xml:space="preserve"> In other words, the issues rising are whether (a) the population in the MSLT-I trial matches the proposed population from the stakeholder meeting, and (b) being sentinel node positive from the MSLT-I trial </w:t>
      </w:r>
      <w:proofErr w:type="gramStart"/>
      <w:r w:rsidRPr="00662987">
        <w:t>can be accepted</w:t>
      </w:r>
      <w:proofErr w:type="gramEnd"/>
      <w:r w:rsidRPr="00662987">
        <w:t xml:space="preserve"> as being the same as having Stage III melanoma.</w:t>
      </w:r>
    </w:p>
    <w:p w14:paraId="3C16FDED" w14:textId="77777777" w:rsidR="001D3405" w:rsidRPr="004E731D" w:rsidRDefault="001D3405" w:rsidP="00013CED">
      <w:pPr>
        <w:pStyle w:val="Heading31"/>
        <w:spacing w:after="120"/>
      </w:pPr>
      <w:r>
        <w:t>Clinical validity</w:t>
      </w:r>
    </w:p>
    <w:p w14:paraId="129FDFC9" w14:textId="0D03CA7C" w:rsidR="001D3405" w:rsidRDefault="001D3405" w:rsidP="001D3405">
      <w:r>
        <w:t>The DCAR did not provide any comparative evidence assessing clinical validity; however, the DCAR identified two studies (</w:t>
      </w:r>
      <w:proofErr w:type="spellStart"/>
      <w:r>
        <w:t>Haydu</w:t>
      </w:r>
      <w:proofErr w:type="spellEnd"/>
      <w:r>
        <w:t xml:space="preserve"> et al. 2017 and </w:t>
      </w:r>
      <w:proofErr w:type="spellStart"/>
      <w:r>
        <w:t>Gershenwald</w:t>
      </w:r>
      <w:proofErr w:type="spellEnd"/>
      <w:r>
        <w:t xml:space="preserve"> et al. 2017) which estimated the proportion of patients with Stage III melanoma based on the AJCC 8</w:t>
      </w:r>
      <w:r w:rsidRPr="00552EF4">
        <w:rPr>
          <w:vertAlign w:val="superscript"/>
        </w:rPr>
        <w:t>th</w:t>
      </w:r>
      <w:r>
        <w:t xml:space="preserve"> edition staging system (Table 5).</w:t>
      </w:r>
    </w:p>
    <w:p w14:paraId="1A58E4DC" w14:textId="77777777" w:rsidR="001D3405" w:rsidRPr="00261B83" w:rsidRDefault="001D3405" w:rsidP="00261B83">
      <w:pPr>
        <w:spacing w:before="240"/>
        <w:rPr>
          <w:rFonts w:ascii="Arial Narrow" w:hAnsi="Arial Narrow"/>
          <w:b/>
          <w:sz w:val="20"/>
        </w:rPr>
      </w:pPr>
      <w:bookmarkStart w:id="11" w:name="_Ref29899348"/>
      <w:bookmarkStart w:id="12" w:name="_Toc30088428"/>
      <w:r w:rsidRPr="00261B83">
        <w:rPr>
          <w:rFonts w:ascii="Arial Narrow" w:hAnsi="Arial Narrow"/>
          <w:b/>
          <w:sz w:val="20"/>
        </w:rPr>
        <w:t xml:space="preserve">Table </w:t>
      </w:r>
      <w:bookmarkEnd w:id="11"/>
      <w:bookmarkEnd w:id="12"/>
      <w:r w:rsidRPr="00261B83">
        <w:rPr>
          <w:rFonts w:ascii="Arial Narrow" w:hAnsi="Arial Narrow"/>
          <w:b/>
          <w:sz w:val="20"/>
        </w:rPr>
        <w:t>5: Key features of included evidence</w:t>
      </w:r>
    </w:p>
    <w:tbl>
      <w:tblPr>
        <w:tblStyle w:val="TableGrid1"/>
        <w:tblW w:w="0" w:type="auto"/>
        <w:tblCellMar>
          <w:left w:w="28" w:type="dxa"/>
          <w:right w:w="28" w:type="dxa"/>
        </w:tblCellMar>
        <w:tblLook w:val="04A0" w:firstRow="1" w:lastRow="0" w:firstColumn="1" w:lastColumn="0" w:noHBand="0" w:noVBand="1"/>
        <w:tblCaption w:val="Table 5: Key features of included evidence"/>
        <w:tblDescription w:val="Summary of study characteristics for studies informing clinical validity"/>
      </w:tblPr>
      <w:tblGrid>
        <w:gridCol w:w="1023"/>
        <w:gridCol w:w="1524"/>
        <w:gridCol w:w="3544"/>
        <w:gridCol w:w="850"/>
        <w:gridCol w:w="851"/>
        <w:gridCol w:w="1224"/>
      </w:tblGrid>
      <w:tr w:rsidR="001D3405" w:rsidRPr="00E7482E" w14:paraId="1F295B10" w14:textId="77777777" w:rsidTr="00067DD1">
        <w:trPr>
          <w:cnfStyle w:val="100000000000" w:firstRow="1" w:lastRow="0" w:firstColumn="0" w:lastColumn="0" w:oddVBand="0" w:evenVBand="0" w:oddHBand="0" w:evenHBand="0" w:firstRowFirstColumn="0" w:firstRowLastColumn="0" w:lastRowFirstColumn="0" w:lastRowLastColumn="0"/>
          <w:tblHeader/>
        </w:trPr>
        <w:tc>
          <w:tcPr>
            <w:tcW w:w="1023" w:type="dxa"/>
            <w:shd w:val="clear" w:color="auto" w:fill="auto"/>
          </w:tcPr>
          <w:p w14:paraId="5F50804C" w14:textId="77777777" w:rsidR="001D3405" w:rsidRPr="00F5611A" w:rsidRDefault="001D3405" w:rsidP="001D3405">
            <w:pPr>
              <w:pStyle w:val="TableHeading"/>
            </w:pPr>
            <w:r w:rsidRPr="00F5611A">
              <w:t>Study</w:t>
            </w:r>
          </w:p>
        </w:tc>
        <w:tc>
          <w:tcPr>
            <w:tcW w:w="1524" w:type="dxa"/>
            <w:shd w:val="clear" w:color="auto" w:fill="auto"/>
          </w:tcPr>
          <w:p w14:paraId="2E56BC2D" w14:textId="77777777" w:rsidR="001D3405" w:rsidRPr="00F5611A" w:rsidRDefault="001D3405" w:rsidP="001D3405">
            <w:pPr>
              <w:pStyle w:val="TableHeading"/>
            </w:pPr>
            <w:r>
              <w:t>Population</w:t>
            </w:r>
          </w:p>
        </w:tc>
        <w:tc>
          <w:tcPr>
            <w:tcW w:w="3544" w:type="dxa"/>
            <w:shd w:val="clear" w:color="auto" w:fill="auto"/>
          </w:tcPr>
          <w:p w14:paraId="507DD8A6" w14:textId="77777777" w:rsidR="001D3405" w:rsidRPr="00F5611A" w:rsidRDefault="001D3405" w:rsidP="001D3405">
            <w:pPr>
              <w:pStyle w:val="TableHeading"/>
            </w:pPr>
            <w:r w:rsidRPr="00F5611A">
              <w:t>Diagnosis</w:t>
            </w:r>
          </w:p>
        </w:tc>
        <w:tc>
          <w:tcPr>
            <w:tcW w:w="850" w:type="dxa"/>
            <w:shd w:val="clear" w:color="auto" w:fill="auto"/>
          </w:tcPr>
          <w:p w14:paraId="06ED2B08" w14:textId="77777777" w:rsidR="001D3405" w:rsidRPr="00F5611A" w:rsidRDefault="001D3405" w:rsidP="001D3405">
            <w:pPr>
              <w:pStyle w:val="TableHeading"/>
              <w:jc w:val="center"/>
            </w:pPr>
            <w:r w:rsidRPr="00F5611A">
              <w:t>Year of diagnosis</w:t>
            </w:r>
          </w:p>
        </w:tc>
        <w:tc>
          <w:tcPr>
            <w:tcW w:w="851" w:type="dxa"/>
            <w:shd w:val="clear" w:color="auto" w:fill="auto"/>
          </w:tcPr>
          <w:p w14:paraId="53987366" w14:textId="77777777" w:rsidR="001D3405" w:rsidRPr="00F5611A" w:rsidRDefault="001D3405" w:rsidP="001D3405">
            <w:pPr>
              <w:pStyle w:val="TableHeading"/>
              <w:jc w:val="center"/>
            </w:pPr>
            <w:r w:rsidRPr="00F5611A">
              <w:t>Sample size (n)</w:t>
            </w:r>
          </w:p>
        </w:tc>
        <w:tc>
          <w:tcPr>
            <w:tcW w:w="1224" w:type="dxa"/>
            <w:shd w:val="clear" w:color="auto" w:fill="auto"/>
          </w:tcPr>
          <w:p w14:paraId="1A8FF150" w14:textId="77777777" w:rsidR="001D3405" w:rsidRPr="00F5611A" w:rsidRDefault="001D3405" w:rsidP="001D3405">
            <w:pPr>
              <w:pStyle w:val="TableHeading"/>
              <w:jc w:val="center"/>
            </w:pPr>
            <w:r w:rsidRPr="00F5611A">
              <w:t>AJCC staging system</w:t>
            </w:r>
          </w:p>
        </w:tc>
      </w:tr>
      <w:tr w:rsidR="001D3405" w:rsidRPr="00E7482E" w14:paraId="75B65D51" w14:textId="77777777" w:rsidTr="00067DD1">
        <w:tc>
          <w:tcPr>
            <w:tcW w:w="1023" w:type="dxa"/>
          </w:tcPr>
          <w:p w14:paraId="109735DA" w14:textId="77777777" w:rsidR="001D3405" w:rsidRPr="00212433" w:rsidRDefault="001D3405" w:rsidP="001D3405">
            <w:pPr>
              <w:pStyle w:val="Tabletext0"/>
            </w:pPr>
            <w:proofErr w:type="spellStart"/>
            <w:r>
              <w:t>Haydu</w:t>
            </w:r>
            <w:proofErr w:type="spellEnd"/>
            <w:r>
              <w:t xml:space="preserve"> et al. 2017</w:t>
            </w:r>
          </w:p>
        </w:tc>
        <w:tc>
          <w:tcPr>
            <w:tcW w:w="1524" w:type="dxa"/>
          </w:tcPr>
          <w:p w14:paraId="13F9B926" w14:textId="77777777" w:rsidR="001D3405" w:rsidRPr="00E7482E" w:rsidRDefault="001D3405" w:rsidP="001D3405">
            <w:pPr>
              <w:pStyle w:val="Tabletext0"/>
            </w:pPr>
            <w:r>
              <w:t>Patients with Stage III melanoma in Australia</w:t>
            </w:r>
          </w:p>
        </w:tc>
        <w:tc>
          <w:tcPr>
            <w:tcW w:w="3544" w:type="dxa"/>
          </w:tcPr>
          <w:p w14:paraId="6E40AF2F" w14:textId="77777777" w:rsidR="001D3405" w:rsidRDefault="001D3405" w:rsidP="001D3405">
            <w:pPr>
              <w:pStyle w:val="Tabletext0"/>
            </w:pPr>
            <w:r>
              <w:t xml:space="preserve">The study included all patients with Stage IIIA, IIIB, IIIC or IIID melanoma who </w:t>
            </w:r>
            <w:proofErr w:type="gramStart"/>
            <w:r>
              <w:t>have been diagnosed</w:t>
            </w:r>
            <w:proofErr w:type="gramEnd"/>
            <w:r>
              <w:t xml:space="preserve"> by </w:t>
            </w:r>
            <w:proofErr w:type="spellStart"/>
            <w:r w:rsidRPr="00E631FC">
              <w:t>SLNBx</w:t>
            </w:r>
            <w:proofErr w:type="spellEnd"/>
            <w:r w:rsidRPr="00E631FC">
              <w:t xml:space="preserve"> and clinical surveillance.</w:t>
            </w:r>
          </w:p>
        </w:tc>
        <w:tc>
          <w:tcPr>
            <w:tcW w:w="850" w:type="dxa"/>
          </w:tcPr>
          <w:p w14:paraId="428D89BF" w14:textId="77777777" w:rsidR="001D3405" w:rsidRDefault="001D3405" w:rsidP="001D3405">
            <w:pPr>
              <w:pStyle w:val="Tabletext0"/>
              <w:jc w:val="center"/>
            </w:pPr>
            <w:r>
              <w:t>1970-2013</w:t>
            </w:r>
          </w:p>
        </w:tc>
        <w:tc>
          <w:tcPr>
            <w:tcW w:w="851" w:type="dxa"/>
          </w:tcPr>
          <w:p w14:paraId="4AEA3EFA" w14:textId="77777777" w:rsidR="001D3405" w:rsidRPr="00E7482E" w:rsidRDefault="001D3405" w:rsidP="001D3405">
            <w:pPr>
              <w:pStyle w:val="Tabletext0"/>
              <w:jc w:val="center"/>
            </w:pPr>
            <w:r>
              <w:t>4,540</w:t>
            </w:r>
          </w:p>
        </w:tc>
        <w:tc>
          <w:tcPr>
            <w:tcW w:w="1224" w:type="dxa"/>
          </w:tcPr>
          <w:p w14:paraId="177EC774" w14:textId="77777777" w:rsidR="001D3405" w:rsidRPr="00E7482E" w:rsidRDefault="001D3405" w:rsidP="001D3405">
            <w:pPr>
              <w:pStyle w:val="Tabletext0"/>
              <w:jc w:val="center"/>
            </w:pPr>
            <w:r>
              <w:t>8</w:t>
            </w:r>
            <w:r w:rsidRPr="00F500D8">
              <w:rPr>
                <w:vertAlign w:val="superscript"/>
              </w:rPr>
              <w:t>th</w:t>
            </w:r>
            <w:r>
              <w:t xml:space="preserve"> edition</w:t>
            </w:r>
          </w:p>
        </w:tc>
      </w:tr>
      <w:tr w:rsidR="001D3405" w:rsidRPr="00E7482E" w14:paraId="177280EF" w14:textId="77777777" w:rsidTr="00067DD1">
        <w:trPr>
          <w:trHeight w:val="446"/>
        </w:trPr>
        <w:tc>
          <w:tcPr>
            <w:tcW w:w="1023" w:type="dxa"/>
            <w:shd w:val="clear" w:color="auto" w:fill="auto"/>
          </w:tcPr>
          <w:p w14:paraId="7026E4C2" w14:textId="77777777" w:rsidR="001D3405" w:rsidRPr="00212433" w:rsidRDefault="001D3405" w:rsidP="001D3405">
            <w:pPr>
              <w:pStyle w:val="Tabletext0"/>
            </w:pPr>
            <w:proofErr w:type="spellStart"/>
            <w:r>
              <w:t>Gershenwald</w:t>
            </w:r>
            <w:proofErr w:type="spellEnd"/>
            <w:r>
              <w:t xml:space="preserve"> et al. 2017</w:t>
            </w:r>
          </w:p>
        </w:tc>
        <w:tc>
          <w:tcPr>
            <w:tcW w:w="1524" w:type="dxa"/>
            <w:shd w:val="clear" w:color="auto" w:fill="auto"/>
          </w:tcPr>
          <w:p w14:paraId="1F22DBE4" w14:textId="77777777" w:rsidR="001D3405" w:rsidRDefault="001D3405" w:rsidP="001D3405">
            <w:pPr>
              <w:pStyle w:val="Tabletext0"/>
            </w:pPr>
            <w:r>
              <w:t>Patients with Stages I, II or III melanoma from 10 centres worldwide (</w:t>
            </w:r>
            <w:r w:rsidRPr="00101439">
              <w:t>United States, Europe, and Australia</w:t>
            </w:r>
            <w:r>
              <w:t>)</w:t>
            </w:r>
          </w:p>
        </w:tc>
        <w:tc>
          <w:tcPr>
            <w:tcW w:w="3544" w:type="dxa"/>
            <w:shd w:val="clear" w:color="auto" w:fill="auto"/>
          </w:tcPr>
          <w:p w14:paraId="175A8595" w14:textId="77777777" w:rsidR="001D3405" w:rsidRDefault="001D3405" w:rsidP="001D3405">
            <w:pPr>
              <w:pStyle w:val="Tabletext0"/>
            </w:pPr>
            <w:r w:rsidRPr="003B1653">
              <w:t>Patients who were treated in the pre-SLN era (i.e., before the 1990s) and in the early SLN era (early through mid-1990s) were deliberately omitted</w:t>
            </w:r>
            <w:r>
              <w:t xml:space="preserve">. However, it is still not clear whether </w:t>
            </w:r>
            <w:proofErr w:type="gramStart"/>
            <w:r>
              <w:t xml:space="preserve">the patients with Stage IIIA, IIIB, IIIC or IIID melanoma have been diagnosed by </w:t>
            </w:r>
            <w:proofErr w:type="spellStart"/>
            <w:r>
              <w:t>SLNBx</w:t>
            </w:r>
            <w:proofErr w:type="spellEnd"/>
            <w:r>
              <w:t xml:space="preserve"> or clinical surveillance</w:t>
            </w:r>
            <w:proofErr w:type="gramEnd"/>
            <w:r>
              <w:t>.</w:t>
            </w:r>
          </w:p>
        </w:tc>
        <w:tc>
          <w:tcPr>
            <w:tcW w:w="850" w:type="dxa"/>
            <w:shd w:val="clear" w:color="auto" w:fill="auto"/>
          </w:tcPr>
          <w:p w14:paraId="06C3711C" w14:textId="77777777" w:rsidR="001D3405" w:rsidRDefault="001D3405" w:rsidP="001D3405">
            <w:pPr>
              <w:pStyle w:val="Tabletext0"/>
              <w:jc w:val="center"/>
            </w:pPr>
            <w:r>
              <w:t>Since 1998</w:t>
            </w:r>
          </w:p>
        </w:tc>
        <w:tc>
          <w:tcPr>
            <w:tcW w:w="851" w:type="dxa"/>
            <w:shd w:val="clear" w:color="auto" w:fill="auto"/>
          </w:tcPr>
          <w:p w14:paraId="12D6F9B2" w14:textId="77777777" w:rsidR="001D3405" w:rsidRDefault="001D3405" w:rsidP="001D3405">
            <w:pPr>
              <w:pStyle w:val="Tabletext0"/>
              <w:jc w:val="center"/>
            </w:pPr>
            <w:r>
              <w:t>&gt;46,000</w:t>
            </w:r>
          </w:p>
        </w:tc>
        <w:tc>
          <w:tcPr>
            <w:tcW w:w="1224" w:type="dxa"/>
            <w:shd w:val="clear" w:color="auto" w:fill="auto"/>
          </w:tcPr>
          <w:p w14:paraId="5C35CFD2" w14:textId="77777777" w:rsidR="001D3405" w:rsidRDefault="001D3405" w:rsidP="001D3405">
            <w:pPr>
              <w:pStyle w:val="Tabletext0"/>
              <w:jc w:val="center"/>
            </w:pPr>
            <w:r>
              <w:t>8</w:t>
            </w:r>
            <w:r w:rsidRPr="00F500D8">
              <w:rPr>
                <w:vertAlign w:val="superscript"/>
              </w:rPr>
              <w:t>th</w:t>
            </w:r>
            <w:r>
              <w:t xml:space="preserve"> edition</w:t>
            </w:r>
          </w:p>
        </w:tc>
      </w:tr>
    </w:tbl>
    <w:p w14:paraId="1EC91BE8" w14:textId="77777777" w:rsidR="001D3405" w:rsidRDefault="001D3405" w:rsidP="001D3405">
      <w:pPr>
        <w:pStyle w:val="TableFooter"/>
        <w:jc w:val="left"/>
      </w:pPr>
      <w:r w:rsidRPr="00584F82">
        <w:t>SLN</w:t>
      </w:r>
      <w:r>
        <w:t xml:space="preserve"> </w:t>
      </w:r>
      <w:r w:rsidRPr="00584F82">
        <w:t xml:space="preserve">= sentinel lymph node; </w:t>
      </w:r>
      <w:proofErr w:type="spellStart"/>
      <w:r w:rsidDel="000E14A6">
        <w:t>SLNBx</w:t>
      </w:r>
      <w:proofErr w:type="spellEnd"/>
      <w:r w:rsidDel="000E14A6">
        <w:t xml:space="preserve"> = sentinel lymph node biopsy</w:t>
      </w:r>
    </w:p>
    <w:p w14:paraId="244046E9" w14:textId="77777777" w:rsidR="001D3405" w:rsidRPr="00DF7BB3" w:rsidRDefault="001D3405" w:rsidP="001D3405">
      <w:pPr>
        <w:pStyle w:val="TableFooter"/>
        <w:spacing w:after="240"/>
        <w:jc w:val="left"/>
      </w:pPr>
      <w:r>
        <w:t>Source: compiled from Table 31, p69; Table 45, p92; and Table 46, p94 of the DCAR</w:t>
      </w:r>
    </w:p>
    <w:p w14:paraId="31D428FA" w14:textId="79C276FF" w:rsidR="001D3405" w:rsidRDefault="001D3405" w:rsidP="001D3405">
      <w:r>
        <w:t xml:space="preserve">The breakdown of Stage III melanoma for each study </w:t>
      </w:r>
      <w:proofErr w:type="gramStart"/>
      <w:r>
        <w:t>is provided</w:t>
      </w:r>
      <w:proofErr w:type="gramEnd"/>
      <w:r>
        <w:t xml:space="preserve"> in Table 6, which was used to inform the DCAR’s economic model for the </w:t>
      </w:r>
      <w:proofErr w:type="spellStart"/>
      <w:r>
        <w:t>SLNBx</w:t>
      </w:r>
      <w:proofErr w:type="spellEnd"/>
      <w:r>
        <w:t xml:space="preserve"> arm. </w:t>
      </w:r>
      <w:proofErr w:type="gramStart"/>
      <w:r>
        <w:t xml:space="preserve">However, the DCAR acknowledged that there was </w:t>
      </w:r>
      <w:r w:rsidRPr="006C2152">
        <w:t xml:space="preserve">considerable </w:t>
      </w:r>
      <w:r>
        <w:t xml:space="preserve">variation across these two sources for this </w:t>
      </w:r>
      <w:r w:rsidRPr="006C2152">
        <w:t xml:space="preserve">key piece of information </w:t>
      </w:r>
      <w:r>
        <w:t xml:space="preserve">to estimate </w:t>
      </w:r>
      <w:r w:rsidRPr="006C2152">
        <w:t xml:space="preserve">the proportion of </w:t>
      </w:r>
      <w:r>
        <w:t>patients with Stage III melanoma</w:t>
      </w:r>
      <w:r w:rsidRPr="006C2152">
        <w:t xml:space="preserve"> </w:t>
      </w:r>
      <w:r>
        <w:t>based on the AJCC 8</w:t>
      </w:r>
      <w:r w:rsidRPr="00552EF4">
        <w:rPr>
          <w:vertAlign w:val="superscript"/>
        </w:rPr>
        <w:t>th</w:t>
      </w:r>
      <w:r>
        <w:t xml:space="preserve"> edition melanoma staging system</w:t>
      </w:r>
      <w:r w:rsidRPr="006C2152">
        <w:t xml:space="preserve"> who </w:t>
      </w:r>
      <w:r>
        <w:t xml:space="preserve">are </w:t>
      </w:r>
      <w:r w:rsidRPr="006C2152">
        <w:t>determined to have</w:t>
      </w:r>
      <w:r>
        <w:t xml:space="preserve"> </w:t>
      </w:r>
      <w:r w:rsidRPr="00AA6DC1">
        <w:t xml:space="preserve">Stage IIIB, </w:t>
      </w:r>
      <w:r>
        <w:t xml:space="preserve">Stage </w:t>
      </w:r>
      <w:r w:rsidRPr="00AA6DC1">
        <w:t xml:space="preserve">IIIC or </w:t>
      </w:r>
      <w:r>
        <w:t xml:space="preserve">Stage </w:t>
      </w:r>
      <w:r w:rsidRPr="00AA6DC1">
        <w:t>IIID melanoma</w:t>
      </w:r>
      <w:r>
        <w:t xml:space="preserve"> also based on the AJCC 8</w:t>
      </w:r>
      <w:r w:rsidRPr="00552EF4">
        <w:rPr>
          <w:vertAlign w:val="superscript"/>
        </w:rPr>
        <w:t>th</w:t>
      </w:r>
      <w:r>
        <w:t xml:space="preserve"> edition melanoma staging system.</w:t>
      </w:r>
      <w:proofErr w:type="gramEnd"/>
      <w:r>
        <w:t xml:space="preserve"> This variation was particularly notable for the proportions of patients with Stage IIIA melanoma (5% </w:t>
      </w:r>
      <w:r w:rsidRPr="00662987">
        <w:rPr>
          <w:i/>
        </w:rPr>
        <w:t>vs.</w:t>
      </w:r>
      <w:r>
        <w:t xml:space="preserve"> 22%), i.e., the subgroup excluded from PBS-subsidised adjuvant therapy.</w:t>
      </w:r>
    </w:p>
    <w:p w14:paraId="3334CDCC" w14:textId="77777777" w:rsidR="001D3405" w:rsidRPr="00261B83" w:rsidRDefault="001D3405" w:rsidP="00261B83">
      <w:pPr>
        <w:spacing w:before="240"/>
        <w:rPr>
          <w:rFonts w:ascii="Arial Narrow" w:hAnsi="Arial Narrow"/>
          <w:b/>
          <w:sz w:val="20"/>
        </w:rPr>
      </w:pPr>
      <w:bookmarkStart w:id="13" w:name="_Toc29305108"/>
      <w:bookmarkStart w:id="14" w:name="_Toc30088429"/>
      <w:r w:rsidRPr="00261B83">
        <w:rPr>
          <w:rFonts w:ascii="Arial Narrow" w:hAnsi="Arial Narrow"/>
          <w:b/>
          <w:sz w:val="20"/>
        </w:rPr>
        <w:lastRenderedPageBreak/>
        <w:t>Table 6: Breakdown of Stage III melanoma subcategory</w:t>
      </w:r>
      <w:bookmarkEnd w:id="13"/>
      <w:r w:rsidRPr="00261B83">
        <w:rPr>
          <w:rFonts w:ascii="Arial Narrow" w:hAnsi="Arial Narrow"/>
          <w:b/>
          <w:sz w:val="20"/>
        </w:rPr>
        <w:t xml:space="preserve"> based on </w:t>
      </w:r>
      <w:proofErr w:type="spellStart"/>
      <w:r w:rsidRPr="00261B83">
        <w:rPr>
          <w:rFonts w:ascii="Arial Narrow" w:hAnsi="Arial Narrow"/>
          <w:b/>
          <w:sz w:val="20"/>
        </w:rPr>
        <w:t>Haydu</w:t>
      </w:r>
      <w:proofErr w:type="spellEnd"/>
      <w:r w:rsidRPr="00261B83">
        <w:rPr>
          <w:rFonts w:ascii="Arial Narrow" w:hAnsi="Arial Narrow"/>
          <w:b/>
          <w:sz w:val="20"/>
        </w:rPr>
        <w:t xml:space="preserve"> et al. 2017</w:t>
      </w:r>
      <w:bookmarkEnd w:id="14"/>
      <w:r w:rsidRPr="00261B83">
        <w:rPr>
          <w:rFonts w:ascii="Arial Narrow" w:hAnsi="Arial Narrow"/>
          <w:b/>
          <w:sz w:val="20"/>
        </w:rPr>
        <w:t xml:space="preserve"> vs. </w:t>
      </w:r>
      <w:proofErr w:type="spellStart"/>
      <w:r w:rsidRPr="00261B83">
        <w:rPr>
          <w:rFonts w:ascii="Arial Narrow" w:hAnsi="Arial Narrow"/>
          <w:b/>
          <w:sz w:val="20"/>
        </w:rPr>
        <w:t>Gershenwald</w:t>
      </w:r>
      <w:proofErr w:type="spellEnd"/>
      <w:r w:rsidRPr="00261B83">
        <w:rPr>
          <w:rFonts w:ascii="Arial Narrow" w:hAnsi="Arial Narrow"/>
          <w:b/>
          <w:sz w:val="20"/>
        </w:rPr>
        <w:t xml:space="preserve"> et al. 2017</w:t>
      </w:r>
    </w:p>
    <w:tbl>
      <w:tblPr>
        <w:tblStyle w:val="TableGrid"/>
        <w:tblW w:w="5000" w:type="pct"/>
        <w:tblLayout w:type="fixed"/>
        <w:tblLook w:val="04A0" w:firstRow="1" w:lastRow="0" w:firstColumn="1" w:lastColumn="0" w:noHBand="0" w:noVBand="1"/>
        <w:tblCaption w:val="Table 6: Breakdown of stage III melanoma subcategory based on Haydu et al. 2017 vs. Gershenwald et al. 2017"/>
        <w:tblDescription w:val="Summary of stage III melanoma breakdown from two studies that used AJCC 8th edition"/>
      </w:tblPr>
      <w:tblGrid>
        <w:gridCol w:w="1272"/>
        <w:gridCol w:w="3871"/>
        <w:gridCol w:w="3873"/>
      </w:tblGrid>
      <w:tr w:rsidR="001D3405" w:rsidRPr="00924312" w14:paraId="322B332B" w14:textId="77777777" w:rsidTr="00067DD1">
        <w:trPr>
          <w:trHeight w:val="315"/>
          <w:tblHeader/>
        </w:trPr>
        <w:tc>
          <w:tcPr>
            <w:tcW w:w="705" w:type="pct"/>
            <w:shd w:val="clear" w:color="auto" w:fill="auto"/>
            <w:noWrap/>
          </w:tcPr>
          <w:p w14:paraId="0BC7CFD2" w14:textId="77777777" w:rsidR="001D3405" w:rsidRDefault="001D3405" w:rsidP="001D3405">
            <w:pPr>
              <w:pStyle w:val="Tabletext0"/>
              <w:rPr>
                <w:rFonts w:eastAsia="Calibri"/>
                <w:b/>
              </w:rPr>
            </w:pPr>
          </w:p>
        </w:tc>
        <w:tc>
          <w:tcPr>
            <w:tcW w:w="2147" w:type="pct"/>
            <w:shd w:val="clear" w:color="auto" w:fill="auto"/>
            <w:noWrap/>
          </w:tcPr>
          <w:p w14:paraId="0B7C746C" w14:textId="77777777" w:rsidR="001D3405" w:rsidRDefault="001D3405" w:rsidP="00067DD1">
            <w:pPr>
              <w:pStyle w:val="Tabletext0"/>
              <w:jc w:val="center"/>
              <w:rPr>
                <w:rFonts w:eastAsia="Calibri"/>
                <w:b/>
              </w:rPr>
            </w:pPr>
            <w:proofErr w:type="spellStart"/>
            <w:r>
              <w:rPr>
                <w:rFonts w:eastAsia="Calibri"/>
                <w:b/>
              </w:rPr>
              <w:t>Haydu</w:t>
            </w:r>
            <w:proofErr w:type="spellEnd"/>
            <w:r>
              <w:rPr>
                <w:rFonts w:eastAsia="Calibri"/>
                <w:b/>
              </w:rPr>
              <w:t xml:space="preserve"> et al. 2017</w:t>
            </w:r>
          </w:p>
        </w:tc>
        <w:tc>
          <w:tcPr>
            <w:tcW w:w="2148" w:type="pct"/>
            <w:shd w:val="clear" w:color="auto" w:fill="auto"/>
          </w:tcPr>
          <w:p w14:paraId="408B1180" w14:textId="77777777" w:rsidR="001D3405" w:rsidRDefault="001D3405" w:rsidP="00067DD1">
            <w:pPr>
              <w:pStyle w:val="Tabletext0"/>
              <w:jc w:val="center"/>
              <w:rPr>
                <w:rFonts w:eastAsia="Calibri"/>
                <w:b/>
              </w:rPr>
            </w:pPr>
            <w:proofErr w:type="spellStart"/>
            <w:r>
              <w:rPr>
                <w:rFonts w:eastAsia="Calibri"/>
                <w:b/>
              </w:rPr>
              <w:t>Gershenwald</w:t>
            </w:r>
            <w:proofErr w:type="spellEnd"/>
            <w:r>
              <w:rPr>
                <w:rFonts w:eastAsia="Calibri"/>
                <w:b/>
              </w:rPr>
              <w:t xml:space="preserve"> et al. 2017</w:t>
            </w:r>
          </w:p>
        </w:tc>
      </w:tr>
      <w:tr w:rsidR="001D3405" w:rsidRPr="00924312" w14:paraId="36387606" w14:textId="77777777" w:rsidTr="00067DD1">
        <w:trPr>
          <w:trHeight w:val="315"/>
        </w:trPr>
        <w:tc>
          <w:tcPr>
            <w:tcW w:w="705" w:type="pct"/>
            <w:shd w:val="clear" w:color="auto" w:fill="auto"/>
            <w:noWrap/>
            <w:hideMark/>
          </w:tcPr>
          <w:p w14:paraId="3E56C007" w14:textId="77777777" w:rsidR="001D3405" w:rsidRPr="00924312" w:rsidRDefault="001D3405" w:rsidP="001D3405">
            <w:pPr>
              <w:pStyle w:val="Tabletext0"/>
              <w:rPr>
                <w:rFonts w:eastAsia="Calibri"/>
                <w:b/>
              </w:rPr>
            </w:pPr>
            <w:r>
              <w:rPr>
                <w:rFonts w:eastAsia="Calibri"/>
                <w:b/>
              </w:rPr>
              <w:t>Subcategory</w:t>
            </w:r>
          </w:p>
        </w:tc>
        <w:tc>
          <w:tcPr>
            <w:tcW w:w="2147" w:type="pct"/>
            <w:shd w:val="clear" w:color="auto" w:fill="auto"/>
            <w:noWrap/>
            <w:hideMark/>
          </w:tcPr>
          <w:p w14:paraId="2111AA5B" w14:textId="77777777" w:rsidR="001D3405" w:rsidRPr="00924312" w:rsidRDefault="001D3405" w:rsidP="001D3405">
            <w:pPr>
              <w:pStyle w:val="Tabletext0"/>
              <w:rPr>
                <w:rFonts w:eastAsia="Calibri"/>
                <w:b/>
              </w:rPr>
            </w:pPr>
            <w:r>
              <w:rPr>
                <w:rFonts w:eastAsia="Calibri"/>
                <w:b/>
              </w:rPr>
              <w:t>Number</w:t>
            </w:r>
            <w:r w:rsidRPr="00924312">
              <w:rPr>
                <w:rFonts w:eastAsia="Calibri"/>
                <w:b/>
              </w:rPr>
              <w:t xml:space="preserve"> of patients</w:t>
            </w:r>
            <w:r>
              <w:rPr>
                <w:rFonts w:eastAsia="Calibri"/>
                <w:b/>
              </w:rPr>
              <w:t xml:space="preserve"> (% in each subcategory)</w:t>
            </w:r>
          </w:p>
        </w:tc>
        <w:tc>
          <w:tcPr>
            <w:tcW w:w="2148" w:type="pct"/>
            <w:shd w:val="clear" w:color="auto" w:fill="auto"/>
          </w:tcPr>
          <w:p w14:paraId="3DC1286B" w14:textId="77777777" w:rsidR="001D3405" w:rsidRPr="00924312" w:rsidRDefault="001D3405" w:rsidP="001D3405">
            <w:pPr>
              <w:pStyle w:val="Tabletext0"/>
              <w:rPr>
                <w:rFonts w:eastAsia="Calibri"/>
                <w:b/>
              </w:rPr>
            </w:pPr>
            <w:r>
              <w:rPr>
                <w:rFonts w:eastAsia="Calibri"/>
                <w:b/>
              </w:rPr>
              <w:t>Number</w:t>
            </w:r>
            <w:r w:rsidRPr="00924312">
              <w:rPr>
                <w:rFonts w:eastAsia="Calibri"/>
                <w:b/>
              </w:rPr>
              <w:t xml:space="preserve"> of patients</w:t>
            </w:r>
            <w:r>
              <w:rPr>
                <w:rFonts w:eastAsia="Calibri"/>
                <w:b/>
              </w:rPr>
              <w:t xml:space="preserve"> (% in each subcategory)</w:t>
            </w:r>
          </w:p>
        </w:tc>
      </w:tr>
      <w:tr w:rsidR="001D3405" w:rsidRPr="00924312" w14:paraId="41F1B001" w14:textId="77777777" w:rsidTr="00067DD1">
        <w:trPr>
          <w:trHeight w:val="315"/>
        </w:trPr>
        <w:tc>
          <w:tcPr>
            <w:tcW w:w="705" w:type="pct"/>
            <w:shd w:val="clear" w:color="auto" w:fill="auto"/>
            <w:noWrap/>
            <w:hideMark/>
          </w:tcPr>
          <w:p w14:paraId="2F14A643" w14:textId="77777777" w:rsidR="001D3405" w:rsidRPr="007D2B01" w:rsidRDefault="001D3405" w:rsidP="001D3405">
            <w:pPr>
              <w:pStyle w:val="Tabletext0"/>
              <w:rPr>
                <w:rFonts w:eastAsia="Calibri"/>
                <w:b/>
              </w:rPr>
            </w:pPr>
            <w:r w:rsidRPr="007D2B01">
              <w:rPr>
                <w:rFonts w:eastAsia="Calibri"/>
                <w:b/>
              </w:rPr>
              <w:t>IIIA</w:t>
            </w:r>
          </w:p>
        </w:tc>
        <w:tc>
          <w:tcPr>
            <w:tcW w:w="2147" w:type="pct"/>
            <w:shd w:val="clear" w:color="auto" w:fill="auto"/>
            <w:noWrap/>
            <w:hideMark/>
          </w:tcPr>
          <w:p w14:paraId="463B2943" w14:textId="77777777" w:rsidR="001D3405" w:rsidRPr="007D2B01" w:rsidRDefault="001D3405" w:rsidP="001D3405">
            <w:pPr>
              <w:pStyle w:val="Tabletext0"/>
              <w:jc w:val="center"/>
              <w:rPr>
                <w:rFonts w:eastAsia="Calibri"/>
              </w:rPr>
            </w:pPr>
            <w:r w:rsidRPr="007D2B01">
              <w:rPr>
                <w:rFonts w:eastAsia="Calibri"/>
              </w:rPr>
              <w:t>220</w:t>
            </w:r>
            <w:r>
              <w:rPr>
                <w:rFonts w:eastAsia="Calibri"/>
              </w:rPr>
              <w:t xml:space="preserve"> (5.4%)</w:t>
            </w:r>
          </w:p>
        </w:tc>
        <w:tc>
          <w:tcPr>
            <w:tcW w:w="2148" w:type="pct"/>
            <w:shd w:val="clear" w:color="auto" w:fill="auto"/>
          </w:tcPr>
          <w:p w14:paraId="66AACFC5" w14:textId="77777777" w:rsidR="001D3405" w:rsidRPr="007D2B01" w:rsidRDefault="001D3405" w:rsidP="001D3405">
            <w:pPr>
              <w:pStyle w:val="Tabletext0"/>
              <w:jc w:val="center"/>
              <w:rPr>
                <w:rFonts w:eastAsia="Calibri"/>
              </w:rPr>
            </w:pPr>
            <w:r>
              <w:rPr>
                <w:rFonts w:eastAsia="Calibri"/>
              </w:rPr>
              <w:t>1,006 (21.96%)</w:t>
            </w:r>
          </w:p>
        </w:tc>
      </w:tr>
      <w:tr w:rsidR="001D3405" w:rsidRPr="00924312" w14:paraId="23A0FC5C" w14:textId="77777777" w:rsidTr="00067DD1">
        <w:trPr>
          <w:trHeight w:val="315"/>
        </w:trPr>
        <w:tc>
          <w:tcPr>
            <w:tcW w:w="705" w:type="pct"/>
            <w:shd w:val="clear" w:color="auto" w:fill="auto"/>
            <w:noWrap/>
            <w:hideMark/>
          </w:tcPr>
          <w:p w14:paraId="6FF9DE5E" w14:textId="77777777" w:rsidR="001D3405" w:rsidRPr="007D2B01" w:rsidRDefault="001D3405" w:rsidP="001D3405">
            <w:pPr>
              <w:pStyle w:val="Tabletext0"/>
              <w:rPr>
                <w:rFonts w:eastAsia="Calibri"/>
                <w:b/>
              </w:rPr>
            </w:pPr>
            <w:r w:rsidRPr="007D2B01">
              <w:rPr>
                <w:rFonts w:eastAsia="Calibri"/>
                <w:b/>
              </w:rPr>
              <w:t>IIIB</w:t>
            </w:r>
          </w:p>
        </w:tc>
        <w:tc>
          <w:tcPr>
            <w:tcW w:w="2147" w:type="pct"/>
            <w:shd w:val="clear" w:color="auto" w:fill="auto"/>
            <w:noWrap/>
            <w:hideMark/>
          </w:tcPr>
          <w:p w14:paraId="5FD4AB57" w14:textId="77777777" w:rsidR="001D3405" w:rsidRPr="007D2B01" w:rsidRDefault="001D3405" w:rsidP="001D3405">
            <w:pPr>
              <w:pStyle w:val="Tabletext0"/>
              <w:jc w:val="center"/>
              <w:rPr>
                <w:rFonts w:eastAsia="Calibri"/>
              </w:rPr>
            </w:pPr>
            <w:r w:rsidRPr="007D2B01">
              <w:rPr>
                <w:rFonts w:eastAsia="Calibri"/>
              </w:rPr>
              <w:t>2</w:t>
            </w:r>
            <w:r>
              <w:rPr>
                <w:rFonts w:eastAsia="Calibri"/>
              </w:rPr>
              <w:t>,</w:t>
            </w:r>
            <w:r w:rsidRPr="007D2B01">
              <w:rPr>
                <w:rFonts w:eastAsia="Calibri"/>
              </w:rPr>
              <w:t>007</w:t>
            </w:r>
            <w:r>
              <w:rPr>
                <w:rFonts w:eastAsia="Calibri"/>
              </w:rPr>
              <w:t xml:space="preserve"> (49.7%)</w:t>
            </w:r>
          </w:p>
        </w:tc>
        <w:tc>
          <w:tcPr>
            <w:tcW w:w="2148" w:type="pct"/>
            <w:shd w:val="clear" w:color="auto" w:fill="auto"/>
          </w:tcPr>
          <w:p w14:paraId="7CBE17B9" w14:textId="77777777" w:rsidR="001D3405" w:rsidRPr="007D2B01" w:rsidRDefault="001D3405" w:rsidP="001D3405">
            <w:pPr>
              <w:pStyle w:val="Tabletext0"/>
              <w:jc w:val="center"/>
              <w:rPr>
                <w:rFonts w:eastAsia="Calibri"/>
              </w:rPr>
            </w:pPr>
            <w:r>
              <w:rPr>
                <w:rFonts w:eastAsia="Calibri"/>
              </w:rPr>
              <w:t>1,170 (25.53%)</w:t>
            </w:r>
          </w:p>
        </w:tc>
      </w:tr>
      <w:tr w:rsidR="001D3405" w:rsidRPr="00924312" w14:paraId="569C8A1E" w14:textId="77777777" w:rsidTr="00067DD1">
        <w:trPr>
          <w:trHeight w:val="315"/>
        </w:trPr>
        <w:tc>
          <w:tcPr>
            <w:tcW w:w="705" w:type="pct"/>
            <w:shd w:val="clear" w:color="auto" w:fill="auto"/>
            <w:noWrap/>
            <w:hideMark/>
          </w:tcPr>
          <w:p w14:paraId="71FE1B7A" w14:textId="77777777" w:rsidR="001D3405" w:rsidRPr="007D2B01" w:rsidRDefault="001D3405" w:rsidP="001D3405">
            <w:pPr>
              <w:pStyle w:val="Tabletext0"/>
              <w:rPr>
                <w:rFonts w:eastAsia="Calibri"/>
                <w:b/>
              </w:rPr>
            </w:pPr>
            <w:r w:rsidRPr="007D2B01">
              <w:rPr>
                <w:rFonts w:eastAsia="Calibri"/>
                <w:b/>
              </w:rPr>
              <w:t>IIIC</w:t>
            </w:r>
          </w:p>
        </w:tc>
        <w:tc>
          <w:tcPr>
            <w:tcW w:w="2147" w:type="pct"/>
            <w:shd w:val="clear" w:color="auto" w:fill="auto"/>
            <w:noWrap/>
            <w:hideMark/>
          </w:tcPr>
          <w:p w14:paraId="3C711127" w14:textId="77777777" w:rsidR="001D3405" w:rsidRPr="007D2B01" w:rsidRDefault="001D3405" w:rsidP="001D3405">
            <w:pPr>
              <w:pStyle w:val="Tabletext0"/>
              <w:jc w:val="center"/>
              <w:rPr>
                <w:rFonts w:eastAsia="Calibri"/>
              </w:rPr>
            </w:pPr>
            <w:r w:rsidRPr="007D2B01">
              <w:rPr>
                <w:rFonts w:eastAsia="Calibri"/>
              </w:rPr>
              <w:t>1</w:t>
            </w:r>
            <w:r>
              <w:rPr>
                <w:rFonts w:eastAsia="Calibri"/>
              </w:rPr>
              <w:t>,</w:t>
            </w:r>
            <w:r w:rsidRPr="007D2B01">
              <w:rPr>
                <w:rFonts w:eastAsia="Calibri"/>
              </w:rPr>
              <w:t>709</w:t>
            </w:r>
            <w:r>
              <w:rPr>
                <w:rFonts w:eastAsia="Calibri"/>
              </w:rPr>
              <w:t xml:space="preserve"> (42.3%)</w:t>
            </w:r>
          </w:p>
        </w:tc>
        <w:tc>
          <w:tcPr>
            <w:tcW w:w="2148" w:type="pct"/>
            <w:shd w:val="clear" w:color="auto" w:fill="auto"/>
          </w:tcPr>
          <w:p w14:paraId="58ABEC7E" w14:textId="77777777" w:rsidR="001D3405" w:rsidRPr="007D2B01" w:rsidRDefault="001D3405" w:rsidP="001D3405">
            <w:pPr>
              <w:pStyle w:val="Tabletext0"/>
              <w:jc w:val="center"/>
              <w:rPr>
                <w:rFonts w:eastAsia="Calibri"/>
              </w:rPr>
            </w:pPr>
            <w:r>
              <w:rPr>
                <w:rFonts w:eastAsia="Calibri"/>
              </w:rPr>
              <w:t>2,201 (48.04%)</w:t>
            </w:r>
          </w:p>
        </w:tc>
      </w:tr>
      <w:tr w:rsidR="001D3405" w:rsidRPr="00924312" w14:paraId="2981ED04" w14:textId="77777777" w:rsidTr="00067DD1">
        <w:trPr>
          <w:trHeight w:val="315"/>
        </w:trPr>
        <w:tc>
          <w:tcPr>
            <w:tcW w:w="705" w:type="pct"/>
            <w:shd w:val="clear" w:color="auto" w:fill="auto"/>
            <w:noWrap/>
            <w:hideMark/>
          </w:tcPr>
          <w:p w14:paraId="4E6B93C3" w14:textId="77777777" w:rsidR="001D3405" w:rsidRPr="007D2B01" w:rsidRDefault="001D3405" w:rsidP="001D3405">
            <w:pPr>
              <w:pStyle w:val="Tabletext0"/>
              <w:rPr>
                <w:rFonts w:eastAsia="Calibri"/>
                <w:b/>
              </w:rPr>
            </w:pPr>
            <w:r w:rsidRPr="007D2B01">
              <w:rPr>
                <w:rFonts w:eastAsia="Calibri"/>
                <w:b/>
              </w:rPr>
              <w:t>IIID</w:t>
            </w:r>
          </w:p>
        </w:tc>
        <w:tc>
          <w:tcPr>
            <w:tcW w:w="2147" w:type="pct"/>
            <w:shd w:val="clear" w:color="auto" w:fill="auto"/>
            <w:noWrap/>
            <w:hideMark/>
          </w:tcPr>
          <w:p w14:paraId="10108B24" w14:textId="77777777" w:rsidR="001D3405" w:rsidRPr="007D2B01" w:rsidRDefault="001D3405" w:rsidP="001D3405">
            <w:pPr>
              <w:pStyle w:val="Tabletext0"/>
              <w:jc w:val="center"/>
              <w:rPr>
                <w:rFonts w:eastAsia="Calibri"/>
              </w:rPr>
            </w:pPr>
            <w:r w:rsidRPr="007D2B01">
              <w:rPr>
                <w:rFonts w:eastAsia="Calibri"/>
              </w:rPr>
              <w:t>104</w:t>
            </w:r>
            <w:r>
              <w:rPr>
                <w:rFonts w:eastAsia="Calibri"/>
              </w:rPr>
              <w:t xml:space="preserve"> (2.6%)</w:t>
            </w:r>
          </w:p>
        </w:tc>
        <w:tc>
          <w:tcPr>
            <w:tcW w:w="2148" w:type="pct"/>
            <w:shd w:val="clear" w:color="auto" w:fill="auto"/>
          </w:tcPr>
          <w:p w14:paraId="65B69BBF" w14:textId="77777777" w:rsidR="001D3405" w:rsidRPr="007D2B01" w:rsidRDefault="001D3405" w:rsidP="001D3405">
            <w:pPr>
              <w:pStyle w:val="Tabletext0"/>
              <w:jc w:val="center"/>
              <w:rPr>
                <w:rFonts w:eastAsia="Calibri"/>
              </w:rPr>
            </w:pPr>
            <w:r>
              <w:rPr>
                <w:rFonts w:eastAsia="Calibri"/>
              </w:rPr>
              <w:t>205 (4.47%)</w:t>
            </w:r>
          </w:p>
        </w:tc>
      </w:tr>
      <w:tr w:rsidR="001D3405" w:rsidRPr="00924312" w14:paraId="05952E3B" w14:textId="77777777" w:rsidTr="00067DD1">
        <w:trPr>
          <w:trHeight w:val="315"/>
        </w:trPr>
        <w:tc>
          <w:tcPr>
            <w:tcW w:w="705" w:type="pct"/>
            <w:shd w:val="clear" w:color="auto" w:fill="auto"/>
            <w:noWrap/>
            <w:hideMark/>
          </w:tcPr>
          <w:p w14:paraId="786E8B3D" w14:textId="77777777" w:rsidR="001D3405" w:rsidRPr="007D2B01" w:rsidRDefault="001D3405" w:rsidP="001D3405">
            <w:pPr>
              <w:pStyle w:val="Tabletext0"/>
              <w:rPr>
                <w:rFonts w:eastAsia="Calibri"/>
                <w:b/>
              </w:rPr>
            </w:pPr>
            <w:r w:rsidRPr="007D2B01">
              <w:rPr>
                <w:rFonts w:eastAsia="Calibri"/>
                <w:b/>
              </w:rPr>
              <w:t>Total</w:t>
            </w:r>
          </w:p>
        </w:tc>
        <w:tc>
          <w:tcPr>
            <w:tcW w:w="2147" w:type="pct"/>
            <w:shd w:val="clear" w:color="auto" w:fill="auto"/>
            <w:noWrap/>
            <w:hideMark/>
          </w:tcPr>
          <w:p w14:paraId="43E0ACBB" w14:textId="77777777" w:rsidR="001D3405" w:rsidRPr="004C7809" w:rsidRDefault="001D3405" w:rsidP="001D3405">
            <w:pPr>
              <w:pStyle w:val="Tabletext0"/>
              <w:jc w:val="center"/>
              <w:rPr>
                <w:rFonts w:eastAsia="Calibri"/>
                <w:b/>
              </w:rPr>
            </w:pPr>
            <w:r w:rsidRPr="004C7809">
              <w:rPr>
                <w:rFonts w:eastAsia="Calibri"/>
                <w:b/>
              </w:rPr>
              <w:t>4</w:t>
            </w:r>
            <w:r>
              <w:rPr>
                <w:rFonts w:eastAsia="Calibri"/>
                <w:b/>
              </w:rPr>
              <w:t>,</w:t>
            </w:r>
            <w:r w:rsidRPr="004C7809">
              <w:rPr>
                <w:rFonts w:eastAsia="Calibri"/>
                <w:b/>
              </w:rPr>
              <w:t>040</w:t>
            </w:r>
            <w:r w:rsidRPr="00552EF4">
              <w:rPr>
                <w:rFonts w:eastAsia="Calibri"/>
                <w:b/>
                <w:vertAlign w:val="superscript"/>
              </w:rPr>
              <w:t>a</w:t>
            </w:r>
          </w:p>
        </w:tc>
        <w:tc>
          <w:tcPr>
            <w:tcW w:w="2148" w:type="pct"/>
            <w:shd w:val="clear" w:color="auto" w:fill="auto"/>
          </w:tcPr>
          <w:p w14:paraId="1D4F484B" w14:textId="77777777" w:rsidR="001D3405" w:rsidRPr="004C7809" w:rsidRDefault="001D3405" w:rsidP="001D3405">
            <w:pPr>
              <w:pStyle w:val="Tabletext0"/>
              <w:jc w:val="center"/>
              <w:rPr>
                <w:rFonts w:eastAsia="Calibri"/>
                <w:b/>
              </w:rPr>
            </w:pPr>
            <w:r w:rsidRPr="004C7809">
              <w:rPr>
                <w:rFonts w:eastAsia="Calibri"/>
                <w:b/>
              </w:rPr>
              <w:t>4</w:t>
            </w:r>
            <w:r>
              <w:rPr>
                <w:rFonts w:eastAsia="Calibri"/>
                <w:b/>
              </w:rPr>
              <w:t>,582</w:t>
            </w:r>
          </w:p>
        </w:tc>
      </w:tr>
    </w:tbl>
    <w:p w14:paraId="471B3DC3" w14:textId="77777777" w:rsidR="001D3405" w:rsidRPr="00B342F6" w:rsidRDefault="001D3405" w:rsidP="001D3405">
      <w:pPr>
        <w:pStyle w:val="TFAbbrevs18"/>
        <w:spacing w:after="0"/>
      </w:pPr>
      <w:proofErr w:type="gramStart"/>
      <w:r w:rsidRPr="00B342F6">
        <w:rPr>
          <w:rStyle w:val="TableFooterChar"/>
          <w:vertAlign w:val="superscript"/>
        </w:rPr>
        <w:t>a</w:t>
      </w:r>
      <w:proofErr w:type="gramEnd"/>
      <w:r w:rsidRPr="005940FB">
        <w:rPr>
          <w:rStyle w:val="TableFooterChar"/>
        </w:rPr>
        <w:t xml:space="preserve"> Patients with undefined subcategory were excluded from the analysis</w:t>
      </w:r>
    </w:p>
    <w:p w14:paraId="7B1D41BF" w14:textId="77777777" w:rsidR="001D3405" w:rsidRPr="00EC009D" w:rsidRDefault="001D3405" w:rsidP="001D3405">
      <w:pPr>
        <w:pStyle w:val="TableFooter"/>
        <w:widowControl/>
        <w:jc w:val="left"/>
      </w:pPr>
      <w:r w:rsidRPr="00EC009D">
        <w:t xml:space="preserve">Source: </w:t>
      </w:r>
      <w:r>
        <w:t>compiled from Table 32, pp69-70 and Table 33, p70 of the DCAR</w:t>
      </w:r>
    </w:p>
    <w:p w14:paraId="2C702969" w14:textId="77777777" w:rsidR="001D3405" w:rsidRDefault="001D3405" w:rsidP="00013CED">
      <w:pPr>
        <w:pStyle w:val="Heading31"/>
        <w:spacing w:after="120"/>
      </w:pPr>
      <w:r>
        <w:t>Clinical utility</w:t>
      </w:r>
    </w:p>
    <w:p w14:paraId="77F1964A" w14:textId="063904BE" w:rsidR="001D3405" w:rsidRDefault="001D3405" w:rsidP="001D3405">
      <w:r>
        <w:t>The DCAR did not provide any comparative evidence assessing clinical utility; rather it provided the following narrative outlining a linked evidence approach.</w:t>
      </w:r>
    </w:p>
    <w:p w14:paraId="0A1F9889" w14:textId="77777777" w:rsidR="001D3405" w:rsidRDefault="001D3405" w:rsidP="003D72FA">
      <w:pPr>
        <w:spacing w:before="240"/>
      </w:pPr>
      <w:r>
        <w:t xml:space="preserve">In response to the MSAC’s request for further clarification of the patient selection criteria for adjuvant treatment of melanoma and the role of </w:t>
      </w:r>
      <w:proofErr w:type="spellStart"/>
      <w:r>
        <w:t>SLNBx</w:t>
      </w:r>
      <w:proofErr w:type="spellEnd"/>
      <w:r>
        <w:t xml:space="preserve"> in selecting patients for such treatment (p1, 1485 PSD), the DCAR noted the following in relation to patients with Stage III melanoma:</w:t>
      </w:r>
    </w:p>
    <w:p w14:paraId="792B78C9" w14:textId="77777777" w:rsidR="001D3405" w:rsidRDefault="001D3405" w:rsidP="001D3405">
      <w:pPr>
        <w:pStyle w:val="ListParagraph"/>
        <w:numPr>
          <w:ilvl w:val="0"/>
          <w:numId w:val="7"/>
        </w:numPr>
      </w:pPr>
      <w:r>
        <w:t xml:space="preserve">As noted above, a patient must have resected Stage IIIB, IIIC or IIID melanoma in order to access PBS-subsidised adjuvant therapy: combination dabrafenib plus trametinib (patient must also have a </w:t>
      </w:r>
      <w:r w:rsidRPr="00A546FD">
        <w:rPr>
          <w:i/>
        </w:rPr>
        <w:t>BRAF V600</w:t>
      </w:r>
      <w:r>
        <w:t xml:space="preserve"> mutation) or </w:t>
      </w:r>
      <w:proofErr w:type="spellStart"/>
      <w:r>
        <w:t>nivolumab</w:t>
      </w:r>
      <w:proofErr w:type="spellEnd"/>
      <w:r>
        <w:t xml:space="preserve">. The DCAR noted that access to these therapies is also available for patients with Stage IV melanoma, however this </w:t>
      </w:r>
      <w:proofErr w:type="gramStart"/>
      <w:r>
        <w:t>was not considered</w:t>
      </w:r>
      <w:proofErr w:type="gramEnd"/>
      <w:r>
        <w:t xml:space="preserve"> relevant to this assessment, as patients are assigned to Stage IV regardless of lymph node involvement and therefore </w:t>
      </w:r>
      <w:proofErr w:type="spellStart"/>
      <w:r>
        <w:t>SLNBx</w:t>
      </w:r>
      <w:proofErr w:type="spellEnd"/>
      <w:r>
        <w:t xml:space="preserve"> is unlikely to be required in these patients.</w:t>
      </w:r>
    </w:p>
    <w:p w14:paraId="13C5BFFE" w14:textId="77777777" w:rsidR="001D3405" w:rsidRDefault="001D3405" w:rsidP="001D3405">
      <w:pPr>
        <w:pStyle w:val="ListParagraph"/>
        <w:numPr>
          <w:ilvl w:val="0"/>
          <w:numId w:val="7"/>
        </w:numPr>
      </w:pPr>
      <w:r>
        <w:t xml:space="preserve">With regard to the requirement for patients to have Stage IIIB, IIIC and IIID melanoma, </w:t>
      </w:r>
      <w:proofErr w:type="spellStart"/>
      <w:r>
        <w:t>SLNBx</w:t>
      </w:r>
      <w:proofErr w:type="spellEnd"/>
      <w:r>
        <w:t xml:space="preserve"> plays a key role in accurately staging melanoma in this population of patients. Specifically:</w:t>
      </w:r>
    </w:p>
    <w:p w14:paraId="24632840" w14:textId="77777777" w:rsidR="001D3405" w:rsidRDefault="001D3405" w:rsidP="001D3405">
      <w:pPr>
        <w:pStyle w:val="ListParagraph"/>
        <w:numPr>
          <w:ilvl w:val="1"/>
          <w:numId w:val="7"/>
        </w:numPr>
      </w:pPr>
      <w:r>
        <w:t>according to the AJCC 8</w:t>
      </w:r>
      <w:r w:rsidRPr="005130C8">
        <w:rPr>
          <w:vertAlign w:val="superscript"/>
        </w:rPr>
        <w:t>th</w:t>
      </w:r>
      <w:r>
        <w:t xml:space="preserve"> edition melanoma staging criteria, </w:t>
      </w:r>
      <w:proofErr w:type="spellStart"/>
      <w:r>
        <w:t>SLNBx</w:t>
      </w:r>
      <w:proofErr w:type="spellEnd"/>
      <w:r>
        <w:t xml:space="preserve"> is used to determine the presence or absence of lymph node involvement in patients who do not have clinically apparent metastasis, in order to accurately determine the stage of melanoma (</w:t>
      </w:r>
      <w:proofErr w:type="spellStart"/>
      <w:r>
        <w:t>Gershenwald</w:t>
      </w:r>
      <w:proofErr w:type="spellEnd"/>
      <w:r>
        <w:t xml:space="preserve"> et al. 2017)</w:t>
      </w:r>
    </w:p>
    <w:p w14:paraId="6209FF6F" w14:textId="69A03D39" w:rsidR="001D3405" w:rsidRDefault="001D3405" w:rsidP="001D3405">
      <w:pPr>
        <w:pStyle w:val="ListParagraph"/>
        <w:numPr>
          <w:ilvl w:val="1"/>
          <w:numId w:val="7"/>
        </w:numPr>
      </w:pPr>
      <w:r>
        <w:t xml:space="preserve">current Australian guidelines recommend </w:t>
      </w:r>
      <w:proofErr w:type="spellStart"/>
      <w:r>
        <w:t>SLNBx</w:t>
      </w:r>
      <w:proofErr w:type="spellEnd"/>
      <w:r>
        <w:t xml:space="preserve"> to be considered for all patients with melanoma greater than 1 mm in thickness and for patients with melanoma greater than 0.75 mm with other high-risk pathological features to provide optimal staging and prognostic information and to maximise management options for patients who are node-positive </w:t>
      </w:r>
      <w:r>
        <w:fldChar w:fldCharType="begin"/>
      </w:r>
      <w:r>
        <w:instrText xml:space="preserve"> ADDIN EN.CITE &lt;EndNote&gt;&lt;Cite&gt;&lt;Author&gt;Gyorki&lt;/Author&gt;&lt;Year&gt;2017&lt;/Year&gt;&lt;RecNum&gt;12&lt;/RecNum&gt;&lt;DisplayText&gt;(D. Gyorki et al., 2017)&lt;/DisplayText&gt;&lt;record&gt;&lt;rec-number&gt;12&lt;/rec-number&gt;&lt;foreign-keys&gt;&lt;key app="EN" db-id="svaw5s00wt2e0leaadxvxffdztzsfr5fp9wt" timestamp="0"&gt;12&lt;/key&gt;&lt;/foreign-keys&gt;&lt;ref-type name="Web Page"&gt;12&lt;/ref-type&gt;&lt;contributors&gt;&lt;authors&gt;&lt;author&gt;Gyorki, D&lt;/author&gt;&lt;author&gt;Teddy, L&lt;/author&gt;&lt;author&gt;Barbour, A, &lt;/author&gt;&lt;author&gt;Mar, V&lt;/author&gt;&lt;author&gt;Sandhu, S&lt;/author&gt;&lt;author&gt;Hanikeri, M&lt;/author&gt;&lt;author&gt;Cancer Council Australia Melanoma Guidelines Working Party.&lt;/author&gt;&lt;/authors&gt;&lt;/contributors&gt;&lt;titles&gt;&lt;title&gt;When is a sentinel node biopsy indicated?&lt;/title&gt;&lt;secondary-title&gt;Cancer Council Australia Melanoma Guidelines Working Party. Clinical practice guidelines for the diagnosis and management of melanoma.&lt;/secondary-title&gt;&lt;/titles&gt;&lt;number&gt;5 Dec 2017&lt;/number&gt;&lt;dates&gt;&lt;year&gt;2017&lt;/year&gt;&lt;/dates&gt;&lt;publisher&gt;Cancer Council Australia&lt;/publisher&gt;&lt;urls&gt;&lt;related-urls&gt;&lt;url&gt;&lt;style face="underline" font="default" size="100%"&gt;http://wiki.cancer.org.au/australiawiki/index.php?oldid=166965&lt;/style&gt;&lt;/url&gt;&lt;/related-urls&gt;&lt;/urls&gt;&lt;/record&gt;&lt;/Cite&gt;&lt;/EndNote&gt;</w:instrText>
      </w:r>
      <w:r>
        <w:fldChar w:fldCharType="separate"/>
      </w:r>
      <w:r>
        <w:rPr>
          <w:noProof/>
        </w:rPr>
        <w:t>(</w:t>
      </w:r>
      <w:hyperlink w:anchor="_ENREF_9" w:tooltip="Gyorki, 2017 #12" w:history="1">
        <w:r>
          <w:rPr>
            <w:noProof/>
          </w:rPr>
          <w:t>Gyorki et al. 2017</w:t>
        </w:r>
      </w:hyperlink>
      <w:r>
        <w:rPr>
          <w:noProof/>
        </w:rPr>
        <w:t>)</w:t>
      </w:r>
      <w:r>
        <w:fldChar w:fldCharType="end"/>
      </w:r>
      <w:r>
        <w:t>.</w:t>
      </w:r>
    </w:p>
    <w:p w14:paraId="34994168" w14:textId="77777777" w:rsidR="001D3405" w:rsidRDefault="001D3405" w:rsidP="003D72FA">
      <w:pPr>
        <w:spacing w:before="240"/>
      </w:pPr>
      <w:r>
        <w:t>For therapeutic effectiveness, the DCAR presented the safety and effectiveness outcomes showing incremental health benefit for patients treated with PBS-listed or PBAC-recommended adjuvant therapies:</w:t>
      </w:r>
    </w:p>
    <w:p w14:paraId="766F04D3" w14:textId="77777777" w:rsidR="001D3405" w:rsidRDefault="001D3405" w:rsidP="001D3405">
      <w:pPr>
        <w:pStyle w:val="ListParagraph"/>
        <w:numPr>
          <w:ilvl w:val="0"/>
          <w:numId w:val="8"/>
        </w:numPr>
      </w:pPr>
      <w:r>
        <w:t>d</w:t>
      </w:r>
      <w:r w:rsidRPr="00E631FC">
        <w:t>abrafenib plus trametinib</w:t>
      </w:r>
      <w:r>
        <w:t xml:space="preserve"> (COMBI-AD trial; Dabrafenib and trametinib PSDs, March and July 2019 PBAC meetings)</w:t>
      </w:r>
    </w:p>
    <w:p w14:paraId="085CD43D" w14:textId="25F2168E" w:rsidR="001D3405" w:rsidRDefault="001D3405" w:rsidP="001D3405">
      <w:pPr>
        <w:pStyle w:val="ListParagraph"/>
        <w:numPr>
          <w:ilvl w:val="0"/>
          <w:numId w:val="8"/>
        </w:numPr>
      </w:pPr>
      <w:proofErr w:type="spellStart"/>
      <w:proofErr w:type="gramStart"/>
      <w:r>
        <w:t>nivolumab</w:t>
      </w:r>
      <w:proofErr w:type="spellEnd"/>
      <w:proofErr w:type="gramEnd"/>
      <w:r>
        <w:t xml:space="preserve"> monotherapy (CA238 trial; </w:t>
      </w:r>
      <w:proofErr w:type="spellStart"/>
      <w:r>
        <w:t>Nivolumab</w:t>
      </w:r>
      <w:proofErr w:type="spellEnd"/>
      <w:r>
        <w:t xml:space="preserve"> PSDs, March, July and November 2019 PBAC meetings).</w:t>
      </w:r>
    </w:p>
    <w:p w14:paraId="75A6EAE9" w14:textId="2C3F1083" w:rsidR="001D3405" w:rsidRPr="003D72FA" w:rsidRDefault="001D3405" w:rsidP="003D72FA">
      <w:pPr>
        <w:spacing w:before="240"/>
      </w:pPr>
      <w:r>
        <w:t>The DCAR stated the basis for the linked evidence was conditional on applying the</w:t>
      </w:r>
      <w:r w:rsidRPr="00DB71A4">
        <w:t xml:space="preserve"> </w:t>
      </w:r>
      <w:r>
        <w:t>transferability assumption;</w:t>
      </w:r>
      <w:r w:rsidRPr="00DB71A4">
        <w:t xml:space="preserve"> </w:t>
      </w:r>
      <w:r>
        <w:t>its assessment assumed</w:t>
      </w:r>
      <w:r w:rsidRPr="00DB71A4">
        <w:t xml:space="preserve"> that </w:t>
      </w:r>
      <w:proofErr w:type="spellStart"/>
      <w:r w:rsidRPr="00DB71A4">
        <w:t>SLNBx</w:t>
      </w:r>
      <w:proofErr w:type="spellEnd"/>
      <w:r w:rsidRPr="00DB71A4">
        <w:t xml:space="preserve"> identifies patients with</w:t>
      </w:r>
      <w:r>
        <w:t xml:space="preserve"> Stage IIIB, IIIC or III</w:t>
      </w:r>
      <w:r w:rsidRPr="00DB71A4">
        <w:t>D</w:t>
      </w:r>
      <w:r>
        <w:t xml:space="preserve"> </w:t>
      </w:r>
      <w:r w:rsidRPr="00DB71A4">
        <w:t>me</w:t>
      </w:r>
      <w:r>
        <w:t>lanoma</w:t>
      </w:r>
      <w:r w:rsidRPr="00DB71A4">
        <w:t xml:space="preserve">, who would be eligible for adjuvant therapy, and there is </w:t>
      </w:r>
      <w:r>
        <w:t xml:space="preserve">PBAC-accepted </w:t>
      </w:r>
      <w:r w:rsidRPr="00DB71A4">
        <w:t xml:space="preserve">evidence that adjuvant therapies (such as combination dabrafenib and trametinib) </w:t>
      </w:r>
      <w:r>
        <w:lastRenderedPageBreak/>
        <w:t xml:space="preserve">sufficiently </w:t>
      </w:r>
      <w:r w:rsidRPr="00DB71A4">
        <w:t xml:space="preserve">improve </w:t>
      </w:r>
      <w:r>
        <w:t>the health outcomes of these patient</w:t>
      </w:r>
      <w:r w:rsidRPr="00DB71A4">
        <w:t>s.</w:t>
      </w:r>
      <w:r>
        <w:t xml:space="preserve"> The DCAR suggested that there was </w:t>
      </w:r>
      <w:r w:rsidRPr="006C2152">
        <w:t xml:space="preserve">a lack of direct comparative evidence in relation to the role of </w:t>
      </w:r>
      <w:proofErr w:type="spellStart"/>
      <w:r w:rsidRPr="006C2152">
        <w:t>SLNBx</w:t>
      </w:r>
      <w:proofErr w:type="spellEnd"/>
      <w:r w:rsidRPr="006C2152">
        <w:t xml:space="preserve"> in risk stratification and access to adjuvant therapy as patients enrolled in the adjuvant therapy t</w:t>
      </w:r>
      <w:r>
        <w:t>rials considered by the</w:t>
      </w:r>
      <w:r w:rsidRPr="006C2152">
        <w:t xml:space="preserve"> DCAR </w:t>
      </w:r>
      <w:proofErr w:type="gramStart"/>
      <w:r w:rsidRPr="006C2152">
        <w:t xml:space="preserve">had </w:t>
      </w:r>
      <w:r>
        <w:t>also</w:t>
      </w:r>
      <w:proofErr w:type="gramEnd"/>
      <w:r>
        <w:t xml:space="preserve"> </w:t>
      </w:r>
      <w:r w:rsidRPr="006C2152">
        <w:t>undergone complete resection.</w:t>
      </w:r>
      <w:r>
        <w:t xml:space="preserve"> </w:t>
      </w:r>
      <w:proofErr w:type="gramStart"/>
      <w:r>
        <w:t>Relevant to this, i</w:t>
      </w:r>
      <w:r w:rsidRPr="00E11086">
        <w:t xml:space="preserve">n </w:t>
      </w:r>
      <w:r>
        <w:t>i</w:t>
      </w:r>
      <w:r w:rsidRPr="00E11086">
        <w:t>t</w:t>
      </w:r>
      <w:r>
        <w:t>s</w:t>
      </w:r>
      <w:r w:rsidRPr="00E11086">
        <w:t xml:space="preserve"> consideration of dabrafenib plus trametinib, PBAC </w:t>
      </w:r>
      <w:r>
        <w:t xml:space="preserve">commented </w:t>
      </w:r>
      <w:r w:rsidRPr="00E11086">
        <w:t xml:space="preserve">that </w:t>
      </w:r>
      <w:r>
        <w:t>as ‘</w:t>
      </w:r>
      <w:r w:rsidRPr="00E11086">
        <w:t>CLND was no longer standard of care for all patients with a positive sentinel lymph node, the PBAC considered that “completely resected disease” would, in practice, include all patients with a wide excision of the primary tumour and either CLND or sentinel lymph node biopsy (or both).</w:t>
      </w:r>
      <w:proofErr w:type="gramEnd"/>
      <w:r w:rsidRPr="00E11086">
        <w:t xml:space="preserve"> (p6, dabrafenib plus trametinib PSD, March 2019). As such, </w:t>
      </w:r>
      <w:proofErr w:type="spellStart"/>
      <w:r w:rsidRPr="00E11086">
        <w:t>SLNBx</w:t>
      </w:r>
      <w:proofErr w:type="spellEnd"/>
      <w:r w:rsidRPr="00E11086">
        <w:t xml:space="preserve"> is required for all patients eligible for treatment with this adjuvant therapy, as it </w:t>
      </w:r>
      <w:proofErr w:type="gramStart"/>
      <w:r w:rsidRPr="00E11086">
        <w:t>is accepted</w:t>
      </w:r>
      <w:proofErr w:type="gramEnd"/>
      <w:r w:rsidRPr="00E11086">
        <w:t xml:space="preserve"> in practice as resecting the nodal involvement irrespective of whether this proceeds to complete lymph node biopsy</w:t>
      </w:r>
      <w:r>
        <w:t>.</w:t>
      </w:r>
    </w:p>
    <w:p w14:paraId="1F8EDA6B" w14:textId="77777777" w:rsidR="001121C3" w:rsidRDefault="001121C3" w:rsidP="003D72FA">
      <w:pPr>
        <w:keepNext/>
        <w:tabs>
          <w:tab w:val="left" w:pos="720"/>
          <w:tab w:val="left" w:pos="1140"/>
        </w:tabs>
        <w:spacing w:before="240" w:after="120"/>
        <w:rPr>
          <w:b/>
          <w:szCs w:val="24"/>
        </w:rPr>
      </w:pPr>
      <w:r>
        <w:rPr>
          <w:b/>
          <w:szCs w:val="24"/>
        </w:rPr>
        <w:t>Clinical c</w:t>
      </w:r>
      <w:r w:rsidRPr="00F37B9C">
        <w:rPr>
          <w:b/>
          <w:szCs w:val="24"/>
        </w:rPr>
        <w:t>laim</w:t>
      </w:r>
    </w:p>
    <w:p w14:paraId="465DF265" w14:textId="77777777" w:rsidR="001D3405" w:rsidRDefault="001D3405" w:rsidP="001D3405">
      <w:proofErr w:type="gramStart"/>
      <w:r>
        <w:t>On the basis of</w:t>
      </w:r>
      <w:proofErr w:type="gramEnd"/>
      <w:r>
        <w:t xml:space="preserve"> the benefits and harms reported in the evidence base (summarised above), the DCAR </w:t>
      </w:r>
      <w:r w:rsidRPr="005F1A60">
        <w:t xml:space="preserve">suggested that, relative to </w:t>
      </w:r>
      <w:r>
        <w:t>s</w:t>
      </w:r>
      <w:r w:rsidRPr="005F1A60">
        <w:t xml:space="preserve">urveillance and WLE, </w:t>
      </w:r>
      <w:proofErr w:type="spellStart"/>
      <w:r w:rsidRPr="005F1A60">
        <w:t>SLNBx</w:t>
      </w:r>
      <w:proofErr w:type="spellEnd"/>
      <w:r w:rsidRPr="005F1A60">
        <w:t xml:space="preserve"> has non-inferior safety and superior effectiveness.</w:t>
      </w:r>
    </w:p>
    <w:p w14:paraId="1D28D706" w14:textId="77777777" w:rsidR="001D3405" w:rsidRDefault="001D3405" w:rsidP="00013CED">
      <w:pPr>
        <w:pStyle w:val="Heading2"/>
        <w:spacing w:after="120"/>
      </w:pPr>
      <w:r>
        <w:t>Translation issues</w:t>
      </w:r>
    </w:p>
    <w:p w14:paraId="69AC5649" w14:textId="5DFE955D" w:rsidR="001D3405" w:rsidRDefault="001D3405" w:rsidP="001D3405">
      <w:r>
        <w:t xml:space="preserve">The DCAR summarised the key translation issues in Table 7. The DCAR did not discuss the translation issue associated with the probabilities used to inform the diagnostic accuracy of </w:t>
      </w:r>
      <w:proofErr w:type="spellStart"/>
      <w:r>
        <w:t>SLNBx</w:t>
      </w:r>
      <w:proofErr w:type="spellEnd"/>
      <w:r>
        <w:t xml:space="preserve"> and WLE plus follow-up.</w:t>
      </w:r>
    </w:p>
    <w:p w14:paraId="13772249" w14:textId="77777777" w:rsidR="001D3405" w:rsidRPr="00261B83" w:rsidRDefault="001D3405" w:rsidP="00261B83">
      <w:pPr>
        <w:spacing w:before="240"/>
        <w:rPr>
          <w:rFonts w:ascii="Arial Narrow" w:hAnsi="Arial Narrow"/>
          <w:b/>
          <w:sz w:val="20"/>
        </w:rPr>
      </w:pPr>
      <w:bookmarkStart w:id="15" w:name="_Toc30088402"/>
      <w:r w:rsidRPr="00261B83">
        <w:rPr>
          <w:rFonts w:ascii="Arial Narrow" w:hAnsi="Arial Narrow"/>
          <w:b/>
          <w:sz w:val="20"/>
        </w:rPr>
        <w:t>Table 7: Key translation issues</w:t>
      </w:r>
      <w:bookmarkEnd w:id="15"/>
    </w:p>
    <w:tbl>
      <w:tblPr>
        <w:tblStyle w:val="TableGrid1"/>
        <w:tblW w:w="5000" w:type="pct"/>
        <w:tblLook w:val="04A0" w:firstRow="1" w:lastRow="0" w:firstColumn="1" w:lastColumn="0" w:noHBand="0" w:noVBand="1"/>
        <w:tblCaption w:val="Table 7: Key translation issues"/>
        <w:tblDescription w:val="Key translation issues of data used in the economic model"/>
      </w:tblPr>
      <w:tblGrid>
        <w:gridCol w:w="1413"/>
        <w:gridCol w:w="3118"/>
        <w:gridCol w:w="4485"/>
      </w:tblGrid>
      <w:tr w:rsidR="001D3405" w:rsidRPr="00476621" w14:paraId="37C23B7B" w14:textId="77777777" w:rsidTr="00697326">
        <w:trPr>
          <w:cnfStyle w:val="100000000000" w:firstRow="1" w:lastRow="0" w:firstColumn="0" w:lastColumn="0" w:oddVBand="0" w:evenVBand="0" w:oddHBand="0" w:evenHBand="0" w:firstRowFirstColumn="0" w:firstRowLastColumn="0" w:lastRowFirstColumn="0" w:lastRowLastColumn="0"/>
          <w:tblHeader/>
        </w:trPr>
        <w:tc>
          <w:tcPr>
            <w:tcW w:w="784" w:type="pct"/>
          </w:tcPr>
          <w:p w14:paraId="5C6B1658" w14:textId="77777777" w:rsidR="001D3405" w:rsidRPr="00E7482E" w:rsidRDefault="001D3405" w:rsidP="001D3405">
            <w:pPr>
              <w:pStyle w:val="TableHeading"/>
            </w:pPr>
            <w:r w:rsidRPr="00E7482E">
              <w:t>Issue</w:t>
            </w:r>
          </w:p>
        </w:tc>
        <w:tc>
          <w:tcPr>
            <w:tcW w:w="1729" w:type="pct"/>
          </w:tcPr>
          <w:p w14:paraId="13452748" w14:textId="77777777" w:rsidR="001D3405" w:rsidRPr="00E7482E" w:rsidRDefault="001D3405" w:rsidP="001D3405">
            <w:pPr>
              <w:pStyle w:val="TableHeading"/>
            </w:pPr>
            <w:r w:rsidRPr="00E7482E">
              <w:t>Research question</w:t>
            </w:r>
          </w:p>
        </w:tc>
        <w:tc>
          <w:tcPr>
            <w:tcW w:w="2487" w:type="pct"/>
          </w:tcPr>
          <w:p w14:paraId="5F00AB8D" w14:textId="77777777" w:rsidR="001D3405" w:rsidRPr="00E7482E" w:rsidRDefault="001D3405" w:rsidP="001D3405">
            <w:pPr>
              <w:pStyle w:val="TableHeading"/>
            </w:pPr>
            <w:r>
              <w:t>Pre-modelling study</w:t>
            </w:r>
          </w:p>
        </w:tc>
      </w:tr>
      <w:tr w:rsidR="001D3405" w:rsidRPr="00476621" w14:paraId="703A6616" w14:textId="77777777" w:rsidTr="00697326">
        <w:tc>
          <w:tcPr>
            <w:tcW w:w="784" w:type="pct"/>
          </w:tcPr>
          <w:p w14:paraId="3170AFCE" w14:textId="77777777" w:rsidR="001D3405" w:rsidRPr="00E7482E" w:rsidRDefault="001D3405" w:rsidP="001D3405">
            <w:pPr>
              <w:pStyle w:val="Tabletext0"/>
            </w:pPr>
            <w:r>
              <w:t>Population</w:t>
            </w:r>
          </w:p>
        </w:tc>
        <w:tc>
          <w:tcPr>
            <w:tcW w:w="1729" w:type="pct"/>
          </w:tcPr>
          <w:p w14:paraId="4B154EAC" w14:textId="77777777" w:rsidR="001D3405" w:rsidRPr="00E7482E" w:rsidRDefault="001D3405" w:rsidP="001D3405">
            <w:pPr>
              <w:pStyle w:val="Tabletext0"/>
            </w:pPr>
            <w:r w:rsidRPr="00E7482E">
              <w:t xml:space="preserve">Is the population in the </w:t>
            </w:r>
            <w:r>
              <w:t>clinical trials</w:t>
            </w:r>
            <w:r w:rsidRPr="00E7482E">
              <w:t xml:space="preserve"> applicable to t</w:t>
            </w:r>
            <w:r>
              <w:t>he proposed listing on the MBS or PBS?</w:t>
            </w:r>
          </w:p>
        </w:tc>
        <w:tc>
          <w:tcPr>
            <w:tcW w:w="2487" w:type="pct"/>
          </w:tcPr>
          <w:p w14:paraId="0B77F85A" w14:textId="77777777" w:rsidR="001D3405" w:rsidRDefault="001D3405" w:rsidP="001D3405">
            <w:pPr>
              <w:pStyle w:val="Tabletext0"/>
            </w:pPr>
            <w:r>
              <w:t xml:space="preserve">Data from COMBI-AD and CA238 trials </w:t>
            </w:r>
            <w:proofErr w:type="gramStart"/>
            <w:r>
              <w:t>was based</w:t>
            </w:r>
            <w:proofErr w:type="gramEnd"/>
            <w:r>
              <w:t xml:space="preserve"> on the AJCC 7</w:t>
            </w:r>
            <w:r w:rsidRPr="005130C8">
              <w:rPr>
                <w:vertAlign w:val="superscript"/>
              </w:rPr>
              <w:t>th</w:t>
            </w:r>
            <w:r>
              <w:t xml:space="preserve"> edition melanoma staging system. Patients with Stage IIIA, IIIB, IIIC or IIID melanoma enrolled in these clinical trials based on this now outdated staging system are not representative of the current PBS-subsidised population.</w:t>
            </w:r>
          </w:p>
          <w:p w14:paraId="147F3C56" w14:textId="77777777" w:rsidR="001D3405" w:rsidRPr="00E7482E" w:rsidRDefault="001D3405" w:rsidP="001D3405">
            <w:pPr>
              <w:pStyle w:val="Tabletext0"/>
            </w:pPr>
            <w:r>
              <w:t>Moreover,</w:t>
            </w:r>
            <w:r w:rsidRPr="00D35237">
              <w:t xml:space="preserve"> all patients enrolled in the selected adjuvant therapy </w:t>
            </w:r>
            <w:r>
              <w:t xml:space="preserve">trials </w:t>
            </w:r>
            <w:r w:rsidRPr="00D35237">
              <w:t>ha</w:t>
            </w:r>
            <w:r>
              <w:t>d also undergone complete resection.</w:t>
            </w:r>
          </w:p>
        </w:tc>
      </w:tr>
      <w:tr w:rsidR="001D3405" w:rsidRPr="00476621" w14:paraId="323E8C58" w14:textId="77777777" w:rsidTr="00697326">
        <w:tc>
          <w:tcPr>
            <w:tcW w:w="784" w:type="pct"/>
          </w:tcPr>
          <w:p w14:paraId="0B6B58B3" w14:textId="77777777" w:rsidR="001D3405" w:rsidRPr="00E7482E" w:rsidRDefault="001D3405" w:rsidP="001D3405">
            <w:pPr>
              <w:pStyle w:val="Tabletext0"/>
            </w:pPr>
            <w:r w:rsidRPr="00E7482E">
              <w:t xml:space="preserve">Treatment of </w:t>
            </w:r>
            <w:r>
              <w:t>m</w:t>
            </w:r>
            <w:r w:rsidRPr="00E7482E">
              <w:t>elanoma</w:t>
            </w:r>
          </w:p>
        </w:tc>
        <w:tc>
          <w:tcPr>
            <w:tcW w:w="1729" w:type="pct"/>
          </w:tcPr>
          <w:p w14:paraId="30368480" w14:textId="77777777" w:rsidR="001D3405" w:rsidRPr="00E7482E" w:rsidRDefault="001D3405" w:rsidP="001D3405">
            <w:pPr>
              <w:pStyle w:val="Tabletext0"/>
            </w:pPr>
            <w:r w:rsidRPr="00E7482E">
              <w:t>Are there changes in clinical practice in Australia that may differ fro</w:t>
            </w:r>
            <w:r>
              <w:t>m those described in the trial?</w:t>
            </w:r>
          </w:p>
        </w:tc>
        <w:tc>
          <w:tcPr>
            <w:tcW w:w="2487" w:type="pct"/>
          </w:tcPr>
          <w:p w14:paraId="3685E231" w14:textId="77777777" w:rsidR="001D3405" w:rsidRDefault="001D3405" w:rsidP="001D3405">
            <w:pPr>
              <w:pStyle w:val="Tabletext0"/>
            </w:pPr>
            <w:r>
              <w:t>Adjuvant therapies</w:t>
            </w:r>
            <w:r w:rsidRPr="00E7482E">
              <w:t xml:space="preserve"> </w:t>
            </w:r>
            <w:proofErr w:type="gramStart"/>
            <w:r w:rsidRPr="00E7482E">
              <w:t xml:space="preserve">were recently </w:t>
            </w:r>
            <w:r>
              <w:t>recommended</w:t>
            </w:r>
            <w:proofErr w:type="gramEnd"/>
            <w:r>
              <w:t xml:space="preserve"> </w:t>
            </w:r>
            <w:r w:rsidRPr="00E7482E">
              <w:t xml:space="preserve">in Australia for the </w:t>
            </w:r>
            <w:r>
              <w:t xml:space="preserve">PBS-subsidised </w:t>
            </w:r>
            <w:r w:rsidRPr="00E7482E">
              <w:t>treatment of selected melanoma patients</w:t>
            </w:r>
            <w:r>
              <w:t xml:space="preserve"> (patients with Stage IIIB, IIIC or IIID melanoma).</w:t>
            </w:r>
          </w:p>
          <w:p w14:paraId="49433469" w14:textId="77777777" w:rsidR="001D3405" w:rsidRPr="00B22173" w:rsidRDefault="001D3405" w:rsidP="001D3405">
            <w:pPr>
              <w:pStyle w:val="Tabletext0"/>
            </w:pPr>
            <w:r w:rsidRPr="00E7482E">
              <w:t xml:space="preserve">Recent guidelines recommend the consideration of observation </w:t>
            </w:r>
            <w:proofErr w:type="gramStart"/>
            <w:r w:rsidRPr="00E7482E">
              <w:t xml:space="preserve">vs. immediate CLND as an option in patients with </w:t>
            </w:r>
            <w:r>
              <w:t xml:space="preserve">a </w:t>
            </w:r>
            <w:r w:rsidRPr="00E7482E">
              <w:t xml:space="preserve">positive </w:t>
            </w:r>
            <w:r>
              <w:t>sentinel lymph node</w:t>
            </w:r>
            <w:proofErr w:type="gramEnd"/>
            <w:r w:rsidRPr="00E7482E">
              <w:t>.</w:t>
            </w:r>
            <w:r>
              <w:t xml:space="preserve"> Now patients with Stage IIIB, IIIC or IIID melanoma are eligible for PBS-subsidised adjuvant therapies that would improve their health outcomes.</w:t>
            </w:r>
          </w:p>
        </w:tc>
      </w:tr>
      <w:tr w:rsidR="001D3405" w:rsidRPr="00387830" w14:paraId="7DD866D5" w14:textId="77777777" w:rsidTr="00697326">
        <w:tc>
          <w:tcPr>
            <w:tcW w:w="784" w:type="pct"/>
          </w:tcPr>
          <w:p w14:paraId="249ACA89" w14:textId="77777777" w:rsidR="001D3405" w:rsidRPr="00387830" w:rsidRDefault="001D3405" w:rsidP="001D3405">
            <w:pPr>
              <w:pStyle w:val="Tabletext0"/>
            </w:pPr>
            <w:r w:rsidRPr="00387830">
              <w:t>Costing of resource use</w:t>
            </w:r>
          </w:p>
        </w:tc>
        <w:tc>
          <w:tcPr>
            <w:tcW w:w="1729" w:type="pct"/>
          </w:tcPr>
          <w:p w14:paraId="6158B6F2" w14:textId="77777777" w:rsidR="001D3405" w:rsidRPr="00387830" w:rsidRDefault="001D3405" w:rsidP="001D3405">
            <w:pPr>
              <w:pStyle w:val="Tabletext0"/>
            </w:pPr>
            <w:r w:rsidRPr="00387830">
              <w:t>What are the most appropriate cost inputs to quantify the cost implications of the included health resource use?</w:t>
            </w:r>
          </w:p>
        </w:tc>
        <w:tc>
          <w:tcPr>
            <w:tcW w:w="2487" w:type="pct"/>
          </w:tcPr>
          <w:p w14:paraId="236F3F34" w14:textId="77777777" w:rsidR="001D3405" w:rsidRPr="00387830" w:rsidRDefault="001D3405" w:rsidP="001D3405">
            <w:pPr>
              <w:pStyle w:val="Tabletext0"/>
            </w:pPr>
            <w:r>
              <w:t xml:space="preserve">Cost inputs included in the </w:t>
            </w:r>
            <w:r w:rsidRPr="00E7482E">
              <w:t>c</w:t>
            </w:r>
            <w:r>
              <w:t xml:space="preserve">ost-effectiveness evaluation from the previous DCAR considered by MSAC </w:t>
            </w:r>
            <w:proofErr w:type="gramStart"/>
            <w:r w:rsidRPr="00E7482E">
              <w:t>were updated</w:t>
            </w:r>
            <w:proofErr w:type="gramEnd"/>
            <w:r w:rsidRPr="00E7482E">
              <w:t xml:space="preserve"> </w:t>
            </w:r>
            <w:r>
              <w:t>for</w:t>
            </w:r>
            <w:r w:rsidRPr="00E7482E">
              <w:t xml:space="preserve"> th</w:t>
            </w:r>
            <w:r>
              <w:t>e</w:t>
            </w:r>
            <w:r w:rsidRPr="00E7482E">
              <w:t xml:space="preserve"> </w:t>
            </w:r>
            <w:r>
              <w:t>resubmission D</w:t>
            </w:r>
            <w:r w:rsidRPr="00E7482E">
              <w:t>CA</w:t>
            </w:r>
            <w:r>
              <w:t>R</w:t>
            </w:r>
            <w:r w:rsidRPr="00E7482E">
              <w:t xml:space="preserve"> using AR-DRGs and MBS items.</w:t>
            </w:r>
          </w:p>
        </w:tc>
      </w:tr>
    </w:tbl>
    <w:p w14:paraId="71EDFB60" w14:textId="77777777" w:rsidR="001D3405" w:rsidRPr="00801A19" w:rsidRDefault="001D3405" w:rsidP="001D3405">
      <w:pPr>
        <w:pStyle w:val="TableFooter"/>
        <w:jc w:val="left"/>
      </w:pPr>
      <w:r w:rsidRPr="00801A19">
        <w:t>AJCC = American Joint Committee on Cancer; AR-DRG = Australian Refined Diagnosis Related Groups; CLND = complete lymph node dissection; MBS = Medicare Benefits Schedule</w:t>
      </w:r>
      <w:r>
        <w:t>; PBS = Pharmaceutical Benefits Scheme</w:t>
      </w:r>
    </w:p>
    <w:p w14:paraId="51D197C5" w14:textId="77777777" w:rsidR="001D3405" w:rsidRPr="001D3405" w:rsidRDefault="001D3405" w:rsidP="001D3405">
      <w:pPr>
        <w:pStyle w:val="TableFooter"/>
        <w:spacing w:after="240"/>
        <w:jc w:val="left"/>
      </w:pPr>
      <w:r w:rsidRPr="00F410EE">
        <w:t>Source:</w:t>
      </w:r>
      <w:r>
        <w:t xml:space="preserve"> derived from Table 5, p24 of the DCAR</w:t>
      </w:r>
    </w:p>
    <w:p w14:paraId="70B8512E" w14:textId="77777777" w:rsidR="001121C3" w:rsidRPr="00F715D1" w:rsidRDefault="001121C3" w:rsidP="001121C3">
      <w:pPr>
        <w:pStyle w:val="Heading1"/>
      </w:pPr>
      <w:r w:rsidRPr="00F715D1">
        <w:t>Economic evaluation</w:t>
      </w:r>
    </w:p>
    <w:p w14:paraId="68CEEF70" w14:textId="2B19D2E0" w:rsidR="001D3405" w:rsidRDefault="001D3405" w:rsidP="001D3405">
      <w:r>
        <w:t xml:space="preserve">The DCAR modelled a cost-effectiveness analysis comparing </w:t>
      </w:r>
      <w:proofErr w:type="spellStart"/>
      <w:r>
        <w:t>SLNBx</w:t>
      </w:r>
      <w:proofErr w:type="spellEnd"/>
      <w:r>
        <w:t xml:space="preserve"> plus WLE </w:t>
      </w:r>
      <w:r w:rsidRPr="00BE4D8C">
        <w:rPr>
          <w:i/>
        </w:rPr>
        <w:t>vs</w:t>
      </w:r>
      <w:r>
        <w:t>. surveillance plus WLE (Table 8).</w:t>
      </w:r>
    </w:p>
    <w:p w14:paraId="65C49D03" w14:textId="77777777" w:rsidR="001D3405" w:rsidRPr="00261B83" w:rsidRDefault="001D3405" w:rsidP="00261B83">
      <w:pPr>
        <w:spacing w:before="240"/>
        <w:rPr>
          <w:rFonts w:ascii="Arial Narrow" w:hAnsi="Arial Narrow"/>
          <w:b/>
          <w:sz w:val="20"/>
        </w:rPr>
      </w:pPr>
      <w:bookmarkStart w:id="16" w:name="_Toc30088403"/>
      <w:r w:rsidRPr="00261B83">
        <w:rPr>
          <w:rFonts w:ascii="Arial Narrow" w:hAnsi="Arial Narrow"/>
          <w:b/>
          <w:sz w:val="20"/>
        </w:rPr>
        <w:lastRenderedPageBreak/>
        <w:t>Table 8: Summary of the economic evaluation</w:t>
      </w:r>
      <w:bookmarkEnd w:id="16"/>
    </w:p>
    <w:tbl>
      <w:tblPr>
        <w:tblStyle w:val="TableGrid1"/>
        <w:tblW w:w="5000" w:type="pct"/>
        <w:tblLook w:val="01E0" w:firstRow="1" w:lastRow="1" w:firstColumn="1" w:lastColumn="1" w:noHBand="0" w:noVBand="0"/>
        <w:tblCaption w:val="Table 8: Summary of the economic evaluation"/>
        <w:tblDescription w:val="This table describes the key constructs of the economic evaluation that is provided in the assessment report."/>
      </w:tblPr>
      <w:tblGrid>
        <w:gridCol w:w="3109"/>
        <w:gridCol w:w="5907"/>
      </w:tblGrid>
      <w:tr w:rsidR="001D3405" w:rsidRPr="00183E4D" w14:paraId="4B331A18" w14:textId="77777777" w:rsidTr="00697326">
        <w:trPr>
          <w:cnfStyle w:val="100000000000" w:firstRow="1" w:lastRow="0" w:firstColumn="0" w:lastColumn="0" w:oddVBand="0" w:evenVBand="0" w:oddHBand="0" w:evenHBand="0" w:firstRowFirstColumn="0" w:firstRowLastColumn="0" w:lastRowFirstColumn="0" w:lastRowLastColumn="0"/>
          <w:trHeight w:val="20"/>
          <w:tblHeader/>
        </w:trPr>
        <w:tc>
          <w:tcPr>
            <w:tcW w:w="1724" w:type="pct"/>
          </w:tcPr>
          <w:p w14:paraId="42C8698F" w14:textId="77777777" w:rsidR="001D3405" w:rsidRPr="00183E4D" w:rsidRDefault="001D3405" w:rsidP="001D3405">
            <w:pPr>
              <w:pStyle w:val="Tabletext0"/>
              <w:rPr>
                <w:b/>
              </w:rPr>
            </w:pPr>
            <w:r w:rsidRPr="00183E4D">
              <w:rPr>
                <w:b/>
              </w:rPr>
              <w:t>Perspective</w:t>
            </w:r>
          </w:p>
        </w:tc>
        <w:tc>
          <w:tcPr>
            <w:tcW w:w="3276" w:type="pct"/>
          </w:tcPr>
          <w:p w14:paraId="1D867B40" w14:textId="77777777" w:rsidR="001D3405" w:rsidRPr="00F0218F" w:rsidRDefault="001D3405" w:rsidP="001D3405">
            <w:pPr>
              <w:pStyle w:val="Tabletext0"/>
              <w:rPr>
                <w:vanish/>
              </w:rPr>
            </w:pPr>
            <w:r w:rsidRPr="00F0218F">
              <w:t>Australian health system</w:t>
            </w:r>
          </w:p>
        </w:tc>
      </w:tr>
      <w:tr w:rsidR="001D3405" w:rsidRPr="00183E4D" w14:paraId="3E5AC3D5" w14:textId="77777777" w:rsidTr="00697326">
        <w:trPr>
          <w:trHeight w:val="20"/>
        </w:trPr>
        <w:tc>
          <w:tcPr>
            <w:tcW w:w="1724" w:type="pct"/>
          </w:tcPr>
          <w:p w14:paraId="027CEE61" w14:textId="77777777" w:rsidR="001D3405" w:rsidRPr="00183E4D" w:rsidRDefault="001D3405" w:rsidP="001D3405">
            <w:pPr>
              <w:pStyle w:val="Tabletext0"/>
              <w:rPr>
                <w:b/>
              </w:rPr>
            </w:pPr>
            <w:r>
              <w:rPr>
                <w:b/>
              </w:rPr>
              <w:t>Intervention</w:t>
            </w:r>
          </w:p>
        </w:tc>
        <w:tc>
          <w:tcPr>
            <w:tcW w:w="3276" w:type="pct"/>
          </w:tcPr>
          <w:p w14:paraId="0DD1A2AF" w14:textId="77777777" w:rsidR="001D3405" w:rsidRPr="00F0218F" w:rsidRDefault="001D3405" w:rsidP="001D3405">
            <w:pPr>
              <w:pStyle w:val="Tabletext0"/>
            </w:pPr>
            <w:proofErr w:type="spellStart"/>
            <w:r w:rsidRPr="00F0218F">
              <w:t>SLNBx</w:t>
            </w:r>
            <w:proofErr w:type="spellEnd"/>
            <w:r>
              <w:t xml:space="preserve"> </w:t>
            </w:r>
            <w:r w:rsidRPr="00F0218F">
              <w:t>+ WLE</w:t>
            </w:r>
          </w:p>
        </w:tc>
      </w:tr>
      <w:tr w:rsidR="001D3405" w:rsidRPr="00183E4D" w14:paraId="55CBCA91" w14:textId="77777777" w:rsidTr="00697326">
        <w:trPr>
          <w:trHeight w:val="20"/>
        </w:trPr>
        <w:tc>
          <w:tcPr>
            <w:tcW w:w="1724" w:type="pct"/>
          </w:tcPr>
          <w:p w14:paraId="3B178BF6" w14:textId="77777777" w:rsidR="001D3405" w:rsidRPr="00183E4D" w:rsidRDefault="001D3405" w:rsidP="001D3405">
            <w:pPr>
              <w:pStyle w:val="Tabletext0"/>
              <w:rPr>
                <w:b/>
              </w:rPr>
            </w:pPr>
            <w:r w:rsidRPr="00183E4D">
              <w:rPr>
                <w:b/>
              </w:rPr>
              <w:t>Comparator</w:t>
            </w:r>
          </w:p>
        </w:tc>
        <w:tc>
          <w:tcPr>
            <w:tcW w:w="3276" w:type="pct"/>
          </w:tcPr>
          <w:p w14:paraId="11611E15" w14:textId="77777777" w:rsidR="001D3405" w:rsidRPr="00F0218F" w:rsidRDefault="001D3405" w:rsidP="001D3405">
            <w:pPr>
              <w:pStyle w:val="Tabletext0"/>
              <w:rPr>
                <w:vanish/>
              </w:rPr>
            </w:pPr>
            <w:r w:rsidRPr="00F0218F">
              <w:t>Surveillance +</w:t>
            </w:r>
            <w:r>
              <w:t xml:space="preserve"> </w:t>
            </w:r>
            <w:r w:rsidRPr="00F0218F">
              <w:t>WLE</w:t>
            </w:r>
          </w:p>
        </w:tc>
      </w:tr>
      <w:tr w:rsidR="001D3405" w:rsidRPr="00183E4D" w14:paraId="7051FE26" w14:textId="77777777" w:rsidTr="00697326">
        <w:trPr>
          <w:trHeight w:val="20"/>
        </w:trPr>
        <w:tc>
          <w:tcPr>
            <w:tcW w:w="1724" w:type="pct"/>
          </w:tcPr>
          <w:p w14:paraId="06270CB3" w14:textId="77777777" w:rsidR="001D3405" w:rsidRPr="00183E4D" w:rsidRDefault="001D3405" w:rsidP="001D3405">
            <w:pPr>
              <w:pStyle w:val="Tabletext0"/>
              <w:rPr>
                <w:b/>
              </w:rPr>
            </w:pPr>
            <w:r w:rsidRPr="00183E4D">
              <w:rPr>
                <w:b/>
              </w:rPr>
              <w:t>Type of economic evaluation</w:t>
            </w:r>
          </w:p>
        </w:tc>
        <w:tc>
          <w:tcPr>
            <w:tcW w:w="3276" w:type="pct"/>
          </w:tcPr>
          <w:p w14:paraId="231ED159" w14:textId="77777777" w:rsidR="001D3405" w:rsidRPr="00F0218F" w:rsidRDefault="001D3405" w:rsidP="001D3405">
            <w:pPr>
              <w:pStyle w:val="Tabletext0"/>
              <w:rPr>
                <w:vanish/>
              </w:rPr>
            </w:pPr>
            <w:r>
              <w:t>Cost-</w:t>
            </w:r>
            <w:r w:rsidRPr="00F0218F">
              <w:t>effectiveness analysis (CEA)</w:t>
            </w:r>
          </w:p>
        </w:tc>
      </w:tr>
      <w:tr w:rsidR="001D3405" w:rsidRPr="00183E4D" w14:paraId="746C7983" w14:textId="77777777" w:rsidTr="00697326">
        <w:trPr>
          <w:trHeight w:val="20"/>
        </w:trPr>
        <w:tc>
          <w:tcPr>
            <w:tcW w:w="1724" w:type="pct"/>
          </w:tcPr>
          <w:p w14:paraId="148FE833" w14:textId="77777777" w:rsidR="001D3405" w:rsidRPr="00183E4D" w:rsidRDefault="001D3405" w:rsidP="001D3405">
            <w:pPr>
              <w:pStyle w:val="Tabletext0"/>
              <w:rPr>
                <w:b/>
              </w:rPr>
            </w:pPr>
            <w:r w:rsidRPr="00183E4D">
              <w:rPr>
                <w:b/>
              </w:rPr>
              <w:t>Sources of evidence</w:t>
            </w:r>
          </w:p>
        </w:tc>
        <w:tc>
          <w:tcPr>
            <w:tcW w:w="3276" w:type="pct"/>
          </w:tcPr>
          <w:p w14:paraId="6FCBB1AF" w14:textId="77777777" w:rsidR="001D3405" w:rsidRPr="00F0218F" w:rsidRDefault="001D3405" w:rsidP="001D3405">
            <w:pPr>
              <w:pStyle w:val="Tabletext0"/>
              <w:rPr>
                <w:vanish/>
              </w:rPr>
            </w:pPr>
            <w:proofErr w:type="spellStart"/>
            <w:r w:rsidRPr="00F0218F">
              <w:t>Haydu</w:t>
            </w:r>
            <w:proofErr w:type="spellEnd"/>
            <w:r w:rsidRPr="00F0218F">
              <w:t xml:space="preserve"> et al. 2017, Morton et al. 2014, </w:t>
            </w:r>
            <w:proofErr w:type="spellStart"/>
            <w:r w:rsidRPr="00F0218F">
              <w:t>Faries</w:t>
            </w:r>
            <w:proofErr w:type="spellEnd"/>
            <w:r w:rsidRPr="00F0218F">
              <w:t xml:space="preserve"> 2010, </w:t>
            </w:r>
            <w:proofErr w:type="spellStart"/>
            <w:r w:rsidRPr="00F0218F">
              <w:t>Faries</w:t>
            </w:r>
            <w:proofErr w:type="spellEnd"/>
            <w:r w:rsidRPr="00F0218F">
              <w:t xml:space="preserve"> et a</w:t>
            </w:r>
            <w:r w:rsidR="00067DD1">
              <w:t>l. 2017</w:t>
            </w:r>
          </w:p>
        </w:tc>
      </w:tr>
      <w:tr w:rsidR="001D3405" w:rsidRPr="00183E4D" w14:paraId="64689540" w14:textId="77777777" w:rsidTr="00697326">
        <w:trPr>
          <w:trHeight w:val="20"/>
        </w:trPr>
        <w:tc>
          <w:tcPr>
            <w:tcW w:w="1724" w:type="pct"/>
            <w:hideMark/>
          </w:tcPr>
          <w:p w14:paraId="007E8902" w14:textId="77777777" w:rsidR="001D3405" w:rsidRPr="00183E4D" w:rsidRDefault="001D3405" w:rsidP="001D3405">
            <w:pPr>
              <w:pStyle w:val="Tabletext0"/>
              <w:rPr>
                <w:b/>
              </w:rPr>
            </w:pPr>
            <w:r w:rsidRPr="00183E4D">
              <w:rPr>
                <w:b/>
              </w:rPr>
              <w:t>Time horizon</w:t>
            </w:r>
          </w:p>
        </w:tc>
        <w:tc>
          <w:tcPr>
            <w:tcW w:w="3276" w:type="pct"/>
            <w:hideMark/>
          </w:tcPr>
          <w:p w14:paraId="115AD34B" w14:textId="77777777" w:rsidR="001D3405" w:rsidRPr="00F0218F" w:rsidRDefault="001D3405" w:rsidP="001D3405">
            <w:pPr>
              <w:pStyle w:val="Tabletext0"/>
              <w:rPr>
                <w:vanish/>
              </w:rPr>
            </w:pPr>
            <w:r w:rsidRPr="00F0218F">
              <w:t>12 months</w:t>
            </w:r>
          </w:p>
        </w:tc>
      </w:tr>
      <w:tr w:rsidR="001D3405" w:rsidRPr="00183E4D" w14:paraId="6E9F51AC" w14:textId="77777777" w:rsidTr="00697326">
        <w:trPr>
          <w:trHeight w:val="20"/>
        </w:trPr>
        <w:tc>
          <w:tcPr>
            <w:tcW w:w="1724" w:type="pct"/>
            <w:hideMark/>
          </w:tcPr>
          <w:p w14:paraId="1B3295A7" w14:textId="77777777" w:rsidR="001D3405" w:rsidRPr="00183E4D" w:rsidRDefault="001D3405" w:rsidP="001D3405">
            <w:pPr>
              <w:pStyle w:val="Tabletext0"/>
              <w:rPr>
                <w:b/>
              </w:rPr>
            </w:pPr>
            <w:r>
              <w:rPr>
                <w:b/>
              </w:rPr>
              <w:t>Benefit</w:t>
            </w:r>
          </w:p>
        </w:tc>
        <w:tc>
          <w:tcPr>
            <w:tcW w:w="3276" w:type="pct"/>
          </w:tcPr>
          <w:p w14:paraId="7EA3D7EB" w14:textId="77777777" w:rsidR="001D3405" w:rsidRPr="00F0218F" w:rsidRDefault="001D3405" w:rsidP="001D3405">
            <w:pPr>
              <w:pStyle w:val="Tabletext0"/>
            </w:pPr>
            <w:r w:rsidRPr="00F0218F">
              <w:t>Number of additional patients eligible for adjuvant therapy</w:t>
            </w:r>
          </w:p>
        </w:tc>
      </w:tr>
      <w:tr w:rsidR="001D3405" w:rsidRPr="00183E4D" w14:paraId="31AB37E0" w14:textId="77777777" w:rsidTr="00697326">
        <w:trPr>
          <w:trHeight w:val="20"/>
        </w:trPr>
        <w:tc>
          <w:tcPr>
            <w:tcW w:w="1724" w:type="pct"/>
            <w:hideMark/>
          </w:tcPr>
          <w:p w14:paraId="710D24B3" w14:textId="77777777" w:rsidR="001D3405" w:rsidRPr="00183E4D" w:rsidRDefault="001D3405" w:rsidP="001D3405">
            <w:pPr>
              <w:pStyle w:val="Tabletext0"/>
              <w:rPr>
                <w:b/>
              </w:rPr>
            </w:pPr>
            <w:r w:rsidRPr="00183E4D">
              <w:rPr>
                <w:b/>
              </w:rPr>
              <w:t>Methods used to generate results</w:t>
            </w:r>
          </w:p>
        </w:tc>
        <w:tc>
          <w:tcPr>
            <w:tcW w:w="3276" w:type="pct"/>
          </w:tcPr>
          <w:p w14:paraId="2045D28D" w14:textId="77777777" w:rsidR="001D3405" w:rsidRPr="00F0218F" w:rsidRDefault="001D3405" w:rsidP="001D3405">
            <w:pPr>
              <w:pStyle w:val="Tabletext0"/>
            </w:pPr>
            <w:r w:rsidRPr="00F0218F">
              <w:t>Expected cohort analysis using decision tree model</w:t>
            </w:r>
          </w:p>
        </w:tc>
      </w:tr>
      <w:tr w:rsidR="001D3405" w:rsidRPr="00183E4D" w14:paraId="0432F13B" w14:textId="77777777" w:rsidTr="00697326">
        <w:trPr>
          <w:trHeight w:val="20"/>
        </w:trPr>
        <w:tc>
          <w:tcPr>
            <w:tcW w:w="1724" w:type="pct"/>
            <w:hideMark/>
          </w:tcPr>
          <w:p w14:paraId="108B5F40" w14:textId="77777777" w:rsidR="001D3405" w:rsidRPr="00183E4D" w:rsidRDefault="001D3405" w:rsidP="001D3405">
            <w:pPr>
              <w:pStyle w:val="Tabletext0"/>
              <w:rPr>
                <w:b/>
              </w:rPr>
            </w:pPr>
            <w:r w:rsidRPr="00183E4D">
              <w:rPr>
                <w:b/>
              </w:rPr>
              <w:t>Discount rate</w:t>
            </w:r>
          </w:p>
        </w:tc>
        <w:tc>
          <w:tcPr>
            <w:tcW w:w="3276" w:type="pct"/>
          </w:tcPr>
          <w:p w14:paraId="4DD1C9AE" w14:textId="77777777" w:rsidR="001D3405" w:rsidRPr="00183E4D" w:rsidRDefault="001D3405" w:rsidP="001D3405">
            <w:pPr>
              <w:pStyle w:val="Tabletext0"/>
            </w:pPr>
            <w:r>
              <w:t>Not applicable</w:t>
            </w:r>
          </w:p>
        </w:tc>
      </w:tr>
      <w:tr w:rsidR="001D3405" w:rsidRPr="00183E4D" w14:paraId="30B5ABA0" w14:textId="77777777" w:rsidTr="00697326">
        <w:trPr>
          <w:trHeight w:val="20"/>
        </w:trPr>
        <w:tc>
          <w:tcPr>
            <w:tcW w:w="1724" w:type="pct"/>
            <w:hideMark/>
          </w:tcPr>
          <w:p w14:paraId="315D0FD1" w14:textId="77777777" w:rsidR="001D3405" w:rsidRPr="00183E4D" w:rsidRDefault="001D3405" w:rsidP="001D3405">
            <w:pPr>
              <w:pStyle w:val="Tabletext0"/>
              <w:rPr>
                <w:b/>
              </w:rPr>
            </w:pPr>
            <w:r w:rsidRPr="00183E4D">
              <w:rPr>
                <w:b/>
              </w:rPr>
              <w:t>Software packages used</w:t>
            </w:r>
          </w:p>
        </w:tc>
        <w:tc>
          <w:tcPr>
            <w:tcW w:w="3276" w:type="pct"/>
          </w:tcPr>
          <w:p w14:paraId="5A34A548" w14:textId="77777777" w:rsidR="001D3405" w:rsidRPr="00183E4D" w:rsidRDefault="001D3405" w:rsidP="001D3405">
            <w:pPr>
              <w:pStyle w:val="Tabletext0"/>
            </w:pPr>
            <w:r>
              <w:t>Microsoft Excel 2016</w:t>
            </w:r>
          </w:p>
        </w:tc>
      </w:tr>
    </w:tbl>
    <w:p w14:paraId="4485E541" w14:textId="77777777" w:rsidR="001D3405" w:rsidRDefault="001D3405" w:rsidP="001D3405">
      <w:pPr>
        <w:rPr>
          <w:rFonts w:ascii="Arial Narrow" w:hAnsi="Arial Narrow"/>
          <w:sz w:val="18"/>
        </w:rPr>
      </w:pPr>
      <w:r w:rsidRPr="00584F82">
        <w:rPr>
          <w:rFonts w:ascii="Arial Narrow" w:hAnsi="Arial Narrow"/>
          <w:sz w:val="18"/>
        </w:rPr>
        <w:t>CLND</w:t>
      </w:r>
      <w:r>
        <w:rPr>
          <w:rFonts w:ascii="Arial Narrow" w:hAnsi="Arial Narrow"/>
          <w:sz w:val="18"/>
        </w:rPr>
        <w:t xml:space="preserve"> </w:t>
      </w:r>
      <w:r w:rsidRPr="00584F82">
        <w:rPr>
          <w:rFonts w:ascii="Arial Narrow" w:hAnsi="Arial Narrow"/>
          <w:sz w:val="18"/>
        </w:rPr>
        <w:t>= completion lymph-node dissection</w:t>
      </w:r>
      <w:r>
        <w:rPr>
          <w:rFonts w:ascii="Arial Narrow" w:hAnsi="Arial Narrow"/>
          <w:sz w:val="18"/>
        </w:rPr>
        <w:t>;</w:t>
      </w:r>
      <w:r w:rsidRPr="00584F82">
        <w:rPr>
          <w:rFonts w:ascii="Arial Narrow" w:hAnsi="Arial Narrow"/>
          <w:sz w:val="18"/>
        </w:rPr>
        <w:t xml:space="preserve"> SLN</w:t>
      </w:r>
      <w:r>
        <w:rPr>
          <w:rFonts w:ascii="Arial Narrow" w:hAnsi="Arial Narrow"/>
          <w:sz w:val="18"/>
        </w:rPr>
        <w:t xml:space="preserve"> </w:t>
      </w:r>
      <w:r w:rsidRPr="00584F82">
        <w:rPr>
          <w:rFonts w:ascii="Arial Narrow" w:hAnsi="Arial Narrow"/>
          <w:sz w:val="18"/>
        </w:rPr>
        <w:t xml:space="preserve">= sentinel lymph node; </w:t>
      </w:r>
      <w:proofErr w:type="spellStart"/>
      <w:r w:rsidRPr="00584F82">
        <w:rPr>
          <w:rFonts w:ascii="Arial Narrow" w:hAnsi="Arial Narrow"/>
          <w:sz w:val="18"/>
        </w:rPr>
        <w:t>SLNB</w:t>
      </w:r>
      <w:r>
        <w:rPr>
          <w:rFonts w:ascii="Arial Narrow" w:hAnsi="Arial Narrow"/>
          <w:sz w:val="18"/>
        </w:rPr>
        <w:t>x</w:t>
      </w:r>
      <w:proofErr w:type="spellEnd"/>
      <w:r w:rsidRPr="00584F82">
        <w:rPr>
          <w:rFonts w:ascii="Arial Narrow" w:hAnsi="Arial Narrow"/>
          <w:sz w:val="18"/>
        </w:rPr>
        <w:t xml:space="preserve"> = sentinel lymph node biopsy; </w:t>
      </w:r>
      <w:r>
        <w:rPr>
          <w:rFonts w:ascii="Arial Narrow" w:hAnsi="Arial Narrow"/>
          <w:sz w:val="18"/>
        </w:rPr>
        <w:t>WLE = wide lymph node excision</w:t>
      </w:r>
    </w:p>
    <w:p w14:paraId="5FB8B711" w14:textId="77777777" w:rsidR="001D3405" w:rsidRPr="00584F82" w:rsidRDefault="001D3405" w:rsidP="001D3405">
      <w:pPr>
        <w:spacing w:after="240"/>
        <w:rPr>
          <w:rFonts w:ascii="Arial Narrow" w:hAnsi="Arial Narrow"/>
          <w:sz w:val="18"/>
        </w:rPr>
      </w:pPr>
      <w:r>
        <w:rPr>
          <w:rFonts w:ascii="Arial Narrow" w:hAnsi="Arial Narrow"/>
          <w:sz w:val="18"/>
        </w:rPr>
        <w:t>Source: Table 6, pp24-25 of the DCAR</w:t>
      </w:r>
    </w:p>
    <w:p w14:paraId="4C53F9D1" w14:textId="77777777" w:rsidR="001D3405" w:rsidRDefault="001D3405" w:rsidP="001D3405">
      <w:r w:rsidRPr="00183E4D">
        <w:t>Key structural assumptions of the</w:t>
      </w:r>
      <w:r>
        <w:t xml:space="preserve"> DCAR’s</w:t>
      </w:r>
      <w:r w:rsidRPr="00183E4D">
        <w:t xml:space="preserve"> model are:</w:t>
      </w:r>
    </w:p>
    <w:p w14:paraId="4CA39D51" w14:textId="77777777" w:rsidR="001D3405" w:rsidRDefault="001D3405" w:rsidP="001D3405">
      <w:pPr>
        <w:pStyle w:val="ListParagraph"/>
        <w:numPr>
          <w:ilvl w:val="0"/>
          <w:numId w:val="9"/>
        </w:numPr>
      </w:pPr>
      <w:r>
        <w:t xml:space="preserve">It </w:t>
      </w:r>
      <w:proofErr w:type="gramStart"/>
      <w:r>
        <w:t>was assumed</w:t>
      </w:r>
      <w:proofErr w:type="gramEnd"/>
      <w:r>
        <w:t xml:space="preserve"> that all patients with a positive </w:t>
      </w:r>
      <w:proofErr w:type="spellStart"/>
      <w:r>
        <w:t>SLNBx</w:t>
      </w:r>
      <w:proofErr w:type="spellEnd"/>
      <w:r>
        <w:t xml:space="preserve"> had a true positive result and patients with a negative </w:t>
      </w:r>
      <w:proofErr w:type="spellStart"/>
      <w:r>
        <w:t>SLNBx</w:t>
      </w:r>
      <w:proofErr w:type="spellEnd"/>
      <w:r>
        <w:t xml:space="preserve"> had a true negative result, as the diagnostic accuracy of </w:t>
      </w:r>
      <w:proofErr w:type="spellStart"/>
      <w:r>
        <w:t>SLNBx</w:t>
      </w:r>
      <w:proofErr w:type="spellEnd"/>
      <w:r>
        <w:t xml:space="preserve"> could not be established. The proportion of false negative results could only be determined through clinical follow up.</w:t>
      </w:r>
    </w:p>
    <w:p w14:paraId="3BD716D3" w14:textId="77777777" w:rsidR="001D3405" w:rsidRDefault="001D3405" w:rsidP="001D3405">
      <w:pPr>
        <w:pStyle w:val="ListParagraph"/>
        <w:numPr>
          <w:ilvl w:val="0"/>
          <w:numId w:val="9"/>
        </w:numPr>
      </w:pPr>
      <w:r>
        <w:t xml:space="preserve">It </w:t>
      </w:r>
      <w:proofErr w:type="gramStart"/>
      <w:r>
        <w:t>was assumed</w:t>
      </w:r>
      <w:proofErr w:type="gramEnd"/>
      <w:r>
        <w:t xml:space="preserve"> that the proportion of patients who would be eligible for potential adjuvant therapy after undergoing </w:t>
      </w:r>
      <w:proofErr w:type="spellStart"/>
      <w:r>
        <w:t>SLNBx</w:t>
      </w:r>
      <w:proofErr w:type="spellEnd"/>
      <w:r>
        <w:t xml:space="preserve"> are those identified with Stage IIIB, Stage IIIC or Stage IIID melanoma. However, the proportion of patients with a </w:t>
      </w:r>
      <w:r w:rsidRPr="006C2152">
        <w:rPr>
          <w:i/>
        </w:rPr>
        <w:t xml:space="preserve">BRAF </w:t>
      </w:r>
      <w:r>
        <w:t xml:space="preserve">mutation </w:t>
      </w:r>
      <w:proofErr w:type="gramStart"/>
      <w:r>
        <w:t>was not considered</w:t>
      </w:r>
      <w:proofErr w:type="gramEnd"/>
      <w:r>
        <w:t xml:space="preserve"> by the DCAR.</w:t>
      </w:r>
    </w:p>
    <w:p w14:paraId="44CE161A" w14:textId="5D0FB8D1" w:rsidR="001D3405" w:rsidRDefault="001D3405" w:rsidP="001D3405">
      <w:pPr>
        <w:pStyle w:val="ListParagraph"/>
        <w:numPr>
          <w:ilvl w:val="0"/>
          <w:numId w:val="9"/>
        </w:numPr>
      </w:pPr>
      <w:r>
        <w:t xml:space="preserve">It </w:t>
      </w:r>
      <w:proofErr w:type="gramStart"/>
      <w:r>
        <w:t>was assumed</w:t>
      </w:r>
      <w:proofErr w:type="gramEnd"/>
      <w:r>
        <w:t xml:space="preserve"> that all patients who developed a nodal metastasis within the first year of surveillance and underwent therapeutic CLND in the surveillance arm (comparator) would be eligible for adjuvant therapy. Although a sensitivity analysis </w:t>
      </w:r>
      <w:proofErr w:type="gramStart"/>
      <w:r>
        <w:t>was considered</w:t>
      </w:r>
      <w:proofErr w:type="gramEnd"/>
      <w:r>
        <w:t xml:space="preserve"> for this by lowering this parameter, the results were not reported in the DCAR.</w:t>
      </w:r>
    </w:p>
    <w:p w14:paraId="3132B7BE" w14:textId="77777777" w:rsidR="001D3405" w:rsidRDefault="001D3405" w:rsidP="003D72FA">
      <w:pPr>
        <w:spacing w:before="240" w:after="240"/>
      </w:pPr>
      <w:r>
        <w:t xml:space="preserve">The DCAR’s estimation of the incremental cost effectiveness ratio (ICER) per additional patient eligible for adjuvant therapy for </w:t>
      </w:r>
      <w:proofErr w:type="spellStart"/>
      <w:r>
        <w:t>SLNBx</w:t>
      </w:r>
      <w:proofErr w:type="spellEnd"/>
      <w:r>
        <w:t xml:space="preserve"> over surv</w:t>
      </w:r>
      <w:r w:rsidR="008237C2">
        <w:t xml:space="preserve">eillance </w:t>
      </w:r>
      <w:proofErr w:type="gramStart"/>
      <w:r w:rsidR="008237C2">
        <w:t>is presented</w:t>
      </w:r>
      <w:proofErr w:type="gramEnd"/>
      <w:r w:rsidR="008237C2">
        <w:t xml:space="preserve"> in Table 9</w:t>
      </w:r>
      <w:r w:rsidR="009B26FE">
        <w:t>.</w:t>
      </w:r>
    </w:p>
    <w:p w14:paraId="01BFB4C4" w14:textId="77777777" w:rsidR="001D3405" w:rsidRPr="00261B83" w:rsidRDefault="001D3405" w:rsidP="00261B83">
      <w:pPr>
        <w:spacing w:before="240"/>
        <w:rPr>
          <w:rFonts w:ascii="Arial Narrow" w:hAnsi="Arial Narrow"/>
          <w:b/>
          <w:sz w:val="20"/>
        </w:rPr>
      </w:pPr>
      <w:bookmarkStart w:id="17" w:name="_Ref30086423"/>
      <w:bookmarkStart w:id="18" w:name="_Toc30088404"/>
      <w:r w:rsidRPr="00261B83">
        <w:rPr>
          <w:rFonts w:ascii="Arial Narrow" w:hAnsi="Arial Narrow"/>
          <w:b/>
          <w:sz w:val="20"/>
        </w:rPr>
        <w:t>Table</w:t>
      </w:r>
      <w:bookmarkEnd w:id="17"/>
      <w:r w:rsidRPr="00261B83">
        <w:rPr>
          <w:rFonts w:ascii="Arial Narrow" w:hAnsi="Arial Narrow"/>
          <w:b/>
          <w:sz w:val="20"/>
        </w:rPr>
        <w:t xml:space="preserve"> </w:t>
      </w:r>
      <w:r w:rsidR="008237C2" w:rsidRPr="00261B83">
        <w:rPr>
          <w:rFonts w:ascii="Arial Narrow" w:hAnsi="Arial Narrow"/>
          <w:b/>
          <w:sz w:val="20"/>
        </w:rPr>
        <w:t>9</w:t>
      </w:r>
      <w:r w:rsidRPr="00261B83">
        <w:rPr>
          <w:rFonts w:ascii="Arial Narrow" w:hAnsi="Arial Narrow"/>
          <w:b/>
          <w:sz w:val="20"/>
        </w:rPr>
        <w:t xml:space="preserve">: </w:t>
      </w:r>
      <w:bookmarkStart w:id="19" w:name="_Toc30088405"/>
      <w:bookmarkEnd w:id="18"/>
      <w:r w:rsidRPr="00261B83">
        <w:rPr>
          <w:rFonts w:ascii="Arial Narrow" w:hAnsi="Arial Narrow"/>
          <w:b/>
          <w:sz w:val="20"/>
        </w:rPr>
        <w:t>Base case incremental cost-effectiveness ratio</w:t>
      </w:r>
      <w:bookmarkEnd w:id="19"/>
    </w:p>
    <w:tbl>
      <w:tblPr>
        <w:tblStyle w:val="TableGrid2"/>
        <w:tblW w:w="5000" w:type="pct"/>
        <w:tblCellMar>
          <w:left w:w="28" w:type="dxa"/>
          <w:right w:w="28" w:type="dxa"/>
        </w:tblCellMar>
        <w:tblLook w:val="04A0" w:firstRow="1" w:lastRow="0" w:firstColumn="1" w:lastColumn="0" w:noHBand="0" w:noVBand="1"/>
        <w:tblCaption w:val="Table 9: Base case incremental cost-effectiveness ratio"/>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1591"/>
        <w:gridCol w:w="1060"/>
        <w:gridCol w:w="1461"/>
        <w:gridCol w:w="2122"/>
        <w:gridCol w:w="1722"/>
        <w:gridCol w:w="1060"/>
      </w:tblGrid>
      <w:tr w:rsidR="001D3405" w:rsidRPr="00183E4D" w14:paraId="156F1551" w14:textId="77777777" w:rsidTr="00A46036">
        <w:trPr>
          <w:cnfStyle w:val="100000000000" w:firstRow="1" w:lastRow="0" w:firstColumn="0" w:lastColumn="0" w:oddVBand="0" w:evenVBand="0" w:oddHBand="0" w:evenHBand="0" w:firstRowFirstColumn="0" w:firstRowLastColumn="0" w:lastRowFirstColumn="0" w:lastRowLastColumn="0"/>
          <w:trHeight w:val="776"/>
          <w:tblHeader/>
        </w:trPr>
        <w:tc>
          <w:tcPr>
            <w:tcW w:w="882" w:type="pct"/>
          </w:tcPr>
          <w:p w14:paraId="32867448" w14:textId="77777777" w:rsidR="001D3405" w:rsidRPr="00183E4D" w:rsidRDefault="001D3405" w:rsidP="001D3405">
            <w:pPr>
              <w:keepNext/>
              <w:spacing w:after="40"/>
              <w:jc w:val="both"/>
              <w:rPr>
                <w:b/>
              </w:rPr>
            </w:pPr>
            <w:r w:rsidRPr="00CC062A">
              <w:rPr>
                <w:b/>
              </w:rPr>
              <w:t>Description</w:t>
            </w:r>
          </w:p>
        </w:tc>
        <w:tc>
          <w:tcPr>
            <w:tcW w:w="588" w:type="pct"/>
          </w:tcPr>
          <w:p w14:paraId="6B27C705" w14:textId="77777777" w:rsidR="001D3405" w:rsidRPr="00183E4D" w:rsidRDefault="001D3405" w:rsidP="001D3405">
            <w:pPr>
              <w:keepNext/>
              <w:spacing w:after="40"/>
              <w:jc w:val="center"/>
              <w:rPr>
                <w:b/>
              </w:rPr>
            </w:pPr>
            <w:r w:rsidRPr="00183E4D">
              <w:rPr>
                <w:b/>
              </w:rPr>
              <w:t>Cost</w:t>
            </w:r>
          </w:p>
        </w:tc>
        <w:tc>
          <w:tcPr>
            <w:tcW w:w="810" w:type="pct"/>
          </w:tcPr>
          <w:p w14:paraId="700B0BFD" w14:textId="77777777" w:rsidR="001D3405" w:rsidRPr="00183E4D" w:rsidRDefault="001D3405" w:rsidP="001D3405">
            <w:pPr>
              <w:keepNext/>
              <w:spacing w:after="40"/>
              <w:jc w:val="center"/>
              <w:rPr>
                <w:b/>
              </w:rPr>
            </w:pPr>
            <w:r w:rsidRPr="00183E4D">
              <w:rPr>
                <w:b/>
              </w:rPr>
              <w:t>Incremental cost</w:t>
            </w:r>
          </w:p>
        </w:tc>
        <w:tc>
          <w:tcPr>
            <w:tcW w:w="1177" w:type="pct"/>
          </w:tcPr>
          <w:p w14:paraId="72D7EECE" w14:textId="77777777" w:rsidR="001D3405" w:rsidRDefault="001D3405" w:rsidP="001D3405">
            <w:pPr>
              <w:keepNext/>
              <w:spacing w:after="40"/>
              <w:jc w:val="center"/>
              <w:rPr>
                <w:b/>
              </w:rPr>
            </w:pPr>
            <w:r>
              <w:rPr>
                <w:b/>
              </w:rPr>
              <w:t>Effectiveness</w:t>
            </w:r>
          </w:p>
          <w:p w14:paraId="60F14574" w14:textId="77777777" w:rsidR="001D3405" w:rsidRPr="00D764A7" w:rsidRDefault="001D3405" w:rsidP="001D3405">
            <w:pPr>
              <w:keepNext/>
              <w:spacing w:after="40"/>
              <w:jc w:val="center"/>
            </w:pPr>
            <w:r>
              <w:t>(n</w:t>
            </w:r>
            <w:r w:rsidRPr="00542F50">
              <w:t>umber of patients eligible for adjuvant therapy)</w:t>
            </w:r>
          </w:p>
        </w:tc>
        <w:tc>
          <w:tcPr>
            <w:tcW w:w="955" w:type="pct"/>
          </w:tcPr>
          <w:p w14:paraId="23024D48" w14:textId="77777777" w:rsidR="001D3405" w:rsidRDefault="001D3405" w:rsidP="001D3405">
            <w:pPr>
              <w:keepNext/>
              <w:spacing w:after="40"/>
              <w:jc w:val="center"/>
              <w:rPr>
                <w:b/>
              </w:rPr>
            </w:pPr>
            <w:r w:rsidRPr="00183E4D">
              <w:rPr>
                <w:b/>
              </w:rPr>
              <w:t>Incremental effectiveness</w:t>
            </w:r>
          </w:p>
          <w:p w14:paraId="2A5B8A57" w14:textId="77777777" w:rsidR="001D3405" w:rsidRPr="00183E4D" w:rsidRDefault="001D3405" w:rsidP="001D3405">
            <w:pPr>
              <w:keepNext/>
              <w:spacing w:after="40"/>
              <w:jc w:val="center"/>
              <w:rPr>
                <w:b/>
              </w:rPr>
            </w:pPr>
            <w:r>
              <w:t>(n</w:t>
            </w:r>
            <w:r w:rsidRPr="00542F50">
              <w:t>umber of patients</w:t>
            </w:r>
            <w:r>
              <w:t>)</w:t>
            </w:r>
          </w:p>
        </w:tc>
        <w:tc>
          <w:tcPr>
            <w:tcW w:w="588" w:type="pct"/>
          </w:tcPr>
          <w:p w14:paraId="14D6F483" w14:textId="77777777" w:rsidR="001D3405" w:rsidRDefault="001D3405" w:rsidP="001D3405">
            <w:pPr>
              <w:keepNext/>
              <w:spacing w:after="40"/>
              <w:jc w:val="center"/>
              <w:rPr>
                <w:b/>
              </w:rPr>
            </w:pPr>
            <w:r>
              <w:rPr>
                <w:b/>
              </w:rPr>
              <w:t>ICER</w:t>
            </w:r>
          </w:p>
        </w:tc>
      </w:tr>
      <w:tr w:rsidR="001D3405" w:rsidRPr="00183E4D" w14:paraId="267C82F6" w14:textId="77777777" w:rsidTr="001D3405">
        <w:trPr>
          <w:trHeight w:val="224"/>
        </w:trPr>
        <w:tc>
          <w:tcPr>
            <w:tcW w:w="882" w:type="pct"/>
          </w:tcPr>
          <w:p w14:paraId="61918217" w14:textId="77777777" w:rsidR="001D3405" w:rsidRPr="00133A8D" w:rsidRDefault="001D3405" w:rsidP="001D3405">
            <w:pPr>
              <w:spacing w:after="40"/>
              <w:jc w:val="both"/>
              <w:rPr>
                <w:highlight w:val="cyan"/>
              </w:rPr>
            </w:pPr>
            <w:proofErr w:type="spellStart"/>
            <w:r w:rsidRPr="00395DDD">
              <w:t>SLNBx</w:t>
            </w:r>
            <w:proofErr w:type="spellEnd"/>
            <w:r>
              <w:t xml:space="preserve"> </w:t>
            </w:r>
            <w:r w:rsidRPr="00395DDD">
              <w:t>+ WLE</w:t>
            </w:r>
          </w:p>
        </w:tc>
        <w:tc>
          <w:tcPr>
            <w:tcW w:w="588" w:type="pct"/>
          </w:tcPr>
          <w:p w14:paraId="26389901" w14:textId="77777777" w:rsidR="001D3405" w:rsidRPr="00183E4D" w:rsidRDefault="001D3405" w:rsidP="001D3405">
            <w:pPr>
              <w:spacing w:after="40"/>
              <w:jc w:val="center"/>
            </w:pPr>
            <w:r>
              <w:t>$593,870.31</w:t>
            </w:r>
          </w:p>
        </w:tc>
        <w:tc>
          <w:tcPr>
            <w:tcW w:w="810" w:type="pct"/>
          </w:tcPr>
          <w:p w14:paraId="64527D60" w14:textId="77777777" w:rsidR="001D3405" w:rsidRPr="00183E4D" w:rsidRDefault="001D3405" w:rsidP="001D3405">
            <w:pPr>
              <w:spacing w:after="40"/>
              <w:jc w:val="center"/>
            </w:pPr>
            <w:r>
              <w:t>$333,075.47</w:t>
            </w:r>
          </w:p>
        </w:tc>
        <w:tc>
          <w:tcPr>
            <w:tcW w:w="1177" w:type="pct"/>
          </w:tcPr>
          <w:p w14:paraId="4BA0A6B0" w14:textId="77777777" w:rsidR="001D3405" w:rsidRPr="00183E4D" w:rsidRDefault="001D3405" w:rsidP="001D3405">
            <w:pPr>
              <w:spacing w:after="40"/>
              <w:jc w:val="center"/>
            </w:pPr>
            <w:r>
              <w:t>15</w:t>
            </w:r>
          </w:p>
        </w:tc>
        <w:tc>
          <w:tcPr>
            <w:tcW w:w="955" w:type="pct"/>
          </w:tcPr>
          <w:p w14:paraId="6D278D78" w14:textId="77777777" w:rsidR="001D3405" w:rsidRPr="00183E4D" w:rsidRDefault="001D3405" w:rsidP="001D3405">
            <w:pPr>
              <w:spacing w:after="40"/>
              <w:jc w:val="center"/>
            </w:pPr>
            <w:r>
              <w:t>11.64</w:t>
            </w:r>
          </w:p>
        </w:tc>
        <w:tc>
          <w:tcPr>
            <w:tcW w:w="588" w:type="pct"/>
          </w:tcPr>
          <w:p w14:paraId="216B2523" w14:textId="77777777" w:rsidR="001D3405" w:rsidRDefault="001D3405" w:rsidP="001D3405">
            <w:pPr>
              <w:spacing w:after="40"/>
              <w:jc w:val="center"/>
            </w:pPr>
            <w:r>
              <w:t>$28,622.80</w:t>
            </w:r>
          </w:p>
        </w:tc>
      </w:tr>
      <w:tr w:rsidR="001D3405" w:rsidRPr="00183E4D" w14:paraId="2836D6D3" w14:textId="77777777" w:rsidTr="001D3405">
        <w:trPr>
          <w:trHeight w:val="232"/>
        </w:trPr>
        <w:tc>
          <w:tcPr>
            <w:tcW w:w="882" w:type="pct"/>
          </w:tcPr>
          <w:p w14:paraId="11B8E9A4" w14:textId="77777777" w:rsidR="001D3405" w:rsidRPr="00133A8D" w:rsidRDefault="001D3405" w:rsidP="001D3405">
            <w:pPr>
              <w:spacing w:after="40"/>
              <w:jc w:val="both"/>
              <w:rPr>
                <w:highlight w:val="cyan"/>
              </w:rPr>
            </w:pPr>
            <w:r>
              <w:t>S</w:t>
            </w:r>
            <w:r w:rsidRPr="00395DDD">
              <w:t>urveillance</w:t>
            </w:r>
            <w:r>
              <w:t xml:space="preserve"> + WLE</w:t>
            </w:r>
          </w:p>
        </w:tc>
        <w:tc>
          <w:tcPr>
            <w:tcW w:w="588" w:type="pct"/>
          </w:tcPr>
          <w:p w14:paraId="7DE7FCFC" w14:textId="77777777" w:rsidR="001D3405" w:rsidRPr="00183E4D" w:rsidRDefault="001D3405" w:rsidP="001D3405">
            <w:pPr>
              <w:spacing w:after="40"/>
              <w:jc w:val="center"/>
            </w:pPr>
            <w:r>
              <w:t>$260,794.84</w:t>
            </w:r>
          </w:p>
        </w:tc>
        <w:tc>
          <w:tcPr>
            <w:tcW w:w="810" w:type="pct"/>
          </w:tcPr>
          <w:p w14:paraId="47E14988" w14:textId="77777777" w:rsidR="001D3405" w:rsidRPr="00183E4D" w:rsidRDefault="001D3405" w:rsidP="001D3405">
            <w:pPr>
              <w:spacing w:after="40"/>
              <w:jc w:val="center"/>
            </w:pPr>
            <w:r>
              <w:t>-</w:t>
            </w:r>
          </w:p>
        </w:tc>
        <w:tc>
          <w:tcPr>
            <w:tcW w:w="1177" w:type="pct"/>
          </w:tcPr>
          <w:p w14:paraId="28CEB528" w14:textId="77777777" w:rsidR="001D3405" w:rsidRPr="00183E4D" w:rsidRDefault="001D3405" w:rsidP="001D3405">
            <w:pPr>
              <w:spacing w:after="40"/>
              <w:jc w:val="center"/>
            </w:pPr>
            <w:r>
              <w:t>3.34</w:t>
            </w:r>
          </w:p>
        </w:tc>
        <w:tc>
          <w:tcPr>
            <w:tcW w:w="955" w:type="pct"/>
          </w:tcPr>
          <w:p w14:paraId="1D0895B4" w14:textId="77777777" w:rsidR="001D3405" w:rsidRPr="00183E4D" w:rsidRDefault="001D3405" w:rsidP="001D3405">
            <w:pPr>
              <w:spacing w:after="40"/>
              <w:jc w:val="center"/>
            </w:pPr>
            <w:r>
              <w:t>-</w:t>
            </w:r>
          </w:p>
        </w:tc>
        <w:tc>
          <w:tcPr>
            <w:tcW w:w="588" w:type="pct"/>
          </w:tcPr>
          <w:p w14:paraId="6D63C985" w14:textId="77777777" w:rsidR="001D3405" w:rsidRDefault="001D3405" w:rsidP="001D3405">
            <w:pPr>
              <w:spacing w:after="40"/>
              <w:jc w:val="center"/>
            </w:pPr>
          </w:p>
        </w:tc>
      </w:tr>
    </w:tbl>
    <w:p w14:paraId="5ADC1885" w14:textId="77777777" w:rsidR="001D3405" w:rsidRDefault="001D3405" w:rsidP="001D3405">
      <w:pPr>
        <w:pStyle w:val="TableFooter"/>
        <w:jc w:val="left"/>
      </w:pPr>
      <w:r>
        <w:t xml:space="preserve">ICER = incremental cost-effectiveness ratio; </w:t>
      </w:r>
      <w:proofErr w:type="spellStart"/>
      <w:r w:rsidDel="000E14A6">
        <w:t>SLNBx</w:t>
      </w:r>
      <w:proofErr w:type="spellEnd"/>
      <w:r w:rsidDel="000E14A6">
        <w:t xml:space="preserve"> = sentinel lymph node biopsy; WLE = wide local excision</w:t>
      </w:r>
    </w:p>
    <w:p w14:paraId="48A5852D" w14:textId="77777777" w:rsidR="001D3405" w:rsidRDefault="001D3405" w:rsidP="001D3405">
      <w:pPr>
        <w:pStyle w:val="TableFooter"/>
        <w:spacing w:after="240"/>
        <w:jc w:val="left"/>
      </w:pPr>
      <w:r>
        <w:t>Source: Table 8, p26 of the DCAR</w:t>
      </w:r>
    </w:p>
    <w:p w14:paraId="4C284435" w14:textId="3340E91A" w:rsidR="00697326" w:rsidRPr="00697326" w:rsidRDefault="001D3405" w:rsidP="00697326">
      <w:pPr>
        <w:jc w:val="both"/>
      </w:pPr>
      <w:r>
        <w:t xml:space="preserve">The DCAR stated the modelled results were most sensitive to probability of nodal metastases (surveillance) and </w:t>
      </w:r>
      <w:proofErr w:type="spellStart"/>
      <w:r>
        <w:t>SLNBx</w:t>
      </w:r>
      <w:proofErr w:type="spellEnd"/>
      <w:r>
        <w:t xml:space="preserve"> positivity (Table </w:t>
      </w:r>
      <w:r w:rsidR="008237C2">
        <w:t>10</w:t>
      </w:r>
      <w:bookmarkStart w:id="20" w:name="_Toc30088406"/>
      <w:r w:rsidR="00697326">
        <w:t>).</w:t>
      </w:r>
      <w:r w:rsidR="00697326">
        <w:rPr>
          <w:rFonts w:ascii="Arial Narrow" w:hAnsi="Arial Narrow"/>
          <w:b/>
          <w:sz w:val="20"/>
        </w:rPr>
        <w:br w:type="page"/>
      </w:r>
    </w:p>
    <w:p w14:paraId="6B78F9F7" w14:textId="0E0E0D7E" w:rsidR="001D3405" w:rsidRPr="00261B83" w:rsidRDefault="001D3405" w:rsidP="00261B83">
      <w:pPr>
        <w:spacing w:before="240"/>
        <w:rPr>
          <w:rFonts w:ascii="Arial Narrow" w:hAnsi="Arial Narrow"/>
          <w:b/>
          <w:sz w:val="20"/>
        </w:rPr>
      </w:pPr>
      <w:r w:rsidRPr="00261B83">
        <w:rPr>
          <w:rFonts w:ascii="Arial Narrow" w:hAnsi="Arial Narrow"/>
          <w:b/>
          <w:sz w:val="20"/>
        </w:rPr>
        <w:lastRenderedPageBreak/>
        <w:t xml:space="preserve">Table </w:t>
      </w:r>
      <w:r w:rsidR="008237C2" w:rsidRPr="00261B83">
        <w:rPr>
          <w:rFonts w:ascii="Arial Narrow" w:hAnsi="Arial Narrow"/>
          <w:b/>
          <w:sz w:val="20"/>
        </w:rPr>
        <w:t>10</w:t>
      </w:r>
      <w:r w:rsidRPr="00261B83">
        <w:rPr>
          <w:rFonts w:ascii="Arial Narrow" w:hAnsi="Arial Narrow"/>
          <w:b/>
          <w:sz w:val="20"/>
        </w:rPr>
        <w:t>: Key drivers of the economic model</w:t>
      </w:r>
      <w:bookmarkEnd w:id="20"/>
    </w:p>
    <w:tbl>
      <w:tblPr>
        <w:tblStyle w:val="TableGrid1"/>
        <w:tblW w:w="5000" w:type="pct"/>
        <w:tblLook w:val="04A0" w:firstRow="1" w:lastRow="0" w:firstColumn="1" w:lastColumn="0" w:noHBand="0" w:noVBand="1"/>
        <w:tblCaption w:val="Table 24 Key drivers of the economic model"/>
        <w:tblDescription w:val="This table describes what factors and assumptions in the economic model affect the incremental cost-effectiveness to the greatest extent."/>
      </w:tblPr>
      <w:tblGrid>
        <w:gridCol w:w="3539"/>
        <w:gridCol w:w="1558"/>
        <w:gridCol w:w="2696"/>
        <w:gridCol w:w="1223"/>
      </w:tblGrid>
      <w:tr w:rsidR="001D3405" w:rsidRPr="00183E4D" w14:paraId="0F12E272" w14:textId="77777777" w:rsidTr="00697326">
        <w:trPr>
          <w:cnfStyle w:val="100000000000" w:firstRow="1" w:lastRow="0" w:firstColumn="0" w:lastColumn="0" w:oddVBand="0" w:evenVBand="0" w:oddHBand="0" w:evenHBand="0" w:firstRowFirstColumn="0" w:firstRowLastColumn="0" w:lastRowFirstColumn="0" w:lastRowLastColumn="0"/>
          <w:tblHeader/>
        </w:trPr>
        <w:tc>
          <w:tcPr>
            <w:tcW w:w="1963" w:type="pct"/>
          </w:tcPr>
          <w:p w14:paraId="1B1A6514" w14:textId="77777777" w:rsidR="001D3405" w:rsidRPr="00183E4D" w:rsidRDefault="001D3405" w:rsidP="001D3405">
            <w:pPr>
              <w:pStyle w:val="TableHeading"/>
              <w:rPr>
                <w:snapToGrid w:val="0"/>
                <w:lang w:eastAsia="en-US"/>
              </w:rPr>
            </w:pPr>
            <w:r w:rsidRPr="00183E4D">
              <w:rPr>
                <w:snapToGrid w:val="0"/>
                <w:lang w:eastAsia="en-US"/>
              </w:rPr>
              <w:t>Description</w:t>
            </w:r>
          </w:p>
        </w:tc>
        <w:tc>
          <w:tcPr>
            <w:tcW w:w="864" w:type="pct"/>
          </w:tcPr>
          <w:p w14:paraId="5EA47CEA" w14:textId="77777777" w:rsidR="001D3405" w:rsidRPr="00183E4D" w:rsidRDefault="001D3405" w:rsidP="001D3405">
            <w:pPr>
              <w:pStyle w:val="TableHeading"/>
              <w:jc w:val="center"/>
              <w:rPr>
                <w:snapToGrid w:val="0"/>
                <w:lang w:eastAsia="en-US"/>
              </w:rPr>
            </w:pPr>
            <w:r>
              <w:rPr>
                <w:snapToGrid w:val="0"/>
                <w:lang w:eastAsia="en-US"/>
              </w:rPr>
              <w:t>Estimate value</w:t>
            </w:r>
          </w:p>
        </w:tc>
        <w:tc>
          <w:tcPr>
            <w:tcW w:w="1495" w:type="pct"/>
          </w:tcPr>
          <w:p w14:paraId="6759163D" w14:textId="77777777" w:rsidR="001D3405" w:rsidRPr="00183E4D" w:rsidRDefault="001D3405" w:rsidP="001D3405">
            <w:pPr>
              <w:pStyle w:val="TableHeading"/>
              <w:jc w:val="center"/>
              <w:rPr>
                <w:snapToGrid w:val="0"/>
                <w:lang w:eastAsia="en-US"/>
              </w:rPr>
            </w:pPr>
            <w:r>
              <w:rPr>
                <w:snapToGrid w:val="0"/>
                <w:lang w:eastAsia="en-US"/>
              </w:rPr>
              <w:t>ICER</w:t>
            </w:r>
          </w:p>
        </w:tc>
        <w:tc>
          <w:tcPr>
            <w:tcW w:w="678" w:type="pct"/>
          </w:tcPr>
          <w:p w14:paraId="5FB71E51" w14:textId="77777777" w:rsidR="001D3405" w:rsidRPr="00183E4D" w:rsidRDefault="001D3405" w:rsidP="001D3405">
            <w:pPr>
              <w:pStyle w:val="TableHeading"/>
              <w:rPr>
                <w:snapToGrid w:val="0"/>
                <w:lang w:eastAsia="en-US"/>
              </w:rPr>
            </w:pPr>
            <w:r w:rsidRPr="00183E4D">
              <w:rPr>
                <w:snapToGrid w:val="0"/>
                <w:lang w:eastAsia="en-US"/>
              </w:rPr>
              <w:t>Impact</w:t>
            </w:r>
          </w:p>
        </w:tc>
      </w:tr>
      <w:tr w:rsidR="001D3405" w:rsidRPr="00183E4D" w14:paraId="36F25FD5" w14:textId="77777777" w:rsidTr="00697326">
        <w:tc>
          <w:tcPr>
            <w:tcW w:w="1963" w:type="pct"/>
          </w:tcPr>
          <w:p w14:paraId="6285DACC" w14:textId="77777777" w:rsidR="001D3405" w:rsidRPr="003802AD" w:rsidRDefault="001D3405" w:rsidP="001D3405">
            <w:pPr>
              <w:pStyle w:val="Tabletext0"/>
            </w:pPr>
            <w:proofErr w:type="spellStart"/>
            <w:r w:rsidRPr="003802AD">
              <w:t>SLNBx</w:t>
            </w:r>
            <w:proofErr w:type="spellEnd"/>
            <w:r w:rsidRPr="003802AD">
              <w:t xml:space="preserve"> positive</w:t>
            </w:r>
          </w:p>
          <w:p w14:paraId="4427A478" w14:textId="77777777" w:rsidR="001D3405" w:rsidRPr="003802AD" w:rsidRDefault="001D3405" w:rsidP="001D3405">
            <w:pPr>
              <w:pStyle w:val="Tabletext0"/>
              <w:rPr>
                <w:snapToGrid w:val="0"/>
                <w:vanish/>
                <w:lang w:eastAsia="en-US"/>
              </w:rPr>
            </w:pPr>
            <w:r w:rsidRPr="003802AD">
              <w:t>(BC = 15.84%, Morton et al. 2014)</w:t>
            </w:r>
          </w:p>
        </w:tc>
        <w:tc>
          <w:tcPr>
            <w:tcW w:w="864" w:type="pct"/>
          </w:tcPr>
          <w:p w14:paraId="3FDD59B3" w14:textId="77777777" w:rsidR="001D3405" w:rsidRPr="003802AD" w:rsidRDefault="001D3405" w:rsidP="001D3405">
            <w:pPr>
              <w:pStyle w:val="Tabletext0"/>
              <w:jc w:val="center"/>
              <w:rPr>
                <w:snapToGrid w:val="0"/>
                <w:lang w:eastAsia="en-US"/>
              </w:rPr>
            </w:pPr>
            <w:r w:rsidRPr="003802AD">
              <w:rPr>
                <w:snapToGrid w:val="0"/>
                <w:lang w:eastAsia="en-US"/>
              </w:rPr>
              <w:t>21%</w:t>
            </w:r>
            <w:r w:rsidRPr="003802AD">
              <w:rPr>
                <w:snapToGrid w:val="0"/>
                <w:vertAlign w:val="superscript"/>
                <w:lang w:eastAsia="en-US"/>
              </w:rPr>
              <w:t>a</w:t>
            </w:r>
          </w:p>
        </w:tc>
        <w:tc>
          <w:tcPr>
            <w:tcW w:w="1495" w:type="pct"/>
          </w:tcPr>
          <w:p w14:paraId="29C6F428" w14:textId="77777777" w:rsidR="001D3405" w:rsidRDefault="001D3405" w:rsidP="001D3405">
            <w:pPr>
              <w:pStyle w:val="Tabletext0"/>
              <w:jc w:val="center"/>
              <w:rPr>
                <w:snapToGrid w:val="0"/>
                <w:lang w:eastAsia="en-US"/>
              </w:rPr>
            </w:pPr>
            <w:r w:rsidRPr="003802AD">
              <w:rPr>
                <w:snapToGrid w:val="0"/>
                <w:lang w:eastAsia="en-US"/>
              </w:rPr>
              <w:t>$20,168.60</w:t>
            </w:r>
          </w:p>
          <w:p w14:paraId="50916AFC" w14:textId="77777777" w:rsidR="001D3405" w:rsidRPr="003802AD" w:rsidRDefault="001D3405" w:rsidP="001D3405">
            <w:pPr>
              <w:pStyle w:val="Tabletext0"/>
              <w:jc w:val="center"/>
              <w:rPr>
                <w:snapToGrid w:val="0"/>
                <w:lang w:eastAsia="en-US"/>
              </w:rPr>
            </w:pPr>
            <w:r w:rsidRPr="003802AD">
              <w:rPr>
                <w:snapToGrid w:val="0"/>
                <w:lang w:eastAsia="en-US"/>
              </w:rPr>
              <w:t>(more costly and more effective)</w:t>
            </w:r>
          </w:p>
        </w:tc>
        <w:tc>
          <w:tcPr>
            <w:tcW w:w="678" w:type="pct"/>
          </w:tcPr>
          <w:p w14:paraId="75C2382F" w14:textId="77777777" w:rsidR="001D3405" w:rsidRPr="003802AD" w:rsidRDefault="001D3405" w:rsidP="001D3405">
            <w:pPr>
              <w:pStyle w:val="Tabletext0"/>
              <w:rPr>
                <w:snapToGrid w:val="0"/>
                <w:vanish/>
                <w:lang w:eastAsia="en-US"/>
              </w:rPr>
            </w:pPr>
            <w:r w:rsidRPr="003802AD">
              <w:rPr>
                <w:snapToGrid w:val="0"/>
                <w:lang w:eastAsia="en-US"/>
              </w:rPr>
              <w:t>Low</w:t>
            </w:r>
          </w:p>
        </w:tc>
      </w:tr>
      <w:tr w:rsidR="001D3405" w:rsidRPr="00183E4D" w14:paraId="2938E8EC" w14:textId="77777777" w:rsidTr="00697326">
        <w:tc>
          <w:tcPr>
            <w:tcW w:w="1963" w:type="pct"/>
          </w:tcPr>
          <w:p w14:paraId="0B53327E" w14:textId="77777777" w:rsidR="001D3405" w:rsidRPr="003802AD" w:rsidRDefault="001D3405" w:rsidP="001D3405">
            <w:pPr>
              <w:pStyle w:val="Tabletext0"/>
            </w:pPr>
            <w:r w:rsidRPr="003802AD">
              <w:t>Nodal metastases (after surveillance + WLE)</w:t>
            </w:r>
          </w:p>
          <w:p w14:paraId="11C4C386" w14:textId="77777777" w:rsidR="001D3405" w:rsidRPr="003802AD" w:rsidRDefault="001D3405" w:rsidP="001D3405">
            <w:pPr>
              <w:pStyle w:val="Tabletext0"/>
              <w:rPr>
                <w:snapToGrid w:val="0"/>
                <w:vanish/>
                <w:lang w:eastAsia="en-US"/>
              </w:rPr>
            </w:pPr>
            <w:r w:rsidRPr="003802AD">
              <w:t>(BC = 3.34%, Morton et al. 2009)</w:t>
            </w:r>
          </w:p>
        </w:tc>
        <w:tc>
          <w:tcPr>
            <w:tcW w:w="864" w:type="pct"/>
          </w:tcPr>
          <w:p w14:paraId="448DA48D" w14:textId="77777777" w:rsidR="001D3405" w:rsidRPr="003802AD" w:rsidRDefault="001D3405" w:rsidP="001D3405">
            <w:pPr>
              <w:pStyle w:val="Tabletext0"/>
              <w:jc w:val="center"/>
              <w:rPr>
                <w:snapToGrid w:val="0"/>
                <w:lang w:eastAsia="en-US"/>
              </w:rPr>
            </w:pPr>
            <w:r w:rsidRPr="003802AD">
              <w:rPr>
                <w:snapToGrid w:val="0"/>
                <w:lang w:eastAsia="en-US"/>
              </w:rPr>
              <w:t>15.8%</w:t>
            </w:r>
            <w:r w:rsidRPr="003802AD">
              <w:rPr>
                <w:snapToGrid w:val="0"/>
                <w:vertAlign w:val="superscript"/>
                <w:lang w:eastAsia="en-US"/>
              </w:rPr>
              <w:t>b</w:t>
            </w:r>
          </w:p>
        </w:tc>
        <w:tc>
          <w:tcPr>
            <w:tcW w:w="1495" w:type="pct"/>
          </w:tcPr>
          <w:p w14:paraId="08EE89E5" w14:textId="77777777" w:rsidR="001D3405" w:rsidRDefault="001D3405" w:rsidP="001D3405">
            <w:pPr>
              <w:pStyle w:val="Tabletext0"/>
              <w:jc w:val="center"/>
              <w:rPr>
                <w:snapToGrid w:val="0"/>
                <w:lang w:eastAsia="en-US"/>
              </w:rPr>
            </w:pPr>
            <w:r w:rsidRPr="003802AD">
              <w:rPr>
                <w:snapToGrid w:val="0"/>
                <w:lang w:eastAsia="en-US"/>
              </w:rPr>
              <w:t>$10,609.45</w:t>
            </w:r>
          </w:p>
          <w:p w14:paraId="422CD368" w14:textId="77777777" w:rsidR="001D3405" w:rsidRPr="003802AD" w:rsidRDefault="001D3405" w:rsidP="001D3405">
            <w:pPr>
              <w:pStyle w:val="Tabletext0"/>
              <w:jc w:val="center"/>
              <w:rPr>
                <w:snapToGrid w:val="0"/>
                <w:lang w:eastAsia="en-US"/>
              </w:rPr>
            </w:pPr>
            <w:r w:rsidRPr="003802AD">
              <w:rPr>
                <w:snapToGrid w:val="0"/>
                <w:lang w:eastAsia="en-US"/>
              </w:rPr>
              <w:t>(less costly and less effective)</w:t>
            </w:r>
          </w:p>
        </w:tc>
        <w:tc>
          <w:tcPr>
            <w:tcW w:w="678" w:type="pct"/>
          </w:tcPr>
          <w:p w14:paraId="4CB725FB" w14:textId="77777777" w:rsidR="001D3405" w:rsidRPr="003802AD" w:rsidRDefault="001D3405" w:rsidP="001D3405">
            <w:pPr>
              <w:pStyle w:val="Tabletext0"/>
              <w:rPr>
                <w:snapToGrid w:val="0"/>
                <w:vanish/>
                <w:lang w:eastAsia="en-US"/>
              </w:rPr>
            </w:pPr>
            <w:r w:rsidRPr="003802AD">
              <w:rPr>
                <w:snapToGrid w:val="0"/>
                <w:lang w:eastAsia="en-US"/>
              </w:rPr>
              <w:t>High, favours comparator</w:t>
            </w:r>
          </w:p>
        </w:tc>
      </w:tr>
      <w:tr w:rsidR="001D3405" w:rsidRPr="00183E4D" w14:paraId="48F12B0D" w14:textId="77777777" w:rsidTr="00697326">
        <w:tc>
          <w:tcPr>
            <w:tcW w:w="1963" w:type="pct"/>
          </w:tcPr>
          <w:p w14:paraId="074C7E4E" w14:textId="77777777" w:rsidR="001D3405" w:rsidRPr="003802AD" w:rsidRDefault="001D3405" w:rsidP="001D3405">
            <w:pPr>
              <w:pStyle w:val="Tabletext0"/>
            </w:pPr>
            <w:r w:rsidRPr="003802AD">
              <w:t xml:space="preserve">Stage III melanoma subgroups </w:t>
            </w:r>
            <w:r w:rsidRPr="003802AD">
              <w:rPr>
                <w:snapToGrid w:val="0"/>
                <w:lang w:eastAsia="en-US"/>
              </w:rPr>
              <w:t xml:space="preserve">based on </w:t>
            </w:r>
            <w:proofErr w:type="spellStart"/>
            <w:r w:rsidRPr="003802AD">
              <w:t>Gershenwald</w:t>
            </w:r>
            <w:proofErr w:type="spellEnd"/>
            <w:r w:rsidRPr="003802AD">
              <w:t xml:space="preserve"> </w:t>
            </w:r>
            <w:r>
              <w:t>et al. 2017 study</w:t>
            </w:r>
          </w:p>
          <w:p w14:paraId="1C961E46" w14:textId="77777777" w:rsidR="001D3405" w:rsidRPr="003802AD" w:rsidRDefault="001D3405" w:rsidP="001D3405">
            <w:pPr>
              <w:pStyle w:val="Tabletext0"/>
              <w:rPr>
                <w:snapToGrid w:val="0"/>
                <w:vanish/>
                <w:lang w:eastAsia="en-US"/>
              </w:rPr>
            </w:pPr>
            <w:r w:rsidRPr="003802AD">
              <w:t xml:space="preserve">(BC = </w:t>
            </w:r>
            <w:proofErr w:type="spellStart"/>
            <w:r w:rsidRPr="003802AD">
              <w:t>Haydu</w:t>
            </w:r>
            <w:proofErr w:type="spellEnd"/>
            <w:r w:rsidRPr="003802AD">
              <w:t xml:space="preserve"> et al. 2017)</w:t>
            </w:r>
          </w:p>
        </w:tc>
        <w:tc>
          <w:tcPr>
            <w:tcW w:w="864" w:type="pct"/>
          </w:tcPr>
          <w:p w14:paraId="46143627" w14:textId="77777777" w:rsidR="001D3405" w:rsidRPr="00E51B21" w:rsidRDefault="001D3405" w:rsidP="001D3405">
            <w:pPr>
              <w:pStyle w:val="Caption"/>
              <w:keepNext/>
              <w:jc w:val="center"/>
              <w:rPr>
                <w:b w:val="0"/>
                <w:snapToGrid w:val="0"/>
                <w:lang w:eastAsia="en-US"/>
              </w:rPr>
            </w:pPr>
            <w:r w:rsidRPr="00E51B21">
              <w:rPr>
                <w:b w:val="0"/>
                <w:snapToGrid w:val="0"/>
                <w:lang w:eastAsia="en-US"/>
              </w:rPr>
              <w:t>See Table 6</w:t>
            </w:r>
          </w:p>
        </w:tc>
        <w:tc>
          <w:tcPr>
            <w:tcW w:w="1495" w:type="pct"/>
          </w:tcPr>
          <w:p w14:paraId="106E3E07" w14:textId="77777777" w:rsidR="001D3405" w:rsidRDefault="001D3405" w:rsidP="001D3405">
            <w:pPr>
              <w:pStyle w:val="Tabletext0"/>
              <w:jc w:val="center"/>
              <w:rPr>
                <w:snapToGrid w:val="0"/>
                <w:lang w:eastAsia="en-US"/>
              </w:rPr>
            </w:pPr>
            <w:r w:rsidRPr="003802AD">
              <w:rPr>
                <w:snapToGrid w:val="0"/>
                <w:lang w:eastAsia="en-US"/>
              </w:rPr>
              <w:t>$36,917.11</w:t>
            </w:r>
          </w:p>
          <w:p w14:paraId="704E4D6F" w14:textId="77777777" w:rsidR="001D3405" w:rsidRPr="003802AD" w:rsidRDefault="001D3405" w:rsidP="001D3405">
            <w:pPr>
              <w:pStyle w:val="Tabletext0"/>
              <w:jc w:val="center"/>
              <w:rPr>
                <w:snapToGrid w:val="0"/>
                <w:lang w:eastAsia="en-US"/>
              </w:rPr>
            </w:pPr>
            <w:r w:rsidRPr="003802AD">
              <w:rPr>
                <w:snapToGrid w:val="0"/>
                <w:lang w:eastAsia="en-US"/>
              </w:rPr>
              <w:t>(more costly and more effective)</w:t>
            </w:r>
          </w:p>
        </w:tc>
        <w:tc>
          <w:tcPr>
            <w:tcW w:w="678" w:type="pct"/>
          </w:tcPr>
          <w:p w14:paraId="06FD92B0" w14:textId="77777777" w:rsidR="001D3405" w:rsidRPr="003802AD" w:rsidRDefault="001D3405" w:rsidP="001D3405">
            <w:pPr>
              <w:pStyle w:val="Tabletext0"/>
              <w:rPr>
                <w:snapToGrid w:val="0"/>
                <w:lang w:eastAsia="en-US"/>
              </w:rPr>
            </w:pPr>
            <w:r w:rsidRPr="003802AD">
              <w:rPr>
                <w:snapToGrid w:val="0"/>
                <w:lang w:eastAsia="en-US"/>
              </w:rPr>
              <w:t>Low</w:t>
            </w:r>
          </w:p>
        </w:tc>
      </w:tr>
    </w:tbl>
    <w:p w14:paraId="670D65A4" w14:textId="77777777" w:rsidR="001D3405" w:rsidRDefault="001D3405" w:rsidP="001D3405">
      <w:pPr>
        <w:pStyle w:val="TableFooter"/>
        <w:jc w:val="left"/>
      </w:pPr>
      <w:r>
        <w:t xml:space="preserve">BC = base case; ICER = incremental cost-effectiveness ratio; </w:t>
      </w:r>
      <w:proofErr w:type="spellStart"/>
      <w:r w:rsidDel="000E14A6">
        <w:t>SLNBx</w:t>
      </w:r>
      <w:proofErr w:type="spellEnd"/>
      <w:r w:rsidDel="000E14A6">
        <w:t xml:space="preserve"> = sentinel lymph node biopsy; WLE = wide local excision</w:t>
      </w:r>
    </w:p>
    <w:p w14:paraId="08012F34" w14:textId="77777777" w:rsidR="001D3405" w:rsidRDefault="001D3405" w:rsidP="001D3405">
      <w:pPr>
        <w:pStyle w:val="TFAbbrevs18"/>
        <w:keepNext w:val="0"/>
        <w:keepLines w:val="0"/>
        <w:widowControl w:val="0"/>
        <w:spacing w:after="0"/>
      </w:pPr>
      <w:proofErr w:type="spellStart"/>
      <w:proofErr w:type="gramStart"/>
      <w:r w:rsidRPr="00A462F3">
        <w:rPr>
          <w:vertAlign w:val="superscript"/>
        </w:rPr>
        <w:t>a</w:t>
      </w:r>
      <w:proofErr w:type="spellEnd"/>
      <w:proofErr w:type="gramEnd"/>
      <w:r>
        <w:t xml:space="preserve"> upper limit sensitivity analysis obtained from Morton et al. 2014; </w:t>
      </w:r>
      <w:r w:rsidRPr="00A462F3">
        <w:rPr>
          <w:vertAlign w:val="superscript"/>
        </w:rPr>
        <w:t>b</w:t>
      </w:r>
      <w:r w:rsidRPr="000F493E">
        <w:t xml:space="preserve"> </w:t>
      </w:r>
      <w:r>
        <w:t>upper limit sensitivity analysis obtained from Morton et al. 2009</w:t>
      </w:r>
    </w:p>
    <w:p w14:paraId="307CA393" w14:textId="77777777" w:rsidR="001D3405" w:rsidRDefault="001D3405" w:rsidP="001D3405">
      <w:pPr>
        <w:pStyle w:val="TFAbbrevs18"/>
        <w:keepNext w:val="0"/>
        <w:keepLines w:val="0"/>
        <w:widowControl w:val="0"/>
        <w:spacing w:after="240"/>
      </w:pPr>
      <w:r>
        <w:t>Source: Table 9, p26 of the DCAR</w:t>
      </w:r>
    </w:p>
    <w:p w14:paraId="389C1565" w14:textId="77777777" w:rsidR="001D3405" w:rsidRPr="005871AE" w:rsidRDefault="001D3405" w:rsidP="001D3405">
      <w:r>
        <w:t>The DC</w:t>
      </w:r>
      <w:r w:rsidRPr="005871AE">
        <w:t>AR relied on the following</w:t>
      </w:r>
      <w:r>
        <w:t xml:space="preserve"> estimates derived from the MSLT-I trial as a basis for estimating the proportions of patients who have Stage III melanoma</w:t>
      </w:r>
      <w:r w:rsidRPr="005871AE">
        <w:t>:</w:t>
      </w:r>
    </w:p>
    <w:p w14:paraId="56ED991C" w14:textId="77777777" w:rsidR="001D3405" w:rsidRDefault="001D3405" w:rsidP="001D3405">
      <w:pPr>
        <w:pStyle w:val="ListParagraph"/>
        <w:numPr>
          <w:ilvl w:val="0"/>
          <w:numId w:val="10"/>
        </w:numPr>
      </w:pPr>
      <w:r>
        <w:t xml:space="preserve">for patients receiving </w:t>
      </w:r>
      <w:proofErr w:type="spellStart"/>
      <w:r>
        <w:t>SLNBx</w:t>
      </w:r>
      <w:proofErr w:type="spellEnd"/>
      <w:r>
        <w:t xml:space="preserve">, </w:t>
      </w:r>
      <w:r w:rsidRPr="005871AE">
        <w:t xml:space="preserve">proportion who are </w:t>
      </w:r>
      <w:proofErr w:type="spellStart"/>
      <w:r w:rsidRPr="005871AE">
        <w:t>SLNBx</w:t>
      </w:r>
      <w:proofErr w:type="spellEnd"/>
      <w:r w:rsidRPr="005871AE">
        <w:t xml:space="preserve"> positive </w:t>
      </w:r>
      <w:r>
        <w:t xml:space="preserve">= </w:t>
      </w:r>
      <w:r w:rsidRPr="005871AE">
        <w:t>15.84%</w:t>
      </w:r>
    </w:p>
    <w:p w14:paraId="49F03D1B" w14:textId="2CEA5933" w:rsidR="00067DD1" w:rsidRDefault="001D3405" w:rsidP="001D3405">
      <w:pPr>
        <w:pStyle w:val="ListParagraph"/>
        <w:numPr>
          <w:ilvl w:val="0"/>
          <w:numId w:val="10"/>
        </w:numPr>
      </w:pPr>
      <w:proofErr w:type="gramStart"/>
      <w:r>
        <w:t>for</w:t>
      </w:r>
      <w:proofErr w:type="gramEnd"/>
      <w:r>
        <w:t xml:space="preserve"> patients receiving surveillance,</w:t>
      </w:r>
      <w:r w:rsidRPr="005871AE">
        <w:t xml:space="preserve"> the annualised </w:t>
      </w:r>
      <w:r w:rsidRPr="00E375A5">
        <w:t>proportion who developed nodal</w:t>
      </w:r>
      <w:r>
        <w:t xml:space="preserve"> metastases = 3.34%.</w:t>
      </w:r>
    </w:p>
    <w:p w14:paraId="20651372" w14:textId="77777777" w:rsidR="001D3405" w:rsidRPr="00662987" w:rsidRDefault="001D3405" w:rsidP="003D72FA">
      <w:pPr>
        <w:spacing w:before="240"/>
      </w:pPr>
      <w:r w:rsidRPr="00662987">
        <w:t xml:space="preserve">As noted above in relation to the 15.84% </w:t>
      </w:r>
      <w:r>
        <w:t xml:space="preserve">estimate </w:t>
      </w:r>
      <w:r w:rsidRPr="00662987">
        <w:t xml:space="preserve">for </w:t>
      </w:r>
      <w:proofErr w:type="spellStart"/>
      <w:r w:rsidRPr="00662987">
        <w:t>SLNBx</w:t>
      </w:r>
      <w:proofErr w:type="spellEnd"/>
      <w:r w:rsidRPr="00662987">
        <w:t xml:space="preserve">, this trial did not </w:t>
      </w:r>
      <w:r>
        <w:t xml:space="preserve">directly </w:t>
      </w:r>
      <w:r w:rsidRPr="00662987">
        <w:t xml:space="preserve">report the proportion of the proposed patient population definition who patients who do not receive </w:t>
      </w:r>
      <w:proofErr w:type="spellStart"/>
      <w:r w:rsidRPr="00662987">
        <w:t>SLNBx</w:t>
      </w:r>
      <w:proofErr w:type="spellEnd"/>
      <w:r w:rsidRPr="00662987">
        <w:t xml:space="preserve"> but would be diagnosed with Stage IIIB, Stage IIIC or Stage IIID melanoma based on the </w:t>
      </w:r>
      <w:r>
        <w:t xml:space="preserve">AJCC </w:t>
      </w:r>
      <w:r w:rsidRPr="00662987">
        <w:t>8</w:t>
      </w:r>
      <w:r w:rsidRPr="00662987">
        <w:rPr>
          <w:vertAlign w:val="superscript"/>
        </w:rPr>
        <w:t>th</w:t>
      </w:r>
      <w:r w:rsidRPr="00662987">
        <w:t xml:space="preserve"> </w:t>
      </w:r>
      <w:r>
        <w:t xml:space="preserve">edition melanoma </w:t>
      </w:r>
      <w:r w:rsidRPr="00662987">
        <w:t xml:space="preserve">staging system. In other words, the issues rising are whether (a) the population in the MSLT-I trial matches the proposed population from the stakeholder meeting, and (b) developing nodal metastases over a year from </w:t>
      </w:r>
      <w:r>
        <w:t xml:space="preserve">enrolment in </w:t>
      </w:r>
      <w:r w:rsidRPr="00662987">
        <w:t>the MSLT-I trial can be accepted as being the same as having Stage IIIB, Stage IIIC or Stage IIID melanoma.</w:t>
      </w:r>
    </w:p>
    <w:p w14:paraId="60A7BFB3" w14:textId="77777777" w:rsidR="001121C3" w:rsidRPr="00F715D1" w:rsidRDefault="001121C3" w:rsidP="001121C3">
      <w:pPr>
        <w:pStyle w:val="Heading1"/>
      </w:pPr>
      <w:r w:rsidRPr="00F715D1">
        <w:t>Financial/budgetary impacts</w:t>
      </w:r>
    </w:p>
    <w:p w14:paraId="197E41D2" w14:textId="7DEE58B4" w:rsidR="001D3405" w:rsidRDefault="001D3405" w:rsidP="001D3405">
      <w:pPr>
        <w:tabs>
          <w:tab w:val="left" w:pos="720"/>
          <w:tab w:val="left" w:pos="1140"/>
        </w:tabs>
      </w:pPr>
      <w:r>
        <w:t xml:space="preserve">An epidemiological approach </w:t>
      </w:r>
      <w:proofErr w:type="gramStart"/>
      <w:r>
        <w:t>was used</w:t>
      </w:r>
      <w:proofErr w:type="gramEnd"/>
      <w:r>
        <w:t xml:space="preserve"> to estimate the financial implications of the introduction of </w:t>
      </w:r>
      <w:proofErr w:type="spellStart"/>
      <w:r>
        <w:t>SLNBx</w:t>
      </w:r>
      <w:proofErr w:type="spellEnd"/>
      <w:r>
        <w:t xml:space="preserve"> for patients with malignant cutaneous melanoma greater than 1 </w:t>
      </w:r>
      <w:r w:rsidRPr="00111AF6">
        <w:t>mm</w:t>
      </w:r>
      <w:r>
        <w:t xml:space="preserve"> in depth or at least 0.8 </w:t>
      </w:r>
      <w:r w:rsidRPr="00111AF6">
        <w:t xml:space="preserve">mm </w:t>
      </w:r>
      <w:r>
        <w:t>depth</w:t>
      </w:r>
      <w:r w:rsidRPr="00111AF6">
        <w:t xml:space="preserve"> in the presence of ulceration</w:t>
      </w:r>
      <w:r>
        <w:t xml:space="preserve"> (Table 1</w:t>
      </w:r>
      <w:r w:rsidR="008237C2">
        <w:t>1</w:t>
      </w:r>
      <w:r>
        <w:t>). The DCAR stated that t</w:t>
      </w:r>
      <w:r w:rsidRPr="00F94665">
        <w:t xml:space="preserve">he uptake of </w:t>
      </w:r>
      <w:proofErr w:type="spellStart"/>
      <w:r w:rsidRPr="00F94665">
        <w:t>SLNBx</w:t>
      </w:r>
      <w:proofErr w:type="spellEnd"/>
      <w:r w:rsidRPr="00F94665">
        <w:t xml:space="preserve"> </w:t>
      </w:r>
      <w:r>
        <w:t>after</w:t>
      </w:r>
      <w:r w:rsidRPr="00F94665">
        <w:t xml:space="preserve"> WLE </w:t>
      </w:r>
      <w:proofErr w:type="gramStart"/>
      <w:r w:rsidRPr="00F94665">
        <w:t>was based</w:t>
      </w:r>
      <w:proofErr w:type="gramEnd"/>
      <w:r w:rsidRPr="00F94665">
        <w:t xml:space="preserve"> on the same study (van der </w:t>
      </w:r>
      <w:proofErr w:type="spellStart"/>
      <w:r w:rsidRPr="00F94665">
        <w:t>Ploeg</w:t>
      </w:r>
      <w:proofErr w:type="spellEnd"/>
      <w:r w:rsidRPr="00F94665">
        <w:t xml:space="preserve"> et al. 2014)</w:t>
      </w:r>
      <w:r>
        <w:t xml:space="preserve"> </w:t>
      </w:r>
      <w:r w:rsidRPr="00F94665">
        <w:t xml:space="preserve">as was used in the previous </w:t>
      </w:r>
      <w:r>
        <w:t>DCAR (MSAC 1485)</w:t>
      </w:r>
      <w:r w:rsidRPr="00F94665">
        <w:t xml:space="preserve">. </w:t>
      </w:r>
      <w:r>
        <w:t>However, t</w:t>
      </w:r>
      <w:r w:rsidRPr="00F94665">
        <w:t>here is some limitation to this study as the cohort is old (1992 – 2008) and guidelines have been modified since then</w:t>
      </w:r>
      <w:r>
        <w:t xml:space="preserve">, </w:t>
      </w:r>
      <w:r w:rsidRPr="00F94665">
        <w:t>which may affect the proportion</w:t>
      </w:r>
      <w:r>
        <w:t xml:space="preserve"> of patients undergoing </w:t>
      </w:r>
      <w:proofErr w:type="spellStart"/>
      <w:r>
        <w:t>SLNBx</w:t>
      </w:r>
      <w:proofErr w:type="spellEnd"/>
      <w:r>
        <w:t>.</w:t>
      </w:r>
    </w:p>
    <w:p w14:paraId="461126B2" w14:textId="55FA0131" w:rsidR="001D3405" w:rsidRDefault="001D3405" w:rsidP="003D72FA">
      <w:pPr>
        <w:tabs>
          <w:tab w:val="left" w:pos="720"/>
          <w:tab w:val="left" w:pos="1140"/>
        </w:tabs>
        <w:spacing w:before="240"/>
      </w:pPr>
      <w:r>
        <w:t>The DCAR stated that costs to MBS were calculated</w:t>
      </w:r>
      <w:r w:rsidRPr="00241CFD">
        <w:t xml:space="preserve"> based on a 75% MBS benefit and </w:t>
      </w:r>
      <w:proofErr w:type="gramStart"/>
      <w:r w:rsidRPr="00241CFD">
        <w:t>one</w:t>
      </w:r>
      <w:proofErr w:type="gramEnd"/>
      <w:r w:rsidRPr="00241CFD">
        <w:t xml:space="preserve"> basin sampling.</w:t>
      </w:r>
      <w:r>
        <w:t xml:space="preserve"> The DCAR estimated the cost offsets (reduction in items already in use for </w:t>
      </w:r>
      <w:proofErr w:type="spellStart"/>
      <w:r>
        <w:t>SLNBx</w:t>
      </w:r>
      <w:proofErr w:type="spellEnd"/>
      <w:r>
        <w:t>: MBS items 30329, 30332, 31240, 31243) using the average 75% benefit ($235.55) of the currently listed MBS items.</w:t>
      </w:r>
    </w:p>
    <w:p w14:paraId="1B066058" w14:textId="77777777" w:rsidR="001D3405" w:rsidRPr="00261B83" w:rsidRDefault="001D3405" w:rsidP="00261B83">
      <w:pPr>
        <w:spacing w:before="240"/>
        <w:rPr>
          <w:rFonts w:ascii="Arial Narrow" w:hAnsi="Arial Narrow"/>
          <w:b/>
          <w:sz w:val="20"/>
        </w:rPr>
      </w:pPr>
      <w:bookmarkStart w:id="21" w:name="_Ref29201975"/>
      <w:bookmarkStart w:id="22" w:name="_Toc30088407"/>
      <w:r w:rsidRPr="00261B83">
        <w:rPr>
          <w:rFonts w:ascii="Arial Narrow" w:hAnsi="Arial Narrow"/>
          <w:b/>
          <w:sz w:val="20"/>
        </w:rPr>
        <w:t>Table</w:t>
      </w:r>
      <w:bookmarkEnd w:id="21"/>
      <w:r w:rsidRPr="00261B83">
        <w:rPr>
          <w:rFonts w:ascii="Arial Narrow" w:hAnsi="Arial Narrow"/>
          <w:b/>
          <w:sz w:val="20"/>
        </w:rPr>
        <w:t xml:space="preserve"> 1</w:t>
      </w:r>
      <w:r w:rsidR="008237C2" w:rsidRPr="00261B83">
        <w:rPr>
          <w:rFonts w:ascii="Arial Narrow" w:hAnsi="Arial Narrow"/>
          <w:b/>
          <w:sz w:val="20"/>
        </w:rPr>
        <w:t>1</w:t>
      </w:r>
      <w:r w:rsidRPr="00261B83">
        <w:rPr>
          <w:rFonts w:ascii="Arial Narrow" w:hAnsi="Arial Narrow"/>
          <w:b/>
          <w:sz w:val="20"/>
        </w:rPr>
        <w:t>: Net costs to MBS associated with sentinel lymph node biopsy for melanoma</w:t>
      </w:r>
      <w:bookmarkEnd w:id="22"/>
    </w:p>
    <w:tbl>
      <w:tblPr>
        <w:tblStyle w:val="TableClassic1"/>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Total costs to MBS associated with SLNBx"/>
        <w:tblDescription w:val="Summary of DCARs financial impact"/>
      </w:tblPr>
      <w:tblGrid>
        <w:gridCol w:w="3403"/>
        <w:gridCol w:w="1134"/>
        <w:gridCol w:w="1134"/>
        <w:gridCol w:w="1134"/>
        <w:gridCol w:w="1134"/>
        <w:gridCol w:w="1077"/>
      </w:tblGrid>
      <w:tr w:rsidR="001D3405" w14:paraId="42B5A4D7" w14:textId="77777777" w:rsidTr="001D340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87" w:type="pct"/>
            <w:tcBorders>
              <w:top w:val="single" w:sz="4" w:space="0" w:color="auto"/>
              <w:left w:val="single" w:sz="4" w:space="0" w:color="auto"/>
              <w:bottom w:val="single" w:sz="4" w:space="0" w:color="auto"/>
              <w:right w:val="single" w:sz="4" w:space="0" w:color="auto"/>
            </w:tcBorders>
            <w:hideMark/>
          </w:tcPr>
          <w:p w14:paraId="5EAAD61A" w14:textId="77777777" w:rsidR="001D3405" w:rsidRPr="00EE5FC3" w:rsidRDefault="001D3405" w:rsidP="001D3405">
            <w:pPr>
              <w:pStyle w:val="TableText1"/>
              <w:rPr>
                <w:b/>
                <w:i w:val="0"/>
              </w:rPr>
            </w:pPr>
            <w:r w:rsidRPr="00EE5FC3">
              <w:rPr>
                <w:b/>
                <w:i w:val="0"/>
              </w:rPr>
              <w:t>Description</w:t>
            </w:r>
          </w:p>
        </w:tc>
        <w:tc>
          <w:tcPr>
            <w:tcW w:w="629" w:type="pct"/>
            <w:tcBorders>
              <w:top w:val="single" w:sz="4" w:space="0" w:color="auto"/>
              <w:left w:val="single" w:sz="4" w:space="0" w:color="auto"/>
              <w:bottom w:val="single" w:sz="4" w:space="0" w:color="auto"/>
              <w:right w:val="single" w:sz="4" w:space="0" w:color="auto"/>
            </w:tcBorders>
            <w:noWrap/>
            <w:vAlign w:val="bottom"/>
            <w:hideMark/>
          </w:tcPr>
          <w:p w14:paraId="5AE47DE2" w14:textId="77777777" w:rsidR="001D3405" w:rsidRPr="00EE5FC3" w:rsidRDefault="001D3405" w:rsidP="001D3405">
            <w:pPr>
              <w:pStyle w:val="TableText1"/>
              <w:jc w:val="center"/>
              <w:cnfStyle w:val="100000000000" w:firstRow="1" w:lastRow="0" w:firstColumn="0" w:lastColumn="0" w:oddVBand="0" w:evenVBand="0" w:oddHBand="0" w:evenHBand="0" w:firstRowFirstColumn="0" w:firstRowLastColumn="0" w:lastRowFirstColumn="0" w:lastRowLastColumn="0"/>
              <w:rPr>
                <w:b/>
                <w:i w:val="0"/>
              </w:rPr>
            </w:pPr>
            <w:r w:rsidRPr="00EE5FC3">
              <w:rPr>
                <w:rFonts w:cs="Calibri"/>
                <w:b/>
                <w:bCs/>
                <w:i w:val="0"/>
                <w:color w:val="000000"/>
                <w:szCs w:val="20"/>
              </w:rPr>
              <w:t>2020</w:t>
            </w:r>
          </w:p>
        </w:tc>
        <w:tc>
          <w:tcPr>
            <w:tcW w:w="629" w:type="pct"/>
            <w:tcBorders>
              <w:top w:val="single" w:sz="4" w:space="0" w:color="auto"/>
              <w:left w:val="single" w:sz="4" w:space="0" w:color="auto"/>
              <w:bottom w:val="single" w:sz="4" w:space="0" w:color="auto"/>
              <w:right w:val="single" w:sz="4" w:space="0" w:color="auto"/>
            </w:tcBorders>
            <w:noWrap/>
            <w:vAlign w:val="bottom"/>
            <w:hideMark/>
          </w:tcPr>
          <w:p w14:paraId="0ABE2A29" w14:textId="77777777" w:rsidR="001D3405" w:rsidRPr="00EE5FC3" w:rsidRDefault="001D3405" w:rsidP="001D3405">
            <w:pPr>
              <w:pStyle w:val="TableText1"/>
              <w:jc w:val="center"/>
              <w:cnfStyle w:val="100000000000" w:firstRow="1" w:lastRow="0" w:firstColumn="0" w:lastColumn="0" w:oddVBand="0" w:evenVBand="0" w:oddHBand="0" w:evenHBand="0" w:firstRowFirstColumn="0" w:firstRowLastColumn="0" w:lastRowFirstColumn="0" w:lastRowLastColumn="0"/>
              <w:rPr>
                <w:b/>
                <w:i w:val="0"/>
              </w:rPr>
            </w:pPr>
            <w:r w:rsidRPr="00EE5FC3">
              <w:rPr>
                <w:rFonts w:cs="Calibri"/>
                <w:b/>
                <w:bCs/>
                <w:i w:val="0"/>
                <w:color w:val="000000"/>
                <w:szCs w:val="20"/>
              </w:rPr>
              <w:t>2021</w:t>
            </w:r>
          </w:p>
        </w:tc>
        <w:tc>
          <w:tcPr>
            <w:tcW w:w="629" w:type="pct"/>
            <w:tcBorders>
              <w:top w:val="single" w:sz="4" w:space="0" w:color="auto"/>
              <w:left w:val="single" w:sz="4" w:space="0" w:color="auto"/>
              <w:bottom w:val="single" w:sz="4" w:space="0" w:color="auto"/>
              <w:right w:val="single" w:sz="4" w:space="0" w:color="auto"/>
            </w:tcBorders>
            <w:noWrap/>
            <w:vAlign w:val="bottom"/>
            <w:hideMark/>
          </w:tcPr>
          <w:p w14:paraId="3C641F51" w14:textId="77777777" w:rsidR="001D3405" w:rsidRPr="00EE5FC3" w:rsidRDefault="001D3405" w:rsidP="001D3405">
            <w:pPr>
              <w:pStyle w:val="TableText1"/>
              <w:jc w:val="center"/>
              <w:cnfStyle w:val="100000000000" w:firstRow="1" w:lastRow="0" w:firstColumn="0" w:lastColumn="0" w:oddVBand="0" w:evenVBand="0" w:oddHBand="0" w:evenHBand="0" w:firstRowFirstColumn="0" w:firstRowLastColumn="0" w:lastRowFirstColumn="0" w:lastRowLastColumn="0"/>
              <w:rPr>
                <w:b/>
                <w:i w:val="0"/>
              </w:rPr>
            </w:pPr>
            <w:r w:rsidRPr="00EE5FC3">
              <w:rPr>
                <w:rFonts w:cs="Calibri"/>
                <w:b/>
                <w:bCs/>
                <w:i w:val="0"/>
                <w:color w:val="000000"/>
                <w:szCs w:val="20"/>
              </w:rPr>
              <w:t>2022</w:t>
            </w:r>
          </w:p>
        </w:tc>
        <w:tc>
          <w:tcPr>
            <w:tcW w:w="629" w:type="pct"/>
            <w:tcBorders>
              <w:top w:val="single" w:sz="4" w:space="0" w:color="auto"/>
              <w:left w:val="single" w:sz="4" w:space="0" w:color="auto"/>
              <w:bottom w:val="single" w:sz="4" w:space="0" w:color="auto"/>
              <w:right w:val="single" w:sz="4" w:space="0" w:color="auto"/>
            </w:tcBorders>
            <w:noWrap/>
            <w:vAlign w:val="bottom"/>
            <w:hideMark/>
          </w:tcPr>
          <w:p w14:paraId="681237A5" w14:textId="77777777" w:rsidR="001D3405" w:rsidRPr="00EE5FC3" w:rsidRDefault="001D3405" w:rsidP="001D3405">
            <w:pPr>
              <w:pStyle w:val="TableText1"/>
              <w:jc w:val="center"/>
              <w:cnfStyle w:val="100000000000" w:firstRow="1" w:lastRow="0" w:firstColumn="0" w:lastColumn="0" w:oddVBand="0" w:evenVBand="0" w:oddHBand="0" w:evenHBand="0" w:firstRowFirstColumn="0" w:firstRowLastColumn="0" w:lastRowFirstColumn="0" w:lastRowLastColumn="0"/>
              <w:rPr>
                <w:b/>
                <w:i w:val="0"/>
              </w:rPr>
            </w:pPr>
            <w:r w:rsidRPr="00EE5FC3">
              <w:rPr>
                <w:rFonts w:cs="Calibri"/>
                <w:b/>
                <w:bCs/>
                <w:i w:val="0"/>
                <w:color w:val="000000"/>
                <w:szCs w:val="20"/>
              </w:rPr>
              <w:t>2023</w:t>
            </w:r>
          </w:p>
        </w:tc>
        <w:tc>
          <w:tcPr>
            <w:tcW w:w="597" w:type="pct"/>
            <w:tcBorders>
              <w:top w:val="single" w:sz="4" w:space="0" w:color="auto"/>
              <w:left w:val="single" w:sz="4" w:space="0" w:color="auto"/>
              <w:bottom w:val="single" w:sz="4" w:space="0" w:color="auto"/>
              <w:right w:val="single" w:sz="4" w:space="0" w:color="auto"/>
            </w:tcBorders>
            <w:noWrap/>
            <w:vAlign w:val="bottom"/>
            <w:hideMark/>
          </w:tcPr>
          <w:p w14:paraId="1DEDB140" w14:textId="77777777" w:rsidR="001D3405" w:rsidRPr="00EE5FC3" w:rsidRDefault="001D3405" w:rsidP="001D3405">
            <w:pPr>
              <w:pStyle w:val="TableText1"/>
              <w:jc w:val="center"/>
              <w:cnfStyle w:val="100000000000" w:firstRow="1" w:lastRow="0" w:firstColumn="0" w:lastColumn="0" w:oddVBand="0" w:evenVBand="0" w:oddHBand="0" w:evenHBand="0" w:firstRowFirstColumn="0" w:firstRowLastColumn="0" w:lastRowFirstColumn="0" w:lastRowLastColumn="0"/>
              <w:rPr>
                <w:b/>
                <w:i w:val="0"/>
              </w:rPr>
            </w:pPr>
            <w:r w:rsidRPr="00EE5FC3">
              <w:rPr>
                <w:rFonts w:cs="Calibri"/>
                <w:b/>
                <w:bCs/>
                <w:i w:val="0"/>
                <w:color w:val="000000"/>
                <w:szCs w:val="20"/>
              </w:rPr>
              <w:t>2024</w:t>
            </w:r>
          </w:p>
        </w:tc>
      </w:tr>
      <w:tr w:rsidR="001D3405" w14:paraId="56B14B26" w14:textId="77777777" w:rsidTr="001D3405">
        <w:trPr>
          <w:trHeight w:val="300"/>
        </w:trPr>
        <w:tc>
          <w:tcPr>
            <w:cnfStyle w:val="001000000000" w:firstRow="0" w:lastRow="0" w:firstColumn="1" w:lastColumn="0" w:oddVBand="0" w:evenVBand="0" w:oddHBand="0" w:evenHBand="0" w:firstRowFirstColumn="0" w:firstRowLastColumn="0" w:lastRowFirstColumn="0" w:lastRowLastColumn="0"/>
            <w:tcW w:w="1887" w:type="pct"/>
            <w:tcBorders>
              <w:top w:val="single" w:sz="4" w:space="0" w:color="auto"/>
              <w:left w:val="single" w:sz="4" w:space="0" w:color="auto"/>
              <w:bottom w:val="single" w:sz="4" w:space="0" w:color="auto"/>
              <w:right w:val="single" w:sz="4" w:space="0" w:color="auto"/>
            </w:tcBorders>
          </w:tcPr>
          <w:p w14:paraId="4D81959C" w14:textId="77777777" w:rsidR="001D3405" w:rsidRPr="00EE5FC3" w:rsidRDefault="001D3405" w:rsidP="001D3405">
            <w:pPr>
              <w:pStyle w:val="Tabletext0"/>
            </w:pPr>
            <w:r w:rsidRPr="00EE5FC3">
              <w:t xml:space="preserve">Total number of patients undergoing </w:t>
            </w:r>
            <w:proofErr w:type="spellStart"/>
            <w:r w:rsidRPr="00EE5FC3">
              <w:t>SLNBx</w:t>
            </w:r>
            <w:proofErr w:type="spellEnd"/>
          </w:p>
        </w:tc>
        <w:tc>
          <w:tcPr>
            <w:tcW w:w="629" w:type="pct"/>
            <w:tcBorders>
              <w:top w:val="single" w:sz="4" w:space="0" w:color="auto"/>
              <w:left w:val="nil"/>
              <w:bottom w:val="single" w:sz="4" w:space="0" w:color="auto"/>
              <w:right w:val="single" w:sz="4" w:space="0" w:color="auto"/>
            </w:tcBorders>
            <w:noWrap/>
            <w:vAlign w:val="bottom"/>
          </w:tcPr>
          <w:p w14:paraId="7F5562C7"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EE5FC3">
              <w:rPr>
                <w:rFonts w:cs="Calibri"/>
                <w:color w:val="000000"/>
              </w:rPr>
              <w:t>2,113</w:t>
            </w:r>
          </w:p>
        </w:tc>
        <w:tc>
          <w:tcPr>
            <w:tcW w:w="629" w:type="pct"/>
            <w:tcBorders>
              <w:top w:val="single" w:sz="4" w:space="0" w:color="auto"/>
              <w:left w:val="single" w:sz="4" w:space="0" w:color="auto"/>
              <w:bottom w:val="single" w:sz="4" w:space="0" w:color="auto"/>
              <w:right w:val="single" w:sz="4" w:space="0" w:color="auto"/>
            </w:tcBorders>
            <w:noWrap/>
            <w:vAlign w:val="bottom"/>
          </w:tcPr>
          <w:p w14:paraId="09BB55B9"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EE5FC3">
              <w:rPr>
                <w:rFonts w:cs="Calibri"/>
                <w:color w:val="000000"/>
              </w:rPr>
              <w:t>2,159</w:t>
            </w:r>
          </w:p>
        </w:tc>
        <w:tc>
          <w:tcPr>
            <w:tcW w:w="629" w:type="pct"/>
            <w:tcBorders>
              <w:top w:val="single" w:sz="4" w:space="0" w:color="auto"/>
              <w:left w:val="single" w:sz="4" w:space="0" w:color="auto"/>
              <w:bottom w:val="single" w:sz="4" w:space="0" w:color="auto"/>
              <w:right w:val="single" w:sz="4" w:space="0" w:color="auto"/>
            </w:tcBorders>
            <w:noWrap/>
            <w:vAlign w:val="bottom"/>
          </w:tcPr>
          <w:p w14:paraId="72D43D32"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EE5FC3">
              <w:rPr>
                <w:rFonts w:cs="Calibri"/>
                <w:color w:val="000000"/>
              </w:rPr>
              <w:t>2,204</w:t>
            </w:r>
          </w:p>
        </w:tc>
        <w:tc>
          <w:tcPr>
            <w:tcW w:w="629" w:type="pct"/>
            <w:tcBorders>
              <w:top w:val="single" w:sz="4" w:space="0" w:color="auto"/>
              <w:left w:val="single" w:sz="4" w:space="0" w:color="auto"/>
              <w:bottom w:val="single" w:sz="4" w:space="0" w:color="auto"/>
              <w:right w:val="single" w:sz="4" w:space="0" w:color="auto"/>
            </w:tcBorders>
            <w:noWrap/>
            <w:vAlign w:val="bottom"/>
          </w:tcPr>
          <w:p w14:paraId="533CA0B2"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EE5FC3">
              <w:rPr>
                <w:rFonts w:cs="Calibri"/>
                <w:color w:val="000000"/>
              </w:rPr>
              <w:t>2,250</w:t>
            </w:r>
          </w:p>
        </w:tc>
        <w:tc>
          <w:tcPr>
            <w:tcW w:w="597" w:type="pct"/>
            <w:tcBorders>
              <w:top w:val="single" w:sz="4" w:space="0" w:color="auto"/>
              <w:left w:val="single" w:sz="4" w:space="0" w:color="auto"/>
              <w:bottom w:val="single" w:sz="4" w:space="0" w:color="auto"/>
              <w:right w:val="single" w:sz="4" w:space="0" w:color="auto"/>
            </w:tcBorders>
            <w:noWrap/>
            <w:vAlign w:val="bottom"/>
          </w:tcPr>
          <w:p w14:paraId="57EDBE7B"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rPr>
                <w:rFonts w:cs="Calibri"/>
                <w:color w:val="000000"/>
              </w:rPr>
            </w:pPr>
            <w:r w:rsidRPr="00EE5FC3">
              <w:rPr>
                <w:rFonts w:cs="Calibri"/>
                <w:color w:val="000000"/>
              </w:rPr>
              <w:t>2,295</w:t>
            </w:r>
          </w:p>
        </w:tc>
      </w:tr>
      <w:tr w:rsidR="001D3405" w14:paraId="118266A5" w14:textId="77777777" w:rsidTr="001D3405">
        <w:trPr>
          <w:trHeight w:val="300"/>
        </w:trPr>
        <w:tc>
          <w:tcPr>
            <w:cnfStyle w:val="001000000000" w:firstRow="0" w:lastRow="0" w:firstColumn="1" w:lastColumn="0" w:oddVBand="0" w:evenVBand="0" w:oddHBand="0" w:evenHBand="0" w:firstRowFirstColumn="0" w:firstRowLastColumn="0" w:lastRowFirstColumn="0" w:lastRowLastColumn="0"/>
            <w:tcW w:w="1887" w:type="pct"/>
            <w:tcBorders>
              <w:top w:val="single" w:sz="4" w:space="0" w:color="auto"/>
              <w:left w:val="single" w:sz="4" w:space="0" w:color="auto"/>
              <w:bottom w:val="single" w:sz="4" w:space="0" w:color="auto"/>
              <w:right w:val="single" w:sz="4" w:space="0" w:color="auto"/>
            </w:tcBorders>
            <w:hideMark/>
          </w:tcPr>
          <w:p w14:paraId="6A9CE22B" w14:textId="77777777" w:rsidR="001D3405" w:rsidRPr="00EE5FC3" w:rsidRDefault="001D3405" w:rsidP="001D3405">
            <w:pPr>
              <w:pStyle w:val="Tabletext0"/>
            </w:pPr>
            <w:r>
              <w:t xml:space="preserve">Total direct costs of </w:t>
            </w:r>
            <w:proofErr w:type="spellStart"/>
            <w:r>
              <w:t>SLNBx</w:t>
            </w:r>
            <w:proofErr w:type="spellEnd"/>
          </w:p>
        </w:tc>
        <w:tc>
          <w:tcPr>
            <w:tcW w:w="629" w:type="pct"/>
            <w:tcBorders>
              <w:top w:val="single" w:sz="4" w:space="0" w:color="auto"/>
              <w:left w:val="nil"/>
              <w:bottom w:val="single" w:sz="4" w:space="0" w:color="auto"/>
              <w:right w:val="single" w:sz="4" w:space="0" w:color="auto"/>
            </w:tcBorders>
            <w:noWrap/>
            <w:vAlign w:val="bottom"/>
            <w:hideMark/>
          </w:tcPr>
          <w:p w14:paraId="1F9D8502"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pPr>
            <w:r w:rsidRPr="00EE5FC3">
              <w:rPr>
                <w:rFonts w:cs="Calibri"/>
                <w:color w:val="000000"/>
              </w:rPr>
              <w:t>$1,010,395</w:t>
            </w:r>
          </w:p>
        </w:tc>
        <w:tc>
          <w:tcPr>
            <w:tcW w:w="629" w:type="pct"/>
            <w:tcBorders>
              <w:top w:val="single" w:sz="4" w:space="0" w:color="auto"/>
              <w:left w:val="single" w:sz="4" w:space="0" w:color="auto"/>
              <w:bottom w:val="single" w:sz="4" w:space="0" w:color="auto"/>
              <w:right w:val="single" w:sz="4" w:space="0" w:color="auto"/>
            </w:tcBorders>
            <w:noWrap/>
            <w:vAlign w:val="bottom"/>
            <w:hideMark/>
          </w:tcPr>
          <w:p w14:paraId="79045B17"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pPr>
            <w:r w:rsidRPr="00EE5FC3">
              <w:rPr>
                <w:rFonts w:cs="Calibri"/>
                <w:color w:val="000000"/>
              </w:rPr>
              <w:t>$1,032,107</w:t>
            </w:r>
          </w:p>
        </w:tc>
        <w:tc>
          <w:tcPr>
            <w:tcW w:w="629" w:type="pct"/>
            <w:tcBorders>
              <w:top w:val="single" w:sz="4" w:space="0" w:color="auto"/>
              <w:left w:val="single" w:sz="4" w:space="0" w:color="auto"/>
              <w:bottom w:val="single" w:sz="4" w:space="0" w:color="auto"/>
              <w:right w:val="single" w:sz="4" w:space="0" w:color="auto"/>
            </w:tcBorders>
            <w:noWrap/>
            <w:vAlign w:val="bottom"/>
            <w:hideMark/>
          </w:tcPr>
          <w:p w14:paraId="3727787E"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pPr>
            <w:r w:rsidRPr="00EE5FC3">
              <w:rPr>
                <w:rFonts w:cs="Calibri"/>
                <w:color w:val="000000"/>
              </w:rPr>
              <w:t>$1,053,818</w:t>
            </w:r>
          </w:p>
        </w:tc>
        <w:tc>
          <w:tcPr>
            <w:tcW w:w="629" w:type="pct"/>
            <w:tcBorders>
              <w:top w:val="single" w:sz="4" w:space="0" w:color="auto"/>
              <w:left w:val="single" w:sz="4" w:space="0" w:color="auto"/>
              <w:bottom w:val="single" w:sz="4" w:space="0" w:color="auto"/>
              <w:right w:val="single" w:sz="4" w:space="0" w:color="auto"/>
            </w:tcBorders>
            <w:noWrap/>
            <w:vAlign w:val="bottom"/>
            <w:hideMark/>
          </w:tcPr>
          <w:p w14:paraId="00464C6C"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pPr>
            <w:r w:rsidRPr="00EE5FC3">
              <w:rPr>
                <w:rFonts w:cs="Calibri"/>
                <w:color w:val="000000"/>
              </w:rPr>
              <w:t>$1,075,529</w:t>
            </w:r>
          </w:p>
        </w:tc>
        <w:tc>
          <w:tcPr>
            <w:tcW w:w="597" w:type="pct"/>
            <w:tcBorders>
              <w:top w:val="single" w:sz="4" w:space="0" w:color="auto"/>
              <w:left w:val="single" w:sz="4" w:space="0" w:color="auto"/>
              <w:bottom w:val="single" w:sz="4" w:space="0" w:color="auto"/>
              <w:right w:val="single" w:sz="4" w:space="0" w:color="auto"/>
            </w:tcBorders>
            <w:noWrap/>
            <w:vAlign w:val="bottom"/>
            <w:hideMark/>
          </w:tcPr>
          <w:p w14:paraId="23EE8C20"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pPr>
            <w:r w:rsidRPr="00EE5FC3">
              <w:rPr>
                <w:rFonts w:cs="Calibri"/>
                <w:color w:val="000000"/>
              </w:rPr>
              <w:t>$1,097,241</w:t>
            </w:r>
          </w:p>
        </w:tc>
      </w:tr>
      <w:tr w:rsidR="001D3405" w14:paraId="31BCD05B" w14:textId="77777777" w:rsidTr="001D3405">
        <w:trPr>
          <w:trHeight w:val="300"/>
        </w:trPr>
        <w:tc>
          <w:tcPr>
            <w:cnfStyle w:val="001000000000" w:firstRow="0" w:lastRow="0" w:firstColumn="1" w:lastColumn="0" w:oddVBand="0" w:evenVBand="0" w:oddHBand="0" w:evenHBand="0" w:firstRowFirstColumn="0" w:firstRowLastColumn="0" w:lastRowFirstColumn="0" w:lastRowLastColumn="0"/>
            <w:tcW w:w="1887" w:type="pct"/>
            <w:tcBorders>
              <w:top w:val="single" w:sz="4" w:space="0" w:color="auto"/>
              <w:left w:val="single" w:sz="4" w:space="0" w:color="auto"/>
              <w:bottom w:val="single" w:sz="4" w:space="0" w:color="auto"/>
              <w:right w:val="single" w:sz="4" w:space="0" w:color="auto"/>
            </w:tcBorders>
            <w:hideMark/>
          </w:tcPr>
          <w:p w14:paraId="52A88096" w14:textId="77777777" w:rsidR="001D3405" w:rsidRPr="00EE5FC3" w:rsidRDefault="001D3405" w:rsidP="001D3405">
            <w:pPr>
              <w:pStyle w:val="Tabletext0"/>
            </w:pPr>
            <w:r w:rsidRPr="00EE5FC3">
              <w:t xml:space="preserve">Total cost offsets due to reduction in use of </w:t>
            </w:r>
            <w:r>
              <w:t xml:space="preserve">other </w:t>
            </w:r>
            <w:r w:rsidRPr="00EE5FC3">
              <w:t>MBS items</w:t>
            </w:r>
          </w:p>
        </w:tc>
        <w:tc>
          <w:tcPr>
            <w:tcW w:w="629" w:type="pct"/>
            <w:tcBorders>
              <w:top w:val="single" w:sz="4" w:space="0" w:color="auto"/>
              <w:left w:val="nil"/>
              <w:bottom w:val="single" w:sz="4" w:space="0" w:color="auto"/>
              <w:right w:val="single" w:sz="4" w:space="0" w:color="auto"/>
            </w:tcBorders>
            <w:noWrap/>
            <w:vAlign w:val="bottom"/>
            <w:hideMark/>
          </w:tcPr>
          <w:p w14:paraId="2559E09F"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pPr>
            <w:r w:rsidRPr="00EE5FC3">
              <w:rPr>
                <w:rFonts w:cs="Calibri"/>
                <w:color w:val="000000"/>
              </w:rPr>
              <w:t>$428,071</w:t>
            </w:r>
          </w:p>
        </w:tc>
        <w:tc>
          <w:tcPr>
            <w:tcW w:w="629" w:type="pct"/>
            <w:tcBorders>
              <w:top w:val="single" w:sz="4" w:space="0" w:color="auto"/>
              <w:left w:val="single" w:sz="4" w:space="0" w:color="auto"/>
              <w:bottom w:val="single" w:sz="4" w:space="0" w:color="auto"/>
              <w:right w:val="single" w:sz="4" w:space="0" w:color="auto"/>
            </w:tcBorders>
            <w:noWrap/>
            <w:vAlign w:val="bottom"/>
            <w:hideMark/>
          </w:tcPr>
          <w:p w14:paraId="040AFD58"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pPr>
            <w:r w:rsidRPr="00EE5FC3">
              <w:rPr>
                <w:rFonts w:cs="Calibri"/>
                <w:color w:val="000000"/>
              </w:rPr>
              <w:t>$437,270</w:t>
            </w:r>
          </w:p>
        </w:tc>
        <w:tc>
          <w:tcPr>
            <w:tcW w:w="629" w:type="pct"/>
            <w:tcBorders>
              <w:top w:val="single" w:sz="4" w:space="0" w:color="auto"/>
              <w:left w:val="single" w:sz="4" w:space="0" w:color="auto"/>
              <w:bottom w:val="single" w:sz="4" w:space="0" w:color="auto"/>
              <w:right w:val="single" w:sz="4" w:space="0" w:color="auto"/>
            </w:tcBorders>
            <w:noWrap/>
            <w:vAlign w:val="bottom"/>
            <w:hideMark/>
          </w:tcPr>
          <w:p w14:paraId="34A5DAAF"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pPr>
            <w:r w:rsidRPr="00EE5FC3">
              <w:rPr>
                <w:rFonts w:cs="Calibri"/>
                <w:color w:val="000000"/>
              </w:rPr>
              <w:t>$446,468</w:t>
            </w:r>
          </w:p>
        </w:tc>
        <w:tc>
          <w:tcPr>
            <w:tcW w:w="629" w:type="pct"/>
            <w:tcBorders>
              <w:top w:val="single" w:sz="4" w:space="0" w:color="auto"/>
              <w:left w:val="single" w:sz="4" w:space="0" w:color="auto"/>
              <w:bottom w:val="single" w:sz="4" w:space="0" w:color="auto"/>
              <w:right w:val="single" w:sz="4" w:space="0" w:color="auto"/>
            </w:tcBorders>
            <w:noWrap/>
            <w:vAlign w:val="bottom"/>
            <w:hideMark/>
          </w:tcPr>
          <w:p w14:paraId="59C32A83"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pPr>
            <w:r w:rsidRPr="00EE5FC3">
              <w:rPr>
                <w:rFonts w:cs="Calibri"/>
                <w:color w:val="000000"/>
              </w:rPr>
              <w:t>$455,667</w:t>
            </w:r>
          </w:p>
        </w:tc>
        <w:tc>
          <w:tcPr>
            <w:tcW w:w="597" w:type="pct"/>
            <w:tcBorders>
              <w:top w:val="single" w:sz="4" w:space="0" w:color="auto"/>
              <w:left w:val="single" w:sz="4" w:space="0" w:color="auto"/>
              <w:bottom w:val="single" w:sz="4" w:space="0" w:color="auto"/>
              <w:right w:val="single" w:sz="4" w:space="0" w:color="auto"/>
            </w:tcBorders>
            <w:noWrap/>
            <w:vAlign w:val="bottom"/>
            <w:hideMark/>
          </w:tcPr>
          <w:p w14:paraId="2F42D39C"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pPr>
            <w:r w:rsidRPr="00EE5FC3">
              <w:rPr>
                <w:rFonts w:cs="Calibri"/>
                <w:color w:val="000000"/>
              </w:rPr>
              <w:t>$464,865</w:t>
            </w:r>
          </w:p>
        </w:tc>
      </w:tr>
      <w:tr w:rsidR="001D3405" w:rsidRPr="00D82BDE" w14:paraId="044FD5C6" w14:textId="77777777" w:rsidTr="001D3405">
        <w:trPr>
          <w:trHeight w:val="300"/>
        </w:trPr>
        <w:tc>
          <w:tcPr>
            <w:cnfStyle w:val="001000000000" w:firstRow="0" w:lastRow="0" w:firstColumn="1" w:lastColumn="0" w:oddVBand="0" w:evenVBand="0" w:oddHBand="0" w:evenHBand="0" w:firstRowFirstColumn="0" w:firstRowLastColumn="0" w:lastRowFirstColumn="0" w:lastRowLastColumn="0"/>
            <w:tcW w:w="1887" w:type="pct"/>
            <w:tcBorders>
              <w:top w:val="single" w:sz="4" w:space="0" w:color="auto"/>
              <w:left w:val="single" w:sz="4" w:space="0" w:color="auto"/>
              <w:bottom w:val="single" w:sz="4" w:space="0" w:color="auto"/>
              <w:right w:val="single" w:sz="4" w:space="0" w:color="auto"/>
            </w:tcBorders>
            <w:hideMark/>
          </w:tcPr>
          <w:p w14:paraId="3391EDE1" w14:textId="77777777" w:rsidR="001D3405" w:rsidRPr="00EE5FC3" w:rsidRDefault="001D3405" w:rsidP="001D3405">
            <w:pPr>
              <w:pStyle w:val="Tabletext0"/>
              <w:rPr>
                <w:b/>
              </w:rPr>
            </w:pPr>
            <w:r w:rsidRPr="00EE5FC3">
              <w:rPr>
                <w:b/>
              </w:rPr>
              <w:t>Net cost to MBS</w:t>
            </w:r>
          </w:p>
        </w:tc>
        <w:tc>
          <w:tcPr>
            <w:tcW w:w="629" w:type="pct"/>
            <w:tcBorders>
              <w:top w:val="single" w:sz="4" w:space="0" w:color="auto"/>
              <w:left w:val="nil"/>
              <w:bottom w:val="single" w:sz="4" w:space="0" w:color="auto"/>
              <w:right w:val="single" w:sz="4" w:space="0" w:color="auto"/>
            </w:tcBorders>
            <w:noWrap/>
            <w:vAlign w:val="bottom"/>
            <w:hideMark/>
          </w:tcPr>
          <w:p w14:paraId="005F9AC6"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rPr>
                <w:b/>
              </w:rPr>
            </w:pPr>
            <w:r w:rsidRPr="00EE5FC3">
              <w:rPr>
                <w:rFonts w:cs="Calibri"/>
                <w:b/>
                <w:color w:val="000000"/>
              </w:rPr>
              <w:t>$582,324</w:t>
            </w:r>
          </w:p>
        </w:tc>
        <w:tc>
          <w:tcPr>
            <w:tcW w:w="629" w:type="pct"/>
            <w:tcBorders>
              <w:top w:val="single" w:sz="4" w:space="0" w:color="auto"/>
              <w:left w:val="single" w:sz="4" w:space="0" w:color="auto"/>
              <w:bottom w:val="single" w:sz="4" w:space="0" w:color="auto"/>
              <w:right w:val="single" w:sz="4" w:space="0" w:color="auto"/>
            </w:tcBorders>
            <w:noWrap/>
            <w:vAlign w:val="bottom"/>
            <w:hideMark/>
          </w:tcPr>
          <w:p w14:paraId="6EC13CB9"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rPr>
                <w:b/>
              </w:rPr>
            </w:pPr>
            <w:r w:rsidRPr="00EE5FC3">
              <w:rPr>
                <w:rFonts w:cs="Calibri"/>
                <w:b/>
                <w:color w:val="000000"/>
              </w:rPr>
              <w:t>$594,837</w:t>
            </w:r>
          </w:p>
        </w:tc>
        <w:tc>
          <w:tcPr>
            <w:tcW w:w="629" w:type="pct"/>
            <w:tcBorders>
              <w:top w:val="single" w:sz="4" w:space="0" w:color="auto"/>
              <w:left w:val="single" w:sz="4" w:space="0" w:color="auto"/>
              <w:bottom w:val="single" w:sz="4" w:space="0" w:color="auto"/>
              <w:right w:val="single" w:sz="4" w:space="0" w:color="auto"/>
            </w:tcBorders>
            <w:noWrap/>
            <w:vAlign w:val="bottom"/>
            <w:hideMark/>
          </w:tcPr>
          <w:p w14:paraId="06437827"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rPr>
                <w:b/>
              </w:rPr>
            </w:pPr>
            <w:r w:rsidRPr="00EE5FC3">
              <w:rPr>
                <w:rFonts w:cs="Calibri"/>
                <w:b/>
                <w:color w:val="000000"/>
              </w:rPr>
              <w:t>$607,350</w:t>
            </w:r>
          </w:p>
        </w:tc>
        <w:tc>
          <w:tcPr>
            <w:tcW w:w="629" w:type="pct"/>
            <w:tcBorders>
              <w:top w:val="single" w:sz="4" w:space="0" w:color="auto"/>
              <w:left w:val="single" w:sz="4" w:space="0" w:color="auto"/>
              <w:bottom w:val="single" w:sz="4" w:space="0" w:color="auto"/>
              <w:right w:val="single" w:sz="4" w:space="0" w:color="auto"/>
            </w:tcBorders>
            <w:noWrap/>
            <w:vAlign w:val="bottom"/>
            <w:hideMark/>
          </w:tcPr>
          <w:p w14:paraId="65652417"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rPr>
                <w:b/>
              </w:rPr>
            </w:pPr>
            <w:r w:rsidRPr="00EE5FC3">
              <w:rPr>
                <w:rFonts w:cs="Calibri"/>
                <w:b/>
                <w:color w:val="000000"/>
              </w:rPr>
              <w:t>$619,863</w:t>
            </w:r>
          </w:p>
        </w:tc>
        <w:tc>
          <w:tcPr>
            <w:tcW w:w="597" w:type="pct"/>
            <w:tcBorders>
              <w:top w:val="single" w:sz="4" w:space="0" w:color="auto"/>
              <w:left w:val="single" w:sz="4" w:space="0" w:color="auto"/>
              <w:bottom w:val="single" w:sz="4" w:space="0" w:color="auto"/>
              <w:right w:val="single" w:sz="4" w:space="0" w:color="auto"/>
            </w:tcBorders>
            <w:noWrap/>
            <w:vAlign w:val="bottom"/>
            <w:hideMark/>
          </w:tcPr>
          <w:p w14:paraId="742681D6" w14:textId="77777777" w:rsidR="001D3405" w:rsidRPr="00EE5FC3" w:rsidRDefault="001D3405" w:rsidP="001D3405">
            <w:pPr>
              <w:pStyle w:val="Tabletext0"/>
              <w:jc w:val="center"/>
              <w:cnfStyle w:val="000000000000" w:firstRow="0" w:lastRow="0" w:firstColumn="0" w:lastColumn="0" w:oddVBand="0" w:evenVBand="0" w:oddHBand="0" w:evenHBand="0" w:firstRowFirstColumn="0" w:firstRowLastColumn="0" w:lastRowFirstColumn="0" w:lastRowLastColumn="0"/>
              <w:rPr>
                <w:b/>
              </w:rPr>
            </w:pPr>
            <w:r w:rsidRPr="00EE5FC3">
              <w:rPr>
                <w:rFonts w:cs="Calibri"/>
                <w:b/>
                <w:color w:val="000000"/>
              </w:rPr>
              <w:t>$632,376</w:t>
            </w:r>
          </w:p>
        </w:tc>
      </w:tr>
    </w:tbl>
    <w:p w14:paraId="05C8B71E" w14:textId="77777777" w:rsidR="001D3405" w:rsidRDefault="001D3405" w:rsidP="001D3405">
      <w:pPr>
        <w:pStyle w:val="Tablecaption"/>
        <w:jc w:val="left"/>
        <w:rPr>
          <w:sz w:val="18"/>
        </w:rPr>
      </w:pPr>
      <w:r w:rsidRPr="00141232">
        <w:rPr>
          <w:sz w:val="18"/>
        </w:rPr>
        <w:t xml:space="preserve">MBS = Medicare Benefits Schedule; </w:t>
      </w:r>
      <w:proofErr w:type="spellStart"/>
      <w:r w:rsidRPr="00141232">
        <w:rPr>
          <w:sz w:val="18"/>
        </w:rPr>
        <w:t>SLNBx</w:t>
      </w:r>
      <w:proofErr w:type="spellEnd"/>
      <w:r w:rsidRPr="00141232">
        <w:rPr>
          <w:sz w:val="18"/>
        </w:rPr>
        <w:t xml:space="preserve"> = sentinel lymph node biopsy</w:t>
      </w:r>
    </w:p>
    <w:p w14:paraId="0025B77E" w14:textId="77777777" w:rsidR="001D3405" w:rsidRPr="00141232" w:rsidRDefault="001D3405" w:rsidP="001D3405">
      <w:pPr>
        <w:pStyle w:val="Tablecaption"/>
        <w:keepNext w:val="0"/>
        <w:keepLines w:val="0"/>
        <w:spacing w:after="240"/>
        <w:jc w:val="left"/>
        <w:rPr>
          <w:sz w:val="18"/>
        </w:rPr>
      </w:pPr>
      <w:r w:rsidRPr="00141232">
        <w:rPr>
          <w:sz w:val="18"/>
        </w:rPr>
        <w:t xml:space="preserve">Source: </w:t>
      </w:r>
      <w:r>
        <w:rPr>
          <w:sz w:val="18"/>
        </w:rPr>
        <w:t>compiled from Table 10, p27; Table 62, p108 of the DCAR</w:t>
      </w:r>
    </w:p>
    <w:p w14:paraId="262B647E" w14:textId="3BB9F286" w:rsidR="001D3405" w:rsidRDefault="001D3405" w:rsidP="001D3405">
      <w:r>
        <w:lastRenderedPageBreak/>
        <w:t xml:space="preserve">The DCAR presented a sensitivity analysis estimating the impact for </w:t>
      </w:r>
      <w:r w:rsidRPr="00D82BDE">
        <w:t xml:space="preserve">20% </w:t>
      </w:r>
      <w:r>
        <w:t xml:space="preserve">of </w:t>
      </w:r>
      <w:r w:rsidRPr="00D82BDE">
        <w:t>patients</w:t>
      </w:r>
      <w:r>
        <w:t xml:space="preserve"> undergoing </w:t>
      </w:r>
      <w:proofErr w:type="spellStart"/>
      <w:r>
        <w:t>SLNBx</w:t>
      </w:r>
      <w:proofErr w:type="spellEnd"/>
      <w:r w:rsidRPr="00D82BDE">
        <w:t xml:space="preserve"> hav</w:t>
      </w:r>
      <w:r>
        <w:t>ing</w:t>
      </w:r>
      <w:r w:rsidRPr="00D82BDE">
        <w:t xml:space="preserve"> two basins affected</w:t>
      </w:r>
      <w:r>
        <w:t>, and therefore including the multiple o</w:t>
      </w:r>
      <w:r w:rsidRPr="00D82BDE">
        <w:t>peration</w:t>
      </w:r>
      <w:r>
        <w:t>s</w:t>
      </w:r>
      <w:r w:rsidRPr="00D82BDE">
        <w:t xml:space="preserve"> </w:t>
      </w:r>
      <w:r>
        <w:t>r</w:t>
      </w:r>
      <w:r w:rsidRPr="00D82BDE">
        <w:t xml:space="preserve">ule </w:t>
      </w:r>
      <w:r>
        <w:t>(Table 1</w:t>
      </w:r>
      <w:r w:rsidR="008237C2">
        <w:t>2</w:t>
      </w:r>
      <w:r>
        <w:t>).</w:t>
      </w:r>
    </w:p>
    <w:p w14:paraId="69BAF83C" w14:textId="77777777" w:rsidR="001D3405" w:rsidRPr="00697326" w:rsidRDefault="001D3405" w:rsidP="00697326">
      <w:pPr>
        <w:spacing w:before="240"/>
        <w:rPr>
          <w:rFonts w:ascii="Arial Narrow" w:hAnsi="Arial Narrow"/>
          <w:b/>
          <w:sz w:val="20"/>
        </w:rPr>
      </w:pPr>
      <w:bookmarkStart w:id="23" w:name="_Ref510621374"/>
      <w:bookmarkStart w:id="24" w:name="_Toc437865969"/>
      <w:bookmarkStart w:id="25" w:name="_Toc512584551"/>
      <w:bookmarkStart w:id="26" w:name="_Toc26454423"/>
      <w:bookmarkStart w:id="27" w:name="_Toc30088461"/>
      <w:r w:rsidRPr="00697326">
        <w:rPr>
          <w:rFonts w:ascii="Arial Narrow" w:hAnsi="Arial Narrow"/>
          <w:b/>
          <w:sz w:val="20"/>
        </w:rPr>
        <w:t>Table</w:t>
      </w:r>
      <w:bookmarkEnd w:id="23"/>
      <w:r w:rsidRPr="00697326">
        <w:rPr>
          <w:rFonts w:ascii="Arial Narrow" w:hAnsi="Arial Narrow"/>
          <w:b/>
          <w:sz w:val="20"/>
        </w:rPr>
        <w:t xml:space="preserve"> 1</w:t>
      </w:r>
      <w:r w:rsidR="008237C2" w:rsidRPr="00697326">
        <w:rPr>
          <w:rFonts w:ascii="Arial Narrow" w:hAnsi="Arial Narrow"/>
          <w:b/>
          <w:sz w:val="20"/>
        </w:rPr>
        <w:t>2</w:t>
      </w:r>
      <w:r w:rsidRPr="00697326">
        <w:rPr>
          <w:rFonts w:ascii="Arial Narrow" w:hAnsi="Arial Narrow"/>
          <w:b/>
          <w:sz w:val="20"/>
        </w:rPr>
        <w:t>: Sensitivity analysis</w:t>
      </w:r>
      <w:bookmarkEnd w:id="24"/>
      <w:bookmarkEnd w:id="25"/>
      <w:bookmarkEnd w:id="26"/>
      <w:bookmarkEnd w:id="27"/>
    </w:p>
    <w:tbl>
      <w:tblPr>
        <w:tblStyle w:val="TableGrid1"/>
        <w:tblW w:w="5000" w:type="pct"/>
        <w:tblLook w:val="00A0" w:firstRow="1" w:lastRow="0" w:firstColumn="1" w:lastColumn="0" w:noHBand="0" w:noVBand="0"/>
        <w:tblCaption w:val="Table 12: Sensitivity analysis "/>
        <w:tblDescription w:val="Summary of financial implications when 20% have 2 nodal basins affected"/>
      </w:tblPr>
      <w:tblGrid>
        <w:gridCol w:w="3398"/>
        <w:gridCol w:w="1134"/>
        <w:gridCol w:w="1134"/>
        <w:gridCol w:w="1134"/>
        <w:gridCol w:w="1134"/>
        <w:gridCol w:w="1082"/>
      </w:tblGrid>
      <w:tr w:rsidR="001D3405" w:rsidRPr="005C4DD0" w14:paraId="387F2847" w14:textId="77777777" w:rsidTr="00697326">
        <w:trPr>
          <w:cnfStyle w:val="100000000000" w:firstRow="1" w:lastRow="0" w:firstColumn="0" w:lastColumn="0" w:oddVBand="0" w:evenVBand="0" w:oddHBand="0" w:evenHBand="0" w:firstRowFirstColumn="0" w:firstRowLastColumn="0" w:lastRowFirstColumn="0" w:lastRowLastColumn="0"/>
          <w:trHeight w:val="70"/>
          <w:tblHeader/>
        </w:trPr>
        <w:tc>
          <w:tcPr>
            <w:tcW w:w="1884" w:type="pct"/>
            <w:noWrap/>
            <w:hideMark/>
          </w:tcPr>
          <w:p w14:paraId="44D1F40F" w14:textId="77777777" w:rsidR="001D3405" w:rsidRPr="004E0FD0" w:rsidRDefault="001D3405" w:rsidP="001D3405">
            <w:pPr>
              <w:pStyle w:val="Tabletext0"/>
              <w:rPr>
                <w:b/>
              </w:rPr>
            </w:pPr>
            <w:r w:rsidRPr="004E0FD0">
              <w:rPr>
                <w:b/>
              </w:rPr>
              <w:t>Description</w:t>
            </w:r>
          </w:p>
        </w:tc>
        <w:tc>
          <w:tcPr>
            <w:tcW w:w="629" w:type="pct"/>
            <w:noWrap/>
            <w:hideMark/>
          </w:tcPr>
          <w:p w14:paraId="458CAA42" w14:textId="77777777" w:rsidR="001D3405" w:rsidRPr="004E0FD0" w:rsidRDefault="001D3405" w:rsidP="001D3405">
            <w:pPr>
              <w:pStyle w:val="Tabletext0"/>
              <w:jc w:val="center"/>
              <w:rPr>
                <w:b/>
              </w:rPr>
            </w:pPr>
            <w:r w:rsidRPr="004E0FD0">
              <w:rPr>
                <w:rFonts w:cs="Calibri"/>
                <w:b/>
                <w:bCs/>
                <w:color w:val="000000"/>
              </w:rPr>
              <w:t>2020</w:t>
            </w:r>
          </w:p>
        </w:tc>
        <w:tc>
          <w:tcPr>
            <w:tcW w:w="629" w:type="pct"/>
            <w:noWrap/>
            <w:hideMark/>
          </w:tcPr>
          <w:p w14:paraId="406C7267" w14:textId="77777777" w:rsidR="001D3405" w:rsidRPr="005C4DD0" w:rsidRDefault="001D3405" w:rsidP="001D3405">
            <w:pPr>
              <w:pStyle w:val="Tabletext0"/>
              <w:jc w:val="center"/>
            </w:pPr>
            <w:r w:rsidRPr="00B91C6F">
              <w:rPr>
                <w:rFonts w:cs="Calibri"/>
                <w:b/>
                <w:bCs/>
                <w:color w:val="000000"/>
              </w:rPr>
              <w:t>2021</w:t>
            </w:r>
          </w:p>
        </w:tc>
        <w:tc>
          <w:tcPr>
            <w:tcW w:w="629" w:type="pct"/>
            <w:noWrap/>
            <w:hideMark/>
          </w:tcPr>
          <w:p w14:paraId="1B6DBDC0" w14:textId="77777777" w:rsidR="001D3405" w:rsidRPr="005C4DD0" w:rsidRDefault="001D3405" w:rsidP="001D3405">
            <w:pPr>
              <w:pStyle w:val="Tabletext0"/>
              <w:jc w:val="center"/>
            </w:pPr>
            <w:r w:rsidRPr="00B91C6F">
              <w:rPr>
                <w:rFonts w:cs="Calibri"/>
                <w:b/>
                <w:bCs/>
                <w:color w:val="000000"/>
              </w:rPr>
              <w:t>2022</w:t>
            </w:r>
          </w:p>
        </w:tc>
        <w:tc>
          <w:tcPr>
            <w:tcW w:w="629" w:type="pct"/>
            <w:noWrap/>
            <w:hideMark/>
          </w:tcPr>
          <w:p w14:paraId="5C152A8B" w14:textId="77777777" w:rsidR="001D3405" w:rsidRPr="005C4DD0" w:rsidRDefault="001D3405" w:rsidP="001D3405">
            <w:pPr>
              <w:pStyle w:val="Tabletext0"/>
              <w:jc w:val="center"/>
            </w:pPr>
            <w:r w:rsidRPr="00B91C6F">
              <w:rPr>
                <w:rFonts w:cs="Calibri"/>
                <w:b/>
                <w:bCs/>
                <w:color w:val="000000"/>
              </w:rPr>
              <w:t>2023</w:t>
            </w:r>
          </w:p>
        </w:tc>
        <w:tc>
          <w:tcPr>
            <w:tcW w:w="600" w:type="pct"/>
            <w:noWrap/>
            <w:hideMark/>
          </w:tcPr>
          <w:p w14:paraId="330DEE63" w14:textId="77777777" w:rsidR="001D3405" w:rsidRPr="005C4DD0" w:rsidRDefault="001D3405" w:rsidP="001D3405">
            <w:pPr>
              <w:pStyle w:val="Tabletext0"/>
              <w:jc w:val="center"/>
            </w:pPr>
            <w:r w:rsidRPr="00B91C6F">
              <w:rPr>
                <w:rFonts w:cs="Calibri"/>
                <w:b/>
                <w:bCs/>
                <w:color w:val="000000"/>
              </w:rPr>
              <w:t>2024</w:t>
            </w:r>
          </w:p>
        </w:tc>
      </w:tr>
      <w:tr w:rsidR="001D3405" w:rsidRPr="005C4DD0" w14:paraId="54A7AFB6" w14:textId="77777777" w:rsidTr="00697326">
        <w:trPr>
          <w:trHeight w:val="70"/>
        </w:trPr>
        <w:tc>
          <w:tcPr>
            <w:tcW w:w="1884" w:type="pct"/>
            <w:noWrap/>
            <w:hideMark/>
          </w:tcPr>
          <w:p w14:paraId="0138FD3F" w14:textId="77777777" w:rsidR="001D3405" w:rsidRPr="004E0FD0" w:rsidRDefault="001D3405" w:rsidP="001D3405">
            <w:pPr>
              <w:pStyle w:val="Tabletext0"/>
              <w:rPr>
                <w:rFonts w:eastAsia="Arial Unicode MS"/>
                <w:b/>
              </w:rPr>
            </w:pPr>
            <w:r>
              <w:rPr>
                <w:rFonts w:eastAsia="Arial Unicode MS"/>
                <w:b/>
              </w:rPr>
              <w:t xml:space="preserve">Overall net cost </w:t>
            </w:r>
            <w:r w:rsidRPr="004E0FD0">
              <w:rPr>
                <w:rFonts w:eastAsia="Arial Unicode MS"/>
                <w:b/>
              </w:rPr>
              <w:t>base case</w:t>
            </w:r>
          </w:p>
        </w:tc>
        <w:tc>
          <w:tcPr>
            <w:tcW w:w="629" w:type="pct"/>
            <w:noWrap/>
            <w:hideMark/>
          </w:tcPr>
          <w:p w14:paraId="0257F803" w14:textId="77777777" w:rsidR="001D3405" w:rsidRPr="004E0FD0" w:rsidRDefault="001D3405" w:rsidP="001D3405">
            <w:pPr>
              <w:pStyle w:val="Tabletext0"/>
              <w:jc w:val="center"/>
              <w:rPr>
                <w:b/>
              </w:rPr>
            </w:pPr>
            <w:r w:rsidRPr="004E0FD0">
              <w:rPr>
                <w:rFonts w:cs="Calibri"/>
                <w:b/>
                <w:color w:val="000000"/>
                <w:szCs w:val="22"/>
              </w:rPr>
              <w:t>$582,324</w:t>
            </w:r>
          </w:p>
        </w:tc>
        <w:tc>
          <w:tcPr>
            <w:tcW w:w="629" w:type="pct"/>
            <w:noWrap/>
            <w:hideMark/>
          </w:tcPr>
          <w:p w14:paraId="03D23F52" w14:textId="77777777" w:rsidR="001D3405" w:rsidRPr="004E0FD0" w:rsidRDefault="001D3405" w:rsidP="001D3405">
            <w:pPr>
              <w:pStyle w:val="Tabletext0"/>
              <w:jc w:val="center"/>
              <w:rPr>
                <w:b/>
              </w:rPr>
            </w:pPr>
            <w:r w:rsidRPr="004E0FD0">
              <w:rPr>
                <w:rFonts w:cs="Calibri"/>
                <w:b/>
                <w:color w:val="000000"/>
                <w:szCs w:val="22"/>
              </w:rPr>
              <w:t>$594,837</w:t>
            </w:r>
          </w:p>
        </w:tc>
        <w:tc>
          <w:tcPr>
            <w:tcW w:w="629" w:type="pct"/>
            <w:noWrap/>
            <w:hideMark/>
          </w:tcPr>
          <w:p w14:paraId="33D3DC8E" w14:textId="77777777" w:rsidR="001D3405" w:rsidRPr="004E0FD0" w:rsidRDefault="001D3405" w:rsidP="001D3405">
            <w:pPr>
              <w:pStyle w:val="Tabletext0"/>
              <w:jc w:val="center"/>
              <w:rPr>
                <w:b/>
              </w:rPr>
            </w:pPr>
            <w:r w:rsidRPr="004E0FD0">
              <w:rPr>
                <w:rFonts w:cs="Calibri"/>
                <w:b/>
                <w:color w:val="000000"/>
                <w:szCs w:val="22"/>
              </w:rPr>
              <w:t>$607,350</w:t>
            </w:r>
          </w:p>
        </w:tc>
        <w:tc>
          <w:tcPr>
            <w:tcW w:w="629" w:type="pct"/>
            <w:noWrap/>
            <w:hideMark/>
          </w:tcPr>
          <w:p w14:paraId="61C101C8" w14:textId="77777777" w:rsidR="001D3405" w:rsidRPr="004E0FD0" w:rsidRDefault="001D3405" w:rsidP="001D3405">
            <w:pPr>
              <w:pStyle w:val="Tabletext0"/>
              <w:jc w:val="center"/>
              <w:rPr>
                <w:b/>
              </w:rPr>
            </w:pPr>
            <w:r w:rsidRPr="004E0FD0">
              <w:rPr>
                <w:rFonts w:cs="Calibri"/>
                <w:b/>
                <w:color w:val="000000"/>
                <w:szCs w:val="22"/>
              </w:rPr>
              <w:t>$619,863</w:t>
            </w:r>
          </w:p>
        </w:tc>
        <w:tc>
          <w:tcPr>
            <w:tcW w:w="600" w:type="pct"/>
            <w:noWrap/>
            <w:hideMark/>
          </w:tcPr>
          <w:p w14:paraId="446E405B" w14:textId="77777777" w:rsidR="001D3405" w:rsidRPr="004E0FD0" w:rsidRDefault="001D3405" w:rsidP="001D3405">
            <w:pPr>
              <w:pStyle w:val="Tabletext0"/>
              <w:jc w:val="center"/>
              <w:rPr>
                <w:b/>
              </w:rPr>
            </w:pPr>
            <w:r w:rsidRPr="004E0FD0">
              <w:rPr>
                <w:rFonts w:cs="Calibri"/>
                <w:b/>
                <w:color w:val="000000"/>
                <w:szCs w:val="22"/>
              </w:rPr>
              <w:t>$632,376</w:t>
            </w:r>
          </w:p>
        </w:tc>
      </w:tr>
      <w:tr w:rsidR="001D3405" w:rsidRPr="005C4DD0" w14:paraId="3D36C3E2" w14:textId="77777777" w:rsidTr="00697326">
        <w:trPr>
          <w:trHeight w:val="70"/>
        </w:trPr>
        <w:tc>
          <w:tcPr>
            <w:tcW w:w="1884" w:type="pct"/>
            <w:noWrap/>
            <w:hideMark/>
          </w:tcPr>
          <w:p w14:paraId="400CABFD" w14:textId="77777777" w:rsidR="001D3405" w:rsidRPr="005C4DD0" w:rsidRDefault="001D3405" w:rsidP="001D3405">
            <w:pPr>
              <w:pStyle w:val="Tabletext0"/>
            </w:pPr>
            <w:r w:rsidRPr="005C4DD0">
              <w:t>20% patients have two basins affected</w:t>
            </w:r>
          </w:p>
        </w:tc>
        <w:tc>
          <w:tcPr>
            <w:tcW w:w="629" w:type="pct"/>
            <w:noWrap/>
            <w:hideMark/>
          </w:tcPr>
          <w:p w14:paraId="412EDEB4" w14:textId="77777777" w:rsidR="001D3405" w:rsidRPr="00D00C38" w:rsidRDefault="001D3405" w:rsidP="001D3405">
            <w:pPr>
              <w:pStyle w:val="Tabletext0"/>
              <w:jc w:val="center"/>
            </w:pPr>
            <w:r w:rsidRPr="00D00C38">
              <w:rPr>
                <w:rFonts w:cs="Calibri"/>
                <w:color w:val="000000"/>
                <w:szCs w:val="22"/>
              </w:rPr>
              <w:t>$640,556</w:t>
            </w:r>
          </w:p>
        </w:tc>
        <w:tc>
          <w:tcPr>
            <w:tcW w:w="629" w:type="pct"/>
            <w:noWrap/>
            <w:hideMark/>
          </w:tcPr>
          <w:p w14:paraId="3E227868" w14:textId="77777777" w:rsidR="001D3405" w:rsidRPr="00D00C38" w:rsidRDefault="001D3405" w:rsidP="001D3405">
            <w:pPr>
              <w:pStyle w:val="Tabletext0"/>
              <w:jc w:val="center"/>
            </w:pPr>
            <w:r w:rsidRPr="00D00C38">
              <w:rPr>
                <w:rFonts w:cs="Calibri"/>
                <w:color w:val="000000"/>
                <w:szCs w:val="22"/>
              </w:rPr>
              <w:t>$654,321</w:t>
            </w:r>
          </w:p>
        </w:tc>
        <w:tc>
          <w:tcPr>
            <w:tcW w:w="629" w:type="pct"/>
            <w:noWrap/>
            <w:hideMark/>
          </w:tcPr>
          <w:p w14:paraId="4B71FF87" w14:textId="77777777" w:rsidR="001D3405" w:rsidRPr="00D00C38" w:rsidRDefault="001D3405" w:rsidP="001D3405">
            <w:pPr>
              <w:pStyle w:val="Tabletext0"/>
              <w:jc w:val="center"/>
            </w:pPr>
            <w:r w:rsidRPr="00D00C38">
              <w:rPr>
                <w:rFonts w:cs="Calibri"/>
                <w:color w:val="000000"/>
                <w:szCs w:val="22"/>
              </w:rPr>
              <w:t>$668,085</w:t>
            </w:r>
          </w:p>
        </w:tc>
        <w:tc>
          <w:tcPr>
            <w:tcW w:w="629" w:type="pct"/>
            <w:noWrap/>
            <w:hideMark/>
          </w:tcPr>
          <w:p w14:paraId="6F64BE66" w14:textId="77777777" w:rsidR="001D3405" w:rsidRPr="00D00C38" w:rsidRDefault="001D3405" w:rsidP="001D3405">
            <w:pPr>
              <w:pStyle w:val="Tabletext0"/>
              <w:jc w:val="center"/>
            </w:pPr>
            <w:r w:rsidRPr="00D00C38">
              <w:rPr>
                <w:rFonts w:cs="Calibri"/>
                <w:color w:val="000000"/>
                <w:szCs w:val="22"/>
              </w:rPr>
              <w:t>$681,849</w:t>
            </w:r>
          </w:p>
        </w:tc>
        <w:tc>
          <w:tcPr>
            <w:tcW w:w="600" w:type="pct"/>
            <w:noWrap/>
            <w:hideMark/>
          </w:tcPr>
          <w:p w14:paraId="06E93F87" w14:textId="77777777" w:rsidR="001D3405" w:rsidRPr="00D00C38" w:rsidRDefault="001D3405" w:rsidP="001D3405">
            <w:pPr>
              <w:pStyle w:val="Tabletext0"/>
              <w:jc w:val="center"/>
            </w:pPr>
            <w:r w:rsidRPr="00D00C38">
              <w:rPr>
                <w:rFonts w:cs="Calibri"/>
                <w:color w:val="000000"/>
                <w:szCs w:val="22"/>
              </w:rPr>
              <w:t>$695,613</w:t>
            </w:r>
          </w:p>
        </w:tc>
      </w:tr>
    </w:tbl>
    <w:p w14:paraId="79058486" w14:textId="77777777" w:rsidR="001D3405" w:rsidRDefault="001D3405" w:rsidP="001D3405">
      <w:pPr>
        <w:pStyle w:val="TableFooter"/>
        <w:spacing w:after="240"/>
        <w:jc w:val="left"/>
      </w:pPr>
      <w:r>
        <w:t xml:space="preserve">Source: Table 65, </w:t>
      </w:r>
      <w:r w:rsidRPr="00F410EE">
        <w:t xml:space="preserve">p110 </w:t>
      </w:r>
      <w:r>
        <w:t>of the DCAR</w:t>
      </w:r>
    </w:p>
    <w:p w14:paraId="63B9F732" w14:textId="77777777" w:rsidR="001D3405" w:rsidRDefault="001D3405" w:rsidP="001D3405">
      <w:r>
        <w:t xml:space="preserve">The DCAR stated the listing of the proposed item for </w:t>
      </w:r>
      <w:proofErr w:type="spellStart"/>
      <w:r>
        <w:t>SLNBx</w:t>
      </w:r>
      <w:proofErr w:type="spellEnd"/>
      <w:r w:rsidRPr="00D8735B">
        <w:t xml:space="preserve"> </w:t>
      </w:r>
      <w:r>
        <w:t xml:space="preserve">would not have any additional impact on government health budgets, as it </w:t>
      </w:r>
      <w:proofErr w:type="gramStart"/>
      <w:r>
        <w:t>is already conducted</w:t>
      </w:r>
      <w:proofErr w:type="gramEnd"/>
      <w:r>
        <w:t xml:space="preserve"> as normal practice.</w:t>
      </w:r>
    </w:p>
    <w:p w14:paraId="704D365E" w14:textId="77777777" w:rsidR="001121C3" w:rsidRDefault="001121C3" w:rsidP="00013CED">
      <w:pPr>
        <w:pStyle w:val="Heading1"/>
        <w:keepLines w:val="0"/>
      </w:pPr>
      <w:r w:rsidRPr="00F715D1">
        <w:t>Key issues from ESC for MSAC</w:t>
      </w:r>
    </w:p>
    <w:p w14:paraId="5D2BA1FE" w14:textId="77777777" w:rsidR="00A46036" w:rsidRPr="00697326" w:rsidRDefault="00A46036" w:rsidP="00697326">
      <w:pPr>
        <w:rPr>
          <w:rFonts w:ascii="Arial Narrow" w:hAnsi="Arial Narrow"/>
          <w:b/>
          <w:sz w:val="20"/>
        </w:rPr>
      </w:pPr>
      <w:r w:rsidRPr="00697326">
        <w:rPr>
          <w:rFonts w:ascii="Arial Narrow" w:hAnsi="Arial Narrow"/>
          <w:b/>
          <w:sz w:val="20"/>
        </w:rPr>
        <w:t>Table 1</w:t>
      </w:r>
      <w:r w:rsidR="008237C2" w:rsidRPr="00697326">
        <w:rPr>
          <w:rFonts w:ascii="Arial Narrow" w:hAnsi="Arial Narrow"/>
          <w:b/>
          <w:sz w:val="20"/>
        </w:rPr>
        <w:t>3</w:t>
      </w:r>
      <w:r w:rsidRPr="00697326">
        <w:rPr>
          <w:rFonts w:ascii="Arial Narrow" w:hAnsi="Arial Narrow"/>
          <w:b/>
          <w:sz w:val="20"/>
        </w:rPr>
        <w:t>: Summary of key issues from ESC for MSAC</w:t>
      </w:r>
    </w:p>
    <w:tbl>
      <w:tblPr>
        <w:tblStyle w:val="TableGrid"/>
        <w:tblW w:w="0" w:type="auto"/>
        <w:tblLook w:val="04A0" w:firstRow="1" w:lastRow="0" w:firstColumn="1" w:lastColumn="0" w:noHBand="0" w:noVBand="1"/>
        <w:tblCaption w:val="Table 11: Summary of key issues from ESC for MSAC"/>
        <w:tblDescription w:val="ESC issues"/>
      </w:tblPr>
      <w:tblGrid>
        <w:gridCol w:w="2235"/>
        <w:gridCol w:w="6781"/>
      </w:tblGrid>
      <w:tr w:rsidR="00037AF7" w:rsidRPr="00037AF7" w14:paraId="5FA0239C" w14:textId="77777777" w:rsidTr="008237C2">
        <w:trPr>
          <w:tblHeader/>
        </w:trPr>
        <w:tc>
          <w:tcPr>
            <w:tcW w:w="2235" w:type="dxa"/>
          </w:tcPr>
          <w:p w14:paraId="6DF27233" w14:textId="77777777" w:rsidR="00037AF7" w:rsidRPr="00037AF7" w:rsidRDefault="00037AF7" w:rsidP="001D3405">
            <w:pPr>
              <w:pStyle w:val="TableHeading"/>
              <w:keepNext w:val="0"/>
              <w:widowControl w:val="0"/>
              <w:ind w:left="24"/>
              <w:rPr>
                <w:rFonts w:cs="Times New Roman"/>
                <w:szCs w:val="21"/>
              </w:rPr>
            </w:pPr>
            <w:r w:rsidRPr="00037AF7">
              <w:rPr>
                <w:rFonts w:cs="Times New Roman"/>
                <w:szCs w:val="21"/>
              </w:rPr>
              <w:t>ESC key issue</w:t>
            </w:r>
          </w:p>
        </w:tc>
        <w:tc>
          <w:tcPr>
            <w:tcW w:w="6781" w:type="dxa"/>
          </w:tcPr>
          <w:p w14:paraId="09140212" w14:textId="77777777" w:rsidR="00037AF7" w:rsidRPr="00037AF7" w:rsidRDefault="00037AF7" w:rsidP="001D3405">
            <w:pPr>
              <w:pStyle w:val="TableHeading"/>
              <w:keepNext w:val="0"/>
              <w:widowControl w:val="0"/>
              <w:rPr>
                <w:rFonts w:cs="Times New Roman"/>
                <w:szCs w:val="21"/>
              </w:rPr>
            </w:pPr>
            <w:r w:rsidRPr="00037AF7">
              <w:rPr>
                <w:rFonts w:cs="Times New Roman"/>
                <w:szCs w:val="21"/>
              </w:rPr>
              <w:t>ESC advice to MSAC</w:t>
            </w:r>
          </w:p>
        </w:tc>
      </w:tr>
      <w:tr w:rsidR="00037AF7" w:rsidRPr="00037AF7" w14:paraId="7EEC0568" w14:textId="77777777" w:rsidTr="008237C2">
        <w:trPr>
          <w:trHeight w:val="408"/>
        </w:trPr>
        <w:tc>
          <w:tcPr>
            <w:tcW w:w="2235" w:type="dxa"/>
            <w:hideMark/>
          </w:tcPr>
          <w:p w14:paraId="1D8304EB" w14:textId="77777777" w:rsidR="00037AF7" w:rsidRPr="00037AF7" w:rsidRDefault="00037AF7" w:rsidP="001D3405">
            <w:pPr>
              <w:pStyle w:val="TableText"/>
              <w:keepNext w:val="0"/>
              <w:widowControl w:val="0"/>
              <w:ind w:left="24"/>
              <w:rPr>
                <w:rFonts w:ascii="Arial Narrow" w:hAnsi="Arial Narrow"/>
                <w:sz w:val="20"/>
              </w:rPr>
            </w:pPr>
            <w:r w:rsidRPr="00037AF7">
              <w:rPr>
                <w:rFonts w:ascii="Arial Narrow" w:hAnsi="Arial Narrow"/>
                <w:sz w:val="20"/>
              </w:rPr>
              <w:t>Safety</w:t>
            </w:r>
          </w:p>
        </w:tc>
        <w:tc>
          <w:tcPr>
            <w:tcW w:w="6781" w:type="dxa"/>
            <w:hideMark/>
          </w:tcPr>
          <w:p w14:paraId="46607EC4" w14:textId="77777777" w:rsidR="00037AF7" w:rsidRPr="00037AF7" w:rsidRDefault="00037AF7" w:rsidP="001D3405">
            <w:pPr>
              <w:pStyle w:val="TableText"/>
              <w:keepNext w:val="0"/>
              <w:widowControl w:val="0"/>
              <w:rPr>
                <w:rFonts w:ascii="Arial Narrow" w:hAnsi="Arial Narrow"/>
                <w:sz w:val="20"/>
              </w:rPr>
            </w:pPr>
            <w:r w:rsidRPr="00037AF7">
              <w:rPr>
                <w:rFonts w:ascii="Arial Narrow" w:hAnsi="Arial Narrow"/>
                <w:sz w:val="20"/>
              </w:rPr>
              <w:t xml:space="preserve">ESC considered </w:t>
            </w:r>
            <w:proofErr w:type="spellStart"/>
            <w:r w:rsidRPr="00037AF7">
              <w:rPr>
                <w:rFonts w:ascii="Arial Narrow" w:hAnsi="Arial Narrow"/>
                <w:sz w:val="20"/>
              </w:rPr>
              <w:t>SLNBx</w:t>
            </w:r>
            <w:proofErr w:type="spellEnd"/>
            <w:r w:rsidRPr="00037AF7">
              <w:rPr>
                <w:rFonts w:ascii="Arial Narrow" w:hAnsi="Arial Narrow"/>
                <w:sz w:val="20"/>
              </w:rPr>
              <w:t xml:space="preserve"> to be a safe procedure with a low risk of adverse events and a similar safety profile as WLE.</w:t>
            </w:r>
          </w:p>
        </w:tc>
      </w:tr>
      <w:tr w:rsidR="00037AF7" w:rsidRPr="00037AF7" w14:paraId="432ADFEF" w14:textId="77777777" w:rsidTr="008237C2">
        <w:trPr>
          <w:trHeight w:val="1224"/>
        </w:trPr>
        <w:tc>
          <w:tcPr>
            <w:tcW w:w="2235" w:type="dxa"/>
            <w:hideMark/>
          </w:tcPr>
          <w:p w14:paraId="3F986FAD" w14:textId="77777777" w:rsidR="00037AF7" w:rsidRPr="00037AF7" w:rsidRDefault="00037AF7" w:rsidP="001D3405">
            <w:pPr>
              <w:pStyle w:val="TableText"/>
              <w:keepNext w:val="0"/>
              <w:widowControl w:val="0"/>
              <w:ind w:left="24"/>
              <w:rPr>
                <w:rFonts w:ascii="Arial Narrow" w:hAnsi="Arial Narrow"/>
                <w:sz w:val="20"/>
              </w:rPr>
            </w:pPr>
            <w:r w:rsidRPr="00037AF7">
              <w:rPr>
                <w:rFonts w:ascii="Arial Narrow" w:hAnsi="Arial Narrow"/>
                <w:sz w:val="20"/>
              </w:rPr>
              <w:t>Effectiveness</w:t>
            </w:r>
          </w:p>
        </w:tc>
        <w:tc>
          <w:tcPr>
            <w:tcW w:w="6781" w:type="dxa"/>
            <w:hideMark/>
          </w:tcPr>
          <w:p w14:paraId="5601144A" w14:textId="77777777" w:rsidR="00037AF7" w:rsidRPr="00037AF7" w:rsidRDefault="00037AF7" w:rsidP="001D3405">
            <w:pPr>
              <w:pStyle w:val="TableText"/>
              <w:keepNext w:val="0"/>
              <w:widowControl w:val="0"/>
              <w:rPr>
                <w:rFonts w:ascii="Arial Narrow" w:hAnsi="Arial Narrow"/>
                <w:sz w:val="20"/>
              </w:rPr>
            </w:pPr>
            <w:r w:rsidRPr="00037AF7">
              <w:rPr>
                <w:rFonts w:ascii="Arial Narrow" w:hAnsi="Arial Narrow"/>
                <w:sz w:val="20"/>
              </w:rPr>
              <w:t xml:space="preserve">ESC noted that </w:t>
            </w:r>
            <w:proofErr w:type="spellStart"/>
            <w:r w:rsidRPr="00037AF7">
              <w:rPr>
                <w:rFonts w:ascii="Arial Narrow" w:hAnsi="Arial Narrow"/>
                <w:sz w:val="20"/>
              </w:rPr>
              <w:t>SLNBx</w:t>
            </w:r>
            <w:proofErr w:type="spellEnd"/>
            <w:r w:rsidRPr="00037AF7">
              <w:rPr>
                <w:rFonts w:ascii="Arial Narrow" w:hAnsi="Arial Narrow"/>
                <w:sz w:val="20"/>
              </w:rPr>
              <w:t xml:space="preserve"> provides an important prognostic marker for cutaneous melanoma, and </w:t>
            </w:r>
            <w:proofErr w:type="gramStart"/>
            <w:r w:rsidRPr="00037AF7">
              <w:rPr>
                <w:rFonts w:ascii="Arial Narrow" w:hAnsi="Arial Narrow"/>
                <w:sz w:val="20"/>
              </w:rPr>
              <w:t>has been established</w:t>
            </w:r>
            <w:proofErr w:type="gramEnd"/>
            <w:r w:rsidRPr="00037AF7">
              <w:rPr>
                <w:rFonts w:ascii="Arial Narrow" w:hAnsi="Arial Narrow"/>
                <w:sz w:val="20"/>
              </w:rPr>
              <w:t xml:space="preserve"> as yielding critical information to guide clinical management.</w:t>
            </w:r>
          </w:p>
          <w:p w14:paraId="02744FED" w14:textId="77777777" w:rsidR="00037AF7" w:rsidRPr="00037AF7" w:rsidRDefault="00037AF7" w:rsidP="001D3405">
            <w:pPr>
              <w:pStyle w:val="TableText"/>
              <w:keepNext w:val="0"/>
              <w:widowControl w:val="0"/>
              <w:rPr>
                <w:rFonts w:ascii="Arial Narrow" w:hAnsi="Arial Narrow"/>
                <w:sz w:val="20"/>
              </w:rPr>
            </w:pPr>
            <w:r w:rsidRPr="00037AF7">
              <w:rPr>
                <w:rFonts w:ascii="Arial Narrow" w:hAnsi="Arial Narrow"/>
                <w:sz w:val="20"/>
              </w:rPr>
              <w:t xml:space="preserve">Most patients with nodal metastases achieve regional lymph node control through </w:t>
            </w:r>
            <w:proofErr w:type="spellStart"/>
            <w:r w:rsidRPr="00037AF7">
              <w:rPr>
                <w:rFonts w:ascii="Arial Narrow" w:hAnsi="Arial Narrow"/>
                <w:sz w:val="20"/>
              </w:rPr>
              <w:t>SLNBx</w:t>
            </w:r>
            <w:proofErr w:type="spellEnd"/>
            <w:r w:rsidRPr="00037AF7">
              <w:rPr>
                <w:rFonts w:ascii="Arial Narrow" w:hAnsi="Arial Narrow"/>
                <w:sz w:val="20"/>
              </w:rPr>
              <w:t xml:space="preserve"> alone and there is convincing evidence that proceeding to CLND in isolation does not confer additional survival benefit.</w:t>
            </w:r>
          </w:p>
        </w:tc>
      </w:tr>
      <w:tr w:rsidR="00037AF7" w:rsidRPr="00037AF7" w14:paraId="178DA3FA" w14:textId="77777777" w:rsidTr="008237C2">
        <w:trPr>
          <w:trHeight w:val="1916"/>
        </w:trPr>
        <w:tc>
          <w:tcPr>
            <w:tcW w:w="2235" w:type="dxa"/>
            <w:hideMark/>
          </w:tcPr>
          <w:p w14:paraId="5EDDAD70" w14:textId="77777777" w:rsidR="00037AF7" w:rsidRPr="00037AF7" w:rsidRDefault="00037AF7" w:rsidP="001D3405">
            <w:pPr>
              <w:pStyle w:val="TableText"/>
              <w:keepNext w:val="0"/>
              <w:widowControl w:val="0"/>
              <w:ind w:left="24"/>
              <w:rPr>
                <w:rFonts w:ascii="Arial Narrow" w:hAnsi="Arial Narrow"/>
                <w:sz w:val="20"/>
              </w:rPr>
            </w:pPr>
            <w:r w:rsidRPr="00037AF7">
              <w:rPr>
                <w:rFonts w:ascii="Arial Narrow" w:hAnsi="Arial Narrow"/>
                <w:sz w:val="20"/>
              </w:rPr>
              <w:t>MBS fee</w:t>
            </w:r>
          </w:p>
        </w:tc>
        <w:tc>
          <w:tcPr>
            <w:tcW w:w="6781" w:type="dxa"/>
            <w:hideMark/>
          </w:tcPr>
          <w:p w14:paraId="79539BD1" w14:textId="77777777" w:rsidR="00037AF7" w:rsidRPr="00037AF7" w:rsidRDefault="00037AF7" w:rsidP="001D3405">
            <w:pPr>
              <w:pStyle w:val="TableText"/>
              <w:keepNext w:val="0"/>
              <w:widowControl w:val="0"/>
              <w:rPr>
                <w:rFonts w:ascii="Arial Narrow" w:hAnsi="Arial Narrow"/>
                <w:sz w:val="20"/>
              </w:rPr>
            </w:pPr>
            <w:r w:rsidRPr="00037AF7">
              <w:rPr>
                <w:rFonts w:ascii="Arial Narrow" w:hAnsi="Arial Narrow"/>
                <w:sz w:val="20"/>
              </w:rPr>
              <w:t xml:space="preserve">ESC considered that the proposed fee of $637.45 appeared to be reasonable for the degree of complexity required in relation to undertaking the intervention of </w:t>
            </w:r>
            <w:proofErr w:type="spellStart"/>
            <w:r w:rsidRPr="00037AF7">
              <w:rPr>
                <w:rFonts w:ascii="Arial Narrow" w:hAnsi="Arial Narrow"/>
                <w:sz w:val="20"/>
              </w:rPr>
              <w:t>SLNBx</w:t>
            </w:r>
            <w:proofErr w:type="spellEnd"/>
            <w:r w:rsidRPr="00037AF7">
              <w:rPr>
                <w:rFonts w:ascii="Arial Narrow" w:hAnsi="Arial Narrow"/>
                <w:sz w:val="20"/>
              </w:rPr>
              <w:t xml:space="preserve"> using both radioisotope and </w:t>
            </w:r>
            <w:proofErr w:type="spellStart"/>
            <w:r w:rsidRPr="00037AF7">
              <w:rPr>
                <w:rFonts w:ascii="Arial Narrow" w:hAnsi="Arial Narrow"/>
                <w:sz w:val="20"/>
              </w:rPr>
              <w:t>lymphotropic</w:t>
            </w:r>
            <w:proofErr w:type="spellEnd"/>
            <w:r w:rsidRPr="00037AF7">
              <w:rPr>
                <w:rFonts w:ascii="Arial Narrow" w:hAnsi="Arial Narrow"/>
                <w:sz w:val="20"/>
              </w:rPr>
              <w:t xml:space="preserve"> dyes, and would be similar to the range of costings used in the breast cancer sentinel node biopsy item numbers. Although </w:t>
            </w:r>
            <w:proofErr w:type="spellStart"/>
            <w:r w:rsidRPr="00037AF7">
              <w:rPr>
                <w:rFonts w:ascii="Arial Narrow" w:hAnsi="Arial Narrow"/>
                <w:sz w:val="20"/>
              </w:rPr>
              <w:t>SLNBx</w:t>
            </w:r>
            <w:proofErr w:type="spellEnd"/>
            <w:r w:rsidRPr="00037AF7">
              <w:rPr>
                <w:rFonts w:ascii="Arial Narrow" w:hAnsi="Arial Narrow"/>
                <w:sz w:val="20"/>
              </w:rPr>
              <w:t xml:space="preserve"> for melanoma might involve multiple nodal basins, ESC was of the view that it would be simpler to have one item number that did not specify the sites to be biopsied, and considered that the degree of complexity of the intervention for the various sites is not sufficiently different to warrant different fees.</w:t>
            </w:r>
          </w:p>
        </w:tc>
      </w:tr>
      <w:tr w:rsidR="00037AF7" w:rsidRPr="00037AF7" w14:paraId="37A07AD7" w14:textId="77777777" w:rsidTr="008237C2">
        <w:trPr>
          <w:trHeight w:val="517"/>
        </w:trPr>
        <w:tc>
          <w:tcPr>
            <w:tcW w:w="2235" w:type="dxa"/>
          </w:tcPr>
          <w:p w14:paraId="2FD87BD2" w14:textId="77777777" w:rsidR="00037AF7" w:rsidRPr="00037AF7" w:rsidRDefault="00037AF7" w:rsidP="001D3405">
            <w:pPr>
              <w:pStyle w:val="TableText"/>
              <w:keepNext w:val="0"/>
              <w:widowControl w:val="0"/>
              <w:ind w:left="24"/>
              <w:rPr>
                <w:rFonts w:ascii="Arial Narrow" w:hAnsi="Arial Narrow"/>
                <w:sz w:val="20"/>
              </w:rPr>
            </w:pPr>
            <w:r w:rsidRPr="00037AF7">
              <w:rPr>
                <w:rFonts w:ascii="Arial Narrow" w:hAnsi="Arial Narrow"/>
                <w:sz w:val="20"/>
              </w:rPr>
              <w:t>Base case ICER</w:t>
            </w:r>
          </w:p>
        </w:tc>
        <w:tc>
          <w:tcPr>
            <w:tcW w:w="6781" w:type="dxa"/>
          </w:tcPr>
          <w:p w14:paraId="1F130481" w14:textId="77777777" w:rsidR="00037AF7" w:rsidRPr="00037AF7" w:rsidRDefault="00037AF7" w:rsidP="001D3405">
            <w:pPr>
              <w:pStyle w:val="TableText"/>
              <w:keepNext w:val="0"/>
              <w:widowControl w:val="0"/>
              <w:rPr>
                <w:rFonts w:ascii="Arial Narrow" w:hAnsi="Arial Narrow"/>
                <w:sz w:val="20"/>
              </w:rPr>
            </w:pPr>
            <w:r w:rsidRPr="00037AF7">
              <w:rPr>
                <w:rFonts w:ascii="Arial Narrow" w:hAnsi="Arial Narrow"/>
                <w:sz w:val="20"/>
              </w:rPr>
              <w:t xml:space="preserve">ESC considered that the estimates of effectiveness in identifying </w:t>
            </w:r>
            <w:proofErr w:type="spellStart"/>
            <w:r w:rsidRPr="00037AF7">
              <w:rPr>
                <w:rFonts w:ascii="Arial Narrow" w:hAnsi="Arial Narrow"/>
                <w:sz w:val="20"/>
              </w:rPr>
              <w:t>SLNBx</w:t>
            </w:r>
            <w:proofErr w:type="spellEnd"/>
            <w:r w:rsidRPr="00037AF7">
              <w:rPr>
                <w:rFonts w:ascii="Arial Narrow" w:hAnsi="Arial Narrow"/>
                <w:sz w:val="20"/>
              </w:rPr>
              <w:t>-eligible patients as also eligible for adjuvant therapy used in the base-case ICER (15% vs 3.34%) were in the range that might be expected.</w:t>
            </w:r>
          </w:p>
        </w:tc>
      </w:tr>
      <w:tr w:rsidR="00037AF7" w:rsidRPr="00037AF7" w14:paraId="1B325D3F" w14:textId="77777777" w:rsidTr="008237C2">
        <w:trPr>
          <w:trHeight w:val="357"/>
        </w:trPr>
        <w:tc>
          <w:tcPr>
            <w:tcW w:w="2235" w:type="dxa"/>
          </w:tcPr>
          <w:p w14:paraId="229569DE" w14:textId="77777777" w:rsidR="00037AF7" w:rsidRPr="00037AF7" w:rsidRDefault="00037AF7" w:rsidP="001D3405">
            <w:pPr>
              <w:pStyle w:val="TableText"/>
              <w:keepNext w:val="0"/>
              <w:widowControl w:val="0"/>
              <w:ind w:left="24"/>
              <w:rPr>
                <w:rFonts w:ascii="Arial Narrow" w:hAnsi="Arial Narrow"/>
                <w:sz w:val="20"/>
              </w:rPr>
            </w:pPr>
            <w:r w:rsidRPr="00037AF7">
              <w:rPr>
                <w:rFonts w:ascii="Arial Narrow" w:hAnsi="Arial Narrow"/>
                <w:sz w:val="20"/>
              </w:rPr>
              <w:t>Economic model</w:t>
            </w:r>
          </w:p>
        </w:tc>
        <w:tc>
          <w:tcPr>
            <w:tcW w:w="6781" w:type="dxa"/>
          </w:tcPr>
          <w:p w14:paraId="590B225E" w14:textId="77777777" w:rsidR="00037AF7" w:rsidRPr="00037AF7" w:rsidRDefault="00037AF7" w:rsidP="001D3405">
            <w:pPr>
              <w:pStyle w:val="TableText"/>
              <w:keepNext w:val="0"/>
              <w:widowControl w:val="0"/>
              <w:rPr>
                <w:rFonts w:ascii="Arial Narrow" w:hAnsi="Arial Narrow"/>
                <w:sz w:val="20"/>
              </w:rPr>
            </w:pPr>
            <w:r w:rsidRPr="00037AF7">
              <w:rPr>
                <w:rFonts w:ascii="Arial Narrow" w:hAnsi="Arial Narrow"/>
                <w:sz w:val="20"/>
              </w:rPr>
              <w:t xml:space="preserve">ESC noted that the economic model may be out of date, as new adjuvant therapies are PBS-listed that </w:t>
            </w:r>
            <w:proofErr w:type="gramStart"/>
            <w:r w:rsidRPr="00037AF7">
              <w:rPr>
                <w:rFonts w:ascii="Arial Narrow" w:hAnsi="Arial Narrow"/>
                <w:sz w:val="20"/>
              </w:rPr>
              <w:t>were not reimbursed</w:t>
            </w:r>
            <w:proofErr w:type="gramEnd"/>
            <w:r w:rsidRPr="00037AF7">
              <w:rPr>
                <w:rFonts w:ascii="Arial Narrow" w:hAnsi="Arial Narrow"/>
                <w:sz w:val="20"/>
              </w:rPr>
              <w:t xml:space="preserve"> when the model was developed.</w:t>
            </w:r>
          </w:p>
        </w:tc>
      </w:tr>
      <w:tr w:rsidR="00037AF7" w:rsidRPr="00037AF7" w14:paraId="4F19D9CD" w14:textId="77777777" w:rsidTr="008237C2">
        <w:trPr>
          <w:trHeight w:val="53"/>
        </w:trPr>
        <w:tc>
          <w:tcPr>
            <w:tcW w:w="2235" w:type="dxa"/>
          </w:tcPr>
          <w:p w14:paraId="762FFF58" w14:textId="77777777" w:rsidR="00037AF7" w:rsidRPr="00037AF7" w:rsidRDefault="00037AF7" w:rsidP="001D3405">
            <w:pPr>
              <w:pStyle w:val="TableText"/>
              <w:keepNext w:val="0"/>
              <w:widowControl w:val="0"/>
              <w:ind w:left="24"/>
              <w:rPr>
                <w:rFonts w:ascii="Arial Narrow" w:hAnsi="Arial Narrow"/>
                <w:sz w:val="20"/>
              </w:rPr>
            </w:pPr>
            <w:r w:rsidRPr="00037AF7">
              <w:rPr>
                <w:rFonts w:ascii="Arial Narrow" w:hAnsi="Arial Narrow"/>
                <w:sz w:val="20"/>
              </w:rPr>
              <w:t>Different financial estimates than in the original submission</w:t>
            </w:r>
          </w:p>
        </w:tc>
        <w:tc>
          <w:tcPr>
            <w:tcW w:w="6781" w:type="dxa"/>
          </w:tcPr>
          <w:p w14:paraId="2A63BB6C" w14:textId="77777777" w:rsidR="00037AF7" w:rsidRPr="00037AF7" w:rsidRDefault="00037AF7" w:rsidP="001D3405">
            <w:pPr>
              <w:pStyle w:val="TableText"/>
              <w:keepNext w:val="0"/>
              <w:widowControl w:val="0"/>
              <w:rPr>
                <w:rFonts w:ascii="Arial Narrow" w:hAnsi="Arial Narrow"/>
                <w:sz w:val="20"/>
              </w:rPr>
            </w:pPr>
            <w:r w:rsidRPr="00037AF7">
              <w:rPr>
                <w:rFonts w:ascii="Arial Narrow" w:hAnsi="Arial Narrow"/>
                <w:sz w:val="20"/>
              </w:rPr>
              <w:t>It is unclear why the financial estimates were lower than the previous submission.</w:t>
            </w:r>
          </w:p>
        </w:tc>
      </w:tr>
      <w:tr w:rsidR="00037AF7" w:rsidRPr="00037AF7" w14:paraId="52B85A0E" w14:textId="77777777" w:rsidTr="008237C2">
        <w:trPr>
          <w:trHeight w:val="357"/>
        </w:trPr>
        <w:tc>
          <w:tcPr>
            <w:tcW w:w="2235" w:type="dxa"/>
          </w:tcPr>
          <w:p w14:paraId="2DC576D3" w14:textId="77777777" w:rsidR="00037AF7" w:rsidRPr="00037AF7" w:rsidRDefault="00037AF7" w:rsidP="001D3405">
            <w:pPr>
              <w:pStyle w:val="TableText"/>
              <w:keepNext w:val="0"/>
              <w:widowControl w:val="0"/>
              <w:ind w:left="24"/>
              <w:rPr>
                <w:rFonts w:ascii="Arial Narrow" w:hAnsi="Arial Narrow"/>
                <w:sz w:val="20"/>
              </w:rPr>
            </w:pPr>
            <w:r w:rsidRPr="00037AF7">
              <w:rPr>
                <w:rFonts w:ascii="Arial Narrow" w:hAnsi="Arial Narrow"/>
                <w:sz w:val="20"/>
              </w:rPr>
              <w:t>Separate MBS item</w:t>
            </w:r>
          </w:p>
        </w:tc>
        <w:tc>
          <w:tcPr>
            <w:tcW w:w="6781" w:type="dxa"/>
          </w:tcPr>
          <w:p w14:paraId="0B6C3EF8" w14:textId="77777777" w:rsidR="00037AF7" w:rsidRPr="00037AF7" w:rsidRDefault="00037AF7" w:rsidP="001D3405">
            <w:pPr>
              <w:pStyle w:val="TableText"/>
              <w:keepNext w:val="0"/>
              <w:widowControl w:val="0"/>
              <w:rPr>
                <w:rFonts w:ascii="Arial Narrow" w:hAnsi="Arial Narrow"/>
                <w:sz w:val="20"/>
              </w:rPr>
            </w:pPr>
            <w:r w:rsidRPr="00037AF7">
              <w:rPr>
                <w:rFonts w:ascii="Arial Narrow" w:hAnsi="Arial Narrow"/>
                <w:sz w:val="20"/>
              </w:rPr>
              <w:t xml:space="preserve">ESC advised that having a melanoma-specific MBS item would make it easier to track use of </w:t>
            </w:r>
            <w:proofErr w:type="spellStart"/>
            <w:r w:rsidRPr="00037AF7">
              <w:rPr>
                <w:rFonts w:ascii="Arial Narrow" w:hAnsi="Arial Narrow"/>
                <w:sz w:val="20"/>
              </w:rPr>
              <w:t>SLNBx</w:t>
            </w:r>
            <w:proofErr w:type="spellEnd"/>
            <w:r w:rsidRPr="00037AF7">
              <w:rPr>
                <w:rFonts w:ascii="Arial Narrow" w:hAnsi="Arial Narrow"/>
                <w:sz w:val="20"/>
              </w:rPr>
              <w:t xml:space="preserve"> for this indication.</w:t>
            </w:r>
          </w:p>
        </w:tc>
      </w:tr>
    </w:tbl>
    <w:p w14:paraId="05639A24" w14:textId="77777777" w:rsidR="001121C3" w:rsidRDefault="001121C3" w:rsidP="00013CED">
      <w:pPr>
        <w:keepNext/>
        <w:spacing w:before="240" w:after="120"/>
        <w:rPr>
          <w:b/>
        </w:rPr>
      </w:pPr>
      <w:r w:rsidRPr="00F56D7F">
        <w:rPr>
          <w:b/>
        </w:rPr>
        <w:t>ESC discussion</w:t>
      </w:r>
    </w:p>
    <w:p w14:paraId="480B73B3" w14:textId="47D47DB1" w:rsidR="00037AF7" w:rsidRDefault="00037AF7" w:rsidP="00037AF7">
      <w:r>
        <w:t xml:space="preserve">ESC noted that this was </w:t>
      </w:r>
      <w:r w:rsidRPr="0025019A">
        <w:t xml:space="preserve">a resubmission </w:t>
      </w:r>
      <w:r>
        <w:t>of a</w:t>
      </w:r>
      <w:r w:rsidRPr="0025019A">
        <w:t xml:space="preserve">n application </w:t>
      </w:r>
      <w:r>
        <w:t xml:space="preserve">for </w:t>
      </w:r>
      <w:r w:rsidRPr="0025019A">
        <w:t xml:space="preserve">MBS listing for </w:t>
      </w:r>
      <w:proofErr w:type="spellStart"/>
      <w:r w:rsidRPr="0025019A">
        <w:t>SLNBx</w:t>
      </w:r>
      <w:proofErr w:type="spellEnd"/>
      <w:r>
        <w:t xml:space="preserve"> for intermediate thickness melanoma.</w:t>
      </w:r>
    </w:p>
    <w:p w14:paraId="7A627F07" w14:textId="6BD51683" w:rsidR="00037AF7" w:rsidRDefault="00037AF7" w:rsidP="003D72FA">
      <w:pPr>
        <w:spacing w:before="240"/>
      </w:pPr>
      <w:r>
        <w:t xml:space="preserve">ESC noted that </w:t>
      </w:r>
      <w:proofErr w:type="spellStart"/>
      <w:r w:rsidRPr="0025019A">
        <w:t>SLNB</w:t>
      </w:r>
      <w:r>
        <w:t>x</w:t>
      </w:r>
      <w:proofErr w:type="spellEnd"/>
      <w:r w:rsidRPr="0025019A">
        <w:t xml:space="preserve"> for melanoma </w:t>
      </w:r>
      <w:proofErr w:type="gramStart"/>
      <w:r w:rsidRPr="0025019A">
        <w:t>is already being performed</w:t>
      </w:r>
      <w:proofErr w:type="gramEnd"/>
      <w:r w:rsidRPr="0025019A">
        <w:t xml:space="preserve"> in Australia, but this procedure and the</w:t>
      </w:r>
      <w:r>
        <w:t xml:space="preserve"> MBS</w:t>
      </w:r>
      <w:r w:rsidRPr="0025019A">
        <w:t xml:space="preserve"> items used (30075, 30329, 30332, 31420, </w:t>
      </w:r>
      <w:r w:rsidR="00801FD6" w:rsidRPr="0025019A">
        <w:t>and 31423</w:t>
      </w:r>
      <w:r w:rsidRPr="0025019A">
        <w:t xml:space="preserve">) are </w:t>
      </w:r>
      <w:r>
        <w:t xml:space="preserve">general and not specific </w:t>
      </w:r>
      <w:r w:rsidRPr="0025019A">
        <w:t>for melanoma.</w:t>
      </w:r>
      <w:r>
        <w:t xml:space="preserve"> This makes it difficult to track the costs and the number of procedures </w:t>
      </w:r>
      <w:proofErr w:type="gramStart"/>
      <w:r>
        <w:t>being performed</w:t>
      </w:r>
      <w:proofErr w:type="gramEnd"/>
      <w:r>
        <w:t xml:space="preserve"> specifically for melanoma. </w:t>
      </w:r>
      <w:r>
        <w:rPr>
          <w:lang w:eastAsia="en-US"/>
        </w:rPr>
        <w:t>ESC considered that it would be reasonable to have a separate item to track its use.</w:t>
      </w:r>
    </w:p>
    <w:p w14:paraId="78067D04" w14:textId="4DDC9C11" w:rsidR="00037AF7" w:rsidRDefault="00037AF7" w:rsidP="00037AF7">
      <w:pPr>
        <w:rPr>
          <w:lang w:eastAsia="en-US"/>
        </w:rPr>
      </w:pPr>
      <w:r>
        <w:rPr>
          <w:lang w:eastAsia="en-US"/>
        </w:rPr>
        <w:lastRenderedPageBreak/>
        <w:t>ESC noted that the MBS fee requested by the applicant of $637.45 is greater than the fees for the five current items used. ESC also noted that the pre-ESC response stated that the fee of $637.45 was suggested in the original application and that the fee for the proposed benchmark MBS item 30299 (</w:t>
      </w:r>
      <w:proofErr w:type="spellStart"/>
      <w:r>
        <w:rPr>
          <w:lang w:eastAsia="en-US"/>
        </w:rPr>
        <w:t>SLNBx</w:t>
      </w:r>
      <w:proofErr w:type="spellEnd"/>
      <w:r>
        <w:rPr>
          <w:lang w:eastAsia="en-US"/>
        </w:rPr>
        <w:t xml:space="preserve"> for breast cancer) has increased to $647.65. The applicant requested that the fee for </w:t>
      </w:r>
      <w:proofErr w:type="spellStart"/>
      <w:r>
        <w:rPr>
          <w:lang w:eastAsia="en-US"/>
        </w:rPr>
        <w:t>SLNBx</w:t>
      </w:r>
      <w:proofErr w:type="spellEnd"/>
      <w:r>
        <w:rPr>
          <w:lang w:eastAsia="en-US"/>
        </w:rPr>
        <w:t xml:space="preserve"> for melanoma be equivalent to the MBS fee for </w:t>
      </w:r>
      <w:proofErr w:type="spellStart"/>
      <w:r>
        <w:rPr>
          <w:lang w:eastAsia="en-US"/>
        </w:rPr>
        <w:t>SLNBx</w:t>
      </w:r>
      <w:proofErr w:type="spellEnd"/>
      <w:r>
        <w:rPr>
          <w:lang w:eastAsia="en-US"/>
        </w:rPr>
        <w:t xml:space="preserve"> for breast cancer, noting that melanoma patients are more likely to have multiple sentinel nodes within a nodal basin than breast cancer </w:t>
      </w:r>
      <w:proofErr w:type="gramStart"/>
      <w:r>
        <w:rPr>
          <w:lang w:eastAsia="en-US"/>
        </w:rPr>
        <w:t>patients</w:t>
      </w:r>
      <w:proofErr w:type="gramEnd"/>
      <w:r>
        <w:rPr>
          <w:lang w:eastAsia="en-US"/>
        </w:rPr>
        <w:t xml:space="preserve">. ESC considered that this </w:t>
      </w:r>
      <w:r w:rsidRPr="00BB4B50">
        <w:rPr>
          <w:lang w:eastAsia="en-US"/>
        </w:rPr>
        <w:t xml:space="preserve">fee </w:t>
      </w:r>
      <w:r>
        <w:rPr>
          <w:lang w:eastAsia="en-US"/>
        </w:rPr>
        <w:t>was likely to be</w:t>
      </w:r>
      <w:r w:rsidRPr="00BB4B50">
        <w:rPr>
          <w:lang w:eastAsia="en-US"/>
        </w:rPr>
        <w:t xml:space="preserve"> reasonable for the degree of complexity required in relation to undertaking the intervention of </w:t>
      </w:r>
      <w:proofErr w:type="spellStart"/>
      <w:r w:rsidRPr="00BB4B50">
        <w:rPr>
          <w:lang w:eastAsia="en-US"/>
        </w:rPr>
        <w:t>SLNBx</w:t>
      </w:r>
      <w:proofErr w:type="spellEnd"/>
      <w:r w:rsidRPr="00BB4B50">
        <w:rPr>
          <w:lang w:eastAsia="en-US"/>
        </w:rPr>
        <w:t xml:space="preserve"> using both radioisotope and </w:t>
      </w:r>
      <w:proofErr w:type="spellStart"/>
      <w:r w:rsidRPr="00BB4B50">
        <w:rPr>
          <w:lang w:eastAsia="en-US"/>
        </w:rPr>
        <w:t>lymphotropic</w:t>
      </w:r>
      <w:proofErr w:type="spellEnd"/>
      <w:r w:rsidRPr="00BB4B50">
        <w:rPr>
          <w:lang w:eastAsia="en-US"/>
        </w:rPr>
        <w:t xml:space="preserve"> dyes.</w:t>
      </w:r>
    </w:p>
    <w:p w14:paraId="3D4D82DE" w14:textId="6FBDC00E" w:rsidR="00037AF7" w:rsidRPr="00D659F5" w:rsidRDefault="00037AF7" w:rsidP="003D72FA">
      <w:pPr>
        <w:spacing w:before="240"/>
        <w:rPr>
          <w:lang w:eastAsia="en-US"/>
        </w:rPr>
      </w:pPr>
      <w:r>
        <w:t>ESC considered that, a</w:t>
      </w:r>
      <w:r w:rsidRPr="0004255E">
        <w:t xml:space="preserve">lthough </w:t>
      </w:r>
      <w:proofErr w:type="spellStart"/>
      <w:r w:rsidRPr="0004255E">
        <w:t>SLNB</w:t>
      </w:r>
      <w:r>
        <w:t>x</w:t>
      </w:r>
      <w:proofErr w:type="spellEnd"/>
      <w:r w:rsidRPr="0004255E">
        <w:t xml:space="preserve"> for melanoma might involve multiple nodal basins, it would be simpler to have </w:t>
      </w:r>
      <w:r>
        <w:t>one</w:t>
      </w:r>
      <w:r w:rsidRPr="0004255E">
        <w:t xml:space="preserve"> </w:t>
      </w:r>
      <w:r>
        <w:t xml:space="preserve">MBS </w:t>
      </w:r>
      <w:r w:rsidRPr="0004255E">
        <w:t xml:space="preserve">item </w:t>
      </w:r>
      <w:r>
        <w:t>that does not specify nodal basins</w:t>
      </w:r>
      <w:r w:rsidRPr="0004255E">
        <w:t>.</w:t>
      </w:r>
      <w:r>
        <w:t xml:space="preserve"> ESC considered that t</w:t>
      </w:r>
      <w:r w:rsidRPr="0004255E">
        <w:t xml:space="preserve">he degree of complexity of the intervention for the various sites is </w:t>
      </w:r>
      <w:r>
        <w:t xml:space="preserve">unlikely to be sufficiently </w:t>
      </w:r>
      <w:r w:rsidRPr="0004255E">
        <w:t xml:space="preserve">different </w:t>
      </w:r>
      <w:r>
        <w:t>to justify different fees</w:t>
      </w:r>
      <w:r w:rsidRPr="0004255E">
        <w:t>.</w:t>
      </w:r>
      <w:r>
        <w:rPr>
          <w:lang w:eastAsia="en-US"/>
        </w:rPr>
        <w:t xml:space="preserve"> ESC noted the </w:t>
      </w:r>
      <w:r w:rsidRPr="00D659F5">
        <w:rPr>
          <w:lang w:eastAsia="en-US"/>
        </w:rPr>
        <w:t>DCAR d</w:t>
      </w:r>
      <w:r>
        <w:rPr>
          <w:lang w:eastAsia="en-US"/>
        </w:rPr>
        <w:t>id</w:t>
      </w:r>
      <w:r w:rsidRPr="00D659F5">
        <w:rPr>
          <w:lang w:eastAsia="en-US"/>
        </w:rPr>
        <w:t xml:space="preserve"> not include </w:t>
      </w:r>
      <w:r>
        <w:rPr>
          <w:lang w:eastAsia="en-US"/>
        </w:rPr>
        <w:t xml:space="preserve">the </w:t>
      </w:r>
      <w:r w:rsidRPr="00D659F5">
        <w:rPr>
          <w:lang w:eastAsia="en-US"/>
        </w:rPr>
        <w:t xml:space="preserve">cost of </w:t>
      </w:r>
      <w:proofErr w:type="spellStart"/>
      <w:r>
        <w:rPr>
          <w:lang w:eastAsia="en-US"/>
        </w:rPr>
        <w:t>SLNBx</w:t>
      </w:r>
      <w:proofErr w:type="spellEnd"/>
      <w:r>
        <w:rPr>
          <w:lang w:eastAsia="en-US"/>
        </w:rPr>
        <w:t xml:space="preserve"> across </w:t>
      </w:r>
      <w:r w:rsidRPr="00D659F5">
        <w:rPr>
          <w:lang w:eastAsia="en-US"/>
        </w:rPr>
        <w:t>more than one basin</w:t>
      </w:r>
      <w:r>
        <w:rPr>
          <w:lang w:eastAsia="en-US"/>
        </w:rPr>
        <w:t xml:space="preserve">, implicitly assuming the invoking of the multiple operations rule, </w:t>
      </w:r>
      <w:r w:rsidRPr="00D659F5">
        <w:rPr>
          <w:lang w:eastAsia="en-US"/>
        </w:rPr>
        <w:t xml:space="preserve">except in </w:t>
      </w:r>
      <w:r>
        <w:rPr>
          <w:lang w:eastAsia="en-US"/>
        </w:rPr>
        <w:t xml:space="preserve">the </w:t>
      </w:r>
      <w:r w:rsidRPr="00D659F5">
        <w:rPr>
          <w:lang w:eastAsia="en-US"/>
        </w:rPr>
        <w:t xml:space="preserve">sensitivity </w:t>
      </w:r>
      <w:r>
        <w:rPr>
          <w:lang w:eastAsia="en-US"/>
        </w:rPr>
        <w:t xml:space="preserve">analysis </w:t>
      </w:r>
      <w:r w:rsidRPr="00D659F5">
        <w:rPr>
          <w:lang w:eastAsia="en-US"/>
        </w:rPr>
        <w:t>(20%</w:t>
      </w:r>
      <w:r>
        <w:rPr>
          <w:lang w:eastAsia="en-US"/>
        </w:rPr>
        <w:t xml:space="preserve"> of patients having two basins affected, resulting in a 10% increase in costs).</w:t>
      </w:r>
    </w:p>
    <w:p w14:paraId="299182F5" w14:textId="06E5756D" w:rsidR="00037AF7" w:rsidRDefault="00037AF7" w:rsidP="003D72FA">
      <w:pPr>
        <w:spacing w:before="240"/>
        <w:rPr>
          <w:lang w:eastAsia="en-US"/>
        </w:rPr>
      </w:pPr>
      <w:r>
        <w:rPr>
          <w:lang w:eastAsia="en-US"/>
        </w:rPr>
        <w:t>ESC noted that t</w:t>
      </w:r>
      <w:r w:rsidRPr="0025019A">
        <w:rPr>
          <w:lang w:eastAsia="en-US"/>
        </w:rPr>
        <w:t>he applicant ha</w:t>
      </w:r>
      <w:r>
        <w:rPr>
          <w:lang w:eastAsia="en-US"/>
        </w:rPr>
        <w:t>d</w:t>
      </w:r>
      <w:r w:rsidRPr="0025019A">
        <w:rPr>
          <w:lang w:eastAsia="en-US"/>
        </w:rPr>
        <w:t xml:space="preserve"> </w:t>
      </w:r>
      <w:r>
        <w:rPr>
          <w:lang w:eastAsia="en-US"/>
        </w:rPr>
        <w:t xml:space="preserve">changed the focus of the application in the resubmission, </w:t>
      </w:r>
      <w:r w:rsidRPr="0025019A">
        <w:rPr>
          <w:lang w:eastAsia="en-US"/>
        </w:rPr>
        <w:t>claim</w:t>
      </w:r>
      <w:r>
        <w:rPr>
          <w:lang w:eastAsia="en-US"/>
        </w:rPr>
        <w:t>ing</w:t>
      </w:r>
      <w:r w:rsidRPr="0025019A">
        <w:rPr>
          <w:lang w:eastAsia="en-US"/>
        </w:rPr>
        <w:t xml:space="preserve"> that </w:t>
      </w:r>
      <w:proofErr w:type="spellStart"/>
      <w:r w:rsidRPr="0025019A">
        <w:rPr>
          <w:lang w:eastAsia="en-US"/>
        </w:rPr>
        <w:t>SLNB</w:t>
      </w:r>
      <w:r>
        <w:rPr>
          <w:lang w:eastAsia="en-US"/>
        </w:rPr>
        <w:t>x</w:t>
      </w:r>
      <w:proofErr w:type="spellEnd"/>
      <w:r w:rsidRPr="0025019A">
        <w:rPr>
          <w:lang w:eastAsia="en-US"/>
        </w:rPr>
        <w:t xml:space="preserve"> provides important prognostic information, allows for improved local disease control, and </w:t>
      </w:r>
      <w:r>
        <w:rPr>
          <w:lang w:eastAsia="en-US"/>
        </w:rPr>
        <w:t xml:space="preserve">provides </w:t>
      </w:r>
      <w:proofErr w:type="gramStart"/>
      <w:r>
        <w:rPr>
          <w:lang w:eastAsia="en-US"/>
        </w:rPr>
        <w:t xml:space="preserve">for </w:t>
      </w:r>
      <w:r w:rsidRPr="0025019A">
        <w:rPr>
          <w:lang w:eastAsia="en-US"/>
        </w:rPr>
        <w:t xml:space="preserve">more effective selection </w:t>
      </w:r>
      <w:r>
        <w:rPr>
          <w:lang w:eastAsia="en-US"/>
        </w:rPr>
        <w:t xml:space="preserve">of </w:t>
      </w:r>
      <w:r w:rsidRPr="0025019A">
        <w:rPr>
          <w:lang w:eastAsia="en-US"/>
        </w:rPr>
        <w:t>patients</w:t>
      </w:r>
      <w:proofErr w:type="gramEnd"/>
      <w:r w:rsidRPr="0025019A">
        <w:rPr>
          <w:lang w:eastAsia="en-US"/>
        </w:rPr>
        <w:t xml:space="preserve"> with intermediate thickness and thick melanoma</w:t>
      </w:r>
      <w:r>
        <w:rPr>
          <w:lang w:eastAsia="en-US"/>
        </w:rPr>
        <w:t xml:space="preserve"> for adjuvant therapy</w:t>
      </w:r>
      <w:r w:rsidRPr="0025019A">
        <w:rPr>
          <w:lang w:eastAsia="en-US"/>
        </w:rPr>
        <w:t>.</w:t>
      </w:r>
    </w:p>
    <w:p w14:paraId="64A53F33" w14:textId="7CFE29A6" w:rsidR="00037AF7" w:rsidRDefault="00037AF7" w:rsidP="003D72FA">
      <w:pPr>
        <w:spacing w:before="240"/>
        <w:rPr>
          <w:lang w:eastAsia="en-US"/>
        </w:rPr>
      </w:pPr>
      <w:r>
        <w:rPr>
          <w:lang w:eastAsia="en-US"/>
        </w:rPr>
        <w:t>ESC</w:t>
      </w:r>
      <w:r w:rsidRPr="0025019A">
        <w:rPr>
          <w:lang w:eastAsia="en-US"/>
        </w:rPr>
        <w:t xml:space="preserve"> noted that the clinical management algorithm for cutaneous melanoma ha</w:t>
      </w:r>
      <w:r>
        <w:rPr>
          <w:lang w:eastAsia="en-US"/>
        </w:rPr>
        <w:t>d</w:t>
      </w:r>
      <w:r w:rsidRPr="0025019A">
        <w:rPr>
          <w:lang w:eastAsia="en-US"/>
        </w:rPr>
        <w:t xml:space="preserve"> changed since the results of</w:t>
      </w:r>
      <w:r>
        <w:rPr>
          <w:lang w:eastAsia="en-US"/>
        </w:rPr>
        <w:t xml:space="preserve"> the</w:t>
      </w:r>
      <w:r w:rsidRPr="0025019A">
        <w:rPr>
          <w:lang w:eastAsia="en-US"/>
        </w:rPr>
        <w:t xml:space="preserve"> MSLT-II </w:t>
      </w:r>
      <w:r>
        <w:rPr>
          <w:lang w:eastAsia="en-US"/>
        </w:rPr>
        <w:t xml:space="preserve">trial </w:t>
      </w:r>
      <w:proofErr w:type="gramStart"/>
      <w:r w:rsidRPr="0025019A">
        <w:rPr>
          <w:lang w:eastAsia="en-US"/>
        </w:rPr>
        <w:t>w</w:t>
      </w:r>
      <w:r>
        <w:rPr>
          <w:lang w:eastAsia="en-US"/>
        </w:rPr>
        <w:t>ere</w:t>
      </w:r>
      <w:r w:rsidRPr="0025019A">
        <w:rPr>
          <w:lang w:eastAsia="en-US"/>
        </w:rPr>
        <w:t xml:space="preserve"> published</w:t>
      </w:r>
      <w:proofErr w:type="gramEnd"/>
      <w:r w:rsidRPr="0025019A">
        <w:rPr>
          <w:lang w:eastAsia="en-US"/>
        </w:rPr>
        <w:t xml:space="preserve">. Previously, patients who were </w:t>
      </w:r>
      <w:proofErr w:type="spellStart"/>
      <w:r w:rsidRPr="0025019A">
        <w:rPr>
          <w:lang w:eastAsia="en-US"/>
        </w:rPr>
        <w:t>SLNBx</w:t>
      </w:r>
      <w:proofErr w:type="spellEnd"/>
      <w:r w:rsidRPr="0025019A">
        <w:rPr>
          <w:lang w:eastAsia="en-US"/>
        </w:rPr>
        <w:t xml:space="preserve"> positive underwent immediate CLND. Due to </w:t>
      </w:r>
      <w:r>
        <w:rPr>
          <w:lang w:eastAsia="en-US"/>
        </w:rPr>
        <w:t xml:space="preserve">a </w:t>
      </w:r>
      <w:r w:rsidRPr="0025019A">
        <w:rPr>
          <w:lang w:eastAsia="en-US"/>
        </w:rPr>
        <w:t xml:space="preserve">lack of </w:t>
      </w:r>
      <w:r>
        <w:rPr>
          <w:lang w:eastAsia="en-US"/>
        </w:rPr>
        <w:t xml:space="preserve">additional </w:t>
      </w:r>
      <w:r w:rsidRPr="0025019A">
        <w:rPr>
          <w:lang w:eastAsia="en-US"/>
        </w:rPr>
        <w:t xml:space="preserve">survival benefits for CLND based on results </w:t>
      </w:r>
      <w:r>
        <w:rPr>
          <w:lang w:eastAsia="en-US"/>
        </w:rPr>
        <w:t>from</w:t>
      </w:r>
      <w:r w:rsidRPr="0025019A">
        <w:rPr>
          <w:lang w:eastAsia="en-US"/>
        </w:rPr>
        <w:t xml:space="preserve"> MSLT-II, CLND </w:t>
      </w:r>
      <w:proofErr w:type="gramStart"/>
      <w:r w:rsidRPr="0025019A">
        <w:rPr>
          <w:lang w:eastAsia="en-US"/>
        </w:rPr>
        <w:t xml:space="preserve">is no longer </w:t>
      </w:r>
      <w:r>
        <w:rPr>
          <w:lang w:eastAsia="en-US"/>
        </w:rPr>
        <w:t>supported</w:t>
      </w:r>
      <w:proofErr w:type="gramEnd"/>
      <w:r w:rsidRPr="0025019A">
        <w:rPr>
          <w:lang w:eastAsia="en-US"/>
        </w:rPr>
        <w:t xml:space="preserve"> for patients with positive </w:t>
      </w:r>
      <w:proofErr w:type="spellStart"/>
      <w:r w:rsidRPr="0025019A">
        <w:rPr>
          <w:lang w:eastAsia="en-US"/>
        </w:rPr>
        <w:t>SLNBx</w:t>
      </w:r>
      <w:proofErr w:type="spellEnd"/>
      <w:r w:rsidRPr="0025019A">
        <w:rPr>
          <w:lang w:eastAsia="en-US"/>
        </w:rPr>
        <w:t xml:space="preserve"> results.</w:t>
      </w:r>
      <w:r>
        <w:rPr>
          <w:lang w:eastAsia="en-US"/>
        </w:rPr>
        <w:t xml:space="preserve"> </w:t>
      </w:r>
      <w:r w:rsidRPr="0025019A">
        <w:rPr>
          <w:lang w:eastAsia="en-US"/>
        </w:rPr>
        <w:t>More recently, in light of the emerging role of adjuvant therapy in melanoma management and associated benefits for survival and recurrence</w:t>
      </w:r>
      <w:r>
        <w:rPr>
          <w:lang w:eastAsia="en-US"/>
        </w:rPr>
        <w:t>-</w:t>
      </w:r>
      <w:r w:rsidRPr="0025019A">
        <w:rPr>
          <w:lang w:eastAsia="en-US"/>
        </w:rPr>
        <w:t xml:space="preserve">free survival, it is becoming important to stratify patients based on the information retrieved from </w:t>
      </w:r>
      <w:proofErr w:type="spellStart"/>
      <w:r w:rsidRPr="0025019A">
        <w:rPr>
          <w:lang w:eastAsia="en-US"/>
        </w:rPr>
        <w:t>SLNBx</w:t>
      </w:r>
      <w:proofErr w:type="spellEnd"/>
      <w:r w:rsidRPr="0025019A">
        <w:rPr>
          <w:lang w:eastAsia="en-US"/>
        </w:rPr>
        <w:t xml:space="preserve"> to </w:t>
      </w:r>
      <w:r>
        <w:rPr>
          <w:lang w:eastAsia="en-US"/>
        </w:rPr>
        <w:t xml:space="preserve">help </w:t>
      </w:r>
      <w:r w:rsidRPr="0025019A">
        <w:rPr>
          <w:lang w:eastAsia="en-US"/>
        </w:rPr>
        <w:t xml:space="preserve">select </w:t>
      </w:r>
      <w:r>
        <w:rPr>
          <w:lang w:eastAsia="en-US"/>
        </w:rPr>
        <w:t xml:space="preserve">patients as eligible </w:t>
      </w:r>
      <w:r w:rsidRPr="0025019A">
        <w:rPr>
          <w:lang w:eastAsia="en-US"/>
        </w:rPr>
        <w:t xml:space="preserve">for </w:t>
      </w:r>
      <w:r>
        <w:rPr>
          <w:lang w:eastAsia="en-US"/>
        </w:rPr>
        <w:t xml:space="preserve">these </w:t>
      </w:r>
      <w:r w:rsidRPr="0025019A">
        <w:rPr>
          <w:lang w:eastAsia="en-US"/>
        </w:rPr>
        <w:t xml:space="preserve">new </w:t>
      </w:r>
      <w:r>
        <w:rPr>
          <w:lang w:eastAsia="en-US"/>
        </w:rPr>
        <w:t xml:space="preserve">adjuvant </w:t>
      </w:r>
      <w:r w:rsidRPr="0025019A">
        <w:rPr>
          <w:lang w:eastAsia="en-US"/>
        </w:rPr>
        <w:t>systemic therapies</w:t>
      </w:r>
      <w:r>
        <w:rPr>
          <w:lang w:eastAsia="en-US"/>
        </w:rPr>
        <w:t>.</w:t>
      </w:r>
    </w:p>
    <w:p w14:paraId="07534D58" w14:textId="580F2F57" w:rsidR="00037AF7" w:rsidRDefault="00037AF7" w:rsidP="003D72FA">
      <w:pPr>
        <w:spacing w:before="240"/>
        <w:rPr>
          <w:lang w:eastAsia="en-US"/>
        </w:rPr>
      </w:pPr>
      <w:r>
        <w:rPr>
          <w:lang w:eastAsia="en-US"/>
        </w:rPr>
        <w:t xml:space="preserve">ESC noted that there was no new direct evidence linking </w:t>
      </w:r>
      <w:proofErr w:type="spellStart"/>
      <w:r>
        <w:rPr>
          <w:lang w:eastAsia="en-US"/>
        </w:rPr>
        <w:t>SLNBx</w:t>
      </w:r>
      <w:proofErr w:type="spellEnd"/>
      <w:r>
        <w:rPr>
          <w:lang w:eastAsia="en-US"/>
        </w:rPr>
        <w:t xml:space="preserve"> to improved survival outcomes. The key study for the previous submission, the MSLT-I trial, showed no therapeutic advantage, but subgroup analysis validated a prognostic role for the technique, as single lymph node status was a significant prognostic factor. There was also no new data to change the previous conclusion of comparative safety.</w:t>
      </w:r>
    </w:p>
    <w:p w14:paraId="7DEAF96B" w14:textId="5D2D8641" w:rsidR="00037AF7" w:rsidRDefault="00037AF7" w:rsidP="003D72FA">
      <w:pPr>
        <w:pStyle w:val="NormalBeforeBullet"/>
        <w:keepNext w:val="0"/>
        <w:spacing w:before="240" w:after="0"/>
        <w:rPr>
          <w:lang w:eastAsia="en-US"/>
        </w:rPr>
      </w:pPr>
      <w:r>
        <w:rPr>
          <w:lang w:eastAsia="en-US"/>
        </w:rPr>
        <w:t>ESC noted that p</w:t>
      </w:r>
      <w:r w:rsidRPr="00401EB0">
        <w:rPr>
          <w:lang w:eastAsia="en-US"/>
        </w:rPr>
        <w:t>atients need</w:t>
      </w:r>
      <w:r>
        <w:rPr>
          <w:lang w:eastAsia="en-US"/>
        </w:rPr>
        <w:t>ed</w:t>
      </w:r>
      <w:r w:rsidRPr="00401EB0">
        <w:rPr>
          <w:lang w:eastAsia="en-US"/>
        </w:rPr>
        <w:t xml:space="preserve"> to be stage III </w:t>
      </w:r>
      <w:r>
        <w:rPr>
          <w:lang w:eastAsia="en-US"/>
        </w:rPr>
        <w:t xml:space="preserve">under the previous </w:t>
      </w:r>
      <w:r w:rsidRPr="00E17078">
        <w:rPr>
          <w:lang w:eastAsia="en-US"/>
        </w:rPr>
        <w:t>American Jo</w:t>
      </w:r>
      <w:r>
        <w:rPr>
          <w:lang w:eastAsia="en-US"/>
        </w:rPr>
        <w:t>int Committee on Cancer (AJCC) 7</w:t>
      </w:r>
      <w:r w:rsidRPr="00C91B71">
        <w:rPr>
          <w:vertAlign w:val="superscript"/>
          <w:lang w:eastAsia="en-US"/>
        </w:rPr>
        <w:t>th</w:t>
      </w:r>
      <w:r w:rsidRPr="00E17078">
        <w:rPr>
          <w:lang w:eastAsia="en-US"/>
        </w:rPr>
        <w:t xml:space="preserve"> edition </w:t>
      </w:r>
      <w:r>
        <w:rPr>
          <w:lang w:eastAsia="en-US"/>
        </w:rPr>
        <w:t xml:space="preserve">melanoma </w:t>
      </w:r>
      <w:r w:rsidRPr="00E17078">
        <w:rPr>
          <w:lang w:eastAsia="en-US"/>
        </w:rPr>
        <w:t xml:space="preserve">staging criteria </w:t>
      </w:r>
      <w:r w:rsidRPr="00401EB0">
        <w:rPr>
          <w:lang w:eastAsia="en-US"/>
        </w:rPr>
        <w:t xml:space="preserve">to be eligible for </w:t>
      </w:r>
      <w:r>
        <w:rPr>
          <w:lang w:eastAsia="en-US"/>
        </w:rPr>
        <w:t xml:space="preserve">the </w:t>
      </w:r>
      <w:r w:rsidRPr="00401EB0">
        <w:rPr>
          <w:lang w:eastAsia="en-US"/>
        </w:rPr>
        <w:t xml:space="preserve">adjuvant </w:t>
      </w:r>
      <w:r>
        <w:rPr>
          <w:lang w:eastAsia="en-US"/>
        </w:rPr>
        <w:t>therapy</w:t>
      </w:r>
      <w:r w:rsidRPr="00401EB0">
        <w:rPr>
          <w:lang w:eastAsia="en-US"/>
        </w:rPr>
        <w:t xml:space="preserve"> trials</w:t>
      </w:r>
      <w:r>
        <w:rPr>
          <w:lang w:eastAsia="en-US"/>
        </w:rPr>
        <w:t>, and that</w:t>
      </w:r>
      <w:r w:rsidRPr="00401EB0">
        <w:rPr>
          <w:lang w:eastAsia="en-US"/>
        </w:rPr>
        <w:t xml:space="preserve"> </w:t>
      </w:r>
      <w:proofErr w:type="spellStart"/>
      <w:r w:rsidRPr="00401EB0">
        <w:rPr>
          <w:lang w:eastAsia="en-US"/>
        </w:rPr>
        <w:t>SLNB</w:t>
      </w:r>
      <w:r>
        <w:rPr>
          <w:lang w:eastAsia="en-US"/>
        </w:rPr>
        <w:t>x</w:t>
      </w:r>
      <w:proofErr w:type="spellEnd"/>
      <w:r w:rsidRPr="00401EB0">
        <w:rPr>
          <w:lang w:eastAsia="en-US"/>
        </w:rPr>
        <w:t xml:space="preserve"> </w:t>
      </w:r>
      <w:r>
        <w:rPr>
          <w:lang w:eastAsia="en-US"/>
        </w:rPr>
        <w:t xml:space="preserve">played an </w:t>
      </w:r>
      <w:r w:rsidRPr="00401EB0">
        <w:rPr>
          <w:lang w:eastAsia="en-US"/>
        </w:rPr>
        <w:t xml:space="preserve">important role in </w:t>
      </w:r>
      <w:r>
        <w:rPr>
          <w:lang w:eastAsia="en-US"/>
        </w:rPr>
        <w:t xml:space="preserve">selecting eligible patients. ESC considered this </w:t>
      </w:r>
      <w:proofErr w:type="gramStart"/>
      <w:r>
        <w:rPr>
          <w:lang w:eastAsia="en-US"/>
        </w:rPr>
        <w:t>to be important</w:t>
      </w:r>
      <w:proofErr w:type="gramEnd"/>
      <w:r>
        <w:rPr>
          <w:lang w:eastAsia="en-US"/>
        </w:rPr>
        <w:t xml:space="preserve"> because these a</w:t>
      </w:r>
      <w:r w:rsidRPr="00401EB0">
        <w:rPr>
          <w:lang w:eastAsia="en-US"/>
        </w:rPr>
        <w:t xml:space="preserve">djuvant drug therapies have been demonstrated to improve </w:t>
      </w:r>
      <w:r>
        <w:rPr>
          <w:lang w:eastAsia="en-US"/>
        </w:rPr>
        <w:t xml:space="preserve">cancer </w:t>
      </w:r>
      <w:r w:rsidRPr="00401EB0">
        <w:rPr>
          <w:lang w:eastAsia="en-US"/>
        </w:rPr>
        <w:t>outcomes.</w:t>
      </w:r>
      <w:r>
        <w:rPr>
          <w:lang w:eastAsia="en-US"/>
        </w:rPr>
        <w:t xml:space="preserve"> </w:t>
      </w:r>
      <w:r w:rsidRPr="00401EB0">
        <w:rPr>
          <w:lang w:eastAsia="en-US"/>
        </w:rPr>
        <w:t>A</w:t>
      </w:r>
      <w:r>
        <w:rPr>
          <w:lang w:eastAsia="en-US"/>
        </w:rPr>
        <w:t>s</w:t>
      </w:r>
      <w:r w:rsidRPr="00401EB0">
        <w:rPr>
          <w:lang w:eastAsia="en-US"/>
        </w:rPr>
        <w:t xml:space="preserve"> </w:t>
      </w:r>
      <w:proofErr w:type="spellStart"/>
      <w:r w:rsidRPr="00401EB0">
        <w:rPr>
          <w:lang w:eastAsia="en-US"/>
        </w:rPr>
        <w:t>SLNB</w:t>
      </w:r>
      <w:r>
        <w:rPr>
          <w:lang w:eastAsia="en-US"/>
        </w:rPr>
        <w:t>x</w:t>
      </w:r>
      <w:proofErr w:type="spellEnd"/>
      <w:r w:rsidRPr="00401EB0">
        <w:rPr>
          <w:lang w:eastAsia="en-US"/>
        </w:rPr>
        <w:t xml:space="preserve"> is not </w:t>
      </w:r>
      <w:r>
        <w:rPr>
          <w:lang w:eastAsia="en-US"/>
        </w:rPr>
        <w:t xml:space="preserve">itself </w:t>
      </w:r>
      <w:r w:rsidRPr="00401EB0">
        <w:rPr>
          <w:lang w:eastAsia="en-US"/>
        </w:rPr>
        <w:t>associated with an overall survival benefit</w:t>
      </w:r>
      <w:r>
        <w:rPr>
          <w:lang w:eastAsia="en-US"/>
        </w:rPr>
        <w:t>,</w:t>
      </w:r>
      <w:r w:rsidRPr="00401EB0">
        <w:rPr>
          <w:lang w:eastAsia="en-US"/>
        </w:rPr>
        <w:t xml:space="preserve"> its role </w:t>
      </w:r>
      <w:r>
        <w:rPr>
          <w:lang w:eastAsia="en-US"/>
        </w:rPr>
        <w:t>is more appropriately</w:t>
      </w:r>
      <w:r w:rsidRPr="00401EB0">
        <w:rPr>
          <w:lang w:eastAsia="en-US"/>
        </w:rPr>
        <w:t xml:space="preserve"> viewed as a staging procedure</w:t>
      </w:r>
      <w:r>
        <w:rPr>
          <w:lang w:eastAsia="en-US"/>
        </w:rPr>
        <w:t xml:space="preserve"> to inform treatment planning,</w:t>
      </w:r>
      <w:r w:rsidRPr="00401EB0">
        <w:rPr>
          <w:lang w:eastAsia="en-US"/>
        </w:rPr>
        <w:t xml:space="preserve"> not a therapeutic intervention</w:t>
      </w:r>
      <w:r>
        <w:rPr>
          <w:lang w:eastAsia="en-US"/>
        </w:rPr>
        <w:t xml:space="preserve"> in and of itself</w:t>
      </w:r>
      <w:r w:rsidRPr="00401EB0">
        <w:rPr>
          <w:lang w:eastAsia="en-US"/>
        </w:rPr>
        <w:t>.</w:t>
      </w:r>
    </w:p>
    <w:p w14:paraId="63B73FE4" w14:textId="0211CBB2" w:rsidR="00037AF7" w:rsidRPr="006B4AA0" w:rsidRDefault="00037AF7" w:rsidP="003D72FA">
      <w:pPr>
        <w:spacing w:before="240"/>
        <w:rPr>
          <w:lang w:eastAsia="en-US"/>
        </w:rPr>
      </w:pPr>
      <w:r>
        <w:rPr>
          <w:lang w:eastAsia="en-US"/>
        </w:rPr>
        <w:t>ESC noted the pre-ESC response, which stated that</w:t>
      </w:r>
      <w:r w:rsidRPr="00937CB3">
        <w:rPr>
          <w:lang w:eastAsia="en-US"/>
        </w:rPr>
        <w:t xml:space="preserve"> </w:t>
      </w:r>
      <w:proofErr w:type="spellStart"/>
      <w:r w:rsidRPr="00937CB3">
        <w:rPr>
          <w:lang w:eastAsia="en-US"/>
        </w:rPr>
        <w:t>nivolumab</w:t>
      </w:r>
      <w:proofErr w:type="spellEnd"/>
      <w:r w:rsidRPr="00937CB3">
        <w:rPr>
          <w:lang w:eastAsia="en-US"/>
        </w:rPr>
        <w:t xml:space="preserve"> is now </w:t>
      </w:r>
      <w:r>
        <w:rPr>
          <w:lang w:eastAsia="en-US"/>
        </w:rPr>
        <w:t>PBS-</w:t>
      </w:r>
      <w:r w:rsidRPr="00937CB3">
        <w:rPr>
          <w:lang w:eastAsia="en-US"/>
        </w:rPr>
        <w:t xml:space="preserve">listed for </w:t>
      </w:r>
      <w:r>
        <w:rPr>
          <w:lang w:eastAsia="en-US"/>
        </w:rPr>
        <w:t xml:space="preserve">patients with </w:t>
      </w:r>
      <w:r w:rsidRPr="00937CB3">
        <w:rPr>
          <w:lang w:eastAsia="en-US"/>
        </w:rPr>
        <w:t>Stage</w:t>
      </w:r>
      <w:r>
        <w:rPr>
          <w:lang w:eastAsia="en-US"/>
        </w:rPr>
        <w:t> </w:t>
      </w:r>
      <w:r w:rsidRPr="00662987">
        <w:t xml:space="preserve">IIIB, Stage IIIC or Stage IIID </w:t>
      </w:r>
      <w:r>
        <w:t>melanoma</w:t>
      </w:r>
      <w:r w:rsidRPr="00937CB3">
        <w:rPr>
          <w:lang w:eastAsia="en-US"/>
        </w:rPr>
        <w:t xml:space="preserve">, </w:t>
      </w:r>
      <w:r>
        <w:rPr>
          <w:lang w:eastAsia="en-US"/>
        </w:rPr>
        <w:t>as well as</w:t>
      </w:r>
      <w:r w:rsidRPr="00937CB3">
        <w:rPr>
          <w:lang w:eastAsia="en-US"/>
        </w:rPr>
        <w:t xml:space="preserve"> dabrafenib and trametinib for </w:t>
      </w:r>
      <w:r>
        <w:rPr>
          <w:lang w:eastAsia="en-US"/>
        </w:rPr>
        <w:t xml:space="preserve">patients who are also </w:t>
      </w:r>
      <w:r w:rsidRPr="00460353">
        <w:rPr>
          <w:i/>
          <w:lang w:eastAsia="en-US"/>
        </w:rPr>
        <w:t>BRAF</w:t>
      </w:r>
      <w:r>
        <w:rPr>
          <w:lang w:eastAsia="en-US"/>
        </w:rPr>
        <w:t>-</w:t>
      </w:r>
      <w:r w:rsidRPr="00937CB3">
        <w:rPr>
          <w:lang w:eastAsia="en-US"/>
        </w:rPr>
        <w:t xml:space="preserve">positive. </w:t>
      </w:r>
      <w:proofErr w:type="spellStart"/>
      <w:r>
        <w:t>Nivolumab</w:t>
      </w:r>
      <w:proofErr w:type="spellEnd"/>
      <w:r>
        <w:t xml:space="preserve"> was PBS-listed for this indication on 1 March 2020, so</w:t>
      </w:r>
      <w:r w:rsidRPr="00937CB3">
        <w:rPr>
          <w:lang w:eastAsia="en-US"/>
        </w:rPr>
        <w:t xml:space="preserve"> </w:t>
      </w:r>
      <w:proofErr w:type="spellStart"/>
      <w:r w:rsidRPr="00937CB3">
        <w:rPr>
          <w:lang w:eastAsia="en-US"/>
        </w:rPr>
        <w:t>SLNBx</w:t>
      </w:r>
      <w:proofErr w:type="spellEnd"/>
      <w:r>
        <w:rPr>
          <w:lang w:eastAsia="en-US"/>
        </w:rPr>
        <w:t>-</w:t>
      </w:r>
      <w:r w:rsidRPr="00937CB3">
        <w:rPr>
          <w:lang w:eastAsia="en-US"/>
        </w:rPr>
        <w:t xml:space="preserve">positive patients </w:t>
      </w:r>
      <w:r>
        <w:rPr>
          <w:lang w:eastAsia="en-US"/>
        </w:rPr>
        <w:t xml:space="preserve">who </w:t>
      </w:r>
      <w:proofErr w:type="gramStart"/>
      <w:r>
        <w:rPr>
          <w:lang w:eastAsia="en-US"/>
        </w:rPr>
        <w:t>are diagnosed</w:t>
      </w:r>
      <w:proofErr w:type="gramEnd"/>
      <w:r>
        <w:rPr>
          <w:lang w:eastAsia="en-US"/>
        </w:rPr>
        <w:t xml:space="preserve"> with Stage </w:t>
      </w:r>
      <w:r w:rsidRPr="00662987">
        <w:t xml:space="preserve">IIIB, Stage IIIC or Stage IIID </w:t>
      </w:r>
      <w:r>
        <w:t>melanoma</w:t>
      </w:r>
      <w:r w:rsidRPr="00937CB3">
        <w:rPr>
          <w:lang w:eastAsia="en-US"/>
        </w:rPr>
        <w:t xml:space="preserve"> </w:t>
      </w:r>
      <w:r>
        <w:rPr>
          <w:lang w:eastAsia="en-US"/>
        </w:rPr>
        <w:t xml:space="preserve">could </w:t>
      </w:r>
      <w:r w:rsidRPr="00937CB3">
        <w:rPr>
          <w:lang w:eastAsia="en-US"/>
        </w:rPr>
        <w:t xml:space="preserve">be offered adjuvant therapy, and </w:t>
      </w:r>
      <w:r>
        <w:rPr>
          <w:lang w:eastAsia="en-US"/>
        </w:rPr>
        <w:t xml:space="preserve">ESC agreed that it was likely that </w:t>
      </w:r>
      <w:r w:rsidRPr="00937CB3">
        <w:rPr>
          <w:lang w:eastAsia="en-US"/>
        </w:rPr>
        <w:t xml:space="preserve">most </w:t>
      </w:r>
      <w:r>
        <w:rPr>
          <w:lang w:eastAsia="en-US"/>
        </w:rPr>
        <w:t xml:space="preserve">patients </w:t>
      </w:r>
      <w:r w:rsidRPr="00937CB3">
        <w:rPr>
          <w:lang w:eastAsia="en-US"/>
        </w:rPr>
        <w:t xml:space="preserve">would accept </w:t>
      </w:r>
      <w:r>
        <w:rPr>
          <w:lang w:eastAsia="en-US"/>
        </w:rPr>
        <w:t>such</w:t>
      </w:r>
      <w:r w:rsidRPr="00937CB3">
        <w:rPr>
          <w:lang w:eastAsia="en-US"/>
        </w:rPr>
        <w:t xml:space="preserve"> treatment.</w:t>
      </w:r>
    </w:p>
    <w:p w14:paraId="0BF6F422" w14:textId="3DD2B214" w:rsidR="00037AF7" w:rsidRDefault="00037AF7" w:rsidP="00037AF7">
      <w:r>
        <w:lastRenderedPageBreak/>
        <w:t xml:space="preserve">ESC noted that these new treatments were not included in the simplified economic model presented. The benefit was the number of additional patients diagnosed as eligible for adjuvant therapy </w:t>
      </w:r>
      <w:proofErr w:type="gramStart"/>
      <w:r>
        <w:t>as a result</w:t>
      </w:r>
      <w:proofErr w:type="gramEnd"/>
      <w:r>
        <w:t xml:space="preserve"> of </w:t>
      </w:r>
      <w:proofErr w:type="spellStart"/>
      <w:r>
        <w:t>SLNBx</w:t>
      </w:r>
      <w:proofErr w:type="spellEnd"/>
      <w:r>
        <w:t xml:space="preserve"> identifying nodal </w:t>
      </w:r>
      <w:proofErr w:type="spellStart"/>
      <w:r w:rsidRPr="00FC1C8D">
        <w:t>micrometastas</w:t>
      </w:r>
      <w:r>
        <w:t>e</w:t>
      </w:r>
      <w:r w:rsidRPr="00FC1C8D">
        <w:t>s</w:t>
      </w:r>
      <w:proofErr w:type="spellEnd"/>
      <w:r>
        <w:t xml:space="preserve"> in those patients for whom this would be essential for diagnosing </w:t>
      </w:r>
      <w:r>
        <w:rPr>
          <w:lang w:eastAsia="en-US"/>
        </w:rPr>
        <w:t xml:space="preserve">Stage </w:t>
      </w:r>
      <w:r w:rsidRPr="00662987">
        <w:t xml:space="preserve">IIIB, Stage IIIC or Stage IIID </w:t>
      </w:r>
      <w:r>
        <w:t>melanoma according to the current</w:t>
      </w:r>
      <w:r>
        <w:rPr>
          <w:lang w:eastAsia="en-US"/>
        </w:rPr>
        <w:t xml:space="preserve"> AJCC 8</w:t>
      </w:r>
      <w:r w:rsidRPr="00C91B71">
        <w:rPr>
          <w:vertAlign w:val="superscript"/>
          <w:lang w:eastAsia="en-US"/>
        </w:rPr>
        <w:t>th</w:t>
      </w:r>
      <w:r w:rsidRPr="00E17078">
        <w:rPr>
          <w:lang w:eastAsia="en-US"/>
        </w:rPr>
        <w:t xml:space="preserve"> edition </w:t>
      </w:r>
      <w:r>
        <w:rPr>
          <w:lang w:eastAsia="en-US"/>
        </w:rPr>
        <w:t xml:space="preserve">melanoma </w:t>
      </w:r>
      <w:r w:rsidRPr="00E17078">
        <w:rPr>
          <w:lang w:eastAsia="en-US"/>
        </w:rPr>
        <w:t>staging criteria</w:t>
      </w:r>
      <w:r>
        <w:t xml:space="preserve">. The model assumed that, of those patients who received </w:t>
      </w:r>
      <w:proofErr w:type="spellStart"/>
      <w:r>
        <w:t>SLNBx</w:t>
      </w:r>
      <w:proofErr w:type="spellEnd"/>
      <w:r>
        <w:t xml:space="preserve"> according to the proposed MBS item descriptor, the </w:t>
      </w:r>
      <w:proofErr w:type="gramStart"/>
      <w:r>
        <w:t>proportion testing</w:t>
      </w:r>
      <w:proofErr w:type="gramEnd"/>
      <w:r>
        <w:t xml:space="preserve"> positive according to the MSLT-I trial equals being diagnosed as having Stage III melanoma (15.84%, with an assumption of no false positives). The model then removed the estimated proportion of these patients who would have Stage IIIA melanoma (5.4% from </w:t>
      </w:r>
      <w:proofErr w:type="spellStart"/>
      <w:r>
        <w:t>Haydu</w:t>
      </w:r>
      <w:proofErr w:type="spellEnd"/>
      <w:r>
        <w:t xml:space="preserve"> et al. 2017, see Table 6), leaving 15% </w:t>
      </w:r>
      <w:r>
        <w:rPr>
          <w:lang w:eastAsia="en-US"/>
        </w:rPr>
        <w:t xml:space="preserve">diagnosed with Stage </w:t>
      </w:r>
      <w:r w:rsidRPr="00662987">
        <w:t xml:space="preserve">IIIB, Stage IIIC or Stage IIID </w:t>
      </w:r>
      <w:r>
        <w:t xml:space="preserve">melanoma eligible for adjuvant therapy following </w:t>
      </w:r>
      <w:proofErr w:type="spellStart"/>
      <w:r>
        <w:t>SLNBx</w:t>
      </w:r>
      <w:proofErr w:type="spellEnd"/>
      <w:r>
        <w:t xml:space="preserve">. This estimate would reduce to 12% if the proportion of patients with Stage IIIA melanoma from </w:t>
      </w:r>
      <w:proofErr w:type="spellStart"/>
      <w:r>
        <w:t>Gershenwald</w:t>
      </w:r>
      <w:proofErr w:type="spellEnd"/>
      <w:r>
        <w:t xml:space="preserve"> et al. 2017 (21.96%, see Table 6) were used instead. For the comparison arm, the model assumed that the annualised estimate of the proportion of patients who did not receive </w:t>
      </w:r>
      <w:proofErr w:type="spellStart"/>
      <w:r>
        <w:t>SLNBx</w:t>
      </w:r>
      <w:proofErr w:type="spellEnd"/>
      <w:r>
        <w:t xml:space="preserve"> in the MSLT-I trial who then developed a nodal metastasis during surveillance (3.34%) equals the proportion of </w:t>
      </w:r>
      <w:proofErr w:type="spellStart"/>
      <w:r>
        <w:t>SLNBx</w:t>
      </w:r>
      <w:proofErr w:type="spellEnd"/>
      <w:r>
        <w:t xml:space="preserve">-eligible patients who </w:t>
      </w:r>
      <w:proofErr w:type="gramStart"/>
      <w:r>
        <w:t>would have been diagnosed</w:t>
      </w:r>
      <w:proofErr w:type="gramEnd"/>
      <w:r>
        <w:t xml:space="preserve"> with Stage III melanoma without </w:t>
      </w:r>
      <w:proofErr w:type="spellStart"/>
      <w:r>
        <w:t>SLNBx</w:t>
      </w:r>
      <w:proofErr w:type="spellEnd"/>
      <w:r>
        <w:t>.</w:t>
      </w:r>
    </w:p>
    <w:p w14:paraId="1C0067D0" w14:textId="77777777" w:rsidR="00037AF7" w:rsidRDefault="00037AF7" w:rsidP="003D72FA">
      <w:pPr>
        <w:spacing w:before="240"/>
      </w:pPr>
      <w:r>
        <w:t xml:space="preserve">ESC considered that these estimates were in the range that might be </w:t>
      </w:r>
      <w:proofErr w:type="gramStart"/>
      <w:r>
        <w:t>expected,</w:t>
      </w:r>
      <w:proofErr w:type="gramEnd"/>
      <w:r>
        <w:t xml:space="preserve"> although the comparator arm ignored the likelihood that ultrasound could also help identify patients </w:t>
      </w:r>
      <w:r>
        <w:rPr>
          <w:lang w:eastAsia="en-US"/>
        </w:rPr>
        <w:t xml:space="preserve">with Stage </w:t>
      </w:r>
      <w:r w:rsidRPr="00662987">
        <w:t xml:space="preserve">IIIB, Stage IIIC or Stage IIID </w:t>
      </w:r>
      <w:r>
        <w:t xml:space="preserve">melanoma. However, given the uncertainties involved with applying these derived estimates to the proposed eligible population for MBS-funded </w:t>
      </w:r>
      <w:proofErr w:type="spellStart"/>
      <w:r>
        <w:t>SLNBx</w:t>
      </w:r>
      <w:proofErr w:type="spellEnd"/>
      <w:r>
        <w:t xml:space="preserve"> and the proposed increased diagnostic yield of patients eligible for adjuvant therapy, ESC suggested the following approach should MSAC require a more confident basis for these estimates:</w:t>
      </w:r>
    </w:p>
    <w:p w14:paraId="569B5786" w14:textId="77777777" w:rsidR="00037AF7" w:rsidRDefault="00037AF7" w:rsidP="00037AF7">
      <w:pPr>
        <w:pStyle w:val="ListParagraph"/>
        <w:numPr>
          <w:ilvl w:val="0"/>
          <w:numId w:val="4"/>
        </w:numPr>
      </w:pPr>
      <w:r>
        <w:t xml:space="preserve">contact those Australian experts with access to the dataset of patients contributing to the </w:t>
      </w:r>
      <w:proofErr w:type="spellStart"/>
      <w:r>
        <w:t>Haydu</w:t>
      </w:r>
      <w:proofErr w:type="spellEnd"/>
      <w:r>
        <w:t xml:space="preserve"> et al. 2017 and </w:t>
      </w:r>
      <w:proofErr w:type="spellStart"/>
      <w:r>
        <w:t>Gershenwald</w:t>
      </w:r>
      <w:proofErr w:type="spellEnd"/>
      <w:r>
        <w:t xml:space="preserve"> et al. 2017 publications and who have the capacity and likely motivation to address the following requests</w:t>
      </w:r>
    </w:p>
    <w:p w14:paraId="20799C07" w14:textId="50819EC1" w:rsidR="00037AF7" w:rsidRDefault="00037AF7" w:rsidP="00037AF7">
      <w:pPr>
        <w:pStyle w:val="ListParagraph"/>
        <w:numPr>
          <w:ilvl w:val="0"/>
          <w:numId w:val="4"/>
        </w:numPr>
      </w:pPr>
      <w:r>
        <w:t>for those patients in the dataset who can be shown to meet the proposed population criteria (</w:t>
      </w:r>
      <w:r w:rsidR="00801FD6">
        <w:t>i.e.</w:t>
      </w:r>
      <w:r>
        <w:t xml:space="preserve"> </w:t>
      </w:r>
      <w:r w:rsidRPr="00802752">
        <w:t>the pri</w:t>
      </w:r>
      <w:r>
        <w:t>mary lesion is greater than 1.0 </w:t>
      </w:r>
      <w:r w:rsidRPr="00802752">
        <w:t xml:space="preserve">mm in depth </w:t>
      </w:r>
      <w:r>
        <w:t>or at least 0.8 </w:t>
      </w:r>
      <w:r w:rsidRPr="00802752">
        <w:t>mm in depth in the presence of ulceration)</w:t>
      </w:r>
      <w:r>
        <w:t>, identify:</w:t>
      </w:r>
    </w:p>
    <w:p w14:paraId="7463850B" w14:textId="77777777" w:rsidR="00037AF7" w:rsidRDefault="00037AF7" w:rsidP="00037AF7">
      <w:pPr>
        <w:pStyle w:val="ListParagraph"/>
        <w:numPr>
          <w:ilvl w:val="1"/>
          <w:numId w:val="4"/>
        </w:numPr>
      </w:pPr>
      <w:r>
        <w:t>what proportion had clinically detectable disease as the basis for being shown to have Stage IIIB, Stage IIIC or Stage IIID melanoma according to the current</w:t>
      </w:r>
      <w:r>
        <w:rPr>
          <w:lang w:eastAsia="en-US"/>
        </w:rPr>
        <w:t xml:space="preserve"> AJCC 8</w:t>
      </w:r>
      <w:r w:rsidRPr="00C91B71">
        <w:rPr>
          <w:vertAlign w:val="superscript"/>
          <w:lang w:eastAsia="en-US"/>
        </w:rPr>
        <w:t>th</w:t>
      </w:r>
      <w:r w:rsidRPr="00E17078">
        <w:rPr>
          <w:lang w:eastAsia="en-US"/>
        </w:rPr>
        <w:t xml:space="preserve"> edition </w:t>
      </w:r>
      <w:r>
        <w:rPr>
          <w:lang w:eastAsia="en-US"/>
        </w:rPr>
        <w:t xml:space="preserve">melanoma </w:t>
      </w:r>
      <w:r w:rsidRPr="00E17078">
        <w:rPr>
          <w:lang w:eastAsia="en-US"/>
        </w:rPr>
        <w:t>staging criteria</w:t>
      </w:r>
    </w:p>
    <w:p w14:paraId="28F3E24C" w14:textId="77777777" w:rsidR="00037AF7" w:rsidRDefault="00037AF7" w:rsidP="00037AF7">
      <w:pPr>
        <w:pStyle w:val="ListParagraph"/>
        <w:numPr>
          <w:ilvl w:val="1"/>
          <w:numId w:val="4"/>
        </w:numPr>
      </w:pPr>
      <w:r>
        <w:t xml:space="preserve">what proportion received </w:t>
      </w:r>
      <w:proofErr w:type="spellStart"/>
      <w:r>
        <w:t>SLNBx</w:t>
      </w:r>
      <w:proofErr w:type="spellEnd"/>
      <w:r>
        <w:t xml:space="preserve"> (whether or not they were also in the previous proportion)</w:t>
      </w:r>
    </w:p>
    <w:p w14:paraId="2F3D3548" w14:textId="77777777" w:rsidR="00037AF7" w:rsidRDefault="00037AF7" w:rsidP="00037AF7">
      <w:pPr>
        <w:pStyle w:val="ListParagraph"/>
        <w:numPr>
          <w:ilvl w:val="1"/>
          <w:numId w:val="4"/>
        </w:numPr>
      </w:pPr>
      <w:r>
        <w:t xml:space="preserve">what proportion of this </w:t>
      </w:r>
      <w:proofErr w:type="spellStart"/>
      <w:r>
        <w:t>SLNBx</w:t>
      </w:r>
      <w:proofErr w:type="spellEnd"/>
      <w:r>
        <w:t>-receiving population were shown to have Stage III melanoma according to the current</w:t>
      </w:r>
      <w:r>
        <w:rPr>
          <w:lang w:eastAsia="en-US"/>
        </w:rPr>
        <w:t xml:space="preserve"> AJCC 8</w:t>
      </w:r>
      <w:r w:rsidRPr="00C91B71">
        <w:rPr>
          <w:vertAlign w:val="superscript"/>
          <w:lang w:eastAsia="en-US"/>
        </w:rPr>
        <w:t>th</w:t>
      </w:r>
      <w:r w:rsidRPr="00E17078">
        <w:rPr>
          <w:lang w:eastAsia="en-US"/>
        </w:rPr>
        <w:t xml:space="preserve"> edition </w:t>
      </w:r>
      <w:r>
        <w:rPr>
          <w:lang w:eastAsia="en-US"/>
        </w:rPr>
        <w:t xml:space="preserve">melanoma </w:t>
      </w:r>
      <w:r w:rsidRPr="00E17078">
        <w:rPr>
          <w:lang w:eastAsia="en-US"/>
        </w:rPr>
        <w:t>staging criteria</w:t>
      </w:r>
    </w:p>
    <w:p w14:paraId="5A31E36C" w14:textId="77777777" w:rsidR="00037AF7" w:rsidRDefault="00037AF7" w:rsidP="00037AF7">
      <w:pPr>
        <w:pStyle w:val="ListParagraph"/>
        <w:numPr>
          <w:ilvl w:val="1"/>
          <w:numId w:val="4"/>
        </w:numPr>
      </w:pPr>
      <w:r>
        <w:t xml:space="preserve">what proportion of this </w:t>
      </w:r>
      <w:proofErr w:type="spellStart"/>
      <w:r>
        <w:t>SLNBx</w:t>
      </w:r>
      <w:proofErr w:type="spellEnd"/>
      <w:r>
        <w:t>-receiving population were shown to have Stage IIIB, Stage IIIC or Stage IIID melanoma according to the current</w:t>
      </w:r>
      <w:r>
        <w:rPr>
          <w:lang w:eastAsia="en-US"/>
        </w:rPr>
        <w:t xml:space="preserve"> AJCC 8</w:t>
      </w:r>
      <w:r w:rsidRPr="00C91B71">
        <w:rPr>
          <w:vertAlign w:val="superscript"/>
          <w:lang w:eastAsia="en-US"/>
        </w:rPr>
        <w:t>th</w:t>
      </w:r>
      <w:r w:rsidRPr="00E17078">
        <w:rPr>
          <w:lang w:eastAsia="en-US"/>
        </w:rPr>
        <w:t xml:space="preserve"> edition </w:t>
      </w:r>
      <w:r>
        <w:rPr>
          <w:lang w:eastAsia="en-US"/>
        </w:rPr>
        <w:t xml:space="preserve">melanoma </w:t>
      </w:r>
      <w:r w:rsidRPr="00E17078">
        <w:rPr>
          <w:lang w:eastAsia="en-US"/>
        </w:rPr>
        <w:t>staging criteria</w:t>
      </w:r>
    </w:p>
    <w:p w14:paraId="468BEC62" w14:textId="65AF2382" w:rsidR="00037AF7" w:rsidRDefault="00037AF7" w:rsidP="00037AF7">
      <w:pPr>
        <w:pStyle w:val="ListParagraph"/>
        <w:numPr>
          <w:ilvl w:val="0"/>
          <w:numId w:val="4"/>
        </w:numPr>
      </w:pPr>
      <w:proofErr w:type="gramStart"/>
      <w:r>
        <w:rPr>
          <w:lang w:eastAsia="en-US"/>
        </w:rPr>
        <w:t>and</w:t>
      </w:r>
      <w:proofErr w:type="gramEnd"/>
      <w:r>
        <w:rPr>
          <w:lang w:eastAsia="en-US"/>
        </w:rPr>
        <w:t xml:space="preserve"> thus calculate the incremental diagnostic yield from the patients meeting the proposed population criteria who are </w:t>
      </w:r>
      <w:r>
        <w:t>shown to have Stage IIIB, Stage IIIC or Stage IIID melanoma according to the current</w:t>
      </w:r>
      <w:r>
        <w:rPr>
          <w:lang w:eastAsia="en-US"/>
        </w:rPr>
        <w:t xml:space="preserve"> AJCC 8</w:t>
      </w:r>
      <w:r w:rsidRPr="00C91B71">
        <w:rPr>
          <w:vertAlign w:val="superscript"/>
          <w:lang w:eastAsia="en-US"/>
        </w:rPr>
        <w:t>th</w:t>
      </w:r>
      <w:r w:rsidRPr="00E17078">
        <w:rPr>
          <w:lang w:eastAsia="en-US"/>
        </w:rPr>
        <w:t xml:space="preserve"> edition </w:t>
      </w:r>
      <w:r>
        <w:rPr>
          <w:lang w:eastAsia="en-US"/>
        </w:rPr>
        <w:t xml:space="preserve">melanoma </w:t>
      </w:r>
      <w:r w:rsidRPr="00E17078">
        <w:rPr>
          <w:lang w:eastAsia="en-US"/>
        </w:rPr>
        <w:t>staging criteria</w:t>
      </w:r>
      <w:r>
        <w:rPr>
          <w:lang w:eastAsia="en-US"/>
        </w:rPr>
        <w:t xml:space="preserve"> due to the use of </w:t>
      </w:r>
      <w:proofErr w:type="spellStart"/>
      <w:r>
        <w:rPr>
          <w:lang w:eastAsia="en-US"/>
        </w:rPr>
        <w:t>SLNBx</w:t>
      </w:r>
      <w:proofErr w:type="spellEnd"/>
      <w:r>
        <w:rPr>
          <w:lang w:eastAsia="en-US"/>
        </w:rPr>
        <w:t>.</w:t>
      </w:r>
    </w:p>
    <w:p w14:paraId="00F85854" w14:textId="608F50B6" w:rsidR="00037AF7" w:rsidRDefault="00037AF7" w:rsidP="003D72FA">
      <w:pPr>
        <w:spacing w:before="240"/>
        <w:rPr>
          <w:lang w:eastAsia="en-US"/>
        </w:rPr>
      </w:pPr>
      <w:r>
        <w:rPr>
          <w:lang w:eastAsia="en-US"/>
        </w:rPr>
        <w:t xml:space="preserve">ESC noted that, for the financial estimates, the same epidemiological approach </w:t>
      </w:r>
      <w:proofErr w:type="gramStart"/>
      <w:r>
        <w:rPr>
          <w:lang w:eastAsia="en-US"/>
        </w:rPr>
        <w:t>was taken</w:t>
      </w:r>
      <w:proofErr w:type="gramEnd"/>
      <w:r>
        <w:rPr>
          <w:lang w:eastAsia="en-US"/>
        </w:rPr>
        <w:t xml:space="preserve"> as the </w:t>
      </w:r>
      <w:r w:rsidR="00E379DA">
        <w:rPr>
          <w:lang w:eastAsia="en-US"/>
        </w:rPr>
        <w:t>original</w:t>
      </w:r>
      <w:r>
        <w:rPr>
          <w:lang w:eastAsia="en-US"/>
        </w:rPr>
        <w:t xml:space="preserve"> application. However, without justification, the numbers of eligible patients and financial estimates were less than in the original submission. ESC queried these changes </w:t>
      </w:r>
      <w:r>
        <w:t xml:space="preserve">given that the eligible population has slightly increased from the previous submission by also including patients with a </w:t>
      </w:r>
      <w:r w:rsidRPr="00462769">
        <w:t>primary lesion at least 0.8</w:t>
      </w:r>
      <w:r>
        <w:t> </w:t>
      </w:r>
      <w:r w:rsidRPr="00462769">
        <w:t>mm in depth in the presence of ulceration</w:t>
      </w:r>
      <w:r>
        <w:t>.</w:t>
      </w:r>
    </w:p>
    <w:p w14:paraId="1888DD5F" w14:textId="2445585C" w:rsidR="00037AF7" w:rsidRPr="00D659F5" w:rsidRDefault="00037AF7" w:rsidP="00037AF7">
      <w:pPr>
        <w:rPr>
          <w:lang w:eastAsia="en-US"/>
        </w:rPr>
      </w:pPr>
      <w:r>
        <w:rPr>
          <w:lang w:eastAsia="en-US"/>
        </w:rPr>
        <w:lastRenderedPageBreak/>
        <w:t xml:space="preserve">ESC noted that the </w:t>
      </w:r>
      <w:proofErr w:type="spellStart"/>
      <w:r>
        <w:rPr>
          <w:lang w:eastAsia="en-US"/>
        </w:rPr>
        <w:t>SLNBx</w:t>
      </w:r>
      <w:proofErr w:type="spellEnd"/>
      <w:r>
        <w:rPr>
          <w:lang w:eastAsia="en-US"/>
        </w:rPr>
        <w:t xml:space="preserve"> u</w:t>
      </w:r>
      <w:r w:rsidRPr="00D659F5">
        <w:rPr>
          <w:lang w:eastAsia="en-US"/>
        </w:rPr>
        <w:t xml:space="preserve">tilisation rate of 49.8% </w:t>
      </w:r>
      <w:r>
        <w:rPr>
          <w:lang w:eastAsia="en-US"/>
        </w:rPr>
        <w:t xml:space="preserve">was </w:t>
      </w:r>
      <w:r w:rsidRPr="00D659F5">
        <w:rPr>
          <w:lang w:eastAsia="en-US"/>
        </w:rPr>
        <w:t xml:space="preserve">taken from van der </w:t>
      </w:r>
      <w:proofErr w:type="spellStart"/>
      <w:r w:rsidRPr="00D659F5">
        <w:rPr>
          <w:lang w:eastAsia="en-US"/>
        </w:rPr>
        <w:t>Ploeg</w:t>
      </w:r>
      <w:proofErr w:type="spellEnd"/>
      <w:r w:rsidRPr="00D659F5">
        <w:rPr>
          <w:lang w:eastAsia="en-US"/>
        </w:rPr>
        <w:t xml:space="preserve"> </w:t>
      </w:r>
      <w:r>
        <w:rPr>
          <w:lang w:eastAsia="en-US"/>
        </w:rPr>
        <w:t>(</w:t>
      </w:r>
      <w:r w:rsidRPr="00D659F5">
        <w:rPr>
          <w:lang w:eastAsia="en-US"/>
        </w:rPr>
        <w:t>2014</w:t>
      </w:r>
      <w:r>
        <w:rPr>
          <w:lang w:eastAsia="en-US"/>
        </w:rPr>
        <w:t xml:space="preserve">); however, considered that this data related to an older population </w:t>
      </w:r>
      <w:r w:rsidRPr="00D659F5">
        <w:rPr>
          <w:lang w:eastAsia="en-US"/>
        </w:rPr>
        <w:t xml:space="preserve">and </w:t>
      </w:r>
      <w:r>
        <w:rPr>
          <w:lang w:eastAsia="en-US"/>
        </w:rPr>
        <w:t xml:space="preserve">practice </w:t>
      </w:r>
      <w:r w:rsidRPr="00D659F5">
        <w:rPr>
          <w:lang w:eastAsia="en-US"/>
        </w:rPr>
        <w:t xml:space="preserve">guidelines have </w:t>
      </w:r>
      <w:r>
        <w:rPr>
          <w:lang w:eastAsia="en-US"/>
        </w:rPr>
        <w:t xml:space="preserve">since </w:t>
      </w:r>
      <w:r w:rsidRPr="00D659F5">
        <w:rPr>
          <w:lang w:eastAsia="en-US"/>
        </w:rPr>
        <w:t xml:space="preserve">changed. </w:t>
      </w:r>
      <w:r>
        <w:rPr>
          <w:lang w:eastAsia="en-US"/>
        </w:rPr>
        <w:t>ESC considered that the utilisation r</w:t>
      </w:r>
      <w:r w:rsidRPr="00D659F5">
        <w:rPr>
          <w:lang w:eastAsia="en-US"/>
        </w:rPr>
        <w:t>ate m</w:t>
      </w:r>
      <w:r>
        <w:rPr>
          <w:lang w:eastAsia="en-US"/>
        </w:rPr>
        <w:t>ight</w:t>
      </w:r>
      <w:r w:rsidRPr="00D659F5">
        <w:rPr>
          <w:lang w:eastAsia="en-US"/>
        </w:rPr>
        <w:t xml:space="preserve"> be higher in practice</w:t>
      </w:r>
      <w:r>
        <w:rPr>
          <w:lang w:eastAsia="en-US"/>
        </w:rPr>
        <w:t>, which led to uncertainty in the financial estimates</w:t>
      </w:r>
      <w:r w:rsidRPr="00D659F5">
        <w:rPr>
          <w:lang w:eastAsia="en-US"/>
        </w:rPr>
        <w:t>.</w:t>
      </w:r>
    </w:p>
    <w:p w14:paraId="26C3402F" w14:textId="7D1CA689" w:rsidR="00037AF7" w:rsidRDefault="00037AF7" w:rsidP="003D72FA">
      <w:pPr>
        <w:spacing w:before="240"/>
        <w:rPr>
          <w:lang w:eastAsia="en-US"/>
        </w:rPr>
      </w:pPr>
      <w:r>
        <w:rPr>
          <w:lang w:eastAsia="en-US"/>
        </w:rPr>
        <w:t>ESC noted that, un</w:t>
      </w:r>
      <w:r w:rsidRPr="00D659F5">
        <w:rPr>
          <w:lang w:eastAsia="en-US"/>
        </w:rPr>
        <w:t>like the previous</w:t>
      </w:r>
      <w:r>
        <w:rPr>
          <w:lang w:eastAsia="en-US"/>
        </w:rPr>
        <w:t xml:space="preserve"> submission</w:t>
      </w:r>
      <w:r w:rsidRPr="00D659F5">
        <w:rPr>
          <w:lang w:eastAsia="en-US"/>
        </w:rPr>
        <w:t>, th</w:t>
      </w:r>
      <w:r>
        <w:rPr>
          <w:lang w:eastAsia="en-US"/>
        </w:rPr>
        <w:t>e</w:t>
      </w:r>
      <w:r w:rsidRPr="00D659F5">
        <w:rPr>
          <w:lang w:eastAsia="en-US"/>
        </w:rPr>
        <w:t xml:space="preserve"> DCAR d</w:t>
      </w:r>
      <w:r>
        <w:rPr>
          <w:lang w:eastAsia="en-US"/>
        </w:rPr>
        <w:t>id</w:t>
      </w:r>
      <w:r w:rsidRPr="00D659F5">
        <w:rPr>
          <w:lang w:eastAsia="en-US"/>
        </w:rPr>
        <w:t xml:space="preserve"> not include other costs of surgery in the </w:t>
      </w:r>
      <w:r>
        <w:rPr>
          <w:lang w:eastAsia="en-US"/>
        </w:rPr>
        <w:t>net</w:t>
      </w:r>
      <w:r w:rsidRPr="00D659F5">
        <w:rPr>
          <w:lang w:eastAsia="en-US"/>
        </w:rPr>
        <w:t xml:space="preserve"> cost to MBS</w:t>
      </w:r>
      <w:r>
        <w:rPr>
          <w:lang w:eastAsia="en-US"/>
        </w:rPr>
        <w:t xml:space="preserve"> (Section E.4 of the DCAR),</w:t>
      </w:r>
      <w:r w:rsidRPr="00D659F5">
        <w:rPr>
          <w:lang w:eastAsia="en-US"/>
        </w:rPr>
        <w:t xml:space="preserve"> as this is already being performed as part of excision. </w:t>
      </w:r>
      <w:r>
        <w:rPr>
          <w:lang w:eastAsia="en-US"/>
        </w:rPr>
        <w:t xml:space="preserve">ESC was uncertain whether this was </w:t>
      </w:r>
      <w:r w:rsidRPr="00D659F5">
        <w:rPr>
          <w:lang w:eastAsia="en-US"/>
        </w:rPr>
        <w:t>reasonable</w:t>
      </w:r>
      <w:r>
        <w:rPr>
          <w:lang w:eastAsia="en-US"/>
        </w:rPr>
        <w:t xml:space="preserve">, as </w:t>
      </w:r>
      <w:r w:rsidRPr="00D659F5">
        <w:rPr>
          <w:lang w:eastAsia="en-US"/>
        </w:rPr>
        <w:t xml:space="preserve">CLND may still occur in response to a positive </w:t>
      </w:r>
      <w:proofErr w:type="spellStart"/>
      <w:r>
        <w:rPr>
          <w:lang w:eastAsia="en-US"/>
        </w:rPr>
        <w:t>SLNBx</w:t>
      </w:r>
      <w:proofErr w:type="spellEnd"/>
      <w:r>
        <w:rPr>
          <w:lang w:eastAsia="en-US"/>
        </w:rPr>
        <w:t>, even though the definition of “complete resection” for the purposes of adjuvant therapy would include wide excision of the primary skin lesion and sentinel node biopsy.</w:t>
      </w:r>
    </w:p>
    <w:p w14:paraId="3A16FEF5" w14:textId="421D6246" w:rsidR="00037AF7" w:rsidRPr="0078668F" w:rsidRDefault="00037AF7" w:rsidP="003D72FA">
      <w:pPr>
        <w:spacing w:before="240"/>
        <w:rPr>
          <w:lang w:eastAsia="en-US"/>
        </w:rPr>
      </w:pPr>
      <w:r>
        <w:rPr>
          <w:lang w:eastAsia="en-US"/>
        </w:rPr>
        <w:t>The r</w:t>
      </w:r>
      <w:r w:rsidRPr="00D659F5">
        <w:rPr>
          <w:lang w:eastAsia="en-US"/>
        </w:rPr>
        <w:t>e-submission claim</w:t>
      </w:r>
      <w:r>
        <w:rPr>
          <w:lang w:eastAsia="en-US"/>
        </w:rPr>
        <w:t>ed</w:t>
      </w:r>
      <w:r w:rsidRPr="00D659F5">
        <w:rPr>
          <w:lang w:eastAsia="en-US"/>
        </w:rPr>
        <w:t xml:space="preserve"> </w:t>
      </w:r>
      <w:r w:rsidR="00E243ED">
        <w:rPr>
          <w:lang w:eastAsia="en-US"/>
        </w:rPr>
        <w:t xml:space="preserve">that </w:t>
      </w:r>
      <w:r w:rsidRPr="00D659F5">
        <w:rPr>
          <w:lang w:eastAsia="en-US"/>
        </w:rPr>
        <w:t>it is likely there w</w:t>
      </w:r>
      <w:r>
        <w:rPr>
          <w:lang w:eastAsia="en-US"/>
        </w:rPr>
        <w:t>ould</w:t>
      </w:r>
      <w:r w:rsidRPr="00D659F5">
        <w:rPr>
          <w:lang w:eastAsia="en-US"/>
        </w:rPr>
        <w:t xml:space="preserve"> be no additional impact on government health budgets</w:t>
      </w:r>
      <w:r>
        <w:rPr>
          <w:lang w:eastAsia="en-US"/>
        </w:rPr>
        <w:t xml:space="preserve">. However, ESC considered that </w:t>
      </w:r>
      <w:r w:rsidRPr="00D659F5">
        <w:rPr>
          <w:lang w:eastAsia="en-US"/>
        </w:rPr>
        <w:t xml:space="preserve">if more patients </w:t>
      </w:r>
      <w:r>
        <w:rPr>
          <w:lang w:eastAsia="en-US"/>
        </w:rPr>
        <w:t>become</w:t>
      </w:r>
      <w:r w:rsidRPr="00D659F5">
        <w:rPr>
          <w:lang w:eastAsia="en-US"/>
        </w:rPr>
        <w:t xml:space="preserve"> eligible for adjuvant therapy</w:t>
      </w:r>
      <w:r>
        <w:rPr>
          <w:lang w:eastAsia="en-US"/>
        </w:rPr>
        <w:t>,</w:t>
      </w:r>
      <w:r w:rsidRPr="00D659F5">
        <w:rPr>
          <w:lang w:eastAsia="en-US"/>
        </w:rPr>
        <w:t xml:space="preserve"> it w</w:t>
      </w:r>
      <w:r>
        <w:rPr>
          <w:lang w:eastAsia="en-US"/>
        </w:rPr>
        <w:t>ould</w:t>
      </w:r>
      <w:r w:rsidRPr="00D659F5">
        <w:rPr>
          <w:lang w:eastAsia="en-US"/>
        </w:rPr>
        <w:t xml:space="preserve"> have a </w:t>
      </w:r>
      <w:r>
        <w:rPr>
          <w:lang w:eastAsia="en-US"/>
        </w:rPr>
        <w:t>relatively large</w:t>
      </w:r>
      <w:r w:rsidRPr="00D659F5">
        <w:rPr>
          <w:lang w:eastAsia="en-US"/>
        </w:rPr>
        <w:t xml:space="preserve"> impact</w:t>
      </w:r>
      <w:r>
        <w:rPr>
          <w:lang w:eastAsia="en-US"/>
        </w:rPr>
        <w:t xml:space="preserve"> and so</w:t>
      </w:r>
      <w:r w:rsidRPr="00D659F5">
        <w:rPr>
          <w:lang w:eastAsia="en-US"/>
        </w:rPr>
        <w:t xml:space="preserve"> this should have been included in the </w:t>
      </w:r>
      <w:r>
        <w:rPr>
          <w:lang w:eastAsia="en-US"/>
        </w:rPr>
        <w:t xml:space="preserve">financial </w:t>
      </w:r>
      <w:r w:rsidRPr="00D659F5">
        <w:rPr>
          <w:lang w:eastAsia="en-US"/>
        </w:rPr>
        <w:t>estimates.</w:t>
      </w:r>
    </w:p>
    <w:p w14:paraId="1F3FD19A" w14:textId="77777777" w:rsidR="00037AF7" w:rsidRPr="00037AF7" w:rsidRDefault="00037AF7" w:rsidP="003D72FA">
      <w:pPr>
        <w:spacing w:before="240"/>
        <w:rPr>
          <w:lang w:eastAsia="en-US"/>
        </w:rPr>
      </w:pPr>
      <w:r>
        <w:rPr>
          <w:lang w:eastAsia="en-US"/>
        </w:rPr>
        <w:t xml:space="preserve">ESC noted the consultation feedback gave variable support for </w:t>
      </w:r>
      <w:proofErr w:type="spellStart"/>
      <w:r>
        <w:rPr>
          <w:lang w:eastAsia="en-US"/>
        </w:rPr>
        <w:t>SLNBx</w:t>
      </w:r>
      <w:proofErr w:type="spellEnd"/>
      <w:r>
        <w:rPr>
          <w:lang w:eastAsia="en-US"/>
        </w:rPr>
        <w:t xml:space="preserve"> as current standard of care.</w:t>
      </w:r>
    </w:p>
    <w:p w14:paraId="6E58B731" w14:textId="77777777" w:rsidR="001121C3" w:rsidRPr="00F715D1" w:rsidRDefault="001121C3" w:rsidP="001121C3">
      <w:pPr>
        <w:pStyle w:val="Heading1"/>
      </w:pPr>
      <w:r w:rsidRPr="00F715D1">
        <w:t>Other significant factors</w:t>
      </w:r>
    </w:p>
    <w:p w14:paraId="5C78C01F" w14:textId="77777777" w:rsidR="001121C3" w:rsidRPr="005A4362" w:rsidRDefault="001121C3" w:rsidP="00C2029A">
      <w:r w:rsidRPr="005A4362">
        <w:t>Nil</w:t>
      </w:r>
      <w:r w:rsidR="00C2029A">
        <w:t>.</w:t>
      </w:r>
    </w:p>
    <w:p w14:paraId="1F6F3FB4" w14:textId="77777777" w:rsidR="001121C3" w:rsidRPr="00F715D1" w:rsidRDefault="001121C3" w:rsidP="001121C3">
      <w:pPr>
        <w:pStyle w:val="Heading1"/>
      </w:pPr>
      <w:r>
        <w:t>Applicant</w:t>
      </w:r>
      <w:r w:rsidRPr="00F715D1">
        <w:t xml:space="preserve"> comments on MSAC’s Public Summary Document</w:t>
      </w:r>
    </w:p>
    <w:p w14:paraId="0D9CD020" w14:textId="6558A489" w:rsidR="00F23641" w:rsidRPr="00F420FD" w:rsidRDefault="00F23641" w:rsidP="00F23641">
      <w:pPr>
        <w:spacing w:after="240"/>
        <w:rPr>
          <w:szCs w:val="24"/>
        </w:rPr>
      </w:pPr>
      <w:r w:rsidRPr="00F420FD">
        <w:rPr>
          <w:szCs w:val="24"/>
        </w:rPr>
        <w:t xml:space="preserve">The applicant notes the positive recommendation and is grateful for the support of MSAC throughout the process. </w:t>
      </w:r>
      <w:r w:rsidRPr="00F420FD">
        <w:rPr>
          <w:szCs w:val="24"/>
          <w:lang w:val="en-GB"/>
        </w:rPr>
        <w:t xml:space="preserve">The applicant would like to explore a </w:t>
      </w:r>
      <w:r w:rsidRPr="00F420FD">
        <w:rPr>
          <w:szCs w:val="24"/>
        </w:rPr>
        <w:t>possible clarification of the wording of the item descriptor such that:</w:t>
      </w:r>
    </w:p>
    <w:p w14:paraId="53E903DC" w14:textId="505013E4" w:rsidR="00F23641" w:rsidRPr="00F420FD" w:rsidRDefault="00F23641" w:rsidP="00F23641">
      <w:pPr>
        <w:pStyle w:val="ListParagraph"/>
        <w:numPr>
          <w:ilvl w:val="0"/>
          <w:numId w:val="11"/>
        </w:numPr>
        <w:spacing w:before="60" w:after="60"/>
        <w:ind w:left="714" w:hanging="357"/>
        <w:contextualSpacing w:val="0"/>
        <w:rPr>
          <w:szCs w:val="24"/>
        </w:rPr>
      </w:pPr>
      <w:r w:rsidRPr="00F420FD">
        <w:rPr>
          <w:szCs w:val="24"/>
        </w:rPr>
        <w:t>Appropriate excision of the primary melanoma can be at the same occasion (acknowledging the multiple procedure rule) or at a previous procedure.</w:t>
      </w:r>
    </w:p>
    <w:p w14:paraId="2D45FD84" w14:textId="480ABD6D" w:rsidR="00F23641" w:rsidRPr="00F420FD" w:rsidRDefault="00F23641" w:rsidP="00F23641">
      <w:pPr>
        <w:pStyle w:val="ListParagraph"/>
        <w:numPr>
          <w:ilvl w:val="0"/>
          <w:numId w:val="11"/>
        </w:numPr>
        <w:spacing w:before="60" w:after="60"/>
        <w:ind w:left="714" w:hanging="357"/>
        <w:contextualSpacing w:val="0"/>
        <w:rPr>
          <w:szCs w:val="24"/>
        </w:rPr>
      </w:pPr>
      <w:r w:rsidRPr="00F420FD">
        <w:rPr>
          <w:szCs w:val="24"/>
        </w:rPr>
        <w:t>Multiple sentinel node basins may be involved in lymphatic drainage, and each separate lymphatic basin biopsy is a separate procedure (again, where the multiple procedure rule will apply). Multiple sentinel nodes within the same lymphatic basin do not qualify as separate procedures.</w:t>
      </w:r>
    </w:p>
    <w:p w14:paraId="4254E386" w14:textId="77777777" w:rsidR="00F23641" w:rsidRPr="00F420FD" w:rsidRDefault="00F23641" w:rsidP="00F23641">
      <w:pPr>
        <w:pStyle w:val="ListParagraph"/>
        <w:numPr>
          <w:ilvl w:val="0"/>
          <w:numId w:val="11"/>
        </w:numPr>
        <w:spacing w:before="60" w:after="60"/>
        <w:ind w:left="714" w:hanging="357"/>
        <w:contextualSpacing w:val="0"/>
        <w:rPr>
          <w:szCs w:val="24"/>
        </w:rPr>
      </w:pPr>
      <w:r w:rsidRPr="00F420FD">
        <w:rPr>
          <w:szCs w:val="24"/>
        </w:rPr>
        <w:t xml:space="preserve">Limit to one primary melanoma </w:t>
      </w:r>
      <w:proofErr w:type="gramStart"/>
      <w:r w:rsidRPr="00F420FD">
        <w:rPr>
          <w:szCs w:val="24"/>
        </w:rPr>
        <w:t>being assessed</w:t>
      </w:r>
      <w:proofErr w:type="gramEnd"/>
      <w:r w:rsidRPr="00F420FD">
        <w:rPr>
          <w:szCs w:val="24"/>
        </w:rPr>
        <w:t xml:space="preserve"> with sentinel lymph biopsy per patient per occasion. </w:t>
      </w:r>
    </w:p>
    <w:p w14:paraId="64AEE7B9" w14:textId="62A77326" w:rsidR="00F23641" w:rsidRPr="00F420FD" w:rsidRDefault="00F23641" w:rsidP="00F23641">
      <w:pPr>
        <w:spacing w:after="240"/>
        <w:ind w:left="360"/>
        <w:rPr>
          <w:szCs w:val="24"/>
        </w:rPr>
      </w:pPr>
      <w:r w:rsidRPr="00F420FD">
        <w:rPr>
          <w:szCs w:val="24"/>
        </w:rPr>
        <w:t>The applicant believes that clarification of the descriptor will help with the roll out to the medical practitioners involved, and will minimise confusion.</w:t>
      </w:r>
    </w:p>
    <w:p w14:paraId="2E5C996A" w14:textId="77777777" w:rsidR="001121C3" w:rsidRPr="00F715D1" w:rsidRDefault="001121C3" w:rsidP="001121C3">
      <w:pPr>
        <w:pStyle w:val="Heading1"/>
      </w:pPr>
      <w:r w:rsidRPr="00F715D1">
        <w:t>Further information on MSAC</w:t>
      </w:r>
    </w:p>
    <w:p w14:paraId="317648BB" w14:textId="77777777" w:rsidR="001121C3" w:rsidRPr="00F715D1" w:rsidRDefault="001121C3" w:rsidP="001121C3">
      <w:pPr>
        <w:spacing w:after="240"/>
        <w:rPr>
          <w:szCs w:val="24"/>
        </w:rPr>
      </w:pPr>
      <w:r w:rsidRPr="00F715D1">
        <w:rPr>
          <w:szCs w:val="24"/>
        </w:rPr>
        <w:t xml:space="preserve">MSAC Terms of Reference and other information are available on the MSAC Website: </w:t>
      </w:r>
      <w:r>
        <w:rPr>
          <w:szCs w:val="24"/>
        </w:rPr>
        <w:br/>
      </w:r>
      <w:hyperlink r:id="rId12" w:tooltip="Link to Medical Services Advisory Committee website" w:history="1">
        <w:r w:rsidRPr="00F715D1">
          <w:rPr>
            <w:rStyle w:val="Hyperlink"/>
            <w:szCs w:val="24"/>
          </w:rPr>
          <w:t>visit the MSAC website</w:t>
        </w:r>
      </w:hyperlink>
    </w:p>
    <w:sectPr w:rsidR="001121C3" w:rsidRPr="00F715D1" w:rsidSect="001D3405">
      <w:footerReference w:type="default" r:id="rId13"/>
      <w:pgSz w:w="11906" w:h="16838"/>
      <w:pgMar w:top="1134" w:right="1440" w:bottom="42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522E" w16cex:dateUtc="2020-05-19T21: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9C339" w14:textId="77777777" w:rsidR="00261B83" w:rsidRDefault="00261B83">
      <w:r>
        <w:separator/>
      </w:r>
    </w:p>
  </w:endnote>
  <w:endnote w:type="continuationSeparator" w:id="0">
    <w:p w14:paraId="48520370" w14:textId="77777777" w:rsidR="00261B83" w:rsidRDefault="0026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6AB2AE56" w14:textId="50454733" w:rsidR="00261B83" w:rsidRDefault="00261B83">
        <w:pPr>
          <w:pStyle w:val="Footer"/>
          <w:jc w:val="right"/>
        </w:pPr>
        <w:r>
          <w:fldChar w:fldCharType="begin"/>
        </w:r>
        <w:r>
          <w:instrText xml:space="preserve"> PAGE   \* MERGEFORMAT </w:instrText>
        </w:r>
        <w:r>
          <w:fldChar w:fldCharType="separate"/>
        </w:r>
        <w:r w:rsidR="00F90F0A">
          <w:rPr>
            <w:noProof/>
          </w:rPr>
          <w:t>18</w:t>
        </w:r>
        <w:r>
          <w:rPr>
            <w:noProof/>
          </w:rPr>
          <w:fldChar w:fldCharType="end"/>
        </w:r>
      </w:p>
    </w:sdtContent>
  </w:sdt>
  <w:p w14:paraId="63D70549" w14:textId="77777777" w:rsidR="00261B83" w:rsidRDefault="00261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FCC52" w14:textId="77777777" w:rsidR="00261B83" w:rsidRDefault="00261B83">
      <w:r>
        <w:separator/>
      </w:r>
    </w:p>
  </w:footnote>
  <w:footnote w:type="continuationSeparator" w:id="0">
    <w:p w14:paraId="508A25DC" w14:textId="77777777" w:rsidR="00261B83" w:rsidRDefault="00261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A8028C"/>
    <w:multiLevelType w:val="hybridMultilevel"/>
    <w:tmpl w:val="D4B0F5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175239"/>
    <w:multiLevelType w:val="hybridMultilevel"/>
    <w:tmpl w:val="772678A8"/>
    <w:lvl w:ilvl="0" w:tplc="0F52FBC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8E2766"/>
    <w:multiLevelType w:val="hybridMultilevel"/>
    <w:tmpl w:val="BC48C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C73050"/>
    <w:multiLevelType w:val="hybridMultilevel"/>
    <w:tmpl w:val="38BAA7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D2750A0"/>
    <w:multiLevelType w:val="hybridMultilevel"/>
    <w:tmpl w:val="7C8C6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CB363C"/>
    <w:multiLevelType w:val="hybridMultilevel"/>
    <w:tmpl w:val="D2FC9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F62B98"/>
    <w:multiLevelType w:val="hybridMultilevel"/>
    <w:tmpl w:val="3482B2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FC7AAB"/>
    <w:multiLevelType w:val="hybridMultilevel"/>
    <w:tmpl w:val="A31E3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160BE5"/>
    <w:multiLevelType w:val="hybridMultilevel"/>
    <w:tmpl w:val="23E6B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7"/>
  </w:num>
  <w:num w:numId="7">
    <w:abstractNumId w:val="11"/>
  </w:num>
  <w:num w:numId="8">
    <w:abstractNumId w:val="6"/>
  </w:num>
  <w:num w:numId="9">
    <w:abstractNumId w:val="8"/>
  </w:num>
  <w:num w:numId="10">
    <w:abstractNumId w:val="1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C3"/>
    <w:rsid w:val="00013CED"/>
    <w:rsid w:val="00017FF1"/>
    <w:rsid w:val="00024CCF"/>
    <w:rsid w:val="00032929"/>
    <w:rsid w:val="00037AF7"/>
    <w:rsid w:val="00043849"/>
    <w:rsid w:val="00067DD1"/>
    <w:rsid w:val="000F4443"/>
    <w:rsid w:val="001121C3"/>
    <w:rsid w:val="00121144"/>
    <w:rsid w:val="00137A3C"/>
    <w:rsid w:val="00153A22"/>
    <w:rsid w:val="0015547E"/>
    <w:rsid w:val="00162053"/>
    <w:rsid w:val="0016277C"/>
    <w:rsid w:val="00167EA8"/>
    <w:rsid w:val="001B14BB"/>
    <w:rsid w:val="001D3405"/>
    <w:rsid w:val="001E50BD"/>
    <w:rsid w:val="001F3D2E"/>
    <w:rsid w:val="00244D6B"/>
    <w:rsid w:val="00250C45"/>
    <w:rsid w:val="00261B83"/>
    <w:rsid w:val="00275EAA"/>
    <w:rsid w:val="00280050"/>
    <w:rsid w:val="002851DC"/>
    <w:rsid w:val="002E58D6"/>
    <w:rsid w:val="002F26A5"/>
    <w:rsid w:val="002F789F"/>
    <w:rsid w:val="00310726"/>
    <w:rsid w:val="00331FBF"/>
    <w:rsid w:val="003D72FA"/>
    <w:rsid w:val="003D7A6D"/>
    <w:rsid w:val="00454D42"/>
    <w:rsid w:val="004621B7"/>
    <w:rsid w:val="004C3E35"/>
    <w:rsid w:val="00520CFF"/>
    <w:rsid w:val="00551260"/>
    <w:rsid w:val="005843FA"/>
    <w:rsid w:val="00596515"/>
    <w:rsid w:val="00596BF0"/>
    <w:rsid w:val="00612CD8"/>
    <w:rsid w:val="0062715D"/>
    <w:rsid w:val="00697326"/>
    <w:rsid w:val="00697A71"/>
    <w:rsid w:val="00716F22"/>
    <w:rsid w:val="0072128B"/>
    <w:rsid w:val="00732A99"/>
    <w:rsid w:val="00757E4D"/>
    <w:rsid w:val="00786BDA"/>
    <w:rsid w:val="007A3008"/>
    <w:rsid w:val="007A7A3D"/>
    <w:rsid w:val="007F41A6"/>
    <w:rsid w:val="00801FD6"/>
    <w:rsid w:val="008033E6"/>
    <w:rsid w:val="008237C2"/>
    <w:rsid w:val="00855A4A"/>
    <w:rsid w:val="00863E99"/>
    <w:rsid w:val="008B418A"/>
    <w:rsid w:val="008C2971"/>
    <w:rsid w:val="00975F68"/>
    <w:rsid w:val="009B26FE"/>
    <w:rsid w:val="00A4289B"/>
    <w:rsid w:val="00A46036"/>
    <w:rsid w:val="00A72631"/>
    <w:rsid w:val="00A910A4"/>
    <w:rsid w:val="00B0434E"/>
    <w:rsid w:val="00B54521"/>
    <w:rsid w:val="00BF38B1"/>
    <w:rsid w:val="00C13FEF"/>
    <w:rsid w:val="00C2029A"/>
    <w:rsid w:val="00C502E6"/>
    <w:rsid w:val="00C773F1"/>
    <w:rsid w:val="00C90537"/>
    <w:rsid w:val="00CF28F4"/>
    <w:rsid w:val="00D65CAD"/>
    <w:rsid w:val="00D8359D"/>
    <w:rsid w:val="00DB7043"/>
    <w:rsid w:val="00DD2165"/>
    <w:rsid w:val="00DD537F"/>
    <w:rsid w:val="00DF769C"/>
    <w:rsid w:val="00E243ED"/>
    <w:rsid w:val="00E379DA"/>
    <w:rsid w:val="00EC644C"/>
    <w:rsid w:val="00F14D6C"/>
    <w:rsid w:val="00F23641"/>
    <w:rsid w:val="00F23D1E"/>
    <w:rsid w:val="00F420FD"/>
    <w:rsid w:val="00F55428"/>
    <w:rsid w:val="00F90F0A"/>
    <w:rsid w:val="00FA3C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35E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C3"/>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1121C3"/>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semiHidden/>
    <w:unhideWhenUsed/>
    <w:qFormat/>
    <w:rsid w:val="001D3405"/>
    <w:pPr>
      <w:keepNext/>
      <w:keepLines/>
      <w:spacing w:before="240"/>
      <w:outlineLvl w:val="1"/>
    </w:pPr>
    <w:rPr>
      <w:rFonts w:eastAsiaTheme="majorEastAsia" w:cstheme="majorBidi"/>
      <w:i/>
      <w:szCs w:val="26"/>
    </w:rPr>
  </w:style>
  <w:style w:type="paragraph" w:styleId="Heading3">
    <w:name w:val="heading 3"/>
    <w:basedOn w:val="Normal"/>
    <w:next w:val="Normal"/>
    <w:link w:val="Heading3Char"/>
    <w:uiPriority w:val="9"/>
    <w:semiHidden/>
    <w:unhideWhenUsed/>
    <w:qFormat/>
    <w:rsid w:val="001D340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21C3"/>
    <w:rPr>
      <w:rFonts w:ascii="Arial" w:eastAsia="Times New Roman" w:hAnsi="Arial"/>
      <w:b/>
      <w:bCs/>
      <w:szCs w:val="28"/>
      <w:lang w:eastAsia="en-AU"/>
    </w:rPr>
  </w:style>
  <w:style w:type="character" w:styleId="Hyperlink">
    <w:name w:val="Hyperlink"/>
    <w:basedOn w:val="DefaultParagraphFont"/>
    <w:uiPriority w:val="99"/>
    <w:rsid w:val="001121C3"/>
    <w:rPr>
      <w:rFonts w:cs="Times New Roman"/>
      <w:color w:val="0000FF"/>
      <w:u w:val="single"/>
    </w:rPr>
  </w:style>
  <w:style w:type="paragraph" w:styleId="ListParagraph">
    <w:name w:val="List Paragraph"/>
    <w:aliases w:val="Styl moj,Akapit z listą1,Akapit z listą11,Numbered para,BulletPoints,Footnote,Bullet point,List Paragraph1,List Paragraph11,Recommendation,ES Paragraph,PBAC ES Paragraph,PBAC normal points,Bullet List"/>
    <w:basedOn w:val="Normal"/>
    <w:link w:val="ListParagraphChar"/>
    <w:uiPriority w:val="34"/>
    <w:qFormat/>
    <w:rsid w:val="001121C3"/>
    <w:pPr>
      <w:ind w:left="720"/>
      <w:contextualSpacing/>
    </w:pPr>
  </w:style>
  <w:style w:type="paragraph" w:styleId="Footer">
    <w:name w:val="footer"/>
    <w:basedOn w:val="Normal"/>
    <w:link w:val="FooterChar"/>
    <w:uiPriority w:val="99"/>
    <w:rsid w:val="001121C3"/>
    <w:pPr>
      <w:tabs>
        <w:tab w:val="center" w:pos="4513"/>
        <w:tab w:val="right" w:pos="9026"/>
      </w:tabs>
    </w:pPr>
  </w:style>
  <w:style w:type="character" w:customStyle="1" w:styleId="FooterChar">
    <w:name w:val="Footer Char"/>
    <w:basedOn w:val="DefaultParagraphFont"/>
    <w:link w:val="Footer"/>
    <w:uiPriority w:val="99"/>
    <w:rsid w:val="001121C3"/>
    <w:rPr>
      <w:rFonts w:eastAsia="Times New Roman"/>
      <w:szCs w:val="20"/>
      <w:lang w:eastAsia="en-AU"/>
    </w:rPr>
  </w:style>
  <w:style w:type="paragraph" w:customStyle="1" w:styleId="Default">
    <w:name w:val="Default"/>
    <w:rsid w:val="001121C3"/>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1121C3"/>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1121C3"/>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1121C3"/>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1121C3"/>
    <w:rPr>
      <w:rFonts w:ascii="Arial" w:eastAsia="Times New Roman" w:hAnsi="Arial" w:cs="Arial"/>
      <w:b/>
      <w:bCs/>
      <w:i/>
      <w:color w:val="000080"/>
      <w:sz w:val="28"/>
      <w:szCs w:val="28"/>
      <w:lang w:eastAsia="en-AU"/>
    </w:rPr>
  </w:style>
  <w:style w:type="table" w:styleId="TableGrid">
    <w:name w:val="Table Grid"/>
    <w:aliases w:val="Summary box,Table Gridbeth,new style"/>
    <w:basedOn w:val="TableNormal"/>
    <w:uiPriority w:val="59"/>
    <w:rsid w:val="001121C3"/>
    <w:pPr>
      <w:spacing w:after="0" w:line="240" w:lineRule="auto"/>
    </w:pPr>
    <w:rPr>
      <w:rFonts w:eastAsia="Calibr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037AF7"/>
    <w:pPr>
      <w:keepNext/>
      <w:spacing w:before="40" w:after="40"/>
    </w:pPr>
    <w:rPr>
      <w:rFonts w:ascii="Arial Narrow" w:hAnsi="Arial Narrow" w:cs="Tahoma"/>
      <w:b/>
      <w:sz w:val="20"/>
    </w:rPr>
  </w:style>
  <w:style w:type="character" w:customStyle="1" w:styleId="TableHeadingChar">
    <w:name w:val="TableHeading Char"/>
    <w:link w:val="TableHeading"/>
    <w:rsid w:val="00037AF7"/>
    <w:rPr>
      <w:rFonts w:ascii="Arial Narrow" w:eastAsia="Times New Roman" w:hAnsi="Arial Narrow" w:cs="Tahoma"/>
      <w:b/>
      <w:sz w:val="20"/>
      <w:szCs w:val="20"/>
      <w:lang w:eastAsia="en-AU"/>
    </w:rPr>
  </w:style>
  <w:style w:type="paragraph" w:customStyle="1" w:styleId="TableText">
    <w:name w:val="TableText"/>
    <w:basedOn w:val="Normal"/>
    <w:rsid w:val="00037AF7"/>
    <w:pPr>
      <w:keepNext/>
      <w:spacing w:before="60" w:after="60"/>
    </w:pPr>
    <w:rPr>
      <w:color w:val="000000"/>
      <w:sz w:val="21"/>
      <w:szCs w:val="21"/>
    </w:rPr>
  </w:style>
  <w:style w:type="character" w:customStyle="1" w:styleId="ListParagraphChar">
    <w:name w:val="List Paragraph Char"/>
    <w:aliases w:val="Styl moj Char,Akapit z listą1 Char,Akapit z listą11 Char,Numbered para Char,BulletPoints Char,Footnote Char,Bullet point Char,List Paragraph1 Char,List Paragraph11 Char,Recommendation Char,ES Paragraph Char,PBAC ES Paragraph Char"/>
    <w:link w:val="ListParagraph"/>
    <w:uiPriority w:val="34"/>
    <w:qFormat/>
    <w:rsid w:val="00037AF7"/>
    <w:rPr>
      <w:rFonts w:eastAsia="Times New Roman"/>
      <w:szCs w:val="20"/>
      <w:lang w:eastAsia="en-AU"/>
    </w:rPr>
  </w:style>
  <w:style w:type="paragraph" w:customStyle="1" w:styleId="NormalBeforeBullet">
    <w:name w:val="NormalBeforeBullet"/>
    <w:basedOn w:val="Normal"/>
    <w:qFormat/>
    <w:rsid w:val="00037AF7"/>
    <w:pPr>
      <w:keepNext/>
      <w:spacing w:after="120"/>
    </w:pPr>
    <w:rPr>
      <w:color w:val="00000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rsid w:val="001D3405"/>
    <w:pPr>
      <w:spacing w:after="120"/>
      <w:outlineLvl w:val="4"/>
    </w:pPr>
    <w:rPr>
      <w:rFonts w:ascii="Arial Narrow" w:hAnsi="Arial Narrow" w:cs="Tahoma"/>
      <w:b/>
      <w:bCs/>
      <w:sz w:val="20"/>
      <w:szCs w:val="22"/>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locked/>
    <w:rsid w:val="001D3405"/>
    <w:rPr>
      <w:rFonts w:ascii="Arial Narrow" w:eastAsia="Times New Roman" w:hAnsi="Arial Narrow" w:cs="Tahoma"/>
      <w:b/>
      <w:bCs/>
      <w:sz w:val="20"/>
      <w:szCs w:val="22"/>
      <w:lang w:eastAsia="en-AU"/>
    </w:rPr>
  </w:style>
  <w:style w:type="paragraph" w:customStyle="1" w:styleId="TableFooter">
    <w:name w:val="Table Footer"/>
    <w:basedOn w:val="Normal"/>
    <w:link w:val="TableFooterChar"/>
    <w:qFormat/>
    <w:rsid w:val="001D3405"/>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1D3405"/>
    <w:rPr>
      <w:rFonts w:ascii="Arial Narrow" w:eastAsia="Times New Roman" w:hAnsi="Arial Narrow" w:cs="Arial"/>
      <w:snapToGrid w:val="0"/>
      <w:sz w:val="18"/>
      <w:szCs w:val="22"/>
    </w:rPr>
  </w:style>
  <w:style w:type="character" w:customStyle="1" w:styleId="Heading2Char">
    <w:name w:val="Heading 2 Char"/>
    <w:basedOn w:val="DefaultParagraphFont"/>
    <w:link w:val="Heading2"/>
    <w:uiPriority w:val="9"/>
    <w:semiHidden/>
    <w:rsid w:val="001D3405"/>
    <w:rPr>
      <w:rFonts w:eastAsiaTheme="majorEastAsia" w:cstheme="majorBidi"/>
      <w:i/>
      <w:szCs w:val="26"/>
      <w:lang w:eastAsia="en-AU"/>
    </w:rPr>
  </w:style>
  <w:style w:type="paragraph" w:customStyle="1" w:styleId="Tabletext0">
    <w:name w:val="Table text"/>
    <w:basedOn w:val="Normal"/>
    <w:link w:val="TabletextChar"/>
    <w:qFormat/>
    <w:rsid w:val="001D3405"/>
    <w:pPr>
      <w:spacing w:before="40" w:after="40"/>
    </w:pPr>
    <w:rPr>
      <w:rFonts w:ascii="Arial Narrow" w:hAnsi="Arial Narrow" w:cs="Tahoma"/>
      <w:sz w:val="20"/>
    </w:rPr>
  </w:style>
  <w:style w:type="character" w:customStyle="1" w:styleId="TabletextChar">
    <w:name w:val="Table text Char"/>
    <w:link w:val="Tabletext0"/>
    <w:rsid w:val="001D3405"/>
    <w:rPr>
      <w:rFonts w:ascii="Arial Narrow" w:eastAsia="Times New Roman" w:hAnsi="Arial Narrow" w:cs="Tahoma"/>
      <w:sz w:val="20"/>
      <w:szCs w:val="20"/>
      <w:lang w:eastAsia="en-AU"/>
    </w:rPr>
  </w:style>
  <w:style w:type="paragraph" w:customStyle="1" w:styleId="TFAbbrevs18">
    <w:name w:val="TFAbbrevs+18"/>
    <w:basedOn w:val="Normal"/>
    <w:next w:val="Normal"/>
    <w:qFormat/>
    <w:rsid w:val="001D3405"/>
    <w:pPr>
      <w:keepNext/>
      <w:keepLines/>
      <w:spacing w:after="360"/>
    </w:pPr>
    <w:rPr>
      <w:rFonts w:ascii="Arial Narrow" w:hAnsi="Arial Narrow"/>
      <w:color w:val="000000"/>
      <w:sz w:val="18"/>
      <w:szCs w:val="18"/>
    </w:rPr>
  </w:style>
  <w:style w:type="character" w:styleId="FollowedHyperlink">
    <w:name w:val="FollowedHyperlink"/>
    <w:basedOn w:val="DefaultParagraphFont"/>
    <w:uiPriority w:val="99"/>
    <w:semiHidden/>
    <w:unhideWhenUsed/>
    <w:rsid w:val="001D3405"/>
    <w:rPr>
      <w:color w:val="954F72" w:themeColor="followedHyperlink"/>
      <w:u w:val="single"/>
    </w:rPr>
  </w:style>
  <w:style w:type="character" w:customStyle="1" w:styleId="Heading3Char">
    <w:name w:val="Heading 3 Char"/>
    <w:basedOn w:val="DefaultParagraphFont"/>
    <w:link w:val="Heading3"/>
    <w:uiPriority w:val="9"/>
    <w:semiHidden/>
    <w:rsid w:val="001D3405"/>
    <w:rPr>
      <w:rFonts w:asciiTheme="majorHAnsi" w:eastAsiaTheme="majorEastAsia" w:hAnsiTheme="majorHAnsi" w:cstheme="majorBidi"/>
      <w:color w:val="1F4D78" w:themeColor="accent1" w:themeShade="7F"/>
      <w:lang w:eastAsia="en-AU"/>
    </w:rPr>
  </w:style>
  <w:style w:type="table" w:customStyle="1" w:styleId="TableGrid1">
    <w:name w:val="Table Grid1"/>
    <w:basedOn w:val="TableNormal"/>
    <w:next w:val="TableGrid"/>
    <w:rsid w:val="001D3405"/>
    <w:pPr>
      <w:spacing w:before="40" w:after="4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customStyle="1" w:styleId="Heading31">
    <w:name w:val="Heading 31"/>
    <w:basedOn w:val="Heading3"/>
    <w:qFormat/>
    <w:rsid w:val="001D3405"/>
    <w:pPr>
      <w:spacing w:before="240"/>
    </w:pPr>
    <w:rPr>
      <w:rFonts w:ascii="Times New Roman" w:hAnsi="Times New Roman"/>
      <w:color w:val="auto"/>
      <w:u w:val="single"/>
    </w:rPr>
  </w:style>
  <w:style w:type="table" w:customStyle="1" w:styleId="TableGrid2">
    <w:name w:val="Table Grid2"/>
    <w:basedOn w:val="TableNormal"/>
    <w:next w:val="TableGrid"/>
    <w:rsid w:val="001D3405"/>
    <w:pPr>
      <w:spacing w:before="40" w:after="4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customStyle="1" w:styleId="TableText1">
    <w:name w:val="Table Text"/>
    <w:basedOn w:val="Normal"/>
    <w:link w:val="TableTextChar0"/>
    <w:qFormat/>
    <w:rsid w:val="001D3405"/>
    <w:pPr>
      <w:keepNext/>
      <w:spacing w:before="40" w:after="40"/>
    </w:pPr>
    <w:rPr>
      <w:rFonts w:ascii="Arial Narrow" w:hAnsi="Arial Narrow" w:cs="Tahoma"/>
      <w:sz w:val="20"/>
      <w:szCs w:val="22"/>
      <w:lang w:eastAsia="en-US"/>
    </w:rPr>
  </w:style>
  <w:style w:type="character" w:customStyle="1" w:styleId="TableTextChar0">
    <w:name w:val="Table Text Char"/>
    <w:link w:val="TableText1"/>
    <w:rsid w:val="001D3405"/>
    <w:rPr>
      <w:rFonts w:ascii="Arial Narrow" w:eastAsia="Times New Roman" w:hAnsi="Arial Narrow" w:cs="Tahoma"/>
      <w:sz w:val="20"/>
      <w:szCs w:val="22"/>
    </w:rPr>
  </w:style>
  <w:style w:type="table" w:styleId="TableClassic1">
    <w:name w:val="Table Classic 1"/>
    <w:basedOn w:val="TableNormal"/>
    <w:rsid w:val="001D3405"/>
    <w:pPr>
      <w:spacing w:after="240" w:line="312" w:lineRule="auto"/>
    </w:pPr>
    <w:rPr>
      <w:rFonts w:eastAsia="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aption">
    <w:name w:val="Table caption"/>
    <w:basedOn w:val="Normal"/>
    <w:link w:val="TablecaptionChar"/>
    <w:qFormat/>
    <w:rsid w:val="001D3405"/>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1D3405"/>
    <w:rPr>
      <w:rFonts w:ascii="Arial Narrow" w:eastAsia="Times New Roman" w:hAnsi="Arial Narrow" w:cs="Arial"/>
      <w:sz w:val="20"/>
      <w:szCs w:val="20"/>
    </w:rPr>
  </w:style>
  <w:style w:type="character" w:styleId="CommentReference">
    <w:name w:val="annotation reference"/>
    <w:basedOn w:val="DefaultParagraphFont"/>
    <w:uiPriority w:val="99"/>
    <w:semiHidden/>
    <w:unhideWhenUsed/>
    <w:rsid w:val="00B0434E"/>
    <w:rPr>
      <w:sz w:val="16"/>
      <w:szCs w:val="16"/>
    </w:rPr>
  </w:style>
  <w:style w:type="paragraph" w:styleId="CommentText">
    <w:name w:val="annotation text"/>
    <w:basedOn w:val="Normal"/>
    <w:link w:val="CommentTextChar"/>
    <w:uiPriority w:val="99"/>
    <w:semiHidden/>
    <w:unhideWhenUsed/>
    <w:rsid w:val="00B0434E"/>
    <w:rPr>
      <w:sz w:val="20"/>
    </w:rPr>
  </w:style>
  <w:style w:type="character" w:customStyle="1" w:styleId="CommentTextChar">
    <w:name w:val="Comment Text Char"/>
    <w:basedOn w:val="DefaultParagraphFont"/>
    <w:link w:val="CommentText"/>
    <w:uiPriority w:val="99"/>
    <w:semiHidden/>
    <w:rsid w:val="00B0434E"/>
    <w:rPr>
      <w:rFonts w:eastAsia="Times New Roman"/>
      <w:sz w:val="20"/>
      <w:szCs w:val="20"/>
      <w:lang w:eastAsia="en-AU"/>
    </w:rPr>
  </w:style>
  <w:style w:type="paragraph" w:styleId="BalloonText">
    <w:name w:val="Balloon Text"/>
    <w:basedOn w:val="Normal"/>
    <w:link w:val="BalloonTextChar"/>
    <w:uiPriority w:val="99"/>
    <w:semiHidden/>
    <w:unhideWhenUsed/>
    <w:rsid w:val="00B043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4E"/>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A910A4"/>
    <w:rPr>
      <w:b/>
      <w:bCs/>
    </w:rPr>
  </w:style>
  <w:style w:type="character" w:customStyle="1" w:styleId="CommentSubjectChar">
    <w:name w:val="Comment Subject Char"/>
    <w:basedOn w:val="CommentTextChar"/>
    <w:link w:val="CommentSubject"/>
    <w:uiPriority w:val="99"/>
    <w:semiHidden/>
    <w:rsid w:val="00A910A4"/>
    <w:rPr>
      <w:rFonts w:eastAsia="Times New Roman"/>
      <w:b/>
      <w:bCs/>
      <w:sz w:val="20"/>
      <w:szCs w:val="20"/>
      <w:lang w:eastAsia="en-AU"/>
    </w:rPr>
  </w:style>
  <w:style w:type="paragraph" w:styleId="Header">
    <w:name w:val="header"/>
    <w:basedOn w:val="Normal"/>
    <w:link w:val="HeaderChar"/>
    <w:uiPriority w:val="99"/>
    <w:unhideWhenUsed/>
    <w:rsid w:val="002851DC"/>
    <w:pPr>
      <w:tabs>
        <w:tab w:val="center" w:pos="4513"/>
        <w:tab w:val="right" w:pos="9026"/>
      </w:tabs>
    </w:pPr>
  </w:style>
  <w:style w:type="character" w:customStyle="1" w:styleId="HeaderChar">
    <w:name w:val="Header Char"/>
    <w:basedOn w:val="DefaultParagraphFont"/>
    <w:link w:val="Header"/>
    <w:uiPriority w:val="99"/>
    <w:rsid w:val="002851DC"/>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sa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sac.gov.au/internet/msac/publishing.nsf/Content/5088C1FA6F487EACCA25810B00806ECC/$File/Final%20MSAC%20Stakeholder%20Meeting%20Minutes%20-SLNB%20-%207%20November%202018.docx" TargetMode="External"/><Relationship Id="rId4" Type="http://schemas.openxmlformats.org/officeDocument/2006/relationships/webSettings" Target="webSettings.xml"/><Relationship Id="rId9" Type="http://schemas.openxmlformats.org/officeDocument/2006/relationships/hyperlink" Target="http://www.msac.gov.au/internet/msac/publishing.nsf/Content/5088C1FA6F487EACCA25810B00806ECC/$File/1485-Final%20PSD.docx"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9084</Words>
  <Characters>49604</Characters>
  <Application>Microsoft Office Word</Application>
  <DocSecurity>0</DocSecurity>
  <Lines>1055</Lines>
  <Paragraphs>548</Paragraphs>
  <ScaleCrop>false</ScaleCrop>
  <HeadingPairs>
    <vt:vector size="2" baseType="variant">
      <vt:variant>
        <vt:lpstr>Title</vt:lpstr>
      </vt:variant>
      <vt:variant>
        <vt:i4>1</vt:i4>
      </vt:variant>
    </vt:vector>
  </HeadingPairs>
  <TitlesOfParts>
    <vt:vector size="1" baseType="lpstr">
      <vt:lpstr>1485.1 Final PSD_Apr2020</vt:lpstr>
    </vt:vector>
  </TitlesOfParts>
  <Company/>
  <LinksUpToDate>false</LinksUpToDate>
  <CharactersWithSpaces>58140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1485.1 Final PSD_Apr2020</dc:title>
  <dc:subject/>
  <dc:creator/>
  <cp:keywords/>
  <dc:description/>
  <cp:lastModifiedBy/>
  <cp:revision>1</cp:revision>
  <dcterms:created xsi:type="dcterms:W3CDTF">2020-06-03T04:59:00Z</dcterms:created>
  <dcterms:modified xsi:type="dcterms:W3CDTF">2020-06-11T03:44:00Z</dcterms:modified>
</cp:coreProperties>
</file>