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CA7AB4">
        <w:rPr>
          <w:rFonts w:ascii="Arial" w:hAnsi="Arial" w:cs="Arial"/>
          <w:b/>
          <w:sz w:val="52"/>
          <w:szCs w:val="52"/>
        </w:rPr>
        <w:t xml:space="preserve">1498 – </w:t>
      </w:r>
      <w:r w:rsidR="00CA7AB4" w:rsidRPr="00CA7AB4">
        <w:rPr>
          <w:rFonts w:ascii="Arial" w:hAnsi="Arial" w:cs="Arial"/>
          <w:b/>
          <w:sz w:val="52"/>
          <w:szCs w:val="52"/>
        </w:rPr>
        <w:t>Serum soluble transferrin receptor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7AB4">
        <w:rPr>
          <w:b w:val="0"/>
        </w:rPr>
      </w:r>
      <w:r w:rsidR="00CA7AB4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A7AB4" w:rsidRPr="00CA7AB4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A7AB4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2018-02-28T02:56:00Z</dcterms:created>
  <dcterms:modified xsi:type="dcterms:W3CDTF">2018-02-28T02:56:00Z</dcterms:modified>
</cp:coreProperties>
</file>